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Layout w:type="fixed"/>
        <w:tblCellMar>
          <w:left w:w="57" w:type="dxa"/>
          <w:right w:w="57" w:type="dxa"/>
        </w:tblCellMar>
        <w:tblLook w:val="0000" w:firstRow="0" w:lastRow="0" w:firstColumn="0" w:lastColumn="0" w:noHBand="0" w:noVBand="0"/>
      </w:tblPr>
      <w:tblGrid>
        <w:gridCol w:w="1190"/>
        <w:gridCol w:w="417"/>
        <w:gridCol w:w="9"/>
        <w:gridCol w:w="3627"/>
        <w:gridCol w:w="4680"/>
      </w:tblGrid>
      <w:tr w:rsidR="006944F8" w:rsidRPr="00AE16FE" w14:paraId="31E7B619" w14:textId="77777777" w:rsidTr="002E2A0B">
        <w:trPr>
          <w:cantSplit/>
        </w:trPr>
        <w:tc>
          <w:tcPr>
            <w:tcW w:w="1190" w:type="dxa"/>
            <w:vMerge w:val="restart"/>
          </w:tcPr>
          <w:p w14:paraId="5D5FDED9" w14:textId="69083987" w:rsidR="006944F8" w:rsidRPr="00754A77" w:rsidRDefault="006944F8" w:rsidP="00071381">
            <w:pPr>
              <w:rPr>
                <w:rFonts w:eastAsiaTheme="minorEastAsia"/>
                <w:lang w:val="en-GB"/>
              </w:rPr>
            </w:pPr>
            <w:r w:rsidRPr="00754A77">
              <w:rPr>
                <w:rFonts w:eastAsiaTheme="minorEastAsia"/>
                <w:noProof/>
                <w:lang w:val="en-GB" w:eastAsia="en-GB"/>
              </w:rPr>
              <w:drawing>
                <wp:inline distT="0" distB="0" distL="0" distR="0" wp14:anchorId="6718666A" wp14:editId="2E1DE194">
                  <wp:extent cx="647700" cy="828675"/>
                  <wp:effectExtent l="0" t="0" r="0" b="0"/>
                  <wp:docPr id="4" name="Picture 4"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3" w:type="dxa"/>
            <w:gridSpan w:val="3"/>
            <w:vMerge w:val="restart"/>
          </w:tcPr>
          <w:p w14:paraId="41F51934" w14:textId="77777777" w:rsidR="006944F8" w:rsidRPr="00754A77" w:rsidRDefault="006944F8" w:rsidP="00071381">
            <w:pPr>
              <w:rPr>
                <w:rFonts w:eastAsiaTheme="minorEastAsia"/>
                <w:sz w:val="16"/>
                <w:szCs w:val="12"/>
                <w:lang w:val="en-GB"/>
              </w:rPr>
            </w:pPr>
            <w:r w:rsidRPr="00754A77">
              <w:rPr>
                <w:rFonts w:eastAsiaTheme="minorEastAsia"/>
                <w:sz w:val="16"/>
                <w:szCs w:val="12"/>
                <w:lang w:val="en-GB"/>
              </w:rPr>
              <w:t>INTERNATIONAL TELECOMMUNICATION UNION</w:t>
            </w:r>
          </w:p>
          <w:p w14:paraId="72D4A8B8" w14:textId="77777777" w:rsidR="006944F8" w:rsidRPr="00754A77" w:rsidRDefault="006944F8" w:rsidP="00071381">
            <w:pPr>
              <w:rPr>
                <w:rFonts w:eastAsiaTheme="minorEastAsia"/>
                <w:b/>
                <w:bCs/>
                <w:sz w:val="26"/>
                <w:szCs w:val="22"/>
                <w:lang w:val="en-GB"/>
              </w:rPr>
            </w:pPr>
            <w:r w:rsidRPr="00754A77">
              <w:rPr>
                <w:rFonts w:eastAsiaTheme="minorEastAsia"/>
                <w:b/>
                <w:bCs/>
                <w:sz w:val="26"/>
                <w:szCs w:val="22"/>
                <w:lang w:val="en-GB"/>
              </w:rPr>
              <w:t>TELECOMMUNICATION</w:t>
            </w:r>
            <w:r w:rsidRPr="00754A77">
              <w:rPr>
                <w:rFonts w:eastAsiaTheme="minorEastAsia"/>
                <w:b/>
                <w:bCs/>
                <w:sz w:val="26"/>
                <w:szCs w:val="22"/>
                <w:lang w:val="en-GB"/>
              </w:rPr>
              <w:br/>
              <w:t>STANDARDIZATION SECTOR</w:t>
            </w:r>
          </w:p>
          <w:p w14:paraId="635989F6" w14:textId="014DD155" w:rsidR="006944F8" w:rsidRPr="00754A77" w:rsidRDefault="006944F8" w:rsidP="00071381">
            <w:pPr>
              <w:rPr>
                <w:rFonts w:eastAsiaTheme="minorEastAsia"/>
                <w:lang w:val="en-GB"/>
              </w:rPr>
            </w:pPr>
            <w:r w:rsidRPr="00754A77">
              <w:rPr>
                <w:rFonts w:eastAsiaTheme="minorEastAsia"/>
                <w:sz w:val="20"/>
                <w:szCs w:val="16"/>
                <w:lang w:val="en-GB"/>
              </w:rPr>
              <w:t xml:space="preserve">STUDY PERIOD </w:t>
            </w:r>
            <w:bookmarkStart w:id="0" w:name="dstudyperiod"/>
            <w:r w:rsidRPr="00754A77">
              <w:rPr>
                <w:rFonts w:eastAsiaTheme="minorEastAsia"/>
                <w:sz w:val="20"/>
                <w:szCs w:val="16"/>
                <w:lang w:val="en-GB"/>
              </w:rPr>
              <w:t>2017-2020</w:t>
            </w:r>
            <w:bookmarkEnd w:id="0"/>
          </w:p>
        </w:tc>
        <w:tc>
          <w:tcPr>
            <w:tcW w:w="4680" w:type="dxa"/>
            <w:vAlign w:val="center"/>
          </w:tcPr>
          <w:p w14:paraId="7D0E8A97" w14:textId="49D9E014" w:rsidR="006944F8" w:rsidRPr="00AE16FE" w:rsidRDefault="006F110A" w:rsidP="00AE16FE">
            <w:pPr>
              <w:pStyle w:val="Docnumber"/>
            </w:pPr>
            <w:r w:rsidRPr="00AE16FE">
              <w:t>TSAG-</w:t>
            </w:r>
            <w:r w:rsidR="00F15725" w:rsidRPr="00AE16FE">
              <w:t>TD</w:t>
            </w:r>
            <w:r w:rsidR="00AE16FE" w:rsidRPr="00AE16FE">
              <w:t>656</w:t>
            </w:r>
            <w:r w:rsidR="00A1011D">
              <w:t>-F</w:t>
            </w:r>
          </w:p>
        </w:tc>
      </w:tr>
      <w:tr w:rsidR="006944F8" w:rsidRPr="00754A77" w14:paraId="7B4CAC96" w14:textId="77777777" w:rsidTr="002E2A0B">
        <w:trPr>
          <w:cantSplit/>
        </w:trPr>
        <w:tc>
          <w:tcPr>
            <w:tcW w:w="1190" w:type="dxa"/>
            <w:vMerge/>
          </w:tcPr>
          <w:p w14:paraId="21419EA6" w14:textId="77777777" w:rsidR="006944F8" w:rsidRPr="00656355" w:rsidRDefault="006944F8" w:rsidP="00071381">
            <w:pPr>
              <w:rPr>
                <w:rFonts w:asciiTheme="majorBidi" w:eastAsiaTheme="minorEastAsia" w:hAnsiTheme="majorBidi" w:cstheme="majorBidi"/>
                <w:smallCaps/>
                <w:sz w:val="20"/>
                <w:szCs w:val="24"/>
                <w:highlight w:val="yellow"/>
                <w:lang w:val="en-GB" w:eastAsia="ja-JP"/>
              </w:rPr>
            </w:pPr>
          </w:p>
        </w:tc>
        <w:tc>
          <w:tcPr>
            <w:tcW w:w="4053" w:type="dxa"/>
            <w:gridSpan w:val="3"/>
            <w:vMerge/>
          </w:tcPr>
          <w:p w14:paraId="6D6FF74E" w14:textId="77777777" w:rsidR="006944F8" w:rsidRPr="00656355" w:rsidRDefault="006944F8" w:rsidP="00071381">
            <w:pPr>
              <w:rPr>
                <w:rFonts w:asciiTheme="majorBidi" w:eastAsiaTheme="minorEastAsia" w:hAnsiTheme="majorBidi" w:cstheme="majorBidi"/>
                <w:smallCaps/>
                <w:sz w:val="20"/>
                <w:szCs w:val="24"/>
                <w:highlight w:val="yellow"/>
                <w:lang w:val="en-GB" w:eastAsia="ja-JP"/>
              </w:rPr>
            </w:pPr>
          </w:p>
        </w:tc>
        <w:tc>
          <w:tcPr>
            <w:tcW w:w="4680" w:type="dxa"/>
          </w:tcPr>
          <w:p w14:paraId="7B6F6398" w14:textId="77777777" w:rsidR="006944F8" w:rsidRPr="00754A77" w:rsidRDefault="006944F8" w:rsidP="00071381">
            <w:pPr>
              <w:jc w:val="right"/>
              <w:rPr>
                <w:rFonts w:eastAsiaTheme="minorEastAsia"/>
                <w:b/>
                <w:bCs/>
                <w:sz w:val="28"/>
                <w:szCs w:val="24"/>
                <w:lang w:val="en-GB"/>
              </w:rPr>
            </w:pPr>
            <w:r w:rsidRPr="00754A77">
              <w:rPr>
                <w:rFonts w:eastAsiaTheme="minorEastAsia"/>
                <w:b/>
                <w:bCs/>
                <w:sz w:val="28"/>
                <w:szCs w:val="24"/>
                <w:lang w:val="en-GB"/>
              </w:rPr>
              <w:t>TSAG</w:t>
            </w:r>
          </w:p>
        </w:tc>
      </w:tr>
      <w:tr w:rsidR="006944F8" w:rsidRPr="00754A77" w14:paraId="1623B925" w14:textId="77777777" w:rsidTr="002E2A0B">
        <w:trPr>
          <w:cantSplit/>
        </w:trPr>
        <w:tc>
          <w:tcPr>
            <w:tcW w:w="1190" w:type="dxa"/>
            <w:vMerge/>
            <w:tcBorders>
              <w:bottom w:val="single" w:sz="12" w:space="0" w:color="auto"/>
            </w:tcBorders>
          </w:tcPr>
          <w:p w14:paraId="4785E5C3" w14:textId="77777777" w:rsidR="006944F8" w:rsidRPr="00656355" w:rsidRDefault="006944F8" w:rsidP="00071381">
            <w:pPr>
              <w:rPr>
                <w:rFonts w:asciiTheme="majorBidi" w:eastAsiaTheme="minorEastAsia" w:hAnsiTheme="majorBidi" w:cstheme="majorBidi"/>
                <w:b/>
                <w:bCs/>
                <w:sz w:val="26"/>
                <w:szCs w:val="24"/>
                <w:highlight w:val="yellow"/>
                <w:lang w:val="en-GB" w:eastAsia="ja-JP"/>
              </w:rPr>
            </w:pPr>
          </w:p>
        </w:tc>
        <w:tc>
          <w:tcPr>
            <w:tcW w:w="4053" w:type="dxa"/>
            <w:gridSpan w:val="3"/>
            <w:vMerge/>
            <w:tcBorders>
              <w:bottom w:val="single" w:sz="12" w:space="0" w:color="auto"/>
            </w:tcBorders>
          </w:tcPr>
          <w:p w14:paraId="76CC39A3" w14:textId="77777777" w:rsidR="006944F8" w:rsidRPr="00656355" w:rsidRDefault="006944F8" w:rsidP="00071381">
            <w:pPr>
              <w:rPr>
                <w:rFonts w:asciiTheme="majorBidi" w:eastAsiaTheme="minorEastAsia" w:hAnsiTheme="majorBidi" w:cstheme="majorBidi"/>
                <w:b/>
                <w:bCs/>
                <w:sz w:val="26"/>
                <w:szCs w:val="24"/>
                <w:highlight w:val="yellow"/>
                <w:lang w:val="en-GB" w:eastAsia="ja-JP"/>
              </w:rPr>
            </w:pPr>
          </w:p>
        </w:tc>
        <w:tc>
          <w:tcPr>
            <w:tcW w:w="4680" w:type="dxa"/>
            <w:tcBorders>
              <w:bottom w:val="single" w:sz="12" w:space="0" w:color="auto"/>
            </w:tcBorders>
            <w:vAlign w:val="center"/>
          </w:tcPr>
          <w:p w14:paraId="13CC0D37" w14:textId="77777777" w:rsidR="006944F8" w:rsidRPr="00754A77" w:rsidRDefault="006944F8" w:rsidP="00071381">
            <w:pPr>
              <w:jc w:val="right"/>
              <w:rPr>
                <w:rFonts w:eastAsiaTheme="minorEastAsia"/>
                <w:b/>
                <w:bCs/>
                <w:lang w:val="en-GB"/>
              </w:rPr>
            </w:pPr>
            <w:r w:rsidRPr="00754A77">
              <w:rPr>
                <w:rFonts w:eastAsiaTheme="minorEastAsia"/>
                <w:b/>
                <w:bCs/>
                <w:sz w:val="28"/>
                <w:szCs w:val="24"/>
                <w:lang w:val="en-GB"/>
              </w:rPr>
              <w:t>Original: English</w:t>
            </w:r>
          </w:p>
        </w:tc>
      </w:tr>
      <w:tr w:rsidR="006944F8" w:rsidRPr="00754A77" w14:paraId="214F4F7D" w14:textId="77777777" w:rsidTr="002E2A0B">
        <w:trPr>
          <w:cantSplit/>
        </w:trPr>
        <w:tc>
          <w:tcPr>
            <w:tcW w:w="1616" w:type="dxa"/>
            <w:gridSpan w:val="3"/>
          </w:tcPr>
          <w:p w14:paraId="738282D3" w14:textId="77777777" w:rsidR="006944F8" w:rsidRPr="00754A77" w:rsidRDefault="006944F8" w:rsidP="00071381">
            <w:pPr>
              <w:rPr>
                <w:rFonts w:eastAsiaTheme="minorEastAsia"/>
                <w:b/>
                <w:bCs/>
                <w:lang w:val="en-GB"/>
              </w:rPr>
            </w:pPr>
            <w:r w:rsidRPr="00754A77">
              <w:rPr>
                <w:rFonts w:eastAsiaTheme="minorEastAsia"/>
                <w:b/>
                <w:bCs/>
                <w:lang w:val="en-GB"/>
              </w:rPr>
              <w:t>Question(s):</w:t>
            </w:r>
          </w:p>
        </w:tc>
        <w:tc>
          <w:tcPr>
            <w:tcW w:w="3627" w:type="dxa"/>
          </w:tcPr>
          <w:p w14:paraId="70E1D64E" w14:textId="77777777" w:rsidR="006944F8" w:rsidRPr="00754A77" w:rsidRDefault="006944F8" w:rsidP="00071381">
            <w:pPr>
              <w:rPr>
                <w:rFonts w:eastAsiaTheme="minorEastAsia"/>
                <w:lang w:val="en-GB"/>
              </w:rPr>
            </w:pPr>
            <w:r w:rsidRPr="00754A77">
              <w:rPr>
                <w:rFonts w:eastAsiaTheme="minorEastAsia"/>
                <w:lang w:val="en-GB"/>
              </w:rPr>
              <w:t>N/A</w:t>
            </w:r>
          </w:p>
        </w:tc>
        <w:tc>
          <w:tcPr>
            <w:tcW w:w="4680" w:type="dxa"/>
          </w:tcPr>
          <w:p w14:paraId="22E75FB4" w14:textId="6B98F51F" w:rsidR="006944F8" w:rsidRPr="00754A77" w:rsidRDefault="00D66513" w:rsidP="00AE16FE">
            <w:pPr>
              <w:jc w:val="right"/>
              <w:rPr>
                <w:rFonts w:eastAsiaTheme="minorEastAsia"/>
                <w:lang w:val="en-GB"/>
              </w:rPr>
            </w:pPr>
            <w:r w:rsidRPr="00754A77">
              <w:rPr>
                <w:rFonts w:eastAsiaTheme="minorEastAsia"/>
                <w:lang w:val="en-GB"/>
              </w:rPr>
              <w:t xml:space="preserve">Geneva, </w:t>
            </w:r>
            <w:r w:rsidR="00AE16FE">
              <w:rPr>
                <w:rFonts w:eastAsiaTheme="minorEastAsia"/>
                <w:lang w:val="en-GB"/>
              </w:rPr>
              <w:t>10-14 February</w:t>
            </w:r>
            <w:r w:rsidR="006944F8" w:rsidRPr="00754A77">
              <w:rPr>
                <w:rFonts w:eastAsiaTheme="minorEastAsia"/>
                <w:lang w:val="en-GB"/>
              </w:rPr>
              <w:t xml:space="preserve"> 20</w:t>
            </w:r>
            <w:r w:rsidR="00754A77" w:rsidRPr="00754A77">
              <w:rPr>
                <w:rFonts w:eastAsiaTheme="minorEastAsia"/>
                <w:lang w:val="en-GB"/>
              </w:rPr>
              <w:t>20</w:t>
            </w:r>
          </w:p>
        </w:tc>
      </w:tr>
      <w:tr w:rsidR="006944F8" w:rsidRPr="00754A77" w14:paraId="480C960A" w14:textId="77777777" w:rsidTr="002E2A0B">
        <w:trPr>
          <w:cantSplit/>
        </w:trPr>
        <w:tc>
          <w:tcPr>
            <w:tcW w:w="9923" w:type="dxa"/>
            <w:gridSpan w:val="5"/>
          </w:tcPr>
          <w:p w14:paraId="7AA932BE" w14:textId="77777777" w:rsidR="006944F8" w:rsidRPr="00754A77" w:rsidRDefault="006944F8" w:rsidP="00071381">
            <w:pPr>
              <w:jc w:val="center"/>
              <w:rPr>
                <w:rFonts w:eastAsiaTheme="minorEastAsia"/>
                <w:b/>
                <w:bCs/>
                <w:lang w:val="en-GB"/>
              </w:rPr>
            </w:pPr>
            <w:bookmarkStart w:id="1" w:name="ddoctype" w:colFirst="0" w:colLast="0"/>
            <w:r w:rsidRPr="00754A77">
              <w:rPr>
                <w:rFonts w:eastAsiaTheme="minorEastAsia"/>
                <w:b/>
                <w:bCs/>
                <w:lang w:val="en-GB"/>
              </w:rPr>
              <w:t>TD</w:t>
            </w:r>
          </w:p>
        </w:tc>
      </w:tr>
      <w:bookmarkEnd w:id="1"/>
      <w:tr w:rsidR="006944F8" w:rsidRPr="00754A77" w14:paraId="088F01F1" w14:textId="77777777" w:rsidTr="002E2A0B">
        <w:trPr>
          <w:cantSplit/>
        </w:trPr>
        <w:tc>
          <w:tcPr>
            <w:tcW w:w="1616" w:type="dxa"/>
            <w:gridSpan w:val="3"/>
          </w:tcPr>
          <w:p w14:paraId="25E4D095" w14:textId="22BB844A" w:rsidR="006944F8" w:rsidRPr="00754A77" w:rsidRDefault="006944F8" w:rsidP="001C37A8">
            <w:pPr>
              <w:rPr>
                <w:rFonts w:eastAsiaTheme="minorEastAsia"/>
                <w:b/>
                <w:bCs/>
                <w:lang w:val="en-GB"/>
              </w:rPr>
            </w:pPr>
            <w:r w:rsidRPr="00754A77">
              <w:rPr>
                <w:rFonts w:eastAsiaTheme="minorEastAsia"/>
                <w:b/>
                <w:bCs/>
                <w:lang w:val="en-GB"/>
              </w:rPr>
              <w:t>Source:</w:t>
            </w:r>
          </w:p>
        </w:tc>
        <w:tc>
          <w:tcPr>
            <w:tcW w:w="8307" w:type="dxa"/>
            <w:gridSpan w:val="2"/>
          </w:tcPr>
          <w:p w14:paraId="56229A87" w14:textId="77777777" w:rsidR="006944F8" w:rsidRPr="00754A77" w:rsidRDefault="006944F8" w:rsidP="001C37A8">
            <w:pPr>
              <w:rPr>
                <w:rFonts w:eastAsiaTheme="minorEastAsia"/>
                <w:lang w:val="en-GB"/>
              </w:rPr>
            </w:pPr>
            <w:r w:rsidRPr="00754A77">
              <w:rPr>
                <w:rFonts w:eastAsiaTheme="minorEastAsia"/>
                <w:lang w:val="en-GB"/>
              </w:rPr>
              <w:t>Director, TSB</w:t>
            </w:r>
          </w:p>
        </w:tc>
      </w:tr>
      <w:tr w:rsidR="006944F8" w:rsidRPr="00754A77" w14:paraId="28F240B5" w14:textId="77777777" w:rsidTr="002E2A0B">
        <w:trPr>
          <w:cantSplit/>
        </w:trPr>
        <w:tc>
          <w:tcPr>
            <w:tcW w:w="1616" w:type="dxa"/>
            <w:gridSpan w:val="3"/>
          </w:tcPr>
          <w:p w14:paraId="714A264E" w14:textId="77777777" w:rsidR="006944F8" w:rsidRPr="00754A77" w:rsidRDefault="006944F8" w:rsidP="001C37A8">
            <w:pPr>
              <w:rPr>
                <w:rFonts w:eastAsiaTheme="minorEastAsia"/>
                <w:b/>
                <w:bCs/>
                <w:lang w:val="en-GB"/>
              </w:rPr>
            </w:pPr>
            <w:r w:rsidRPr="00754A77">
              <w:rPr>
                <w:rFonts w:eastAsiaTheme="minorEastAsia"/>
                <w:b/>
                <w:bCs/>
                <w:lang w:val="en-GB"/>
              </w:rPr>
              <w:t>Title:</w:t>
            </w:r>
          </w:p>
        </w:tc>
        <w:tc>
          <w:tcPr>
            <w:tcW w:w="8307" w:type="dxa"/>
            <w:gridSpan w:val="2"/>
          </w:tcPr>
          <w:p w14:paraId="44AC8189" w14:textId="685560A0" w:rsidR="006944F8" w:rsidRPr="00754A77" w:rsidRDefault="006944F8" w:rsidP="00AE16FE">
            <w:pPr>
              <w:rPr>
                <w:rFonts w:eastAsiaTheme="minorEastAsia"/>
                <w:lang w:val="en-GB"/>
              </w:rPr>
            </w:pPr>
            <w:r w:rsidRPr="00754A77">
              <w:rPr>
                <w:lang w:val="en-GB"/>
              </w:rPr>
              <w:t xml:space="preserve">Report of activities in ITU-T (from </w:t>
            </w:r>
            <w:r w:rsidR="00656355" w:rsidRPr="00754A77">
              <w:rPr>
                <w:lang w:val="en-GB"/>
              </w:rPr>
              <w:t>September</w:t>
            </w:r>
            <w:r w:rsidR="009E6FD5" w:rsidRPr="00754A77">
              <w:rPr>
                <w:lang w:val="en-GB"/>
              </w:rPr>
              <w:t xml:space="preserve"> 201</w:t>
            </w:r>
            <w:r w:rsidR="00656355" w:rsidRPr="00754A77">
              <w:rPr>
                <w:lang w:val="en-GB"/>
              </w:rPr>
              <w:t>9</w:t>
            </w:r>
            <w:r w:rsidRPr="00754A77">
              <w:rPr>
                <w:lang w:val="en-GB"/>
              </w:rPr>
              <w:t xml:space="preserve"> to </w:t>
            </w:r>
            <w:r w:rsidR="00AE16FE">
              <w:rPr>
                <w:lang w:val="en-GB"/>
              </w:rPr>
              <w:t>December 2019</w:t>
            </w:r>
            <w:r w:rsidRPr="00754A77">
              <w:rPr>
                <w:lang w:val="en-GB"/>
              </w:rPr>
              <w:t>)</w:t>
            </w:r>
          </w:p>
        </w:tc>
      </w:tr>
      <w:tr w:rsidR="006944F8" w:rsidRPr="00754A77" w14:paraId="2ABF1A67" w14:textId="77777777" w:rsidTr="002E2A0B">
        <w:trPr>
          <w:cantSplit/>
        </w:trPr>
        <w:tc>
          <w:tcPr>
            <w:tcW w:w="1616" w:type="dxa"/>
            <w:gridSpan w:val="3"/>
            <w:tcBorders>
              <w:bottom w:val="single" w:sz="8" w:space="0" w:color="auto"/>
            </w:tcBorders>
          </w:tcPr>
          <w:p w14:paraId="70A934B8" w14:textId="77777777" w:rsidR="006944F8" w:rsidRPr="00754A77" w:rsidRDefault="006944F8" w:rsidP="001C37A8">
            <w:pPr>
              <w:rPr>
                <w:rFonts w:eastAsiaTheme="minorEastAsia"/>
                <w:b/>
                <w:bCs/>
                <w:lang w:val="en-GB"/>
              </w:rPr>
            </w:pPr>
            <w:bookmarkStart w:id="2" w:name="dpurpose" w:colFirst="1" w:colLast="1"/>
            <w:r w:rsidRPr="00754A77">
              <w:rPr>
                <w:rFonts w:eastAsiaTheme="minorEastAsia"/>
                <w:b/>
                <w:bCs/>
                <w:lang w:val="en-GB"/>
              </w:rPr>
              <w:t>Purpose:</w:t>
            </w:r>
          </w:p>
        </w:tc>
        <w:tc>
          <w:tcPr>
            <w:tcW w:w="8307" w:type="dxa"/>
            <w:gridSpan w:val="2"/>
            <w:tcBorders>
              <w:bottom w:val="single" w:sz="8" w:space="0" w:color="auto"/>
            </w:tcBorders>
          </w:tcPr>
          <w:p w14:paraId="2658764C" w14:textId="77777777" w:rsidR="006944F8" w:rsidRPr="00754A77" w:rsidRDefault="006944F8" w:rsidP="001C37A8">
            <w:pPr>
              <w:rPr>
                <w:rFonts w:eastAsiaTheme="minorEastAsia"/>
                <w:lang w:val="en-GB"/>
              </w:rPr>
            </w:pPr>
            <w:r w:rsidRPr="00754A77">
              <w:rPr>
                <w:rFonts w:eastAsiaTheme="minorEastAsia"/>
                <w:lang w:val="en-GB"/>
              </w:rPr>
              <w:t>Information</w:t>
            </w:r>
          </w:p>
        </w:tc>
      </w:tr>
      <w:bookmarkEnd w:id="2"/>
      <w:tr w:rsidR="006944F8" w:rsidRPr="00A1011D" w14:paraId="7D7943CD" w14:textId="77777777" w:rsidTr="002E2A0B">
        <w:trPr>
          <w:cantSplit/>
        </w:trPr>
        <w:tc>
          <w:tcPr>
            <w:tcW w:w="1607" w:type="dxa"/>
            <w:gridSpan w:val="2"/>
            <w:tcBorders>
              <w:top w:val="single" w:sz="8" w:space="0" w:color="auto"/>
              <w:bottom w:val="single" w:sz="8" w:space="0" w:color="auto"/>
            </w:tcBorders>
          </w:tcPr>
          <w:p w14:paraId="00649E44" w14:textId="55F527EA" w:rsidR="006944F8" w:rsidRPr="00754A77" w:rsidRDefault="006944F8" w:rsidP="001C37A8">
            <w:pPr>
              <w:rPr>
                <w:rFonts w:eastAsiaTheme="minorEastAsia"/>
                <w:b/>
                <w:bCs/>
                <w:lang w:val="en-GB"/>
              </w:rPr>
            </w:pPr>
            <w:r w:rsidRPr="00754A77">
              <w:rPr>
                <w:rFonts w:eastAsiaTheme="minorEastAsia"/>
                <w:b/>
                <w:bCs/>
                <w:lang w:val="en-GB"/>
              </w:rPr>
              <w:t>Contact:</w:t>
            </w:r>
          </w:p>
        </w:tc>
        <w:tc>
          <w:tcPr>
            <w:tcW w:w="3636" w:type="dxa"/>
            <w:gridSpan w:val="2"/>
            <w:tcBorders>
              <w:top w:val="single" w:sz="8" w:space="0" w:color="auto"/>
              <w:bottom w:val="single" w:sz="8" w:space="0" w:color="auto"/>
            </w:tcBorders>
          </w:tcPr>
          <w:p w14:paraId="2F1836B3" w14:textId="7A9728E7" w:rsidR="006944F8" w:rsidRPr="00754A77" w:rsidRDefault="006944F8" w:rsidP="001C37A8">
            <w:pPr>
              <w:rPr>
                <w:rFonts w:eastAsiaTheme="minorEastAsia"/>
                <w:lang w:val="en-GB"/>
              </w:rPr>
            </w:pPr>
            <w:r w:rsidRPr="00754A77">
              <w:rPr>
                <w:rFonts w:eastAsiaTheme="minorEastAsia"/>
                <w:lang w:val="en-GB"/>
              </w:rPr>
              <w:t>TSB</w:t>
            </w:r>
          </w:p>
        </w:tc>
        <w:tc>
          <w:tcPr>
            <w:tcW w:w="4680" w:type="dxa"/>
            <w:tcBorders>
              <w:top w:val="single" w:sz="8" w:space="0" w:color="auto"/>
              <w:bottom w:val="single" w:sz="8" w:space="0" w:color="auto"/>
            </w:tcBorders>
          </w:tcPr>
          <w:p w14:paraId="4EF73A02" w14:textId="77777777" w:rsidR="006944F8" w:rsidRPr="007F20DF" w:rsidRDefault="006944F8" w:rsidP="001C37A8">
            <w:pPr>
              <w:rPr>
                <w:rFonts w:eastAsiaTheme="minorEastAsia"/>
                <w:lang w:val="it-IT"/>
              </w:rPr>
            </w:pPr>
            <w:r w:rsidRPr="007F20DF">
              <w:rPr>
                <w:rFonts w:eastAsiaTheme="minorEastAsia"/>
                <w:lang w:val="it-IT"/>
              </w:rPr>
              <w:t xml:space="preserve">E-mail: </w:t>
            </w:r>
            <w:r w:rsidR="00F60C99">
              <w:fldChar w:fldCharType="begin"/>
            </w:r>
            <w:r w:rsidR="00F60C99" w:rsidRPr="00A1011D">
              <w:rPr>
                <w:lang w:val="fr-FR"/>
              </w:rPr>
              <w:instrText xml:space="preserve"> HYPERLINK "mailto:tsbtsag@itu.int" </w:instrText>
            </w:r>
            <w:r w:rsidR="00F60C99">
              <w:fldChar w:fldCharType="separate"/>
            </w:r>
            <w:r w:rsidRPr="007F20DF">
              <w:rPr>
                <w:rStyle w:val="Hyperlink"/>
                <w:rFonts w:eastAsiaTheme="minorEastAsia"/>
                <w:lang w:val="it-IT"/>
              </w:rPr>
              <w:t>tsbtsag@itu.int</w:t>
            </w:r>
            <w:r w:rsidR="00F60C99">
              <w:rPr>
                <w:rStyle w:val="Hyperlink"/>
                <w:rFonts w:eastAsiaTheme="minorEastAsia"/>
                <w:lang w:val="it-IT"/>
              </w:rPr>
              <w:fldChar w:fldCharType="end"/>
            </w:r>
          </w:p>
        </w:tc>
      </w:tr>
    </w:tbl>
    <w:p w14:paraId="302B10F3" w14:textId="77777777" w:rsidR="006944F8" w:rsidRPr="007F20DF" w:rsidRDefault="006944F8" w:rsidP="006944F8">
      <w:pPr>
        <w:rPr>
          <w:lang w:val="it-IT"/>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6944F8" w:rsidRPr="00754A77" w14:paraId="2AEC0594" w14:textId="77777777" w:rsidTr="0075799C">
        <w:trPr>
          <w:cantSplit/>
        </w:trPr>
        <w:tc>
          <w:tcPr>
            <w:tcW w:w="1607" w:type="dxa"/>
          </w:tcPr>
          <w:p w14:paraId="7F360F51" w14:textId="77777777" w:rsidR="006944F8" w:rsidRPr="00754A77" w:rsidRDefault="006944F8" w:rsidP="00071381">
            <w:pPr>
              <w:rPr>
                <w:rFonts w:eastAsiaTheme="minorEastAsia"/>
                <w:b/>
                <w:bCs/>
                <w:lang w:val="en-GB"/>
              </w:rPr>
            </w:pPr>
            <w:r w:rsidRPr="00754A77">
              <w:rPr>
                <w:rFonts w:eastAsiaTheme="minorEastAsia"/>
                <w:b/>
                <w:bCs/>
                <w:lang w:val="en-GB"/>
              </w:rPr>
              <w:t>Keywords:</w:t>
            </w:r>
          </w:p>
        </w:tc>
        <w:tc>
          <w:tcPr>
            <w:tcW w:w="8316" w:type="dxa"/>
          </w:tcPr>
          <w:p w14:paraId="57F69CD9" w14:textId="57167C0A" w:rsidR="00F67D36" w:rsidRPr="00F67D36" w:rsidRDefault="006944F8" w:rsidP="00F60C99">
            <w:pPr>
              <w:rPr>
                <w:rFonts w:eastAsiaTheme="minorEastAsia"/>
                <w:lang w:val="en-GB"/>
              </w:rPr>
            </w:pPr>
            <w:r w:rsidRPr="00754A77">
              <w:rPr>
                <w:lang w:val="en-GB"/>
              </w:rPr>
              <w:t xml:space="preserve">Standardization; </w:t>
            </w:r>
            <w:r w:rsidR="00F1765F">
              <w:rPr>
                <w:lang w:val="en-GB"/>
              </w:rPr>
              <w:t>SG</w:t>
            </w:r>
            <w:r w:rsidRPr="00754A77">
              <w:rPr>
                <w:lang w:val="en-GB"/>
              </w:rPr>
              <w:t>s; activity report; key results</w:t>
            </w:r>
            <w:r w:rsidR="0075799C" w:rsidRPr="00754A77">
              <w:rPr>
                <w:lang w:val="en-GB"/>
              </w:rPr>
              <w:t>;</w:t>
            </w:r>
          </w:p>
        </w:tc>
      </w:tr>
      <w:tr w:rsidR="006944F8" w:rsidRPr="00656355" w14:paraId="109E832D" w14:textId="77777777" w:rsidTr="0075799C">
        <w:trPr>
          <w:cantSplit/>
        </w:trPr>
        <w:tc>
          <w:tcPr>
            <w:tcW w:w="1607" w:type="dxa"/>
          </w:tcPr>
          <w:p w14:paraId="3B9EC2F3" w14:textId="77777777" w:rsidR="006944F8" w:rsidRPr="00754A77" w:rsidRDefault="006944F8" w:rsidP="00071381">
            <w:pPr>
              <w:rPr>
                <w:rFonts w:eastAsiaTheme="minorEastAsia"/>
                <w:b/>
                <w:bCs/>
                <w:lang w:val="en-GB"/>
              </w:rPr>
            </w:pPr>
            <w:r w:rsidRPr="00754A77">
              <w:rPr>
                <w:rFonts w:eastAsiaTheme="minorEastAsia"/>
                <w:b/>
                <w:bCs/>
                <w:lang w:val="en-GB"/>
              </w:rPr>
              <w:t>Abstract:</w:t>
            </w:r>
          </w:p>
        </w:tc>
        <w:sdt>
          <w:sdtPr>
            <w:rPr>
              <w:lang w:val="en-GB"/>
            </w:rPr>
            <w:alias w:val="Abstract"/>
            <w:tag w:val="Abstract"/>
            <w:id w:val="1199126545"/>
            <w:placeholder>
              <w:docPart w:val="D8CDF8EEC9E544E4A846316D4B10F5E5"/>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316" w:type="dxa"/>
              </w:tcPr>
              <w:p w14:paraId="54A9C95B" w14:textId="4EC33166" w:rsidR="00F67D36" w:rsidRPr="00F60C99" w:rsidRDefault="0037553F" w:rsidP="00F60C99">
                <w:pPr>
                  <w:rPr>
                    <w:lang w:val="en-GB"/>
                  </w:rPr>
                </w:pPr>
                <w:r w:rsidRPr="00754A77" w:rsidDel="0033393D">
                  <w:rPr>
                    <w:lang w:val="en-GB"/>
                  </w:rPr>
                  <w:t xml:space="preserve">This report </w:t>
                </w:r>
                <w:r w:rsidRPr="00754A77">
                  <w:rPr>
                    <w:lang w:val="en-GB"/>
                  </w:rPr>
                  <w:t xml:space="preserve">summarizes progress achieved </w:t>
                </w:r>
                <w:r w:rsidRPr="00754A77" w:rsidDel="0033393D">
                  <w:rPr>
                    <w:lang w:val="en-GB"/>
                  </w:rPr>
                  <w:t xml:space="preserve">ITU-T standardization from </w:t>
                </w:r>
                <w:r w:rsidR="00754A77" w:rsidRPr="00754A77">
                  <w:rPr>
                    <w:lang w:val="en-GB"/>
                  </w:rPr>
                  <w:t xml:space="preserve">September </w:t>
                </w:r>
                <w:r w:rsidRPr="00754A77" w:rsidDel="0033393D">
                  <w:rPr>
                    <w:lang w:val="en-GB"/>
                  </w:rPr>
                  <w:t xml:space="preserve">to </w:t>
                </w:r>
                <w:r w:rsidR="00AE16FE">
                  <w:rPr>
                    <w:lang w:val="en-GB"/>
                  </w:rPr>
                  <w:t>December</w:t>
                </w:r>
                <w:r w:rsidR="00754A77" w:rsidRPr="00754A77">
                  <w:rPr>
                    <w:lang w:val="en-GB"/>
                  </w:rPr>
                  <w:t xml:space="preserve"> 20</w:t>
                </w:r>
                <w:r w:rsidR="00AE16FE">
                  <w:rPr>
                    <w:lang w:val="en-GB"/>
                  </w:rPr>
                  <w:t>19</w:t>
                </w:r>
                <w:r w:rsidRPr="00754A77" w:rsidDel="0033393D">
                  <w:rPr>
                    <w:lang w:val="en-GB"/>
                  </w:rPr>
                  <w:t>, as well as measures taken by TSB to enhance the ITU-T standardization platform.</w:t>
                </w:r>
              </w:p>
            </w:tc>
          </w:sdtContent>
        </w:sdt>
      </w:tr>
    </w:tbl>
    <w:p w14:paraId="2376609A" w14:textId="6570D04C" w:rsidR="006944F8" w:rsidRPr="00AF01F0" w:rsidRDefault="006944F8" w:rsidP="006944F8">
      <w:pPr>
        <w:pageBreakBefore/>
        <w:jc w:val="center"/>
        <w:rPr>
          <w:lang w:val="en-GB"/>
        </w:rPr>
      </w:pPr>
      <w:r w:rsidRPr="00AF01F0">
        <w:rPr>
          <w:lang w:val="en-GB"/>
        </w:rPr>
        <w:lastRenderedPageBreak/>
        <w:t>CONTENTS</w:t>
      </w:r>
    </w:p>
    <w:p w14:paraId="0F64C88B" w14:textId="77777777" w:rsidR="006944F8" w:rsidRPr="00AF01F0" w:rsidRDefault="006944F8" w:rsidP="006944F8">
      <w:pPr>
        <w:ind w:right="567"/>
        <w:jc w:val="right"/>
        <w:rPr>
          <w:lang w:val="en-GB"/>
        </w:rPr>
      </w:pPr>
      <w:r w:rsidRPr="00AF01F0">
        <w:rPr>
          <w:lang w:val="en-GB"/>
        </w:rPr>
        <w:t>Page</w:t>
      </w:r>
    </w:p>
    <w:p w14:paraId="1E013BF4" w14:textId="19DEE171" w:rsidR="004E744E" w:rsidRDefault="006944F8">
      <w:pPr>
        <w:pStyle w:val="TOC1"/>
        <w:rPr>
          <w:rFonts w:asciiTheme="minorHAnsi" w:eastAsiaTheme="minorEastAsia" w:hAnsiTheme="minorHAnsi" w:cstheme="minorBidi"/>
          <w:noProof/>
          <w:sz w:val="22"/>
          <w:szCs w:val="22"/>
          <w:lang w:val="fr-CH" w:eastAsia="fr-CH"/>
        </w:rPr>
      </w:pPr>
      <w:r w:rsidRPr="00656355">
        <w:rPr>
          <w:rFonts w:asciiTheme="majorBidi" w:eastAsia="Malgun Gothic" w:hAnsiTheme="majorBidi" w:cstheme="majorBidi"/>
          <w:highlight w:val="yellow"/>
          <w:lang w:val="en-GB" w:eastAsia="ko-KR"/>
        </w:rPr>
        <w:fldChar w:fldCharType="begin"/>
      </w:r>
      <w:r w:rsidRPr="00656355">
        <w:rPr>
          <w:rFonts w:asciiTheme="majorBidi" w:eastAsia="Malgun Gothic" w:hAnsiTheme="majorBidi" w:cstheme="majorBidi"/>
          <w:highlight w:val="yellow"/>
          <w:lang w:val="en-GB" w:eastAsia="ko-KR"/>
        </w:rPr>
        <w:instrText xml:space="preserve"> TOC \o "1-2" \h \z \t "Heading 1,1,Annex_No &amp; title,1,Appendix_No &amp; title,1,Heading 1 Centered,1" </w:instrText>
      </w:r>
      <w:r w:rsidRPr="00656355">
        <w:rPr>
          <w:rFonts w:asciiTheme="majorBidi" w:eastAsia="Malgun Gothic" w:hAnsiTheme="majorBidi" w:cstheme="majorBidi"/>
          <w:highlight w:val="yellow"/>
          <w:lang w:val="en-GB" w:eastAsia="ko-KR"/>
        </w:rPr>
        <w:fldChar w:fldCharType="separate"/>
      </w:r>
      <w:hyperlink w:anchor="_Toc31967138" w:history="1">
        <w:r w:rsidR="004E744E" w:rsidRPr="00A4065F">
          <w:rPr>
            <w:rStyle w:val="Hyperlink"/>
            <w:rFonts w:asciiTheme="majorBidi" w:hAnsiTheme="majorBidi" w:cstheme="majorBidi"/>
            <w:noProof/>
            <w:lang w:val="fr-CH"/>
          </w:rPr>
          <w:t>Résumé analytique</w:t>
        </w:r>
        <w:r w:rsidR="004E744E">
          <w:rPr>
            <w:noProof/>
            <w:webHidden/>
          </w:rPr>
          <w:tab/>
        </w:r>
        <w:r w:rsidR="004E744E">
          <w:rPr>
            <w:noProof/>
            <w:webHidden/>
          </w:rPr>
          <w:fldChar w:fldCharType="begin"/>
        </w:r>
        <w:r w:rsidR="004E744E">
          <w:rPr>
            <w:noProof/>
            <w:webHidden/>
          </w:rPr>
          <w:instrText xml:space="preserve"> PAGEREF _Toc31967138 \h </w:instrText>
        </w:r>
        <w:r w:rsidR="004E744E">
          <w:rPr>
            <w:noProof/>
            <w:webHidden/>
          </w:rPr>
        </w:r>
        <w:r w:rsidR="004E744E">
          <w:rPr>
            <w:noProof/>
            <w:webHidden/>
          </w:rPr>
          <w:fldChar w:fldCharType="separate"/>
        </w:r>
        <w:r w:rsidR="004E744E">
          <w:rPr>
            <w:noProof/>
            <w:webHidden/>
          </w:rPr>
          <w:t>4</w:t>
        </w:r>
        <w:r w:rsidR="004E744E">
          <w:rPr>
            <w:noProof/>
            <w:webHidden/>
          </w:rPr>
          <w:fldChar w:fldCharType="end"/>
        </w:r>
      </w:hyperlink>
    </w:p>
    <w:p w14:paraId="3065BB23" w14:textId="1A858E31" w:rsidR="004E744E" w:rsidRDefault="00F60C99">
      <w:pPr>
        <w:pStyle w:val="TOC1"/>
        <w:rPr>
          <w:rFonts w:asciiTheme="minorHAnsi" w:eastAsiaTheme="minorEastAsia" w:hAnsiTheme="minorHAnsi" w:cstheme="minorBidi"/>
          <w:noProof/>
          <w:sz w:val="22"/>
          <w:szCs w:val="22"/>
          <w:lang w:val="fr-CH" w:eastAsia="fr-CH"/>
        </w:rPr>
      </w:pPr>
      <w:hyperlink w:anchor="_Toc31967139" w:history="1">
        <w:r w:rsidR="004E744E" w:rsidRPr="00A4065F">
          <w:rPr>
            <w:rStyle w:val="Hyperlink"/>
            <w:bCs/>
            <w:noProof/>
          </w:rPr>
          <w:t>Annex – Full Report of activities in ITU-T (from September 2019 to December 2019)</w:t>
        </w:r>
        <w:r w:rsidR="004E744E">
          <w:rPr>
            <w:noProof/>
            <w:webHidden/>
          </w:rPr>
          <w:tab/>
        </w:r>
        <w:r w:rsidR="004E744E">
          <w:rPr>
            <w:noProof/>
            <w:webHidden/>
          </w:rPr>
          <w:fldChar w:fldCharType="begin"/>
        </w:r>
        <w:r w:rsidR="004E744E">
          <w:rPr>
            <w:noProof/>
            <w:webHidden/>
          </w:rPr>
          <w:instrText xml:space="preserve"> PAGEREF _Toc31967139 \h </w:instrText>
        </w:r>
        <w:r w:rsidR="004E744E">
          <w:rPr>
            <w:noProof/>
            <w:webHidden/>
          </w:rPr>
        </w:r>
        <w:r w:rsidR="004E744E">
          <w:rPr>
            <w:noProof/>
            <w:webHidden/>
          </w:rPr>
          <w:fldChar w:fldCharType="separate"/>
        </w:r>
        <w:r w:rsidR="004E744E">
          <w:rPr>
            <w:noProof/>
            <w:webHidden/>
          </w:rPr>
          <w:t>8</w:t>
        </w:r>
        <w:r w:rsidR="004E744E">
          <w:rPr>
            <w:noProof/>
            <w:webHidden/>
          </w:rPr>
          <w:fldChar w:fldCharType="end"/>
        </w:r>
      </w:hyperlink>
    </w:p>
    <w:p w14:paraId="49C8E9BB" w14:textId="7CD66F7A" w:rsidR="004E744E" w:rsidRDefault="00F60C99">
      <w:pPr>
        <w:pStyle w:val="TOC1"/>
        <w:rPr>
          <w:rFonts w:asciiTheme="minorHAnsi" w:eastAsiaTheme="minorEastAsia" w:hAnsiTheme="minorHAnsi" w:cstheme="minorBidi"/>
          <w:noProof/>
          <w:sz w:val="22"/>
          <w:szCs w:val="22"/>
          <w:lang w:val="fr-CH" w:eastAsia="fr-CH"/>
        </w:rPr>
      </w:pPr>
      <w:hyperlink w:anchor="_Toc31967140" w:history="1">
        <w:r w:rsidR="004E744E" w:rsidRPr="00A4065F">
          <w:rPr>
            <w:rStyle w:val="Hyperlink"/>
            <w:noProof/>
          </w:rPr>
          <w:t>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Selection of achievements in ITU-T standardization</w:t>
        </w:r>
        <w:r w:rsidR="004E744E">
          <w:rPr>
            <w:noProof/>
            <w:webHidden/>
          </w:rPr>
          <w:tab/>
        </w:r>
        <w:r w:rsidR="004E744E">
          <w:rPr>
            <w:noProof/>
            <w:webHidden/>
          </w:rPr>
          <w:fldChar w:fldCharType="begin"/>
        </w:r>
        <w:r w:rsidR="004E744E">
          <w:rPr>
            <w:noProof/>
            <w:webHidden/>
          </w:rPr>
          <w:instrText xml:space="preserve"> PAGEREF _Toc31967140 \h </w:instrText>
        </w:r>
        <w:r w:rsidR="004E744E">
          <w:rPr>
            <w:noProof/>
            <w:webHidden/>
          </w:rPr>
        </w:r>
        <w:r w:rsidR="004E744E">
          <w:rPr>
            <w:noProof/>
            <w:webHidden/>
          </w:rPr>
          <w:fldChar w:fldCharType="separate"/>
        </w:r>
        <w:r w:rsidR="004E744E">
          <w:rPr>
            <w:noProof/>
            <w:webHidden/>
          </w:rPr>
          <w:t>8</w:t>
        </w:r>
        <w:r w:rsidR="004E744E">
          <w:rPr>
            <w:noProof/>
            <w:webHidden/>
          </w:rPr>
          <w:fldChar w:fldCharType="end"/>
        </w:r>
      </w:hyperlink>
    </w:p>
    <w:p w14:paraId="3BBB97BB" w14:textId="28DC9500" w:rsidR="004E744E" w:rsidRDefault="00F60C99">
      <w:pPr>
        <w:pStyle w:val="TOC1"/>
        <w:rPr>
          <w:rFonts w:asciiTheme="minorHAnsi" w:eastAsiaTheme="minorEastAsia" w:hAnsiTheme="minorHAnsi" w:cstheme="minorBidi"/>
          <w:noProof/>
          <w:sz w:val="22"/>
          <w:szCs w:val="22"/>
          <w:lang w:val="fr-CH" w:eastAsia="fr-CH"/>
        </w:rPr>
      </w:pPr>
      <w:hyperlink w:anchor="_Toc31967141" w:history="1">
        <w:r w:rsidR="004E744E" w:rsidRPr="00A4065F">
          <w:rPr>
            <w:rStyle w:val="Hyperlink"/>
            <w:noProof/>
          </w:rPr>
          <w:t>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Conformity, interoperability and testing</w:t>
        </w:r>
        <w:r w:rsidR="004E744E">
          <w:rPr>
            <w:noProof/>
            <w:webHidden/>
          </w:rPr>
          <w:tab/>
        </w:r>
        <w:r w:rsidR="004E744E">
          <w:rPr>
            <w:noProof/>
            <w:webHidden/>
          </w:rPr>
          <w:fldChar w:fldCharType="begin"/>
        </w:r>
        <w:r w:rsidR="004E744E">
          <w:rPr>
            <w:noProof/>
            <w:webHidden/>
          </w:rPr>
          <w:instrText xml:space="preserve"> PAGEREF _Toc31967141 \h </w:instrText>
        </w:r>
        <w:r w:rsidR="004E744E">
          <w:rPr>
            <w:noProof/>
            <w:webHidden/>
          </w:rPr>
        </w:r>
        <w:r w:rsidR="004E744E">
          <w:rPr>
            <w:noProof/>
            <w:webHidden/>
          </w:rPr>
          <w:fldChar w:fldCharType="separate"/>
        </w:r>
        <w:r w:rsidR="004E744E">
          <w:rPr>
            <w:noProof/>
            <w:webHidden/>
          </w:rPr>
          <w:t>9</w:t>
        </w:r>
        <w:r w:rsidR="004E744E">
          <w:rPr>
            <w:noProof/>
            <w:webHidden/>
          </w:rPr>
          <w:fldChar w:fldCharType="end"/>
        </w:r>
      </w:hyperlink>
    </w:p>
    <w:p w14:paraId="26B8B0E2" w14:textId="75BE67A8" w:rsidR="004E744E" w:rsidRDefault="00F60C99">
      <w:pPr>
        <w:pStyle w:val="TOC2"/>
        <w:rPr>
          <w:rFonts w:asciiTheme="minorHAnsi" w:eastAsiaTheme="minorEastAsia" w:hAnsiTheme="minorHAnsi" w:cstheme="minorBidi"/>
          <w:noProof/>
          <w:sz w:val="22"/>
          <w:szCs w:val="22"/>
          <w:lang w:val="fr-CH" w:eastAsia="fr-CH"/>
        </w:rPr>
      </w:pPr>
      <w:hyperlink w:anchor="_Toc31967142" w:history="1">
        <w:r w:rsidR="004E744E" w:rsidRPr="00A4065F">
          <w:rPr>
            <w:rStyle w:val="Hyperlink"/>
            <w:noProof/>
          </w:rPr>
          <w:t>2.1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Conformity Assessment Steering Committee (CASC)</w:t>
        </w:r>
        <w:r w:rsidR="004E744E">
          <w:rPr>
            <w:noProof/>
            <w:webHidden/>
          </w:rPr>
          <w:tab/>
        </w:r>
        <w:r w:rsidR="004E744E">
          <w:rPr>
            <w:noProof/>
            <w:webHidden/>
          </w:rPr>
          <w:fldChar w:fldCharType="begin"/>
        </w:r>
        <w:r w:rsidR="004E744E">
          <w:rPr>
            <w:noProof/>
            <w:webHidden/>
          </w:rPr>
          <w:instrText xml:space="preserve"> PAGEREF _Toc31967142 \h </w:instrText>
        </w:r>
        <w:r w:rsidR="004E744E">
          <w:rPr>
            <w:noProof/>
            <w:webHidden/>
          </w:rPr>
        </w:r>
        <w:r w:rsidR="004E744E">
          <w:rPr>
            <w:noProof/>
            <w:webHidden/>
          </w:rPr>
          <w:fldChar w:fldCharType="separate"/>
        </w:r>
        <w:r w:rsidR="004E744E">
          <w:rPr>
            <w:noProof/>
            <w:webHidden/>
          </w:rPr>
          <w:t>9</w:t>
        </w:r>
        <w:r w:rsidR="004E744E">
          <w:rPr>
            <w:noProof/>
            <w:webHidden/>
          </w:rPr>
          <w:fldChar w:fldCharType="end"/>
        </w:r>
      </w:hyperlink>
    </w:p>
    <w:p w14:paraId="1666A0AD" w14:textId="6E375083" w:rsidR="004E744E" w:rsidRDefault="00F60C99">
      <w:pPr>
        <w:pStyle w:val="TOC2"/>
        <w:rPr>
          <w:rFonts w:asciiTheme="minorHAnsi" w:eastAsiaTheme="minorEastAsia" w:hAnsiTheme="minorHAnsi" w:cstheme="minorBidi"/>
          <w:noProof/>
          <w:sz w:val="22"/>
          <w:szCs w:val="22"/>
          <w:lang w:val="fr-CH" w:eastAsia="fr-CH"/>
        </w:rPr>
      </w:pPr>
      <w:hyperlink w:anchor="_Toc31967143" w:history="1">
        <w:r w:rsidR="004E744E" w:rsidRPr="00A4065F">
          <w:rPr>
            <w:rStyle w:val="Hyperlink"/>
            <w:noProof/>
          </w:rPr>
          <w:t>2.2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ICT product conformity database</w:t>
        </w:r>
        <w:r w:rsidR="004E744E">
          <w:rPr>
            <w:noProof/>
            <w:webHidden/>
          </w:rPr>
          <w:tab/>
        </w:r>
        <w:r w:rsidR="004E744E">
          <w:rPr>
            <w:noProof/>
            <w:webHidden/>
          </w:rPr>
          <w:fldChar w:fldCharType="begin"/>
        </w:r>
        <w:r w:rsidR="004E744E">
          <w:rPr>
            <w:noProof/>
            <w:webHidden/>
          </w:rPr>
          <w:instrText xml:space="preserve"> PAGEREF _Toc31967143 \h </w:instrText>
        </w:r>
        <w:r w:rsidR="004E744E">
          <w:rPr>
            <w:noProof/>
            <w:webHidden/>
          </w:rPr>
        </w:r>
        <w:r w:rsidR="004E744E">
          <w:rPr>
            <w:noProof/>
            <w:webHidden/>
          </w:rPr>
          <w:fldChar w:fldCharType="separate"/>
        </w:r>
        <w:r w:rsidR="004E744E">
          <w:rPr>
            <w:noProof/>
            <w:webHidden/>
          </w:rPr>
          <w:t>10</w:t>
        </w:r>
        <w:r w:rsidR="004E744E">
          <w:rPr>
            <w:noProof/>
            <w:webHidden/>
          </w:rPr>
          <w:fldChar w:fldCharType="end"/>
        </w:r>
      </w:hyperlink>
    </w:p>
    <w:p w14:paraId="7A2EC6C4" w14:textId="265E0B61" w:rsidR="004E744E" w:rsidRDefault="00F60C99">
      <w:pPr>
        <w:pStyle w:val="TOC1"/>
        <w:rPr>
          <w:rFonts w:asciiTheme="minorHAnsi" w:eastAsiaTheme="minorEastAsia" w:hAnsiTheme="minorHAnsi" w:cstheme="minorBidi"/>
          <w:noProof/>
          <w:sz w:val="22"/>
          <w:szCs w:val="22"/>
          <w:lang w:val="fr-CH" w:eastAsia="fr-CH"/>
        </w:rPr>
      </w:pPr>
      <w:hyperlink w:anchor="_Toc31967144" w:history="1">
        <w:r w:rsidR="004E744E" w:rsidRPr="00A4065F">
          <w:rPr>
            <w:rStyle w:val="Hyperlink"/>
            <w:noProof/>
          </w:rPr>
          <w:t>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Accessible ITU-T meetings</w:t>
        </w:r>
        <w:r w:rsidR="004E744E">
          <w:rPr>
            <w:noProof/>
            <w:webHidden/>
          </w:rPr>
          <w:tab/>
        </w:r>
        <w:r w:rsidR="004E744E">
          <w:rPr>
            <w:noProof/>
            <w:webHidden/>
          </w:rPr>
          <w:fldChar w:fldCharType="begin"/>
        </w:r>
        <w:r w:rsidR="004E744E">
          <w:rPr>
            <w:noProof/>
            <w:webHidden/>
          </w:rPr>
          <w:instrText xml:space="preserve"> PAGEREF _Toc31967144 \h </w:instrText>
        </w:r>
        <w:r w:rsidR="004E744E">
          <w:rPr>
            <w:noProof/>
            <w:webHidden/>
          </w:rPr>
        </w:r>
        <w:r w:rsidR="004E744E">
          <w:rPr>
            <w:noProof/>
            <w:webHidden/>
          </w:rPr>
          <w:fldChar w:fldCharType="separate"/>
        </w:r>
        <w:r w:rsidR="004E744E">
          <w:rPr>
            <w:noProof/>
            <w:webHidden/>
          </w:rPr>
          <w:t>10</w:t>
        </w:r>
        <w:r w:rsidR="004E744E">
          <w:rPr>
            <w:noProof/>
            <w:webHidden/>
          </w:rPr>
          <w:fldChar w:fldCharType="end"/>
        </w:r>
      </w:hyperlink>
    </w:p>
    <w:p w14:paraId="6F8C36B3" w14:textId="45CB0FF1" w:rsidR="004E744E" w:rsidRDefault="00F60C99">
      <w:pPr>
        <w:pStyle w:val="TOC1"/>
        <w:rPr>
          <w:rFonts w:asciiTheme="minorHAnsi" w:eastAsiaTheme="minorEastAsia" w:hAnsiTheme="minorHAnsi" w:cstheme="minorBidi"/>
          <w:noProof/>
          <w:sz w:val="22"/>
          <w:szCs w:val="22"/>
          <w:lang w:val="fr-CH" w:eastAsia="fr-CH"/>
        </w:rPr>
      </w:pPr>
      <w:hyperlink w:anchor="_Toc31967145" w:history="1">
        <w:r w:rsidR="004E744E" w:rsidRPr="00A4065F">
          <w:rPr>
            <w:rStyle w:val="Hyperlink"/>
            <w:noProof/>
          </w:rPr>
          <w:t>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Intellectual property rights</w:t>
        </w:r>
        <w:r w:rsidR="004E744E">
          <w:rPr>
            <w:noProof/>
            <w:webHidden/>
          </w:rPr>
          <w:tab/>
        </w:r>
        <w:r w:rsidR="004E744E">
          <w:rPr>
            <w:noProof/>
            <w:webHidden/>
          </w:rPr>
          <w:fldChar w:fldCharType="begin"/>
        </w:r>
        <w:r w:rsidR="004E744E">
          <w:rPr>
            <w:noProof/>
            <w:webHidden/>
          </w:rPr>
          <w:instrText xml:space="preserve"> PAGEREF _Toc31967145 \h </w:instrText>
        </w:r>
        <w:r w:rsidR="004E744E">
          <w:rPr>
            <w:noProof/>
            <w:webHidden/>
          </w:rPr>
        </w:r>
        <w:r w:rsidR="004E744E">
          <w:rPr>
            <w:noProof/>
            <w:webHidden/>
          </w:rPr>
          <w:fldChar w:fldCharType="separate"/>
        </w:r>
        <w:r w:rsidR="004E744E">
          <w:rPr>
            <w:noProof/>
            <w:webHidden/>
          </w:rPr>
          <w:t>10</w:t>
        </w:r>
        <w:r w:rsidR="004E744E">
          <w:rPr>
            <w:noProof/>
            <w:webHidden/>
          </w:rPr>
          <w:fldChar w:fldCharType="end"/>
        </w:r>
      </w:hyperlink>
    </w:p>
    <w:p w14:paraId="711B67A3" w14:textId="4434E0F9" w:rsidR="004E744E" w:rsidRDefault="00F60C99">
      <w:pPr>
        <w:pStyle w:val="TOC1"/>
        <w:rPr>
          <w:rFonts w:asciiTheme="minorHAnsi" w:eastAsiaTheme="minorEastAsia" w:hAnsiTheme="minorHAnsi" w:cstheme="minorBidi"/>
          <w:noProof/>
          <w:sz w:val="22"/>
          <w:szCs w:val="22"/>
          <w:lang w:val="fr-CH" w:eastAsia="fr-CH"/>
        </w:rPr>
      </w:pPr>
      <w:hyperlink w:anchor="_Toc31967146" w:history="1">
        <w:r w:rsidR="004E744E" w:rsidRPr="00A4065F">
          <w:rPr>
            <w:rStyle w:val="Hyperlink"/>
            <w:noProof/>
          </w:rPr>
          <w:t>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Focus Groups: Exploring new directions in ITU standardization</w:t>
        </w:r>
        <w:r w:rsidR="004E744E">
          <w:rPr>
            <w:noProof/>
            <w:webHidden/>
          </w:rPr>
          <w:tab/>
        </w:r>
        <w:r w:rsidR="004E744E">
          <w:rPr>
            <w:noProof/>
            <w:webHidden/>
          </w:rPr>
          <w:fldChar w:fldCharType="begin"/>
        </w:r>
        <w:r w:rsidR="004E744E">
          <w:rPr>
            <w:noProof/>
            <w:webHidden/>
          </w:rPr>
          <w:instrText xml:space="preserve"> PAGEREF _Toc31967146 \h </w:instrText>
        </w:r>
        <w:r w:rsidR="004E744E">
          <w:rPr>
            <w:noProof/>
            <w:webHidden/>
          </w:rPr>
        </w:r>
        <w:r w:rsidR="004E744E">
          <w:rPr>
            <w:noProof/>
            <w:webHidden/>
          </w:rPr>
          <w:fldChar w:fldCharType="separate"/>
        </w:r>
        <w:r w:rsidR="004E744E">
          <w:rPr>
            <w:noProof/>
            <w:webHidden/>
          </w:rPr>
          <w:t>11</w:t>
        </w:r>
        <w:r w:rsidR="004E744E">
          <w:rPr>
            <w:noProof/>
            <w:webHidden/>
          </w:rPr>
          <w:fldChar w:fldCharType="end"/>
        </w:r>
      </w:hyperlink>
    </w:p>
    <w:p w14:paraId="4363C6BC" w14:textId="4D6F37EE" w:rsidR="004E744E" w:rsidRDefault="00F60C99">
      <w:pPr>
        <w:pStyle w:val="TOC2"/>
        <w:rPr>
          <w:rFonts w:asciiTheme="minorHAnsi" w:eastAsiaTheme="minorEastAsia" w:hAnsiTheme="minorHAnsi" w:cstheme="minorBidi"/>
          <w:noProof/>
          <w:sz w:val="22"/>
          <w:szCs w:val="22"/>
          <w:lang w:val="fr-CH" w:eastAsia="fr-CH"/>
        </w:rPr>
      </w:pPr>
      <w:hyperlink w:anchor="_Toc31967147" w:history="1">
        <w:r w:rsidR="004E744E" w:rsidRPr="00A4065F">
          <w:rPr>
            <w:rStyle w:val="Hyperlink"/>
            <w:noProof/>
          </w:rPr>
          <w:t>5.1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Quantum Information Technologies for Networks</w:t>
        </w:r>
        <w:r w:rsidR="004E744E">
          <w:rPr>
            <w:noProof/>
            <w:webHidden/>
          </w:rPr>
          <w:tab/>
        </w:r>
        <w:r w:rsidR="004E744E">
          <w:rPr>
            <w:noProof/>
            <w:webHidden/>
          </w:rPr>
          <w:fldChar w:fldCharType="begin"/>
        </w:r>
        <w:r w:rsidR="004E744E">
          <w:rPr>
            <w:noProof/>
            <w:webHidden/>
          </w:rPr>
          <w:instrText xml:space="preserve"> PAGEREF _Toc31967147 \h </w:instrText>
        </w:r>
        <w:r w:rsidR="004E744E">
          <w:rPr>
            <w:noProof/>
            <w:webHidden/>
          </w:rPr>
        </w:r>
        <w:r w:rsidR="004E744E">
          <w:rPr>
            <w:noProof/>
            <w:webHidden/>
          </w:rPr>
          <w:fldChar w:fldCharType="separate"/>
        </w:r>
        <w:r w:rsidR="004E744E">
          <w:rPr>
            <w:noProof/>
            <w:webHidden/>
          </w:rPr>
          <w:t>11</w:t>
        </w:r>
        <w:r w:rsidR="004E744E">
          <w:rPr>
            <w:noProof/>
            <w:webHidden/>
          </w:rPr>
          <w:fldChar w:fldCharType="end"/>
        </w:r>
      </w:hyperlink>
    </w:p>
    <w:p w14:paraId="65CBF123" w14:textId="7665279A" w:rsidR="004E744E" w:rsidRDefault="00F60C99">
      <w:pPr>
        <w:pStyle w:val="TOC2"/>
        <w:rPr>
          <w:rFonts w:asciiTheme="minorHAnsi" w:eastAsiaTheme="minorEastAsia" w:hAnsiTheme="minorHAnsi" w:cstheme="minorBidi"/>
          <w:noProof/>
          <w:sz w:val="22"/>
          <w:szCs w:val="22"/>
          <w:lang w:val="fr-CH" w:eastAsia="fr-CH"/>
        </w:rPr>
      </w:pPr>
      <w:hyperlink w:anchor="_Toc31967148" w:history="1">
        <w:r w:rsidR="004E744E" w:rsidRPr="00A4065F">
          <w:rPr>
            <w:rStyle w:val="Hyperlink"/>
            <w:noProof/>
          </w:rPr>
          <w:t>5.2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Machine Learning for Future Networks including 5G</w:t>
        </w:r>
        <w:r w:rsidR="004E744E">
          <w:rPr>
            <w:noProof/>
            <w:webHidden/>
          </w:rPr>
          <w:tab/>
        </w:r>
        <w:r w:rsidR="004E744E">
          <w:rPr>
            <w:noProof/>
            <w:webHidden/>
          </w:rPr>
          <w:fldChar w:fldCharType="begin"/>
        </w:r>
        <w:r w:rsidR="004E744E">
          <w:rPr>
            <w:noProof/>
            <w:webHidden/>
          </w:rPr>
          <w:instrText xml:space="preserve"> PAGEREF _Toc31967148 \h </w:instrText>
        </w:r>
        <w:r w:rsidR="004E744E">
          <w:rPr>
            <w:noProof/>
            <w:webHidden/>
          </w:rPr>
        </w:r>
        <w:r w:rsidR="004E744E">
          <w:rPr>
            <w:noProof/>
            <w:webHidden/>
          </w:rPr>
          <w:fldChar w:fldCharType="separate"/>
        </w:r>
        <w:r w:rsidR="004E744E">
          <w:rPr>
            <w:noProof/>
            <w:webHidden/>
          </w:rPr>
          <w:t>11</w:t>
        </w:r>
        <w:r w:rsidR="004E744E">
          <w:rPr>
            <w:noProof/>
            <w:webHidden/>
          </w:rPr>
          <w:fldChar w:fldCharType="end"/>
        </w:r>
      </w:hyperlink>
    </w:p>
    <w:p w14:paraId="5BEEB98F" w14:textId="791789E2" w:rsidR="004E744E" w:rsidRDefault="00F60C99">
      <w:pPr>
        <w:pStyle w:val="TOC2"/>
        <w:rPr>
          <w:rFonts w:asciiTheme="minorHAnsi" w:eastAsiaTheme="minorEastAsia" w:hAnsiTheme="minorHAnsi" w:cstheme="minorBidi"/>
          <w:noProof/>
          <w:sz w:val="22"/>
          <w:szCs w:val="22"/>
          <w:lang w:val="fr-CH" w:eastAsia="fr-CH"/>
        </w:rPr>
      </w:pPr>
      <w:hyperlink w:anchor="_Toc31967149" w:history="1">
        <w:r w:rsidR="004E744E" w:rsidRPr="00A4065F">
          <w:rPr>
            <w:rStyle w:val="Hyperlink"/>
            <w:noProof/>
          </w:rPr>
          <w:t>5.3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Technologies for Network 2030</w:t>
        </w:r>
        <w:r w:rsidR="004E744E">
          <w:rPr>
            <w:noProof/>
            <w:webHidden/>
          </w:rPr>
          <w:tab/>
        </w:r>
        <w:r w:rsidR="004E744E">
          <w:rPr>
            <w:noProof/>
            <w:webHidden/>
          </w:rPr>
          <w:fldChar w:fldCharType="begin"/>
        </w:r>
        <w:r w:rsidR="004E744E">
          <w:rPr>
            <w:noProof/>
            <w:webHidden/>
          </w:rPr>
          <w:instrText xml:space="preserve"> PAGEREF _Toc31967149 \h </w:instrText>
        </w:r>
        <w:r w:rsidR="004E744E">
          <w:rPr>
            <w:noProof/>
            <w:webHidden/>
          </w:rPr>
        </w:r>
        <w:r w:rsidR="004E744E">
          <w:rPr>
            <w:noProof/>
            <w:webHidden/>
          </w:rPr>
          <w:fldChar w:fldCharType="separate"/>
        </w:r>
        <w:r w:rsidR="004E744E">
          <w:rPr>
            <w:noProof/>
            <w:webHidden/>
          </w:rPr>
          <w:t>11</w:t>
        </w:r>
        <w:r w:rsidR="004E744E">
          <w:rPr>
            <w:noProof/>
            <w:webHidden/>
          </w:rPr>
          <w:fldChar w:fldCharType="end"/>
        </w:r>
      </w:hyperlink>
    </w:p>
    <w:p w14:paraId="705187BA" w14:textId="789D8097" w:rsidR="004E744E" w:rsidRDefault="00F60C99">
      <w:pPr>
        <w:pStyle w:val="TOC2"/>
        <w:rPr>
          <w:rFonts w:asciiTheme="minorHAnsi" w:eastAsiaTheme="minorEastAsia" w:hAnsiTheme="minorHAnsi" w:cstheme="minorBidi"/>
          <w:noProof/>
          <w:sz w:val="22"/>
          <w:szCs w:val="22"/>
          <w:lang w:val="fr-CH" w:eastAsia="fr-CH"/>
        </w:rPr>
      </w:pPr>
      <w:hyperlink w:anchor="_Toc31967150" w:history="1">
        <w:r w:rsidR="004E744E" w:rsidRPr="00A4065F">
          <w:rPr>
            <w:rStyle w:val="Hyperlink"/>
            <w:noProof/>
          </w:rPr>
          <w:t>5.4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AI for Health</w:t>
        </w:r>
        <w:r w:rsidR="004E744E">
          <w:rPr>
            <w:noProof/>
            <w:webHidden/>
          </w:rPr>
          <w:tab/>
        </w:r>
        <w:r w:rsidR="004E744E">
          <w:rPr>
            <w:noProof/>
            <w:webHidden/>
          </w:rPr>
          <w:fldChar w:fldCharType="begin"/>
        </w:r>
        <w:r w:rsidR="004E744E">
          <w:rPr>
            <w:noProof/>
            <w:webHidden/>
          </w:rPr>
          <w:instrText xml:space="preserve"> PAGEREF _Toc31967150 \h </w:instrText>
        </w:r>
        <w:r w:rsidR="004E744E">
          <w:rPr>
            <w:noProof/>
            <w:webHidden/>
          </w:rPr>
        </w:r>
        <w:r w:rsidR="004E744E">
          <w:rPr>
            <w:noProof/>
            <w:webHidden/>
          </w:rPr>
          <w:fldChar w:fldCharType="separate"/>
        </w:r>
        <w:r w:rsidR="004E744E">
          <w:rPr>
            <w:noProof/>
            <w:webHidden/>
          </w:rPr>
          <w:t>11</w:t>
        </w:r>
        <w:r w:rsidR="004E744E">
          <w:rPr>
            <w:noProof/>
            <w:webHidden/>
          </w:rPr>
          <w:fldChar w:fldCharType="end"/>
        </w:r>
      </w:hyperlink>
    </w:p>
    <w:p w14:paraId="02D0D02D" w14:textId="01C81C70" w:rsidR="004E744E" w:rsidRDefault="00F60C99">
      <w:pPr>
        <w:pStyle w:val="TOC2"/>
        <w:rPr>
          <w:rFonts w:asciiTheme="minorHAnsi" w:eastAsiaTheme="minorEastAsia" w:hAnsiTheme="minorHAnsi" w:cstheme="minorBidi"/>
          <w:noProof/>
          <w:sz w:val="22"/>
          <w:szCs w:val="22"/>
          <w:lang w:val="fr-CH" w:eastAsia="fr-CH"/>
        </w:rPr>
      </w:pPr>
      <w:hyperlink w:anchor="_Toc31967151" w:history="1">
        <w:r w:rsidR="004E744E" w:rsidRPr="00A4065F">
          <w:rPr>
            <w:rStyle w:val="Hyperlink"/>
            <w:noProof/>
          </w:rPr>
          <w:t>5.5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Vehicular Multimedia</w:t>
        </w:r>
        <w:r w:rsidR="004E744E">
          <w:rPr>
            <w:noProof/>
            <w:webHidden/>
          </w:rPr>
          <w:tab/>
        </w:r>
        <w:r w:rsidR="004E744E">
          <w:rPr>
            <w:noProof/>
            <w:webHidden/>
          </w:rPr>
          <w:fldChar w:fldCharType="begin"/>
        </w:r>
        <w:r w:rsidR="004E744E">
          <w:rPr>
            <w:noProof/>
            <w:webHidden/>
          </w:rPr>
          <w:instrText xml:space="preserve"> PAGEREF _Toc31967151 \h </w:instrText>
        </w:r>
        <w:r w:rsidR="004E744E">
          <w:rPr>
            <w:noProof/>
            <w:webHidden/>
          </w:rPr>
        </w:r>
        <w:r w:rsidR="004E744E">
          <w:rPr>
            <w:noProof/>
            <w:webHidden/>
          </w:rPr>
          <w:fldChar w:fldCharType="separate"/>
        </w:r>
        <w:r w:rsidR="004E744E">
          <w:rPr>
            <w:noProof/>
            <w:webHidden/>
          </w:rPr>
          <w:t>12</w:t>
        </w:r>
        <w:r w:rsidR="004E744E">
          <w:rPr>
            <w:noProof/>
            <w:webHidden/>
          </w:rPr>
          <w:fldChar w:fldCharType="end"/>
        </w:r>
      </w:hyperlink>
    </w:p>
    <w:p w14:paraId="1FCF0D84" w14:textId="61FE6234" w:rsidR="004E744E" w:rsidRDefault="00F60C99">
      <w:pPr>
        <w:pStyle w:val="TOC2"/>
        <w:rPr>
          <w:rFonts w:asciiTheme="minorHAnsi" w:eastAsiaTheme="minorEastAsia" w:hAnsiTheme="minorHAnsi" w:cstheme="minorBidi"/>
          <w:noProof/>
          <w:sz w:val="22"/>
          <w:szCs w:val="22"/>
          <w:lang w:val="fr-CH" w:eastAsia="fr-CH"/>
        </w:rPr>
      </w:pPr>
      <w:hyperlink w:anchor="_Toc31967152" w:history="1">
        <w:r w:rsidR="004E744E" w:rsidRPr="00A4065F">
          <w:rPr>
            <w:rStyle w:val="Hyperlink"/>
            <w:noProof/>
          </w:rPr>
          <w:t>5.6</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AI for Autonomous and Assisted driving</w:t>
        </w:r>
        <w:r w:rsidR="004E744E">
          <w:rPr>
            <w:noProof/>
            <w:webHidden/>
          </w:rPr>
          <w:tab/>
        </w:r>
        <w:r w:rsidR="004E744E">
          <w:rPr>
            <w:noProof/>
            <w:webHidden/>
          </w:rPr>
          <w:fldChar w:fldCharType="begin"/>
        </w:r>
        <w:r w:rsidR="004E744E">
          <w:rPr>
            <w:noProof/>
            <w:webHidden/>
          </w:rPr>
          <w:instrText xml:space="preserve"> PAGEREF _Toc31967152 \h </w:instrText>
        </w:r>
        <w:r w:rsidR="004E744E">
          <w:rPr>
            <w:noProof/>
            <w:webHidden/>
          </w:rPr>
        </w:r>
        <w:r w:rsidR="004E744E">
          <w:rPr>
            <w:noProof/>
            <w:webHidden/>
          </w:rPr>
          <w:fldChar w:fldCharType="separate"/>
        </w:r>
        <w:r w:rsidR="004E744E">
          <w:rPr>
            <w:noProof/>
            <w:webHidden/>
          </w:rPr>
          <w:t>12</w:t>
        </w:r>
        <w:r w:rsidR="004E744E">
          <w:rPr>
            <w:noProof/>
            <w:webHidden/>
          </w:rPr>
          <w:fldChar w:fldCharType="end"/>
        </w:r>
      </w:hyperlink>
    </w:p>
    <w:p w14:paraId="65463926" w14:textId="6613FD47" w:rsidR="004E744E" w:rsidRDefault="00F60C99">
      <w:pPr>
        <w:pStyle w:val="TOC2"/>
        <w:rPr>
          <w:rFonts w:asciiTheme="minorHAnsi" w:eastAsiaTheme="minorEastAsia" w:hAnsiTheme="minorHAnsi" w:cstheme="minorBidi"/>
          <w:noProof/>
          <w:sz w:val="22"/>
          <w:szCs w:val="22"/>
          <w:lang w:val="fr-CH" w:eastAsia="fr-CH"/>
        </w:rPr>
      </w:pPr>
      <w:hyperlink w:anchor="_Toc31967153" w:history="1">
        <w:r w:rsidR="004E744E" w:rsidRPr="00A4065F">
          <w:rPr>
            <w:rStyle w:val="Hyperlink"/>
            <w:noProof/>
          </w:rPr>
          <w:t>5.7</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Environmental Efficiency for AI and other Emerging Technologies</w:t>
        </w:r>
        <w:r w:rsidR="004E744E">
          <w:rPr>
            <w:noProof/>
            <w:webHidden/>
          </w:rPr>
          <w:tab/>
        </w:r>
        <w:r w:rsidR="004E744E">
          <w:rPr>
            <w:noProof/>
            <w:webHidden/>
          </w:rPr>
          <w:fldChar w:fldCharType="begin"/>
        </w:r>
        <w:r w:rsidR="004E744E">
          <w:rPr>
            <w:noProof/>
            <w:webHidden/>
          </w:rPr>
          <w:instrText xml:space="preserve"> PAGEREF _Toc31967153 \h </w:instrText>
        </w:r>
        <w:r w:rsidR="004E744E">
          <w:rPr>
            <w:noProof/>
            <w:webHidden/>
          </w:rPr>
        </w:r>
        <w:r w:rsidR="004E744E">
          <w:rPr>
            <w:noProof/>
            <w:webHidden/>
          </w:rPr>
          <w:fldChar w:fldCharType="separate"/>
        </w:r>
        <w:r w:rsidR="004E744E">
          <w:rPr>
            <w:noProof/>
            <w:webHidden/>
          </w:rPr>
          <w:t>12</w:t>
        </w:r>
        <w:r w:rsidR="004E744E">
          <w:rPr>
            <w:noProof/>
            <w:webHidden/>
          </w:rPr>
          <w:fldChar w:fldCharType="end"/>
        </w:r>
      </w:hyperlink>
    </w:p>
    <w:p w14:paraId="520B607D" w14:textId="7E0F7136" w:rsidR="004E744E" w:rsidRDefault="00F60C99">
      <w:pPr>
        <w:pStyle w:val="TOC1"/>
        <w:rPr>
          <w:rFonts w:asciiTheme="minorHAnsi" w:eastAsiaTheme="minorEastAsia" w:hAnsiTheme="minorHAnsi" w:cstheme="minorBidi"/>
          <w:noProof/>
          <w:sz w:val="22"/>
          <w:szCs w:val="22"/>
          <w:lang w:val="fr-CH" w:eastAsia="fr-CH"/>
        </w:rPr>
      </w:pPr>
      <w:hyperlink w:anchor="_Toc31967154" w:history="1">
        <w:r w:rsidR="004E744E" w:rsidRPr="00A4065F">
          <w:rPr>
            <w:rStyle w:val="Hyperlink"/>
            <w:noProof/>
          </w:rPr>
          <w:t>6</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Collaboration in standardization</w:t>
        </w:r>
        <w:r w:rsidR="004E744E">
          <w:rPr>
            <w:noProof/>
            <w:webHidden/>
          </w:rPr>
          <w:tab/>
        </w:r>
        <w:r w:rsidR="004E744E">
          <w:rPr>
            <w:noProof/>
            <w:webHidden/>
          </w:rPr>
          <w:fldChar w:fldCharType="begin"/>
        </w:r>
        <w:r w:rsidR="004E744E">
          <w:rPr>
            <w:noProof/>
            <w:webHidden/>
          </w:rPr>
          <w:instrText xml:space="preserve"> PAGEREF _Toc31967154 \h </w:instrText>
        </w:r>
        <w:r w:rsidR="004E744E">
          <w:rPr>
            <w:noProof/>
            <w:webHidden/>
          </w:rPr>
        </w:r>
        <w:r w:rsidR="004E744E">
          <w:rPr>
            <w:noProof/>
            <w:webHidden/>
          </w:rPr>
          <w:fldChar w:fldCharType="separate"/>
        </w:r>
        <w:r w:rsidR="004E744E">
          <w:rPr>
            <w:noProof/>
            <w:webHidden/>
          </w:rPr>
          <w:t>12</w:t>
        </w:r>
        <w:r w:rsidR="004E744E">
          <w:rPr>
            <w:noProof/>
            <w:webHidden/>
          </w:rPr>
          <w:fldChar w:fldCharType="end"/>
        </w:r>
      </w:hyperlink>
    </w:p>
    <w:p w14:paraId="198174A7" w14:textId="7CB662BD" w:rsidR="004E744E" w:rsidRDefault="00F60C99">
      <w:pPr>
        <w:pStyle w:val="TOC2"/>
        <w:rPr>
          <w:rFonts w:asciiTheme="minorHAnsi" w:eastAsiaTheme="minorEastAsia" w:hAnsiTheme="minorHAnsi" w:cstheme="minorBidi"/>
          <w:noProof/>
          <w:sz w:val="22"/>
          <w:szCs w:val="22"/>
          <w:lang w:val="fr-CH" w:eastAsia="fr-CH"/>
        </w:rPr>
      </w:pPr>
      <w:hyperlink w:anchor="_Toc31967155" w:history="1">
        <w:r w:rsidR="004E744E" w:rsidRPr="00A4065F">
          <w:rPr>
            <w:rStyle w:val="Hyperlink"/>
            <w:noProof/>
          </w:rPr>
          <w:t>6.1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SG Leadership Assembly</w:t>
        </w:r>
        <w:r w:rsidR="004E744E">
          <w:rPr>
            <w:noProof/>
            <w:webHidden/>
          </w:rPr>
          <w:tab/>
        </w:r>
        <w:r w:rsidR="004E744E">
          <w:rPr>
            <w:noProof/>
            <w:webHidden/>
          </w:rPr>
          <w:fldChar w:fldCharType="begin"/>
        </w:r>
        <w:r w:rsidR="004E744E">
          <w:rPr>
            <w:noProof/>
            <w:webHidden/>
          </w:rPr>
          <w:instrText xml:space="preserve"> PAGEREF _Toc31967155 \h </w:instrText>
        </w:r>
        <w:r w:rsidR="004E744E">
          <w:rPr>
            <w:noProof/>
            <w:webHidden/>
          </w:rPr>
        </w:r>
        <w:r w:rsidR="004E744E">
          <w:rPr>
            <w:noProof/>
            <w:webHidden/>
          </w:rPr>
          <w:fldChar w:fldCharType="separate"/>
        </w:r>
        <w:r w:rsidR="004E744E">
          <w:rPr>
            <w:noProof/>
            <w:webHidden/>
          </w:rPr>
          <w:t>12</w:t>
        </w:r>
        <w:r w:rsidR="004E744E">
          <w:rPr>
            <w:noProof/>
            <w:webHidden/>
          </w:rPr>
          <w:fldChar w:fldCharType="end"/>
        </w:r>
      </w:hyperlink>
    </w:p>
    <w:p w14:paraId="1664EAF6" w14:textId="0B02C2A4" w:rsidR="004E744E" w:rsidRDefault="00F60C99">
      <w:pPr>
        <w:pStyle w:val="TOC2"/>
        <w:rPr>
          <w:rFonts w:asciiTheme="minorHAnsi" w:eastAsiaTheme="minorEastAsia" w:hAnsiTheme="minorHAnsi" w:cstheme="minorBidi"/>
          <w:noProof/>
          <w:sz w:val="22"/>
          <w:szCs w:val="22"/>
          <w:lang w:val="fr-CH" w:eastAsia="fr-CH"/>
        </w:rPr>
      </w:pPr>
      <w:hyperlink w:anchor="_Toc31967156" w:history="1">
        <w:r w:rsidR="004E744E" w:rsidRPr="00A4065F">
          <w:rPr>
            <w:rStyle w:val="Hyperlink"/>
            <w:noProof/>
          </w:rPr>
          <w:t>6.2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Coordination and cooperation among ITU Sectors</w:t>
        </w:r>
        <w:r w:rsidR="004E744E">
          <w:rPr>
            <w:noProof/>
            <w:webHidden/>
          </w:rPr>
          <w:tab/>
        </w:r>
        <w:r w:rsidR="004E744E">
          <w:rPr>
            <w:noProof/>
            <w:webHidden/>
          </w:rPr>
          <w:fldChar w:fldCharType="begin"/>
        </w:r>
        <w:r w:rsidR="004E744E">
          <w:rPr>
            <w:noProof/>
            <w:webHidden/>
          </w:rPr>
          <w:instrText xml:space="preserve"> PAGEREF _Toc31967156 \h </w:instrText>
        </w:r>
        <w:r w:rsidR="004E744E">
          <w:rPr>
            <w:noProof/>
            <w:webHidden/>
          </w:rPr>
        </w:r>
        <w:r w:rsidR="004E744E">
          <w:rPr>
            <w:noProof/>
            <w:webHidden/>
          </w:rPr>
          <w:fldChar w:fldCharType="separate"/>
        </w:r>
        <w:r w:rsidR="004E744E">
          <w:rPr>
            <w:noProof/>
            <w:webHidden/>
          </w:rPr>
          <w:t>13</w:t>
        </w:r>
        <w:r w:rsidR="004E744E">
          <w:rPr>
            <w:noProof/>
            <w:webHidden/>
          </w:rPr>
          <w:fldChar w:fldCharType="end"/>
        </w:r>
      </w:hyperlink>
    </w:p>
    <w:p w14:paraId="38968D00" w14:textId="2ECE13F1" w:rsidR="004E744E" w:rsidRDefault="00F60C99">
      <w:pPr>
        <w:pStyle w:val="TOC2"/>
        <w:rPr>
          <w:rFonts w:asciiTheme="minorHAnsi" w:eastAsiaTheme="minorEastAsia" w:hAnsiTheme="minorHAnsi" w:cstheme="minorBidi"/>
          <w:noProof/>
          <w:sz w:val="22"/>
          <w:szCs w:val="22"/>
          <w:lang w:val="fr-CH" w:eastAsia="fr-CH"/>
        </w:rPr>
      </w:pPr>
      <w:hyperlink w:anchor="_Toc31967157" w:history="1">
        <w:r w:rsidR="004E744E" w:rsidRPr="00A4065F">
          <w:rPr>
            <w:rStyle w:val="Hyperlink"/>
            <w:noProof/>
          </w:rPr>
          <w:t>6.3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Coordination and cooperation with the Regions and the Regional Offices</w:t>
        </w:r>
        <w:r w:rsidR="004E744E">
          <w:rPr>
            <w:noProof/>
            <w:webHidden/>
          </w:rPr>
          <w:tab/>
        </w:r>
        <w:r w:rsidR="004E744E">
          <w:rPr>
            <w:noProof/>
            <w:webHidden/>
          </w:rPr>
          <w:fldChar w:fldCharType="begin"/>
        </w:r>
        <w:r w:rsidR="004E744E">
          <w:rPr>
            <w:noProof/>
            <w:webHidden/>
          </w:rPr>
          <w:instrText xml:space="preserve"> PAGEREF _Toc31967157 \h </w:instrText>
        </w:r>
        <w:r w:rsidR="004E744E">
          <w:rPr>
            <w:noProof/>
            <w:webHidden/>
          </w:rPr>
        </w:r>
        <w:r w:rsidR="004E744E">
          <w:rPr>
            <w:noProof/>
            <w:webHidden/>
          </w:rPr>
          <w:fldChar w:fldCharType="separate"/>
        </w:r>
        <w:r w:rsidR="004E744E">
          <w:rPr>
            <w:noProof/>
            <w:webHidden/>
          </w:rPr>
          <w:t>14</w:t>
        </w:r>
        <w:r w:rsidR="004E744E">
          <w:rPr>
            <w:noProof/>
            <w:webHidden/>
          </w:rPr>
          <w:fldChar w:fldCharType="end"/>
        </w:r>
      </w:hyperlink>
    </w:p>
    <w:p w14:paraId="02AC043B" w14:textId="600AC09A" w:rsidR="004E744E" w:rsidRDefault="00F60C99">
      <w:pPr>
        <w:pStyle w:val="TOC2"/>
        <w:rPr>
          <w:rFonts w:asciiTheme="minorHAnsi" w:eastAsiaTheme="minorEastAsia" w:hAnsiTheme="minorHAnsi" w:cstheme="minorBidi"/>
          <w:noProof/>
          <w:sz w:val="22"/>
          <w:szCs w:val="22"/>
          <w:lang w:val="fr-CH" w:eastAsia="fr-CH"/>
        </w:rPr>
      </w:pPr>
      <w:hyperlink w:anchor="_Toc31967158" w:history="1">
        <w:r w:rsidR="004E744E" w:rsidRPr="00A4065F">
          <w:rPr>
            <w:rStyle w:val="Hyperlink"/>
            <w:noProof/>
          </w:rPr>
          <w:t>6.4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General assistance and cooperation</w:t>
        </w:r>
        <w:r w:rsidR="004E744E">
          <w:rPr>
            <w:noProof/>
            <w:webHidden/>
          </w:rPr>
          <w:tab/>
        </w:r>
        <w:r w:rsidR="004E744E">
          <w:rPr>
            <w:noProof/>
            <w:webHidden/>
          </w:rPr>
          <w:fldChar w:fldCharType="begin"/>
        </w:r>
        <w:r w:rsidR="004E744E">
          <w:rPr>
            <w:noProof/>
            <w:webHidden/>
          </w:rPr>
          <w:instrText xml:space="preserve"> PAGEREF _Toc31967158 \h </w:instrText>
        </w:r>
        <w:r w:rsidR="004E744E">
          <w:rPr>
            <w:noProof/>
            <w:webHidden/>
          </w:rPr>
        </w:r>
        <w:r w:rsidR="004E744E">
          <w:rPr>
            <w:noProof/>
            <w:webHidden/>
          </w:rPr>
          <w:fldChar w:fldCharType="separate"/>
        </w:r>
        <w:r w:rsidR="004E744E">
          <w:rPr>
            <w:noProof/>
            <w:webHidden/>
          </w:rPr>
          <w:t>14</w:t>
        </w:r>
        <w:r w:rsidR="004E744E">
          <w:rPr>
            <w:noProof/>
            <w:webHidden/>
          </w:rPr>
          <w:fldChar w:fldCharType="end"/>
        </w:r>
      </w:hyperlink>
    </w:p>
    <w:p w14:paraId="1C2B0D00" w14:textId="02EE9A9F" w:rsidR="004E744E" w:rsidRDefault="00F60C99">
      <w:pPr>
        <w:pStyle w:val="TOC2"/>
        <w:rPr>
          <w:rFonts w:asciiTheme="minorHAnsi" w:eastAsiaTheme="minorEastAsia" w:hAnsiTheme="minorHAnsi" w:cstheme="minorBidi"/>
          <w:noProof/>
          <w:sz w:val="22"/>
          <w:szCs w:val="22"/>
          <w:lang w:val="fr-CH" w:eastAsia="fr-CH"/>
        </w:rPr>
      </w:pPr>
      <w:hyperlink w:anchor="_Toc31967159" w:history="1">
        <w:r w:rsidR="004E744E" w:rsidRPr="00A4065F">
          <w:rPr>
            <w:rStyle w:val="Hyperlink"/>
            <w:noProof/>
          </w:rPr>
          <w:t>6.5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Cooperation with national and regional standardization organizations</w:t>
        </w:r>
        <w:r w:rsidR="004E744E">
          <w:rPr>
            <w:noProof/>
            <w:webHidden/>
          </w:rPr>
          <w:tab/>
        </w:r>
        <w:r w:rsidR="004E744E">
          <w:rPr>
            <w:noProof/>
            <w:webHidden/>
          </w:rPr>
          <w:fldChar w:fldCharType="begin"/>
        </w:r>
        <w:r w:rsidR="004E744E">
          <w:rPr>
            <w:noProof/>
            <w:webHidden/>
          </w:rPr>
          <w:instrText xml:space="preserve"> PAGEREF _Toc31967159 \h </w:instrText>
        </w:r>
        <w:r w:rsidR="004E744E">
          <w:rPr>
            <w:noProof/>
            <w:webHidden/>
          </w:rPr>
        </w:r>
        <w:r w:rsidR="004E744E">
          <w:rPr>
            <w:noProof/>
            <w:webHidden/>
          </w:rPr>
          <w:fldChar w:fldCharType="separate"/>
        </w:r>
        <w:r w:rsidR="004E744E">
          <w:rPr>
            <w:noProof/>
            <w:webHidden/>
          </w:rPr>
          <w:t>16</w:t>
        </w:r>
        <w:r w:rsidR="004E744E">
          <w:rPr>
            <w:noProof/>
            <w:webHidden/>
          </w:rPr>
          <w:fldChar w:fldCharType="end"/>
        </w:r>
      </w:hyperlink>
    </w:p>
    <w:p w14:paraId="3A9E6A02" w14:textId="723BFA4D" w:rsidR="004E744E" w:rsidRDefault="00F60C99">
      <w:pPr>
        <w:pStyle w:val="TOC1"/>
        <w:rPr>
          <w:rFonts w:asciiTheme="minorHAnsi" w:eastAsiaTheme="minorEastAsia" w:hAnsiTheme="minorHAnsi" w:cstheme="minorBidi"/>
          <w:noProof/>
          <w:sz w:val="22"/>
          <w:szCs w:val="22"/>
          <w:lang w:val="fr-CH" w:eastAsia="fr-CH"/>
        </w:rPr>
      </w:pPr>
      <w:hyperlink w:anchor="_Toc31967160" w:history="1">
        <w:r w:rsidR="004E744E" w:rsidRPr="00A4065F">
          <w:rPr>
            <w:rStyle w:val="Hyperlink"/>
            <w:noProof/>
          </w:rPr>
          <w:t>7</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Bridging the standardization gap</w:t>
        </w:r>
        <w:r w:rsidR="004E744E">
          <w:rPr>
            <w:noProof/>
            <w:webHidden/>
          </w:rPr>
          <w:tab/>
        </w:r>
        <w:r w:rsidR="004E744E">
          <w:rPr>
            <w:noProof/>
            <w:webHidden/>
          </w:rPr>
          <w:fldChar w:fldCharType="begin"/>
        </w:r>
        <w:r w:rsidR="004E744E">
          <w:rPr>
            <w:noProof/>
            <w:webHidden/>
          </w:rPr>
          <w:instrText xml:space="preserve"> PAGEREF _Toc31967160 \h </w:instrText>
        </w:r>
        <w:r w:rsidR="004E744E">
          <w:rPr>
            <w:noProof/>
            <w:webHidden/>
          </w:rPr>
        </w:r>
        <w:r w:rsidR="004E744E">
          <w:rPr>
            <w:noProof/>
            <w:webHidden/>
          </w:rPr>
          <w:fldChar w:fldCharType="separate"/>
        </w:r>
        <w:r w:rsidR="004E744E">
          <w:rPr>
            <w:noProof/>
            <w:webHidden/>
          </w:rPr>
          <w:t>16</w:t>
        </w:r>
        <w:r w:rsidR="004E744E">
          <w:rPr>
            <w:noProof/>
            <w:webHidden/>
          </w:rPr>
          <w:fldChar w:fldCharType="end"/>
        </w:r>
      </w:hyperlink>
    </w:p>
    <w:p w14:paraId="6A559143" w14:textId="71A010BA" w:rsidR="004E744E" w:rsidRDefault="00F60C99">
      <w:pPr>
        <w:pStyle w:val="TOC2"/>
        <w:rPr>
          <w:rFonts w:asciiTheme="minorHAnsi" w:eastAsiaTheme="minorEastAsia" w:hAnsiTheme="minorHAnsi" w:cstheme="minorBidi"/>
          <w:noProof/>
          <w:sz w:val="22"/>
          <w:szCs w:val="22"/>
          <w:lang w:val="fr-CH" w:eastAsia="fr-CH"/>
        </w:rPr>
      </w:pPr>
      <w:hyperlink w:anchor="_Toc31967161" w:history="1">
        <w:r w:rsidR="004E744E" w:rsidRPr="00A4065F">
          <w:rPr>
            <w:rStyle w:val="Hyperlink"/>
            <w:noProof/>
          </w:rPr>
          <w:t>7.1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BSG hands-on training sessions</w:t>
        </w:r>
        <w:r w:rsidR="004E744E">
          <w:rPr>
            <w:noProof/>
            <w:webHidden/>
          </w:rPr>
          <w:tab/>
        </w:r>
        <w:r w:rsidR="004E744E">
          <w:rPr>
            <w:noProof/>
            <w:webHidden/>
          </w:rPr>
          <w:fldChar w:fldCharType="begin"/>
        </w:r>
        <w:r w:rsidR="004E744E">
          <w:rPr>
            <w:noProof/>
            <w:webHidden/>
          </w:rPr>
          <w:instrText xml:space="preserve"> PAGEREF _Toc31967161 \h </w:instrText>
        </w:r>
        <w:r w:rsidR="004E744E">
          <w:rPr>
            <w:noProof/>
            <w:webHidden/>
          </w:rPr>
        </w:r>
        <w:r w:rsidR="004E744E">
          <w:rPr>
            <w:noProof/>
            <w:webHidden/>
          </w:rPr>
          <w:fldChar w:fldCharType="separate"/>
        </w:r>
        <w:r w:rsidR="004E744E">
          <w:rPr>
            <w:noProof/>
            <w:webHidden/>
          </w:rPr>
          <w:t>17</w:t>
        </w:r>
        <w:r w:rsidR="004E744E">
          <w:rPr>
            <w:noProof/>
            <w:webHidden/>
          </w:rPr>
          <w:fldChar w:fldCharType="end"/>
        </w:r>
      </w:hyperlink>
    </w:p>
    <w:p w14:paraId="6FB29C91" w14:textId="1D956925" w:rsidR="004E744E" w:rsidRDefault="00F60C99">
      <w:pPr>
        <w:pStyle w:val="TOC2"/>
        <w:rPr>
          <w:rFonts w:asciiTheme="minorHAnsi" w:eastAsiaTheme="minorEastAsia" w:hAnsiTheme="minorHAnsi" w:cstheme="minorBidi"/>
          <w:noProof/>
          <w:sz w:val="22"/>
          <w:szCs w:val="22"/>
          <w:lang w:val="fr-CH" w:eastAsia="fr-CH"/>
        </w:rPr>
      </w:pPr>
      <w:hyperlink w:anchor="_Toc31967162" w:history="1">
        <w:r w:rsidR="004E744E" w:rsidRPr="00A4065F">
          <w:rPr>
            <w:rStyle w:val="Hyperlink"/>
            <w:noProof/>
          </w:rPr>
          <w:t>7.2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Regional Groups</w:t>
        </w:r>
        <w:r w:rsidR="004E744E">
          <w:rPr>
            <w:noProof/>
            <w:webHidden/>
          </w:rPr>
          <w:tab/>
        </w:r>
        <w:r w:rsidR="004E744E">
          <w:rPr>
            <w:noProof/>
            <w:webHidden/>
          </w:rPr>
          <w:fldChar w:fldCharType="begin"/>
        </w:r>
        <w:r w:rsidR="004E744E">
          <w:rPr>
            <w:noProof/>
            <w:webHidden/>
          </w:rPr>
          <w:instrText xml:space="preserve"> PAGEREF _Toc31967162 \h </w:instrText>
        </w:r>
        <w:r w:rsidR="004E744E">
          <w:rPr>
            <w:noProof/>
            <w:webHidden/>
          </w:rPr>
        </w:r>
        <w:r w:rsidR="004E744E">
          <w:rPr>
            <w:noProof/>
            <w:webHidden/>
          </w:rPr>
          <w:fldChar w:fldCharType="separate"/>
        </w:r>
        <w:r w:rsidR="004E744E">
          <w:rPr>
            <w:noProof/>
            <w:webHidden/>
          </w:rPr>
          <w:t>17</w:t>
        </w:r>
        <w:r w:rsidR="004E744E">
          <w:rPr>
            <w:noProof/>
            <w:webHidden/>
          </w:rPr>
          <w:fldChar w:fldCharType="end"/>
        </w:r>
      </w:hyperlink>
    </w:p>
    <w:p w14:paraId="322D4FBA" w14:textId="19F31A8A" w:rsidR="004E744E" w:rsidRDefault="00F60C99">
      <w:pPr>
        <w:pStyle w:val="TOC2"/>
        <w:rPr>
          <w:rFonts w:asciiTheme="minorHAnsi" w:eastAsiaTheme="minorEastAsia" w:hAnsiTheme="minorHAnsi" w:cstheme="minorBidi"/>
          <w:noProof/>
          <w:sz w:val="22"/>
          <w:szCs w:val="22"/>
          <w:lang w:val="fr-CH" w:eastAsia="fr-CH"/>
        </w:rPr>
      </w:pPr>
      <w:hyperlink w:anchor="_Toc31967163" w:history="1">
        <w:r w:rsidR="004E744E" w:rsidRPr="00A4065F">
          <w:rPr>
            <w:rStyle w:val="Hyperlink"/>
            <w:noProof/>
          </w:rPr>
          <w:t>7.3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Regional Standardization Forums</w:t>
        </w:r>
        <w:r w:rsidR="004E744E">
          <w:rPr>
            <w:noProof/>
            <w:webHidden/>
          </w:rPr>
          <w:tab/>
        </w:r>
        <w:r w:rsidR="004E744E">
          <w:rPr>
            <w:noProof/>
            <w:webHidden/>
          </w:rPr>
          <w:fldChar w:fldCharType="begin"/>
        </w:r>
        <w:r w:rsidR="004E744E">
          <w:rPr>
            <w:noProof/>
            <w:webHidden/>
          </w:rPr>
          <w:instrText xml:space="preserve"> PAGEREF _Toc31967163 \h </w:instrText>
        </w:r>
        <w:r w:rsidR="004E744E">
          <w:rPr>
            <w:noProof/>
            <w:webHidden/>
          </w:rPr>
        </w:r>
        <w:r w:rsidR="004E744E">
          <w:rPr>
            <w:noProof/>
            <w:webHidden/>
          </w:rPr>
          <w:fldChar w:fldCharType="separate"/>
        </w:r>
        <w:r w:rsidR="004E744E">
          <w:rPr>
            <w:noProof/>
            <w:webHidden/>
          </w:rPr>
          <w:t>18</w:t>
        </w:r>
        <w:r w:rsidR="004E744E">
          <w:rPr>
            <w:noProof/>
            <w:webHidden/>
          </w:rPr>
          <w:fldChar w:fldCharType="end"/>
        </w:r>
      </w:hyperlink>
    </w:p>
    <w:p w14:paraId="0F585F86" w14:textId="502B063C" w:rsidR="004E744E" w:rsidRDefault="00F60C99">
      <w:pPr>
        <w:pStyle w:val="TOC2"/>
        <w:rPr>
          <w:rFonts w:asciiTheme="minorHAnsi" w:eastAsiaTheme="minorEastAsia" w:hAnsiTheme="minorHAnsi" w:cstheme="minorBidi"/>
          <w:noProof/>
          <w:sz w:val="22"/>
          <w:szCs w:val="22"/>
          <w:lang w:val="fr-CH" w:eastAsia="fr-CH"/>
        </w:rPr>
      </w:pPr>
      <w:hyperlink w:anchor="_Toc31967164" w:history="1">
        <w:r w:rsidR="004E744E" w:rsidRPr="00A4065F">
          <w:rPr>
            <w:rStyle w:val="Hyperlink"/>
            <w:noProof/>
          </w:rPr>
          <w:t>7.4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National Standardization Secretariats</w:t>
        </w:r>
        <w:r w:rsidR="004E744E">
          <w:rPr>
            <w:noProof/>
            <w:webHidden/>
          </w:rPr>
          <w:tab/>
        </w:r>
        <w:r w:rsidR="004E744E">
          <w:rPr>
            <w:noProof/>
            <w:webHidden/>
          </w:rPr>
          <w:fldChar w:fldCharType="begin"/>
        </w:r>
        <w:r w:rsidR="004E744E">
          <w:rPr>
            <w:noProof/>
            <w:webHidden/>
          </w:rPr>
          <w:instrText xml:space="preserve"> PAGEREF _Toc31967164 \h </w:instrText>
        </w:r>
        <w:r w:rsidR="004E744E">
          <w:rPr>
            <w:noProof/>
            <w:webHidden/>
          </w:rPr>
        </w:r>
        <w:r w:rsidR="004E744E">
          <w:rPr>
            <w:noProof/>
            <w:webHidden/>
          </w:rPr>
          <w:fldChar w:fldCharType="separate"/>
        </w:r>
        <w:r w:rsidR="004E744E">
          <w:rPr>
            <w:noProof/>
            <w:webHidden/>
          </w:rPr>
          <w:t>18</w:t>
        </w:r>
        <w:r w:rsidR="004E744E">
          <w:rPr>
            <w:noProof/>
            <w:webHidden/>
          </w:rPr>
          <w:fldChar w:fldCharType="end"/>
        </w:r>
      </w:hyperlink>
    </w:p>
    <w:p w14:paraId="4C55600F" w14:textId="3090081E" w:rsidR="004E744E" w:rsidRDefault="00F60C99">
      <w:pPr>
        <w:pStyle w:val="TOC2"/>
        <w:rPr>
          <w:rFonts w:asciiTheme="minorHAnsi" w:eastAsiaTheme="minorEastAsia" w:hAnsiTheme="minorHAnsi" w:cstheme="minorBidi"/>
          <w:noProof/>
          <w:sz w:val="22"/>
          <w:szCs w:val="22"/>
          <w:lang w:val="fr-CH" w:eastAsia="fr-CH"/>
        </w:rPr>
      </w:pPr>
      <w:hyperlink w:anchor="_Toc31967165" w:history="1">
        <w:r w:rsidR="004E744E" w:rsidRPr="00A4065F">
          <w:rPr>
            <w:rStyle w:val="Hyperlink"/>
            <w:noProof/>
          </w:rPr>
          <w:t>7.5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e-Learning courses</w:t>
        </w:r>
        <w:r w:rsidR="004E744E">
          <w:rPr>
            <w:noProof/>
            <w:webHidden/>
          </w:rPr>
          <w:tab/>
        </w:r>
        <w:r w:rsidR="004E744E">
          <w:rPr>
            <w:noProof/>
            <w:webHidden/>
          </w:rPr>
          <w:fldChar w:fldCharType="begin"/>
        </w:r>
        <w:r w:rsidR="004E744E">
          <w:rPr>
            <w:noProof/>
            <w:webHidden/>
          </w:rPr>
          <w:instrText xml:space="preserve"> PAGEREF _Toc31967165 \h </w:instrText>
        </w:r>
        <w:r w:rsidR="004E744E">
          <w:rPr>
            <w:noProof/>
            <w:webHidden/>
          </w:rPr>
        </w:r>
        <w:r w:rsidR="004E744E">
          <w:rPr>
            <w:noProof/>
            <w:webHidden/>
          </w:rPr>
          <w:fldChar w:fldCharType="separate"/>
        </w:r>
        <w:r w:rsidR="004E744E">
          <w:rPr>
            <w:noProof/>
            <w:webHidden/>
          </w:rPr>
          <w:t>18</w:t>
        </w:r>
        <w:r w:rsidR="004E744E">
          <w:rPr>
            <w:noProof/>
            <w:webHidden/>
          </w:rPr>
          <w:fldChar w:fldCharType="end"/>
        </w:r>
      </w:hyperlink>
    </w:p>
    <w:p w14:paraId="02530B20" w14:textId="1408F639" w:rsidR="004E744E" w:rsidRDefault="00F60C99">
      <w:pPr>
        <w:pStyle w:val="TOC2"/>
        <w:rPr>
          <w:rFonts w:asciiTheme="minorHAnsi" w:eastAsiaTheme="minorEastAsia" w:hAnsiTheme="minorHAnsi" w:cstheme="minorBidi"/>
          <w:noProof/>
          <w:sz w:val="22"/>
          <w:szCs w:val="22"/>
          <w:lang w:val="fr-CH" w:eastAsia="fr-CH"/>
        </w:rPr>
      </w:pPr>
      <w:hyperlink w:anchor="_Toc31967166" w:history="1">
        <w:r w:rsidR="004E744E" w:rsidRPr="00A4065F">
          <w:rPr>
            <w:rStyle w:val="Hyperlink"/>
            <w:noProof/>
          </w:rPr>
          <w:t>7.6</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SG Mentoring Programme</w:t>
        </w:r>
        <w:r w:rsidR="004E744E">
          <w:rPr>
            <w:noProof/>
            <w:webHidden/>
          </w:rPr>
          <w:tab/>
        </w:r>
        <w:r w:rsidR="004E744E">
          <w:rPr>
            <w:noProof/>
            <w:webHidden/>
          </w:rPr>
          <w:fldChar w:fldCharType="begin"/>
        </w:r>
        <w:r w:rsidR="004E744E">
          <w:rPr>
            <w:noProof/>
            <w:webHidden/>
          </w:rPr>
          <w:instrText xml:space="preserve"> PAGEREF _Toc31967166 \h </w:instrText>
        </w:r>
        <w:r w:rsidR="004E744E">
          <w:rPr>
            <w:noProof/>
            <w:webHidden/>
          </w:rPr>
        </w:r>
        <w:r w:rsidR="004E744E">
          <w:rPr>
            <w:noProof/>
            <w:webHidden/>
          </w:rPr>
          <w:fldChar w:fldCharType="separate"/>
        </w:r>
        <w:r w:rsidR="004E744E">
          <w:rPr>
            <w:noProof/>
            <w:webHidden/>
          </w:rPr>
          <w:t>19</w:t>
        </w:r>
        <w:r w:rsidR="004E744E">
          <w:rPr>
            <w:noProof/>
            <w:webHidden/>
          </w:rPr>
          <w:fldChar w:fldCharType="end"/>
        </w:r>
      </w:hyperlink>
    </w:p>
    <w:p w14:paraId="46DE7EC6" w14:textId="5E76C68F" w:rsidR="004E744E" w:rsidRDefault="00F60C99">
      <w:pPr>
        <w:pStyle w:val="TOC2"/>
        <w:rPr>
          <w:rFonts w:asciiTheme="minorHAnsi" w:eastAsiaTheme="minorEastAsia" w:hAnsiTheme="minorHAnsi" w:cstheme="minorBidi"/>
          <w:noProof/>
          <w:sz w:val="22"/>
          <w:szCs w:val="22"/>
          <w:lang w:val="fr-CH" w:eastAsia="fr-CH"/>
        </w:rPr>
      </w:pPr>
      <w:hyperlink w:anchor="_Toc31967167" w:history="1">
        <w:r w:rsidR="004E744E" w:rsidRPr="00A4065F">
          <w:rPr>
            <w:rStyle w:val="Hyperlink"/>
            <w:noProof/>
          </w:rPr>
          <w:t>7.7</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Technical Papers</w:t>
        </w:r>
        <w:r w:rsidR="004E744E">
          <w:rPr>
            <w:noProof/>
            <w:webHidden/>
          </w:rPr>
          <w:tab/>
        </w:r>
        <w:r w:rsidR="004E744E">
          <w:rPr>
            <w:noProof/>
            <w:webHidden/>
          </w:rPr>
          <w:fldChar w:fldCharType="begin"/>
        </w:r>
        <w:r w:rsidR="004E744E">
          <w:rPr>
            <w:noProof/>
            <w:webHidden/>
          </w:rPr>
          <w:instrText xml:space="preserve"> PAGEREF _Toc31967167 \h </w:instrText>
        </w:r>
        <w:r w:rsidR="004E744E">
          <w:rPr>
            <w:noProof/>
            <w:webHidden/>
          </w:rPr>
        </w:r>
        <w:r w:rsidR="004E744E">
          <w:rPr>
            <w:noProof/>
            <w:webHidden/>
          </w:rPr>
          <w:fldChar w:fldCharType="separate"/>
        </w:r>
        <w:r w:rsidR="004E744E">
          <w:rPr>
            <w:noProof/>
            <w:webHidden/>
          </w:rPr>
          <w:t>19</w:t>
        </w:r>
        <w:r w:rsidR="004E744E">
          <w:rPr>
            <w:noProof/>
            <w:webHidden/>
          </w:rPr>
          <w:fldChar w:fldCharType="end"/>
        </w:r>
      </w:hyperlink>
    </w:p>
    <w:p w14:paraId="60B25BF4" w14:textId="41C64646" w:rsidR="004E744E" w:rsidRDefault="00F60C99">
      <w:pPr>
        <w:pStyle w:val="TOC2"/>
        <w:rPr>
          <w:rFonts w:asciiTheme="minorHAnsi" w:eastAsiaTheme="minorEastAsia" w:hAnsiTheme="minorHAnsi" w:cstheme="minorBidi"/>
          <w:noProof/>
          <w:sz w:val="22"/>
          <w:szCs w:val="22"/>
          <w:lang w:val="fr-CH" w:eastAsia="fr-CH"/>
        </w:rPr>
      </w:pPr>
      <w:hyperlink w:anchor="_Toc31967168" w:history="1">
        <w:r w:rsidR="004E744E" w:rsidRPr="00A4065F">
          <w:rPr>
            <w:rStyle w:val="Hyperlink"/>
            <w:noProof/>
          </w:rPr>
          <w:t>7.8</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Fellowships</w:t>
        </w:r>
        <w:r w:rsidR="004E744E">
          <w:rPr>
            <w:noProof/>
            <w:webHidden/>
          </w:rPr>
          <w:tab/>
        </w:r>
        <w:r w:rsidR="004E744E">
          <w:rPr>
            <w:noProof/>
            <w:webHidden/>
          </w:rPr>
          <w:fldChar w:fldCharType="begin"/>
        </w:r>
        <w:r w:rsidR="004E744E">
          <w:rPr>
            <w:noProof/>
            <w:webHidden/>
          </w:rPr>
          <w:instrText xml:space="preserve"> PAGEREF _Toc31967168 \h </w:instrText>
        </w:r>
        <w:r w:rsidR="004E744E">
          <w:rPr>
            <w:noProof/>
            <w:webHidden/>
          </w:rPr>
        </w:r>
        <w:r w:rsidR="004E744E">
          <w:rPr>
            <w:noProof/>
            <w:webHidden/>
          </w:rPr>
          <w:fldChar w:fldCharType="separate"/>
        </w:r>
        <w:r w:rsidR="004E744E">
          <w:rPr>
            <w:noProof/>
            <w:webHidden/>
          </w:rPr>
          <w:t>19</w:t>
        </w:r>
        <w:r w:rsidR="004E744E">
          <w:rPr>
            <w:noProof/>
            <w:webHidden/>
          </w:rPr>
          <w:fldChar w:fldCharType="end"/>
        </w:r>
      </w:hyperlink>
    </w:p>
    <w:p w14:paraId="357E914F" w14:textId="46CCC4C2" w:rsidR="004E744E" w:rsidRDefault="00F60C99">
      <w:pPr>
        <w:pStyle w:val="TOC2"/>
        <w:rPr>
          <w:rFonts w:asciiTheme="minorHAnsi" w:eastAsiaTheme="minorEastAsia" w:hAnsiTheme="minorHAnsi" w:cstheme="minorBidi"/>
          <w:noProof/>
          <w:sz w:val="22"/>
          <w:szCs w:val="22"/>
          <w:lang w:val="fr-CH" w:eastAsia="fr-CH"/>
        </w:rPr>
      </w:pPr>
      <w:hyperlink w:anchor="_Toc31967169" w:history="1">
        <w:r w:rsidR="004E744E" w:rsidRPr="00A4065F">
          <w:rPr>
            <w:rStyle w:val="Hyperlink"/>
            <w:noProof/>
          </w:rPr>
          <w:t>7.9</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Questionnaires for developing countries</w:t>
        </w:r>
        <w:r w:rsidR="004E744E">
          <w:rPr>
            <w:noProof/>
            <w:webHidden/>
          </w:rPr>
          <w:tab/>
        </w:r>
        <w:r w:rsidR="004E744E">
          <w:rPr>
            <w:noProof/>
            <w:webHidden/>
          </w:rPr>
          <w:fldChar w:fldCharType="begin"/>
        </w:r>
        <w:r w:rsidR="004E744E">
          <w:rPr>
            <w:noProof/>
            <w:webHidden/>
          </w:rPr>
          <w:instrText xml:space="preserve"> PAGEREF _Toc31967169 \h </w:instrText>
        </w:r>
        <w:r w:rsidR="004E744E">
          <w:rPr>
            <w:noProof/>
            <w:webHidden/>
          </w:rPr>
        </w:r>
        <w:r w:rsidR="004E744E">
          <w:rPr>
            <w:noProof/>
            <w:webHidden/>
          </w:rPr>
          <w:fldChar w:fldCharType="separate"/>
        </w:r>
        <w:r w:rsidR="004E744E">
          <w:rPr>
            <w:noProof/>
            <w:webHidden/>
          </w:rPr>
          <w:t>19</w:t>
        </w:r>
        <w:r w:rsidR="004E744E">
          <w:rPr>
            <w:noProof/>
            <w:webHidden/>
          </w:rPr>
          <w:fldChar w:fldCharType="end"/>
        </w:r>
      </w:hyperlink>
    </w:p>
    <w:p w14:paraId="53994C3B" w14:textId="732DA8CC" w:rsidR="004E744E" w:rsidRDefault="00F60C99">
      <w:pPr>
        <w:pStyle w:val="TOC1"/>
        <w:rPr>
          <w:rFonts w:asciiTheme="minorHAnsi" w:eastAsiaTheme="minorEastAsia" w:hAnsiTheme="minorHAnsi" w:cstheme="minorBidi"/>
          <w:noProof/>
          <w:sz w:val="22"/>
          <w:szCs w:val="22"/>
          <w:lang w:val="fr-CH" w:eastAsia="fr-CH"/>
        </w:rPr>
      </w:pPr>
      <w:hyperlink w:anchor="_Toc31967170" w:history="1">
        <w:r w:rsidR="004E744E" w:rsidRPr="00A4065F">
          <w:rPr>
            <w:rStyle w:val="Hyperlink"/>
            <w:noProof/>
          </w:rPr>
          <w:t>8</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Membership</w:t>
        </w:r>
        <w:r w:rsidR="004E744E">
          <w:rPr>
            <w:noProof/>
            <w:webHidden/>
          </w:rPr>
          <w:tab/>
        </w:r>
        <w:r w:rsidR="004E744E">
          <w:rPr>
            <w:noProof/>
            <w:webHidden/>
          </w:rPr>
          <w:fldChar w:fldCharType="begin"/>
        </w:r>
        <w:r w:rsidR="004E744E">
          <w:rPr>
            <w:noProof/>
            <w:webHidden/>
          </w:rPr>
          <w:instrText xml:space="preserve"> PAGEREF _Toc31967170 \h </w:instrText>
        </w:r>
        <w:r w:rsidR="004E744E">
          <w:rPr>
            <w:noProof/>
            <w:webHidden/>
          </w:rPr>
        </w:r>
        <w:r w:rsidR="004E744E">
          <w:rPr>
            <w:noProof/>
            <w:webHidden/>
          </w:rPr>
          <w:fldChar w:fldCharType="separate"/>
        </w:r>
        <w:r w:rsidR="004E744E">
          <w:rPr>
            <w:noProof/>
            <w:webHidden/>
          </w:rPr>
          <w:t>20</w:t>
        </w:r>
        <w:r w:rsidR="004E744E">
          <w:rPr>
            <w:noProof/>
            <w:webHidden/>
          </w:rPr>
          <w:fldChar w:fldCharType="end"/>
        </w:r>
      </w:hyperlink>
    </w:p>
    <w:p w14:paraId="3B0E46AE" w14:textId="4E66E565" w:rsidR="004E744E" w:rsidRDefault="00F60C99">
      <w:pPr>
        <w:pStyle w:val="TOC2"/>
        <w:rPr>
          <w:rFonts w:asciiTheme="minorHAnsi" w:eastAsiaTheme="minorEastAsia" w:hAnsiTheme="minorHAnsi" w:cstheme="minorBidi"/>
          <w:noProof/>
          <w:sz w:val="22"/>
          <w:szCs w:val="22"/>
          <w:lang w:val="fr-CH" w:eastAsia="fr-CH"/>
        </w:rPr>
      </w:pPr>
      <w:hyperlink w:anchor="_Toc31967171" w:history="1">
        <w:r w:rsidR="004E744E" w:rsidRPr="00A4065F">
          <w:rPr>
            <w:rStyle w:val="Hyperlink"/>
            <w:noProof/>
          </w:rPr>
          <w:t>8.1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Evolution of ITU-T membership</w:t>
        </w:r>
        <w:r w:rsidR="004E744E">
          <w:rPr>
            <w:noProof/>
            <w:webHidden/>
          </w:rPr>
          <w:tab/>
        </w:r>
        <w:r w:rsidR="004E744E">
          <w:rPr>
            <w:noProof/>
            <w:webHidden/>
          </w:rPr>
          <w:fldChar w:fldCharType="begin"/>
        </w:r>
        <w:r w:rsidR="004E744E">
          <w:rPr>
            <w:noProof/>
            <w:webHidden/>
          </w:rPr>
          <w:instrText xml:space="preserve"> PAGEREF _Toc31967171 \h </w:instrText>
        </w:r>
        <w:r w:rsidR="004E744E">
          <w:rPr>
            <w:noProof/>
            <w:webHidden/>
          </w:rPr>
        </w:r>
        <w:r w:rsidR="004E744E">
          <w:rPr>
            <w:noProof/>
            <w:webHidden/>
          </w:rPr>
          <w:fldChar w:fldCharType="separate"/>
        </w:r>
        <w:r w:rsidR="004E744E">
          <w:rPr>
            <w:noProof/>
            <w:webHidden/>
          </w:rPr>
          <w:t>20</w:t>
        </w:r>
        <w:r w:rsidR="004E744E">
          <w:rPr>
            <w:noProof/>
            <w:webHidden/>
          </w:rPr>
          <w:fldChar w:fldCharType="end"/>
        </w:r>
      </w:hyperlink>
    </w:p>
    <w:p w14:paraId="2DBA537C" w14:textId="06107111" w:rsidR="004E744E" w:rsidRDefault="00F60C99">
      <w:pPr>
        <w:pStyle w:val="TOC2"/>
        <w:rPr>
          <w:rFonts w:asciiTheme="minorHAnsi" w:eastAsiaTheme="minorEastAsia" w:hAnsiTheme="minorHAnsi" w:cstheme="minorBidi"/>
          <w:noProof/>
          <w:sz w:val="22"/>
          <w:szCs w:val="22"/>
          <w:lang w:val="fr-CH" w:eastAsia="fr-CH"/>
        </w:rPr>
      </w:pPr>
      <w:hyperlink w:anchor="_Toc31967172" w:history="1">
        <w:r w:rsidR="004E744E" w:rsidRPr="00A4065F">
          <w:rPr>
            <w:rStyle w:val="Hyperlink"/>
            <w:noProof/>
          </w:rPr>
          <w:t>8.2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Implementation of SME Pilot Project</w:t>
        </w:r>
        <w:r w:rsidR="004E744E">
          <w:rPr>
            <w:noProof/>
            <w:webHidden/>
          </w:rPr>
          <w:tab/>
        </w:r>
        <w:r w:rsidR="004E744E">
          <w:rPr>
            <w:noProof/>
            <w:webHidden/>
          </w:rPr>
          <w:fldChar w:fldCharType="begin"/>
        </w:r>
        <w:r w:rsidR="004E744E">
          <w:rPr>
            <w:noProof/>
            <w:webHidden/>
          </w:rPr>
          <w:instrText xml:space="preserve"> PAGEREF _Toc31967172 \h </w:instrText>
        </w:r>
        <w:r w:rsidR="004E744E">
          <w:rPr>
            <w:noProof/>
            <w:webHidden/>
          </w:rPr>
        </w:r>
        <w:r w:rsidR="004E744E">
          <w:rPr>
            <w:noProof/>
            <w:webHidden/>
          </w:rPr>
          <w:fldChar w:fldCharType="separate"/>
        </w:r>
        <w:r w:rsidR="004E744E">
          <w:rPr>
            <w:noProof/>
            <w:webHidden/>
          </w:rPr>
          <w:t>21</w:t>
        </w:r>
        <w:r w:rsidR="004E744E">
          <w:rPr>
            <w:noProof/>
            <w:webHidden/>
          </w:rPr>
          <w:fldChar w:fldCharType="end"/>
        </w:r>
      </w:hyperlink>
    </w:p>
    <w:p w14:paraId="60218074" w14:textId="330589F1" w:rsidR="004E744E" w:rsidRDefault="00F60C99">
      <w:pPr>
        <w:pStyle w:val="TOC1"/>
        <w:rPr>
          <w:rFonts w:asciiTheme="minorHAnsi" w:eastAsiaTheme="minorEastAsia" w:hAnsiTheme="minorHAnsi" w:cstheme="minorBidi"/>
          <w:noProof/>
          <w:sz w:val="22"/>
          <w:szCs w:val="22"/>
          <w:lang w:val="fr-CH" w:eastAsia="fr-CH"/>
        </w:rPr>
      </w:pPr>
      <w:hyperlink w:anchor="_Toc31967173" w:history="1">
        <w:r w:rsidR="004E744E" w:rsidRPr="00A4065F">
          <w:rPr>
            <w:rStyle w:val="Hyperlink"/>
            <w:noProof/>
          </w:rPr>
          <w:t>9</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Gender</w:t>
        </w:r>
        <w:r w:rsidR="004E744E">
          <w:rPr>
            <w:noProof/>
            <w:webHidden/>
          </w:rPr>
          <w:tab/>
        </w:r>
        <w:r w:rsidR="004E744E">
          <w:rPr>
            <w:noProof/>
            <w:webHidden/>
          </w:rPr>
          <w:fldChar w:fldCharType="begin"/>
        </w:r>
        <w:r w:rsidR="004E744E">
          <w:rPr>
            <w:noProof/>
            <w:webHidden/>
          </w:rPr>
          <w:instrText xml:space="preserve"> PAGEREF _Toc31967173 \h </w:instrText>
        </w:r>
        <w:r w:rsidR="004E744E">
          <w:rPr>
            <w:noProof/>
            <w:webHidden/>
          </w:rPr>
        </w:r>
        <w:r w:rsidR="004E744E">
          <w:rPr>
            <w:noProof/>
            <w:webHidden/>
          </w:rPr>
          <w:fldChar w:fldCharType="separate"/>
        </w:r>
        <w:r w:rsidR="004E744E">
          <w:rPr>
            <w:noProof/>
            <w:webHidden/>
          </w:rPr>
          <w:t>22</w:t>
        </w:r>
        <w:r w:rsidR="004E744E">
          <w:rPr>
            <w:noProof/>
            <w:webHidden/>
          </w:rPr>
          <w:fldChar w:fldCharType="end"/>
        </w:r>
      </w:hyperlink>
    </w:p>
    <w:p w14:paraId="0049DC21" w14:textId="6BB45D20" w:rsidR="004E744E" w:rsidRDefault="00F60C99">
      <w:pPr>
        <w:pStyle w:val="TOC1"/>
        <w:rPr>
          <w:rFonts w:asciiTheme="minorHAnsi" w:eastAsiaTheme="minorEastAsia" w:hAnsiTheme="minorHAnsi" w:cstheme="minorBidi"/>
          <w:noProof/>
          <w:sz w:val="22"/>
          <w:szCs w:val="22"/>
          <w:lang w:val="fr-CH" w:eastAsia="fr-CH"/>
        </w:rPr>
      </w:pPr>
      <w:hyperlink w:anchor="_Toc31967174" w:history="1">
        <w:r w:rsidR="004E744E" w:rsidRPr="00A4065F">
          <w:rPr>
            <w:rStyle w:val="Hyperlink"/>
            <w:noProof/>
          </w:rPr>
          <w:t>10</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Academia</w:t>
        </w:r>
        <w:r w:rsidR="004E744E">
          <w:rPr>
            <w:noProof/>
            <w:webHidden/>
          </w:rPr>
          <w:tab/>
        </w:r>
        <w:r w:rsidR="004E744E">
          <w:rPr>
            <w:noProof/>
            <w:webHidden/>
          </w:rPr>
          <w:fldChar w:fldCharType="begin"/>
        </w:r>
        <w:r w:rsidR="004E744E">
          <w:rPr>
            <w:noProof/>
            <w:webHidden/>
          </w:rPr>
          <w:instrText xml:space="preserve"> PAGEREF _Toc31967174 \h </w:instrText>
        </w:r>
        <w:r w:rsidR="004E744E">
          <w:rPr>
            <w:noProof/>
            <w:webHidden/>
          </w:rPr>
        </w:r>
        <w:r w:rsidR="004E744E">
          <w:rPr>
            <w:noProof/>
            <w:webHidden/>
          </w:rPr>
          <w:fldChar w:fldCharType="separate"/>
        </w:r>
        <w:r w:rsidR="004E744E">
          <w:rPr>
            <w:noProof/>
            <w:webHidden/>
          </w:rPr>
          <w:t>22</w:t>
        </w:r>
        <w:r w:rsidR="004E744E">
          <w:rPr>
            <w:noProof/>
            <w:webHidden/>
          </w:rPr>
          <w:fldChar w:fldCharType="end"/>
        </w:r>
      </w:hyperlink>
    </w:p>
    <w:p w14:paraId="2C8E8660" w14:textId="0A5F993E" w:rsidR="004E744E" w:rsidRDefault="00F60C99">
      <w:pPr>
        <w:pStyle w:val="TOC2"/>
        <w:rPr>
          <w:rFonts w:asciiTheme="minorHAnsi" w:eastAsiaTheme="minorEastAsia" w:hAnsiTheme="minorHAnsi" w:cstheme="minorBidi"/>
          <w:noProof/>
          <w:sz w:val="22"/>
          <w:szCs w:val="22"/>
          <w:lang w:val="fr-CH" w:eastAsia="fr-CH"/>
        </w:rPr>
      </w:pPr>
      <w:hyperlink w:anchor="_Toc31967175" w:history="1">
        <w:r w:rsidR="004E744E" w:rsidRPr="00A4065F">
          <w:rPr>
            <w:rStyle w:val="Hyperlink"/>
            <w:noProof/>
          </w:rPr>
          <w:t>10.1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 Kaleidoscope academic conferences</w:t>
        </w:r>
        <w:r w:rsidR="004E744E">
          <w:rPr>
            <w:noProof/>
            <w:webHidden/>
          </w:rPr>
          <w:tab/>
        </w:r>
        <w:r w:rsidR="004E744E">
          <w:rPr>
            <w:noProof/>
            <w:webHidden/>
          </w:rPr>
          <w:fldChar w:fldCharType="begin"/>
        </w:r>
        <w:r w:rsidR="004E744E">
          <w:rPr>
            <w:noProof/>
            <w:webHidden/>
          </w:rPr>
          <w:instrText xml:space="preserve"> PAGEREF _Toc31967175 \h </w:instrText>
        </w:r>
        <w:r w:rsidR="004E744E">
          <w:rPr>
            <w:noProof/>
            <w:webHidden/>
          </w:rPr>
        </w:r>
        <w:r w:rsidR="004E744E">
          <w:rPr>
            <w:noProof/>
            <w:webHidden/>
          </w:rPr>
          <w:fldChar w:fldCharType="separate"/>
        </w:r>
        <w:r w:rsidR="004E744E">
          <w:rPr>
            <w:noProof/>
            <w:webHidden/>
          </w:rPr>
          <w:t>22</w:t>
        </w:r>
        <w:r w:rsidR="004E744E">
          <w:rPr>
            <w:noProof/>
            <w:webHidden/>
          </w:rPr>
          <w:fldChar w:fldCharType="end"/>
        </w:r>
      </w:hyperlink>
    </w:p>
    <w:p w14:paraId="72C5E70B" w14:textId="0104AFAC" w:rsidR="004E744E" w:rsidRDefault="00F60C99">
      <w:pPr>
        <w:pStyle w:val="TOC2"/>
        <w:rPr>
          <w:rFonts w:asciiTheme="minorHAnsi" w:eastAsiaTheme="minorEastAsia" w:hAnsiTheme="minorHAnsi" w:cstheme="minorBidi"/>
          <w:noProof/>
          <w:sz w:val="22"/>
          <w:szCs w:val="22"/>
          <w:lang w:val="fr-CH" w:eastAsia="fr-CH"/>
        </w:rPr>
      </w:pPr>
      <w:hyperlink w:anchor="_Toc31967176" w:history="1">
        <w:r w:rsidR="004E744E" w:rsidRPr="00A4065F">
          <w:rPr>
            <w:rStyle w:val="Hyperlink"/>
            <w:noProof/>
          </w:rPr>
          <w:t>10.2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 xml:space="preserve">ITU Journal: </w:t>
        </w:r>
        <w:r w:rsidR="004E744E" w:rsidRPr="00A4065F">
          <w:rPr>
            <w:rStyle w:val="Hyperlink"/>
            <w:i/>
            <w:iCs/>
            <w:noProof/>
          </w:rPr>
          <w:t>ICT Discoveries</w:t>
        </w:r>
        <w:r w:rsidR="004E744E">
          <w:rPr>
            <w:noProof/>
            <w:webHidden/>
          </w:rPr>
          <w:tab/>
        </w:r>
        <w:r w:rsidR="004E744E">
          <w:rPr>
            <w:noProof/>
            <w:webHidden/>
          </w:rPr>
          <w:fldChar w:fldCharType="begin"/>
        </w:r>
        <w:r w:rsidR="004E744E">
          <w:rPr>
            <w:noProof/>
            <w:webHidden/>
          </w:rPr>
          <w:instrText xml:space="preserve"> PAGEREF _Toc31967176 \h </w:instrText>
        </w:r>
        <w:r w:rsidR="004E744E">
          <w:rPr>
            <w:noProof/>
            <w:webHidden/>
          </w:rPr>
        </w:r>
        <w:r w:rsidR="004E744E">
          <w:rPr>
            <w:noProof/>
            <w:webHidden/>
          </w:rPr>
          <w:fldChar w:fldCharType="separate"/>
        </w:r>
        <w:r w:rsidR="004E744E">
          <w:rPr>
            <w:noProof/>
            <w:webHidden/>
          </w:rPr>
          <w:t>22</w:t>
        </w:r>
        <w:r w:rsidR="004E744E">
          <w:rPr>
            <w:noProof/>
            <w:webHidden/>
          </w:rPr>
          <w:fldChar w:fldCharType="end"/>
        </w:r>
      </w:hyperlink>
    </w:p>
    <w:p w14:paraId="2D3D74E1" w14:textId="0CF3DFA2" w:rsidR="004E744E" w:rsidRDefault="00F60C99">
      <w:pPr>
        <w:pStyle w:val="TOC2"/>
        <w:rPr>
          <w:rFonts w:asciiTheme="minorHAnsi" w:eastAsiaTheme="minorEastAsia" w:hAnsiTheme="minorHAnsi" w:cstheme="minorBidi"/>
          <w:noProof/>
          <w:sz w:val="22"/>
          <w:szCs w:val="22"/>
          <w:lang w:val="fr-CH" w:eastAsia="fr-CH"/>
        </w:rPr>
      </w:pPr>
      <w:hyperlink w:anchor="_Toc31967177" w:history="1">
        <w:r w:rsidR="004E744E" w:rsidRPr="00A4065F">
          <w:rPr>
            <w:rStyle w:val="Hyperlink"/>
            <w:noProof/>
          </w:rPr>
          <w:t>10.3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World Standards Cooperation and Academia</w:t>
        </w:r>
        <w:r w:rsidR="004E744E">
          <w:rPr>
            <w:noProof/>
            <w:webHidden/>
          </w:rPr>
          <w:tab/>
        </w:r>
        <w:r w:rsidR="004E744E">
          <w:rPr>
            <w:noProof/>
            <w:webHidden/>
          </w:rPr>
          <w:fldChar w:fldCharType="begin"/>
        </w:r>
        <w:r w:rsidR="004E744E">
          <w:rPr>
            <w:noProof/>
            <w:webHidden/>
          </w:rPr>
          <w:instrText xml:space="preserve"> PAGEREF _Toc31967177 \h </w:instrText>
        </w:r>
        <w:r w:rsidR="004E744E">
          <w:rPr>
            <w:noProof/>
            <w:webHidden/>
          </w:rPr>
        </w:r>
        <w:r w:rsidR="004E744E">
          <w:rPr>
            <w:noProof/>
            <w:webHidden/>
          </w:rPr>
          <w:fldChar w:fldCharType="separate"/>
        </w:r>
        <w:r w:rsidR="004E744E">
          <w:rPr>
            <w:noProof/>
            <w:webHidden/>
          </w:rPr>
          <w:t>22</w:t>
        </w:r>
        <w:r w:rsidR="004E744E">
          <w:rPr>
            <w:noProof/>
            <w:webHidden/>
          </w:rPr>
          <w:fldChar w:fldCharType="end"/>
        </w:r>
      </w:hyperlink>
    </w:p>
    <w:p w14:paraId="29B99429" w14:textId="3DBEDFB3" w:rsidR="004E744E" w:rsidRDefault="00F60C99">
      <w:pPr>
        <w:pStyle w:val="TOC1"/>
        <w:rPr>
          <w:rFonts w:asciiTheme="minorHAnsi" w:eastAsiaTheme="minorEastAsia" w:hAnsiTheme="minorHAnsi" w:cstheme="minorBidi"/>
          <w:noProof/>
          <w:sz w:val="22"/>
          <w:szCs w:val="22"/>
          <w:lang w:val="fr-CH" w:eastAsia="fr-CH"/>
        </w:rPr>
      </w:pPr>
      <w:hyperlink w:anchor="_Toc31967178" w:history="1">
        <w:r w:rsidR="004E744E" w:rsidRPr="00A4065F">
          <w:rPr>
            <w:rStyle w:val="Hyperlink"/>
            <w:noProof/>
          </w:rPr>
          <w:t>11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Publications</w:t>
        </w:r>
        <w:r w:rsidR="004E744E">
          <w:rPr>
            <w:noProof/>
            <w:webHidden/>
          </w:rPr>
          <w:tab/>
        </w:r>
        <w:r w:rsidR="004E744E">
          <w:rPr>
            <w:noProof/>
            <w:webHidden/>
          </w:rPr>
          <w:fldChar w:fldCharType="begin"/>
        </w:r>
        <w:r w:rsidR="004E744E">
          <w:rPr>
            <w:noProof/>
            <w:webHidden/>
          </w:rPr>
          <w:instrText xml:space="preserve"> PAGEREF _Toc31967178 \h </w:instrText>
        </w:r>
        <w:r w:rsidR="004E744E">
          <w:rPr>
            <w:noProof/>
            <w:webHidden/>
          </w:rPr>
        </w:r>
        <w:r w:rsidR="004E744E">
          <w:rPr>
            <w:noProof/>
            <w:webHidden/>
          </w:rPr>
          <w:fldChar w:fldCharType="separate"/>
        </w:r>
        <w:r w:rsidR="004E744E">
          <w:rPr>
            <w:noProof/>
            <w:webHidden/>
          </w:rPr>
          <w:t>23</w:t>
        </w:r>
        <w:r w:rsidR="004E744E">
          <w:rPr>
            <w:noProof/>
            <w:webHidden/>
          </w:rPr>
          <w:fldChar w:fldCharType="end"/>
        </w:r>
      </w:hyperlink>
    </w:p>
    <w:p w14:paraId="4F75BA1E" w14:textId="1AE18A97" w:rsidR="004E744E" w:rsidRDefault="00F60C99">
      <w:pPr>
        <w:pStyle w:val="TOC1"/>
        <w:rPr>
          <w:rFonts w:asciiTheme="minorHAnsi" w:eastAsiaTheme="minorEastAsia" w:hAnsiTheme="minorHAnsi" w:cstheme="minorBidi"/>
          <w:noProof/>
          <w:sz w:val="22"/>
          <w:szCs w:val="22"/>
          <w:lang w:val="fr-CH" w:eastAsia="fr-CH"/>
        </w:rPr>
      </w:pPr>
      <w:hyperlink w:anchor="_Toc31967179" w:history="1">
        <w:r w:rsidR="004E744E" w:rsidRPr="00A4065F">
          <w:rPr>
            <w:rStyle w:val="Hyperlink"/>
            <w:noProof/>
          </w:rPr>
          <w:t>12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Media and promotion</w:t>
        </w:r>
        <w:r w:rsidR="004E744E">
          <w:rPr>
            <w:noProof/>
            <w:webHidden/>
          </w:rPr>
          <w:tab/>
        </w:r>
        <w:r w:rsidR="004E744E">
          <w:rPr>
            <w:noProof/>
            <w:webHidden/>
          </w:rPr>
          <w:fldChar w:fldCharType="begin"/>
        </w:r>
        <w:r w:rsidR="004E744E">
          <w:rPr>
            <w:noProof/>
            <w:webHidden/>
          </w:rPr>
          <w:instrText xml:space="preserve"> PAGEREF _Toc31967179 \h </w:instrText>
        </w:r>
        <w:r w:rsidR="004E744E">
          <w:rPr>
            <w:noProof/>
            <w:webHidden/>
          </w:rPr>
        </w:r>
        <w:r w:rsidR="004E744E">
          <w:rPr>
            <w:noProof/>
            <w:webHidden/>
          </w:rPr>
          <w:fldChar w:fldCharType="separate"/>
        </w:r>
        <w:r w:rsidR="004E744E">
          <w:rPr>
            <w:noProof/>
            <w:webHidden/>
          </w:rPr>
          <w:t>23</w:t>
        </w:r>
        <w:r w:rsidR="004E744E">
          <w:rPr>
            <w:noProof/>
            <w:webHidden/>
          </w:rPr>
          <w:fldChar w:fldCharType="end"/>
        </w:r>
      </w:hyperlink>
    </w:p>
    <w:p w14:paraId="7271E6D7" w14:textId="5CFE15DA" w:rsidR="004E744E" w:rsidRDefault="00F60C99">
      <w:pPr>
        <w:pStyle w:val="TOC1"/>
        <w:rPr>
          <w:rFonts w:asciiTheme="minorHAnsi" w:eastAsiaTheme="minorEastAsia" w:hAnsiTheme="minorHAnsi" w:cstheme="minorBidi"/>
          <w:noProof/>
          <w:sz w:val="22"/>
          <w:szCs w:val="22"/>
          <w:lang w:val="fr-CH" w:eastAsia="fr-CH"/>
        </w:rPr>
      </w:pPr>
      <w:hyperlink w:anchor="_Toc31967180" w:history="1">
        <w:r w:rsidR="004E744E" w:rsidRPr="00A4065F">
          <w:rPr>
            <w:rStyle w:val="Hyperlink"/>
            <w:noProof/>
          </w:rPr>
          <w:t>13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Services and tools</w:t>
        </w:r>
        <w:r w:rsidR="004E744E">
          <w:rPr>
            <w:noProof/>
            <w:webHidden/>
          </w:rPr>
          <w:tab/>
        </w:r>
        <w:r w:rsidR="004E744E">
          <w:rPr>
            <w:noProof/>
            <w:webHidden/>
          </w:rPr>
          <w:fldChar w:fldCharType="begin"/>
        </w:r>
        <w:r w:rsidR="004E744E">
          <w:rPr>
            <w:noProof/>
            <w:webHidden/>
          </w:rPr>
          <w:instrText xml:space="preserve"> PAGEREF _Toc31967180 \h </w:instrText>
        </w:r>
        <w:r w:rsidR="004E744E">
          <w:rPr>
            <w:noProof/>
            <w:webHidden/>
          </w:rPr>
        </w:r>
        <w:r w:rsidR="004E744E">
          <w:rPr>
            <w:noProof/>
            <w:webHidden/>
          </w:rPr>
          <w:fldChar w:fldCharType="separate"/>
        </w:r>
        <w:r w:rsidR="004E744E">
          <w:rPr>
            <w:noProof/>
            <w:webHidden/>
          </w:rPr>
          <w:t>24</w:t>
        </w:r>
        <w:r w:rsidR="004E744E">
          <w:rPr>
            <w:noProof/>
            <w:webHidden/>
          </w:rPr>
          <w:fldChar w:fldCharType="end"/>
        </w:r>
      </w:hyperlink>
    </w:p>
    <w:p w14:paraId="16B1AD0F" w14:textId="0D3DE440" w:rsidR="004E744E" w:rsidRDefault="00F60C99">
      <w:pPr>
        <w:pStyle w:val="TOC2"/>
        <w:rPr>
          <w:rFonts w:asciiTheme="minorHAnsi" w:eastAsiaTheme="minorEastAsia" w:hAnsiTheme="minorHAnsi" w:cstheme="minorBidi"/>
          <w:noProof/>
          <w:sz w:val="22"/>
          <w:szCs w:val="22"/>
          <w:lang w:val="fr-CH" w:eastAsia="fr-CH"/>
        </w:rPr>
      </w:pPr>
      <w:hyperlink w:anchor="_Toc31967181" w:history="1">
        <w:r w:rsidR="004E744E" w:rsidRPr="00A4065F">
          <w:rPr>
            <w:rStyle w:val="Hyperlink"/>
            <w:noProof/>
          </w:rPr>
          <w:t>13.1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databases</w:t>
        </w:r>
        <w:r w:rsidR="004E744E">
          <w:rPr>
            <w:noProof/>
            <w:webHidden/>
          </w:rPr>
          <w:tab/>
        </w:r>
        <w:r w:rsidR="004E744E">
          <w:rPr>
            <w:noProof/>
            <w:webHidden/>
          </w:rPr>
          <w:fldChar w:fldCharType="begin"/>
        </w:r>
        <w:r w:rsidR="004E744E">
          <w:rPr>
            <w:noProof/>
            <w:webHidden/>
          </w:rPr>
          <w:instrText xml:space="preserve"> PAGEREF _Toc31967181 \h </w:instrText>
        </w:r>
        <w:r w:rsidR="004E744E">
          <w:rPr>
            <w:noProof/>
            <w:webHidden/>
          </w:rPr>
        </w:r>
        <w:r w:rsidR="004E744E">
          <w:rPr>
            <w:noProof/>
            <w:webHidden/>
          </w:rPr>
          <w:fldChar w:fldCharType="separate"/>
        </w:r>
        <w:r w:rsidR="004E744E">
          <w:rPr>
            <w:noProof/>
            <w:webHidden/>
          </w:rPr>
          <w:t>24</w:t>
        </w:r>
        <w:r w:rsidR="004E744E">
          <w:rPr>
            <w:noProof/>
            <w:webHidden/>
          </w:rPr>
          <w:fldChar w:fldCharType="end"/>
        </w:r>
      </w:hyperlink>
    </w:p>
    <w:p w14:paraId="3948E21B" w14:textId="1F4CD220" w:rsidR="004E744E" w:rsidRDefault="00F60C99">
      <w:pPr>
        <w:pStyle w:val="TOC2"/>
        <w:rPr>
          <w:rFonts w:asciiTheme="minorHAnsi" w:eastAsiaTheme="minorEastAsia" w:hAnsiTheme="minorHAnsi" w:cstheme="minorBidi"/>
          <w:noProof/>
          <w:sz w:val="22"/>
          <w:szCs w:val="22"/>
          <w:lang w:val="fr-CH" w:eastAsia="fr-CH"/>
        </w:rPr>
      </w:pPr>
      <w:hyperlink w:anchor="_Toc31967182" w:history="1">
        <w:r w:rsidR="004E744E" w:rsidRPr="00A4065F">
          <w:rPr>
            <w:rStyle w:val="Hyperlink"/>
            <w:noProof/>
          </w:rPr>
          <w:t>13.2</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MyWorkspace</w:t>
        </w:r>
        <w:r w:rsidR="004E744E">
          <w:rPr>
            <w:noProof/>
            <w:webHidden/>
          </w:rPr>
          <w:tab/>
        </w:r>
        <w:r w:rsidR="004E744E">
          <w:rPr>
            <w:noProof/>
            <w:webHidden/>
          </w:rPr>
          <w:fldChar w:fldCharType="begin"/>
        </w:r>
        <w:r w:rsidR="004E744E">
          <w:rPr>
            <w:noProof/>
            <w:webHidden/>
          </w:rPr>
          <w:instrText xml:space="preserve"> PAGEREF _Toc31967182 \h </w:instrText>
        </w:r>
        <w:r w:rsidR="004E744E">
          <w:rPr>
            <w:noProof/>
            <w:webHidden/>
          </w:rPr>
        </w:r>
        <w:r w:rsidR="004E744E">
          <w:rPr>
            <w:noProof/>
            <w:webHidden/>
          </w:rPr>
          <w:fldChar w:fldCharType="separate"/>
        </w:r>
        <w:r w:rsidR="004E744E">
          <w:rPr>
            <w:noProof/>
            <w:webHidden/>
          </w:rPr>
          <w:t>24</w:t>
        </w:r>
        <w:r w:rsidR="004E744E">
          <w:rPr>
            <w:noProof/>
            <w:webHidden/>
          </w:rPr>
          <w:fldChar w:fldCharType="end"/>
        </w:r>
      </w:hyperlink>
    </w:p>
    <w:p w14:paraId="3C16EE7D" w14:textId="1A350C58" w:rsidR="004E744E" w:rsidRDefault="00F60C99">
      <w:pPr>
        <w:pStyle w:val="TOC2"/>
        <w:rPr>
          <w:rFonts w:asciiTheme="minorHAnsi" w:eastAsiaTheme="minorEastAsia" w:hAnsiTheme="minorHAnsi" w:cstheme="minorBidi"/>
          <w:noProof/>
          <w:sz w:val="22"/>
          <w:szCs w:val="22"/>
          <w:lang w:val="fr-CH" w:eastAsia="fr-CH"/>
        </w:rPr>
      </w:pPr>
      <w:hyperlink w:anchor="_Toc31967183" w:history="1">
        <w:r w:rsidR="004E744E" w:rsidRPr="00A4065F">
          <w:rPr>
            <w:rStyle w:val="Hyperlink"/>
            <w:noProof/>
          </w:rPr>
          <w:t>13.3</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 search engine</w:t>
        </w:r>
        <w:r w:rsidR="004E744E">
          <w:rPr>
            <w:noProof/>
            <w:webHidden/>
          </w:rPr>
          <w:tab/>
        </w:r>
        <w:r w:rsidR="004E744E">
          <w:rPr>
            <w:noProof/>
            <w:webHidden/>
          </w:rPr>
          <w:fldChar w:fldCharType="begin"/>
        </w:r>
        <w:r w:rsidR="004E744E">
          <w:rPr>
            <w:noProof/>
            <w:webHidden/>
          </w:rPr>
          <w:instrText xml:space="preserve"> PAGEREF _Toc31967183 \h </w:instrText>
        </w:r>
        <w:r w:rsidR="004E744E">
          <w:rPr>
            <w:noProof/>
            <w:webHidden/>
          </w:rPr>
        </w:r>
        <w:r w:rsidR="004E744E">
          <w:rPr>
            <w:noProof/>
            <w:webHidden/>
          </w:rPr>
          <w:fldChar w:fldCharType="separate"/>
        </w:r>
        <w:r w:rsidR="004E744E">
          <w:rPr>
            <w:noProof/>
            <w:webHidden/>
          </w:rPr>
          <w:t>25</w:t>
        </w:r>
        <w:r w:rsidR="004E744E">
          <w:rPr>
            <w:noProof/>
            <w:webHidden/>
          </w:rPr>
          <w:fldChar w:fldCharType="end"/>
        </w:r>
      </w:hyperlink>
    </w:p>
    <w:p w14:paraId="56C81297" w14:textId="4B69BB0C" w:rsidR="004E744E" w:rsidRDefault="00F60C99">
      <w:pPr>
        <w:pStyle w:val="TOC2"/>
        <w:rPr>
          <w:rFonts w:asciiTheme="minorHAnsi" w:eastAsiaTheme="minorEastAsia" w:hAnsiTheme="minorHAnsi" w:cstheme="minorBidi"/>
          <w:noProof/>
          <w:sz w:val="22"/>
          <w:szCs w:val="22"/>
          <w:lang w:val="fr-CH" w:eastAsia="fr-CH"/>
        </w:rPr>
      </w:pPr>
      <w:hyperlink w:anchor="_Toc31967184" w:history="1">
        <w:r w:rsidR="004E744E" w:rsidRPr="00A4065F">
          <w:rPr>
            <w:rStyle w:val="Hyperlink"/>
            <w:noProof/>
          </w:rPr>
          <w:t>13.4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services &amp; tools announcements</w:t>
        </w:r>
        <w:r w:rsidR="004E744E">
          <w:rPr>
            <w:noProof/>
            <w:webHidden/>
          </w:rPr>
          <w:tab/>
        </w:r>
        <w:r w:rsidR="004E744E">
          <w:rPr>
            <w:noProof/>
            <w:webHidden/>
          </w:rPr>
          <w:fldChar w:fldCharType="begin"/>
        </w:r>
        <w:r w:rsidR="004E744E">
          <w:rPr>
            <w:noProof/>
            <w:webHidden/>
          </w:rPr>
          <w:instrText xml:space="preserve"> PAGEREF _Toc31967184 \h </w:instrText>
        </w:r>
        <w:r w:rsidR="004E744E">
          <w:rPr>
            <w:noProof/>
            <w:webHidden/>
          </w:rPr>
        </w:r>
        <w:r w:rsidR="004E744E">
          <w:rPr>
            <w:noProof/>
            <w:webHidden/>
          </w:rPr>
          <w:fldChar w:fldCharType="separate"/>
        </w:r>
        <w:r w:rsidR="004E744E">
          <w:rPr>
            <w:noProof/>
            <w:webHidden/>
          </w:rPr>
          <w:t>25</w:t>
        </w:r>
        <w:r w:rsidR="004E744E">
          <w:rPr>
            <w:noProof/>
            <w:webHidden/>
          </w:rPr>
          <w:fldChar w:fldCharType="end"/>
        </w:r>
      </w:hyperlink>
    </w:p>
    <w:p w14:paraId="547E1B3F" w14:textId="375E6A7D" w:rsidR="004E744E" w:rsidRDefault="00F60C99">
      <w:pPr>
        <w:pStyle w:val="TOC2"/>
        <w:rPr>
          <w:rFonts w:asciiTheme="minorHAnsi" w:eastAsiaTheme="minorEastAsia" w:hAnsiTheme="minorHAnsi" w:cstheme="minorBidi"/>
          <w:noProof/>
          <w:sz w:val="22"/>
          <w:szCs w:val="22"/>
          <w:lang w:val="fr-CH" w:eastAsia="fr-CH"/>
        </w:rPr>
      </w:pPr>
      <w:hyperlink w:anchor="_Toc31967185" w:history="1">
        <w:r w:rsidR="004E744E" w:rsidRPr="00A4065F">
          <w:rPr>
            <w:rStyle w:val="Hyperlink"/>
            <w:noProof/>
          </w:rPr>
          <w:t>13.5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Document Management System for Rapporteur Groups</w:t>
        </w:r>
        <w:r w:rsidR="004E744E">
          <w:rPr>
            <w:noProof/>
            <w:webHidden/>
          </w:rPr>
          <w:tab/>
        </w:r>
        <w:r w:rsidR="004E744E">
          <w:rPr>
            <w:noProof/>
            <w:webHidden/>
          </w:rPr>
          <w:fldChar w:fldCharType="begin"/>
        </w:r>
        <w:r w:rsidR="004E744E">
          <w:rPr>
            <w:noProof/>
            <w:webHidden/>
          </w:rPr>
          <w:instrText xml:space="preserve"> PAGEREF _Toc31967185 \h </w:instrText>
        </w:r>
        <w:r w:rsidR="004E744E">
          <w:rPr>
            <w:noProof/>
            <w:webHidden/>
          </w:rPr>
        </w:r>
        <w:r w:rsidR="004E744E">
          <w:rPr>
            <w:noProof/>
            <w:webHidden/>
          </w:rPr>
          <w:fldChar w:fldCharType="separate"/>
        </w:r>
        <w:r w:rsidR="004E744E">
          <w:rPr>
            <w:noProof/>
            <w:webHidden/>
          </w:rPr>
          <w:t>25</w:t>
        </w:r>
        <w:r w:rsidR="004E744E">
          <w:rPr>
            <w:noProof/>
            <w:webHidden/>
          </w:rPr>
          <w:fldChar w:fldCharType="end"/>
        </w:r>
      </w:hyperlink>
    </w:p>
    <w:p w14:paraId="04E82B6A" w14:textId="51A5ED0A" w:rsidR="004E744E" w:rsidRDefault="00F60C99">
      <w:pPr>
        <w:pStyle w:val="TOC2"/>
        <w:rPr>
          <w:rFonts w:asciiTheme="minorHAnsi" w:eastAsiaTheme="minorEastAsia" w:hAnsiTheme="minorHAnsi" w:cstheme="minorBidi"/>
          <w:noProof/>
          <w:sz w:val="22"/>
          <w:szCs w:val="22"/>
          <w:lang w:val="fr-CH" w:eastAsia="fr-CH"/>
        </w:rPr>
      </w:pPr>
      <w:hyperlink w:anchor="_Toc31967186" w:history="1">
        <w:r w:rsidR="004E744E" w:rsidRPr="00A4065F">
          <w:rPr>
            <w:rStyle w:val="Hyperlink"/>
            <w:noProof/>
          </w:rPr>
          <w:t>13.6</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International Numbering Resources (INRs)</w:t>
        </w:r>
        <w:r w:rsidR="004E744E">
          <w:rPr>
            <w:noProof/>
            <w:webHidden/>
          </w:rPr>
          <w:tab/>
        </w:r>
        <w:r w:rsidR="004E744E">
          <w:rPr>
            <w:noProof/>
            <w:webHidden/>
          </w:rPr>
          <w:fldChar w:fldCharType="begin"/>
        </w:r>
        <w:r w:rsidR="004E744E">
          <w:rPr>
            <w:noProof/>
            <w:webHidden/>
          </w:rPr>
          <w:instrText xml:space="preserve"> PAGEREF _Toc31967186 \h </w:instrText>
        </w:r>
        <w:r w:rsidR="004E744E">
          <w:rPr>
            <w:noProof/>
            <w:webHidden/>
          </w:rPr>
        </w:r>
        <w:r w:rsidR="004E744E">
          <w:rPr>
            <w:noProof/>
            <w:webHidden/>
          </w:rPr>
          <w:fldChar w:fldCharType="separate"/>
        </w:r>
        <w:r w:rsidR="004E744E">
          <w:rPr>
            <w:noProof/>
            <w:webHidden/>
          </w:rPr>
          <w:t>26</w:t>
        </w:r>
        <w:r w:rsidR="004E744E">
          <w:rPr>
            <w:noProof/>
            <w:webHidden/>
          </w:rPr>
          <w:fldChar w:fldCharType="end"/>
        </w:r>
      </w:hyperlink>
    </w:p>
    <w:p w14:paraId="59D627B8" w14:textId="5CD8111F" w:rsidR="004E744E" w:rsidRDefault="00F60C99">
      <w:pPr>
        <w:pStyle w:val="TOC2"/>
        <w:rPr>
          <w:rFonts w:asciiTheme="minorHAnsi" w:eastAsiaTheme="minorEastAsia" w:hAnsiTheme="minorHAnsi" w:cstheme="minorBidi"/>
          <w:noProof/>
          <w:sz w:val="22"/>
          <w:szCs w:val="22"/>
          <w:lang w:val="fr-CH" w:eastAsia="fr-CH"/>
        </w:rPr>
      </w:pPr>
      <w:hyperlink w:anchor="_Toc31967187" w:history="1">
        <w:r w:rsidR="004E744E" w:rsidRPr="00A4065F">
          <w:rPr>
            <w:rStyle w:val="Hyperlink"/>
            <w:noProof/>
          </w:rPr>
          <w:t>13.7</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 SharePoint collaboration sites</w:t>
        </w:r>
        <w:r w:rsidR="004E744E">
          <w:rPr>
            <w:noProof/>
            <w:webHidden/>
          </w:rPr>
          <w:tab/>
        </w:r>
        <w:r w:rsidR="004E744E">
          <w:rPr>
            <w:noProof/>
            <w:webHidden/>
          </w:rPr>
          <w:fldChar w:fldCharType="begin"/>
        </w:r>
        <w:r w:rsidR="004E744E">
          <w:rPr>
            <w:noProof/>
            <w:webHidden/>
          </w:rPr>
          <w:instrText xml:space="preserve"> PAGEREF _Toc31967187 \h </w:instrText>
        </w:r>
        <w:r w:rsidR="004E744E">
          <w:rPr>
            <w:noProof/>
            <w:webHidden/>
          </w:rPr>
        </w:r>
        <w:r w:rsidR="004E744E">
          <w:rPr>
            <w:noProof/>
            <w:webHidden/>
          </w:rPr>
          <w:fldChar w:fldCharType="separate"/>
        </w:r>
        <w:r w:rsidR="004E744E">
          <w:rPr>
            <w:noProof/>
            <w:webHidden/>
          </w:rPr>
          <w:t>27</w:t>
        </w:r>
        <w:r w:rsidR="004E744E">
          <w:rPr>
            <w:noProof/>
            <w:webHidden/>
          </w:rPr>
          <w:fldChar w:fldCharType="end"/>
        </w:r>
      </w:hyperlink>
    </w:p>
    <w:p w14:paraId="07BEB01D" w14:textId="6829F9A3" w:rsidR="004E744E" w:rsidRDefault="00F60C99">
      <w:pPr>
        <w:pStyle w:val="TOC2"/>
        <w:rPr>
          <w:rFonts w:asciiTheme="minorHAnsi" w:eastAsiaTheme="minorEastAsia" w:hAnsiTheme="minorHAnsi" w:cstheme="minorBidi"/>
          <w:noProof/>
          <w:sz w:val="22"/>
          <w:szCs w:val="22"/>
          <w:lang w:val="fr-CH" w:eastAsia="fr-CH"/>
        </w:rPr>
      </w:pPr>
      <w:hyperlink w:anchor="_Toc31967188" w:history="1">
        <w:r w:rsidR="004E744E" w:rsidRPr="00A4065F">
          <w:rPr>
            <w:rStyle w:val="Hyperlink"/>
            <w:noProof/>
          </w:rPr>
          <w:t>13.8</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Meeting Documents Sync Application</w:t>
        </w:r>
        <w:r w:rsidR="004E744E">
          <w:rPr>
            <w:noProof/>
            <w:webHidden/>
          </w:rPr>
          <w:tab/>
        </w:r>
        <w:r w:rsidR="004E744E">
          <w:rPr>
            <w:noProof/>
            <w:webHidden/>
          </w:rPr>
          <w:fldChar w:fldCharType="begin"/>
        </w:r>
        <w:r w:rsidR="004E744E">
          <w:rPr>
            <w:noProof/>
            <w:webHidden/>
          </w:rPr>
          <w:instrText xml:space="preserve"> PAGEREF _Toc31967188 \h </w:instrText>
        </w:r>
        <w:r w:rsidR="004E744E">
          <w:rPr>
            <w:noProof/>
            <w:webHidden/>
          </w:rPr>
        </w:r>
        <w:r w:rsidR="004E744E">
          <w:rPr>
            <w:noProof/>
            <w:webHidden/>
          </w:rPr>
          <w:fldChar w:fldCharType="separate"/>
        </w:r>
        <w:r w:rsidR="004E744E">
          <w:rPr>
            <w:noProof/>
            <w:webHidden/>
          </w:rPr>
          <w:t>28</w:t>
        </w:r>
        <w:r w:rsidR="004E744E">
          <w:rPr>
            <w:noProof/>
            <w:webHidden/>
          </w:rPr>
          <w:fldChar w:fldCharType="end"/>
        </w:r>
      </w:hyperlink>
    </w:p>
    <w:p w14:paraId="3976FC16" w14:textId="0C458119" w:rsidR="004E744E" w:rsidRDefault="00F60C99">
      <w:pPr>
        <w:pStyle w:val="TOC2"/>
        <w:rPr>
          <w:rFonts w:asciiTheme="minorHAnsi" w:eastAsiaTheme="minorEastAsia" w:hAnsiTheme="minorHAnsi" w:cstheme="minorBidi"/>
          <w:noProof/>
          <w:sz w:val="22"/>
          <w:szCs w:val="22"/>
          <w:lang w:val="fr-CH" w:eastAsia="fr-CH"/>
        </w:rPr>
      </w:pPr>
      <w:hyperlink w:anchor="_Toc31967189" w:history="1">
        <w:r w:rsidR="004E744E" w:rsidRPr="00A4065F">
          <w:rPr>
            <w:rStyle w:val="Hyperlink"/>
            <w:noProof/>
          </w:rPr>
          <w:t>13.9</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Electronic meetings</w:t>
        </w:r>
        <w:r w:rsidR="004E744E">
          <w:rPr>
            <w:noProof/>
            <w:webHidden/>
          </w:rPr>
          <w:tab/>
        </w:r>
        <w:r w:rsidR="004E744E">
          <w:rPr>
            <w:noProof/>
            <w:webHidden/>
          </w:rPr>
          <w:fldChar w:fldCharType="begin"/>
        </w:r>
        <w:r w:rsidR="004E744E">
          <w:rPr>
            <w:noProof/>
            <w:webHidden/>
          </w:rPr>
          <w:instrText xml:space="preserve"> PAGEREF _Toc31967189 \h </w:instrText>
        </w:r>
        <w:r w:rsidR="004E744E">
          <w:rPr>
            <w:noProof/>
            <w:webHidden/>
          </w:rPr>
        </w:r>
        <w:r w:rsidR="004E744E">
          <w:rPr>
            <w:noProof/>
            <w:webHidden/>
          </w:rPr>
          <w:fldChar w:fldCharType="separate"/>
        </w:r>
        <w:r w:rsidR="004E744E">
          <w:rPr>
            <w:noProof/>
            <w:webHidden/>
          </w:rPr>
          <w:t>28</w:t>
        </w:r>
        <w:r w:rsidR="004E744E">
          <w:rPr>
            <w:noProof/>
            <w:webHidden/>
          </w:rPr>
          <w:fldChar w:fldCharType="end"/>
        </w:r>
      </w:hyperlink>
    </w:p>
    <w:p w14:paraId="24B1B0A2" w14:textId="69EB653F" w:rsidR="004E744E" w:rsidRDefault="00F60C99">
      <w:pPr>
        <w:pStyle w:val="TOC2"/>
        <w:rPr>
          <w:rFonts w:asciiTheme="minorHAnsi" w:eastAsiaTheme="minorEastAsia" w:hAnsiTheme="minorHAnsi" w:cstheme="minorBidi"/>
          <w:noProof/>
          <w:sz w:val="22"/>
          <w:szCs w:val="22"/>
          <w:lang w:val="fr-CH" w:eastAsia="fr-CH"/>
        </w:rPr>
      </w:pPr>
      <w:hyperlink w:anchor="_Toc31967190" w:history="1">
        <w:r w:rsidR="004E744E" w:rsidRPr="00A4065F">
          <w:rPr>
            <w:rStyle w:val="Hyperlink"/>
            <w:noProof/>
          </w:rPr>
          <w:t>13.10</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Use in the ITU-T of the official languages of the Union on an equal footing</w:t>
        </w:r>
        <w:r w:rsidR="004E744E">
          <w:rPr>
            <w:noProof/>
            <w:webHidden/>
          </w:rPr>
          <w:tab/>
        </w:r>
        <w:r w:rsidR="004E744E">
          <w:rPr>
            <w:noProof/>
            <w:webHidden/>
          </w:rPr>
          <w:fldChar w:fldCharType="begin"/>
        </w:r>
        <w:r w:rsidR="004E744E">
          <w:rPr>
            <w:noProof/>
            <w:webHidden/>
          </w:rPr>
          <w:instrText xml:space="preserve"> PAGEREF _Toc31967190 \h </w:instrText>
        </w:r>
        <w:r w:rsidR="004E744E">
          <w:rPr>
            <w:noProof/>
            <w:webHidden/>
          </w:rPr>
        </w:r>
        <w:r w:rsidR="004E744E">
          <w:rPr>
            <w:noProof/>
            <w:webHidden/>
          </w:rPr>
          <w:fldChar w:fldCharType="separate"/>
        </w:r>
        <w:r w:rsidR="004E744E">
          <w:rPr>
            <w:noProof/>
            <w:webHidden/>
          </w:rPr>
          <w:t>29</w:t>
        </w:r>
        <w:r w:rsidR="004E744E">
          <w:rPr>
            <w:noProof/>
            <w:webHidden/>
          </w:rPr>
          <w:fldChar w:fldCharType="end"/>
        </w:r>
      </w:hyperlink>
    </w:p>
    <w:p w14:paraId="4FD20C1F" w14:textId="3B7047D0" w:rsidR="004E744E" w:rsidRDefault="00F60C99">
      <w:pPr>
        <w:pStyle w:val="TOC2"/>
        <w:rPr>
          <w:rFonts w:asciiTheme="minorHAnsi" w:eastAsiaTheme="minorEastAsia" w:hAnsiTheme="minorHAnsi" w:cstheme="minorBidi"/>
          <w:noProof/>
          <w:sz w:val="22"/>
          <w:szCs w:val="22"/>
          <w:lang w:val="fr-CH" w:eastAsia="fr-CH"/>
        </w:rPr>
      </w:pPr>
      <w:hyperlink w:anchor="_Toc31967191" w:history="1">
        <w:r w:rsidR="004E744E" w:rsidRPr="00A4065F">
          <w:rPr>
            <w:rStyle w:val="Hyperlink"/>
            <w:noProof/>
          </w:rPr>
          <w:t>13.11</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Workshops and symposia</w:t>
        </w:r>
        <w:r w:rsidR="004E744E">
          <w:rPr>
            <w:noProof/>
            <w:webHidden/>
          </w:rPr>
          <w:tab/>
        </w:r>
        <w:r w:rsidR="004E744E">
          <w:rPr>
            <w:noProof/>
            <w:webHidden/>
          </w:rPr>
          <w:fldChar w:fldCharType="begin"/>
        </w:r>
        <w:r w:rsidR="004E744E">
          <w:rPr>
            <w:noProof/>
            <w:webHidden/>
          </w:rPr>
          <w:instrText xml:space="preserve"> PAGEREF _Toc31967191 \h </w:instrText>
        </w:r>
        <w:r w:rsidR="004E744E">
          <w:rPr>
            <w:noProof/>
            <w:webHidden/>
          </w:rPr>
        </w:r>
        <w:r w:rsidR="004E744E">
          <w:rPr>
            <w:noProof/>
            <w:webHidden/>
          </w:rPr>
          <w:fldChar w:fldCharType="separate"/>
        </w:r>
        <w:r w:rsidR="004E744E">
          <w:rPr>
            <w:noProof/>
            <w:webHidden/>
          </w:rPr>
          <w:t>29</w:t>
        </w:r>
        <w:r w:rsidR="004E744E">
          <w:rPr>
            <w:noProof/>
            <w:webHidden/>
          </w:rPr>
          <w:fldChar w:fldCharType="end"/>
        </w:r>
      </w:hyperlink>
    </w:p>
    <w:p w14:paraId="4827CFDC" w14:textId="09CCE749" w:rsidR="004E744E" w:rsidRDefault="00F60C99">
      <w:pPr>
        <w:pStyle w:val="TOC1"/>
        <w:rPr>
          <w:rFonts w:asciiTheme="minorHAnsi" w:eastAsiaTheme="minorEastAsia" w:hAnsiTheme="minorHAnsi" w:cstheme="minorBidi"/>
          <w:noProof/>
          <w:sz w:val="22"/>
          <w:szCs w:val="22"/>
          <w:lang w:val="fr-CH" w:eastAsia="fr-CH"/>
        </w:rPr>
      </w:pPr>
      <w:hyperlink w:anchor="_Toc31967192" w:history="1">
        <w:r w:rsidR="004E744E" w:rsidRPr="00A4065F">
          <w:rPr>
            <w:rStyle w:val="Hyperlink"/>
            <w:noProof/>
          </w:rPr>
          <w:t>14</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Implementation of WTSA Resolutions and A-series ITU-T Recommendations</w:t>
        </w:r>
        <w:r w:rsidR="004E744E">
          <w:rPr>
            <w:noProof/>
            <w:webHidden/>
          </w:rPr>
          <w:tab/>
        </w:r>
        <w:r w:rsidR="004E744E">
          <w:rPr>
            <w:noProof/>
            <w:webHidden/>
          </w:rPr>
          <w:fldChar w:fldCharType="begin"/>
        </w:r>
        <w:r w:rsidR="004E744E">
          <w:rPr>
            <w:noProof/>
            <w:webHidden/>
          </w:rPr>
          <w:instrText xml:space="preserve"> PAGEREF _Toc31967192 \h </w:instrText>
        </w:r>
        <w:r w:rsidR="004E744E">
          <w:rPr>
            <w:noProof/>
            <w:webHidden/>
          </w:rPr>
        </w:r>
        <w:r w:rsidR="004E744E">
          <w:rPr>
            <w:noProof/>
            <w:webHidden/>
          </w:rPr>
          <w:fldChar w:fldCharType="separate"/>
        </w:r>
        <w:r w:rsidR="004E744E">
          <w:rPr>
            <w:noProof/>
            <w:webHidden/>
          </w:rPr>
          <w:t>30</w:t>
        </w:r>
        <w:r w:rsidR="004E744E">
          <w:rPr>
            <w:noProof/>
            <w:webHidden/>
          </w:rPr>
          <w:fldChar w:fldCharType="end"/>
        </w:r>
      </w:hyperlink>
    </w:p>
    <w:p w14:paraId="3A5E1984" w14:textId="1A726E09" w:rsidR="004E744E" w:rsidRDefault="00F60C99">
      <w:pPr>
        <w:pStyle w:val="TOC1"/>
        <w:rPr>
          <w:rFonts w:asciiTheme="minorHAnsi" w:eastAsiaTheme="minorEastAsia" w:hAnsiTheme="minorHAnsi" w:cstheme="minorBidi"/>
          <w:noProof/>
          <w:sz w:val="22"/>
          <w:szCs w:val="22"/>
          <w:lang w:val="fr-CH" w:eastAsia="fr-CH"/>
        </w:rPr>
      </w:pPr>
      <w:hyperlink w:anchor="_Toc31967193" w:history="1">
        <w:r w:rsidR="004E744E" w:rsidRPr="00A4065F">
          <w:rPr>
            <w:rStyle w:val="Hyperlink"/>
            <w:noProof/>
          </w:rPr>
          <w:t>15</w:t>
        </w:r>
        <w:r w:rsidR="004E744E">
          <w:rPr>
            <w:rFonts w:asciiTheme="minorHAnsi" w:eastAsiaTheme="minorEastAsia" w:hAnsiTheme="minorHAnsi" w:cstheme="minorBidi"/>
            <w:noProof/>
            <w:sz w:val="22"/>
            <w:szCs w:val="22"/>
            <w:lang w:val="fr-CH" w:eastAsia="fr-CH"/>
          </w:rPr>
          <w:tab/>
        </w:r>
        <w:r w:rsidR="004E744E" w:rsidRPr="00A4065F">
          <w:rPr>
            <w:rStyle w:val="Hyperlink"/>
            <w:noProof/>
          </w:rPr>
          <w:t>ITU-T's activities in the implementation of WSIS and the Sustainable Development Goals</w:t>
        </w:r>
        <w:r w:rsidR="004E744E">
          <w:rPr>
            <w:noProof/>
            <w:webHidden/>
          </w:rPr>
          <w:tab/>
        </w:r>
        <w:r w:rsidR="004E744E">
          <w:rPr>
            <w:noProof/>
            <w:webHidden/>
          </w:rPr>
          <w:fldChar w:fldCharType="begin"/>
        </w:r>
        <w:r w:rsidR="004E744E">
          <w:rPr>
            <w:noProof/>
            <w:webHidden/>
          </w:rPr>
          <w:instrText xml:space="preserve"> PAGEREF _Toc31967193 \h </w:instrText>
        </w:r>
        <w:r w:rsidR="004E744E">
          <w:rPr>
            <w:noProof/>
            <w:webHidden/>
          </w:rPr>
        </w:r>
        <w:r w:rsidR="004E744E">
          <w:rPr>
            <w:noProof/>
            <w:webHidden/>
          </w:rPr>
          <w:fldChar w:fldCharType="separate"/>
        </w:r>
        <w:r w:rsidR="004E744E">
          <w:rPr>
            <w:noProof/>
            <w:webHidden/>
          </w:rPr>
          <w:t>31</w:t>
        </w:r>
        <w:r w:rsidR="004E744E">
          <w:rPr>
            <w:noProof/>
            <w:webHidden/>
          </w:rPr>
          <w:fldChar w:fldCharType="end"/>
        </w:r>
      </w:hyperlink>
    </w:p>
    <w:p w14:paraId="4705BAB0" w14:textId="32F005A6" w:rsidR="004E744E" w:rsidRDefault="00F60C99">
      <w:pPr>
        <w:pStyle w:val="TOC1"/>
        <w:rPr>
          <w:rFonts w:asciiTheme="minorHAnsi" w:eastAsiaTheme="minorEastAsia" w:hAnsiTheme="minorHAnsi" w:cstheme="minorBidi"/>
          <w:noProof/>
          <w:sz w:val="22"/>
          <w:szCs w:val="22"/>
          <w:lang w:val="fr-CH" w:eastAsia="fr-CH"/>
        </w:rPr>
      </w:pPr>
      <w:hyperlink w:anchor="_Toc31967194" w:history="1">
        <w:r w:rsidR="004E744E" w:rsidRPr="00A4065F">
          <w:rPr>
            <w:rStyle w:val="Hyperlink"/>
            <w:noProof/>
          </w:rPr>
          <w:t>Appendix I – List of approved Recommendations and other approved texts</w:t>
        </w:r>
        <w:r w:rsidR="004E744E">
          <w:rPr>
            <w:noProof/>
            <w:webHidden/>
          </w:rPr>
          <w:tab/>
        </w:r>
        <w:r w:rsidR="004E744E">
          <w:rPr>
            <w:noProof/>
            <w:webHidden/>
          </w:rPr>
          <w:fldChar w:fldCharType="begin"/>
        </w:r>
        <w:r w:rsidR="004E744E">
          <w:rPr>
            <w:noProof/>
            <w:webHidden/>
          </w:rPr>
          <w:instrText xml:space="preserve"> PAGEREF _Toc31967194 \h </w:instrText>
        </w:r>
        <w:r w:rsidR="004E744E">
          <w:rPr>
            <w:noProof/>
            <w:webHidden/>
          </w:rPr>
        </w:r>
        <w:r w:rsidR="004E744E">
          <w:rPr>
            <w:noProof/>
            <w:webHidden/>
          </w:rPr>
          <w:fldChar w:fldCharType="separate"/>
        </w:r>
        <w:r w:rsidR="004E744E">
          <w:rPr>
            <w:noProof/>
            <w:webHidden/>
          </w:rPr>
          <w:t>32</w:t>
        </w:r>
        <w:r w:rsidR="004E744E">
          <w:rPr>
            <w:noProof/>
            <w:webHidden/>
          </w:rPr>
          <w:fldChar w:fldCharType="end"/>
        </w:r>
      </w:hyperlink>
    </w:p>
    <w:p w14:paraId="03D6DC3B" w14:textId="46935A6F" w:rsidR="006944F8" w:rsidRPr="00656355" w:rsidRDefault="006944F8" w:rsidP="00C1421E">
      <w:pPr>
        <w:rPr>
          <w:highlight w:val="yellow"/>
          <w:lang w:val="en-GB"/>
        </w:rPr>
      </w:pPr>
      <w:r w:rsidRPr="00656355">
        <w:rPr>
          <w:rFonts w:eastAsia="Malgun Gothic"/>
          <w:highlight w:val="yellow"/>
          <w:lang w:val="en-GB" w:eastAsia="ko-KR"/>
        </w:rPr>
        <w:fldChar w:fldCharType="end"/>
      </w:r>
    </w:p>
    <w:p w14:paraId="1F5CC498" w14:textId="77777777" w:rsidR="00CE6458" w:rsidRPr="00C81F7E" w:rsidRDefault="00CE6458" w:rsidP="00CE6458">
      <w:pPr>
        <w:pStyle w:val="Heading1"/>
        <w:pageBreakBefore/>
        <w:jc w:val="center"/>
        <w:rPr>
          <w:rFonts w:asciiTheme="majorBidi" w:hAnsiTheme="majorBidi" w:cstheme="majorBidi"/>
          <w:lang w:val="fr-CH"/>
        </w:rPr>
      </w:pPr>
      <w:bookmarkStart w:id="3" w:name="_Toc531254846"/>
      <w:bookmarkStart w:id="4" w:name="_Toc19181816"/>
      <w:bookmarkStart w:id="5" w:name="_Toc31791933"/>
      <w:bookmarkStart w:id="6" w:name="_Toc31792419"/>
      <w:bookmarkStart w:id="7" w:name="_Toc31967138"/>
      <w:r w:rsidRPr="00C81F7E">
        <w:rPr>
          <w:rFonts w:asciiTheme="majorBidi" w:hAnsiTheme="majorBidi" w:cstheme="majorBidi"/>
          <w:lang w:val="fr-CH"/>
        </w:rPr>
        <w:lastRenderedPageBreak/>
        <w:t>Résumé analytique</w:t>
      </w:r>
      <w:bookmarkEnd w:id="3"/>
      <w:bookmarkEnd w:id="4"/>
      <w:bookmarkEnd w:id="5"/>
      <w:bookmarkEnd w:id="6"/>
      <w:bookmarkEnd w:id="7"/>
    </w:p>
    <w:p w14:paraId="44EEBE0E" w14:textId="77777777" w:rsidR="00CE6458" w:rsidRPr="00CB09F1" w:rsidRDefault="00CE6458" w:rsidP="00CE6458">
      <w:pPr>
        <w:pStyle w:val="Headingb"/>
        <w:spacing w:before="240"/>
        <w:rPr>
          <w:rFonts w:asciiTheme="majorBidi" w:hAnsiTheme="majorBidi" w:cstheme="majorBidi"/>
          <w:i/>
          <w:iCs/>
          <w:sz w:val="28"/>
          <w:szCs w:val="28"/>
          <w:lang w:val="fr-CH"/>
        </w:rPr>
      </w:pPr>
      <w:r w:rsidRPr="00CB09F1">
        <w:rPr>
          <w:rFonts w:asciiTheme="majorBidi" w:hAnsiTheme="majorBidi" w:cstheme="majorBidi"/>
          <w:i/>
          <w:iCs/>
          <w:sz w:val="28"/>
          <w:szCs w:val="28"/>
          <w:lang w:val="fr-CH"/>
        </w:rPr>
        <w:t>Vue d'ensemble des résultats obtenus par l'UIT-T en matière de normalisation</w:t>
      </w:r>
    </w:p>
    <w:p w14:paraId="15FDF9D4" w14:textId="77777777" w:rsidR="00CE6458" w:rsidRPr="00C81F7E" w:rsidRDefault="00CE6458" w:rsidP="00CE6458">
      <w:pPr>
        <w:rPr>
          <w:rFonts w:asciiTheme="majorBidi" w:hAnsiTheme="majorBidi" w:cstheme="majorBidi"/>
          <w:lang w:val="fr-CH"/>
        </w:rPr>
      </w:pPr>
      <w:r w:rsidRPr="00C81F7E">
        <w:rPr>
          <w:rFonts w:asciiTheme="majorBidi" w:hAnsiTheme="majorBidi" w:cstheme="majorBidi"/>
          <w:lang w:val="fr-CH"/>
        </w:rPr>
        <w:t>L'UIT a approuvé plus de 130 Recommandations UIT-T, nouvelles ou révisées, entre septembre et décembre 2019. La liste de ces Recommandations UIT-T et des textes connexes et un résumé de leur contenu figurent dans l'Appendice I.</w:t>
      </w:r>
    </w:p>
    <w:p w14:paraId="4B65EC38" w14:textId="77777777" w:rsidR="00CE6458" w:rsidRPr="00C81F7E" w:rsidRDefault="00CE6458" w:rsidP="00CE6458">
      <w:pPr>
        <w:rPr>
          <w:rFonts w:asciiTheme="majorBidi" w:hAnsiTheme="majorBidi" w:cstheme="majorBidi"/>
          <w:lang w:val="fr-CH"/>
        </w:rPr>
      </w:pPr>
      <w:r w:rsidRPr="00C81F7E">
        <w:rPr>
          <w:rFonts w:asciiTheme="majorBidi" w:hAnsiTheme="majorBidi" w:cstheme="majorBidi"/>
          <w:b/>
          <w:bCs/>
          <w:lang w:val="fr-CH"/>
        </w:rPr>
        <w:t xml:space="preserve">La norme JPEG récompensée par un Emmy </w:t>
      </w:r>
      <w:proofErr w:type="spellStart"/>
      <w:proofErr w:type="gramStart"/>
      <w:r w:rsidRPr="00C81F7E">
        <w:rPr>
          <w:rFonts w:asciiTheme="majorBidi" w:hAnsiTheme="majorBidi" w:cstheme="majorBidi"/>
          <w:b/>
          <w:bCs/>
          <w:lang w:val="fr-CH"/>
        </w:rPr>
        <w:t>Award</w:t>
      </w:r>
      <w:proofErr w:type="spellEnd"/>
      <w:r w:rsidRPr="00C81F7E">
        <w:rPr>
          <w:rFonts w:asciiTheme="majorBidi" w:hAnsiTheme="majorBidi" w:cstheme="majorBidi"/>
          <w:lang w:val="fr-CH"/>
        </w:rPr>
        <w:t>:</w:t>
      </w:r>
      <w:proofErr w:type="gramEnd"/>
      <w:r w:rsidRPr="00C81F7E">
        <w:rPr>
          <w:rFonts w:asciiTheme="majorBidi" w:hAnsiTheme="majorBidi" w:cstheme="majorBidi"/>
          <w:lang w:val="fr-CH"/>
        </w:rPr>
        <w:t xml:space="preserve"> L'équipe d'ingénieurs à l'origine de la première édition de la norme de compression des images JPEG (UIT-T série T.80) </w:t>
      </w:r>
      <w:hyperlink r:id="rId12" w:history="1">
        <w:r w:rsidRPr="00CB09F1">
          <w:rPr>
            <w:rStyle w:val="Hyperlink"/>
            <w:rFonts w:cstheme="majorBidi"/>
            <w:lang w:val="fr-CH"/>
          </w:rPr>
          <w:t xml:space="preserve">s'est vu remettre un Emmy </w:t>
        </w:r>
        <w:proofErr w:type="spellStart"/>
        <w:r w:rsidRPr="00CB09F1">
          <w:rPr>
            <w:rStyle w:val="Hyperlink"/>
            <w:rFonts w:cstheme="majorBidi"/>
            <w:lang w:val="fr-CH"/>
          </w:rPr>
          <w:t>Award</w:t>
        </w:r>
        <w:proofErr w:type="spellEnd"/>
      </w:hyperlink>
      <w:r w:rsidRPr="00C81F7E">
        <w:rPr>
          <w:rFonts w:asciiTheme="majorBidi" w:hAnsiTheme="majorBidi" w:cstheme="majorBidi"/>
          <w:lang w:val="fr-CH"/>
        </w:rPr>
        <w:t xml:space="preserve"> pour sa contribution exceptionnelle dans le domaine du codage d'images.</w:t>
      </w:r>
    </w:p>
    <w:p w14:paraId="2023EEA5" w14:textId="77777777" w:rsidR="00CE6458" w:rsidRPr="00C81F7E" w:rsidRDefault="00CE6458" w:rsidP="00CE6458">
      <w:pPr>
        <w:rPr>
          <w:lang w:val="fr-CH"/>
        </w:rPr>
      </w:pPr>
      <w:bookmarkStart w:id="8" w:name="lt_pId005"/>
      <w:r w:rsidRPr="00C81F7E">
        <w:rPr>
          <w:b/>
          <w:lang w:val="fr-CH"/>
        </w:rPr>
        <w:t>IMT-2020/5G:</w:t>
      </w:r>
      <w:r w:rsidRPr="00C81F7E">
        <w:rPr>
          <w:lang w:val="fr-CH"/>
        </w:rPr>
        <w:t xml:space="preserve"> De nouvelles normes de l'UIT pour les réseaux 5G portent sur l'orchestration et la gestion des tranches de réseau (</w:t>
      </w:r>
      <w:hyperlink r:id="rId13" w:history="1">
        <w:r w:rsidRPr="00C81F7E">
          <w:rPr>
            <w:color w:val="0000FF"/>
            <w:u w:val="single"/>
            <w:lang w:val="fr-CH"/>
          </w:rPr>
          <w:t>UIT-T Y.3153</w:t>
        </w:r>
      </w:hyperlink>
      <w:r w:rsidRPr="00C81F7E">
        <w:rPr>
          <w:lang w:val="fr-CH"/>
        </w:rPr>
        <w:t>) et la convergence fixe-mobile, en lien avec la gestion de la mobilité (</w:t>
      </w:r>
      <w:hyperlink r:id="rId14" w:history="1">
        <w:r w:rsidRPr="00C81F7E">
          <w:rPr>
            <w:color w:val="0000FF"/>
            <w:u w:val="single"/>
            <w:lang w:val="fr-CH"/>
          </w:rPr>
          <w:t>UIT-T Y.3132</w:t>
        </w:r>
      </w:hyperlink>
      <w:r w:rsidRPr="00C81F7E">
        <w:rPr>
          <w:lang w:val="fr-CH"/>
        </w:rPr>
        <w:t>) et l'exposition des capacités (</w:t>
      </w:r>
      <w:hyperlink r:id="rId15" w:history="1">
        <w:r w:rsidRPr="00C81F7E">
          <w:rPr>
            <w:color w:val="0000FF"/>
            <w:u w:val="single"/>
            <w:lang w:val="fr-CH"/>
          </w:rPr>
          <w:t>UIT-T Y.3133</w:t>
        </w:r>
      </w:hyperlink>
      <w:r w:rsidRPr="00C81F7E">
        <w:rPr>
          <w:lang w:val="fr-CH"/>
        </w:rPr>
        <w:t>).</w:t>
      </w:r>
      <w:bookmarkEnd w:id="8"/>
    </w:p>
    <w:p w14:paraId="1D8702AA" w14:textId="77777777" w:rsidR="00CE6458" w:rsidRPr="00C81F7E" w:rsidRDefault="00CE6458" w:rsidP="00CE6458">
      <w:pPr>
        <w:rPr>
          <w:lang w:val="fr-CH"/>
        </w:rPr>
      </w:pPr>
      <w:bookmarkStart w:id="9" w:name="lt_pId006"/>
      <w:r w:rsidRPr="00C81F7E">
        <w:rPr>
          <w:b/>
          <w:lang w:val="fr-CH"/>
        </w:rPr>
        <w:t>Réseau optique passif (PON</w:t>
      </w:r>
      <w:proofErr w:type="gramStart"/>
      <w:r w:rsidRPr="00C81F7E">
        <w:rPr>
          <w:b/>
          <w:lang w:val="fr-CH"/>
        </w:rPr>
        <w:t>):</w:t>
      </w:r>
      <w:proofErr w:type="gramEnd"/>
      <w:r w:rsidRPr="00C81F7E">
        <w:rPr>
          <w:b/>
          <w:lang w:val="fr-CH"/>
        </w:rPr>
        <w:t xml:space="preserve"> </w:t>
      </w:r>
      <w:r w:rsidRPr="00C81F7E">
        <w:rPr>
          <w:lang w:val="fr-CH"/>
        </w:rPr>
        <w:t>Une nouvelle norme de l'UIT sert de guide pour le développement de systèmes PON à plus haut débit. Elle identifie des ensembles d'applications qui peuvent être pris en charge par un système particulier et définit les exigences applicables à chacun des systèmes considérés (</w:t>
      </w:r>
      <w:hyperlink r:id="rId16" w:history="1">
        <w:r w:rsidRPr="00C81F7E">
          <w:rPr>
            <w:color w:val="0000FF"/>
            <w:u w:val="single"/>
            <w:lang w:val="fr-CH"/>
          </w:rPr>
          <w:t>UIT-T G.9804.1</w:t>
        </w:r>
      </w:hyperlink>
      <w:r w:rsidRPr="00C81F7E">
        <w:rPr>
          <w:lang w:val="fr-CH"/>
        </w:rPr>
        <w:t>).</w:t>
      </w:r>
      <w:bookmarkEnd w:id="9"/>
    </w:p>
    <w:p w14:paraId="5F7DFB9D" w14:textId="77777777" w:rsidR="00CE6458" w:rsidRPr="00C81F7E" w:rsidRDefault="00CE6458" w:rsidP="00CE6458">
      <w:pPr>
        <w:rPr>
          <w:lang w:val="fr-CH"/>
        </w:rPr>
      </w:pPr>
      <w:bookmarkStart w:id="10" w:name="lt_pId007"/>
      <w:r w:rsidRPr="00C81F7E">
        <w:rPr>
          <w:b/>
          <w:lang w:val="fr-CH"/>
        </w:rPr>
        <w:t xml:space="preserve">Codage </w:t>
      </w:r>
      <w:proofErr w:type="gramStart"/>
      <w:r w:rsidRPr="00C81F7E">
        <w:rPr>
          <w:b/>
          <w:lang w:val="fr-CH"/>
        </w:rPr>
        <w:t>vidéo:</w:t>
      </w:r>
      <w:proofErr w:type="gramEnd"/>
      <w:r w:rsidRPr="00C81F7E">
        <w:rPr>
          <w:lang w:val="fr-CH"/>
        </w:rPr>
        <w:t xml:space="preserve"> La version 7 du codage vidéo à haute efficacité (HEVC) a été publiée (sous la cote </w:t>
      </w:r>
      <w:hyperlink r:id="rId17" w:history="1">
        <w:r w:rsidRPr="00C81F7E">
          <w:rPr>
            <w:color w:val="0000FF"/>
            <w:u w:val="single"/>
            <w:lang w:val="fr-CH"/>
          </w:rPr>
          <w:t>UIT-T H.265</w:t>
        </w:r>
      </w:hyperlink>
      <w:r w:rsidRPr="00C81F7E">
        <w:rPr>
          <w:lang w:val="fr-CH"/>
        </w:rPr>
        <w:t xml:space="preserve"> | ISO/CEI 23008-2).</w:t>
      </w:r>
      <w:bookmarkEnd w:id="10"/>
      <w:r w:rsidRPr="00C81F7E">
        <w:rPr>
          <w:lang w:val="fr-CH"/>
        </w:rPr>
        <w:t xml:space="preserve"> </w:t>
      </w:r>
      <w:bookmarkStart w:id="11" w:name="lt_pId008"/>
      <w:r w:rsidRPr="00C81F7E">
        <w:rPr>
          <w:lang w:val="fr-CH"/>
        </w:rPr>
        <w:t xml:space="preserve">Le projet concernant le codage vidéo polyvalent, faisant suite au codage HEVC, devrait être achevé </w:t>
      </w:r>
      <w:proofErr w:type="gramStart"/>
      <w:r w:rsidRPr="00C81F7E">
        <w:rPr>
          <w:lang w:val="fr-CH"/>
        </w:rPr>
        <w:t>d'ici la</w:t>
      </w:r>
      <w:proofErr w:type="gramEnd"/>
      <w:r w:rsidRPr="00C81F7E">
        <w:rPr>
          <w:lang w:val="fr-CH"/>
        </w:rPr>
        <w:t xml:space="preserve"> mi-2020.</w:t>
      </w:r>
      <w:bookmarkEnd w:id="11"/>
    </w:p>
    <w:p w14:paraId="7F2A974A" w14:textId="77777777" w:rsidR="00CE6458" w:rsidRPr="00C81F7E" w:rsidRDefault="00CE6458" w:rsidP="00CE6458">
      <w:pPr>
        <w:rPr>
          <w:lang w:val="fr-CH"/>
        </w:rPr>
      </w:pPr>
      <w:r w:rsidRPr="00C81F7E">
        <w:rPr>
          <w:b/>
          <w:lang w:val="fr-CH"/>
        </w:rPr>
        <w:t>Cadres réglementaires pour la qualité de service/qualité d'expérience (QoS/QoE):</w:t>
      </w:r>
      <w:r w:rsidRPr="00C81F7E">
        <w:rPr>
          <w:lang w:val="fr-CH"/>
        </w:rPr>
        <w:t xml:space="preserve"> Une nouvelle norme de l'UIT fournit des orientations aux régulateurs qui souhaitent établir des cadres réglementaires nationaux ou régionaux régissant le contrôle et la mesure de la qualité de service et de la qualité d'expérience (</w:t>
      </w:r>
      <w:hyperlink r:id="rId18" w:history="1">
        <w:r w:rsidRPr="00C81F7E">
          <w:rPr>
            <w:rStyle w:val="Hyperlink"/>
            <w:lang w:val="fr-CH"/>
          </w:rPr>
          <w:t>UIT-T E.805</w:t>
        </w:r>
      </w:hyperlink>
      <w:r w:rsidRPr="00C81F7E">
        <w:rPr>
          <w:lang w:val="fr-CH"/>
        </w:rPr>
        <w:t>).</w:t>
      </w:r>
    </w:p>
    <w:p w14:paraId="1FFAE93F" w14:textId="77777777" w:rsidR="00CE6458" w:rsidRPr="00C81F7E" w:rsidRDefault="00CE6458" w:rsidP="00CE6458">
      <w:pPr>
        <w:rPr>
          <w:lang w:val="fr-CH"/>
        </w:rPr>
      </w:pPr>
      <w:bookmarkStart w:id="12" w:name="lt_pId010"/>
      <w:r w:rsidRPr="00C81F7E">
        <w:rPr>
          <w:b/>
          <w:lang w:val="fr-CH"/>
        </w:rPr>
        <w:t>Services financiers numériques:</w:t>
      </w:r>
      <w:r w:rsidRPr="00C81F7E">
        <w:rPr>
          <w:lang w:val="fr-CH"/>
        </w:rPr>
        <w:t xml:space="preserve"> De nouvelles normes de l'UIT introduisent les aspects liés à la qualité de service et à la qualité d'expérience des services financiers numériques (</w:t>
      </w:r>
      <w:hyperlink r:id="rId19" w:history="1">
        <w:r w:rsidRPr="00C81F7E">
          <w:rPr>
            <w:rStyle w:val="Hyperlink"/>
            <w:lang w:val="fr-CH"/>
          </w:rPr>
          <w:t>UIT-T G.1033</w:t>
        </w:r>
      </w:hyperlink>
      <w:r w:rsidRPr="00C81F7E">
        <w:rPr>
          <w:lang w:val="fr-CH"/>
        </w:rPr>
        <w:t>) et une méthodologie à utiliser pour évaluer la qualité d'expérience des services financiers numériques (</w:t>
      </w:r>
      <w:hyperlink r:id="rId20" w:history="1">
        <w:r w:rsidRPr="00C81F7E">
          <w:rPr>
            <w:rStyle w:val="Hyperlink"/>
            <w:lang w:val="fr-CH"/>
          </w:rPr>
          <w:t>UIT-T P.1502</w:t>
        </w:r>
      </w:hyperlink>
      <w:r w:rsidRPr="00C81F7E">
        <w:rPr>
          <w:lang w:val="fr-CH"/>
        </w:rPr>
        <w:t>).</w:t>
      </w:r>
      <w:bookmarkEnd w:id="12"/>
    </w:p>
    <w:p w14:paraId="77D2D6FF" w14:textId="77777777" w:rsidR="00CE6458" w:rsidRPr="00C81F7E" w:rsidRDefault="00CE6458" w:rsidP="00CE6458">
      <w:pPr>
        <w:rPr>
          <w:lang w:val="fr-CH"/>
        </w:rPr>
      </w:pPr>
      <w:bookmarkStart w:id="13" w:name="lt_pId011"/>
      <w:r w:rsidRPr="00C81F7E">
        <w:rPr>
          <w:b/>
          <w:bCs/>
          <w:lang w:val="fr-CH"/>
        </w:rPr>
        <w:t xml:space="preserve">Mesure des performances </w:t>
      </w:r>
      <w:proofErr w:type="gramStart"/>
      <w:r w:rsidRPr="00C81F7E">
        <w:rPr>
          <w:b/>
          <w:bCs/>
          <w:lang w:val="fr-CH"/>
        </w:rPr>
        <w:t>IP:</w:t>
      </w:r>
      <w:proofErr w:type="gramEnd"/>
      <w:r w:rsidRPr="00C81F7E">
        <w:rPr>
          <w:b/>
          <w:bCs/>
          <w:lang w:val="fr-CH"/>
        </w:rPr>
        <w:t xml:space="preserve"> </w:t>
      </w:r>
      <w:r w:rsidRPr="00C81F7E">
        <w:rPr>
          <w:lang w:val="fr-CH"/>
        </w:rPr>
        <w:t>Une version révisée de la norme de l'UIT sur les performances des services IP (</w:t>
      </w:r>
      <w:hyperlink r:id="rId21" w:history="1">
        <w:r w:rsidRPr="00C81F7E">
          <w:rPr>
            <w:rStyle w:val="Hyperlink"/>
            <w:lang w:val="fr-CH"/>
          </w:rPr>
          <w:t>UIT-T Y.1540</w:t>
        </w:r>
      </w:hyperlink>
      <w:r w:rsidRPr="00C81F7E">
        <w:rPr>
          <w:lang w:val="fr-CH"/>
        </w:rPr>
        <w:t>) tient compte des changements intervenus concernant la conception des services IP et les protocoles utilisés par les utilisateurs finals. La dernière version en date de la norme définit des paramètres de capacité de la couche IP permettant d'évaluer les performances, et décrit les méthodes requises pour mesurer la capacité de la couche IP.</w:t>
      </w:r>
    </w:p>
    <w:p w14:paraId="6E8EEEEB" w14:textId="77777777" w:rsidR="00CE6458" w:rsidRPr="00C81F7E" w:rsidRDefault="00CE6458" w:rsidP="00CE6458">
      <w:pPr>
        <w:rPr>
          <w:lang w:val="fr-CH"/>
        </w:rPr>
      </w:pPr>
      <w:bookmarkStart w:id="14" w:name="lt_pId013"/>
      <w:bookmarkEnd w:id="13"/>
      <w:r w:rsidRPr="00C81F7E">
        <w:rPr>
          <w:b/>
          <w:lang w:val="fr-CH"/>
        </w:rPr>
        <w:t>Informatique quantique:</w:t>
      </w:r>
      <w:r w:rsidRPr="00C81F7E">
        <w:rPr>
          <w:lang w:val="fr-CH"/>
        </w:rPr>
        <w:t xml:space="preserve"> De nouvelles normes de l'UIT décrivent les concepts de réseau sur lesquels repose la distribution de clés quantiques, moyen permettant de garantir un cryptage et une authentification sûrs (</w:t>
      </w:r>
      <w:hyperlink r:id="rId22" w:history="1">
        <w:r w:rsidRPr="00C81F7E">
          <w:rPr>
            <w:rStyle w:val="Hyperlink"/>
            <w:lang w:val="fr-CH"/>
          </w:rPr>
          <w:t>UIT-T Y.3800</w:t>
        </w:r>
      </w:hyperlink>
      <w:r w:rsidRPr="00C81F7E">
        <w:rPr>
          <w:lang w:val="fr-CH"/>
        </w:rPr>
        <w:t>), et l'architecture d'un générateur de nombres aléatoires pour le bruit quantique (</w:t>
      </w:r>
      <w:hyperlink r:id="rId23" w:history="1">
        <w:r w:rsidRPr="00C81F7E">
          <w:rPr>
            <w:rStyle w:val="Hyperlink"/>
            <w:lang w:val="fr-CH"/>
          </w:rPr>
          <w:t>UIT-T X.1702</w:t>
        </w:r>
      </w:hyperlink>
      <w:r w:rsidRPr="00C81F7E">
        <w:rPr>
          <w:lang w:val="fr-CH"/>
        </w:rPr>
        <w:t>).</w:t>
      </w:r>
      <w:bookmarkEnd w:id="14"/>
    </w:p>
    <w:p w14:paraId="7C7097FE" w14:textId="77777777" w:rsidR="00CE6458" w:rsidRPr="00C81F7E" w:rsidRDefault="00CE6458" w:rsidP="00CE6458">
      <w:pPr>
        <w:rPr>
          <w:lang w:val="fr-CH"/>
        </w:rPr>
      </w:pPr>
      <w:bookmarkStart w:id="15" w:name="lt_pId014"/>
      <w:r w:rsidRPr="00C81F7E">
        <w:rPr>
          <w:b/>
          <w:lang w:val="fr-CH"/>
        </w:rPr>
        <w:t>Efficacité énergétique:</w:t>
      </w:r>
      <w:r w:rsidRPr="00C81F7E">
        <w:rPr>
          <w:lang w:val="fr-CH"/>
        </w:rPr>
        <w:t xml:space="preserve"> De nouvelles normes de l'UIT visent à favoriser la mise en place de solutions d'alimentation électrique durables pour les réseaux 5G (</w:t>
      </w:r>
      <w:hyperlink r:id="rId24" w:history="1">
        <w:r w:rsidRPr="00C81F7E">
          <w:rPr>
            <w:rStyle w:val="Hyperlink"/>
            <w:lang w:val="fr-CH"/>
          </w:rPr>
          <w:t>UIT-T L.1210</w:t>
        </w:r>
      </w:hyperlink>
      <w:r w:rsidRPr="00C81F7E">
        <w:rPr>
          <w:lang w:val="fr-CH"/>
        </w:rPr>
        <w:t>), de centres de données économes en énergie fondés sur les mégadonnées et l'intelligence artificielle (</w:t>
      </w:r>
      <w:hyperlink r:id="rId25" w:history="1">
        <w:r w:rsidRPr="00C81F7E">
          <w:rPr>
            <w:rStyle w:val="Hyperlink"/>
            <w:lang w:val="fr-CH"/>
          </w:rPr>
          <w:t>UIT</w:t>
        </w:r>
        <w:r w:rsidRPr="00C81F7E">
          <w:rPr>
            <w:rStyle w:val="Hyperlink"/>
            <w:lang w:val="fr-CH"/>
          </w:rPr>
          <w:noBreakHyphen/>
          <w:t>T L.1305</w:t>
        </w:r>
      </w:hyperlink>
      <w:r w:rsidRPr="00C81F7E">
        <w:rPr>
          <w:lang w:val="fr-CH"/>
        </w:rPr>
        <w:t>) et d'une gestion intelligente de l'énergie pour les stations de base de télécommunication (</w:t>
      </w:r>
      <w:hyperlink r:id="rId26" w:history="1">
        <w:r w:rsidRPr="00C81F7E">
          <w:rPr>
            <w:rStyle w:val="Hyperlink"/>
            <w:lang w:val="fr-CH"/>
          </w:rPr>
          <w:t>UIT-T L.1380</w:t>
        </w:r>
      </w:hyperlink>
      <w:r w:rsidRPr="00C81F7E">
        <w:rPr>
          <w:lang w:val="fr-CH"/>
        </w:rPr>
        <w:t>).</w:t>
      </w:r>
      <w:bookmarkEnd w:id="15"/>
    </w:p>
    <w:p w14:paraId="0683D766" w14:textId="77777777" w:rsidR="00CE6458" w:rsidRPr="00C81F7E" w:rsidRDefault="00CE6458" w:rsidP="00CE6458">
      <w:pPr>
        <w:rPr>
          <w:lang w:val="fr-CH"/>
        </w:rPr>
      </w:pPr>
      <w:bookmarkStart w:id="16" w:name="lt_pId015"/>
      <w:r w:rsidRPr="00C81F7E">
        <w:rPr>
          <w:b/>
          <w:lang w:val="fr-CH"/>
        </w:rPr>
        <w:t>Environnement et économie circulaire:</w:t>
      </w:r>
      <w:r w:rsidRPr="00C81F7E">
        <w:rPr>
          <w:lang w:val="fr-CH"/>
        </w:rPr>
        <w:t xml:space="preserve"> De nouvelles normes de l'UIT contiennent des définitions et des concepts relatifs à l'efficacité de l'utilisation des matériaux dans le secteur des TIC, dans la droite ligne du concept d'économie circulaire (</w:t>
      </w:r>
      <w:hyperlink r:id="rId27" w:history="1">
        <w:r w:rsidRPr="00C81F7E">
          <w:rPr>
            <w:rStyle w:val="Hyperlink"/>
            <w:lang w:val="fr-CH"/>
          </w:rPr>
          <w:t>UIT-T L.1022</w:t>
        </w:r>
      </w:hyperlink>
      <w:r w:rsidRPr="00C81F7E">
        <w:rPr>
          <w:lang w:val="fr-CH"/>
        </w:rPr>
        <w:t>), et décrivent une méthode permettant d'évaluer les effets positifs des TIC sur l'efficacité environnementale des autres secteurs d'activité (</w:t>
      </w:r>
      <w:hyperlink r:id="rId28" w:history="1">
        <w:r w:rsidRPr="00C81F7E">
          <w:rPr>
            <w:rStyle w:val="Hyperlink"/>
            <w:lang w:val="fr-CH"/>
          </w:rPr>
          <w:t>UIT-T L.1451</w:t>
        </w:r>
      </w:hyperlink>
      <w:r w:rsidRPr="00C81F7E">
        <w:rPr>
          <w:lang w:val="fr-CH"/>
        </w:rPr>
        <w:t>).</w:t>
      </w:r>
      <w:bookmarkEnd w:id="16"/>
    </w:p>
    <w:p w14:paraId="0AEB1BBB" w14:textId="77777777" w:rsidR="00CE6458" w:rsidRPr="00C81F7E" w:rsidRDefault="00CE6458" w:rsidP="00CE6458">
      <w:pPr>
        <w:rPr>
          <w:lang w:val="fr-CH"/>
        </w:rPr>
      </w:pPr>
      <w:bookmarkStart w:id="17" w:name="lt_pId016"/>
      <w:r w:rsidRPr="00C81F7E">
        <w:rPr>
          <w:b/>
          <w:lang w:val="fr-CH"/>
        </w:rPr>
        <w:lastRenderedPageBreak/>
        <w:t>Villes et communautés intelligentes:</w:t>
      </w:r>
      <w:r w:rsidRPr="00C81F7E">
        <w:rPr>
          <w:lang w:val="fr-CH"/>
        </w:rPr>
        <w:t xml:space="preserve"> De nouvelles normes de l'UIT traitent des communautés résidentielles intelligentes basées sur l'IoT (</w:t>
      </w:r>
      <w:hyperlink r:id="rId29" w:history="1">
        <w:r w:rsidRPr="00C81F7E">
          <w:rPr>
            <w:rStyle w:val="Hyperlink"/>
            <w:lang w:val="fr-CH"/>
          </w:rPr>
          <w:t>UIT-T Y.4556</w:t>
        </w:r>
      </w:hyperlink>
      <w:r w:rsidRPr="00C81F7E">
        <w:rPr>
          <w:lang w:val="fr-CH"/>
        </w:rPr>
        <w:t>) et proposent un modèle de maturité pour les villes intelligentes et durables afin de permettre d'examiner les progrès accomplis par une ville dans la réalisation des objectifs qu'elle s'est fixés pour devenir une ville intelligente (</w:t>
      </w:r>
      <w:hyperlink r:id="rId30" w:history="1">
        <w:r w:rsidRPr="00C81F7E">
          <w:rPr>
            <w:rStyle w:val="Hyperlink"/>
            <w:lang w:val="fr-CH"/>
          </w:rPr>
          <w:t>UIT</w:t>
        </w:r>
        <w:r w:rsidRPr="00C81F7E">
          <w:rPr>
            <w:rStyle w:val="Hyperlink"/>
            <w:lang w:val="fr-CH"/>
          </w:rPr>
          <w:noBreakHyphen/>
          <w:t>T Y.4904</w:t>
        </w:r>
      </w:hyperlink>
      <w:r w:rsidRPr="00C81F7E">
        <w:rPr>
          <w:lang w:val="fr-CH"/>
        </w:rPr>
        <w:t>).</w:t>
      </w:r>
      <w:bookmarkEnd w:id="17"/>
    </w:p>
    <w:p w14:paraId="789386D5" w14:textId="77777777" w:rsidR="00CE6458" w:rsidRPr="00C81F7E" w:rsidRDefault="00CE6458" w:rsidP="00CE6458">
      <w:pPr>
        <w:rPr>
          <w:lang w:val="fr-CH"/>
        </w:rPr>
      </w:pPr>
      <w:bookmarkStart w:id="18" w:name="lt_pId017"/>
      <w:r w:rsidRPr="00C81F7E">
        <w:rPr>
          <w:b/>
          <w:lang w:val="fr-CH"/>
        </w:rPr>
        <w:t xml:space="preserve">Technologie des registres distribués: </w:t>
      </w:r>
      <w:r w:rsidRPr="00C81F7E">
        <w:rPr>
          <w:lang w:val="fr-CH"/>
        </w:rPr>
        <w:t>De nouvelles normes de l'UIT abordent les exigences de la chaîne de blocs pour l'évolution des réseaux de prochaine génération (</w:t>
      </w:r>
      <w:hyperlink r:id="rId31" w:history="1">
        <w:r w:rsidRPr="00C81F7E">
          <w:rPr>
            <w:rStyle w:val="Hyperlink"/>
            <w:lang w:val="fr-CH"/>
          </w:rPr>
          <w:t>UIT-T Y.2342</w:t>
        </w:r>
      </w:hyperlink>
      <w:r w:rsidRPr="00C81F7E">
        <w:rPr>
          <w:lang w:val="fr-CH"/>
        </w:rPr>
        <w:t>) et les exigences de sécurité de la chaîne de blocs, compte tenu à la fois des capacités de sécurité de la chaîne de blocs et des menaces de sécurité pour la chaîne de blocs (</w:t>
      </w:r>
      <w:hyperlink r:id="rId32" w:history="1">
        <w:r w:rsidRPr="00C81F7E">
          <w:rPr>
            <w:rStyle w:val="Hyperlink"/>
            <w:lang w:val="fr-CH"/>
          </w:rPr>
          <w:t>UIT-T X.1401</w:t>
        </w:r>
      </w:hyperlink>
      <w:r w:rsidRPr="00C81F7E">
        <w:rPr>
          <w:lang w:val="fr-CH"/>
        </w:rPr>
        <w:t>).</w:t>
      </w:r>
      <w:bookmarkEnd w:id="18"/>
    </w:p>
    <w:p w14:paraId="4EA89888" w14:textId="77777777" w:rsidR="00CE6458" w:rsidRPr="00C81F7E" w:rsidRDefault="00CE6458" w:rsidP="00CE6458">
      <w:pPr>
        <w:rPr>
          <w:lang w:val="fr-CH"/>
        </w:rPr>
      </w:pPr>
      <w:bookmarkStart w:id="19" w:name="lt_pId018"/>
      <w:r w:rsidRPr="00C81F7E">
        <w:rPr>
          <w:b/>
          <w:lang w:val="fr-CH"/>
        </w:rPr>
        <w:t xml:space="preserve">Fourniture de contenus et informatique en périphérie: </w:t>
      </w:r>
      <w:r w:rsidRPr="00C81F7E">
        <w:rPr>
          <w:lang w:val="fr-CH"/>
        </w:rPr>
        <w:t>De nouvelles normes de l'UIT portent sur les exigences des réseaux de fourniture de contenus utilisant l'informatique en périphérie mobile (</w:t>
      </w:r>
      <w:hyperlink r:id="rId33" w:history="1">
        <w:r w:rsidRPr="00C81F7E">
          <w:rPr>
            <w:rStyle w:val="Hyperlink"/>
            <w:lang w:val="fr-CH"/>
          </w:rPr>
          <w:t>UIT-T F.743.10</w:t>
        </w:r>
      </w:hyperlink>
      <w:r w:rsidRPr="00C81F7E">
        <w:rPr>
          <w:lang w:val="fr-CH"/>
        </w:rPr>
        <w:t>) et sur les aéronefs sans pilote civils au service de l'informatique en périphérie mobile (</w:t>
      </w:r>
      <w:hyperlink r:id="rId34" w:history="1">
        <w:r w:rsidRPr="00C81F7E">
          <w:rPr>
            <w:rStyle w:val="Hyperlink"/>
            <w:lang w:val="fr-CH"/>
          </w:rPr>
          <w:t>UIT-T F.749.11</w:t>
        </w:r>
      </w:hyperlink>
      <w:r w:rsidRPr="00C81F7E">
        <w:rPr>
          <w:lang w:val="fr-CH"/>
        </w:rPr>
        <w:t>).</w:t>
      </w:r>
      <w:bookmarkEnd w:id="19"/>
    </w:p>
    <w:p w14:paraId="34F07CB0" w14:textId="77777777" w:rsidR="00CE6458" w:rsidRPr="00C81F7E" w:rsidRDefault="00CE6458" w:rsidP="00CE6458">
      <w:pPr>
        <w:rPr>
          <w:lang w:val="fr-CH"/>
        </w:rPr>
      </w:pPr>
      <w:bookmarkStart w:id="20" w:name="lt_pId019"/>
      <w:r w:rsidRPr="00C81F7E">
        <w:rPr>
          <w:b/>
          <w:lang w:val="fr-CH"/>
        </w:rPr>
        <w:t>Sécurité:</w:t>
      </w:r>
      <w:r w:rsidRPr="00C81F7E">
        <w:rPr>
          <w:lang w:val="fr-CH"/>
        </w:rPr>
        <w:t xml:space="preserve"> De nouvelles normes de l'UIT traitent des aspects de sécurité de la virtualisation de réseau (</w:t>
      </w:r>
      <w:hyperlink r:id="rId35" w:history="1">
        <w:r w:rsidRPr="00C81F7E">
          <w:rPr>
            <w:rStyle w:val="Hyperlink"/>
            <w:lang w:val="fr-CH"/>
          </w:rPr>
          <w:t>UIT-T X.1044</w:t>
        </w:r>
      </w:hyperlink>
      <w:r w:rsidRPr="00C81F7E">
        <w:rPr>
          <w:lang w:val="fr-CH"/>
        </w:rPr>
        <w:t>), de la gestion des risques pour les actifs qui sont accessibles dans les réseaux IP dans le monde entier (</w:t>
      </w:r>
      <w:hyperlink r:id="rId36" w:history="1">
        <w:r w:rsidRPr="00C81F7E">
          <w:rPr>
            <w:rStyle w:val="Hyperlink"/>
            <w:lang w:val="fr-CH"/>
          </w:rPr>
          <w:t>UIT-T X.1059</w:t>
        </w:r>
      </w:hyperlink>
      <w:r w:rsidRPr="00C81F7E">
        <w:rPr>
          <w:lang w:val="fr-CH"/>
        </w:rPr>
        <w:t xml:space="preserve">) et du spam publicitaire </w:t>
      </w:r>
      <w:hyperlink r:id="rId37" w:history="1">
        <w:r w:rsidRPr="00C81F7E">
          <w:rPr>
            <w:rStyle w:val="Hyperlink"/>
            <w:lang w:val="fr-CH"/>
          </w:rPr>
          <w:t>(UIT-T X.1232</w:t>
        </w:r>
      </w:hyperlink>
      <w:r w:rsidRPr="00C81F7E">
        <w:rPr>
          <w:lang w:val="fr-CH"/>
        </w:rPr>
        <w:t>).</w:t>
      </w:r>
      <w:bookmarkEnd w:id="20"/>
    </w:p>
    <w:p w14:paraId="08EC3944" w14:textId="77777777" w:rsidR="00CE6458" w:rsidRPr="00C81F7E" w:rsidRDefault="00CE6458" w:rsidP="00CE6458">
      <w:pPr>
        <w:rPr>
          <w:b/>
          <w:lang w:val="fr-CH"/>
        </w:rPr>
      </w:pPr>
      <w:bookmarkStart w:id="21" w:name="lt_pId020"/>
      <w:r w:rsidRPr="00C81F7E">
        <w:rPr>
          <w:b/>
          <w:lang w:val="fr-CH"/>
        </w:rPr>
        <w:t xml:space="preserve">Réseaux câblés haut de </w:t>
      </w:r>
      <w:proofErr w:type="gramStart"/>
      <w:r w:rsidRPr="00C81F7E">
        <w:rPr>
          <w:b/>
          <w:lang w:val="fr-CH"/>
        </w:rPr>
        <w:t>gamme:</w:t>
      </w:r>
      <w:proofErr w:type="gramEnd"/>
      <w:r w:rsidRPr="00C81F7E">
        <w:rPr>
          <w:b/>
          <w:lang w:val="fr-CH"/>
        </w:rPr>
        <w:t xml:space="preserve"> </w:t>
      </w:r>
      <w:r w:rsidRPr="00C81F7E">
        <w:rPr>
          <w:lang w:val="fr-CH"/>
        </w:rPr>
        <w:t>Une nouvelle norme de l'UIT définit le cadre applicable à une plate-forme de réseau câblé haut de gamme pour aider les professionnels à offrir des services multimédias évolués (</w:t>
      </w:r>
      <w:hyperlink r:id="rId38" w:history="1">
        <w:r w:rsidRPr="00C81F7E">
          <w:rPr>
            <w:rStyle w:val="Hyperlink"/>
            <w:lang w:val="fr-CH"/>
          </w:rPr>
          <w:t>UIT-T J.1600</w:t>
        </w:r>
      </w:hyperlink>
      <w:r w:rsidRPr="00C81F7E">
        <w:rPr>
          <w:lang w:val="fr-CH"/>
        </w:rPr>
        <w:t>).</w:t>
      </w:r>
      <w:bookmarkEnd w:id="21"/>
      <w:r w:rsidRPr="00C81F7E">
        <w:rPr>
          <w:lang w:val="fr-CH"/>
        </w:rPr>
        <w:t xml:space="preserve"> </w:t>
      </w:r>
      <w:bookmarkStart w:id="22" w:name="lt_pId021"/>
      <w:r w:rsidRPr="00C81F7E">
        <w:rPr>
          <w:lang w:val="fr-CH"/>
        </w:rPr>
        <w:t>Il s'agit de la première d'une nouvelle série de normes de l'UIT sur les réseaux câblés assistés par l'intelligence artificielle.</w:t>
      </w:r>
      <w:bookmarkEnd w:id="22"/>
    </w:p>
    <w:p w14:paraId="695DAA8F" w14:textId="77777777" w:rsidR="00CE6458" w:rsidRPr="00CB09F1" w:rsidRDefault="00CE6458" w:rsidP="00CE6458">
      <w:pPr>
        <w:pStyle w:val="Headingb"/>
        <w:spacing w:before="240"/>
        <w:rPr>
          <w:i/>
          <w:iCs/>
          <w:sz w:val="28"/>
          <w:szCs w:val="28"/>
          <w:lang w:val="fr-CH"/>
        </w:rPr>
      </w:pPr>
      <w:r w:rsidRPr="00CE6458">
        <w:rPr>
          <w:rFonts w:asciiTheme="majorBidi" w:hAnsiTheme="majorBidi" w:cstheme="majorBidi"/>
          <w:i/>
          <w:iCs/>
          <w:sz w:val="28"/>
          <w:szCs w:val="28"/>
          <w:lang w:val="fr-CH"/>
        </w:rPr>
        <w:t>Encourager</w:t>
      </w:r>
      <w:r w:rsidRPr="00CB09F1">
        <w:rPr>
          <w:i/>
          <w:iCs/>
          <w:sz w:val="28"/>
          <w:szCs w:val="28"/>
          <w:lang w:val="fr-CH"/>
        </w:rPr>
        <w:t xml:space="preserve"> la collaboration</w:t>
      </w:r>
    </w:p>
    <w:p w14:paraId="49652D61" w14:textId="77777777" w:rsidR="00CE6458" w:rsidRPr="00C81F7E" w:rsidRDefault="00CE6458" w:rsidP="00CE6458">
      <w:pPr>
        <w:rPr>
          <w:rFonts w:asciiTheme="majorBidi" w:hAnsiTheme="majorBidi" w:cstheme="majorBidi"/>
          <w:lang w:val="fr-CH"/>
        </w:rPr>
      </w:pPr>
      <w:bookmarkStart w:id="23" w:name="lt_pId023"/>
      <w:r w:rsidRPr="00C81F7E">
        <w:rPr>
          <w:rFonts w:asciiTheme="majorBidi" w:hAnsiTheme="majorBidi" w:cstheme="majorBidi"/>
          <w:lang w:val="fr-CH"/>
        </w:rPr>
        <w:t xml:space="preserve">La </w:t>
      </w:r>
      <w:hyperlink r:id="rId39" w:history="1">
        <w:r w:rsidRPr="00C81F7E">
          <w:rPr>
            <w:rStyle w:val="Hyperlink"/>
            <w:rFonts w:cstheme="majorBidi"/>
            <w:lang w:val="fr-CH"/>
          </w:rPr>
          <w:t>deuxième Assemblée des équipes de direction des Commissions d'études de l'UIT-T</w:t>
        </w:r>
      </w:hyperlink>
      <w:r w:rsidRPr="00C81F7E">
        <w:rPr>
          <w:rFonts w:asciiTheme="majorBidi" w:hAnsiTheme="majorBidi" w:cstheme="majorBidi"/>
          <w:lang w:val="fr-CH"/>
        </w:rPr>
        <w:t xml:space="preserve"> s'est tenue à Budapest (Hongrie) les 9 et 10 septembre 2019, à l'occasion d'ITU Telecom World.</w:t>
      </w:r>
      <w:bookmarkEnd w:id="23"/>
      <w:r w:rsidRPr="00C81F7E">
        <w:rPr>
          <w:rFonts w:asciiTheme="majorBidi" w:hAnsiTheme="majorBidi" w:cstheme="majorBidi"/>
          <w:lang w:val="fr-CH"/>
        </w:rPr>
        <w:t xml:space="preserve"> </w:t>
      </w:r>
      <w:bookmarkStart w:id="24" w:name="lt_pId024"/>
      <w:r w:rsidRPr="00C81F7E">
        <w:rPr>
          <w:rFonts w:asciiTheme="majorBidi" w:hAnsiTheme="majorBidi" w:cstheme="majorBidi"/>
          <w:lang w:val="fr-CH"/>
        </w:rPr>
        <w:t>Elle a rassemblé plus de 50 experts occupant des postes de direction au sein du GCNT, des commissions d'études et des groupes spécialisés pour examiner des questions techniques présentant un intérêt stratégique croissant pour la normalisation à l'UIT, et pour identifier les possibilités de collaboration.</w:t>
      </w:r>
    </w:p>
    <w:p w14:paraId="498ABEA0" w14:textId="77777777" w:rsidR="00CE6458" w:rsidRPr="00C81F7E" w:rsidRDefault="00CE6458" w:rsidP="00CE6458">
      <w:pPr>
        <w:rPr>
          <w:rFonts w:asciiTheme="majorBidi" w:hAnsiTheme="majorBidi" w:cstheme="majorBidi"/>
          <w:lang w:val="fr-CH"/>
        </w:rPr>
      </w:pPr>
      <w:bookmarkStart w:id="25" w:name="lt_pId025"/>
      <w:bookmarkEnd w:id="24"/>
      <w:r w:rsidRPr="00C81F7E">
        <w:rPr>
          <w:rFonts w:asciiTheme="majorBidi" w:hAnsiTheme="majorBidi" w:cstheme="majorBidi"/>
          <w:lang w:val="fr-CH"/>
        </w:rPr>
        <w:t xml:space="preserve">Le </w:t>
      </w:r>
      <w:hyperlink r:id="rId40" w:history="1">
        <w:r w:rsidRPr="00C81F7E">
          <w:rPr>
            <w:rStyle w:val="Hyperlink"/>
            <w:rFonts w:cstheme="majorBidi"/>
            <w:lang w:val="fr-CH"/>
          </w:rPr>
          <w:t>stage intensif sur la sécurité organisé dans le cadre de l'Initiative mondiale en faveur de l'inclusion financière (FIGI)</w:t>
        </w:r>
      </w:hyperlink>
      <w:r w:rsidRPr="00C81F7E">
        <w:rPr>
          <w:rFonts w:asciiTheme="majorBidi" w:hAnsiTheme="majorBidi" w:cstheme="majorBidi"/>
          <w:lang w:val="fr-CH"/>
        </w:rPr>
        <w:t xml:space="preserve"> à Genève, les 4 et 5 décembre 2019, a permis de présenter les dernières conclusions du </w:t>
      </w:r>
      <w:hyperlink r:id="rId41" w:history="1">
        <w:r w:rsidRPr="00C81F7E">
          <w:rPr>
            <w:rStyle w:val="Hyperlink"/>
            <w:rFonts w:cstheme="majorBidi"/>
            <w:lang w:val="fr-CH"/>
          </w:rPr>
          <w:t>Groupe de travail FIGI sur la sécurité, l'infrastructure et la confiance</w:t>
        </w:r>
      </w:hyperlink>
      <w:r w:rsidRPr="00C81F7E">
        <w:rPr>
          <w:rFonts w:asciiTheme="majorBidi" w:hAnsiTheme="majorBidi" w:cstheme="majorBidi"/>
          <w:lang w:val="fr-CH"/>
        </w:rPr>
        <w:t xml:space="preserve">, dirigé par l'UIT. L'accent a été mis sur les nouveaux rapports FIGI sur des sujets tels que l'atténuation des failles de sécurité dans le système de signalisation </w:t>
      </w:r>
      <w:r>
        <w:rPr>
          <w:rFonts w:asciiTheme="majorBidi" w:hAnsiTheme="majorBidi" w:cstheme="majorBidi"/>
          <w:lang w:val="fr-CH"/>
        </w:rPr>
        <w:t>N</w:t>
      </w:r>
      <w:r w:rsidRPr="00C81F7E">
        <w:rPr>
          <w:rFonts w:asciiTheme="majorBidi" w:hAnsiTheme="majorBidi" w:cstheme="majorBidi"/>
          <w:lang w:val="fr-CH"/>
        </w:rPr>
        <w:t xml:space="preserve">°7, l'identité numérique et l'authentification forte, et les cadres de garantie de la sécurité pour accroître la sécurité tout au long de la chaîne de valeur. </w:t>
      </w:r>
      <w:bookmarkEnd w:id="25"/>
      <w:r w:rsidRPr="00C81F7E">
        <w:rPr>
          <w:lang w:val="fr-CH"/>
        </w:rPr>
        <w:t>L'</w:t>
      </w:r>
      <w:hyperlink r:id="rId42" w:history="1">
        <w:r w:rsidRPr="00C81F7E">
          <w:rPr>
            <w:rStyle w:val="Hyperlink"/>
            <w:lang w:val="fr-CH"/>
          </w:rPr>
          <w:t>Initiative mondiale en faveur de l'inclusion financière (FIGI)</w:t>
        </w:r>
      </w:hyperlink>
      <w:r w:rsidRPr="00C81F7E">
        <w:rPr>
          <w:lang w:val="fr-CH"/>
        </w:rPr>
        <w:t xml:space="preserve"> vise à faire avancer les travaux de recherche sur les services financiers numériques et à accélérer l'inclusion financière numérique dans les pays en développement; elle est dirigée par l'UIT, le Groupe de la Banque mondiale et le Comité sur les paiements et les infrastructures de marché, avec l'appui de la Fondation Bill &amp; Melinda Gates.</w:t>
      </w:r>
    </w:p>
    <w:p w14:paraId="6ABFD88A" w14:textId="77777777" w:rsidR="00CE6458" w:rsidRPr="00C81F7E" w:rsidRDefault="00CE6458" w:rsidP="00CE6458">
      <w:pPr>
        <w:rPr>
          <w:bCs/>
          <w:lang w:val="fr-CH"/>
        </w:rPr>
      </w:pPr>
      <w:r w:rsidRPr="00C81F7E">
        <w:rPr>
          <w:lang w:val="fr-CH"/>
        </w:rPr>
        <w:t>Aujourd'hui, plus de 100 villes du monde entier mesurent les progrès qu'elles ont accomplis au moyen des "indicateurs fondamentaux de performance pour les villes intelligentes et durables", qui reposent sur les normes de l'UIT et ont été élaborés dans le cadre de l'initiative "</w:t>
      </w:r>
      <w:hyperlink r:id="rId43" w:history="1">
        <w:r w:rsidRPr="00C81F7E">
          <w:rPr>
            <w:rStyle w:val="Hyperlink"/>
            <w:lang w:val="fr-CH"/>
          </w:rPr>
          <w:t>Tous unis pour des villes intelligentes et durables (U4SCC)</w:t>
        </w:r>
      </w:hyperlink>
      <w:r w:rsidRPr="00C81F7E">
        <w:rPr>
          <w:lang w:val="fr-CH"/>
        </w:rPr>
        <w:t xml:space="preserve">". Parmi les nouveaux rapports U4SSC figurent un </w:t>
      </w:r>
      <w:hyperlink r:id="rId44" w:history="1">
        <w:r w:rsidRPr="00C81F7E">
          <w:rPr>
            <w:lang w:val="fr-CH"/>
          </w:rPr>
          <w:t>"</w:t>
        </w:r>
        <w:r w:rsidRPr="00C81F7E">
          <w:rPr>
            <w:rStyle w:val="Hyperlink"/>
            <w:bCs/>
            <w:lang w:val="fr-CH"/>
          </w:rPr>
          <w:t>Cadre d'application de la science pour résoudre les problèmes urbains</w:t>
        </w:r>
      </w:hyperlink>
      <w:r w:rsidRPr="00C81F7E">
        <w:rPr>
          <w:lang w:val="fr-CH"/>
        </w:rPr>
        <w:t>"</w:t>
      </w:r>
      <w:r w:rsidRPr="00C81F7E">
        <w:rPr>
          <w:bCs/>
          <w:lang w:val="fr-CH"/>
        </w:rPr>
        <w:t xml:space="preserve"> et huit </w:t>
      </w:r>
      <w:hyperlink r:id="rId45" w:history="1">
        <w:r w:rsidRPr="00C81F7E">
          <w:rPr>
            <w:rStyle w:val="Hyperlink"/>
            <w:bCs/>
            <w:lang w:val="fr-CH"/>
          </w:rPr>
          <w:t>études de cas</w:t>
        </w:r>
      </w:hyperlink>
      <w:r w:rsidRPr="00C81F7E">
        <w:rPr>
          <w:bCs/>
          <w:lang w:val="fr-CH"/>
        </w:rPr>
        <w:t xml:space="preserve"> associées</w:t>
      </w:r>
      <w:r w:rsidRPr="00C81F7E">
        <w:rPr>
          <w:lang w:val="fr-CH"/>
        </w:rPr>
        <w:t xml:space="preserve">, ainsi que des "instantanés" pour les villes suivantes: </w:t>
      </w:r>
      <w:hyperlink r:id="rId46" w:history="1">
        <w:r w:rsidRPr="00C81F7E">
          <w:rPr>
            <w:rStyle w:val="Hyperlink"/>
            <w:lang w:val="fr-CH"/>
          </w:rPr>
          <w:t>Ålesund (Norvège)</w:t>
        </w:r>
      </w:hyperlink>
      <w:r w:rsidRPr="00C81F7E">
        <w:rPr>
          <w:lang w:val="fr-CH"/>
        </w:rPr>
        <w:t xml:space="preserve">, </w:t>
      </w:r>
      <w:hyperlink r:id="rId47" w:history="1">
        <w:r w:rsidRPr="00C81F7E">
          <w:rPr>
            <w:rStyle w:val="Hyperlink"/>
            <w:lang w:val="fr-CH"/>
          </w:rPr>
          <w:t>Bizerte (Tunisie)</w:t>
        </w:r>
      </w:hyperlink>
      <w:r w:rsidRPr="00C81F7E">
        <w:rPr>
          <w:lang w:val="fr-CH"/>
        </w:rPr>
        <w:t xml:space="preserve">, </w:t>
      </w:r>
      <w:hyperlink r:id="rId48" w:history="1">
        <w:r w:rsidRPr="00C81F7E">
          <w:rPr>
            <w:rStyle w:val="Hyperlink"/>
            <w:lang w:val="fr-CH"/>
          </w:rPr>
          <w:t>Moscou (Russie)</w:t>
        </w:r>
      </w:hyperlink>
      <w:r w:rsidRPr="00C81F7E">
        <w:rPr>
          <w:lang w:val="fr-CH"/>
        </w:rPr>
        <w:t xml:space="preserve">, </w:t>
      </w:r>
      <w:hyperlink r:id="rId49" w:history="1">
        <w:r w:rsidRPr="00C81F7E">
          <w:rPr>
            <w:rStyle w:val="Hyperlink"/>
            <w:lang w:val="fr-CH"/>
          </w:rPr>
          <w:t>Riyad (Arabie saoudite)</w:t>
        </w:r>
      </w:hyperlink>
      <w:r w:rsidRPr="00C81F7E">
        <w:rPr>
          <w:lang w:val="fr-CH"/>
        </w:rPr>
        <w:t xml:space="preserve"> et </w:t>
      </w:r>
      <w:hyperlink r:id="rId50" w:history="1">
        <w:r w:rsidRPr="00C81F7E">
          <w:rPr>
            <w:rStyle w:val="Hyperlink"/>
            <w:lang w:val="fr-CH"/>
          </w:rPr>
          <w:t>Pully (Suisse)</w:t>
        </w:r>
      </w:hyperlink>
      <w:r w:rsidRPr="00C81F7E">
        <w:rPr>
          <w:lang w:val="fr-CH"/>
        </w:rPr>
        <w:t xml:space="preserve">. </w:t>
      </w:r>
      <w:bookmarkStart w:id="26" w:name="lt_pId030"/>
      <w:r w:rsidRPr="00C81F7E">
        <w:rPr>
          <w:lang w:val="fr-CH"/>
        </w:rPr>
        <w:t xml:space="preserve">En outre, le </w:t>
      </w:r>
      <w:hyperlink r:id="rId51" w:history="1">
        <w:r w:rsidRPr="00C81F7E">
          <w:rPr>
            <w:rStyle w:val="Hyperlink"/>
            <w:bCs/>
            <w:lang w:val="fr-CH"/>
          </w:rPr>
          <w:t>programme de mise en œuvre de l'initiative U4SSC</w:t>
        </w:r>
      </w:hyperlink>
      <w:r w:rsidRPr="00C81F7E">
        <w:rPr>
          <w:bCs/>
          <w:lang w:val="fr-CH"/>
        </w:rPr>
        <w:t xml:space="preserve"> a été </w:t>
      </w:r>
      <w:r w:rsidRPr="00C81F7E">
        <w:rPr>
          <w:lang w:val="fr-CH"/>
        </w:rPr>
        <w:t xml:space="preserve">lancé </w:t>
      </w:r>
      <w:r w:rsidRPr="00C81F7E">
        <w:rPr>
          <w:bCs/>
          <w:lang w:val="fr-CH"/>
        </w:rPr>
        <w:t>afin faciliter la mise en œuvre des indicateurs fondamentaux de performance ainsi que les projets connexes et la conclusion de partenariats.</w:t>
      </w:r>
      <w:bookmarkEnd w:id="26"/>
    </w:p>
    <w:p w14:paraId="5CE30CDC" w14:textId="77777777" w:rsidR="00CE6458" w:rsidRPr="00C81F7E" w:rsidRDefault="00CE6458" w:rsidP="00CE6458">
      <w:pPr>
        <w:rPr>
          <w:lang w:val="fr-CH"/>
        </w:rPr>
      </w:pPr>
      <w:r w:rsidRPr="00C81F7E">
        <w:rPr>
          <w:lang w:val="fr-CH"/>
        </w:rPr>
        <w:lastRenderedPageBreak/>
        <w:t xml:space="preserve">Placée sous le thème "Mettre en relation les villes intelligentes et durables et les Objectifs de développement durable", la </w:t>
      </w:r>
      <w:hyperlink r:id="rId52" w:history="1">
        <w:r w:rsidRPr="00C81F7E">
          <w:rPr>
            <w:rStyle w:val="Hyperlink"/>
            <w:lang w:val="fr-CH"/>
          </w:rPr>
          <w:t>neuvième Semaine Normes Vertes</w:t>
        </w:r>
      </w:hyperlink>
      <w:r w:rsidRPr="00C81F7E">
        <w:rPr>
          <w:lang w:val="fr-CH"/>
        </w:rPr>
        <w:t xml:space="preserve"> s'est tenue du 1er au 4 octobre 2019 à Valence (Espagne). Organisée par l'UIT en collaboration avec 37 partenaires et accueillie par la ville de Valence, elle s'est conclue par l'adoption d'un </w:t>
      </w:r>
      <w:hyperlink r:id="rId53" w:history="1">
        <w:r w:rsidRPr="00C81F7E">
          <w:rPr>
            <w:rStyle w:val="Hyperlink"/>
            <w:lang w:val="fr-CH"/>
          </w:rPr>
          <w:t>appel à l'action</w:t>
        </w:r>
      </w:hyperlink>
      <w:r w:rsidRPr="00C81F7E">
        <w:rPr>
          <w:lang w:val="fr-CH"/>
        </w:rPr>
        <w:t xml:space="preserve"> pour accélérer la transition vers des villes intelligentes et durables.</w:t>
      </w:r>
    </w:p>
    <w:p w14:paraId="0D712EE3" w14:textId="77777777" w:rsidR="00CE6458" w:rsidRPr="00C81F7E" w:rsidRDefault="00CE6458" w:rsidP="00CE6458">
      <w:pPr>
        <w:rPr>
          <w:lang w:val="fr-CH"/>
        </w:rPr>
      </w:pPr>
      <w:bookmarkStart w:id="27" w:name="lt_pId033"/>
      <w:r w:rsidRPr="00C81F7E">
        <w:rPr>
          <w:lang w:val="fr-CH"/>
        </w:rPr>
        <w:t xml:space="preserve">La manifestation </w:t>
      </w:r>
      <w:hyperlink r:id="rId54" w:history="1">
        <w:r w:rsidRPr="00C81F7E">
          <w:rPr>
            <w:rStyle w:val="Hyperlink"/>
            <w:lang w:val="fr-CH"/>
          </w:rPr>
          <w:t>Kaléidoscope 2019 de l'UIT sur le thème "Les TIC au service de la santé: réseaux, normes et innovation</w:t>
        </w:r>
      </w:hyperlink>
      <w:r w:rsidRPr="00C81F7E">
        <w:rPr>
          <w:rStyle w:val="Hyperlink"/>
          <w:lang w:val="fr-CH"/>
        </w:rPr>
        <w:t>"</w:t>
      </w:r>
      <w:r w:rsidRPr="00C81F7E">
        <w:rPr>
          <w:lang w:val="fr-CH"/>
        </w:rPr>
        <w:t xml:space="preserve">, 11ème édition de la conférence Kaléidoscope, a été organisée par l'UIT en collaboration avec l'OMS et s'est tenue à Atlanta (États-Unis) du 4 au 6 décembre 2019, à l'invitation du Georgia Institute of </w:t>
      </w:r>
      <w:proofErr w:type="spellStart"/>
      <w:r w:rsidRPr="00C81F7E">
        <w:rPr>
          <w:lang w:val="fr-CH"/>
        </w:rPr>
        <w:t>Technology</w:t>
      </w:r>
      <w:proofErr w:type="spellEnd"/>
      <w:r w:rsidRPr="00C81F7E">
        <w:rPr>
          <w:lang w:val="fr-CH"/>
        </w:rPr>
        <w:t xml:space="preserve"> (établissement universitaire participant aux travaux de l'UIT).</w:t>
      </w:r>
      <w:bookmarkEnd w:id="27"/>
      <w:r w:rsidRPr="00C81F7E">
        <w:rPr>
          <w:lang w:val="fr-CH"/>
        </w:rPr>
        <w:t xml:space="preserve"> </w:t>
      </w:r>
      <w:bookmarkStart w:id="28" w:name="lt_pId034"/>
      <w:r w:rsidRPr="00C81F7E">
        <w:rPr>
          <w:lang w:val="fr-CH"/>
        </w:rPr>
        <w:t>L'</w:t>
      </w:r>
      <w:hyperlink r:id="rId55" w:history="1">
        <w:r w:rsidRPr="00C81F7E">
          <w:rPr>
            <w:rStyle w:val="Hyperlink"/>
            <w:lang w:val="fr-CH"/>
          </w:rPr>
          <w:t>article récompensé</w:t>
        </w:r>
      </w:hyperlink>
      <w:r w:rsidRPr="0074494D">
        <w:rPr>
          <w:lang w:val="fr-CH"/>
        </w:rPr>
        <w:t xml:space="preserve"> lors de cette manifestation</w:t>
      </w:r>
      <w:r w:rsidRPr="00C81F7E">
        <w:rPr>
          <w:lang w:val="fr-CH"/>
        </w:rPr>
        <w:t xml:space="preserve"> propose d'ajouter aux protocoles d'échange de clé avec authentification par mot de passe –</w:t>
      </w:r>
      <w:r>
        <w:rPr>
          <w:lang w:val="fr-CH"/>
        </w:rPr>
        <w:t xml:space="preserve"> </w:t>
      </w:r>
      <w:r w:rsidRPr="00C81F7E">
        <w:rPr>
          <w:lang w:val="fr-CH"/>
        </w:rPr>
        <w:t>modèle d'authentification au moyen de "secrets partagés" faibles qui repose souvent sur des noms d'utilisateur et des mots de passe – d'autres facteurs d'authentification, par exemple la biométrie. La proposition vise à offrir un accès sécurisé aux services de santé numériques, en particulier aux personnes handicapées qui utilisent des dispositifs d'assistance.</w:t>
      </w:r>
    </w:p>
    <w:bookmarkEnd w:id="28"/>
    <w:p w14:paraId="4A208192" w14:textId="77777777" w:rsidR="00CE6458" w:rsidRPr="00C81F7E" w:rsidRDefault="00CE6458" w:rsidP="00CE6458">
      <w:pPr>
        <w:rPr>
          <w:lang w:val="fr-CH"/>
        </w:rPr>
      </w:pPr>
      <w:r w:rsidRPr="00C81F7E">
        <w:rPr>
          <w:lang w:val="fr-CH"/>
        </w:rPr>
        <w:t>En novembre 2019, un nouveau numéro spécial du Journal de l'UIT sur le thème "</w:t>
      </w:r>
      <w:hyperlink r:id="rId56" w:history="1">
        <w:r w:rsidRPr="00CB09F1">
          <w:rPr>
            <w:rStyle w:val="Hyperlink"/>
            <w:lang w:val="fr-CH"/>
          </w:rPr>
          <w:t>Modéliser la propagation pour les systèmes de radiocommunication évolués de demain – Enjeux liés à l'encombrement du spectre des fréquences radioélectriques</w:t>
        </w:r>
      </w:hyperlink>
      <w:r w:rsidRPr="00C81F7E">
        <w:rPr>
          <w:lang w:val="fr-CH"/>
        </w:rPr>
        <w:t>" a été publié. Le prochain numéro spécial du Journal de l'UIT portera sur "</w:t>
      </w:r>
      <w:hyperlink r:id="rId57" w:history="1">
        <w:r w:rsidRPr="00CB09F1">
          <w:rPr>
            <w:rStyle w:val="Hyperlink"/>
            <w:lang w:val="fr-CH"/>
          </w:rPr>
          <w:t>L'avenir de la vidéo et des technologies multimédias en immersion</w:t>
        </w:r>
      </w:hyperlink>
      <w:r w:rsidRPr="00C81F7E">
        <w:rPr>
          <w:lang w:val="fr-CH"/>
        </w:rPr>
        <w:t xml:space="preserve">". L'UIT a en outre signé un accord de </w:t>
      </w:r>
      <w:proofErr w:type="spellStart"/>
      <w:r w:rsidRPr="00C81F7E">
        <w:rPr>
          <w:lang w:val="fr-CH"/>
        </w:rPr>
        <w:t>copublication</w:t>
      </w:r>
      <w:proofErr w:type="spellEnd"/>
      <w:r w:rsidRPr="00C81F7E">
        <w:rPr>
          <w:lang w:val="fr-CH"/>
        </w:rPr>
        <w:t xml:space="preserve"> avec </w:t>
      </w:r>
      <w:proofErr w:type="spellStart"/>
      <w:r w:rsidRPr="00C81F7E">
        <w:rPr>
          <w:lang w:val="fr-CH"/>
        </w:rPr>
        <w:t>Tsinghua</w:t>
      </w:r>
      <w:proofErr w:type="spellEnd"/>
      <w:r w:rsidRPr="00C81F7E">
        <w:rPr>
          <w:lang w:val="fr-CH"/>
        </w:rPr>
        <w:t xml:space="preserve"> </w:t>
      </w:r>
      <w:proofErr w:type="spellStart"/>
      <w:r w:rsidRPr="00C81F7E">
        <w:rPr>
          <w:lang w:val="fr-CH"/>
        </w:rPr>
        <w:t>University</w:t>
      </w:r>
      <w:proofErr w:type="spellEnd"/>
      <w:r w:rsidRPr="00C81F7E">
        <w:rPr>
          <w:lang w:val="fr-CH"/>
        </w:rPr>
        <w:t xml:space="preserve"> Press Ltd. </w:t>
      </w:r>
      <w:proofErr w:type="gramStart"/>
      <w:r w:rsidRPr="00C81F7E">
        <w:rPr>
          <w:lang w:val="fr-CH"/>
        </w:rPr>
        <w:t>pour</w:t>
      </w:r>
      <w:proofErr w:type="gramEnd"/>
      <w:r w:rsidRPr="00C81F7E">
        <w:rPr>
          <w:lang w:val="fr-CH"/>
        </w:rPr>
        <w:t xml:space="preserve"> l'élaboration d'une nouvelle publication conjointe, dans le cadre du Journal de l'UIT: </w:t>
      </w:r>
      <w:r w:rsidRPr="00CB09F1">
        <w:rPr>
          <w:i/>
          <w:iCs/>
          <w:lang w:val="fr-CH"/>
        </w:rPr>
        <w:t>À la</w:t>
      </w:r>
      <w:r w:rsidRPr="00C81F7E">
        <w:rPr>
          <w:i/>
          <w:iCs/>
          <w:lang w:val="fr-CH"/>
        </w:rPr>
        <w:t> découverte des TIC</w:t>
      </w:r>
      <w:r w:rsidRPr="00C81F7E">
        <w:rPr>
          <w:lang w:val="fr-CH"/>
        </w:rPr>
        <w:t>, qui sera présentée au premier trimestre de 2020.</w:t>
      </w:r>
    </w:p>
    <w:p w14:paraId="5C17A656" w14:textId="77777777" w:rsidR="00CE6458" w:rsidRPr="00C81F7E" w:rsidRDefault="00CE6458" w:rsidP="00CE6458">
      <w:pPr>
        <w:rPr>
          <w:lang w:val="fr-CH"/>
        </w:rPr>
      </w:pPr>
      <w:r w:rsidRPr="00C81F7E">
        <w:rPr>
          <w:lang w:val="fr-CH"/>
        </w:rPr>
        <w:t xml:space="preserve">L'UIT et l'organisation de normalisation du Conseil de coopération du Golfe ont </w:t>
      </w:r>
      <w:r w:rsidRPr="00C81F7E">
        <w:rPr>
          <w:bCs/>
          <w:lang w:val="fr-CH"/>
        </w:rPr>
        <w:t xml:space="preserve">signé un </w:t>
      </w:r>
      <w:hyperlink r:id="rId58" w:history="1">
        <w:r w:rsidRPr="00C81F7E">
          <w:rPr>
            <w:rStyle w:val="Hyperlink"/>
            <w:bCs/>
            <w:lang w:val="fr-CH"/>
          </w:rPr>
          <w:t>accord de coopération</w:t>
        </w:r>
      </w:hyperlink>
      <w:r w:rsidRPr="00C81F7E">
        <w:rPr>
          <w:lang w:val="fr-CH"/>
        </w:rPr>
        <w:t xml:space="preserve"> en septembre 2019</w:t>
      </w:r>
      <w:r w:rsidRPr="00C81F7E">
        <w:rPr>
          <w:bCs/>
          <w:bdr w:val="none" w:sz="0" w:space="0" w:color="auto" w:frame="1"/>
          <w:lang w:val="fr-CH"/>
        </w:rPr>
        <w:t xml:space="preserve">, établissant un cadre non exclusif de haut niveau pour la </w:t>
      </w:r>
      <w:r w:rsidRPr="00C81F7E">
        <w:rPr>
          <w:lang w:val="fr-CH"/>
        </w:rPr>
        <w:t>coopération. L'accord s'inscrit dans le cadre de la contribution du TSB à la réalisation de l'Objectif T.5 du plan stratégique de l'Union, à savoir "Élargir et faciliter la coopération avec les organismes internationaux, régionaux et nationaux de normalisation".</w:t>
      </w:r>
    </w:p>
    <w:p w14:paraId="12552B74" w14:textId="77777777" w:rsidR="00CE6458" w:rsidRPr="00C81F7E" w:rsidRDefault="00CE6458" w:rsidP="00CE6458">
      <w:pPr>
        <w:rPr>
          <w:lang w:val="fr-CH"/>
        </w:rPr>
      </w:pPr>
      <w:bookmarkStart w:id="29" w:name="lt_pId041"/>
      <w:r w:rsidRPr="00C81F7E">
        <w:rPr>
          <w:bCs/>
          <w:lang w:val="fr-CH"/>
        </w:rPr>
        <w:t xml:space="preserve">L'UIT et l'Université Zhejiang, établissement universitaire participant aux travaux de l'UIT, ont signé </w:t>
      </w:r>
      <w:r w:rsidRPr="00C81F7E">
        <w:rPr>
          <w:lang w:val="fr-CH"/>
        </w:rPr>
        <w:t xml:space="preserve">en septembre 2019 </w:t>
      </w:r>
      <w:r w:rsidRPr="00C81F7E">
        <w:rPr>
          <w:bCs/>
          <w:lang w:val="fr-CH"/>
        </w:rPr>
        <w:t xml:space="preserve">un </w:t>
      </w:r>
      <w:hyperlink r:id="rId59" w:history="1">
        <w:r w:rsidRPr="00C81F7E">
          <w:rPr>
            <w:rStyle w:val="Hyperlink"/>
            <w:lang w:val="fr-CH"/>
          </w:rPr>
          <w:t>mémorandum d'accord</w:t>
        </w:r>
      </w:hyperlink>
      <w:r w:rsidRPr="00C81F7E">
        <w:rPr>
          <w:lang w:val="fr-CH"/>
        </w:rPr>
        <w:t xml:space="preserve"> définissant les grandes lignes des possibilités de collaboration à l'occasion de manifestations mondiales, régionales et nationales, ainsi que des travaux de recherche collaboratifs dans le cadre d'activités liées aux radiocommunications, à la normalisation, aux télécommunications et au développement des TIC. </w:t>
      </w:r>
    </w:p>
    <w:bookmarkEnd w:id="29"/>
    <w:p w14:paraId="6870BE6E" w14:textId="77777777" w:rsidR="00CE6458" w:rsidRPr="00CB09F1" w:rsidRDefault="00CE6458" w:rsidP="00CE6458">
      <w:pPr>
        <w:pStyle w:val="Headingb"/>
        <w:spacing w:before="240"/>
        <w:rPr>
          <w:i/>
          <w:iCs/>
          <w:sz w:val="28"/>
          <w:szCs w:val="28"/>
          <w:lang w:val="fr-CH"/>
        </w:rPr>
      </w:pPr>
      <w:r w:rsidRPr="00CE6458">
        <w:rPr>
          <w:rFonts w:asciiTheme="majorBidi" w:hAnsiTheme="majorBidi" w:cstheme="majorBidi"/>
          <w:i/>
          <w:iCs/>
          <w:sz w:val="28"/>
          <w:szCs w:val="28"/>
          <w:lang w:val="fr-CH"/>
        </w:rPr>
        <w:t>Plate</w:t>
      </w:r>
      <w:r w:rsidRPr="00CB09F1">
        <w:rPr>
          <w:i/>
          <w:iCs/>
          <w:sz w:val="28"/>
          <w:szCs w:val="28"/>
          <w:lang w:val="fr-CH"/>
        </w:rPr>
        <w:t>-forme de normalisation de l'UIT</w:t>
      </w:r>
    </w:p>
    <w:p w14:paraId="48467221" w14:textId="77777777" w:rsidR="00CE6458" w:rsidRPr="00C81F7E" w:rsidRDefault="00CE6458" w:rsidP="00CE6458">
      <w:pPr>
        <w:rPr>
          <w:rFonts w:eastAsia="Calibri"/>
          <w:lang w:val="fr-CH"/>
        </w:rPr>
      </w:pPr>
      <w:r w:rsidRPr="00C81F7E">
        <w:rPr>
          <w:rFonts w:eastAsia="Calibri"/>
          <w:lang w:val="fr-CH"/>
        </w:rPr>
        <w:t xml:space="preserve">Le nombre de membres de l'UIT-T a continué de s'accroître fortement en 2019. Pendant cette période, 20 Membres de Secteur et 34 Associés ont rejoint l'UIT-T, ce qui porte à 54 le nombre de nouveaux membres. </w:t>
      </w:r>
      <w:bookmarkStart w:id="30" w:name="lt_pId045"/>
      <w:r w:rsidRPr="00C81F7E">
        <w:rPr>
          <w:rFonts w:eastAsia="Calibri"/>
          <w:lang w:val="fr-CH"/>
        </w:rPr>
        <w:t>Dans l'ensemble, l'UIT-T a enregistré une augmentation nette de 38 membres en 2019 (sans compter les établissements universitaires).</w:t>
      </w:r>
      <w:bookmarkEnd w:id="30"/>
      <w:r w:rsidRPr="00C81F7E">
        <w:rPr>
          <w:rFonts w:eastAsia="Calibri"/>
          <w:lang w:val="fr-CH"/>
        </w:rPr>
        <w:t xml:space="preserve"> De plus, 23 nouveaux établissements universitaires ont rejoint l'UIT, soit une augmentation nette de 8 établissements. Parmi les nouveaux membres de l'UIT-T figurent des entreprises du secteur de l'énergie et des services publics, de l'expédition et de la logistique, des paiements sur mobile, des applications OTT, de l'automobile, de la connectivité pour l'IoT/les communications M2M, des communications par lumière visible, des technologies des registres distribués, de l'informatique quantique, de la cybersécurité, de l'intelligence artificielle et de la qualité de service et d'expérience.</w:t>
      </w:r>
    </w:p>
    <w:p w14:paraId="5195329B" w14:textId="77777777" w:rsidR="00CE6458" w:rsidRPr="00C81F7E" w:rsidRDefault="00CE6458" w:rsidP="00CE6458">
      <w:pPr>
        <w:rPr>
          <w:lang w:val="fr-CH"/>
        </w:rPr>
      </w:pPr>
      <w:r w:rsidRPr="00C81F7E">
        <w:rPr>
          <w:lang w:val="fr-CH"/>
        </w:rPr>
        <w:t>La "</w:t>
      </w:r>
      <w:hyperlink r:id="rId60" w:history="1">
        <w:r w:rsidRPr="00C81F7E">
          <w:rPr>
            <w:rStyle w:val="Hyperlink"/>
            <w:lang w:val="fr-CH"/>
          </w:rPr>
          <w:t>base de données sur la conformité des produits TIC</w:t>
        </w:r>
      </w:hyperlink>
      <w:r w:rsidRPr="00C81F7E">
        <w:rPr>
          <w:lang w:val="fr-CH"/>
        </w:rPr>
        <w:t xml:space="preserve">" permet au secteur de faire connaître la conformité des produits et services TIC aux Recommandations UIT-T, aidant ainsi les utilisateurs à choisir des produits conformes aux normes. Cette base de données recense notamment des produits utilisés dans les domaines de la </w:t>
      </w:r>
      <w:proofErr w:type="spellStart"/>
      <w:r w:rsidRPr="00C81F7E">
        <w:rPr>
          <w:lang w:val="fr-CH"/>
        </w:rPr>
        <w:t>cybersanté</w:t>
      </w:r>
      <w:proofErr w:type="spellEnd"/>
      <w:r w:rsidRPr="00C81F7E">
        <w:rPr>
          <w:lang w:val="fr-CH"/>
        </w:rPr>
        <w:t xml:space="preserve"> et des téléphones mobiles compatibles avec les terminaux mains libres des véhicules, des technologies Ethernet et de la TVIP et de la portabilité des numéros mobiles.</w:t>
      </w:r>
    </w:p>
    <w:p w14:paraId="63C33D3F" w14:textId="77777777" w:rsidR="00CE6458" w:rsidRPr="00C81F7E" w:rsidRDefault="00CE6458" w:rsidP="00CE6458">
      <w:pPr>
        <w:rPr>
          <w:lang w:val="fr-CH"/>
        </w:rPr>
      </w:pPr>
      <w:r w:rsidRPr="00C81F7E">
        <w:rPr>
          <w:lang w:val="fr-CH"/>
        </w:rPr>
        <w:lastRenderedPageBreak/>
        <w:t>La diversité du personnel, l'égalité hommes/femmes et l'autonomisation des femmes continuent de figurer parmi les priorités du TSB. Le TSB a adhéré à l'initiative de la Commission économique pour l'Europe (CEE-ONU) intitulée "Normes tenant compte des questions de genre", qui vise à améliorer l'équilibre hommes-femmes dans l'élaboration des normes et à faire en sorte qu'il soit tenu compte des questions de genre tant sur le plan du contenu des normes que de leurs effets.</w:t>
      </w:r>
    </w:p>
    <w:p w14:paraId="54118B07" w14:textId="77777777" w:rsidR="00CE6458" w:rsidRPr="00C81F7E" w:rsidRDefault="00CE6458" w:rsidP="00CE6458">
      <w:pPr>
        <w:rPr>
          <w:lang w:val="fr-CH"/>
        </w:rPr>
      </w:pPr>
      <w:r w:rsidRPr="00C81F7E">
        <w:rPr>
          <w:lang w:val="fr-CH"/>
        </w:rPr>
        <w:t>Les Commissions d'études 5, 11, 16 et 20 de l'UIT-T mènent un projet pilote visant à faire davantage participer les PME aux travaux de l'UIT. Dans le cadre de ce projet pilote, 16 PME ont été autorisées à prendre part aux activités de l'UIT-T par leur administration. Plusieurs PME participant actuellement à ce projet pilote ont manifesté un vif intérêt pour demander le statut d'Associé dans le cadre de la structure de droits réduits prévue dans la Résolution 209 (Dubaï, 2018) de la Conférence de plénipotentiaires, qui entrera en vigueur le 31 janvier 2020.</w:t>
      </w:r>
    </w:p>
    <w:p w14:paraId="400F7006" w14:textId="77777777" w:rsidR="00CE6458" w:rsidRPr="00C81F7E" w:rsidRDefault="00CE6458" w:rsidP="00CE6458">
      <w:pPr>
        <w:rPr>
          <w:lang w:val="fr-CH"/>
        </w:rPr>
      </w:pPr>
      <w:r w:rsidRPr="00C81F7E">
        <w:rPr>
          <w:lang w:val="fr-CH"/>
        </w:rPr>
        <w:t>Le TSB concourt à la réalisation de l'Objectif T.5 du plan stratégique de l'Union, à savoir "</w:t>
      </w:r>
      <w:r w:rsidRPr="00C81F7E">
        <w:rPr>
          <w:color w:val="000000"/>
          <w:lang w:val="fr-CH"/>
        </w:rPr>
        <w:t>Élargir et faciliter la coopération avec les organismes internationaux, régionaux et nationaux de normalisation</w:t>
      </w:r>
      <w:r w:rsidRPr="00C81F7E">
        <w:rPr>
          <w:lang w:val="fr-CH"/>
        </w:rPr>
        <w:t>", en coordonnant la contribution de l'UIT-T aux activités menées par d'autres organismes de normalisation, afin de promouvoir la participation d'autres organismes de normalisation aux activités des groupes de travail, aux ateliers et aux initiatives de collaboration connexes de l'UIT-T.</w:t>
      </w:r>
    </w:p>
    <w:p w14:paraId="2B495FE9" w14:textId="77777777" w:rsidR="00CE6458" w:rsidRPr="00C81F7E" w:rsidRDefault="00CE6458" w:rsidP="00CE6458">
      <w:pPr>
        <w:rPr>
          <w:lang w:val="fr-CH"/>
        </w:rPr>
      </w:pPr>
      <w:r w:rsidRPr="00C81F7E">
        <w:rPr>
          <w:lang w:val="fr-CH"/>
        </w:rPr>
        <w:t xml:space="preserve">La version 3 de la page </w:t>
      </w:r>
      <w:hyperlink r:id="rId61" w:history="1">
        <w:r w:rsidRPr="00C81F7E">
          <w:rPr>
            <w:rStyle w:val="Hyperlink"/>
            <w:lang w:val="fr-CH"/>
          </w:rPr>
          <w:t>MyWorkspace</w:t>
        </w:r>
      </w:hyperlink>
      <w:r w:rsidRPr="00C81F7E">
        <w:rPr>
          <w:lang w:val="fr-CH"/>
        </w:rPr>
        <w:t xml:space="preserve"> comporte de nouvelles fonctionnalités fondées sur les retours d'information des utilisateurs initiaux. </w:t>
      </w:r>
      <w:proofErr w:type="spellStart"/>
      <w:r w:rsidRPr="00C81F7E">
        <w:rPr>
          <w:lang w:val="fr-CH"/>
        </w:rPr>
        <w:t>MyWorkspace</w:t>
      </w:r>
      <w:proofErr w:type="spellEnd"/>
      <w:r w:rsidRPr="00C81F7E">
        <w:rPr>
          <w:lang w:val="fr-CH"/>
        </w:rPr>
        <w:t xml:space="preserve"> est une nouvelle page web personnalisée à l'usage des utilisateurs TIES, qui offre un accès rapide aux informations et aux services les plus appréciés par les délégués de l'UIT-T. Le </w:t>
      </w:r>
      <w:hyperlink r:id="rId62" w:history="1">
        <w:r w:rsidRPr="00C81F7E">
          <w:rPr>
            <w:rStyle w:val="Hyperlink"/>
            <w:lang w:val="fr-CH"/>
          </w:rPr>
          <w:t>moteur de recherche</w:t>
        </w:r>
      </w:hyperlink>
      <w:r w:rsidRPr="00C81F7E">
        <w:rPr>
          <w:lang w:val="fr-CH"/>
        </w:rPr>
        <w:t xml:space="preserve"> présente les résultats issus du corpus complet de documents, de publications et de pages web de l'UIT. Les sites collaboratifs SharePoint des Commissions d'études de l'UIT-T continuent d'être améliorés. Un nouveau bulletin d'actualités et d'annonces (</w:t>
      </w:r>
      <w:hyperlink r:id="rId63" w:history="1">
        <w:r w:rsidRPr="00C81F7E">
          <w:rPr>
            <w:rStyle w:val="Hyperlink"/>
            <w:lang w:val="fr-CH"/>
          </w:rPr>
          <w:t>http://tsbtech.itu.int/</w:t>
        </w:r>
      </w:hyperlink>
      <w:r w:rsidRPr="00C81F7E">
        <w:rPr>
          <w:lang w:val="fr-CH"/>
        </w:rPr>
        <w:t>) fournit des mises à jour régulières concernant les nouvelles améliorations apportées aux services et aux outils qui sont à la disposition des délégués de l'UIT-T.</w:t>
      </w:r>
    </w:p>
    <w:p w14:paraId="38F13D4B" w14:textId="77777777" w:rsidR="00CE6458" w:rsidRPr="00C81F7E" w:rsidRDefault="00CE6458" w:rsidP="00CE6458">
      <w:pPr>
        <w:rPr>
          <w:lang w:val="fr-CH"/>
        </w:rPr>
      </w:pPr>
      <w:r w:rsidRPr="00C81F7E">
        <w:rPr>
          <w:lang w:val="fr-CH"/>
        </w:rPr>
        <w:t xml:space="preserve">Plus de 6 000 pages de Recommandations et de Suppléments de l'UIT-T ont été publiées entre septembre et mi-décembre 2019. Outre le format PDF habituel, les principales versions de ces documents sont mises en ligne au format </w:t>
      </w:r>
      <w:proofErr w:type="spellStart"/>
      <w:r w:rsidRPr="00C81F7E">
        <w:rPr>
          <w:lang w:val="fr-CH"/>
        </w:rPr>
        <w:t>ePub</w:t>
      </w:r>
      <w:proofErr w:type="spellEnd"/>
      <w:r w:rsidRPr="00C81F7E">
        <w:rPr>
          <w:lang w:val="fr-CH"/>
        </w:rPr>
        <w:t xml:space="preserve"> adaptable (c'est-à-dire que la présentation du document peut s'adapter au dispositif utilisé). Le produit "Recommandations UIT-T et sélection de Manuels" de l'UIT continue d'être distribué tous les trimestres sur une clé USB.</w:t>
      </w:r>
    </w:p>
    <w:p w14:paraId="19C9434F" w14:textId="77777777" w:rsidR="00CE6458" w:rsidRPr="00C81F7E" w:rsidRDefault="00CE6458" w:rsidP="00CE6458">
      <w:pPr>
        <w:rPr>
          <w:lang w:val="fr-CH"/>
        </w:rPr>
      </w:pPr>
      <w:r w:rsidRPr="00C81F7E">
        <w:rPr>
          <w:lang w:val="fr-CH"/>
        </w:rPr>
        <w:t>Le TSB continue de faire traduire les Recommandations approuvées selon la procédure d'approbation traditionnelle (TAP), ainsi que tous les rapports du GCNT, dans toutes les langues de l'Union. Il a fait traduire 22 Recommandations approuvées selon la variante de la procédure d'approbation (AAP) entre janvier et novembre 2019, conformément aux demandes formulées précédemment par les Commissions d'études de l'UIT-T et les groupes linguistiques, et dans les limites du budget affecté à la traduction.</w:t>
      </w:r>
    </w:p>
    <w:p w14:paraId="509EEDAC" w14:textId="5927F81A" w:rsidR="006944F8" w:rsidRPr="00A1011D" w:rsidRDefault="00CE6458" w:rsidP="00CE6458">
      <w:pPr>
        <w:rPr>
          <w:highlight w:val="yellow"/>
          <w:lang w:val="fr-FR"/>
        </w:rPr>
      </w:pPr>
      <w:r w:rsidRPr="00C81F7E">
        <w:rPr>
          <w:lang w:val="fr-CH"/>
        </w:rPr>
        <w:t>Les ateliers et colloques de l'UIT permettent de se pencher sur les nouvelles tendances dans le domaine de la normalisation, de mieux faire connaître les travaux de l'UIT-T, de renforcer la collaboration entre l'UIT-T et d'autres organismes, d'attirer de nouveaux membres au sein de l'UIT</w:t>
      </w:r>
      <w:r w:rsidRPr="00C81F7E">
        <w:rPr>
          <w:lang w:val="fr-CH"/>
        </w:rPr>
        <w:noBreakHyphen/>
        <w:t xml:space="preserve">T et d'encourager l'apprentissage </w:t>
      </w:r>
      <w:r w:rsidRPr="00C81F7E">
        <w:rPr>
          <w:color w:val="000000"/>
          <w:lang w:val="fr-CH"/>
        </w:rPr>
        <w:t>par les pairs dans le domaine de l'élaboration et de l'application de normes internationales</w:t>
      </w:r>
      <w:r w:rsidRPr="00C81F7E">
        <w:rPr>
          <w:lang w:val="fr-CH"/>
        </w:rPr>
        <w:t>. L'UIT en a organisé plus d'une vingtaine entre septembre et décembre 2019.</w:t>
      </w:r>
    </w:p>
    <w:p w14:paraId="0C5AB2BD" w14:textId="7D472431" w:rsidR="00CE6458" w:rsidRPr="00A1011D" w:rsidRDefault="00CE6458" w:rsidP="006944F8">
      <w:pPr>
        <w:rPr>
          <w:highlight w:val="yellow"/>
          <w:lang w:val="fr-FR"/>
        </w:rPr>
      </w:pPr>
      <w:r w:rsidRPr="00A1011D">
        <w:rPr>
          <w:highlight w:val="yellow"/>
          <w:lang w:val="fr-FR"/>
        </w:rPr>
        <w:br w:type="page"/>
      </w:r>
    </w:p>
    <w:p w14:paraId="7C10AF6E" w14:textId="129833EC" w:rsidR="006944F8" w:rsidRPr="00754A77" w:rsidRDefault="006944F8" w:rsidP="00C1421E">
      <w:pPr>
        <w:pStyle w:val="Heading1"/>
        <w:jc w:val="center"/>
        <w:rPr>
          <w:bCs/>
        </w:rPr>
      </w:pPr>
      <w:bookmarkStart w:id="31" w:name="_Toc480527765"/>
      <w:bookmarkStart w:id="32" w:name="_Toc31967139"/>
      <w:bookmarkStart w:id="33" w:name="_Toc462664184"/>
      <w:bookmarkStart w:id="34" w:name="_Toc475550127"/>
      <w:bookmarkStart w:id="35" w:name="_Toc416161323"/>
      <w:bookmarkStart w:id="36" w:name="_Toc438553934"/>
      <w:bookmarkStart w:id="37" w:name="_Toc453929055"/>
      <w:bookmarkStart w:id="38" w:name="_Toc453932927"/>
      <w:bookmarkStart w:id="39" w:name="_Toc454295831"/>
      <w:bookmarkStart w:id="40" w:name="_Toc418526228"/>
      <w:bookmarkStart w:id="41" w:name="_Toc462664185"/>
      <w:r w:rsidRPr="00754A77">
        <w:rPr>
          <w:bCs/>
        </w:rPr>
        <w:lastRenderedPageBreak/>
        <w:t xml:space="preserve">Annex – Full Report of activities in ITU-T (from </w:t>
      </w:r>
      <w:r w:rsidR="00754A77" w:rsidRPr="00754A77">
        <w:rPr>
          <w:bCs/>
        </w:rPr>
        <w:t>September</w:t>
      </w:r>
      <w:r w:rsidR="00987BE3" w:rsidRPr="00754A77">
        <w:rPr>
          <w:bCs/>
        </w:rPr>
        <w:t xml:space="preserve"> 201</w:t>
      </w:r>
      <w:r w:rsidR="00754A77" w:rsidRPr="00754A77">
        <w:rPr>
          <w:bCs/>
        </w:rPr>
        <w:t>9</w:t>
      </w:r>
      <w:r w:rsidR="00987BE3" w:rsidRPr="00754A77">
        <w:rPr>
          <w:bCs/>
        </w:rPr>
        <w:t xml:space="preserve"> to </w:t>
      </w:r>
      <w:r w:rsidR="00AF01F0">
        <w:rPr>
          <w:bCs/>
        </w:rPr>
        <w:t>December</w:t>
      </w:r>
      <w:r w:rsidR="00754A77" w:rsidRPr="00754A77">
        <w:rPr>
          <w:bCs/>
        </w:rPr>
        <w:t xml:space="preserve"> 20</w:t>
      </w:r>
      <w:r w:rsidR="00AF01F0">
        <w:rPr>
          <w:bCs/>
        </w:rPr>
        <w:t>19</w:t>
      </w:r>
      <w:r w:rsidRPr="00754A77">
        <w:rPr>
          <w:bCs/>
        </w:rPr>
        <w:t>)</w:t>
      </w:r>
      <w:bookmarkEnd w:id="31"/>
      <w:bookmarkEnd w:id="32"/>
    </w:p>
    <w:p w14:paraId="4E3A3098" w14:textId="17321993" w:rsidR="00653C5B" w:rsidRPr="00754A77" w:rsidRDefault="006944F8" w:rsidP="009E5FFA">
      <w:pPr>
        <w:pStyle w:val="Heading1"/>
      </w:pPr>
      <w:bookmarkStart w:id="42" w:name="_Toc31967140"/>
      <w:bookmarkStart w:id="43" w:name="_Toc480527766"/>
      <w:r w:rsidRPr="00754A77">
        <w:t>1</w:t>
      </w:r>
      <w:r w:rsidRPr="00754A77">
        <w:tab/>
      </w:r>
      <w:r w:rsidR="00754B21" w:rsidRPr="00754A77">
        <w:t xml:space="preserve">Selection of achievements in </w:t>
      </w:r>
      <w:r w:rsidR="00653C5B" w:rsidRPr="00754A77">
        <w:t>ITU-T standardization</w:t>
      </w:r>
      <w:bookmarkEnd w:id="42"/>
    </w:p>
    <w:p w14:paraId="639D447A" w14:textId="1A44FAA6" w:rsidR="005E5484" w:rsidRDefault="005E5484" w:rsidP="005E5484">
      <w:pPr>
        <w:rPr>
          <w:lang w:val="en-GB"/>
        </w:rPr>
      </w:pPr>
      <w:r w:rsidRPr="00754A77">
        <w:rPr>
          <w:lang w:val="en-GB"/>
        </w:rPr>
        <w:t xml:space="preserve">Executive summaries for the various ITU-T </w:t>
      </w:r>
      <w:r w:rsidR="00F1765F">
        <w:rPr>
          <w:lang w:val="en-GB"/>
        </w:rPr>
        <w:t>SG</w:t>
      </w:r>
      <w:r w:rsidRPr="00754A77">
        <w:rPr>
          <w:lang w:val="en-GB"/>
        </w:rPr>
        <w:t xml:space="preserve"> meetings can be found on the homepages of </w:t>
      </w:r>
      <w:hyperlink r:id="rId64" w:history="1">
        <w:r w:rsidRPr="00754A77">
          <w:rPr>
            <w:rStyle w:val="Hyperlink"/>
            <w:lang w:val="en-GB"/>
          </w:rPr>
          <w:t xml:space="preserve">ITU-T </w:t>
        </w:r>
        <w:r w:rsidR="00F1765F">
          <w:rPr>
            <w:rStyle w:val="Hyperlink"/>
            <w:lang w:val="en-GB"/>
          </w:rPr>
          <w:t>SG</w:t>
        </w:r>
        <w:r w:rsidRPr="00754A77">
          <w:rPr>
            <w:rStyle w:val="Hyperlink"/>
            <w:lang w:val="en-GB"/>
          </w:rPr>
          <w:t>s</w:t>
        </w:r>
      </w:hyperlink>
      <w:r w:rsidRPr="00754A77">
        <w:rPr>
          <w:lang w:val="en-GB"/>
        </w:rPr>
        <w:t>.</w:t>
      </w:r>
    </w:p>
    <w:p w14:paraId="34FC9CFD" w14:textId="5665AF31" w:rsidR="00002505" w:rsidRDefault="00653C5B" w:rsidP="00754B21">
      <w:pPr>
        <w:rPr>
          <w:lang w:val="en-GB"/>
        </w:rPr>
      </w:pPr>
      <w:r w:rsidRPr="00754A77">
        <w:rPr>
          <w:lang w:val="en-GB"/>
        </w:rPr>
        <w:t xml:space="preserve">ITU approved </w:t>
      </w:r>
      <w:r w:rsidRPr="00247F5B">
        <w:rPr>
          <w:lang w:val="en-GB"/>
        </w:rPr>
        <w:t xml:space="preserve">more than </w:t>
      </w:r>
      <w:r w:rsidR="00247F5B" w:rsidRPr="00662764">
        <w:rPr>
          <w:lang w:val="en-GB"/>
        </w:rPr>
        <w:t>130</w:t>
      </w:r>
      <w:r w:rsidRPr="00247F5B">
        <w:rPr>
          <w:lang w:val="en-GB"/>
        </w:rPr>
        <w:t xml:space="preserve"> new and revised ITU-T Recommendations from </w:t>
      </w:r>
      <w:r w:rsidR="00436746" w:rsidRPr="00247F5B">
        <w:rPr>
          <w:lang w:val="en-GB"/>
        </w:rPr>
        <w:t xml:space="preserve">1 </w:t>
      </w:r>
      <w:r w:rsidR="00754A77" w:rsidRPr="00247F5B">
        <w:rPr>
          <w:lang w:val="en-GB"/>
        </w:rPr>
        <w:t>September</w:t>
      </w:r>
      <w:r w:rsidR="001A5D0C" w:rsidRPr="00247F5B">
        <w:rPr>
          <w:lang w:val="en-GB"/>
        </w:rPr>
        <w:t xml:space="preserve"> 201</w:t>
      </w:r>
      <w:r w:rsidR="00754A77" w:rsidRPr="00247F5B">
        <w:rPr>
          <w:lang w:val="en-GB"/>
        </w:rPr>
        <w:t>9</w:t>
      </w:r>
      <w:r w:rsidRPr="00247F5B">
        <w:rPr>
          <w:lang w:val="en-GB"/>
        </w:rPr>
        <w:t xml:space="preserve"> to </w:t>
      </w:r>
      <w:r w:rsidR="00247F5B" w:rsidRPr="00247F5B">
        <w:rPr>
          <w:lang w:val="en-GB"/>
        </w:rPr>
        <w:t>16</w:t>
      </w:r>
      <w:r w:rsidR="00754A77" w:rsidRPr="00247F5B">
        <w:rPr>
          <w:lang w:val="en-GB"/>
        </w:rPr>
        <w:t xml:space="preserve"> </w:t>
      </w:r>
      <w:r w:rsidR="00AF01F0" w:rsidRPr="00247F5B">
        <w:rPr>
          <w:lang w:val="en-GB"/>
        </w:rPr>
        <w:t>December</w:t>
      </w:r>
      <w:r w:rsidR="00754A77" w:rsidRPr="00247F5B">
        <w:rPr>
          <w:lang w:val="en-GB"/>
        </w:rPr>
        <w:t xml:space="preserve"> 20</w:t>
      </w:r>
      <w:r w:rsidR="00AF01F0" w:rsidRPr="00247F5B">
        <w:rPr>
          <w:lang w:val="en-GB"/>
        </w:rPr>
        <w:t>19</w:t>
      </w:r>
      <w:r w:rsidRPr="00247F5B">
        <w:rPr>
          <w:lang w:val="en-GB"/>
        </w:rPr>
        <w:t>.</w:t>
      </w:r>
      <w:r w:rsidRPr="00754A77">
        <w:rPr>
          <w:lang w:val="en-GB"/>
        </w:rPr>
        <w:t xml:space="preserve"> </w:t>
      </w:r>
      <w:r w:rsidR="007C213D" w:rsidRPr="00754A77">
        <w:rPr>
          <w:lang w:val="en-GB"/>
        </w:rPr>
        <w:t>Appendix I lists these ITU-T Recommendations and related texts and summarizes their contents.</w:t>
      </w:r>
      <w:r w:rsidR="005E5484">
        <w:rPr>
          <w:lang w:val="en-GB"/>
        </w:rPr>
        <w:t xml:space="preserve"> </w:t>
      </w:r>
      <w:r w:rsidR="00002505">
        <w:rPr>
          <w:lang w:val="en-GB"/>
        </w:rPr>
        <w:t>A selection of ITU standards approved from September to December 2019 is provided below.</w:t>
      </w:r>
    </w:p>
    <w:p w14:paraId="1CC54DA6" w14:textId="574FB8B4" w:rsidR="00622DEC" w:rsidRDefault="00622DEC" w:rsidP="00622DEC">
      <w:pPr>
        <w:rPr>
          <w:lang w:val="en-GB"/>
        </w:rPr>
      </w:pPr>
      <w:r w:rsidRPr="00CF1427">
        <w:rPr>
          <w:b/>
          <w:lang w:val="en-GB"/>
        </w:rPr>
        <w:t>IMT-2020/5G:</w:t>
      </w:r>
      <w:r>
        <w:rPr>
          <w:lang w:val="en-GB"/>
        </w:rPr>
        <w:t xml:space="preserve"> New ITU standards for 5G networking address network slice orchestration and management (</w:t>
      </w:r>
      <w:hyperlink r:id="rId65" w:history="1">
        <w:r w:rsidRPr="003D603F">
          <w:rPr>
            <w:rStyle w:val="Hyperlink"/>
            <w:lang w:val="en-GB"/>
          </w:rPr>
          <w:t>ITU-T Y.3153</w:t>
        </w:r>
      </w:hyperlink>
      <w:r>
        <w:rPr>
          <w:lang w:val="en-GB"/>
        </w:rPr>
        <w:t>) and fixed-mobile convergence, in relation to mobility management (</w:t>
      </w:r>
      <w:hyperlink r:id="rId66" w:history="1">
        <w:r w:rsidRPr="003D603F">
          <w:rPr>
            <w:rStyle w:val="Hyperlink"/>
            <w:lang w:val="en-GB"/>
          </w:rPr>
          <w:t>ITU-T Y.3132</w:t>
        </w:r>
      </w:hyperlink>
      <w:r>
        <w:rPr>
          <w:lang w:val="en-GB"/>
        </w:rPr>
        <w:t>) and capability exposure (</w:t>
      </w:r>
      <w:hyperlink r:id="rId67" w:history="1">
        <w:r w:rsidRPr="003D603F">
          <w:rPr>
            <w:rStyle w:val="Hyperlink"/>
            <w:lang w:val="en-GB"/>
          </w:rPr>
          <w:t>ITU-T Y.3133</w:t>
        </w:r>
      </w:hyperlink>
      <w:r w:rsidR="00EB49EF">
        <w:rPr>
          <w:lang w:val="en-GB"/>
        </w:rPr>
        <w:t>).</w:t>
      </w:r>
    </w:p>
    <w:p w14:paraId="5840A79B" w14:textId="77777777" w:rsidR="00622DEC" w:rsidRPr="004C0B0A" w:rsidRDefault="00622DEC" w:rsidP="00622DEC">
      <w:pPr>
        <w:rPr>
          <w:lang w:val="en-GB"/>
        </w:rPr>
      </w:pPr>
      <w:r>
        <w:rPr>
          <w:b/>
          <w:lang w:val="en-GB"/>
        </w:rPr>
        <w:t>Passive optical network (PON)</w:t>
      </w:r>
      <w:r w:rsidRPr="004C0B0A">
        <w:rPr>
          <w:b/>
          <w:lang w:val="en-GB"/>
        </w:rPr>
        <w:t xml:space="preserve">: </w:t>
      </w:r>
      <w:r>
        <w:rPr>
          <w:lang w:val="en-GB"/>
        </w:rPr>
        <w:t xml:space="preserve">A new ITU standard serves as a guide to the development to higher speed PON systems, </w:t>
      </w:r>
      <w:r w:rsidRPr="004C0B0A">
        <w:rPr>
          <w:lang w:val="en-GB"/>
        </w:rPr>
        <w:t>identifying sets of applications that can be ad</w:t>
      </w:r>
      <w:r>
        <w:rPr>
          <w:lang w:val="en-GB"/>
        </w:rPr>
        <w:t xml:space="preserve">dressed by a particular system </w:t>
      </w:r>
      <w:r w:rsidRPr="004C0B0A">
        <w:rPr>
          <w:lang w:val="en-GB"/>
        </w:rPr>
        <w:t>and defining the requirements for each of those systems</w:t>
      </w:r>
      <w:r>
        <w:rPr>
          <w:lang w:val="en-GB"/>
        </w:rPr>
        <w:t xml:space="preserve"> (</w:t>
      </w:r>
      <w:hyperlink r:id="rId68" w:history="1">
        <w:r w:rsidRPr="004C0B0A">
          <w:rPr>
            <w:rStyle w:val="Hyperlink"/>
            <w:lang w:val="en-GB"/>
          </w:rPr>
          <w:t>ITU-T G.9804.1</w:t>
        </w:r>
      </w:hyperlink>
      <w:r>
        <w:rPr>
          <w:lang w:val="en-GB"/>
        </w:rPr>
        <w:t>)</w:t>
      </w:r>
      <w:r w:rsidRPr="004C0B0A">
        <w:rPr>
          <w:lang w:val="en-GB"/>
        </w:rPr>
        <w:t>.</w:t>
      </w:r>
    </w:p>
    <w:p w14:paraId="436AB808" w14:textId="39AFC27B" w:rsidR="00622DEC" w:rsidRDefault="00622DEC" w:rsidP="00622DEC">
      <w:pPr>
        <w:rPr>
          <w:lang w:val="en-GB"/>
        </w:rPr>
      </w:pPr>
      <w:r w:rsidRPr="00CF1427">
        <w:rPr>
          <w:b/>
          <w:lang w:val="en-GB"/>
        </w:rPr>
        <w:t>Video coding:</w:t>
      </w:r>
      <w:r>
        <w:rPr>
          <w:lang w:val="en-GB"/>
        </w:rPr>
        <w:t xml:space="preserve"> Version 7 of </w:t>
      </w:r>
      <w:r w:rsidRPr="00100003">
        <w:rPr>
          <w:lang w:val="en-GB"/>
        </w:rPr>
        <w:t xml:space="preserve">High Efficiency Video Coding (HEVC, published </w:t>
      </w:r>
      <w:r>
        <w:rPr>
          <w:lang w:val="en-GB"/>
        </w:rPr>
        <w:t xml:space="preserve">as </w:t>
      </w:r>
      <w:hyperlink r:id="rId69" w:history="1">
        <w:r w:rsidRPr="004C0B0A">
          <w:rPr>
            <w:rStyle w:val="Hyperlink"/>
            <w:lang w:val="en-GB"/>
          </w:rPr>
          <w:t>ITU-T H.265</w:t>
        </w:r>
      </w:hyperlink>
      <w:r>
        <w:rPr>
          <w:lang w:val="en-GB"/>
        </w:rPr>
        <w:t xml:space="preserve"> | ISO/IEC 23008-2) has been released. </w:t>
      </w:r>
      <w:r w:rsidRPr="00100003">
        <w:rPr>
          <w:lang w:val="en-GB"/>
        </w:rPr>
        <w:t>The Versatile Video Coding project</w:t>
      </w:r>
      <w:r>
        <w:rPr>
          <w:lang w:val="en-GB"/>
        </w:rPr>
        <w:t>, developing the successor of HEVC,</w:t>
      </w:r>
      <w:r w:rsidRPr="00100003">
        <w:rPr>
          <w:lang w:val="en-GB"/>
        </w:rPr>
        <w:t xml:space="preserve"> is on course for completion by mid-2020.</w:t>
      </w:r>
    </w:p>
    <w:p w14:paraId="7022D2C3" w14:textId="77777777" w:rsidR="00622DEC" w:rsidRDefault="00622DEC" w:rsidP="00622DEC">
      <w:pPr>
        <w:rPr>
          <w:lang w:val="en-GB"/>
        </w:rPr>
      </w:pPr>
      <w:r>
        <w:rPr>
          <w:b/>
        </w:rPr>
        <w:t>Regulatory frameworks for quality of service/experience (QoS/</w:t>
      </w:r>
      <w:proofErr w:type="spellStart"/>
      <w:r>
        <w:rPr>
          <w:b/>
        </w:rPr>
        <w:t>QoE</w:t>
      </w:r>
      <w:proofErr w:type="spellEnd"/>
      <w:r w:rsidRPr="00CF1427">
        <w:rPr>
          <w:b/>
        </w:rPr>
        <w:t>:</w:t>
      </w:r>
      <w:r>
        <w:t xml:space="preserve"> A new ITU standard </w:t>
      </w:r>
      <w:r w:rsidRPr="00DB7D11">
        <w:rPr>
          <w:lang w:val="en-GB"/>
        </w:rPr>
        <w:t>provides guidance to regulators aiming to establish national or regional regulatory frameworks to monitor and measure QoS</w:t>
      </w:r>
      <w:r>
        <w:rPr>
          <w:lang w:val="en-GB"/>
        </w:rPr>
        <w:t xml:space="preserve"> and </w:t>
      </w:r>
      <w:proofErr w:type="spellStart"/>
      <w:r>
        <w:rPr>
          <w:lang w:val="en-GB"/>
        </w:rPr>
        <w:t>QoE</w:t>
      </w:r>
      <w:proofErr w:type="spellEnd"/>
      <w:r>
        <w:rPr>
          <w:lang w:val="en-GB"/>
        </w:rPr>
        <w:t xml:space="preserve"> (</w:t>
      </w:r>
      <w:hyperlink r:id="rId70" w:history="1">
        <w:r w:rsidRPr="003D603F">
          <w:rPr>
            <w:rStyle w:val="Hyperlink"/>
            <w:lang w:val="en-GB"/>
          </w:rPr>
          <w:t>ITU-T E.805</w:t>
        </w:r>
      </w:hyperlink>
      <w:r>
        <w:rPr>
          <w:lang w:val="en-GB"/>
        </w:rPr>
        <w:t>)</w:t>
      </w:r>
      <w:r w:rsidRPr="00DB7D11">
        <w:rPr>
          <w:lang w:val="en-GB"/>
        </w:rPr>
        <w:t>.</w:t>
      </w:r>
    </w:p>
    <w:p w14:paraId="02FC641A" w14:textId="77777777" w:rsidR="00622DEC" w:rsidRDefault="00622DEC" w:rsidP="00622DEC">
      <w:pPr>
        <w:rPr>
          <w:lang w:val="en-GB"/>
        </w:rPr>
      </w:pPr>
      <w:r w:rsidRPr="00CF1427">
        <w:rPr>
          <w:b/>
          <w:lang w:val="en-GB"/>
        </w:rPr>
        <w:t>Digital financial services:</w:t>
      </w:r>
      <w:r>
        <w:rPr>
          <w:lang w:val="en-GB"/>
        </w:rPr>
        <w:t xml:space="preserve"> New ITU standards introduce QoS</w:t>
      </w:r>
      <w:r w:rsidRPr="0039134D">
        <w:rPr>
          <w:lang w:val="en-GB"/>
        </w:rPr>
        <w:t xml:space="preserve"> and </w:t>
      </w:r>
      <w:proofErr w:type="spellStart"/>
      <w:r>
        <w:rPr>
          <w:lang w:val="en-GB"/>
        </w:rPr>
        <w:t>QoE</w:t>
      </w:r>
      <w:proofErr w:type="spellEnd"/>
      <w:r>
        <w:rPr>
          <w:lang w:val="en-GB"/>
        </w:rPr>
        <w:t xml:space="preserve"> </w:t>
      </w:r>
      <w:r w:rsidRPr="0039134D">
        <w:rPr>
          <w:lang w:val="en-GB"/>
        </w:rPr>
        <w:t>aspects of digital financial services</w:t>
      </w:r>
      <w:r>
        <w:rPr>
          <w:lang w:val="en-GB"/>
        </w:rPr>
        <w:t xml:space="preserve"> (</w:t>
      </w:r>
      <w:hyperlink r:id="rId71" w:history="1">
        <w:r w:rsidRPr="003B2306">
          <w:rPr>
            <w:rStyle w:val="Hyperlink"/>
            <w:lang w:val="en-GB"/>
          </w:rPr>
          <w:t>ITU-T G.1033</w:t>
        </w:r>
      </w:hyperlink>
      <w:r>
        <w:rPr>
          <w:lang w:val="en-GB"/>
        </w:rPr>
        <w:t xml:space="preserve">) and a methodology to test the </w:t>
      </w:r>
      <w:proofErr w:type="spellStart"/>
      <w:r>
        <w:rPr>
          <w:lang w:val="en-GB"/>
        </w:rPr>
        <w:t>QoE</w:t>
      </w:r>
      <w:proofErr w:type="spellEnd"/>
      <w:r>
        <w:rPr>
          <w:lang w:val="en-GB"/>
        </w:rPr>
        <w:t xml:space="preserve"> of digital financial services (</w:t>
      </w:r>
      <w:hyperlink r:id="rId72" w:history="1">
        <w:r w:rsidRPr="003B2306">
          <w:rPr>
            <w:rStyle w:val="Hyperlink"/>
            <w:lang w:val="en-GB"/>
          </w:rPr>
          <w:t>ITU-T P.1502</w:t>
        </w:r>
      </w:hyperlink>
      <w:r>
        <w:rPr>
          <w:lang w:val="en-GB"/>
        </w:rPr>
        <w:t>).</w:t>
      </w:r>
    </w:p>
    <w:p w14:paraId="2798E43B" w14:textId="109060E9" w:rsidR="00622DEC" w:rsidRDefault="00622DEC" w:rsidP="00622DEC">
      <w:pPr>
        <w:rPr>
          <w:sz w:val="22"/>
          <w:lang w:val="en-GB" w:eastAsia="en-US"/>
        </w:rPr>
      </w:pPr>
      <w:r>
        <w:rPr>
          <w:b/>
          <w:bCs/>
        </w:rPr>
        <w:t xml:space="preserve">IP performance measurement: </w:t>
      </w:r>
      <w:r>
        <w:t>A revision of the ITU standard on IP service performance (</w:t>
      </w:r>
      <w:hyperlink r:id="rId73" w:history="1">
        <w:r w:rsidRPr="003B2306">
          <w:rPr>
            <w:rStyle w:val="Hyperlink"/>
          </w:rPr>
          <w:t>ITU-T Y.1540</w:t>
        </w:r>
      </w:hyperlink>
      <w:r>
        <w:t xml:space="preserve">) reflects changes in the design of IP services and the protocols employed by end-users. The latest edition of the standard defines IP-layer capacity parameters in ways that cater to performance </w:t>
      </w:r>
      <w:proofErr w:type="gramStart"/>
      <w:r>
        <w:t>assessment, and</w:t>
      </w:r>
      <w:proofErr w:type="gramEnd"/>
      <w:r>
        <w:t xml:space="preserve"> provides requirements for methods of me</w:t>
      </w:r>
      <w:r w:rsidR="00EB49EF">
        <w:t>asurement of IP-layer capacity.</w:t>
      </w:r>
    </w:p>
    <w:p w14:paraId="2F787A69" w14:textId="77777777" w:rsidR="00622DEC" w:rsidRDefault="00622DEC" w:rsidP="00622DEC">
      <w:pPr>
        <w:rPr>
          <w:szCs w:val="24"/>
          <w:lang w:val="en-GB"/>
        </w:rPr>
      </w:pPr>
      <w:r w:rsidRPr="00CF1427">
        <w:rPr>
          <w:b/>
          <w:szCs w:val="24"/>
          <w:lang w:val="en-GB"/>
        </w:rPr>
        <w:t>Quantum information technology:</w:t>
      </w:r>
      <w:r>
        <w:rPr>
          <w:szCs w:val="24"/>
          <w:lang w:val="en-GB"/>
        </w:rPr>
        <w:t xml:space="preserve"> New ITU standards describe</w:t>
      </w:r>
      <w:r w:rsidRPr="003C7880">
        <w:rPr>
          <w:szCs w:val="24"/>
          <w:lang w:val="en-GB"/>
        </w:rPr>
        <w:t xml:space="preserve"> the networking concepts to underp</w:t>
      </w:r>
      <w:r>
        <w:rPr>
          <w:szCs w:val="24"/>
          <w:lang w:val="en-GB"/>
        </w:rPr>
        <w:t xml:space="preserve">in quantum key distribution, </w:t>
      </w:r>
      <w:r w:rsidRPr="003C7880">
        <w:rPr>
          <w:szCs w:val="24"/>
          <w:lang w:val="en-GB"/>
        </w:rPr>
        <w:t>a means of enabling secure encryption and authentication</w:t>
      </w:r>
      <w:r>
        <w:rPr>
          <w:szCs w:val="24"/>
          <w:lang w:val="en-GB"/>
        </w:rPr>
        <w:t xml:space="preserve"> (</w:t>
      </w:r>
      <w:hyperlink r:id="rId74" w:history="1">
        <w:r w:rsidRPr="003B2306">
          <w:rPr>
            <w:rStyle w:val="Hyperlink"/>
            <w:szCs w:val="24"/>
            <w:lang w:val="en-GB"/>
          </w:rPr>
          <w:t>ITU-T Y.3800</w:t>
        </w:r>
      </w:hyperlink>
      <w:r>
        <w:rPr>
          <w:szCs w:val="24"/>
          <w:lang w:val="en-GB"/>
        </w:rPr>
        <w:t>), and the architecture of a q</w:t>
      </w:r>
      <w:r w:rsidRPr="003C7880">
        <w:rPr>
          <w:szCs w:val="24"/>
          <w:lang w:val="en-GB"/>
        </w:rPr>
        <w:t>uantum noise random number generator</w:t>
      </w:r>
      <w:r>
        <w:rPr>
          <w:szCs w:val="24"/>
          <w:lang w:val="en-GB"/>
        </w:rPr>
        <w:t xml:space="preserve"> (</w:t>
      </w:r>
      <w:hyperlink r:id="rId75" w:history="1">
        <w:r w:rsidRPr="003B2306">
          <w:rPr>
            <w:rStyle w:val="Hyperlink"/>
            <w:szCs w:val="24"/>
            <w:lang w:val="en-GB"/>
          </w:rPr>
          <w:t>ITU-T X.1702</w:t>
        </w:r>
      </w:hyperlink>
      <w:r>
        <w:rPr>
          <w:szCs w:val="24"/>
          <w:lang w:val="en-GB"/>
        </w:rPr>
        <w:t>).</w:t>
      </w:r>
    </w:p>
    <w:p w14:paraId="3BFCE9DB" w14:textId="4A088543" w:rsidR="00622DEC" w:rsidRDefault="00622DEC" w:rsidP="00622DEC">
      <w:pPr>
        <w:rPr>
          <w:szCs w:val="24"/>
          <w:lang w:val="en-GB"/>
        </w:rPr>
      </w:pPr>
      <w:r w:rsidRPr="00CF1427">
        <w:rPr>
          <w:b/>
          <w:szCs w:val="24"/>
          <w:lang w:val="en-GB"/>
        </w:rPr>
        <w:t>Energy efficiency:</w:t>
      </w:r>
      <w:r>
        <w:rPr>
          <w:szCs w:val="24"/>
          <w:lang w:val="en-GB"/>
        </w:rPr>
        <w:t xml:space="preserve"> N</w:t>
      </w:r>
      <w:r w:rsidRPr="00DC7D39">
        <w:rPr>
          <w:szCs w:val="24"/>
          <w:lang w:val="en-GB"/>
        </w:rPr>
        <w:t>ew ITU standards aim to support sustainable power feeding solutions for</w:t>
      </w:r>
      <w:r>
        <w:rPr>
          <w:szCs w:val="24"/>
          <w:lang w:val="en-GB"/>
        </w:rPr>
        <w:t xml:space="preserve"> 5G networks (</w:t>
      </w:r>
      <w:hyperlink r:id="rId76" w:history="1">
        <w:r w:rsidRPr="004337D4">
          <w:rPr>
            <w:rStyle w:val="Hyperlink"/>
            <w:szCs w:val="24"/>
            <w:lang w:val="en-GB"/>
          </w:rPr>
          <w:t>ITU-T L.1210</w:t>
        </w:r>
      </w:hyperlink>
      <w:r>
        <w:rPr>
          <w:szCs w:val="24"/>
          <w:lang w:val="en-GB"/>
        </w:rPr>
        <w:t>)</w:t>
      </w:r>
      <w:r w:rsidRPr="00DC7D39">
        <w:rPr>
          <w:szCs w:val="24"/>
          <w:lang w:val="en-GB"/>
        </w:rPr>
        <w:t>, energy-efficient datacentres</w:t>
      </w:r>
      <w:r>
        <w:rPr>
          <w:szCs w:val="24"/>
          <w:lang w:val="en-GB"/>
        </w:rPr>
        <w:t xml:space="preserve"> capitalizing on big data and AI (</w:t>
      </w:r>
      <w:hyperlink r:id="rId77" w:history="1">
        <w:r w:rsidRPr="004337D4">
          <w:rPr>
            <w:rStyle w:val="Hyperlink"/>
            <w:szCs w:val="24"/>
            <w:lang w:val="en-GB"/>
          </w:rPr>
          <w:t>ITU-T L.1305</w:t>
        </w:r>
      </w:hyperlink>
      <w:r>
        <w:rPr>
          <w:szCs w:val="24"/>
          <w:lang w:val="en-GB"/>
        </w:rPr>
        <w:t xml:space="preserve">) </w:t>
      </w:r>
      <w:r w:rsidRPr="00DC7D39">
        <w:rPr>
          <w:szCs w:val="24"/>
          <w:lang w:val="en-GB"/>
        </w:rPr>
        <w:t>and smart energy manag</w:t>
      </w:r>
      <w:r>
        <w:rPr>
          <w:szCs w:val="24"/>
          <w:lang w:val="en-GB"/>
        </w:rPr>
        <w:t>ement for telecom base stations (</w:t>
      </w:r>
      <w:hyperlink r:id="rId78" w:history="1">
        <w:r w:rsidRPr="004337D4">
          <w:rPr>
            <w:rStyle w:val="Hyperlink"/>
            <w:szCs w:val="24"/>
            <w:lang w:val="en-GB"/>
          </w:rPr>
          <w:t>ITU-T L.1380</w:t>
        </w:r>
      </w:hyperlink>
      <w:r w:rsidR="00EB49EF">
        <w:rPr>
          <w:szCs w:val="24"/>
          <w:lang w:val="en-GB"/>
        </w:rPr>
        <w:t>).</w:t>
      </w:r>
    </w:p>
    <w:p w14:paraId="70A45CFC" w14:textId="7259B8A4" w:rsidR="00622DEC" w:rsidRDefault="00622DEC" w:rsidP="00622DEC">
      <w:pPr>
        <w:rPr>
          <w:szCs w:val="24"/>
          <w:lang w:val="en-GB"/>
        </w:rPr>
      </w:pPr>
      <w:r w:rsidRPr="00CF1427">
        <w:rPr>
          <w:b/>
          <w:szCs w:val="24"/>
          <w:lang w:val="en-GB"/>
        </w:rPr>
        <w:t>Environment and circular economy:</w:t>
      </w:r>
      <w:r>
        <w:rPr>
          <w:szCs w:val="24"/>
          <w:lang w:val="en-GB"/>
        </w:rPr>
        <w:t xml:space="preserve"> New ITU standards provide definitions and concepts relevant to material efficiency in the ICT sector, in line with the concept of circular economy (</w:t>
      </w:r>
      <w:hyperlink r:id="rId79" w:history="1">
        <w:r w:rsidRPr="004337D4">
          <w:rPr>
            <w:rStyle w:val="Hyperlink"/>
            <w:szCs w:val="24"/>
            <w:lang w:val="en-GB"/>
          </w:rPr>
          <w:t>ITU-T L.1022</w:t>
        </w:r>
      </w:hyperlink>
      <w:r>
        <w:rPr>
          <w:szCs w:val="24"/>
          <w:lang w:val="en-GB"/>
        </w:rPr>
        <w:t>), and a methodology to assess the positive impacts of ICTs on the environmental efficiency of other industry sectors (</w:t>
      </w:r>
      <w:hyperlink r:id="rId80" w:history="1">
        <w:r w:rsidRPr="004337D4">
          <w:rPr>
            <w:rStyle w:val="Hyperlink"/>
            <w:szCs w:val="24"/>
            <w:lang w:val="en-GB"/>
          </w:rPr>
          <w:t>ITU-T L.1451</w:t>
        </w:r>
      </w:hyperlink>
      <w:r w:rsidR="00EB49EF">
        <w:rPr>
          <w:szCs w:val="24"/>
          <w:lang w:val="en-GB"/>
        </w:rPr>
        <w:t>).</w:t>
      </w:r>
    </w:p>
    <w:p w14:paraId="6C9014FF" w14:textId="67412D79" w:rsidR="00622DEC" w:rsidRDefault="00622DEC" w:rsidP="00622DEC">
      <w:pPr>
        <w:rPr>
          <w:szCs w:val="24"/>
          <w:lang w:val="en-GB"/>
        </w:rPr>
      </w:pPr>
      <w:r w:rsidRPr="00CF1427">
        <w:rPr>
          <w:b/>
          <w:szCs w:val="24"/>
          <w:lang w:val="en-GB"/>
        </w:rPr>
        <w:t>Smart cities and communities:</w:t>
      </w:r>
      <w:r>
        <w:rPr>
          <w:szCs w:val="24"/>
          <w:lang w:val="en-GB"/>
        </w:rPr>
        <w:t xml:space="preserve"> New ITU standards address IoT-based smart residential communities (</w:t>
      </w:r>
      <w:hyperlink r:id="rId81" w:history="1">
        <w:r w:rsidRPr="004337D4">
          <w:rPr>
            <w:rStyle w:val="Hyperlink"/>
            <w:szCs w:val="24"/>
            <w:lang w:val="en-GB"/>
          </w:rPr>
          <w:t>ITU-T Y.4556</w:t>
        </w:r>
      </w:hyperlink>
      <w:r>
        <w:rPr>
          <w:szCs w:val="24"/>
          <w:lang w:val="en-GB"/>
        </w:rPr>
        <w:t>) and put forward a maturity model for smart sustainable cities to enable the examination of a city’s progress towards smart city objectives (</w:t>
      </w:r>
      <w:hyperlink r:id="rId82" w:history="1">
        <w:r w:rsidRPr="004337D4">
          <w:rPr>
            <w:rStyle w:val="Hyperlink"/>
            <w:szCs w:val="24"/>
            <w:lang w:val="en-GB"/>
          </w:rPr>
          <w:t>ITU-T Y.4904</w:t>
        </w:r>
      </w:hyperlink>
      <w:r w:rsidR="00EB49EF">
        <w:rPr>
          <w:szCs w:val="24"/>
          <w:lang w:val="en-GB"/>
        </w:rPr>
        <w:t>).</w:t>
      </w:r>
    </w:p>
    <w:p w14:paraId="6E8278BD" w14:textId="0179F6D0" w:rsidR="00622DEC" w:rsidRDefault="00622DEC" w:rsidP="00622DEC">
      <w:pPr>
        <w:rPr>
          <w:szCs w:val="24"/>
          <w:lang w:val="en-GB"/>
        </w:rPr>
      </w:pPr>
      <w:r w:rsidRPr="00CF1427">
        <w:rPr>
          <w:b/>
          <w:szCs w:val="24"/>
          <w:lang w:val="en-GB"/>
        </w:rPr>
        <w:t xml:space="preserve">Distributed ledger technology: </w:t>
      </w:r>
      <w:r>
        <w:rPr>
          <w:szCs w:val="24"/>
          <w:lang w:val="en-GB"/>
        </w:rPr>
        <w:t>New ITU standards address the requirements of blockchain in next-generation network evolution (</w:t>
      </w:r>
      <w:hyperlink r:id="rId83" w:history="1">
        <w:r w:rsidRPr="004337D4">
          <w:rPr>
            <w:rStyle w:val="Hyperlink"/>
            <w:szCs w:val="24"/>
            <w:lang w:val="en-GB"/>
          </w:rPr>
          <w:t>ITU-T Y.2342</w:t>
        </w:r>
      </w:hyperlink>
      <w:r>
        <w:rPr>
          <w:szCs w:val="24"/>
          <w:lang w:val="en-GB"/>
        </w:rPr>
        <w:t>) and the security requirements of blockchain, both in terms of blockchain’s security capabilities and security threats to blockchain (</w:t>
      </w:r>
      <w:hyperlink r:id="rId84" w:history="1">
        <w:r w:rsidRPr="004337D4">
          <w:rPr>
            <w:rStyle w:val="Hyperlink"/>
            <w:szCs w:val="24"/>
            <w:lang w:val="en-GB"/>
          </w:rPr>
          <w:t>ITU-T X.1401</w:t>
        </w:r>
      </w:hyperlink>
      <w:r w:rsidR="00EB49EF">
        <w:rPr>
          <w:szCs w:val="24"/>
          <w:lang w:val="en-GB"/>
        </w:rPr>
        <w:t>).</w:t>
      </w:r>
    </w:p>
    <w:p w14:paraId="1E5EDF7A" w14:textId="4C98F5D7" w:rsidR="00622DEC" w:rsidRPr="00CF1427" w:rsidRDefault="00622DEC" w:rsidP="00622DEC">
      <w:pPr>
        <w:rPr>
          <w:szCs w:val="24"/>
          <w:lang w:val="en-GB"/>
        </w:rPr>
      </w:pPr>
      <w:r>
        <w:rPr>
          <w:b/>
          <w:szCs w:val="24"/>
          <w:lang w:val="en-GB"/>
        </w:rPr>
        <w:lastRenderedPageBreak/>
        <w:t>Content delivery and edge computing</w:t>
      </w:r>
      <w:r w:rsidRPr="00CF1427">
        <w:rPr>
          <w:b/>
          <w:szCs w:val="24"/>
          <w:lang w:val="en-GB"/>
        </w:rPr>
        <w:t xml:space="preserve">: </w:t>
      </w:r>
      <w:r>
        <w:rPr>
          <w:szCs w:val="24"/>
          <w:lang w:val="en-GB"/>
        </w:rPr>
        <w:t>New ITU standards provide requirements for content delivery networks enabled by mobile edge computing (</w:t>
      </w:r>
      <w:hyperlink r:id="rId85" w:history="1">
        <w:r w:rsidRPr="00D8413E">
          <w:rPr>
            <w:rStyle w:val="Hyperlink"/>
            <w:szCs w:val="24"/>
            <w:lang w:val="en-GB"/>
          </w:rPr>
          <w:t>ITU-T F.743.10</w:t>
        </w:r>
      </w:hyperlink>
      <w:r>
        <w:rPr>
          <w:szCs w:val="24"/>
          <w:lang w:val="en-GB"/>
        </w:rPr>
        <w:t>) and mobile edge computing enabled by civilian unmanned aerial vehicles (</w:t>
      </w:r>
      <w:hyperlink r:id="rId86" w:history="1">
        <w:r w:rsidRPr="00D8413E">
          <w:rPr>
            <w:rStyle w:val="Hyperlink"/>
            <w:szCs w:val="24"/>
            <w:lang w:val="en-GB"/>
          </w:rPr>
          <w:t>ITU-T F.749.11</w:t>
        </w:r>
      </w:hyperlink>
      <w:r w:rsidR="00EB49EF">
        <w:rPr>
          <w:szCs w:val="24"/>
          <w:lang w:val="en-GB"/>
        </w:rPr>
        <w:t>).</w:t>
      </w:r>
    </w:p>
    <w:p w14:paraId="38B005B1" w14:textId="2457DFDC" w:rsidR="00622DEC" w:rsidRDefault="00622DEC" w:rsidP="00622DEC">
      <w:pPr>
        <w:rPr>
          <w:szCs w:val="24"/>
          <w:lang w:val="en-GB"/>
        </w:rPr>
      </w:pPr>
      <w:r w:rsidRPr="00B3158C">
        <w:rPr>
          <w:b/>
          <w:szCs w:val="24"/>
          <w:lang w:val="en-GB"/>
        </w:rPr>
        <w:t>Security:</w:t>
      </w:r>
      <w:r>
        <w:rPr>
          <w:szCs w:val="24"/>
          <w:lang w:val="en-GB"/>
        </w:rPr>
        <w:t xml:space="preserve"> New ITU standards address security aspects of network virtualization (</w:t>
      </w:r>
      <w:hyperlink r:id="rId87" w:history="1">
        <w:r w:rsidRPr="00D8413E">
          <w:rPr>
            <w:rStyle w:val="Hyperlink"/>
            <w:szCs w:val="24"/>
            <w:lang w:val="en-GB"/>
          </w:rPr>
          <w:t>ITU-T X.1044</w:t>
        </w:r>
      </w:hyperlink>
      <w:r>
        <w:rPr>
          <w:szCs w:val="24"/>
          <w:lang w:val="en-GB"/>
        </w:rPr>
        <w:t>), risk management for assets that are globally accessible in IP-based networks (</w:t>
      </w:r>
      <w:hyperlink r:id="rId88" w:history="1">
        <w:r w:rsidRPr="00D8413E">
          <w:rPr>
            <w:rStyle w:val="Hyperlink"/>
            <w:szCs w:val="24"/>
            <w:lang w:val="en-GB"/>
          </w:rPr>
          <w:t>ITU-T X.1059</w:t>
        </w:r>
      </w:hyperlink>
      <w:r>
        <w:rPr>
          <w:szCs w:val="24"/>
          <w:lang w:val="en-GB"/>
        </w:rPr>
        <w:t xml:space="preserve">) and advertising spam </w:t>
      </w:r>
      <w:hyperlink r:id="rId89" w:history="1">
        <w:r w:rsidRPr="00D8413E">
          <w:rPr>
            <w:rStyle w:val="Hyperlink"/>
            <w:szCs w:val="24"/>
            <w:lang w:val="en-GB"/>
          </w:rPr>
          <w:t>(ITU-T X.1232</w:t>
        </w:r>
      </w:hyperlink>
      <w:r w:rsidR="00EB49EF">
        <w:rPr>
          <w:szCs w:val="24"/>
          <w:lang w:val="en-GB"/>
        </w:rPr>
        <w:t>).</w:t>
      </w:r>
    </w:p>
    <w:p w14:paraId="4E59D1B8" w14:textId="46A294D4" w:rsidR="00754B21" w:rsidRPr="00662764" w:rsidRDefault="00622DEC" w:rsidP="00754B21">
      <w:pPr>
        <w:rPr>
          <w:b/>
          <w:lang w:val="en-GB"/>
        </w:rPr>
      </w:pPr>
      <w:r w:rsidRPr="00687CC9">
        <w:rPr>
          <w:b/>
          <w:szCs w:val="24"/>
          <w:lang w:val="en-GB"/>
        </w:rPr>
        <w:t xml:space="preserve">Premium cable networks: </w:t>
      </w:r>
      <w:r w:rsidRPr="00687CC9">
        <w:rPr>
          <w:szCs w:val="24"/>
          <w:lang w:val="en-GB"/>
        </w:rPr>
        <w:t xml:space="preserve">A new ITU standard provides the framework for a premium cable network platform </w:t>
      </w:r>
      <w:r>
        <w:rPr>
          <w:szCs w:val="24"/>
          <w:lang w:val="en-GB"/>
        </w:rPr>
        <w:t>to support industry in</w:t>
      </w:r>
      <w:r w:rsidRPr="00687CC9">
        <w:rPr>
          <w:szCs w:val="24"/>
          <w:lang w:val="en-GB"/>
        </w:rPr>
        <w:t xml:space="preserve"> offer</w:t>
      </w:r>
      <w:r>
        <w:rPr>
          <w:szCs w:val="24"/>
          <w:lang w:val="en-GB"/>
        </w:rPr>
        <w:t>ing</w:t>
      </w:r>
      <w:r w:rsidRPr="00687CC9">
        <w:rPr>
          <w:szCs w:val="24"/>
          <w:lang w:val="en-GB"/>
        </w:rPr>
        <w:t xml:space="preserve"> advanced multimedia services (</w:t>
      </w:r>
      <w:hyperlink r:id="rId90" w:history="1">
        <w:r w:rsidRPr="00D8413E">
          <w:rPr>
            <w:rStyle w:val="Hyperlink"/>
            <w:szCs w:val="24"/>
            <w:lang w:val="en-GB"/>
          </w:rPr>
          <w:t>ITU-T J.1600</w:t>
        </w:r>
      </w:hyperlink>
      <w:r w:rsidRPr="00687CC9">
        <w:rPr>
          <w:szCs w:val="24"/>
          <w:lang w:val="en-GB"/>
        </w:rPr>
        <w:t>)</w:t>
      </w:r>
      <w:r>
        <w:rPr>
          <w:szCs w:val="24"/>
          <w:lang w:val="en-GB"/>
        </w:rPr>
        <w:t>. It is the first of a new series of ITU standards</w:t>
      </w:r>
      <w:r w:rsidR="00EB49EF">
        <w:rPr>
          <w:szCs w:val="24"/>
          <w:lang w:val="en-GB"/>
        </w:rPr>
        <w:t xml:space="preserve"> on AI-assisted cable networks.</w:t>
      </w:r>
    </w:p>
    <w:p w14:paraId="05BE9DFF" w14:textId="6700AAE3" w:rsidR="00754B21" w:rsidRPr="00B803A5" w:rsidRDefault="00754B21" w:rsidP="00754B21">
      <w:pPr>
        <w:rPr>
          <w:lang w:val="en-GB"/>
        </w:rPr>
      </w:pPr>
      <w:r w:rsidRPr="00B803A5">
        <w:rPr>
          <w:lang w:val="en-GB"/>
        </w:rPr>
        <w:t xml:space="preserve">Focus Groups are formed in response to immediate ICT standardization demands, tasked with establishing the basis for subsequent standardization work in ITU-T </w:t>
      </w:r>
      <w:r w:rsidR="00F1765F">
        <w:rPr>
          <w:lang w:val="en-GB"/>
        </w:rPr>
        <w:t>SG</w:t>
      </w:r>
      <w:r w:rsidRPr="00B803A5">
        <w:rPr>
          <w:lang w:val="en-GB"/>
        </w:rPr>
        <w:t>s. These groups are the place to explore new directions in ITU standardization.</w:t>
      </w:r>
    </w:p>
    <w:p w14:paraId="5A7FEFAF" w14:textId="1FA8BA88" w:rsidR="00754B21" w:rsidRPr="00A3281D" w:rsidRDefault="00754B21" w:rsidP="00754B21">
      <w:pPr>
        <w:rPr>
          <w:lang w:val="fr-FR"/>
        </w:rPr>
      </w:pPr>
      <w:r w:rsidRPr="00A3281D">
        <w:rPr>
          <w:lang w:val="fr-FR"/>
        </w:rPr>
        <w:t>Active ITU-T Focus Groups</w:t>
      </w:r>
      <w:r w:rsidR="00AC210A">
        <w:rPr>
          <w:lang w:val="fr-FR"/>
        </w:rPr>
        <w:t xml:space="preserve"> (</w:t>
      </w:r>
      <w:proofErr w:type="spellStart"/>
      <w:r w:rsidR="00D125BE">
        <w:rPr>
          <w:lang w:val="fr-FR"/>
        </w:rPr>
        <w:t>see</w:t>
      </w:r>
      <w:proofErr w:type="spellEnd"/>
      <w:r w:rsidR="00D125BE">
        <w:rPr>
          <w:lang w:val="fr-FR"/>
        </w:rPr>
        <w:t xml:space="preserve"> section 5</w:t>
      </w:r>
      <w:proofErr w:type="gramStart"/>
      <w:r w:rsidR="00AC210A">
        <w:rPr>
          <w:lang w:val="fr-FR"/>
        </w:rPr>
        <w:t>)</w:t>
      </w:r>
      <w:r w:rsidRPr="00A3281D">
        <w:rPr>
          <w:lang w:val="fr-FR"/>
        </w:rPr>
        <w:t>:</w:t>
      </w:r>
      <w:proofErr w:type="gramEnd"/>
    </w:p>
    <w:p w14:paraId="791AF40C" w14:textId="2708B4BF" w:rsidR="00754B21" w:rsidRPr="00D35D15" w:rsidRDefault="00F60C99" w:rsidP="009363BD">
      <w:pPr>
        <w:numPr>
          <w:ilvl w:val="0"/>
          <w:numId w:val="35"/>
        </w:numPr>
        <w:rPr>
          <w:lang w:val="en-GB"/>
        </w:rPr>
      </w:pPr>
      <w:hyperlink r:id="rId91" w:history="1">
        <w:r w:rsidR="00754B21" w:rsidRPr="00D35D15">
          <w:rPr>
            <w:rStyle w:val="Hyperlink"/>
            <w:lang w:val="en-GB"/>
          </w:rPr>
          <w:t>A</w:t>
        </w:r>
        <w:r w:rsidR="00AC210A">
          <w:rPr>
            <w:rStyle w:val="Hyperlink"/>
            <w:lang w:val="en-GB"/>
          </w:rPr>
          <w:t>I</w:t>
        </w:r>
        <w:r w:rsidR="00754B21" w:rsidRPr="00D35D15">
          <w:rPr>
            <w:rStyle w:val="Hyperlink"/>
            <w:lang w:val="en-GB"/>
          </w:rPr>
          <w:t xml:space="preserve"> for Health</w:t>
        </w:r>
      </w:hyperlink>
    </w:p>
    <w:p w14:paraId="1A116AA5" w14:textId="77777777" w:rsidR="00754B21" w:rsidRPr="00D35D15" w:rsidRDefault="00F60C99" w:rsidP="009363BD">
      <w:pPr>
        <w:numPr>
          <w:ilvl w:val="0"/>
          <w:numId w:val="35"/>
        </w:numPr>
        <w:rPr>
          <w:lang w:val="en-GB"/>
        </w:rPr>
      </w:pPr>
      <w:hyperlink r:id="rId92" w:history="1">
        <w:r w:rsidR="00754B21" w:rsidRPr="00D35D15">
          <w:rPr>
            <w:rStyle w:val="Hyperlink"/>
            <w:lang w:val="en-GB"/>
          </w:rPr>
          <w:t>Machine Learning for Future Networks including 5G</w:t>
        </w:r>
      </w:hyperlink>
    </w:p>
    <w:p w14:paraId="29350034" w14:textId="77777777" w:rsidR="00754B21" w:rsidRPr="00D35D15" w:rsidRDefault="00F60C99" w:rsidP="009363BD">
      <w:pPr>
        <w:numPr>
          <w:ilvl w:val="0"/>
          <w:numId w:val="35"/>
        </w:numPr>
        <w:rPr>
          <w:lang w:val="en-GB"/>
        </w:rPr>
      </w:pPr>
      <w:hyperlink r:id="rId93" w:history="1">
        <w:r w:rsidR="00754B21" w:rsidRPr="00D35D15">
          <w:rPr>
            <w:rStyle w:val="Hyperlink"/>
            <w:lang w:val="en-GB"/>
          </w:rPr>
          <w:t>Vehicular Multimedia</w:t>
        </w:r>
      </w:hyperlink>
    </w:p>
    <w:p w14:paraId="71559092" w14:textId="77777777" w:rsidR="00754B21" w:rsidRPr="00D35D15" w:rsidRDefault="00F60C99" w:rsidP="009363BD">
      <w:pPr>
        <w:numPr>
          <w:ilvl w:val="0"/>
          <w:numId w:val="35"/>
        </w:numPr>
        <w:rPr>
          <w:lang w:val="en-GB"/>
        </w:rPr>
      </w:pPr>
      <w:hyperlink r:id="rId94" w:history="1">
        <w:r w:rsidR="00754B21" w:rsidRPr="00D35D15">
          <w:rPr>
            <w:rStyle w:val="Hyperlink"/>
            <w:lang w:val="en-GB"/>
          </w:rPr>
          <w:t>Technologies for Network 2030</w:t>
        </w:r>
      </w:hyperlink>
    </w:p>
    <w:p w14:paraId="58FE2917" w14:textId="140AC5DA" w:rsidR="0030657A" w:rsidRPr="00D35D15" w:rsidRDefault="00F60C99" w:rsidP="009363BD">
      <w:pPr>
        <w:numPr>
          <w:ilvl w:val="0"/>
          <w:numId w:val="35"/>
        </w:numPr>
        <w:rPr>
          <w:rStyle w:val="Hyperlink"/>
          <w:color w:val="auto"/>
          <w:u w:val="none"/>
          <w:lang w:val="en-GB"/>
        </w:rPr>
      </w:pPr>
      <w:hyperlink r:id="rId95" w:history="1">
        <w:r w:rsidR="00754B21" w:rsidRPr="00D35D15">
          <w:rPr>
            <w:rStyle w:val="Hyperlink"/>
            <w:lang w:val="en-GB"/>
          </w:rPr>
          <w:t xml:space="preserve">Environmental Efficiency for </w:t>
        </w:r>
        <w:r w:rsidR="00AC210A">
          <w:rPr>
            <w:rStyle w:val="Hyperlink"/>
            <w:lang w:val="en-GB"/>
          </w:rPr>
          <w:t xml:space="preserve">AI </w:t>
        </w:r>
        <w:r w:rsidR="00754B21" w:rsidRPr="00D35D15">
          <w:rPr>
            <w:rStyle w:val="Hyperlink"/>
            <w:lang w:val="en-GB"/>
          </w:rPr>
          <w:t>and other Emerging Technologies</w:t>
        </w:r>
      </w:hyperlink>
    </w:p>
    <w:p w14:paraId="14D5AA26" w14:textId="41051E8C" w:rsidR="007E34AE" w:rsidRPr="00D35D15" w:rsidRDefault="00F60C99" w:rsidP="009363BD">
      <w:pPr>
        <w:numPr>
          <w:ilvl w:val="0"/>
          <w:numId w:val="35"/>
        </w:numPr>
        <w:rPr>
          <w:rStyle w:val="Strong"/>
          <w:b w:val="0"/>
          <w:bCs w:val="0"/>
          <w:lang w:val="en-GB"/>
        </w:rPr>
      </w:pPr>
      <w:hyperlink r:id="rId96" w:history="1">
        <w:r w:rsidR="007E34AE" w:rsidRPr="00D35D15">
          <w:rPr>
            <w:rStyle w:val="Hyperlink"/>
            <w:bCs/>
          </w:rPr>
          <w:t xml:space="preserve">AI for </w:t>
        </w:r>
        <w:r w:rsidR="00AC210A">
          <w:rPr>
            <w:rStyle w:val="Hyperlink"/>
            <w:bCs/>
          </w:rPr>
          <w:t>A</w:t>
        </w:r>
        <w:r w:rsidR="007E34AE" w:rsidRPr="00D35D15">
          <w:rPr>
            <w:rStyle w:val="Hyperlink"/>
            <w:bCs/>
          </w:rPr>
          <w:t xml:space="preserve">utonomous and </w:t>
        </w:r>
        <w:r w:rsidR="00AC210A">
          <w:rPr>
            <w:rStyle w:val="Hyperlink"/>
            <w:bCs/>
          </w:rPr>
          <w:t>A</w:t>
        </w:r>
        <w:r w:rsidR="007E34AE" w:rsidRPr="00D35D15">
          <w:rPr>
            <w:rStyle w:val="Hyperlink"/>
            <w:bCs/>
          </w:rPr>
          <w:t xml:space="preserve">ssisted </w:t>
        </w:r>
        <w:r w:rsidR="00AC210A">
          <w:rPr>
            <w:rStyle w:val="Hyperlink"/>
            <w:bCs/>
          </w:rPr>
          <w:t>D</w:t>
        </w:r>
        <w:r w:rsidR="007E34AE" w:rsidRPr="00D35D15">
          <w:rPr>
            <w:rStyle w:val="Hyperlink"/>
            <w:bCs/>
          </w:rPr>
          <w:t>riving</w:t>
        </w:r>
      </w:hyperlink>
    </w:p>
    <w:p w14:paraId="1F5A1701" w14:textId="5F7316C1" w:rsidR="00D35D15" w:rsidRPr="00D35D15" w:rsidRDefault="00F60C99" w:rsidP="009363BD">
      <w:pPr>
        <w:numPr>
          <w:ilvl w:val="0"/>
          <w:numId w:val="35"/>
        </w:numPr>
        <w:rPr>
          <w:lang w:val="en-GB"/>
        </w:rPr>
      </w:pPr>
      <w:hyperlink r:id="rId97" w:history="1">
        <w:r w:rsidR="00D35D15" w:rsidRPr="00D35D15">
          <w:rPr>
            <w:rStyle w:val="Hyperlink"/>
            <w:bCs/>
          </w:rPr>
          <w:t>Quantum Information Technology for Networks</w:t>
        </w:r>
      </w:hyperlink>
    </w:p>
    <w:p w14:paraId="54B5A0A5" w14:textId="3C25D7EF" w:rsidR="006944F8" w:rsidRPr="001615CC" w:rsidRDefault="00653C5B" w:rsidP="001A5609">
      <w:pPr>
        <w:pStyle w:val="Heading1"/>
        <w:rPr>
          <w:rFonts w:eastAsiaTheme="minorEastAsia"/>
        </w:rPr>
      </w:pPr>
      <w:bookmarkStart w:id="44" w:name="_2.8_IPTV_and"/>
      <w:bookmarkStart w:id="45" w:name="a353677d2-7347-4cd3-8301-15d8ee365aeb"/>
      <w:bookmarkStart w:id="46" w:name="_3.4_e-Health"/>
      <w:bookmarkStart w:id="47" w:name="_3.6_Aviation_applications"/>
      <w:bookmarkStart w:id="48" w:name="_Toc416161352"/>
      <w:bookmarkStart w:id="49" w:name="_Toc438553972"/>
      <w:bookmarkStart w:id="50" w:name="_Toc453929091"/>
      <w:bookmarkStart w:id="51" w:name="_Toc453932962"/>
      <w:bookmarkStart w:id="52" w:name="_Toc454295868"/>
      <w:bookmarkStart w:id="53" w:name="_Toc462664223"/>
      <w:bookmarkStart w:id="54" w:name="_Toc480527817"/>
      <w:bookmarkStart w:id="55" w:name="_Toc31967141"/>
      <w:bookmarkEnd w:id="33"/>
      <w:bookmarkEnd w:id="34"/>
      <w:bookmarkEnd w:id="35"/>
      <w:bookmarkEnd w:id="36"/>
      <w:bookmarkEnd w:id="37"/>
      <w:bookmarkEnd w:id="38"/>
      <w:bookmarkEnd w:id="39"/>
      <w:bookmarkEnd w:id="40"/>
      <w:bookmarkEnd w:id="41"/>
      <w:bookmarkEnd w:id="43"/>
      <w:bookmarkEnd w:id="44"/>
      <w:bookmarkEnd w:id="45"/>
      <w:bookmarkEnd w:id="46"/>
      <w:bookmarkEnd w:id="47"/>
      <w:r w:rsidRPr="001615CC">
        <w:rPr>
          <w:rFonts w:eastAsiaTheme="minorEastAsia"/>
        </w:rPr>
        <w:t>2</w:t>
      </w:r>
      <w:r w:rsidR="006944F8" w:rsidRPr="001615CC">
        <w:rPr>
          <w:rFonts w:eastAsiaTheme="minorEastAsia"/>
        </w:rPr>
        <w:tab/>
        <w:t>Conformity, interoperability</w:t>
      </w:r>
      <w:bookmarkEnd w:id="48"/>
      <w:r w:rsidR="006944F8" w:rsidRPr="001615CC">
        <w:rPr>
          <w:rFonts w:eastAsiaTheme="minorEastAsia"/>
        </w:rPr>
        <w:t xml:space="preserve"> and testing</w:t>
      </w:r>
      <w:bookmarkEnd w:id="49"/>
      <w:bookmarkEnd w:id="50"/>
      <w:bookmarkEnd w:id="51"/>
      <w:bookmarkEnd w:id="52"/>
      <w:bookmarkEnd w:id="53"/>
      <w:bookmarkEnd w:id="54"/>
      <w:bookmarkEnd w:id="55"/>
    </w:p>
    <w:p w14:paraId="1F7CA4EA" w14:textId="0A4F64A6" w:rsidR="006944F8" w:rsidRPr="001615CC" w:rsidRDefault="00653C5B" w:rsidP="001A5609">
      <w:pPr>
        <w:pStyle w:val="Heading2"/>
      </w:pPr>
      <w:bookmarkStart w:id="56" w:name="_Toc462664224"/>
      <w:bookmarkStart w:id="57" w:name="_Toc480527818"/>
      <w:bookmarkStart w:id="58" w:name="_Toc31967142"/>
      <w:bookmarkStart w:id="59" w:name="_Toc453929092"/>
      <w:bookmarkStart w:id="60" w:name="_Toc453932963"/>
      <w:bookmarkStart w:id="61" w:name="_Toc454295869"/>
      <w:r w:rsidRPr="001615CC">
        <w:t>2</w:t>
      </w:r>
      <w:r w:rsidR="006944F8" w:rsidRPr="001615CC">
        <w:t>.1</w:t>
      </w:r>
      <w:r w:rsidR="006944F8" w:rsidRPr="001615CC">
        <w:tab/>
        <w:t>Conform</w:t>
      </w:r>
      <w:r w:rsidR="00E12728" w:rsidRPr="001615CC">
        <w:t>ity</w:t>
      </w:r>
      <w:r w:rsidR="006944F8" w:rsidRPr="001615CC">
        <w:t xml:space="preserve"> Assessment Steering Committee (CASC)</w:t>
      </w:r>
      <w:bookmarkEnd w:id="56"/>
      <w:bookmarkEnd w:id="57"/>
      <w:bookmarkEnd w:id="58"/>
    </w:p>
    <w:p w14:paraId="0BCF79D5" w14:textId="1AB80140" w:rsidR="006944F8" w:rsidRPr="00313560" w:rsidRDefault="006944F8" w:rsidP="006944F8">
      <w:pPr>
        <w:snapToGrid w:val="0"/>
        <w:rPr>
          <w:lang w:val="en-GB"/>
        </w:rPr>
      </w:pPr>
      <w:r w:rsidRPr="00313560">
        <w:rPr>
          <w:lang w:val="en-GB"/>
        </w:rPr>
        <w:t>The main objective of ITU-T CASC is to set up criteria, rules and procedures to recognize Test Laboratories (TL</w:t>
      </w:r>
      <w:r w:rsidR="006A4584">
        <w:rPr>
          <w:lang w:val="en-GB"/>
        </w:rPr>
        <w:t>s</w:t>
      </w:r>
      <w:r w:rsidRPr="00313560">
        <w:rPr>
          <w:lang w:val="en-GB"/>
        </w:rPr>
        <w:t xml:space="preserve">) with competence in ITU-T Recommendation(s) and register these TLs in </w:t>
      </w:r>
      <w:r w:rsidR="007E3D24" w:rsidRPr="00313560">
        <w:rPr>
          <w:lang w:val="en-GB"/>
        </w:rPr>
        <w:t xml:space="preserve">a list of </w:t>
      </w:r>
      <w:r w:rsidRPr="00313560">
        <w:rPr>
          <w:lang w:val="en-GB"/>
        </w:rPr>
        <w:t>ITU</w:t>
      </w:r>
      <w:r w:rsidR="007E3D24" w:rsidRPr="00313560">
        <w:rPr>
          <w:lang w:val="en-GB"/>
        </w:rPr>
        <w:t>-</w:t>
      </w:r>
      <w:r w:rsidRPr="00313560">
        <w:rPr>
          <w:lang w:val="en-GB"/>
        </w:rPr>
        <w:t>recognized TL</w:t>
      </w:r>
      <w:r w:rsidR="007E3D24" w:rsidRPr="00313560">
        <w:rPr>
          <w:lang w:val="en-GB"/>
        </w:rPr>
        <w:t>s</w:t>
      </w:r>
      <w:r w:rsidRPr="00313560">
        <w:rPr>
          <w:lang w:val="en-GB"/>
        </w:rPr>
        <w:t xml:space="preserve">. This effort is supported by a guideline </w:t>
      </w:r>
      <w:r w:rsidR="00CA2D85" w:rsidRPr="00313560">
        <w:rPr>
          <w:lang w:val="en-GB"/>
        </w:rPr>
        <w:t>"</w:t>
      </w:r>
      <w:r w:rsidRPr="00313560">
        <w:rPr>
          <w:lang w:val="en-GB"/>
        </w:rPr>
        <w:t>Testing laboratories recognition procedure</w:t>
      </w:r>
      <w:r w:rsidR="00CA2D85" w:rsidRPr="00313560">
        <w:rPr>
          <w:lang w:val="en-GB"/>
        </w:rPr>
        <w:t>"</w:t>
      </w:r>
      <w:r w:rsidRPr="00313560">
        <w:rPr>
          <w:lang w:val="en-GB"/>
        </w:rPr>
        <w:t xml:space="preserve"> agreed by ITU-T SG11 in 2015.</w:t>
      </w:r>
    </w:p>
    <w:p w14:paraId="0BCF9661" w14:textId="26265A6F" w:rsidR="00273608" w:rsidRDefault="002B5979" w:rsidP="00313560">
      <w:pPr>
        <w:rPr>
          <w:lang w:val="en-GB"/>
        </w:rPr>
      </w:pPr>
      <w:r>
        <w:rPr>
          <w:lang w:val="en-GB"/>
        </w:rPr>
        <w:t xml:space="preserve">A </w:t>
      </w:r>
      <w:r w:rsidR="00313560" w:rsidRPr="009975C6">
        <w:rPr>
          <w:lang w:val="en-GB"/>
        </w:rPr>
        <w:t>meeting of ITU-T CASC</w:t>
      </w:r>
      <w:r>
        <w:rPr>
          <w:lang w:val="en-GB"/>
        </w:rPr>
        <w:t xml:space="preserve"> on </w:t>
      </w:r>
      <w:r w:rsidR="00313560" w:rsidRPr="009975C6">
        <w:rPr>
          <w:lang w:val="en-GB"/>
        </w:rPr>
        <w:t>18 October 2019</w:t>
      </w:r>
      <w:r>
        <w:rPr>
          <w:lang w:val="en-GB"/>
        </w:rPr>
        <w:t xml:space="preserve"> </w:t>
      </w:r>
      <w:r w:rsidR="00313560" w:rsidRPr="009975C6">
        <w:rPr>
          <w:lang w:val="en-GB"/>
        </w:rPr>
        <w:t xml:space="preserve">revised the existing </w:t>
      </w:r>
      <w:r w:rsidR="006A4584">
        <w:rPr>
          <w:lang w:val="en-GB"/>
        </w:rPr>
        <w:t>g</w:t>
      </w:r>
      <w:r w:rsidR="00313560" w:rsidRPr="009975C6">
        <w:rPr>
          <w:lang w:val="en-GB"/>
        </w:rPr>
        <w:t>uideline “ITU-T CASC procedure to appoint ITU-T technical expert”</w:t>
      </w:r>
      <w:r w:rsidR="00313560">
        <w:rPr>
          <w:lang w:val="en-GB"/>
        </w:rPr>
        <w:t xml:space="preserve">. </w:t>
      </w:r>
      <w:r w:rsidR="006A4584">
        <w:rPr>
          <w:lang w:val="en-GB"/>
        </w:rPr>
        <w:t xml:space="preserve">The revision enables ITU-T CASC to appoint ITU-T </w:t>
      </w:r>
      <w:r w:rsidR="00313560" w:rsidRPr="009975C6">
        <w:rPr>
          <w:lang w:val="en-GB"/>
        </w:rPr>
        <w:t>technical expert</w:t>
      </w:r>
      <w:r w:rsidR="00313560">
        <w:rPr>
          <w:lang w:val="en-GB"/>
        </w:rPr>
        <w:t xml:space="preserve">s </w:t>
      </w:r>
      <w:r w:rsidR="006A4584">
        <w:rPr>
          <w:lang w:val="en-GB"/>
        </w:rPr>
        <w:t xml:space="preserve">nominated </w:t>
      </w:r>
      <w:r w:rsidR="00313560">
        <w:rPr>
          <w:lang w:val="en-GB"/>
        </w:rPr>
        <w:t xml:space="preserve">by </w:t>
      </w:r>
      <w:r w:rsidR="006A4584">
        <w:rPr>
          <w:lang w:val="en-GB"/>
        </w:rPr>
        <w:t xml:space="preserve">ITU-T </w:t>
      </w:r>
      <w:r w:rsidR="00313560">
        <w:rPr>
          <w:lang w:val="en-GB"/>
        </w:rPr>
        <w:t>SGs</w:t>
      </w:r>
      <w:r w:rsidR="00313560" w:rsidRPr="009975C6">
        <w:rPr>
          <w:lang w:val="en-GB"/>
        </w:rPr>
        <w:t xml:space="preserve"> </w:t>
      </w:r>
      <w:r w:rsidR="006A4584">
        <w:rPr>
          <w:lang w:val="en-GB"/>
        </w:rPr>
        <w:t xml:space="preserve">without additional </w:t>
      </w:r>
      <w:r w:rsidR="00313560">
        <w:rPr>
          <w:lang w:val="en-GB"/>
        </w:rPr>
        <w:t>assessment</w:t>
      </w:r>
      <w:r w:rsidR="00313560" w:rsidRPr="009975C6">
        <w:rPr>
          <w:lang w:val="en-GB"/>
        </w:rPr>
        <w:t xml:space="preserve"> </w:t>
      </w:r>
      <w:r w:rsidR="006A4584">
        <w:rPr>
          <w:lang w:val="en-GB"/>
        </w:rPr>
        <w:t xml:space="preserve">by ITU-T </w:t>
      </w:r>
      <w:r w:rsidR="00313560">
        <w:rPr>
          <w:lang w:val="en-GB"/>
        </w:rPr>
        <w:t xml:space="preserve">CASC </w:t>
      </w:r>
      <w:r w:rsidR="00273608">
        <w:rPr>
          <w:lang w:val="en-GB"/>
        </w:rPr>
        <w:t>a</w:t>
      </w:r>
      <w:r w:rsidR="00313560" w:rsidRPr="009975C6">
        <w:rPr>
          <w:lang w:val="en-GB"/>
        </w:rPr>
        <w:t xml:space="preserve">ppointment </w:t>
      </w:r>
      <w:r w:rsidR="00273608">
        <w:rPr>
          <w:lang w:val="en-GB"/>
        </w:rPr>
        <w:t>t</w:t>
      </w:r>
      <w:r w:rsidR="00313560" w:rsidRPr="009975C6">
        <w:rPr>
          <w:lang w:val="en-GB"/>
        </w:rPr>
        <w:t>eam</w:t>
      </w:r>
      <w:r w:rsidR="00273608">
        <w:rPr>
          <w:lang w:val="en-GB"/>
        </w:rPr>
        <w:t>s</w:t>
      </w:r>
      <w:r w:rsidR="006A4584">
        <w:rPr>
          <w:lang w:val="en-GB"/>
        </w:rPr>
        <w:t>, as was previously required.</w:t>
      </w:r>
      <w:r w:rsidR="00472D44">
        <w:rPr>
          <w:lang w:val="en-GB"/>
        </w:rPr>
        <w:t xml:space="preserve"> ITU-T CASC appointment teams will, however, continue to assess applications in cases where an individual applies to be appointed without the prior endorsement of an </w:t>
      </w:r>
      <w:r w:rsidR="00F022D2">
        <w:rPr>
          <w:lang w:val="en-GB"/>
        </w:rPr>
        <w:t xml:space="preserve">ITU-T </w:t>
      </w:r>
      <w:r w:rsidR="00472D44">
        <w:rPr>
          <w:lang w:val="en-GB"/>
        </w:rPr>
        <w:t>SG</w:t>
      </w:r>
      <w:r w:rsidR="00F022D2">
        <w:rPr>
          <w:lang w:val="en-GB"/>
        </w:rPr>
        <w:t xml:space="preserve">. </w:t>
      </w:r>
      <w:r w:rsidR="006A4584" w:rsidRPr="002B5979">
        <w:rPr>
          <w:lang w:val="en-GB"/>
        </w:rPr>
        <w:t xml:space="preserve">ITU-T </w:t>
      </w:r>
      <w:r w:rsidR="00313560" w:rsidRPr="002B5979">
        <w:rPr>
          <w:lang w:val="en-GB"/>
        </w:rPr>
        <w:t xml:space="preserve">CASC </w:t>
      </w:r>
      <w:r w:rsidR="00861C2C" w:rsidRPr="00662764">
        <w:rPr>
          <w:lang w:val="en-GB"/>
        </w:rPr>
        <w:t xml:space="preserve">has </w:t>
      </w:r>
      <w:r w:rsidR="00313560" w:rsidRPr="002B5979">
        <w:rPr>
          <w:lang w:val="en-GB"/>
        </w:rPr>
        <w:t xml:space="preserve">appointed 11 technical experts </w:t>
      </w:r>
      <w:r w:rsidR="00F022D2" w:rsidRPr="002B5979">
        <w:rPr>
          <w:lang w:val="en-GB"/>
        </w:rPr>
        <w:t>active in</w:t>
      </w:r>
      <w:r w:rsidR="00313560" w:rsidRPr="002B5979">
        <w:rPr>
          <w:lang w:val="en-GB"/>
        </w:rPr>
        <w:t xml:space="preserve"> ITU-T SG2, SG5 and SG16</w:t>
      </w:r>
      <w:r w:rsidR="00472D44" w:rsidRPr="002B5979">
        <w:rPr>
          <w:lang w:val="en-GB"/>
        </w:rPr>
        <w:t xml:space="preserve">. </w:t>
      </w:r>
      <w:r w:rsidR="00313560" w:rsidRPr="002B5979">
        <w:rPr>
          <w:lang w:val="en-GB"/>
        </w:rPr>
        <w:t>The list of appointed experts</w:t>
      </w:r>
      <w:r w:rsidR="00273608" w:rsidRPr="002B5979">
        <w:rPr>
          <w:lang w:val="en-GB"/>
        </w:rPr>
        <w:t xml:space="preserve"> </w:t>
      </w:r>
      <w:r w:rsidR="00277665" w:rsidRPr="002B5979">
        <w:rPr>
          <w:lang w:val="en-GB"/>
        </w:rPr>
        <w:t xml:space="preserve">can be found in </w:t>
      </w:r>
      <w:r w:rsidR="00313560" w:rsidRPr="002B5979">
        <w:rPr>
          <w:lang w:val="en-GB"/>
        </w:rPr>
        <w:t>the</w:t>
      </w:r>
      <w:r w:rsidR="00277665" w:rsidRPr="002B5979">
        <w:rPr>
          <w:lang w:val="en-GB"/>
        </w:rPr>
        <w:t xml:space="preserve"> most recent</w:t>
      </w:r>
      <w:r w:rsidR="00313560" w:rsidRPr="009975C6">
        <w:rPr>
          <w:lang w:val="en-GB"/>
        </w:rPr>
        <w:t xml:space="preserve"> </w:t>
      </w:r>
      <w:hyperlink r:id="rId98" w:history="1">
        <w:r w:rsidR="00277665">
          <w:rPr>
            <w:rStyle w:val="Hyperlink"/>
            <w:lang w:val="en-GB"/>
          </w:rPr>
          <w:t>ITU-T C</w:t>
        </w:r>
        <w:r w:rsidR="00313560" w:rsidRPr="00093086">
          <w:rPr>
            <w:rStyle w:val="Hyperlink"/>
            <w:lang w:val="en-GB"/>
          </w:rPr>
          <w:t xml:space="preserve">ASC </w:t>
        </w:r>
        <w:r w:rsidR="00277665">
          <w:rPr>
            <w:rStyle w:val="Hyperlink"/>
            <w:lang w:val="en-GB"/>
          </w:rPr>
          <w:t xml:space="preserve">meeting </w:t>
        </w:r>
        <w:r w:rsidR="00313560" w:rsidRPr="00093086">
          <w:rPr>
            <w:rStyle w:val="Hyperlink"/>
            <w:lang w:val="en-GB"/>
          </w:rPr>
          <w:t>report</w:t>
        </w:r>
      </w:hyperlink>
      <w:r w:rsidR="00EB49EF">
        <w:rPr>
          <w:lang w:val="en-GB"/>
        </w:rPr>
        <w:t>.</w:t>
      </w:r>
    </w:p>
    <w:p w14:paraId="48C5D5A3" w14:textId="5E678FF9" w:rsidR="00861C2C" w:rsidRDefault="002B5979" w:rsidP="00313560">
      <w:pPr>
        <w:rPr>
          <w:lang w:val="en-GB"/>
        </w:rPr>
      </w:pPr>
      <w:r>
        <w:rPr>
          <w:lang w:val="en-GB"/>
        </w:rPr>
        <w:t>The October 2019</w:t>
      </w:r>
      <w:r w:rsidR="00861C2C">
        <w:rPr>
          <w:lang w:val="en-GB"/>
        </w:rPr>
        <w:t xml:space="preserve"> meeting of ITU-T CASC also reviewed a request from </w:t>
      </w:r>
      <w:r w:rsidR="00861C2C" w:rsidRPr="009975C6">
        <w:rPr>
          <w:lang w:val="en-GB"/>
        </w:rPr>
        <w:t xml:space="preserve">ITU-T SG16 </w:t>
      </w:r>
      <w:r w:rsidR="00861C2C">
        <w:rPr>
          <w:lang w:val="en-GB"/>
        </w:rPr>
        <w:t xml:space="preserve">for ITU-T </w:t>
      </w:r>
      <w:r w:rsidR="00861C2C" w:rsidRPr="009975C6">
        <w:rPr>
          <w:lang w:val="en-GB"/>
        </w:rPr>
        <w:t xml:space="preserve">CASC to </w:t>
      </w:r>
      <w:r w:rsidR="00861C2C">
        <w:rPr>
          <w:lang w:val="en-GB"/>
        </w:rPr>
        <w:t xml:space="preserve">establish </w:t>
      </w:r>
      <w:r w:rsidR="00861C2C" w:rsidRPr="009975C6">
        <w:rPr>
          <w:lang w:val="en-GB"/>
        </w:rPr>
        <w:t>joint ITU/IEC certification scheme</w:t>
      </w:r>
      <w:r w:rsidR="00861C2C">
        <w:rPr>
          <w:lang w:val="en-GB"/>
        </w:rPr>
        <w:t>s</w:t>
      </w:r>
      <w:r w:rsidR="00861C2C" w:rsidRPr="009975C6">
        <w:rPr>
          <w:lang w:val="en-GB"/>
        </w:rPr>
        <w:t xml:space="preserve"> </w:t>
      </w:r>
      <w:r w:rsidR="00861C2C">
        <w:rPr>
          <w:lang w:val="en-GB"/>
        </w:rPr>
        <w:t xml:space="preserve">in areas </w:t>
      </w:r>
      <w:proofErr w:type="gramStart"/>
      <w:r w:rsidR="00861C2C">
        <w:rPr>
          <w:lang w:val="en-GB"/>
        </w:rPr>
        <w:t>including</w:t>
      </w:r>
      <w:r w:rsidR="00861C2C" w:rsidRPr="009975C6">
        <w:rPr>
          <w:lang w:val="en-GB"/>
        </w:rPr>
        <w:t>:</w:t>
      </w:r>
      <w:proofErr w:type="gramEnd"/>
      <w:r w:rsidR="00861C2C">
        <w:rPr>
          <w:lang w:val="en-GB"/>
        </w:rPr>
        <w:t xml:space="preserve"> </w:t>
      </w:r>
      <w:r w:rsidR="00861C2C" w:rsidRPr="003D6D99">
        <w:rPr>
          <w:lang w:val="en-GB"/>
        </w:rPr>
        <w:t>safe listening devices/systems, visual surveillance systems and services, and accessibility features of IPTV systems</w:t>
      </w:r>
      <w:r w:rsidR="00861C2C">
        <w:rPr>
          <w:lang w:val="en-GB"/>
        </w:rPr>
        <w:t>.</w:t>
      </w:r>
    </w:p>
    <w:p w14:paraId="27D0E3F4" w14:textId="74F160AA" w:rsidR="00313560" w:rsidRPr="009975C6" w:rsidRDefault="002B5979" w:rsidP="00313560">
      <w:pPr>
        <w:rPr>
          <w:lang w:val="en-GB"/>
        </w:rPr>
      </w:pPr>
      <w:r>
        <w:rPr>
          <w:lang w:val="en-GB"/>
        </w:rPr>
        <w:t>In addition, a</w:t>
      </w:r>
      <w:r w:rsidR="003A5986">
        <w:rPr>
          <w:lang w:val="en-GB"/>
        </w:rPr>
        <w:t xml:space="preserve">t the </w:t>
      </w:r>
      <w:r w:rsidR="00313560" w:rsidRPr="009975C6">
        <w:rPr>
          <w:lang w:val="en-GB"/>
        </w:rPr>
        <w:t xml:space="preserve">request </w:t>
      </w:r>
      <w:r w:rsidR="003A5986">
        <w:rPr>
          <w:lang w:val="en-GB"/>
        </w:rPr>
        <w:t xml:space="preserve">of </w:t>
      </w:r>
      <w:r w:rsidR="0003278E">
        <w:rPr>
          <w:lang w:val="en-GB"/>
        </w:rPr>
        <w:t>IECEE Certification Management Committee Working Group 33 ‘ITU requirements’ (</w:t>
      </w:r>
      <w:r w:rsidR="0003278E" w:rsidRPr="009975C6">
        <w:rPr>
          <w:lang w:val="en-GB"/>
        </w:rPr>
        <w:t>IECEE CMC WG33</w:t>
      </w:r>
      <w:r w:rsidR="0003278E">
        <w:rPr>
          <w:lang w:val="en-GB"/>
        </w:rPr>
        <w:t>)</w:t>
      </w:r>
      <w:r w:rsidR="00313560" w:rsidRPr="009975C6">
        <w:rPr>
          <w:lang w:val="en-GB"/>
        </w:rPr>
        <w:t xml:space="preserve">, </w:t>
      </w:r>
      <w:r w:rsidR="007A4854">
        <w:rPr>
          <w:lang w:val="en-GB"/>
        </w:rPr>
        <w:t xml:space="preserve">a </w:t>
      </w:r>
      <w:r w:rsidR="00313560" w:rsidRPr="009975C6">
        <w:rPr>
          <w:lang w:val="en-GB"/>
        </w:rPr>
        <w:t>questionnaire</w:t>
      </w:r>
      <w:r w:rsidR="0003278E">
        <w:rPr>
          <w:lang w:val="en-GB"/>
        </w:rPr>
        <w:t xml:space="preserve"> formulated by </w:t>
      </w:r>
      <w:r w:rsidR="0003278E" w:rsidRPr="009975C6">
        <w:rPr>
          <w:lang w:val="en-GB"/>
        </w:rPr>
        <w:t>IECEE CMC WG33</w:t>
      </w:r>
      <w:r w:rsidR="00313560" w:rsidRPr="009975C6">
        <w:rPr>
          <w:lang w:val="en-GB"/>
        </w:rPr>
        <w:t xml:space="preserve"> </w:t>
      </w:r>
      <w:r w:rsidR="0003278E">
        <w:rPr>
          <w:lang w:val="en-GB"/>
        </w:rPr>
        <w:t xml:space="preserve">was distributed by ITU-T CASC </w:t>
      </w:r>
      <w:r w:rsidR="003A5986">
        <w:rPr>
          <w:lang w:val="en-GB"/>
        </w:rPr>
        <w:t xml:space="preserve">to </w:t>
      </w:r>
      <w:r w:rsidR="00313560" w:rsidRPr="009975C6">
        <w:rPr>
          <w:lang w:val="en-GB"/>
        </w:rPr>
        <w:t>evaluat</w:t>
      </w:r>
      <w:r w:rsidR="003A5986">
        <w:rPr>
          <w:lang w:val="en-GB"/>
        </w:rPr>
        <w:t>e</w:t>
      </w:r>
      <w:r w:rsidR="00313560" w:rsidRPr="009975C6">
        <w:rPr>
          <w:lang w:val="en-GB"/>
        </w:rPr>
        <w:t xml:space="preserve"> market need for </w:t>
      </w:r>
      <w:r w:rsidR="007A4854">
        <w:rPr>
          <w:lang w:val="en-GB"/>
        </w:rPr>
        <w:t xml:space="preserve">a </w:t>
      </w:r>
      <w:r w:rsidR="00313560" w:rsidRPr="009975C6">
        <w:rPr>
          <w:lang w:val="en-GB"/>
        </w:rPr>
        <w:t xml:space="preserve">joint ITU/IEC TL recognition procedure and certification schemes </w:t>
      </w:r>
      <w:r w:rsidR="007A4854">
        <w:rPr>
          <w:lang w:val="en-GB"/>
        </w:rPr>
        <w:t xml:space="preserve">for </w:t>
      </w:r>
      <w:r w:rsidR="00313560" w:rsidRPr="009975C6">
        <w:rPr>
          <w:lang w:val="en-GB"/>
        </w:rPr>
        <w:t xml:space="preserve">ITU-T Recommendations. </w:t>
      </w:r>
      <w:r w:rsidR="0019679D">
        <w:rPr>
          <w:lang w:val="en-GB"/>
        </w:rPr>
        <w:t xml:space="preserve">The questionnaire </w:t>
      </w:r>
      <w:r w:rsidR="007A4854">
        <w:rPr>
          <w:lang w:val="en-GB"/>
        </w:rPr>
        <w:t>collect</w:t>
      </w:r>
      <w:r w:rsidR="0019679D">
        <w:rPr>
          <w:lang w:val="en-GB"/>
        </w:rPr>
        <w:t>ed</w:t>
      </w:r>
      <w:r w:rsidR="007A4854">
        <w:rPr>
          <w:lang w:val="en-GB"/>
        </w:rPr>
        <w:t xml:space="preserve"> views on the </w:t>
      </w:r>
      <w:r w:rsidR="00313560" w:rsidRPr="009975C6">
        <w:rPr>
          <w:lang w:val="en-GB"/>
        </w:rPr>
        <w:t>in-progress joint ITU/IEC work to establish a peer</w:t>
      </w:r>
      <w:r w:rsidR="007A4854">
        <w:rPr>
          <w:lang w:val="en-GB"/>
        </w:rPr>
        <w:t>-</w:t>
      </w:r>
      <w:r w:rsidR="00313560" w:rsidRPr="009975C6">
        <w:rPr>
          <w:lang w:val="en-GB"/>
        </w:rPr>
        <w:t>assessment laboratory service (</w:t>
      </w:r>
      <w:r w:rsidR="007A4854">
        <w:rPr>
          <w:lang w:val="en-GB"/>
        </w:rPr>
        <w:t xml:space="preserve">joint ITU/IEC TL </w:t>
      </w:r>
      <w:r w:rsidR="00313560" w:rsidRPr="009975C6">
        <w:rPr>
          <w:lang w:val="en-GB"/>
        </w:rPr>
        <w:t>recognition procedure) and joint conformity assessment program</w:t>
      </w:r>
      <w:r w:rsidR="007A4854">
        <w:rPr>
          <w:lang w:val="en-GB"/>
        </w:rPr>
        <w:t>me</w:t>
      </w:r>
      <w:r w:rsidR="00313560" w:rsidRPr="009975C6">
        <w:rPr>
          <w:lang w:val="en-GB"/>
        </w:rPr>
        <w:t xml:space="preserve"> (joint ITU/IEC certification </w:t>
      </w:r>
      <w:r w:rsidR="00313560" w:rsidRPr="009975C6">
        <w:rPr>
          <w:lang w:val="en-GB"/>
        </w:rPr>
        <w:lastRenderedPageBreak/>
        <w:t xml:space="preserve">schemes). All interested parties, including non-ITU members, </w:t>
      </w:r>
      <w:r w:rsidR="007A4854">
        <w:rPr>
          <w:lang w:val="en-GB"/>
        </w:rPr>
        <w:t xml:space="preserve">were </w:t>
      </w:r>
      <w:r w:rsidR="00313560" w:rsidRPr="009975C6">
        <w:rPr>
          <w:lang w:val="en-GB"/>
        </w:rPr>
        <w:t>invited to complete the questionnaire (</w:t>
      </w:r>
      <w:hyperlink r:id="rId99" w:history="1">
        <w:r w:rsidR="00313560" w:rsidRPr="009975C6">
          <w:rPr>
            <w:rStyle w:val="Hyperlink"/>
            <w:lang w:val="en-GB"/>
          </w:rPr>
          <w:t>https://www.research.net/r/SG11-ITU-IEC-TL</w:t>
        </w:r>
      </w:hyperlink>
      <w:r w:rsidR="00313560" w:rsidRPr="009975C6">
        <w:rPr>
          <w:lang w:val="en-GB"/>
        </w:rPr>
        <w:t>) by 16 January 2020. More details are available in</w:t>
      </w:r>
      <w:r w:rsidR="00313560">
        <w:rPr>
          <w:lang w:val="en-GB"/>
        </w:rPr>
        <w:t xml:space="preserve"> </w:t>
      </w:r>
      <w:hyperlink r:id="rId100" w:history="1">
        <w:r w:rsidR="00313560" w:rsidRPr="009975C6">
          <w:rPr>
            <w:rStyle w:val="Hyperlink"/>
            <w:lang w:val="en-GB"/>
          </w:rPr>
          <w:t>TSB Circular 208</w:t>
        </w:r>
      </w:hyperlink>
      <w:r w:rsidR="00EB49EF">
        <w:rPr>
          <w:lang w:val="en-GB"/>
        </w:rPr>
        <w:t>.</w:t>
      </w:r>
    </w:p>
    <w:p w14:paraId="244BCF23" w14:textId="0D8295A3" w:rsidR="006944F8" w:rsidRPr="00656355" w:rsidRDefault="0003278E" w:rsidP="00C1421E">
      <w:pPr>
        <w:rPr>
          <w:highlight w:val="yellow"/>
          <w:lang w:val="en-GB"/>
        </w:rPr>
      </w:pPr>
      <w:r>
        <w:rPr>
          <w:lang w:val="en-GB"/>
        </w:rPr>
        <w:t xml:space="preserve">The next </w:t>
      </w:r>
      <w:r w:rsidR="00D05D5F">
        <w:rPr>
          <w:lang w:val="en-GB"/>
        </w:rPr>
        <w:t xml:space="preserve">meeting of ITU-T </w:t>
      </w:r>
      <w:r w:rsidR="00313560" w:rsidRPr="009975C6">
        <w:rPr>
          <w:lang w:val="en-GB"/>
        </w:rPr>
        <w:t>CASC</w:t>
      </w:r>
      <w:r w:rsidR="00D05D5F">
        <w:rPr>
          <w:lang w:val="en-GB"/>
        </w:rPr>
        <w:t xml:space="preserve"> will be held in </w:t>
      </w:r>
      <w:r w:rsidR="00313560" w:rsidRPr="009975C6">
        <w:rPr>
          <w:lang w:val="en-GB"/>
        </w:rPr>
        <w:t>Geneva</w:t>
      </w:r>
      <w:r w:rsidR="00D05D5F">
        <w:rPr>
          <w:lang w:val="en-GB"/>
        </w:rPr>
        <w:t xml:space="preserve">, </w:t>
      </w:r>
      <w:r w:rsidR="00313560" w:rsidRPr="009975C6">
        <w:rPr>
          <w:lang w:val="en-GB"/>
        </w:rPr>
        <w:t>6 March 2020.</w:t>
      </w:r>
      <w:r w:rsidR="00CA5CBF">
        <w:rPr>
          <w:lang w:val="en-GB"/>
        </w:rPr>
        <w:t xml:space="preserve"> </w:t>
      </w:r>
      <w:r w:rsidR="006944F8" w:rsidRPr="00313560">
        <w:rPr>
          <w:lang w:val="en-GB"/>
        </w:rPr>
        <w:t xml:space="preserve">More details are available on the ITU-T CASC </w:t>
      </w:r>
      <w:hyperlink r:id="rId101" w:history="1">
        <w:r w:rsidR="006944F8" w:rsidRPr="00313560">
          <w:rPr>
            <w:rStyle w:val="Hyperlink"/>
            <w:lang w:val="en-GB"/>
          </w:rPr>
          <w:t>web page</w:t>
        </w:r>
      </w:hyperlink>
      <w:r w:rsidR="006944F8" w:rsidRPr="00313560">
        <w:rPr>
          <w:lang w:val="en-GB"/>
        </w:rPr>
        <w:t>.</w:t>
      </w:r>
    </w:p>
    <w:p w14:paraId="0B563D2C" w14:textId="4FD6C009" w:rsidR="006944F8" w:rsidRPr="001615CC" w:rsidRDefault="00D64AF8" w:rsidP="006944F8">
      <w:pPr>
        <w:pStyle w:val="Heading2"/>
      </w:pPr>
      <w:bookmarkStart w:id="62" w:name="_Toc462664225"/>
      <w:bookmarkStart w:id="63" w:name="_Toc480527819"/>
      <w:bookmarkStart w:id="64" w:name="_Toc31967143"/>
      <w:bookmarkStart w:id="65" w:name="_Toc453932965"/>
      <w:bookmarkStart w:id="66" w:name="_Toc438553975"/>
      <w:bookmarkStart w:id="67" w:name="_Toc453929094"/>
      <w:bookmarkStart w:id="68" w:name="_Toc454295871"/>
      <w:r w:rsidRPr="001615CC">
        <w:t>2</w:t>
      </w:r>
      <w:r w:rsidR="006944F8" w:rsidRPr="001615CC">
        <w:t>.2</w:t>
      </w:r>
      <w:r w:rsidR="006944F8" w:rsidRPr="001615CC">
        <w:tab/>
        <w:t xml:space="preserve">ICT </w:t>
      </w:r>
      <w:r w:rsidR="001C37A8" w:rsidRPr="001615CC">
        <w:t>product conformity database</w:t>
      </w:r>
      <w:bookmarkEnd w:id="62"/>
      <w:bookmarkEnd w:id="63"/>
      <w:bookmarkEnd w:id="64"/>
    </w:p>
    <w:p w14:paraId="53247AEC" w14:textId="2C728C5E" w:rsidR="00666F7F" w:rsidRPr="00313560" w:rsidRDefault="006944F8" w:rsidP="00666F7F">
      <w:pPr>
        <w:rPr>
          <w:lang w:val="en-GB"/>
        </w:rPr>
      </w:pPr>
      <w:r w:rsidRPr="00313560">
        <w:rPr>
          <w:lang w:val="en-GB"/>
        </w:rPr>
        <w:t xml:space="preserve">The </w:t>
      </w:r>
      <w:hyperlink r:id="rId102" w:history="1">
        <w:r w:rsidRPr="00313560">
          <w:rPr>
            <w:rStyle w:val="Hyperlink"/>
            <w:rFonts w:eastAsiaTheme="majorEastAsia"/>
            <w:lang w:val="en-GB"/>
          </w:rPr>
          <w:t>ICT product conformity database</w:t>
        </w:r>
      </w:hyperlink>
      <w:r w:rsidRPr="00313560">
        <w:rPr>
          <w:lang w:val="en-GB"/>
        </w:rPr>
        <w:t xml:space="preserve"> enables industry to publicize the conformance of ICT products and services to ITU-T Recommendations, assisting users in their efforts to select standards-compliant products. </w:t>
      </w:r>
      <w:r w:rsidR="00666F7F" w:rsidRPr="00313560">
        <w:rPr>
          <w:szCs w:val="22"/>
          <w:lang w:val="en-GB"/>
        </w:rPr>
        <w:t>The database currently contains more than 500 entries.</w:t>
      </w:r>
      <w:r w:rsidR="00FB4454" w:rsidRPr="00313560">
        <w:rPr>
          <w:szCs w:val="22"/>
          <w:lang w:val="en-GB"/>
        </w:rPr>
        <w:t xml:space="preserve"> </w:t>
      </w:r>
      <w:r w:rsidR="00FB4454" w:rsidRPr="00313560">
        <w:rPr>
          <w:lang w:val="en-GB"/>
        </w:rPr>
        <w:t>Five categories of products and services have been submitted to the database:</w:t>
      </w:r>
    </w:p>
    <w:p w14:paraId="62804A5B" w14:textId="5928C528" w:rsidR="006944F8" w:rsidRPr="00313560" w:rsidRDefault="006944F8" w:rsidP="009363BD">
      <w:pPr>
        <w:numPr>
          <w:ilvl w:val="0"/>
          <w:numId w:val="10"/>
        </w:numPr>
        <w:rPr>
          <w:i/>
          <w:lang w:val="en-GB"/>
        </w:rPr>
      </w:pPr>
      <w:r w:rsidRPr="00313560">
        <w:rPr>
          <w:b/>
          <w:bCs/>
          <w:lang w:val="en-GB"/>
        </w:rPr>
        <w:t>e-Health</w:t>
      </w:r>
      <w:r w:rsidRPr="00313560">
        <w:rPr>
          <w:lang w:val="en-GB"/>
        </w:rPr>
        <w:t xml:space="preserve"> solutions complying with the specifications of ITU-T H.810 </w:t>
      </w:r>
      <w:r w:rsidR="00CA2D85" w:rsidRPr="00313560">
        <w:rPr>
          <w:lang w:val="en-GB"/>
        </w:rPr>
        <w:t>"</w:t>
      </w:r>
      <w:r w:rsidRPr="00313560">
        <w:rPr>
          <w:lang w:val="en-GB"/>
        </w:rPr>
        <w:t>Interoperability design guidelines for personal health systems</w:t>
      </w:r>
      <w:r w:rsidR="00CA2D85" w:rsidRPr="00313560">
        <w:rPr>
          <w:lang w:val="en-GB"/>
        </w:rPr>
        <w:t>"</w:t>
      </w:r>
      <w:r w:rsidRPr="00313560">
        <w:rPr>
          <w:lang w:val="en-GB"/>
        </w:rPr>
        <w:t>, a transposition of the Continua Design Guidelines.</w:t>
      </w:r>
      <w:r w:rsidR="00666F7F" w:rsidRPr="00313560">
        <w:rPr>
          <w:lang w:val="en-GB"/>
        </w:rPr>
        <w:t xml:space="preserve"> The testing procedures are specified in the ITU-T H.820-H.850 sub-series of Recommendations.</w:t>
      </w:r>
    </w:p>
    <w:p w14:paraId="6EB17E71" w14:textId="5687A0A7" w:rsidR="006944F8" w:rsidRPr="00313560" w:rsidRDefault="006944F8" w:rsidP="009363BD">
      <w:pPr>
        <w:numPr>
          <w:ilvl w:val="0"/>
          <w:numId w:val="10"/>
        </w:numPr>
        <w:rPr>
          <w:lang w:val="en-GB"/>
        </w:rPr>
      </w:pPr>
      <w:r w:rsidRPr="00313560">
        <w:rPr>
          <w:b/>
          <w:bCs/>
          <w:lang w:val="en-GB"/>
        </w:rPr>
        <w:t>Mobile phones</w:t>
      </w:r>
      <w:r w:rsidRPr="00313560">
        <w:rPr>
          <w:lang w:val="en-GB"/>
        </w:rPr>
        <w:t xml:space="preserve"> compatible with Bluetooth-enabled vehicle hands-free terminals. This compatibility is determined in accordance with the </w:t>
      </w:r>
      <w:r w:rsidR="00CA2D85" w:rsidRPr="00313560">
        <w:rPr>
          <w:lang w:val="en-GB"/>
        </w:rPr>
        <w:t>'</w:t>
      </w:r>
      <w:r w:rsidRPr="00313560">
        <w:rPr>
          <w:lang w:val="en-GB"/>
        </w:rPr>
        <w:t>Chapter 12 tests</w:t>
      </w:r>
      <w:r w:rsidR="00CA2D85" w:rsidRPr="00313560">
        <w:rPr>
          <w:lang w:val="en-GB"/>
        </w:rPr>
        <w:t>'</w:t>
      </w:r>
      <w:r w:rsidRPr="00313560">
        <w:rPr>
          <w:lang w:val="en-GB"/>
        </w:rPr>
        <w:t xml:space="preserve"> (</w:t>
      </w:r>
      <w:r w:rsidR="00CA2D85" w:rsidRPr="00313560">
        <w:rPr>
          <w:lang w:val="en-GB"/>
        </w:rPr>
        <w:t>"</w:t>
      </w:r>
      <w:r w:rsidRPr="00313560">
        <w:rPr>
          <w:lang w:val="en-GB"/>
        </w:rPr>
        <w:t>Verification of the transmission performance of short-range wireless (SRW) transmission enabled phones</w:t>
      </w:r>
      <w:r w:rsidR="00CA2D85" w:rsidRPr="00313560">
        <w:rPr>
          <w:lang w:val="en-GB"/>
        </w:rPr>
        <w:t>"</w:t>
      </w:r>
      <w:r w:rsidRPr="00313560">
        <w:rPr>
          <w:lang w:val="en-GB"/>
        </w:rPr>
        <w:t>) of</w:t>
      </w:r>
      <w:r w:rsidR="00EB49EF">
        <w:rPr>
          <w:lang w:val="en-GB"/>
        </w:rPr>
        <w:t xml:space="preserve"> ITU-T P.1100 and ITU-T P.1110.</w:t>
      </w:r>
    </w:p>
    <w:p w14:paraId="2A4C98C8" w14:textId="5E44F783" w:rsidR="006944F8" w:rsidRPr="00313560" w:rsidRDefault="006944F8" w:rsidP="009363BD">
      <w:pPr>
        <w:numPr>
          <w:ilvl w:val="0"/>
          <w:numId w:val="10"/>
        </w:numPr>
        <w:rPr>
          <w:lang w:val="en-GB"/>
        </w:rPr>
      </w:pPr>
      <w:r w:rsidRPr="00313560">
        <w:rPr>
          <w:b/>
          <w:bCs/>
          <w:lang w:val="en-GB"/>
        </w:rPr>
        <w:t xml:space="preserve">Ethernet </w:t>
      </w:r>
      <w:r w:rsidRPr="00313560">
        <w:rPr>
          <w:lang w:val="en-GB"/>
        </w:rPr>
        <w:t xml:space="preserve">products complying with ITU-T G.8011/Y.1307 </w:t>
      </w:r>
      <w:r w:rsidR="00CA2D85" w:rsidRPr="00313560">
        <w:rPr>
          <w:lang w:val="en-GB"/>
        </w:rPr>
        <w:t>"</w:t>
      </w:r>
      <w:r w:rsidRPr="00313560">
        <w:rPr>
          <w:lang w:val="en-GB"/>
        </w:rPr>
        <w:t>Ethernet Services Characteristics</w:t>
      </w:r>
      <w:r w:rsidR="00CA2D85" w:rsidRPr="00313560">
        <w:rPr>
          <w:lang w:val="en-GB"/>
        </w:rPr>
        <w:t>"</w:t>
      </w:r>
      <w:r w:rsidRPr="00313560">
        <w:rPr>
          <w:lang w:val="en-GB"/>
        </w:rPr>
        <w:t>. This standard as well as the corresponding tests are based on the work of MEF (formerly called Metro Ethernet Forum).</w:t>
      </w:r>
    </w:p>
    <w:p w14:paraId="1771C3E6" w14:textId="46C0F409" w:rsidR="004C20A0" w:rsidRPr="00313560" w:rsidRDefault="005C1FE3" w:rsidP="009363BD">
      <w:pPr>
        <w:numPr>
          <w:ilvl w:val="0"/>
          <w:numId w:val="10"/>
        </w:numPr>
        <w:rPr>
          <w:lang w:val="en-GB"/>
        </w:rPr>
      </w:pPr>
      <w:r w:rsidRPr="00313560">
        <w:rPr>
          <w:b/>
          <w:szCs w:val="22"/>
          <w:lang w:val="en-GB"/>
        </w:rPr>
        <w:t>IPTV system</w:t>
      </w:r>
      <w:r w:rsidR="004C20A0" w:rsidRPr="00313560">
        <w:rPr>
          <w:b/>
          <w:szCs w:val="22"/>
          <w:lang w:val="en-GB"/>
        </w:rPr>
        <w:t>s</w:t>
      </w:r>
      <w:r w:rsidRPr="00313560">
        <w:rPr>
          <w:szCs w:val="22"/>
          <w:lang w:val="en-GB"/>
        </w:rPr>
        <w:t xml:space="preserve"> compatible with ITU-T H.721 </w:t>
      </w:r>
      <w:r w:rsidR="00CA2D85" w:rsidRPr="00313560">
        <w:rPr>
          <w:szCs w:val="22"/>
          <w:lang w:val="en-GB"/>
        </w:rPr>
        <w:t>"</w:t>
      </w:r>
      <w:r w:rsidRPr="00313560">
        <w:rPr>
          <w:szCs w:val="22"/>
          <w:lang w:val="en-GB"/>
        </w:rPr>
        <w:t>IPTV terminal devices: Basic model</w:t>
      </w:r>
      <w:r w:rsidR="00CA2D85" w:rsidRPr="00313560">
        <w:rPr>
          <w:szCs w:val="22"/>
          <w:lang w:val="en-GB"/>
        </w:rPr>
        <w:t>"</w:t>
      </w:r>
      <w:r w:rsidRPr="00313560">
        <w:rPr>
          <w:szCs w:val="22"/>
          <w:lang w:val="en-GB"/>
        </w:rPr>
        <w:t xml:space="preserve"> and ITU-T H.702 </w:t>
      </w:r>
      <w:r w:rsidR="00CA2D85" w:rsidRPr="00313560">
        <w:rPr>
          <w:szCs w:val="22"/>
          <w:lang w:val="en-GB"/>
        </w:rPr>
        <w:t>"</w:t>
      </w:r>
      <w:r w:rsidRPr="00313560">
        <w:rPr>
          <w:szCs w:val="22"/>
          <w:lang w:val="en-GB"/>
        </w:rPr>
        <w:t>Accessibility profiles for IPTV systems</w:t>
      </w:r>
      <w:r w:rsidR="00CA2D85" w:rsidRPr="00313560">
        <w:rPr>
          <w:szCs w:val="22"/>
          <w:lang w:val="en-GB"/>
        </w:rPr>
        <w:t>"</w:t>
      </w:r>
      <w:r w:rsidR="004C20A0" w:rsidRPr="00313560">
        <w:rPr>
          <w:szCs w:val="22"/>
          <w:lang w:val="en-GB"/>
        </w:rPr>
        <w:t xml:space="preserve">, </w:t>
      </w:r>
      <w:r w:rsidR="004C20A0" w:rsidRPr="00313560">
        <w:rPr>
          <w:lang w:val="en-GB"/>
        </w:rPr>
        <w:t xml:space="preserve">tested to </w:t>
      </w:r>
      <w:hyperlink r:id="rId103" w:history="1">
        <w:r w:rsidR="004C20A0" w:rsidRPr="00313560">
          <w:rPr>
            <w:rStyle w:val="Hyperlink"/>
            <w:rFonts w:asciiTheme="majorBidi" w:eastAsia="Batang" w:hAnsiTheme="majorBidi" w:cstheme="majorBidi"/>
            <w:lang w:val="en-GB"/>
          </w:rPr>
          <w:t>HSTP-CONF-H721</w:t>
        </w:r>
      </w:hyperlink>
      <w:r w:rsidR="004C20A0" w:rsidRPr="00313560">
        <w:rPr>
          <w:rFonts w:asciiTheme="majorBidi" w:hAnsiTheme="majorBidi" w:cstheme="majorBidi"/>
          <w:lang w:val="en-GB"/>
        </w:rPr>
        <w:t xml:space="preserve"> </w:t>
      </w:r>
      <w:r w:rsidR="004C20A0" w:rsidRPr="00313560">
        <w:rPr>
          <w:rFonts w:asciiTheme="majorBidi" w:hAnsiTheme="majorBidi" w:cstheme="majorBidi"/>
          <w:szCs w:val="24"/>
          <w:lang w:val="en-GB"/>
        </w:rPr>
        <w:t xml:space="preserve">and </w:t>
      </w:r>
      <w:hyperlink r:id="rId104" w:history="1">
        <w:r w:rsidR="004C20A0" w:rsidRPr="00313560">
          <w:rPr>
            <w:rStyle w:val="Hyperlink"/>
            <w:rFonts w:asciiTheme="majorBidi" w:eastAsia="Batang" w:hAnsiTheme="majorBidi" w:cstheme="majorBidi"/>
            <w:szCs w:val="24"/>
            <w:lang w:val="en-GB"/>
          </w:rPr>
          <w:t>HSTP-CONF-H702</w:t>
        </w:r>
      </w:hyperlink>
      <w:r w:rsidR="004C20A0" w:rsidRPr="00313560">
        <w:rPr>
          <w:rStyle w:val="Hyperlink"/>
          <w:rFonts w:asciiTheme="majorBidi" w:eastAsia="Batang" w:hAnsiTheme="majorBidi" w:cstheme="majorBidi"/>
          <w:szCs w:val="24"/>
          <w:lang w:val="en-GB"/>
        </w:rPr>
        <w:t>.</w:t>
      </w:r>
    </w:p>
    <w:p w14:paraId="7DDC8B53" w14:textId="63463E1B" w:rsidR="006944F8" w:rsidRPr="00313560" w:rsidRDefault="006944F8" w:rsidP="009363BD">
      <w:pPr>
        <w:numPr>
          <w:ilvl w:val="0"/>
          <w:numId w:val="10"/>
        </w:numPr>
        <w:rPr>
          <w:lang w:val="en-GB"/>
        </w:rPr>
      </w:pPr>
      <w:r w:rsidRPr="00313560">
        <w:rPr>
          <w:b/>
          <w:lang w:val="en-GB"/>
        </w:rPr>
        <w:t>Mobile Number Portability (MNP)</w:t>
      </w:r>
      <w:r w:rsidRPr="00313560">
        <w:rPr>
          <w:lang w:val="en-GB"/>
        </w:rPr>
        <w:t xml:space="preserve"> </w:t>
      </w:r>
      <w:r w:rsidR="004C20A0" w:rsidRPr="00313560">
        <w:rPr>
          <w:lang w:val="en-GB"/>
        </w:rPr>
        <w:t xml:space="preserve">systems </w:t>
      </w:r>
      <w:r w:rsidR="005C1FE3" w:rsidRPr="00313560">
        <w:rPr>
          <w:szCs w:val="22"/>
          <w:lang w:val="en-GB"/>
        </w:rPr>
        <w:t xml:space="preserve">compatible with ITU-T </w:t>
      </w:r>
      <w:proofErr w:type="spellStart"/>
      <w:proofErr w:type="gramStart"/>
      <w:r w:rsidR="005C1FE3" w:rsidRPr="00313560">
        <w:rPr>
          <w:szCs w:val="22"/>
          <w:lang w:val="en-GB"/>
        </w:rPr>
        <w:t>Q.Supplement</w:t>
      </w:r>
      <w:proofErr w:type="spellEnd"/>
      <w:proofErr w:type="gramEnd"/>
      <w:r w:rsidR="005C1FE3" w:rsidRPr="00313560">
        <w:rPr>
          <w:szCs w:val="22"/>
          <w:lang w:val="en-GB"/>
        </w:rPr>
        <w:t xml:space="preserve"> 4 </w:t>
      </w:r>
      <w:r w:rsidR="00CA2D85" w:rsidRPr="00313560">
        <w:rPr>
          <w:szCs w:val="22"/>
          <w:lang w:val="en-GB"/>
        </w:rPr>
        <w:t>"</w:t>
      </w:r>
      <w:r w:rsidR="005C1FE3" w:rsidRPr="00313560">
        <w:rPr>
          <w:szCs w:val="22"/>
          <w:lang w:val="en-GB"/>
        </w:rPr>
        <w:t>Number portability – Capability set 1 requirements for service provider portability (All call query and Onward routing)</w:t>
      </w:r>
      <w:r w:rsidR="00CA2D85" w:rsidRPr="00313560">
        <w:rPr>
          <w:szCs w:val="22"/>
          <w:lang w:val="en-GB"/>
        </w:rPr>
        <w:t>"</w:t>
      </w:r>
      <w:r w:rsidR="004C20A0" w:rsidRPr="00313560">
        <w:rPr>
          <w:szCs w:val="22"/>
          <w:lang w:val="en-GB"/>
        </w:rPr>
        <w:t xml:space="preserve">, tested to </w:t>
      </w:r>
      <w:r w:rsidR="005C1FE3" w:rsidRPr="00313560">
        <w:rPr>
          <w:szCs w:val="22"/>
          <w:lang w:val="en-GB"/>
        </w:rPr>
        <w:t>ITU-T Q.3905.</w:t>
      </w:r>
    </w:p>
    <w:p w14:paraId="2B849DA0" w14:textId="7F0C9E3A" w:rsidR="006944F8" w:rsidRPr="001615CC" w:rsidRDefault="00D64AF8" w:rsidP="00C1421E">
      <w:pPr>
        <w:pStyle w:val="Heading1"/>
      </w:pPr>
      <w:bookmarkStart w:id="69" w:name="_Toc438553988"/>
      <w:bookmarkStart w:id="70" w:name="_Toc453929112"/>
      <w:bookmarkStart w:id="71" w:name="_Toc453932983"/>
      <w:bookmarkStart w:id="72" w:name="_Toc454295889"/>
      <w:bookmarkStart w:id="73" w:name="_Toc462664270"/>
      <w:bookmarkStart w:id="74" w:name="_Toc480527824"/>
      <w:bookmarkStart w:id="75" w:name="_Toc31967144"/>
      <w:bookmarkStart w:id="76" w:name="_Toc416161354"/>
      <w:bookmarkStart w:id="77" w:name="_Toc438553977"/>
      <w:bookmarkStart w:id="78" w:name="_Toc453929096"/>
      <w:bookmarkStart w:id="79" w:name="_Toc453932967"/>
      <w:bookmarkStart w:id="80" w:name="_Toc454295873"/>
      <w:bookmarkStart w:id="81" w:name="_Toc462664237"/>
      <w:bookmarkEnd w:id="59"/>
      <w:bookmarkEnd w:id="60"/>
      <w:bookmarkEnd w:id="61"/>
      <w:bookmarkEnd w:id="65"/>
      <w:bookmarkEnd w:id="66"/>
      <w:bookmarkEnd w:id="67"/>
      <w:bookmarkEnd w:id="68"/>
      <w:r w:rsidRPr="001615CC">
        <w:rPr>
          <w:rFonts w:eastAsiaTheme="minorEastAsia"/>
        </w:rPr>
        <w:t>3</w:t>
      </w:r>
      <w:r w:rsidR="006944F8" w:rsidRPr="001615CC">
        <w:rPr>
          <w:rFonts w:eastAsiaTheme="minorEastAsia"/>
        </w:rPr>
        <w:tab/>
      </w:r>
      <w:r w:rsidR="003F40B4" w:rsidRPr="001615CC">
        <w:rPr>
          <w:rFonts w:eastAsiaTheme="minorEastAsia"/>
        </w:rPr>
        <w:t>Accessible ITU-T meetings</w:t>
      </w:r>
      <w:bookmarkEnd w:id="69"/>
      <w:bookmarkEnd w:id="70"/>
      <w:bookmarkEnd w:id="71"/>
      <w:bookmarkEnd w:id="72"/>
      <w:bookmarkEnd w:id="73"/>
      <w:bookmarkEnd w:id="74"/>
      <w:bookmarkEnd w:id="75"/>
    </w:p>
    <w:p w14:paraId="2365D2FE" w14:textId="77777777" w:rsidR="006944F8" w:rsidRPr="007F20DF" w:rsidRDefault="006944F8" w:rsidP="006944F8">
      <w:pPr>
        <w:rPr>
          <w:lang w:val="en-GB"/>
        </w:rPr>
      </w:pPr>
      <w:r w:rsidRPr="007F20DF">
        <w:rPr>
          <w:lang w:val="en-GB"/>
        </w:rPr>
        <w:t>ITU-T provides services such as sign-language interpretation and captioning, and financial support in some cases, to engage persons with disabilities in the ITU-T standardization process.</w:t>
      </w:r>
    </w:p>
    <w:p w14:paraId="6D2E1304" w14:textId="4AFB8551" w:rsidR="00027C0F" w:rsidRPr="007F20DF" w:rsidRDefault="00027C0F" w:rsidP="00027C0F">
      <w:pPr>
        <w:rPr>
          <w:lang w:val="en-GB"/>
        </w:rPr>
      </w:pPr>
      <w:r w:rsidRPr="007F20DF">
        <w:rPr>
          <w:lang w:val="en-GB"/>
        </w:rPr>
        <w:t xml:space="preserve">British Sign Language (BSL) and real-time captioning were provided for Q26/16 during </w:t>
      </w:r>
      <w:r w:rsidR="00A42763" w:rsidRPr="007F20DF">
        <w:rPr>
          <w:lang w:val="en-GB"/>
        </w:rPr>
        <w:t xml:space="preserve">the </w:t>
      </w:r>
      <w:r w:rsidR="00D05D5F">
        <w:rPr>
          <w:lang w:val="en-GB"/>
        </w:rPr>
        <w:t xml:space="preserve">ITU-T </w:t>
      </w:r>
      <w:r w:rsidRPr="007F20DF">
        <w:rPr>
          <w:lang w:val="en-GB"/>
        </w:rPr>
        <w:t xml:space="preserve">SG16 meeting in </w:t>
      </w:r>
      <w:r w:rsidR="00377347" w:rsidRPr="007F20DF">
        <w:rPr>
          <w:lang w:val="en-GB"/>
        </w:rPr>
        <w:t>October</w:t>
      </w:r>
      <w:r w:rsidRPr="007F20DF">
        <w:rPr>
          <w:lang w:val="en-GB"/>
        </w:rPr>
        <w:t xml:space="preserve"> 2019</w:t>
      </w:r>
      <w:r w:rsidR="00D05D5F">
        <w:rPr>
          <w:lang w:val="en-GB"/>
        </w:rPr>
        <w:t xml:space="preserve">, </w:t>
      </w:r>
      <w:r w:rsidR="00A42763" w:rsidRPr="007F20DF">
        <w:rPr>
          <w:lang w:val="en-GB"/>
        </w:rPr>
        <w:t>the</w:t>
      </w:r>
      <w:r w:rsidRPr="007F20DF">
        <w:rPr>
          <w:lang w:val="en-GB"/>
        </w:rPr>
        <w:t xml:space="preserve"> </w:t>
      </w:r>
      <w:hyperlink r:id="rId105" w:history="1">
        <w:r w:rsidR="00377347" w:rsidRPr="007F20DF">
          <w:rPr>
            <w:rStyle w:val="Hyperlink"/>
            <w:lang w:val="en-GB"/>
          </w:rPr>
          <w:t>IRG-AVA</w:t>
        </w:r>
      </w:hyperlink>
      <w:r w:rsidR="00377347" w:rsidRPr="007F20DF">
        <w:rPr>
          <w:lang w:val="en-GB"/>
        </w:rPr>
        <w:t xml:space="preserve"> meeting on 10 October 2019</w:t>
      </w:r>
      <w:r w:rsidR="00D05D5F">
        <w:rPr>
          <w:lang w:val="en-GB"/>
        </w:rPr>
        <w:t>,</w:t>
      </w:r>
      <w:r w:rsidRPr="007F20DF">
        <w:rPr>
          <w:lang w:val="en-GB"/>
        </w:rPr>
        <w:t xml:space="preserve"> and</w:t>
      </w:r>
      <w:r w:rsidR="00A42763" w:rsidRPr="007F20DF">
        <w:rPr>
          <w:lang w:val="en-GB"/>
        </w:rPr>
        <w:t xml:space="preserve"> the</w:t>
      </w:r>
      <w:r w:rsidRPr="007F20DF">
        <w:rPr>
          <w:lang w:val="en-GB"/>
        </w:rPr>
        <w:t xml:space="preserve"> </w:t>
      </w:r>
      <w:hyperlink r:id="rId106" w:history="1">
        <w:r w:rsidRPr="007F20DF">
          <w:rPr>
            <w:rStyle w:val="Hyperlink"/>
            <w:rFonts w:asciiTheme="majorBidi" w:hAnsiTheme="majorBidi" w:cstheme="majorBidi"/>
            <w:lang w:val="en-GB"/>
          </w:rPr>
          <w:t>JCA-AHF</w:t>
        </w:r>
      </w:hyperlink>
      <w:r w:rsidRPr="007F20DF">
        <w:rPr>
          <w:lang w:val="en-GB"/>
        </w:rPr>
        <w:t xml:space="preserve"> meeting</w:t>
      </w:r>
      <w:r w:rsidR="00A42763" w:rsidRPr="007F20DF">
        <w:rPr>
          <w:lang w:val="en-GB"/>
        </w:rPr>
        <w:t xml:space="preserve"> on </w:t>
      </w:r>
      <w:r w:rsidRPr="007F20DF">
        <w:rPr>
          <w:lang w:val="en-GB"/>
        </w:rPr>
        <w:t xml:space="preserve">11 </w:t>
      </w:r>
      <w:r w:rsidR="00377347" w:rsidRPr="007F20DF">
        <w:rPr>
          <w:lang w:val="en-GB"/>
        </w:rPr>
        <w:t>October</w:t>
      </w:r>
      <w:r w:rsidRPr="007F20DF">
        <w:rPr>
          <w:lang w:val="en-GB"/>
        </w:rPr>
        <w:t xml:space="preserve"> 2019.</w:t>
      </w:r>
    </w:p>
    <w:p w14:paraId="1B9C8381" w14:textId="74E33075" w:rsidR="00027C0F" w:rsidRPr="00656355" w:rsidRDefault="00377347" w:rsidP="00027C0F">
      <w:pPr>
        <w:rPr>
          <w:highlight w:val="yellow"/>
          <w:lang w:val="en-GB"/>
        </w:rPr>
      </w:pPr>
      <w:r w:rsidRPr="007F20DF">
        <w:rPr>
          <w:lang w:val="en-GB"/>
        </w:rPr>
        <w:t xml:space="preserve">TSB </w:t>
      </w:r>
      <w:r w:rsidR="00A012B5">
        <w:rPr>
          <w:lang w:val="en-GB"/>
        </w:rPr>
        <w:t xml:space="preserve">led the </w:t>
      </w:r>
      <w:r w:rsidRPr="007F20DF">
        <w:rPr>
          <w:lang w:val="en-GB"/>
        </w:rPr>
        <w:t>organiz</w:t>
      </w:r>
      <w:r w:rsidR="00A012B5">
        <w:rPr>
          <w:lang w:val="en-GB"/>
        </w:rPr>
        <w:t xml:space="preserve">ation of </w:t>
      </w:r>
      <w:r w:rsidRPr="007F20DF">
        <w:rPr>
          <w:lang w:val="en-GB"/>
        </w:rPr>
        <w:t xml:space="preserve">a </w:t>
      </w:r>
      <w:hyperlink r:id="rId107" w:history="1">
        <w:r w:rsidRPr="007F20DF">
          <w:rPr>
            <w:rStyle w:val="Hyperlink"/>
            <w:lang w:val="en-GB"/>
          </w:rPr>
          <w:t>webinar</w:t>
        </w:r>
        <w:r w:rsidRPr="00F4453F">
          <w:rPr>
            <w:rStyle w:val="Hyperlink"/>
            <w:lang w:val="en-GB"/>
          </w:rPr>
          <w:t xml:space="preserve"> on e-accessibility for e-business</w:t>
        </w:r>
      </w:hyperlink>
      <w:r w:rsidRPr="00377347">
        <w:rPr>
          <w:lang w:val="en-GB"/>
        </w:rPr>
        <w:t xml:space="preserve"> on 21 October 2019 at the request of the Management Group of the Memorandum of Understanding on electronic business between IEC, ISO, ITU and UNECE. </w:t>
      </w:r>
      <w:r w:rsidR="00F4453F">
        <w:rPr>
          <w:lang w:val="en-GB"/>
        </w:rPr>
        <w:t>Rea</w:t>
      </w:r>
      <w:r w:rsidR="00EB49EF">
        <w:rPr>
          <w:lang w:val="en-GB"/>
        </w:rPr>
        <w:t>l-time captioning was provided.</w:t>
      </w:r>
    </w:p>
    <w:p w14:paraId="6D2F5E65" w14:textId="437B52D9" w:rsidR="006944F8" w:rsidRPr="001615CC" w:rsidRDefault="00D64AF8" w:rsidP="006944F8">
      <w:pPr>
        <w:pStyle w:val="Heading1"/>
        <w:rPr>
          <w:rFonts w:eastAsiaTheme="minorEastAsia"/>
        </w:rPr>
      </w:pPr>
      <w:bookmarkStart w:id="82" w:name="_Toc480527828"/>
      <w:bookmarkStart w:id="83" w:name="_Toc31967145"/>
      <w:r w:rsidRPr="001615CC">
        <w:rPr>
          <w:rFonts w:eastAsiaTheme="minorEastAsia"/>
        </w:rPr>
        <w:t>4</w:t>
      </w:r>
      <w:r w:rsidR="006944F8" w:rsidRPr="001615CC">
        <w:rPr>
          <w:rFonts w:eastAsiaTheme="minorEastAsia"/>
        </w:rPr>
        <w:tab/>
        <w:t>Intellectual property rights</w:t>
      </w:r>
      <w:bookmarkEnd w:id="76"/>
      <w:bookmarkEnd w:id="77"/>
      <w:bookmarkEnd w:id="78"/>
      <w:bookmarkEnd w:id="79"/>
      <w:bookmarkEnd w:id="80"/>
      <w:bookmarkEnd w:id="81"/>
      <w:bookmarkEnd w:id="82"/>
      <w:bookmarkEnd w:id="83"/>
    </w:p>
    <w:p w14:paraId="7369A933" w14:textId="5AA9797C" w:rsidR="006944F8" w:rsidRPr="00656355" w:rsidRDefault="006944F8" w:rsidP="006944F8">
      <w:pPr>
        <w:rPr>
          <w:highlight w:val="yellow"/>
          <w:lang w:val="en-GB"/>
        </w:rPr>
      </w:pPr>
      <w:r w:rsidRPr="001759E6">
        <w:rPr>
          <w:lang w:val="en-GB"/>
        </w:rPr>
        <w:t xml:space="preserve">The </w:t>
      </w:r>
      <w:hyperlink r:id="rId108" w:history="1">
        <w:r w:rsidRPr="001759E6">
          <w:rPr>
            <w:rStyle w:val="Hyperlink"/>
            <w:rFonts w:asciiTheme="majorBidi" w:hAnsiTheme="majorBidi" w:cstheme="majorBidi"/>
            <w:lang w:val="en-GB"/>
          </w:rPr>
          <w:t>TSB Director</w:t>
        </w:r>
        <w:r w:rsidR="00CA2D85" w:rsidRPr="001759E6">
          <w:rPr>
            <w:rStyle w:val="Hyperlink"/>
            <w:rFonts w:asciiTheme="majorBidi" w:hAnsiTheme="majorBidi" w:cstheme="majorBidi"/>
            <w:lang w:val="en-GB"/>
          </w:rPr>
          <w:t>'</w:t>
        </w:r>
        <w:r w:rsidRPr="001759E6">
          <w:rPr>
            <w:rStyle w:val="Hyperlink"/>
            <w:rFonts w:asciiTheme="majorBidi" w:hAnsiTheme="majorBidi" w:cstheme="majorBidi"/>
            <w:lang w:val="en-GB"/>
          </w:rPr>
          <w:t>s Ad Hoc Group on Intellectual Property Rights (IPR AHG)</w:t>
        </w:r>
      </w:hyperlink>
      <w:r w:rsidRPr="001759E6">
        <w:rPr>
          <w:lang w:val="en-GB"/>
        </w:rPr>
        <w:t xml:space="preserve"> continues its work to protect the integrity of the standards-development process by clarifying aspects of the </w:t>
      </w:r>
      <w:hyperlink r:id="rId109" w:history="1">
        <w:r w:rsidRPr="001759E6">
          <w:rPr>
            <w:rStyle w:val="Hyperlink"/>
            <w:rFonts w:asciiTheme="majorBidi" w:hAnsiTheme="majorBidi" w:cstheme="majorBidi"/>
            <w:lang w:val="en-GB"/>
          </w:rPr>
          <w:t>ITU-R/ITU-T/ISO/IEC Patent Policy and related Guidelines</w:t>
        </w:r>
      </w:hyperlink>
      <w:r w:rsidRPr="001759E6">
        <w:rPr>
          <w:lang w:val="en-GB"/>
        </w:rPr>
        <w:t xml:space="preserve"> – the Union</w:t>
      </w:r>
      <w:r w:rsidR="00CA2D85" w:rsidRPr="001759E6">
        <w:rPr>
          <w:lang w:val="en-GB"/>
        </w:rPr>
        <w:t>'</w:t>
      </w:r>
      <w:r w:rsidRPr="001759E6">
        <w:rPr>
          <w:lang w:val="en-GB"/>
        </w:rPr>
        <w:t xml:space="preserve">s main tool to manage the challenges associated with the incorporation of patents in </w:t>
      </w:r>
      <w:hyperlink r:id="rId110" w:history="1">
        <w:r w:rsidRPr="001759E6">
          <w:rPr>
            <w:rStyle w:val="Hyperlink"/>
            <w:rFonts w:asciiTheme="majorBidi" w:hAnsiTheme="majorBidi" w:cstheme="majorBidi"/>
            <w:lang w:val="en-GB"/>
          </w:rPr>
          <w:t>ITU-T and ITU-R Recommendations</w:t>
        </w:r>
      </w:hyperlink>
      <w:bookmarkStart w:id="84" w:name="_10.1_TSB_Director's"/>
      <w:bookmarkEnd w:id="84"/>
      <w:r w:rsidRPr="001759E6">
        <w:rPr>
          <w:lang w:val="en-GB"/>
        </w:rPr>
        <w:t xml:space="preserve">. </w:t>
      </w:r>
      <w:r w:rsidR="00A42763" w:rsidRPr="001759E6">
        <w:rPr>
          <w:lang w:val="en-GB"/>
        </w:rPr>
        <w:t xml:space="preserve">IPR AHG met at </w:t>
      </w:r>
      <w:r w:rsidRPr="001759E6">
        <w:rPr>
          <w:lang w:val="en-GB"/>
        </w:rPr>
        <w:t xml:space="preserve">ITU </w:t>
      </w:r>
      <w:r w:rsidR="00A23389" w:rsidRPr="001759E6">
        <w:rPr>
          <w:lang w:val="en-GB"/>
        </w:rPr>
        <w:t xml:space="preserve">headquarters </w:t>
      </w:r>
      <w:r w:rsidRPr="001759E6">
        <w:rPr>
          <w:lang w:val="en-GB"/>
        </w:rPr>
        <w:t>in Geneva, 28 January 201</w:t>
      </w:r>
      <w:r w:rsidR="00A42763" w:rsidRPr="001759E6">
        <w:rPr>
          <w:lang w:val="en-GB"/>
        </w:rPr>
        <w:t xml:space="preserve">9, </w:t>
      </w:r>
      <w:r w:rsidR="00584816">
        <w:rPr>
          <w:lang w:val="en-GB"/>
        </w:rPr>
        <w:t>and has continued meeting by conference call to address IPR issues related to A-Series Recommendations. All</w:t>
      </w:r>
      <w:r w:rsidR="001F2C82" w:rsidRPr="001759E6">
        <w:rPr>
          <w:lang w:val="en-GB"/>
        </w:rPr>
        <w:t xml:space="preserve"> meet</w:t>
      </w:r>
      <w:r w:rsidR="006C1CAD" w:rsidRPr="001759E6">
        <w:rPr>
          <w:lang w:val="en-GB"/>
        </w:rPr>
        <w:t>i</w:t>
      </w:r>
      <w:r w:rsidR="001F2C82" w:rsidRPr="001759E6">
        <w:rPr>
          <w:lang w:val="en-GB"/>
        </w:rPr>
        <w:t>ng report</w:t>
      </w:r>
      <w:r w:rsidR="00584816">
        <w:rPr>
          <w:lang w:val="en-GB"/>
        </w:rPr>
        <w:t>s</w:t>
      </w:r>
      <w:r w:rsidR="001F2C82" w:rsidRPr="001759E6">
        <w:rPr>
          <w:lang w:val="en-GB"/>
        </w:rPr>
        <w:t xml:space="preserve"> can be found on the IPR AHG website at </w:t>
      </w:r>
      <w:hyperlink r:id="rId111" w:history="1">
        <w:r w:rsidR="00CA2D85" w:rsidRPr="001759E6">
          <w:rPr>
            <w:rStyle w:val="Hyperlink"/>
            <w:lang w:val="en-GB"/>
          </w:rPr>
          <w:t>https://itu.int/en/ITU-T/ipr/Pages/adhoc.aspx</w:t>
        </w:r>
      </w:hyperlink>
      <w:r w:rsidR="00EB49EF">
        <w:rPr>
          <w:lang w:val="en-GB"/>
        </w:rPr>
        <w:t>.</w:t>
      </w:r>
    </w:p>
    <w:p w14:paraId="0BDAECC9" w14:textId="1240C990" w:rsidR="006944F8" w:rsidRPr="001615CC" w:rsidRDefault="00D64AF8" w:rsidP="006944F8">
      <w:pPr>
        <w:pStyle w:val="Heading1"/>
      </w:pPr>
      <w:bookmarkStart w:id="85" w:name="_Toc480527831"/>
      <w:bookmarkStart w:id="86" w:name="_Toc31967146"/>
      <w:bookmarkStart w:id="87" w:name="_Toc438553939"/>
      <w:bookmarkStart w:id="88" w:name="_Toc453929065"/>
      <w:bookmarkStart w:id="89" w:name="_Toc453932937"/>
      <w:bookmarkStart w:id="90" w:name="_Toc454295841"/>
      <w:r w:rsidRPr="001615CC">
        <w:rPr>
          <w:rFonts w:eastAsiaTheme="minorEastAsia"/>
        </w:rPr>
        <w:lastRenderedPageBreak/>
        <w:t>5</w:t>
      </w:r>
      <w:r w:rsidR="006944F8" w:rsidRPr="001615CC">
        <w:rPr>
          <w:rFonts w:eastAsiaTheme="minorEastAsia"/>
        </w:rPr>
        <w:tab/>
      </w:r>
      <w:r w:rsidR="006944F8" w:rsidRPr="001615CC">
        <w:t>ITU-T Focus Groups: Exploring new directions in ITU standardization</w:t>
      </w:r>
      <w:bookmarkEnd w:id="85"/>
      <w:bookmarkEnd w:id="86"/>
    </w:p>
    <w:p w14:paraId="68BAA4AC" w14:textId="2B1F29B7" w:rsidR="006944F8" w:rsidRPr="00777CB4" w:rsidRDefault="006944F8" w:rsidP="006944F8">
      <w:pPr>
        <w:rPr>
          <w:lang w:val="en-GB"/>
        </w:rPr>
      </w:pPr>
      <w:r w:rsidRPr="00777CB4">
        <w:rPr>
          <w:lang w:val="en-GB"/>
        </w:rPr>
        <w:t xml:space="preserve">Focus Groups are formed in response to immediate ICT standardization demands, tasked with establishing the basis for subsequent standardization work in ITU-T </w:t>
      </w:r>
      <w:r w:rsidR="00F1765F">
        <w:rPr>
          <w:lang w:val="en-GB"/>
        </w:rPr>
        <w:t>SG</w:t>
      </w:r>
      <w:r w:rsidRPr="00777CB4">
        <w:rPr>
          <w:lang w:val="en-GB"/>
        </w:rPr>
        <w:t>s. These groups are the place to explore new directions in ITU standardization. Focus Groups are open to ITU members as well as organizations outside ITU</w:t>
      </w:r>
      <w:r w:rsidR="00CA2D85" w:rsidRPr="00777CB4">
        <w:rPr>
          <w:lang w:val="en-GB"/>
        </w:rPr>
        <w:t>'</w:t>
      </w:r>
      <w:r w:rsidRPr="00777CB4">
        <w:rPr>
          <w:lang w:val="en-GB"/>
        </w:rPr>
        <w:t>s membership</w:t>
      </w:r>
      <w:r w:rsidR="00A42763" w:rsidRPr="00777CB4">
        <w:rPr>
          <w:lang w:val="en-GB"/>
        </w:rPr>
        <w:t>. T</w:t>
      </w:r>
      <w:r w:rsidRPr="00777CB4">
        <w:rPr>
          <w:lang w:val="en-GB"/>
        </w:rPr>
        <w:t>hese groups are afforded great flexibility in their chosen deliverables and working methods.</w:t>
      </w:r>
    </w:p>
    <w:p w14:paraId="5B4C4987" w14:textId="61BAA7F7" w:rsidR="006944F8" w:rsidRPr="001615CC" w:rsidRDefault="00D64AF8" w:rsidP="006944F8">
      <w:pPr>
        <w:pStyle w:val="Heading2"/>
      </w:pPr>
      <w:bookmarkStart w:id="91" w:name="_Toc31967147"/>
      <w:bookmarkStart w:id="92" w:name="_Toc480527833"/>
      <w:bookmarkEnd w:id="87"/>
      <w:bookmarkEnd w:id="88"/>
      <w:bookmarkEnd w:id="89"/>
      <w:bookmarkEnd w:id="90"/>
      <w:r w:rsidRPr="001615CC">
        <w:t>5</w:t>
      </w:r>
      <w:r w:rsidR="006944F8" w:rsidRPr="001615CC">
        <w:t>.1</w:t>
      </w:r>
      <w:r w:rsidR="006944F8" w:rsidRPr="001615CC">
        <w:tab/>
      </w:r>
      <w:r w:rsidR="001615CC" w:rsidRPr="001615CC">
        <w:t>Quantum Information Technologies for Networks</w:t>
      </w:r>
      <w:bookmarkEnd w:id="91"/>
    </w:p>
    <w:p w14:paraId="40831F31" w14:textId="2234283B" w:rsidR="001615CC" w:rsidRDefault="001615CC" w:rsidP="00510575">
      <w:pPr>
        <w:tabs>
          <w:tab w:val="clear" w:pos="794"/>
          <w:tab w:val="clear" w:pos="1191"/>
          <w:tab w:val="clear" w:pos="1588"/>
          <w:tab w:val="clear" w:pos="1985"/>
        </w:tabs>
        <w:overflowPunct/>
        <w:autoSpaceDE/>
        <w:autoSpaceDN/>
        <w:adjustRightInd/>
        <w:spacing w:after="120"/>
        <w:textAlignment w:val="auto"/>
        <w:rPr>
          <w:rStyle w:val="Strong"/>
          <w:b w:val="0"/>
          <w:szCs w:val="24"/>
        </w:rPr>
      </w:pPr>
      <w:r w:rsidRPr="001615CC">
        <w:rPr>
          <w:szCs w:val="24"/>
          <w:lang w:val="en-GB" w:eastAsia="en-GB"/>
        </w:rPr>
        <w:t xml:space="preserve">The </w:t>
      </w:r>
      <w:hyperlink r:id="rId112" w:history="1">
        <w:r w:rsidRPr="001703C7">
          <w:rPr>
            <w:rStyle w:val="Hyperlink"/>
            <w:bCs/>
            <w:szCs w:val="24"/>
          </w:rPr>
          <w:t>ITU-T Focus Group on Quantum Information Technology for Networks (FG-QIT4N)</w:t>
        </w:r>
      </w:hyperlink>
      <w:r w:rsidRPr="001703C7">
        <w:rPr>
          <w:rStyle w:val="Strong"/>
          <w:b w:val="0"/>
          <w:szCs w:val="24"/>
        </w:rPr>
        <w:t xml:space="preserve"> </w:t>
      </w:r>
      <w:r w:rsidR="00D119F7">
        <w:rPr>
          <w:rStyle w:val="Strong"/>
          <w:b w:val="0"/>
          <w:szCs w:val="24"/>
        </w:rPr>
        <w:t xml:space="preserve">is </w:t>
      </w:r>
      <w:r w:rsidR="00D119F7" w:rsidRPr="00D119F7">
        <w:rPr>
          <w:rStyle w:val="Strong"/>
          <w:b w:val="0"/>
          <w:szCs w:val="24"/>
        </w:rPr>
        <w:t>study</w:t>
      </w:r>
      <w:r w:rsidR="00D119F7">
        <w:rPr>
          <w:rStyle w:val="Strong"/>
          <w:b w:val="0"/>
          <w:szCs w:val="24"/>
        </w:rPr>
        <w:t>ing</w:t>
      </w:r>
      <w:r w:rsidR="00D119F7" w:rsidRPr="00D119F7">
        <w:rPr>
          <w:rStyle w:val="Strong"/>
          <w:b w:val="0"/>
          <w:szCs w:val="24"/>
        </w:rPr>
        <w:t xml:space="preserve"> the evolution of quantum information technologies in view of their foreseen applications in ICT networks.</w:t>
      </w:r>
      <w:r w:rsidR="00D119F7">
        <w:rPr>
          <w:rStyle w:val="Strong"/>
          <w:b w:val="0"/>
          <w:szCs w:val="24"/>
        </w:rPr>
        <w:t xml:space="preserve"> It is </w:t>
      </w:r>
      <w:r w:rsidR="00D119F7" w:rsidRPr="00D119F7">
        <w:rPr>
          <w:rStyle w:val="Strong"/>
          <w:b w:val="0"/>
          <w:szCs w:val="24"/>
        </w:rPr>
        <w:t>lead</w:t>
      </w:r>
      <w:r w:rsidR="00D119F7">
        <w:rPr>
          <w:rStyle w:val="Strong"/>
          <w:b w:val="0"/>
          <w:szCs w:val="24"/>
        </w:rPr>
        <w:t>ing</w:t>
      </w:r>
      <w:r w:rsidR="00D119F7" w:rsidRPr="00D119F7">
        <w:rPr>
          <w:rStyle w:val="Strong"/>
          <w:b w:val="0"/>
          <w:szCs w:val="24"/>
        </w:rPr>
        <w:t xml:space="preserve"> exploratory ‘pre-standardization’ studies to identify emerging standardization demands and anticipate demands to arise in future.</w:t>
      </w:r>
      <w:r w:rsidR="00D119F7">
        <w:rPr>
          <w:rStyle w:val="Strong"/>
          <w:b w:val="0"/>
          <w:szCs w:val="24"/>
        </w:rPr>
        <w:t xml:space="preserve"> </w:t>
      </w:r>
      <w:r w:rsidR="00D119F7" w:rsidRPr="00D119F7">
        <w:rPr>
          <w:rStyle w:val="Strong"/>
          <w:b w:val="0"/>
          <w:szCs w:val="24"/>
        </w:rPr>
        <w:t xml:space="preserve">Chief among its list of priorities </w:t>
      </w:r>
      <w:r w:rsidR="002B5979">
        <w:rPr>
          <w:rStyle w:val="Strong"/>
          <w:b w:val="0"/>
          <w:szCs w:val="24"/>
        </w:rPr>
        <w:t xml:space="preserve">is the </w:t>
      </w:r>
      <w:r w:rsidR="00D119F7" w:rsidRPr="00D119F7">
        <w:rPr>
          <w:rStyle w:val="Strong"/>
          <w:b w:val="0"/>
          <w:szCs w:val="24"/>
        </w:rPr>
        <w:t>analysis of high-potential use cases of quantum information technologies in ICT networks and the harmoniza</w:t>
      </w:r>
      <w:r w:rsidR="00D119F7">
        <w:rPr>
          <w:rStyle w:val="Strong"/>
          <w:b w:val="0"/>
          <w:szCs w:val="24"/>
        </w:rPr>
        <w:t>tion of associated terminology.</w:t>
      </w:r>
    </w:p>
    <w:p w14:paraId="57C2A8AA" w14:textId="635B0AEC" w:rsidR="006944F8" w:rsidRPr="001615CC" w:rsidRDefault="00D64AF8" w:rsidP="009E5FFA">
      <w:pPr>
        <w:pStyle w:val="Heading2"/>
      </w:pPr>
      <w:bookmarkStart w:id="93" w:name="_Toc31967148"/>
      <w:r w:rsidRPr="001615CC">
        <w:t>5</w:t>
      </w:r>
      <w:r w:rsidR="006944F8" w:rsidRPr="001615CC">
        <w:t>.</w:t>
      </w:r>
      <w:r w:rsidR="00F57FAD">
        <w:t>2</w:t>
      </w:r>
      <w:r w:rsidR="006944F8" w:rsidRPr="001615CC">
        <w:tab/>
        <w:t xml:space="preserve">Machine </w:t>
      </w:r>
      <w:r w:rsidRPr="001615CC">
        <w:t>L</w:t>
      </w:r>
      <w:r w:rsidR="006944F8" w:rsidRPr="001615CC">
        <w:t xml:space="preserve">earning </w:t>
      </w:r>
      <w:r w:rsidRPr="001615CC">
        <w:t>for Future Networks including</w:t>
      </w:r>
      <w:r w:rsidR="006944F8" w:rsidRPr="001615CC">
        <w:t xml:space="preserve"> 5G</w:t>
      </w:r>
      <w:bookmarkEnd w:id="93"/>
    </w:p>
    <w:p w14:paraId="144B5C25" w14:textId="7A1C6452" w:rsidR="006944F8" w:rsidRDefault="006944F8" w:rsidP="001C37A8">
      <w:pPr>
        <w:rPr>
          <w:lang w:val="en-GB"/>
        </w:rPr>
      </w:pPr>
      <w:r w:rsidRPr="00966747">
        <w:rPr>
          <w:lang w:val="en-GB"/>
        </w:rPr>
        <w:t xml:space="preserve">The </w:t>
      </w:r>
      <w:hyperlink r:id="rId113" w:history="1">
        <w:r w:rsidRPr="00966747">
          <w:rPr>
            <w:rStyle w:val="Hyperlink"/>
            <w:lang w:val="en-GB"/>
          </w:rPr>
          <w:t>ITU</w:t>
        </w:r>
        <w:r w:rsidR="00D64AF8" w:rsidRPr="00966747">
          <w:rPr>
            <w:rStyle w:val="Hyperlink"/>
            <w:lang w:val="en-GB"/>
          </w:rPr>
          <w:t>-T</w:t>
        </w:r>
        <w:r w:rsidRPr="00966747">
          <w:rPr>
            <w:rStyle w:val="Hyperlink"/>
            <w:lang w:val="en-GB"/>
          </w:rPr>
          <w:t xml:space="preserve"> Focus Group on Machine Learning for Future Networks including </w:t>
        </w:r>
        <w:r w:rsidR="002534EE" w:rsidRPr="00966747">
          <w:rPr>
            <w:rStyle w:val="Hyperlink"/>
            <w:lang w:val="en-GB"/>
          </w:rPr>
          <w:t>5G (FG ML5G)</w:t>
        </w:r>
        <w:r w:rsidR="002534EE" w:rsidRPr="00966747" w:rsidDel="002534EE">
          <w:rPr>
            <w:rStyle w:val="Hyperlink"/>
            <w:lang w:val="en-GB"/>
          </w:rPr>
          <w:t xml:space="preserve"> </w:t>
        </w:r>
      </w:hyperlink>
      <w:r w:rsidR="002B73CF" w:rsidRPr="00966747">
        <w:rPr>
          <w:lang w:val="en-GB"/>
        </w:rPr>
        <w:t>is</w:t>
      </w:r>
      <w:r w:rsidR="00582EFF" w:rsidRPr="00966747">
        <w:rPr>
          <w:lang w:val="en-GB"/>
        </w:rPr>
        <w:t xml:space="preserve"> </w:t>
      </w:r>
      <w:r w:rsidRPr="00966747">
        <w:rPr>
          <w:lang w:val="en-GB"/>
        </w:rPr>
        <w:t>propos</w:t>
      </w:r>
      <w:r w:rsidR="002B73CF" w:rsidRPr="00966747">
        <w:rPr>
          <w:lang w:val="en-GB"/>
        </w:rPr>
        <w:t xml:space="preserve">ing </w:t>
      </w:r>
      <w:r w:rsidRPr="00966747">
        <w:rPr>
          <w:lang w:val="en-GB"/>
        </w:rPr>
        <w:t xml:space="preserve">standardization strategies to assist machine learning in contributing to the efficiency of emerging 5G systems. The group </w:t>
      </w:r>
      <w:r w:rsidR="002534EE" w:rsidRPr="00966747">
        <w:rPr>
          <w:lang w:val="en-GB"/>
        </w:rPr>
        <w:t xml:space="preserve">is </w:t>
      </w:r>
      <w:r w:rsidRPr="00966747">
        <w:rPr>
          <w:lang w:val="en-GB"/>
        </w:rPr>
        <w:t>defin</w:t>
      </w:r>
      <w:r w:rsidR="002534EE" w:rsidRPr="00966747">
        <w:rPr>
          <w:lang w:val="en-GB"/>
        </w:rPr>
        <w:t>ing</w:t>
      </w:r>
      <w:r w:rsidRPr="00966747">
        <w:rPr>
          <w:lang w:val="en-GB"/>
        </w:rPr>
        <w:t xml:space="preserve"> the requirements of machine learning as they relate to </w:t>
      </w:r>
      <w:r w:rsidR="00582EFF" w:rsidRPr="00966747">
        <w:rPr>
          <w:lang w:val="en-GB"/>
        </w:rPr>
        <w:t xml:space="preserve">interfaces, protocols, algorithms, </w:t>
      </w:r>
      <w:r w:rsidRPr="00966747">
        <w:rPr>
          <w:lang w:val="en-GB"/>
        </w:rPr>
        <w:t>data formats and network architectures.</w:t>
      </w:r>
      <w:r w:rsidR="00AD6561" w:rsidRPr="00966747">
        <w:rPr>
          <w:lang w:val="en-GB"/>
        </w:rPr>
        <w:t xml:space="preserve"> </w:t>
      </w:r>
      <w:r w:rsidRPr="00966747">
        <w:rPr>
          <w:lang w:val="en-GB"/>
        </w:rPr>
        <w:t>One of the Focus Group</w:t>
      </w:r>
      <w:r w:rsidR="00CA2D85" w:rsidRPr="00966747">
        <w:rPr>
          <w:lang w:val="en-GB"/>
        </w:rPr>
        <w:t>'</w:t>
      </w:r>
      <w:r w:rsidRPr="00966747">
        <w:rPr>
          <w:lang w:val="en-GB"/>
        </w:rPr>
        <w:t>s ambitions is to address the challenges surrounding the availability and quality of the data required to fuel machine learning algorithms.</w:t>
      </w:r>
    </w:p>
    <w:p w14:paraId="02D9F19B" w14:textId="7C90834E" w:rsidR="008F7E93" w:rsidRPr="00662764" w:rsidRDefault="00F60C99" w:rsidP="001C37A8">
      <w:pPr>
        <w:rPr>
          <w:lang w:val="en-GB"/>
        </w:rPr>
      </w:pPr>
      <w:hyperlink r:id="rId114" w:history="1">
        <w:r w:rsidR="007C211E" w:rsidRPr="00CE3E09">
          <w:rPr>
            <w:rStyle w:val="Hyperlink"/>
            <w:lang w:val="en-GB"/>
          </w:rPr>
          <w:t>ITU-T Y.3172 “Architectural framework for machine learning in future networks including IMT-2020”</w:t>
        </w:r>
      </w:hyperlink>
      <w:r w:rsidR="005E5484" w:rsidRPr="00662764">
        <w:rPr>
          <w:lang w:val="en-GB"/>
        </w:rPr>
        <w:t xml:space="preserve"> and </w:t>
      </w:r>
      <w:hyperlink r:id="rId115" w:history="1">
        <w:r w:rsidR="008F7E93" w:rsidRPr="00CE3E09">
          <w:rPr>
            <w:rStyle w:val="Hyperlink"/>
            <w:lang w:val="en-GB"/>
          </w:rPr>
          <w:t xml:space="preserve">Supplement 55 to </w:t>
        </w:r>
        <w:r w:rsidR="005E5484" w:rsidRPr="00CE3E09">
          <w:rPr>
            <w:rStyle w:val="Hyperlink"/>
            <w:lang w:val="en-GB"/>
          </w:rPr>
          <w:t xml:space="preserve">the </w:t>
        </w:r>
        <w:r w:rsidR="008F7E93" w:rsidRPr="00CE3E09">
          <w:rPr>
            <w:rStyle w:val="Hyperlink"/>
            <w:lang w:val="en-GB"/>
          </w:rPr>
          <w:t>ITU-T Y.3170-series “Machine learning in future networks including IMT-2020: use cases”</w:t>
        </w:r>
      </w:hyperlink>
      <w:r w:rsidR="008F7E93" w:rsidRPr="00510575">
        <w:rPr>
          <w:lang w:val="en-GB"/>
        </w:rPr>
        <w:t xml:space="preserve"> </w:t>
      </w:r>
      <w:r w:rsidR="005E5484" w:rsidRPr="00662764">
        <w:rPr>
          <w:lang w:val="en-GB"/>
        </w:rPr>
        <w:t>ar</w:t>
      </w:r>
      <w:r w:rsidR="00EB49EF">
        <w:rPr>
          <w:lang w:val="en-GB"/>
        </w:rPr>
        <w:t>e based on the work of FG ML5G.</w:t>
      </w:r>
    </w:p>
    <w:p w14:paraId="2A1AA560" w14:textId="790F816A" w:rsidR="006944F8" w:rsidRPr="001615CC" w:rsidRDefault="00D64AF8" w:rsidP="006944F8">
      <w:pPr>
        <w:pStyle w:val="Heading2"/>
      </w:pPr>
      <w:bookmarkStart w:id="94" w:name="_Toc31967149"/>
      <w:r w:rsidRPr="001615CC">
        <w:t>5</w:t>
      </w:r>
      <w:r w:rsidR="006944F8" w:rsidRPr="001615CC">
        <w:t>.</w:t>
      </w:r>
      <w:r w:rsidR="00F57FAD">
        <w:t>3</w:t>
      </w:r>
      <w:r w:rsidR="006944F8" w:rsidRPr="001615CC">
        <w:tab/>
        <w:t>Technologies for Network 2030</w:t>
      </w:r>
      <w:bookmarkEnd w:id="94"/>
    </w:p>
    <w:p w14:paraId="38CEFD74" w14:textId="2171A067" w:rsidR="0002156B" w:rsidRPr="00966747" w:rsidRDefault="006944F8" w:rsidP="001C37A8">
      <w:pPr>
        <w:rPr>
          <w:lang w:val="en-GB"/>
        </w:rPr>
      </w:pPr>
      <w:r w:rsidRPr="00966747">
        <w:rPr>
          <w:lang w:val="en-GB"/>
        </w:rPr>
        <w:t xml:space="preserve">The </w:t>
      </w:r>
      <w:hyperlink r:id="rId116" w:history="1">
        <w:r w:rsidRPr="00966747">
          <w:rPr>
            <w:rStyle w:val="Hyperlink"/>
            <w:lang w:val="en-GB"/>
          </w:rPr>
          <w:t>ITU</w:t>
        </w:r>
        <w:r w:rsidR="00D64AF8" w:rsidRPr="00966747">
          <w:rPr>
            <w:rStyle w:val="Hyperlink"/>
            <w:lang w:val="en-GB"/>
          </w:rPr>
          <w:t>-T</w:t>
        </w:r>
        <w:r w:rsidRPr="00966747">
          <w:rPr>
            <w:rStyle w:val="Hyperlink"/>
            <w:lang w:val="en-GB"/>
          </w:rPr>
          <w:t xml:space="preserve"> Focus Group on Technologies for Network 2030 (FG NET-2030)</w:t>
        </w:r>
      </w:hyperlink>
      <w:r w:rsidRPr="00966747">
        <w:rPr>
          <w:lang w:val="en-GB"/>
        </w:rPr>
        <w:t xml:space="preserve"> </w:t>
      </w:r>
      <w:r w:rsidR="0002156B" w:rsidRPr="00966747">
        <w:rPr>
          <w:lang w:val="en-GB"/>
        </w:rPr>
        <w:t>is</w:t>
      </w:r>
      <w:r w:rsidR="002534EE" w:rsidRPr="00966747">
        <w:rPr>
          <w:lang w:val="en-GB"/>
        </w:rPr>
        <w:t xml:space="preserve"> examin</w:t>
      </w:r>
      <w:r w:rsidR="0002156B" w:rsidRPr="00966747">
        <w:rPr>
          <w:lang w:val="en-GB"/>
        </w:rPr>
        <w:t>ing</w:t>
      </w:r>
      <w:r w:rsidR="00AD6561" w:rsidRPr="00966747">
        <w:rPr>
          <w:lang w:val="en-GB"/>
        </w:rPr>
        <w:t xml:space="preserve"> how emerging technologies can enhance network capabilities to meet the demands of 5G systems and future innovations. The group is studying</w:t>
      </w:r>
      <w:r w:rsidRPr="00966747">
        <w:rPr>
          <w:lang w:val="en-GB"/>
        </w:rPr>
        <w:t xml:space="preserve"> new media, services and architectures to identify communication needs and use cases for the year 2030 and beyond. </w:t>
      </w:r>
      <w:r w:rsidR="0002156B" w:rsidRPr="00966747">
        <w:rPr>
          <w:lang w:val="en-GB"/>
        </w:rPr>
        <w:t>In focus are applications including augmented and virtual reality and holograms, and the group aims also respond to increasing user demand for time-sensitive applications in fields such as telemedicine and indus</w:t>
      </w:r>
      <w:r w:rsidR="001615CC" w:rsidRPr="00966747">
        <w:rPr>
          <w:lang w:val="en-GB"/>
        </w:rPr>
        <w:t>trial automation.</w:t>
      </w:r>
    </w:p>
    <w:p w14:paraId="6DDBFB2F" w14:textId="7C05812C" w:rsidR="006944F8" w:rsidRPr="009C34B1" w:rsidRDefault="00B815EF" w:rsidP="001C37A8">
      <w:pPr>
        <w:rPr>
          <w:highlight w:val="yellow"/>
          <w:lang w:val="en-GB"/>
        </w:rPr>
      </w:pPr>
      <w:r w:rsidRPr="007D2724">
        <w:rPr>
          <w:lang w:val="en-GB"/>
        </w:rPr>
        <w:t>In October 2019</w:t>
      </w:r>
      <w:r w:rsidR="007C211E">
        <w:rPr>
          <w:lang w:val="en-GB"/>
        </w:rPr>
        <w:t>,</w:t>
      </w:r>
      <w:r w:rsidRPr="007D2724">
        <w:rPr>
          <w:lang w:val="en-GB"/>
        </w:rPr>
        <w:t xml:space="preserve"> </w:t>
      </w:r>
      <w:r w:rsidR="00966747">
        <w:rPr>
          <w:lang w:val="en-GB"/>
        </w:rPr>
        <w:t>FG NET</w:t>
      </w:r>
      <w:r w:rsidR="007C211E">
        <w:rPr>
          <w:lang w:val="en-GB"/>
        </w:rPr>
        <w:t>-</w:t>
      </w:r>
      <w:r w:rsidR="00966747">
        <w:rPr>
          <w:lang w:val="en-GB"/>
        </w:rPr>
        <w:t xml:space="preserve">2030 </w:t>
      </w:r>
      <w:r w:rsidR="007C211E">
        <w:rPr>
          <w:lang w:val="en-GB"/>
        </w:rPr>
        <w:t>put forward</w:t>
      </w:r>
      <w:r w:rsidRPr="007D2724">
        <w:rPr>
          <w:lang w:val="en-GB"/>
        </w:rPr>
        <w:t xml:space="preserve"> its vision o</w:t>
      </w:r>
      <w:r w:rsidR="007C211E">
        <w:rPr>
          <w:lang w:val="en-GB"/>
        </w:rPr>
        <w:t>f</w:t>
      </w:r>
      <w:r w:rsidRPr="007D2724">
        <w:rPr>
          <w:lang w:val="en-GB"/>
        </w:rPr>
        <w:t xml:space="preserve"> </w:t>
      </w:r>
      <w:hyperlink r:id="rId117" w:history="1">
        <w:r w:rsidR="00CE3E09">
          <w:rPr>
            <w:rStyle w:val="Hyperlink"/>
          </w:rPr>
          <w:t>“N</w:t>
        </w:r>
        <w:r w:rsidRPr="00662764">
          <w:rPr>
            <w:rStyle w:val="Hyperlink"/>
          </w:rPr>
          <w:t>ew Services and Capabilities for Network 2030: Description, Technical Gap and Performance Target Analysi</w:t>
        </w:r>
        <w:r w:rsidR="00CE3E09">
          <w:rPr>
            <w:rStyle w:val="Hyperlink"/>
          </w:rPr>
          <w:t>s”</w:t>
        </w:r>
      </w:hyperlink>
      <w:r w:rsidR="009C34B1">
        <w:rPr>
          <w:lang w:val="en-GB"/>
        </w:rPr>
        <w:t>.</w:t>
      </w:r>
    </w:p>
    <w:p w14:paraId="2B402440" w14:textId="633E1364" w:rsidR="006944F8" w:rsidRPr="001615CC" w:rsidRDefault="00D64AF8" w:rsidP="006944F8">
      <w:pPr>
        <w:pStyle w:val="Heading2"/>
      </w:pPr>
      <w:bookmarkStart w:id="95" w:name="_Toc31967150"/>
      <w:r w:rsidRPr="001615CC">
        <w:t>5</w:t>
      </w:r>
      <w:r w:rsidR="006944F8" w:rsidRPr="001615CC">
        <w:t>.</w:t>
      </w:r>
      <w:r w:rsidR="00F57FAD">
        <w:t>4</w:t>
      </w:r>
      <w:r w:rsidR="006944F8" w:rsidRPr="001615CC">
        <w:tab/>
        <w:t>A</w:t>
      </w:r>
      <w:r w:rsidR="00B0424A">
        <w:t>I</w:t>
      </w:r>
      <w:r w:rsidR="006944F8" w:rsidRPr="001615CC">
        <w:t xml:space="preserve"> for Health</w:t>
      </w:r>
      <w:bookmarkEnd w:id="95"/>
    </w:p>
    <w:p w14:paraId="0602B27F" w14:textId="34C5CE2A" w:rsidR="007C211E" w:rsidRDefault="00CA2D85" w:rsidP="00CA2D85">
      <w:pPr>
        <w:rPr>
          <w:lang w:val="en-GB"/>
        </w:rPr>
      </w:pPr>
      <w:r w:rsidRPr="00966747">
        <w:rPr>
          <w:lang w:val="en-GB"/>
        </w:rPr>
        <w:t xml:space="preserve">The </w:t>
      </w:r>
      <w:hyperlink r:id="rId118" w:history="1">
        <w:r w:rsidRPr="00966747">
          <w:rPr>
            <w:rStyle w:val="Hyperlink"/>
            <w:lang w:val="en-GB"/>
          </w:rPr>
          <w:t>ITU-T Focus Group on A</w:t>
        </w:r>
        <w:r w:rsidR="00B0424A">
          <w:rPr>
            <w:rStyle w:val="Hyperlink"/>
            <w:lang w:val="en-GB"/>
          </w:rPr>
          <w:t>I</w:t>
        </w:r>
        <w:r w:rsidRPr="00966747">
          <w:rPr>
            <w:rStyle w:val="Hyperlink"/>
            <w:lang w:val="en-GB"/>
          </w:rPr>
          <w:t xml:space="preserve"> for Health (FG AI4H)</w:t>
        </w:r>
      </w:hyperlink>
      <w:r w:rsidRPr="00966747">
        <w:rPr>
          <w:lang w:val="en-GB"/>
        </w:rPr>
        <w:t>, driven in close collaboration by ITU and WHO, is working towards the establishment of a framework and associated process</w:t>
      </w:r>
      <w:r w:rsidR="0002156B" w:rsidRPr="00966747">
        <w:rPr>
          <w:lang w:val="en-GB"/>
        </w:rPr>
        <w:t>es</w:t>
      </w:r>
      <w:r w:rsidRPr="00966747">
        <w:rPr>
          <w:lang w:val="en-GB"/>
        </w:rPr>
        <w:t xml:space="preserve"> for the performance benchmarking of ‘AI for Health’</w:t>
      </w:r>
      <w:r w:rsidR="0002156B" w:rsidRPr="00966747">
        <w:rPr>
          <w:lang w:val="en-GB"/>
        </w:rPr>
        <w:t xml:space="preserve"> </w:t>
      </w:r>
      <w:r w:rsidR="00A160F2">
        <w:rPr>
          <w:lang w:val="en-GB"/>
        </w:rPr>
        <w:t>algorithms</w:t>
      </w:r>
      <w:r w:rsidRPr="00966747">
        <w:rPr>
          <w:lang w:val="en-GB"/>
        </w:rPr>
        <w:t>. The group is currently working on 1</w:t>
      </w:r>
      <w:r w:rsidR="0007694B">
        <w:rPr>
          <w:lang w:val="en-GB"/>
        </w:rPr>
        <w:t>8</w:t>
      </w:r>
      <w:r w:rsidRPr="00966747">
        <w:rPr>
          <w:lang w:val="en-GB"/>
        </w:rPr>
        <w:t xml:space="preserve"> topic areas ("use cases")</w:t>
      </w:r>
      <w:r w:rsidR="0007694B" w:rsidRPr="0007694B">
        <w:rPr>
          <w:lang w:val="en-GB"/>
        </w:rPr>
        <w:t>,</w:t>
      </w:r>
      <w:r w:rsidR="0007694B">
        <w:rPr>
          <w:rFonts w:ascii="Calibri" w:hAnsi="Calibri" w:cs="Calibri"/>
          <w:color w:val="000000"/>
        </w:rPr>
        <w:t xml:space="preserve"> </w:t>
      </w:r>
      <w:r w:rsidR="0002156B" w:rsidRPr="00966747">
        <w:rPr>
          <w:lang w:val="en-GB"/>
        </w:rPr>
        <w:t>addressing health issues including breast cancer, neurodegenerative diseases, vision loss, skin lesions, cardiovascular diseases, and ven</w:t>
      </w:r>
      <w:r w:rsidR="00EB49EF">
        <w:rPr>
          <w:lang w:val="en-GB"/>
        </w:rPr>
        <w:t>omous snakebites.</w:t>
      </w:r>
    </w:p>
    <w:p w14:paraId="7D4ED12F" w14:textId="3952B5C3" w:rsidR="007C211E" w:rsidRDefault="00515A4B" w:rsidP="00CA2D85">
      <w:pPr>
        <w:rPr>
          <w:lang w:val="en-GB"/>
        </w:rPr>
      </w:pPr>
      <w:r w:rsidRPr="00966747">
        <w:rPr>
          <w:lang w:val="en-GB"/>
        </w:rPr>
        <w:t xml:space="preserve">A summary of the current status of the </w:t>
      </w:r>
      <w:r w:rsidR="007C211E">
        <w:rPr>
          <w:lang w:val="en-GB"/>
        </w:rPr>
        <w:t xml:space="preserve">group’s </w:t>
      </w:r>
      <w:r w:rsidRPr="00966747">
        <w:rPr>
          <w:lang w:val="en-GB"/>
        </w:rPr>
        <w:t>work</w:t>
      </w:r>
      <w:r w:rsidR="007C211E">
        <w:rPr>
          <w:lang w:val="en-GB"/>
        </w:rPr>
        <w:t xml:space="preserve"> </w:t>
      </w:r>
      <w:r w:rsidR="007C211E" w:rsidRPr="00966747">
        <w:rPr>
          <w:lang w:val="en-GB"/>
        </w:rPr>
        <w:t>– “</w:t>
      </w:r>
      <w:hyperlink r:id="rId119" w:history="1">
        <w:r w:rsidR="007C211E" w:rsidRPr="00966747">
          <w:rPr>
            <w:rStyle w:val="Hyperlink"/>
            <w:lang w:val="en-GB"/>
          </w:rPr>
          <w:t xml:space="preserve">WHO and ITU establish benchmarking process for </w:t>
        </w:r>
        <w:r w:rsidR="00F1765F">
          <w:rPr>
            <w:rStyle w:val="Hyperlink"/>
            <w:lang w:val="en-GB"/>
          </w:rPr>
          <w:t>AI</w:t>
        </w:r>
        <w:r w:rsidR="007C211E" w:rsidRPr="00966747">
          <w:rPr>
            <w:rStyle w:val="Hyperlink"/>
            <w:lang w:val="en-GB"/>
          </w:rPr>
          <w:t xml:space="preserve"> in health</w:t>
        </w:r>
      </w:hyperlink>
      <w:r w:rsidR="007C211E" w:rsidRPr="00966747">
        <w:rPr>
          <w:lang w:val="en-GB"/>
        </w:rPr>
        <w:t>” –</w:t>
      </w:r>
      <w:r w:rsidR="007C211E">
        <w:rPr>
          <w:lang w:val="en-GB"/>
        </w:rPr>
        <w:t xml:space="preserve"> </w:t>
      </w:r>
      <w:r w:rsidRPr="00966747">
        <w:rPr>
          <w:lang w:val="en-GB"/>
        </w:rPr>
        <w:t>was published in The Lancet</w:t>
      </w:r>
      <w:r w:rsidR="005E5484">
        <w:rPr>
          <w:lang w:val="en-GB"/>
        </w:rPr>
        <w:t xml:space="preserve"> Digital Health</w:t>
      </w:r>
      <w:r w:rsidRPr="00966747">
        <w:rPr>
          <w:lang w:val="en-GB"/>
        </w:rPr>
        <w:t>, a</w:t>
      </w:r>
      <w:r w:rsidR="007C211E">
        <w:rPr>
          <w:lang w:val="en-GB"/>
        </w:rPr>
        <w:t xml:space="preserve"> highly reputed</w:t>
      </w:r>
      <w:r w:rsidRPr="00966747">
        <w:rPr>
          <w:lang w:val="en-GB"/>
        </w:rPr>
        <w:t xml:space="preserve"> peer-reviewed </w:t>
      </w:r>
      <w:r w:rsidR="005E5484">
        <w:rPr>
          <w:lang w:val="en-GB"/>
        </w:rPr>
        <w:t>weekly</w:t>
      </w:r>
      <w:r w:rsidRPr="00966747">
        <w:rPr>
          <w:lang w:val="en-GB"/>
        </w:rPr>
        <w:t xml:space="preserve"> medical journal.</w:t>
      </w:r>
    </w:p>
    <w:p w14:paraId="422B6D75" w14:textId="4A758366" w:rsidR="006944F8" w:rsidRPr="001615CC" w:rsidRDefault="00D64AF8" w:rsidP="006944F8">
      <w:pPr>
        <w:pStyle w:val="Heading2"/>
      </w:pPr>
      <w:bookmarkStart w:id="96" w:name="_Toc31967151"/>
      <w:r w:rsidRPr="001615CC">
        <w:lastRenderedPageBreak/>
        <w:t>5</w:t>
      </w:r>
      <w:r w:rsidR="006944F8" w:rsidRPr="001615CC">
        <w:t>.</w:t>
      </w:r>
      <w:r w:rsidR="00F57FAD">
        <w:t>5</w:t>
      </w:r>
      <w:r w:rsidR="006944F8" w:rsidRPr="001615CC">
        <w:tab/>
        <w:t>Vehicular Multimedia</w:t>
      </w:r>
      <w:bookmarkEnd w:id="96"/>
    </w:p>
    <w:p w14:paraId="5D3AD5CA" w14:textId="576622F0" w:rsidR="00E34BE7" w:rsidRPr="007F20DF" w:rsidRDefault="00AD6561" w:rsidP="001C37A8">
      <w:pPr>
        <w:rPr>
          <w:lang w:val="en-GB"/>
        </w:rPr>
      </w:pPr>
      <w:r w:rsidRPr="007F20DF">
        <w:rPr>
          <w:lang w:val="en-GB"/>
        </w:rPr>
        <w:t>The</w:t>
      </w:r>
      <w:r w:rsidR="006944F8" w:rsidRPr="007F20DF">
        <w:rPr>
          <w:lang w:val="en-GB"/>
        </w:rPr>
        <w:t xml:space="preserve"> </w:t>
      </w:r>
      <w:hyperlink r:id="rId120" w:history="1">
        <w:r w:rsidR="002B19CF" w:rsidRPr="007F20DF">
          <w:rPr>
            <w:rStyle w:val="Hyperlink"/>
            <w:lang w:val="en-GB"/>
          </w:rPr>
          <w:t>IT</w:t>
        </w:r>
        <w:r w:rsidR="00D8205A" w:rsidRPr="007F20DF">
          <w:rPr>
            <w:rStyle w:val="Hyperlink"/>
            <w:lang w:val="en-GB"/>
          </w:rPr>
          <w:t>U-T Focus Group on Vehicular Multimedia (FG VM</w:t>
        </w:r>
      </w:hyperlink>
      <w:r w:rsidR="00D8205A" w:rsidRPr="007F20DF">
        <w:rPr>
          <w:lang w:val="en-GB"/>
        </w:rPr>
        <w:t>)</w:t>
      </w:r>
      <w:r w:rsidR="00D8205A" w:rsidRPr="007F20DF" w:rsidDel="002534EE">
        <w:rPr>
          <w:lang w:val="en-GB"/>
        </w:rPr>
        <w:t xml:space="preserve"> </w:t>
      </w:r>
      <w:r w:rsidR="00E34BE7" w:rsidRPr="007F20DF">
        <w:rPr>
          <w:lang w:val="en-GB"/>
        </w:rPr>
        <w:t>is investigating where international standards could support the global adoption of new ‘infotainment’ systems incorporating services such as Augmented Reality navigation, video streaming, and automated in-vehicle climate control.</w:t>
      </w:r>
      <w:r w:rsidR="005E5484">
        <w:rPr>
          <w:lang w:val="en-GB"/>
        </w:rPr>
        <w:t xml:space="preserve"> </w:t>
      </w:r>
      <w:r w:rsidR="00FF7F99" w:rsidRPr="007F20DF">
        <w:rPr>
          <w:lang w:val="en-GB"/>
        </w:rPr>
        <w:t xml:space="preserve">FG VM </w:t>
      </w:r>
      <w:r w:rsidR="00E34BE7" w:rsidRPr="007F20DF">
        <w:rPr>
          <w:lang w:val="en-GB"/>
        </w:rPr>
        <w:t>has documented innovative use cases of vehicular multimedia and their underlying technical requirements</w:t>
      </w:r>
      <w:r w:rsidR="005E5484">
        <w:rPr>
          <w:lang w:val="en-GB"/>
        </w:rPr>
        <w:t xml:space="preserve">: </w:t>
      </w:r>
      <w:hyperlink r:id="rId121" w:history="1">
        <w:r w:rsidR="00CE3E09">
          <w:rPr>
            <w:rStyle w:val="Hyperlink"/>
            <w:iCs/>
          </w:rPr>
          <w:t>“U</w:t>
        </w:r>
        <w:r w:rsidR="00EB49EF">
          <w:rPr>
            <w:rStyle w:val="Hyperlink"/>
            <w:iCs/>
          </w:rPr>
          <w:t>se ca</w:t>
        </w:r>
        <w:r w:rsidR="007C211E" w:rsidRPr="00662764">
          <w:rPr>
            <w:rStyle w:val="Hyperlink"/>
            <w:iCs/>
          </w:rPr>
          <w:t>ses and requirements for the vehicular multimedi</w:t>
        </w:r>
        <w:r w:rsidR="00CE3E09">
          <w:rPr>
            <w:rStyle w:val="Hyperlink"/>
            <w:iCs/>
          </w:rPr>
          <w:t>a”</w:t>
        </w:r>
      </w:hyperlink>
      <w:r w:rsidR="00E34BE7" w:rsidRPr="007F20DF">
        <w:rPr>
          <w:lang w:val="en-GB"/>
        </w:rPr>
        <w:t xml:space="preserve">. In the second phase of its work, the group will </w:t>
      </w:r>
      <w:r w:rsidR="007F20DF" w:rsidRPr="007F20DF">
        <w:rPr>
          <w:lang w:val="en-GB"/>
        </w:rPr>
        <w:t xml:space="preserve">study </w:t>
      </w:r>
      <w:r w:rsidR="00E34BE7" w:rsidRPr="007F20DF">
        <w:rPr>
          <w:lang w:val="en-GB"/>
        </w:rPr>
        <w:t>the architecture, interfaces and protocols of the vehicular multimedia network.</w:t>
      </w:r>
    </w:p>
    <w:p w14:paraId="0B23975A" w14:textId="6295B7B8" w:rsidR="00CC20C0" w:rsidRDefault="00144799" w:rsidP="00CC20C0">
      <w:pPr>
        <w:pStyle w:val="Heading2"/>
      </w:pPr>
      <w:bookmarkStart w:id="97" w:name="_Toc31967152"/>
      <w:r w:rsidRPr="001615CC">
        <w:t>5.</w:t>
      </w:r>
      <w:r w:rsidR="00F57FAD">
        <w:t>6</w:t>
      </w:r>
      <w:r w:rsidRPr="001615CC">
        <w:tab/>
      </w:r>
      <w:r w:rsidR="00CC20C0" w:rsidRPr="00CC20C0">
        <w:t xml:space="preserve">AI for </w:t>
      </w:r>
      <w:r w:rsidR="00B0424A">
        <w:t>A</w:t>
      </w:r>
      <w:r w:rsidR="00CC20C0" w:rsidRPr="00CC20C0">
        <w:t xml:space="preserve">utonomous and </w:t>
      </w:r>
      <w:r w:rsidR="00B0424A">
        <w:t>A</w:t>
      </w:r>
      <w:r w:rsidR="00CC20C0" w:rsidRPr="00CC20C0">
        <w:t>ssisted driving</w:t>
      </w:r>
      <w:bookmarkEnd w:id="97"/>
    </w:p>
    <w:p w14:paraId="4D0AB44E" w14:textId="6AF8EC7F" w:rsidR="003919C6" w:rsidRDefault="00CC20C0" w:rsidP="00CC20C0">
      <w:r>
        <w:rPr>
          <w:lang w:val="en-GB" w:eastAsia="en-US"/>
        </w:rPr>
        <w:t xml:space="preserve">The </w:t>
      </w:r>
      <w:hyperlink r:id="rId122" w:history="1">
        <w:r w:rsidRPr="00CC20C0">
          <w:rPr>
            <w:rStyle w:val="Hyperlink"/>
            <w:lang w:val="en-GB" w:eastAsia="en-US"/>
          </w:rPr>
          <w:t xml:space="preserve">ITU-T Focus Group on AI for </w:t>
        </w:r>
        <w:r w:rsidR="00B0424A">
          <w:rPr>
            <w:rStyle w:val="Hyperlink"/>
            <w:lang w:val="en-GB" w:eastAsia="en-US"/>
          </w:rPr>
          <w:t>A</w:t>
        </w:r>
        <w:r w:rsidRPr="00CC20C0">
          <w:rPr>
            <w:rStyle w:val="Hyperlink"/>
            <w:lang w:val="en-GB" w:eastAsia="en-US"/>
          </w:rPr>
          <w:t xml:space="preserve">utonomous and </w:t>
        </w:r>
        <w:r w:rsidR="00B0424A">
          <w:rPr>
            <w:rStyle w:val="Hyperlink"/>
            <w:lang w:val="en-GB" w:eastAsia="en-US"/>
          </w:rPr>
          <w:t>A</w:t>
        </w:r>
        <w:r w:rsidRPr="00CC20C0">
          <w:rPr>
            <w:rStyle w:val="Hyperlink"/>
            <w:lang w:val="en-GB" w:eastAsia="en-US"/>
          </w:rPr>
          <w:t xml:space="preserve">ssisted </w:t>
        </w:r>
        <w:r w:rsidR="00B0424A">
          <w:rPr>
            <w:rStyle w:val="Hyperlink"/>
            <w:lang w:val="en-GB" w:eastAsia="en-US"/>
          </w:rPr>
          <w:t>D</w:t>
        </w:r>
        <w:r w:rsidRPr="00CC20C0">
          <w:rPr>
            <w:rStyle w:val="Hyperlink"/>
            <w:lang w:val="en-GB" w:eastAsia="en-US"/>
          </w:rPr>
          <w:t>riving (FG-AI4AD)</w:t>
        </w:r>
      </w:hyperlink>
      <w:r>
        <w:rPr>
          <w:lang w:val="en-GB" w:eastAsia="en-US"/>
        </w:rPr>
        <w:t xml:space="preserve"> </w:t>
      </w:r>
      <w:r w:rsidR="001A74C0">
        <w:rPr>
          <w:lang w:val="en-GB" w:eastAsia="en-US"/>
        </w:rPr>
        <w:t xml:space="preserve">is </w:t>
      </w:r>
      <w:r w:rsidR="001A74C0" w:rsidRPr="001A74C0">
        <w:rPr>
          <w:lang w:val="en-GB" w:eastAsia="en-US"/>
        </w:rPr>
        <w:t>work</w:t>
      </w:r>
      <w:r w:rsidR="001A74C0">
        <w:rPr>
          <w:lang w:val="en-GB" w:eastAsia="en-US"/>
        </w:rPr>
        <w:t>ing</w:t>
      </w:r>
      <w:r w:rsidR="001A74C0" w:rsidRPr="001A74C0">
        <w:rPr>
          <w:lang w:val="en-GB" w:eastAsia="en-US"/>
        </w:rPr>
        <w:t xml:space="preserve"> towards the establishment of international standards to monitor and ass</w:t>
      </w:r>
      <w:r w:rsidR="001A74C0">
        <w:rPr>
          <w:lang w:val="en-GB" w:eastAsia="en-US"/>
        </w:rPr>
        <w:t>ess the performance of the AI ‘d</w:t>
      </w:r>
      <w:r w:rsidR="001A74C0" w:rsidRPr="001A74C0">
        <w:rPr>
          <w:lang w:val="en-GB" w:eastAsia="en-US"/>
        </w:rPr>
        <w:t>rivers’ in control of automated vehicles.</w:t>
      </w:r>
      <w:r w:rsidR="001A74C0">
        <w:rPr>
          <w:lang w:val="en-GB" w:eastAsia="en-US"/>
        </w:rPr>
        <w:t xml:space="preserve"> The group aims to </w:t>
      </w:r>
      <w:r w:rsidR="001A74C0" w:rsidRPr="001A74C0">
        <w:rPr>
          <w:lang w:val="en-GB" w:eastAsia="en-US"/>
        </w:rPr>
        <w:t>d</w:t>
      </w:r>
      <w:r w:rsidR="001A74C0">
        <w:rPr>
          <w:lang w:val="en-GB" w:eastAsia="en-US"/>
        </w:rPr>
        <w:t>evise a ‘Driving Test’ for AI drivers</w:t>
      </w:r>
      <w:r w:rsidR="001A74C0" w:rsidRPr="001A74C0">
        <w:rPr>
          <w:lang w:val="en-GB" w:eastAsia="en-US"/>
        </w:rPr>
        <w:t>. The proposed test could become the basis for an International Driving Permit for AI. The right to hold this permit would be assessed</w:t>
      </w:r>
      <w:r w:rsidR="00CE3E09">
        <w:rPr>
          <w:lang w:val="en-GB" w:eastAsia="en-US"/>
        </w:rPr>
        <w:t xml:space="preserve"> continuously, based on the AI d</w:t>
      </w:r>
      <w:r w:rsidR="001A74C0" w:rsidRPr="001A74C0">
        <w:rPr>
          <w:lang w:val="en-GB" w:eastAsia="en-US"/>
        </w:rPr>
        <w:t>river’s beha</w:t>
      </w:r>
      <w:r w:rsidR="005E5484">
        <w:rPr>
          <w:lang w:val="en-GB" w:eastAsia="en-US"/>
        </w:rPr>
        <w:t xml:space="preserve">vioural performance on the road. </w:t>
      </w:r>
      <w:r w:rsidR="003919C6">
        <w:t xml:space="preserve">The FG-AI4AD deliverables will focus on the </w:t>
      </w:r>
      <w:proofErr w:type="spellStart"/>
      <w:r w:rsidR="003919C6">
        <w:t>behavioural</w:t>
      </w:r>
      <w:proofErr w:type="spellEnd"/>
      <w:r w:rsidR="003919C6">
        <w:t xml:space="preserve"> evaluation of AI responsible for the dynamic driving task in accordance with the 1949 and 1968 </w:t>
      </w:r>
      <w:r w:rsidR="00CE3E09">
        <w:t xml:space="preserve">United Nations </w:t>
      </w:r>
      <w:r w:rsidR="003919C6">
        <w:t>Convention</w:t>
      </w:r>
      <w:r w:rsidR="00CE3E09">
        <w:t>s</w:t>
      </w:r>
      <w:r w:rsidR="003919C6">
        <w:t xml:space="preserve"> on Road Traffic.</w:t>
      </w:r>
    </w:p>
    <w:p w14:paraId="37F479FF" w14:textId="70CBEF74" w:rsidR="00210CA6" w:rsidRPr="001615CC" w:rsidRDefault="00CC20C0" w:rsidP="008A2F29">
      <w:pPr>
        <w:pStyle w:val="Heading2"/>
        <w:ind w:left="0" w:firstLine="0"/>
      </w:pPr>
      <w:bookmarkStart w:id="98" w:name="_Toc31967153"/>
      <w:r>
        <w:t>5.7</w:t>
      </w:r>
      <w:r>
        <w:tab/>
      </w:r>
      <w:r w:rsidR="00210CA6" w:rsidRPr="001615CC">
        <w:t xml:space="preserve">Environmental Efficiency for </w:t>
      </w:r>
      <w:r w:rsidR="00B0424A">
        <w:t xml:space="preserve">AI </w:t>
      </w:r>
      <w:r w:rsidR="00210CA6" w:rsidRPr="001615CC">
        <w:t>and other Emerging Technologies</w:t>
      </w:r>
      <w:bookmarkEnd w:id="98"/>
    </w:p>
    <w:p w14:paraId="07AA10E4" w14:textId="5F6A4FDB" w:rsidR="007E07EF" w:rsidRPr="001A74C0" w:rsidRDefault="001434ED" w:rsidP="001434ED">
      <w:pPr>
        <w:rPr>
          <w:highlight w:val="yellow"/>
          <w:lang w:val="en-GB"/>
        </w:rPr>
      </w:pPr>
      <w:r w:rsidRPr="003610E2">
        <w:rPr>
          <w:lang w:val="en-GB"/>
        </w:rPr>
        <w:t xml:space="preserve">The </w:t>
      </w:r>
      <w:hyperlink r:id="rId123" w:history="1">
        <w:r w:rsidRPr="003610E2">
          <w:rPr>
            <w:rStyle w:val="Hyperlink"/>
            <w:lang w:val="en-GB"/>
          </w:rPr>
          <w:t>ITU-T Focus Group on Environmental Efficiency for AI and other Emerging Technologies</w:t>
        </w:r>
        <w:r w:rsidR="00FF7F99" w:rsidRPr="003610E2">
          <w:rPr>
            <w:rStyle w:val="Hyperlink"/>
            <w:lang w:val="en-GB"/>
          </w:rPr>
          <w:t xml:space="preserve"> (FG </w:t>
        </w:r>
        <w:r w:rsidR="00BF79C7" w:rsidRPr="003610E2">
          <w:rPr>
            <w:rStyle w:val="Hyperlink"/>
            <w:lang w:val="en-GB"/>
          </w:rPr>
          <w:t>AI4EE</w:t>
        </w:r>
        <w:r w:rsidR="001A74C0">
          <w:rPr>
            <w:rStyle w:val="Hyperlink"/>
            <w:lang w:val="en-GB"/>
          </w:rPr>
          <w:t>)</w:t>
        </w:r>
      </w:hyperlink>
      <w:r w:rsidR="001A74C0">
        <w:rPr>
          <w:lang w:val="en-GB"/>
        </w:rPr>
        <w:t xml:space="preserve"> is </w:t>
      </w:r>
      <w:r w:rsidR="001A74C0" w:rsidRPr="001A74C0">
        <w:rPr>
          <w:lang w:val="en-GB"/>
        </w:rPr>
        <w:t>study</w:t>
      </w:r>
      <w:r w:rsidR="001A74C0">
        <w:rPr>
          <w:lang w:val="en-GB"/>
        </w:rPr>
        <w:t>ing</w:t>
      </w:r>
      <w:r w:rsidR="001A74C0" w:rsidRPr="001A74C0">
        <w:rPr>
          <w:lang w:val="en-GB"/>
        </w:rPr>
        <w:t xml:space="preserve"> environmental efficiency in the age of AI, increasing automation, and smart manufacturing. The group’s work is also expected to support ITU’s ongoing studies of the environmental requirements of IMT-2020 (5G) systems.</w:t>
      </w:r>
      <w:r w:rsidR="001A74C0">
        <w:rPr>
          <w:lang w:val="en-GB"/>
        </w:rPr>
        <w:t xml:space="preserve"> </w:t>
      </w:r>
      <w:r w:rsidR="001A74C0" w:rsidRPr="001A74C0">
        <w:rPr>
          <w:lang w:val="en-GB"/>
        </w:rPr>
        <w:t xml:space="preserve">It will curate and </w:t>
      </w:r>
      <w:proofErr w:type="spellStart"/>
      <w:r w:rsidR="001A74C0" w:rsidRPr="001A74C0">
        <w:rPr>
          <w:lang w:val="en-GB"/>
        </w:rPr>
        <w:t>analyze</w:t>
      </w:r>
      <w:proofErr w:type="spellEnd"/>
      <w:r w:rsidR="001A74C0" w:rsidRPr="001A74C0">
        <w:rPr>
          <w:lang w:val="en-GB"/>
        </w:rPr>
        <w:t xml:space="preserve"> research into the relationship between emerging technologies and environmental efficiency. This analysis will conclude with the delivery of Technical Reports and specifications to benchmark best practices and describe pathways towards a standardized framework to assess environmental aspects of the adoption of emerging technologies.</w:t>
      </w:r>
    </w:p>
    <w:p w14:paraId="4C2D6891" w14:textId="2A84C346" w:rsidR="006944F8" w:rsidRPr="001615CC" w:rsidRDefault="00D64AF8" w:rsidP="006944F8">
      <w:pPr>
        <w:pStyle w:val="Heading1"/>
      </w:pPr>
      <w:bookmarkStart w:id="99" w:name="_Toc416161369"/>
      <w:bookmarkStart w:id="100" w:name="_Toc438553990"/>
      <w:bookmarkStart w:id="101" w:name="_Toc453929114"/>
      <w:bookmarkStart w:id="102" w:name="_Toc453932985"/>
      <w:bookmarkStart w:id="103" w:name="_Toc454295891"/>
      <w:bookmarkStart w:id="104" w:name="_Toc462664250"/>
      <w:bookmarkStart w:id="105" w:name="_Toc480527836"/>
      <w:bookmarkStart w:id="106" w:name="_Toc31967154"/>
      <w:bookmarkEnd w:id="92"/>
      <w:r w:rsidRPr="001615CC">
        <w:t>6</w:t>
      </w:r>
      <w:r w:rsidR="006944F8" w:rsidRPr="001615CC">
        <w:tab/>
        <w:t xml:space="preserve">Collaboration </w:t>
      </w:r>
      <w:bookmarkEnd w:id="99"/>
      <w:bookmarkEnd w:id="100"/>
      <w:bookmarkEnd w:id="101"/>
      <w:bookmarkEnd w:id="102"/>
      <w:bookmarkEnd w:id="103"/>
      <w:r w:rsidR="006944F8" w:rsidRPr="001615CC">
        <w:t>in standardization</w:t>
      </w:r>
      <w:bookmarkEnd w:id="104"/>
      <w:bookmarkEnd w:id="105"/>
      <w:bookmarkEnd w:id="106"/>
    </w:p>
    <w:p w14:paraId="1CFC3304" w14:textId="1080B867" w:rsidR="007A778B" w:rsidRDefault="00D64AF8" w:rsidP="006944F8">
      <w:pPr>
        <w:pStyle w:val="Heading2"/>
      </w:pPr>
      <w:bookmarkStart w:id="107" w:name="_Toc31967155"/>
      <w:bookmarkStart w:id="108" w:name="_Toc480527837"/>
      <w:bookmarkStart w:id="109" w:name="_Toc462664251"/>
      <w:r w:rsidRPr="001615CC">
        <w:t>6</w:t>
      </w:r>
      <w:r w:rsidR="006944F8" w:rsidRPr="001615CC">
        <w:t>.1</w:t>
      </w:r>
      <w:r w:rsidR="006944F8" w:rsidRPr="001615CC">
        <w:tab/>
      </w:r>
      <w:r w:rsidR="007A778B">
        <w:t>ITU</w:t>
      </w:r>
      <w:r w:rsidR="00C249A3">
        <w:t>-T</w:t>
      </w:r>
      <w:r w:rsidR="007A778B">
        <w:t xml:space="preserve"> </w:t>
      </w:r>
      <w:r w:rsidR="00F1765F">
        <w:t>SG</w:t>
      </w:r>
      <w:r w:rsidR="007A778B">
        <w:t xml:space="preserve"> Leadership Assembly</w:t>
      </w:r>
      <w:bookmarkEnd w:id="107"/>
    </w:p>
    <w:p w14:paraId="5134C74E" w14:textId="5B2406D1" w:rsidR="00AC1DA1" w:rsidRPr="006250C0" w:rsidRDefault="00AC1DA1" w:rsidP="00AC1DA1">
      <w:pPr>
        <w:rPr>
          <w:rFonts w:asciiTheme="majorBidi" w:hAnsiTheme="majorBidi" w:cstheme="majorBidi"/>
        </w:rPr>
      </w:pPr>
      <w:r w:rsidRPr="006250C0">
        <w:rPr>
          <w:rFonts w:asciiTheme="majorBidi" w:hAnsiTheme="majorBidi" w:cstheme="majorBidi"/>
        </w:rPr>
        <w:t xml:space="preserve">The second </w:t>
      </w:r>
      <w:r w:rsidR="001A74C0">
        <w:rPr>
          <w:rFonts w:asciiTheme="majorBidi" w:hAnsiTheme="majorBidi" w:cstheme="majorBidi"/>
        </w:rPr>
        <w:t xml:space="preserve">ITU-T </w:t>
      </w:r>
      <w:r w:rsidR="00F1765F">
        <w:rPr>
          <w:rFonts w:asciiTheme="majorBidi" w:hAnsiTheme="majorBidi" w:cstheme="majorBidi"/>
        </w:rPr>
        <w:t>SG</w:t>
      </w:r>
      <w:r w:rsidRPr="006250C0">
        <w:rPr>
          <w:rFonts w:asciiTheme="majorBidi" w:hAnsiTheme="majorBidi" w:cstheme="majorBidi"/>
        </w:rPr>
        <w:t xml:space="preserve"> Leadership Assembly </w:t>
      </w:r>
      <w:r w:rsidR="001A74C0">
        <w:rPr>
          <w:rFonts w:asciiTheme="majorBidi" w:hAnsiTheme="majorBidi" w:cstheme="majorBidi"/>
        </w:rPr>
        <w:t>was held in Budapest, Hungary, 9-10 September 2019, in conjunction with</w:t>
      </w:r>
      <w:r w:rsidRPr="006250C0">
        <w:rPr>
          <w:rFonts w:asciiTheme="majorBidi" w:hAnsiTheme="majorBidi" w:cstheme="majorBidi"/>
        </w:rPr>
        <w:t xml:space="preserve"> ITU Telecom World. It brought together more than 50 </w:t>
      </w:r>
      <w:r w:rsidR="00A160F2">
        <w:rPr>
          <w:rFonts w:asciiTheme="majorBidi" w:hAnsiTheme="majorBidi" w:cstheme="majorBidi"/>
        </w:rPr>
        <w:t xml:space="preserve">experts holding leadership positions in TSAG, </w:t>
      </w:r>
      <w:r w:rsidR="00F1765F">
        <w:rPr>
          <w:rFonts w:asciiTheme="majorBidi" w:hAnsiTheme="majorBidi" w:cstheme="majorBidi"/>
        </w:rPr>
        <w:t>SG</w:t>
      </w:r>
      <w:r w:rsidR="00A160F2">
        <w:rPr>
          <w:rFonts w:asciiTheme="majorBidi" w:hAnsiTheme="majorBidi" w:cstheme="majorBidi"/>
        </w:rPr>
        <w:t xml:space="preserve">s and </w:t>
      </w:r>
      <w:r w:rsidR="00CE3E09">
        <w:rPr>
          <w:rFonts w:asciiTheme="majorBidi" w:hAnsiTheme="majorBidi" w:cstheme="majorBidi"/>
        </w:rPr>
        <w:t xml:space="preserve">FGs </w:t>
      </w:r>
      <w:r w:rsidRPr="006250C0">
        <w:rPr>
          <w:rFonts w:asciiTheme="majorBidi" w:hAnsiTheme="majorBidi" w:cstheme="majorBidi"/>
        </w:rPr>
        <w:t>to discuss technical matters of growing strategic relevance to ITU standardization, and to identify opportunities for collaboration.</w:t>
      </w:r>
    </w:p>
    <w:p w14:paraId="70CEC9A2" w14:textId="5E65DF94" w:rsidR="00AC1DA1" w:rsidRPr="006250C0" w:rsidRDefault="00AC1DA1" w:rsidP="00AC1DA1">
      <w:pPr>
        <w:rPr>
          <w:rFonts w:asciiTheme="majorBidi" w:hAnsiTheme="majorBidi" w:cstheme="majorBidi"/>
        </w:rPr>
      </w:pPr>
      <w:r w:rsidRPr="006250C0">
        <w:rPr>
          <w:rFonts w:asciiTheme="majorBidi" w:hAnsiTheme="majorBidi" w:cstheme="majorBidi"/>
        </w:rPr>
        <w:t xml:space="preserve">Topics considered by the assembly included the standardization needs of AI-enabled multimedia systems for health and vehicles; 5G systems and their enablers; machine learning </w:t>
      </w:r>
      <w:r w:rsidR="00A160F2">
        <w:rPr>
          <w:rFonts w:asciiTheme="majorBidi" w:hAnsiTheme="majorBidi" w:cstheme="majorBidi"/>
        </w:rPr>
        <w:t>in ICT networks</w:t>
      </w:r>
      <w:r w:rsidRPr="006250C0">
        <w:rPr>
          <w:rFonts w:asciiTheme="majorBidi" w:hAnsiTheme="majorBidi" w:cstheme="majorBidi"/>
        </w:rPr>
        <w:t>; numbering, naming, addressing and identification</w:t>
      </w:r>
      <w:r w:rsidR="00A160F2">
        <w:rPr>
          <w:rFonts w:asciiTheme="majorBidi" w:hAnsiTheme="majorBidi" w:cstheme="majorBidi"/>
        </w:rPr>
        <w:t xml:space="preserve">; </w:t>
      </w:r>
      <w:r w:rsidRPr="006250C0">
        <w:rPr>
          <w:rFonts w:asciiTheme="majorBidi" w:hAnsiTheme="majorBidi" w:cstheme="majorBidi"/>
        </w:rPr>
        <w:t>and security, privacy and trust.</w:t>
      </w:r>
    </w:p>
    <w:p w14:paraId="481A44EF" w14:textId="07EAC473" w:rsidR="00AC1DA1" w:rsidRPr="006250C0" w:rsidRDefault="00A160F2" w:rsidP="00AC1DA1">
      <w:pPr>
        <w:rPr>
          <w:rFonts w:asciiTheme="majorBidi" w:hAnsiTheme="majorBidi" w:cstheme="majorBidi"/>
        </w:rPr>
      </w:pPr>
      <w:r>
        <w:rPr>
          <w:rFonts w:asciiTheme="majorBidi" w:hAnsiTheme="majorBidi" w:cstheme="majorBidi"/>
        </w:rPr>
        <w:t xml:space="preserve">In anticipation of the ITU </w:t>
      </w:r>
      <w:r w:rsidR="00AC1DA1" w:rsidRPr="006250C0">
        <w:rPr>
          <w:rFonts w:asciiTheme="majorBidi" w:hAnsiTheme="majorBidi" w:cstheme="majorBidi"/>
        </w:rPr>
        <w:t xml:space="preserve">World Telecommunication Standardization Assembly </w:t>
      </w:r>
      <w:r>
        <w:rPr>
          <w:rFonts w:asciiTheme="majorBidi" w:hAnsiTheme="majorBidi" w:cstheme="majorBidi"/>
        </w:rPr>
        <w:t xml:space="preserve">2020 </w:t>
      </w:r>
      <w:r w:rsidR="00AC1DA1" w:rsidRPr="006250C0">
        <w:rPr>
          <w:rFonts w:asciiTheme="majorBidi" w:hAnsiTheme="majorBidi" w:cstheme="majorBidi"/>
        </w:rPr>
        <w:t>(WTSA-20), participants reiterated the need to strengthen collaboration and cooperation a</w:t>
      </w:r>
      <w:r>
        <w:rPr>
          <w:rFonts w:asciiTheme="majorBidi" w:hAnsiTheme="majorBidi" w:cstheme="majorBidi"/>
        </w:rPr>
        <w:t>cross</w:t>
      </w:r>
      <w:r w:rsidR="00AC1DA1" w:rsidRPr="006250C0">
        <w:rPr>
          <w:rFonts w:asciiTheme="majorBidi" w:hAnsiTheme="majorBidi" w:cstheme="majorBidi"/>
        </w:rPr>
        <w:t xml:space="preserve"> all ITU-T activities, and to share information and results more regularly and effectively. Participants also stressed the</w:t>
      </w:r>
      <w:r>
        <w:rPr>
          <w:rFonts w:asciiTheme="majorBidi" w:hAnsiTheme="majorBidi" w:cstheme="majorBidi"/>
        </w:rPr>
        <w:t xml:space="preserve"> importance of the</w:t>
      </w:r>
      <w:r w:rsidR="00AC1DA1" w:rsidRPr="006250C0">
        <w:rPr>
          <w:rFonts w:asciiTheme="majorBidi" w:hAnsiTheme="majorBidi" w:cstheme="majorBidi"/>
        </w:rPr>
        <w:t xml:space="preserve"> role </w:t>
      </w:r>
      <w:r>
        <w:rPr>
          <w:rFonts w:asciiTheme="majorBidi" w:hAnsiTheme="majorBidi" w:cstheme="majorBidi"/>
        </w:rPr>
        <w:t xml:space="preserve">played by </w:t>
      </w:r>
      <w:r w:rsidR="00AC1DA1" w:rsidRPr="006250C0">
        <w:rPr>
          <w:rFonts w:asciiTheme="majorBidi" w:hAnsiTheme="majorBidi" w:cstheme="majorBidi"/>
        </w:rPr>
        <w:t xml:space="preserve">TSAG and its rapporteur groups in assessing to what extent the </w:t>
      </w:r>
      <w:r>
        <w:rPr>
          <w:rFonts w:asciiTheme="majorBidi" w:hAnsiTheme="majorBidi" w:cstheme="majorBidi"/>
        </w:rPr>
        <w:t xml:space="preserve">needs of ITU-T are met by the </w:t>
      </w:r>
      <w:r w:rsidR="00AC1DA1" w:rsidRPr="006250C0">
        <w:rPr>
          <w:rFonts w:asciiTheme="majorBidi" w:hAnsiTheme="majorBidi" w:cstheme="majorBidi"/>
        </w:rPr>
        <w:t xml:space="preserve">current </w:t>
      </w:r>
      <w:r w:rsidR="00F1765F">
        <w:rPr>
          <w:rFonts w:asciiTheme="majorBidi" w:hAnsiTheme="majorBidi" w:cstheme="majorBidi"/>
        </w:rPr>
        <w:t>SG</w:t>
      </w:r>
      <w:r w:rsidR="00AC1DA1" w:rsidRPr="006250C0">
        <w:rPr>
          <w:rFonts w:asciiTheme="majorBidi" w:hAnsiTheme="majorBidi" w:cstheme="majorBidi"/>
        </w:rPr>
        <w:t xml:space="preserve"> structure and existing mechanisms for internal and external collabora</w:t>
      </w:r>
      <w:r w:rsidR="00AC1DA1">
        <w:rPr>
          <w:rFonts w:asciiTheme="majorBidi" w:hAnsiTheme="majorBidi" w:cstheme="majorBidi"/>
        </w:rPr>
        <w:t>tion</w:t>
      </w:r>
      <w:r w:rsidR="00AC1DA1" w:rsidRPr="006250C0">
        <w:rPr>
          <w:rFonts w:asciiTheme="majorBidi" w:hAnsiTheme="majorBidi" w:cstheme="majorBidi"/>
        </w:rPr>
        <w:t>.</w:t>
      </w:r>
    </w:p>
    <w:p w14:paraId="32D3730B" w14:textId="60400130" w:rsidR="00AC1DA1" w:rsidRPr="006250C0" w:rsidRDefault="00AC1DA1" w:rsidP="00AC1DA1">
      <w:pPr>
        <w:rPr>
          <w:rFonts w:asciiTheme="majorBidi" w:hAnsiTheme="majorBidi" w:cstheme="majorBidi"/>
        </w:rPr>
      </w:pPr>
      <w:r w:rsidRPr="006250C0">
        <w:rPr>
          <w:rFonts w:asciiTheme="majorBidi" w:hAnsiTheme="majorBidi" w:cstheme="majorBidi"/>
        </w:rPr>
        <w:t xml:space="preserve">Areas identified </w:t>
      </w:r>
      <w:r w:rsidR="00A160F2">
        <w:rPr>
          <w:rFonts w:asciiTheme="majorBidi" w:hAnsiTheme="majorBidi" w:cstheme="majorBidi"/>
        </w:rPr>
        <w:t xml:space="preserve">as in need of ITU-T leadership, and </w:t>
      </w:r>
      <w:r w:rsidRPr="006250C0">
        <w:rPr>
          <w:rFonts w:asciiTheme="majorBidi" w:hAnsiTheme="majorBidi" w:cstheme="majorBidi"/>
        </w:rPr>
        <w:t xml:space="preserve">closer </w:t>
      </w:r>
      <w:r w:rsidR="00A160F2">
        <w:rPr>
          <w:rFonts w:asciiTheme="majorBidi" w:hAnsiTheme="majorBidi" w:cstheme="majorBidi"/>
        </w:rPr>
        <w:t xml:space="preserve">supporting </w:t>
      </w:r>
      <w:r w:rsidRPr="006250C0">
        <w:rPr>
          <w:rFonts w:asciiTheme="majorBidi" w:hAnsiTheme="majorBidi" w:cstheme="majorBidi"/>
        </w:rPr>
        <w:t>collaboration</w:t>
      </w:r>
      <w:r w:rsidR="00A160F2">
        <w:rPr>
          <w:rFonts w:asciiTheme="majorBidi" w:hAnsiTheme="majorBidi" w:cstheme="majorBidi"/>
        </w:rPr>
        <w:t xml:space="preserve"> within ITU-T</w:t>
      </w:r>
      <w:r>
        <w:rPr>
          <w:rFonts w:asciiTheme="majorBidi" w:hAnsiTheme="majorBidi" w:cstheme="majorBidi"/>
        </w:rPr>
        <w:t>, included:</w:t>
      </w:r>
    </w:p>
    <w:p w14:paraId="74F14E40" w14:textId="77777777"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Use of AI and machine learning for networks and services;</w:t>
      </w:r>
    </w:p>
    <w:p w14:paraId="6853E49C" w14:textId="5EECDA4D"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lastRenderedPageBreak/>
        <w:t>Network slicing (e.g., diversity of network slices, their management and operation, identificat</w:t>
      </w:r>
      <w:r w:rsidR="00B74075">
        <w:rPr>
          <w:rFonts w:asciiTheme="majorBidi" w:hAnsiTheme="majorBidi" w:cstheme="majorBidi"/>
        </w:rPr>
        <w:t>ion and security requirements);</w:t>
      </w:r>
    </w:p>
    <w:p w14:paraId="75761C25" w14:textId="72C8BE98"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 xml:space="preserve">Network functions and capabilities at the boundary of </w:t>
      </w:r>
      <w:r w:rsidR="00A160F2">
        <w:rPr>
          <w:rFonts w:asciiTheme="majorBidi" w:hAnsiTheme="majorBidi" w:cstheme="majorBidi"/>
        </w:rPr>
        <w:t xml:space="preserve">the </w:t>
      </w:r>
      <w:r w:rsidRPr="006250C0">
        <w:rPr>
          <w:rFonts w:asciiTheme="majorBidi" w:hAnsiTheme="majorBidi" w:cstheme="majorBidi"/>
        </w:rPr>
        <w:t>data plane, control plane and ma</w:t>
      </w:r>
      <w:r w:rsidR="00B74075">
        <w:rPr>
          <w:rFonts w:asciiTheme="majorBidi" w:hAnsiTheme="majorBidi" w:cstheme="majorBidi"/>
        </w:rPr>
        <w:t>nagement plane (orchestration);</w:t>
      </w:r>
    </w:p>
    <w:p w14:paraId="4F22B1B9" w14:textId="77777777"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A framework to benchmark AI algorithms with respect to their performance and robustness;</w:t>
      </w:r>
    </w:p>
    <w:p w14:paraId="0108F0D6" w14:textId="127A6B34"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Applications enabled by AI systems in health a</w:t>
      </w:r>
      <w:r w:rsidR="00A160F2">
        <w:rPr>
          <w:rFonts w:asciiTheme="majorBidi" w:hAnsiTheme="majorBidi" w:cstheme="majorBidi"/>
        </w:rPr>
        <w:t xml:space="preserve">s well as </w:t>
      </w:r>
      <w:r w:rsidRPr="006250C0">
        <w:rPr>
          <w:rFonts w:asciiTheme="majorBidi" w:hAnsiTheme="majorBidi" w:cstheme="majorBidi"/>
        </w:rPr>
        <w:t>autonomous and assisted driving;</w:t>
      </w:r>
    </w:p>
    <w:p w14:paraId="4F0BE110" w14:textId="1B2DF4E6"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 xml:space="preserve">Numbering, naming, addressing and identification </w:t>
      </w:r>
      <w:r w:rsidR="00A160F2">
        <w:rPr>
          <w:rFonts w:asciiTheme="majorBidi" w:hAnsiTheme="majorBidi" w:cstheme="majorBidi"/>
        </w:rPr>
        <w:t xml:space="preserve">in fields including </w:t>
      </w:r>
      <w:r w:rsidRPr="006250C0">
        <w:rPr>
          <w:rFonts w:asciiTheme="majorBidi" w:hAnsiTheme="majorBidi" w:cstheme="majorBidi"/>
        </w:rPr>
        <w:t>IoT, 5G</w:t>
      </w:r>
      <w:r w:rsidR="00A160F2">
        <w:rPr>
          <w:rFonts w:asciiTheme="majorBidi" w:hAnsiTheme="majorBidi" w:cstheme="majorBidi"/>
        </w:rPr>
        <w:t xml:space="preserve"> and </w:t>
      </w:r>
      <w:r w:rsidRPr="006250C0">
        <w:rPr>
          <w:rFonts w:asciiTheme="majorBidi" w:hAnsiTheme="majorBidi" w:cstheme="majorBidi"/>
        </w:rPr>
        <w:t>network slicing;</w:t>
      </w:r>
    </w:p>
    <w:p w14:paraId="15C5F9CF" w14:textId="4D18D10E"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 xml:space="preserve">Identity management, ENUM, caller ID spoofing, and </w:t>
      </w:r>
      <w:r w:rsidR="00A160F2">
        <w:rPr>
          <w:rFonts w:asciiTheme="majorBidi" w:hAnsiTheme="majorBidi" w:cstheme="majorBidi"/>
        </w:rPr>
        <w:t xml:space="preserve">the </w:t>
      </w:r>
      <w:r w:rsidRPr="006250C0">
        <w:rPr>
          <w:rFonts w:asciiTheme="majorBidi" w:hAnsiTheme="majorBidi" w:cstheme="majorBidi"/>
        </w:rPr>
        <w:t xml:space="preserve">mitigation of </w:t>
      </w:r>
      <w:r w:rsidR="00A160F2">
        <w:rPr>
          <w:rFonts w:asciiTheme="majorBidi" w:hAnsiTheme="majorBidi" w:cstheme="majorBidi"/>
        </w:rPr>
        <w:t xml:space="preserve">other </w:t>
      </w:r>
      <w:r w:rsidRPr="006250C0">
        <w:rPr>
          <w:rFonts w:asciiTheme="majorBidi" w:hAnsiTheme="majorBidi" w:cstheme="majorBidi"/>
        </w:rPr>
        <w:t>SS7 vulnerabilities;</w:t>
      </w:r>
    </w:p>
    <w:p w14:paraId="670D34B7" w14:textId="77777777"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Security, privacy and trust for networks and network functions in the 5G era;</w:t>
      </w:r>
    </w:p>
    <w:p w14:paraId="00AC4B5E" w14:textId="77777777"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Cybersecurity threat intelligence;</w:t>
      </w:r>
    </w:p>
    <w:p w14:paraId="6CD4046D" w14:textId="4C18D416"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Energy efficiency and climate change; and</w:t>
      </w:r>
      <w:r w:rsidR="00CE3E09">
        <w:rPr>
          <w:rFonts w:asciiTheme="majorBidi" w:hAnsiTheme="majorBidi" w:cstheme="majorBidi"/>
        </w:rPr>
        <w:t>,</w:t>
      </w:r>
    </w:p>
    <w:p w14:paraId="1CBABB0B" w14:textId="77777777" w:rsidR="00AC1DA1" w:rsidRPr="006250C0" w:rsidRDefault="00AC1DA1" w:rsidP="009363BD">
      <w:pPr>
        <w:numPr>
          <w:ilvl w:val="0"/>
          <w:numId w:val="37"/>
        </w:numPr>
        <w:tabs>
          <w:tab w:val="clear" w:pos="794"/>
          <w:tab w:val="clear" w:pos="1191"/>
          <w:tab w:val="clear" w:pos="1588"/>
          <w:tab w:val="clear" w:pos="1985"/>
        </w:tabs>
        <w:overflowPunct/>
        <w:autoSpaceDE/>
        <w:autoSpaceDN/>
        <w:adjustRightInd/>
        <w:textAlignment w:val="auto"/>
        <w:rPr>
          <w:rFonts w:asciiTheme="majorBidi" w:hAnsiTheme="majorBidi" w:cstheme="majorBidi"/>
        </w:rPr>
      </w:pPr>
      <w:r w:rsidRPr="006250C0">
        <w:rPr>
          <w:rFonts w:asciiTheme="majorBidi" w:hAnsiTheme="majorBidi" w:cstheme="majorBidi"/>
        </w:rPr>
        <w:t>Architecture considerations and methodologies, including orchestration of various functions.</w:t>
      </w:r>
    </w:p>
    <w:p w14:paraId="7BE76904" w14:textId="0ED02E31" w:rsidR="00105CFB" w:rsidRPr="00662764" w:rsidRDefault="00AC1DA1" w:rsidP="00AC1DA1">
      <w:pPr>
        <w:rPr>
          <w:rFonts w:asciiTheme="majorBidi" w:hAnsiTheme="majorBidi" w:cstheme="majorBidi"/>
        </w:rPr>
      </w:pPr>
      <w:r w:rsidRPr="006250C0">
        <w:rPr>
          <w:rFonts w:asciiTheme="majorBidi" w:hAnsiTheme="majorBidi" w:cstheme="majorBidi"/>
        </w:rPr>
        <w:t xml:space="preserve">The </w:t>
      </w:r>
      <w:r w:rsidR="00A160F2">
        <w:rPr>
          <w:rFonts w:asciiTheme="majorBidi" w:hAnsiTheme="majorBidi" w:cstheme="majorBidi"/>
        </w:rPr>
        <w:t xml:space="preserve">discussions of the </w:t>
      </w:r>
      <w:r w:rsidRPr="006250C0">
        <w:rPr>
          <w:rFonts w:asciiTheme="majorBidi" w:hAnsiTheme="majorBidi" w:cstheme="majorBidi"/>
        </w:rPr>
        <w:t xml:space="preserve">five thematic sessions of the </w:t>
      </w:r>
      <w:r w:rsidR="00F1765F">
        <w:rPr>
          <w:rFonts w:asciiTheme="majorBidi" w:hAnsiTheme="majorBidi" w:cstheme="majorBidi"/>
        </w:rPr>
        <w:t>SG</w:t>
      </w:r>
      <w:r w:rsidRPr="006250C0">
        <w:rPr>
          <w:rFonts w:asciiTheme="majorBidi" w:hAnsiTheme="majorBidi" w:cstheme="majorBidi"/>
        </w:rPr>
        <w:t xml:space="preserve"> Leadership Assembly are summarized in Annex in more detail. </w:t>
      </w:r>
      <w:r w:rsidR="00A160F2">
        <w:rPr>
          <w:rFonts w:asciiTheme="majorBidi" w:hAnsiTheme="majorBidi" w:cstheme="majorBidi"/>
        </w:rPr>
        <w:t>The assembly’s a</w:t>
      </w:r>
      <w:r w:rsidRPr="006250C0">
        <w:rPr>
          <w:rFonts w:asciiTheme="majorBidi" w:hAnsiTheme="majorBidi" w:cstheme="majorBidi"/>
        </w:rPr>
        <w:t>genda, pre</w:t>
      </w:r>
      <w:r w:rsidRPr="00AC1DA1">
        <w:rPr>
          <w:rFonts w:asciiTheme="majorBidi" w:hAnsiTheme="majorBidi" w:cstheme="majorBidi"/>
          <w:szCs w:val="24"/>
        </w:rPr>
        <w:t>sentation material</w:t>
      </w:r>
      <w:r w:rsidR="00A160F2">
        <w:rPr>
          <w:rFonts w:asciiTheme="majorBidi" w:hAnsiTheme="majorBidi" w:cstheme="majorBidi"/>
          <w:szCs w:val="24"/>
        </w:rPr>
        <w:t>s</w:t>
      </w:r>
      <w:r w:rsidRPr="00AC1DA1">
        <w:rPr>
          <w:rFonts w:asciiTheme="majorBidi" w:hAnsiTheme="majorBidi" w:cstheme="majorBidi"/>
          <w:szCs w:val="24"/>
        </w:rPr>
        <w:t xml:space="preserve"> and list of participants can be found at </w:t>
      </w:r>
      <w:hyperlink r:id="rId124" w:history="1">
        <w:r w:rsidRPr="00AC1DA1">
          <w:rPr>
            <w:rStyle w:val="Hyperlink"/>
            <w:rFonts w:cstheme="majorBidi"/>
            <w:szCs w:val="24"/>
          </w:rPr>
          <w:t>https://itu.int/en/ITU-T/studygroups/2017-2020/Pages/sgla.aspx</w:t>
        </w:r>
      </w:hyperlink>
      <w:r w:rsidRPr="00AC1DA1">
        <w:rPr>
          <w:rFonts w:asciiTheme="majorBidi" w:hAnsiTheme="majorBidi" w:cstheme="majorBidi"/>
          <w:szCs w:val="24"/>
        </w:rPr>
        <w:t xml:space="preserve">. </w:t>
      </w:r>
      <w:r w:rsidR="00A160F2">
        <w:rPr>
          <w:rFonts w:asciiTheme="majorBidi" w:hAnsiTheme="majorBidi" w:cstheme="majorBidi"/>
          <w:szCs w:val="24"/>
        </w:rPr>
        <w:t>S</w:t>
      </w:r>
      <w:r w:rsidRPr="00AC1DA1">
        <w:rPr>
          <w:rFonts w:asciiTheme="majorBidi" w:hAnsiTheme="majorBidi" w:cstheme="majorBidi"/>
          <w:szCs w:val="24"/>
        </w:rPr>
        <w:t>ee also the</w:t>
      </w:r>
      <w:r w:rsidR="00A160F2">
        <w:rPr>
          <w:rFonts w:asciiTheme="majorBidi" w:hAnsiTheme="majorBidi" w:cstheme="majorBidi"/>
          <w:szCs w:val="24"/>
        </w:rPr>
        <w:t xml:space="preserve"> assembly’s </w:t>
      </w:r>
      <w:r w:rsidR="00A160F2">
        <w:rPr>
          <w:szCs w:val="24"/>
          <w:lang w:val="en-GB"/>
        </w:rPr>
        <w:t>s</w:t>
      </w:r>
      <w:r w:rsidRPr="00AC1DA1">
        <w:rPr>
          <w:szCs w:val="24"/>
          <w:lang w:val="en-GB"/>
        </w:rPr>
        <w:t>ummary record</w:t>
      </w:r>
      <w:r w:rsidR="004D2E89">
        <w:rPr>
          <w:szCs w:val="24"/>
          <w:lang w:val="en-GB"/>
        </w:rPr>
        <w:t xml:space="preserve"> in</w:t>
      </w:r>
      <w:r w:rsidRPr="00AC1DA1">
        <w:rPr>
          <w:rFonts w:asciiTheme="majorBidi" w:hAnsiTheme="majorBidi" w:cstheme="majorBidi"/>
          <w:szCs w:val="24"/>
        </w:rPr>
        <w:t xml:space="preserve"> </w:t>
      </w:r>
      <w:hyperlink r:id="rId125" w:history="1">
        <w:r w:rsidRPr="00AC1DA1">
          <w:rPr>
            <w:rStyle w:val="Hyperlink"/>
            <w:szCs w:val="24"/>
          </w:rPr>
          <w:t>TSAG</w:t>
        </w:r>
        <w:r>
          <w:rPr>
            <w:rStyle w:val="Hyperlink"/>
            <w:szCs w:val="24"/>
          </w:rPr>
          <w:t>-</w:t>
        </w:r>
        <w:r w:rsidRPr="00AC1DA1">
          <w:rPr>
            <w:rStyle w:val="Hyperlink"/>
            <w:szCs w:val="24"/>
          </w:rPr>
          <w:t>TD578</w:t>
        </w:r>
      </w:hyperlink>
      <w:r w:rsidR="00105CFB" w:rsidRPr="00105CFB">
        <w:rPr>
          <w:rFonts w:asciiTheme="majorBidi" w:hAnsiTheme="majorBidi" w:cstheme="majorBidi"/>
        </w:rPr>
        <w:t>.</w:t>
      </w:r>
    </w:p>
    <w:p w14:paraId="05115733" w14:textId="3C4CB1A6" w:rsidR="006944F8" w:rsidRPr="001615CC" w:rsidRDefault="007A778B" w:rsidP="006944F8">
      <w:pPr>
        <w:pStyle w:val="Heading2"/>
      </w:pPr>
      <w:bookmarkStart w:id="110" w:name="_Toc31967156"/>
      <w:r>
        <w:t>6.2</w:t>
      </w:r>
      <w:r>
        <w:tab/>
      </w:r>
      <w:r w:rsidR="006944F8" w:rsidRPr="001615CC">
        <w:t>Coordination and cooperation among ITU Sectors</w:t>
      </w:r>
      <w:bookmarkEnd w:id="108"/>
      <w:bookmarkEnd w:id="110"/>
    </w:p>
    <w:p w14:paraId="1527D375" w14:textId="1BC35A39" w:rsidR="002534EE" w:rsidRPr="007550B0" w:rsidRDefault="006944F8" w:rsidP="006944F8">
      <w:pPr>
        <w:rPr>
          <w:lang w:val="en-GB"/>
        </w:rPr>
      </w:pPr>
      <w:r w:rsidRPr="007550B0">
        <w:rPr>
          <w:lang w:val="en-GB"/>
        </w:rPr>
        <w:t>Collaboration with ITU-R and with ITU-D is a standing agenda point of TSAG, where TSAG examines existing methods and approaches to collaboration or cooperation with other sectors, with the view to encouraging ITU-T to work more collaboratively or cooperatively in a reciprocal manner, and review is performed on a regular basis</w:t>
      </w:r>
      <w:r w:rsidR="000F68DB" w:rsidRPr="007550B0">
        <w:rPr>
          <w:lang w:val="en-GB"/>
        </w:rPr>
        <w:t xml:space="preserve"> based on information received.</w:t>
      </w:r>
    </w:p>
    <w:p w14:paraId="60E22E7E" w14:textId="1C5E3587" w:rsidR="002534EE" w:rsidRPr="007550B0" w:rsidRDefault="006944F8" w:rsidP="009E5FFA">
      <w:pPr>
        <w:rPr>
          <w:lang w:val="en-GB"/>
        </w:rPr>
      </w:pPr>
      <w:r w:rsidRPr="007550B0">
        <w:rPr>
          <w:lang w:val="en-GB"/>
        </w:rPr>
        <w:t>TSAG</w:t>
      </w:r>
      <w:r w:rsidR="002534EE" w:rsidRPr="007550B0">
        <w:rPr>
          <w:lang w:val="en-GB"/>
        </w:rPr>
        <w:t xml:space="preserve"> </w:t>
      </w:r>
      <w:r w:rsidRPr="007550B0">
        <w:rPr>
          <w:lang w:val="en-GB"/>
        </w:rPr>
        <w:t>maintains a close relationship with RAG and TDAG in order to develop synergies with the objective of strengthening coordination and cooperation among the three ITU Sectors on matters of mutual interest.</w:t>
      </w:r>
      <w:bookmarkStart w:id="111" w:name="Item18_01"/>
      <w:bookmarkEnd w:id="111"/>
    </w:p>
    <w:p w14:paraId="054AEED0" w14:textId="1214FF54" w:rsidR="006944F8" w:rsidRPr="007F20DF" w:rsidRDefault="006944F8" w:rsidP="009E5FFA">
      <w:pPr>
        <w:rPr>
          <w:lang w:val="en-GB"/>
        </w:rPr>
      </w:pPr>
      <w:r w:rsidRPr="007F20DF">
        <w:rPr>
          <w:lang w:val="en-GB"/>
        </w:rPr>
        <w:t xml:space="preserve">Three </w:t>
      </w:r>
      <w:r w:rsidR="00515A4B" w:rsidRPr="007F20DF">
        <w:rPr>
          <w:lang w:val="en-GB"/>
        </w:rPr>
        <w:t>I</w:t>
      </w:r>
      <w:r w:rsidRPr="007F20DF">
        <w:rPr>
          <w:lang w:val="en-GB"/>
        </w:rPr>
        <w:t>nter-Sector Rapporteur groups (IRGs) work on items of interest</w:t>
      </w:r>
      <w:r w:rsidR="00317510" w:rsidRPr="007F20DF">
        <w:rPr>
          <w:lang w:val="en-GB"/>
        </w:rPr>
        <w:t xml:space="preserve"> to various ITU-T and ITU-R </w:t>
      </w:r>
      <w:r w:rsidR="00F1765F">
        <w:rPr>
          <w:lang w:val="en-GB"/>
        </w:rPr>
        <w:t>SG</w:t>
      </w:r>
      <w:r w:rsidRPr="007F20DF">
        <w:rPr>
          <w:lang w:val="en-GB"/>
        </w:rPr>
        <w:t>s.</w:t>
      </w:r>
    </w:p>
    <w:p w14:paraId="26B84647" w14:textId="4A93F070" w:rsidR="006944F8" w:rsidRPr="007F20DF" w:rsidRDefault="006944F8" w:rsidP="009363BD">
      <w:pPr>
        <w:numPr>
          <w:ilvl w:val="0"/>
          <w:numId w:val="34"/>
        </w:numPr>
        <w:rPr>
          <w:lang w:val="en-GB"/>
        </w:rPr>
      </w:pPr>
      <w:r w:rsidRPr="007F20DF">
        <w:rPr>
          <w:lang w:val="en-GB"/>
        </w:rPr>
        <w:t xml:space="preserve">IRG-AVA: </w:t>
      </w:r>
      <w:proofErr w:type="spellStart"/>
      <w:r w:rsidRPr="007F20DF">
        <w:rPr>
          <w:lang w:val="en-GB"/>
        </w:rPr>
        <w:t>Intersector</w:t>
      </w:r>
      <w:proofErr w:type="spellEnd"/>
      <w:r w:rsidRPr="007F20DF">
        <w:rPr>
          <w:lang w:val="en-GB"/>
        </w:rPr>
        <w:t xml:space="preserve"> Rapporteur Group </w:t>
      </w:r>
      <w:r w:rsidR="007A4BDE">
        <w:rPr>
          <w:lang w:val="en-GB"/>
        </w:rPr>
        <w:t xml:space="preserve">on </w:t>
      </w:r>
      <w:proofErr w:type="spellStart"/>
      <w:r w:rsidRPr="007F20DF">
        <w:rPr>
          <w:lang w:val="en-GB"/>
        </w:rPr>
        <w:t>Audiovisual</w:t>
      </w:r>
      <w:proofErr w:type="spellEnd"/>
      <w:r w:rsidRPr="007F20DF">
        <w:rPr>
          <w:lang w:val="en-GB"/>
        </w:rPr>
        <w:t xml:space="preserve"> Media Accessibility, among ITU-T SG9, ITU-T SG16 and ITU-R SG6.</w:t>
      </w:r>
    </w:p>
    <w:p w14:paraId="066CEBC9" w14:textId="287BD800" w:rsidR="006944F8" w:rsidRPr="007F20DF" w:rsidRDefault="006944F8" w:rsidP="009363BD">
      <w:pPr>
        <w:numPr>
          <w:ilvl w:val="0"/>
          <w:numId w:val="34"/>
        </w:numPr>
        <w:rPr>
          <w:lang w:val="en-GB"/>
        </w:rPr>
      </w:pPr>
      <w:r w:rsidRPr="007F20DF">
        <w:rPr>
          <w:lang w:val="en-GB"/>
        </w:rPr>
        <w:t xml:space="preserve">IRG-AVQA: </w:t>
      </w:r>
      <w:proofErr w:type="spellStart"/>
      <w:r w:rsidRPr="007F20DF">
        <w:rPr>
          <w:lang w:val="en-GB"/>
        </w:rPr>
        <w:t>Intersector</w:t>
      </w:r>
      <w:proofErr w:type="spellEnd"/>
      <w:r w:rsidRPr="007F20DF">
        <w:rPr>
          <w:lang w:val="en-GB"/>
        </w:rPr>
        <w:t xml:space="preserve"> Rapporteur Group </w:t>
      </w:r>
      <w:r w:rsidR="007A4BDE">
        <w:rPr>
          <w:lang w:val="en-GB"/>
        </w:rPr>
        <w:t xml:space="preserve">on </w:t>
      </w:r>
      <w:proofErr w:type="spellStart"/>
      <w:r w:rsidRPr="007F20DF">
        <w:rPr>
          <w:lang w:val="en-GB"/>
        </w:rPr>
        <w:t>Audiovisual</w:t>
      </w:r>
      <w:proofErr w:type="spellEnd"/>
      <w:r w:rsidRPr="007F20DF">
        <w:rPr>
          <w:lang w:val="en-GB"/>
        </w:rPr>
        <w:t xml:space="preserve"> Quality Assessment, among ITU-T SG12 and ITU-R SG6.</w:t>
      </w:r>
      <w:r w:rsidR="007D4EAE">
        <w:rPr>
          <w:lang w:val="en-GB"/>
        </w:rPr>
        <w:t xml:space="preserve"> The next meeting is planned for March 2020, in conjunction with the Video Quality Expert Group (VQEG).</w:t>
      </w:r>
    </w:p>
    <w:p w14:paraId="1B9E3744" w14:textId="321A2D46" w:rsidR="006944F8" w:rsidRPr="007F20DF" w:rsidRDefault="006944F8" w:rsidP="009363BD">
      <w:pPr>
        <w:numPr>
          <w:ilvl w:val="0"/>
          <w:numId w:val="34"/>
        </w:numPr>
        <w:rPr>
          <w:lang w:val="en-GB"/>
        </w:rPr>
      </w:pPr>
      <w:r w:rsidRPr="007F20DF">
        <w:rPr>
          <w:lang w:val="en-GB"/>
        </w:rPr>
        <w:t xml:space="preserve">IRG-IBB: </w:t>
      </w:r>
      <w:proofErr w:type="spellStart"/>
      <w:r w:rsidRPr="007F20DF">
        <w:rPr>
          <w:lang w:val="en-GB"/>
        </w:rPr>
        <w:t>Intersector</w:t>
      </w:r>
      <w:proofErr w:type="spellEnd"/>
      <w:r w:rsidRPr="007F20DF">
        <w:rPr>
          <w:lang w:val="en-GB"/>
        </w:rPr>
        <w:t xml:space="preserve"> Rapporteur Group </w:t>
      </w:r>
      <w:r w:rsidR="007A4BDE">
        <w:rPr>
          <w:lang w:val="en-GB"/>
        </w:rPr>
        <w:t xml:space="preserve">on </w:t>
      </w:r>
      <w:r w:rsidRPr="007F20DF">
        <w:rPr>
          <w:lang w:val="en-GB"/>
        </w:rPr>
        <w:t xml:space="preserve">Integrated Broadcast-Broadband, </w:t>
      </w:r>
      <w:r w:rsidR="007A4BDE">
        <w:rPr>
          <w:lang w:val="en-GB"/>
        </w:rPr>
        <w:t>among</w:t>
      </w:r>
      <w:r w:rsidRPr="007F20DF">
        <w:rPr>
          <w:lang w:val="en-GB"/>
        </w:rPr>
        <w:t xml:space="preserve"> ITU-T SG9, ITU-T SG16 and ITU-R WP 6B.</w:t>
      </w:r>
    </w:p>
    <w:p w14:paraId="1FBAFCDA" w14:textId="75DF2620" w:rsidR="006944F8" w:rsidRPr="00D015B4" w:rsidRDefault="006944F8" w:rsidP="009E5FFA">
      <w:pPr>
        <w:rPr>
          <w:lang w:val="en-GB"/>
        </w:rPr>
      </w:pPr>
      <w:r w:rsidRPr="00D015B4">
        <w:rPr>
          <w:lang w:val="en-GB"/>
        </w:rPr>
        <w:t xml:space="preserve">The </w:t>
      </w:r>
      <w:r w:rsidR="002534EE" w:rsidRPr="00D015B4">
        <w:rPr>
          <w:lang w:val="en-GB"/>
        </w:rPr>
        <w:t>I</w:t>
      </w:r>
      <w:r w:rsidRPr="00D015B4">
        <w:rPr>
          <w:lang w:val="en-GB"/>
        </w:rPr>
        <w:t xml:space="preserve">nter-Sector </w:t>
      </w:r>
      <w:r w:rsidR="002534EE" w:rsidRPr="00D015B4">
        <w:rPr>
          <w:lang w:val="en-GB"/>
        </w:rPr>
        <w:t>C</w:t>
      </w:r>
      <w:r w:rsidRPr="00D015B4">
        <w:rPr>
          <w:lang w:val="en-GB"/>
        </w:rPr>
        <w:t xml:space="preserve">oordination </w:t>
      </w:r>
      <w:r w:rsidR="002534EE" w:rsidRPr="00D015B4">
        <w:rPr>
          <w:lang w:val="en-GB"/>
        </w:rPr>
        <w:t>T</w:t>
      </w:r>
      <w:r w:rsidRPr="00D015B4">
        <w:rPr>
          <w:lang w:val="en-GB"/>
        </w:rPr>
        <w:t xml:space="preserve">eam (ISCT) is composed </w:t>
      </w:r>
      <w:r w:rsidR="00BF79C7" w:rsidRPr="00D015B4">
        <w:rPr>
          <w:lang w:val="en-GB"/>
        </w:rPr>
        <w:t xml:space="preserve">of </w:t>
      </w:r>
      <w:r w:rsidRPr="00D015B4">
        <w:rPr>
          <w:lang w:val="en-GB"/>
        </w:rPr>
        <w:t>representatives of all three advisory groups, work</w:t>
      </w:r>
      <w:r w:rsidR="00BF79C7" w:rsidRPr="00D015B4">
        <w:rPr>
          <w:lang w:val="en-GB"/>
        </w:rPr>
        <w:t>ing</w:t>
      </w:r>
      <w:r w:rsidRPr="00D015B4">
        <w:rPr>
          <w:lang w:val="en-GB"/>
        </w:rPr>
        <w:t xml:space="preserve"> to identify </w:t>
      </w:r>
      <w:proofErr w:type="gramStart"/>
      <w:r w:rsidRPr="00D015B4">
        <w:rPr>
          <w:lang w:val="en-GB"/>
        </w:rPr>
        <w:t>subjects</w:t>
      </w:r>
      <w:proofErr w:type="gramEnd"/>
      <w:r w:rsidRPr="00D015B4">
        <w:rPr>
          <w:lang w:val="en-GB"/>
        </w:rPr>
        <w:t xml:space="preserve"> common </w:t>
      </w:r>
      <w:r w:rsidR="002534EE" w:rsidRPr="00D015B4">
        <w:rPr>
          <w:lang w:val="en-GB"/>
        </w:rPr>
        <w:t xml:space="preserve">interest </w:t>
      </w:r>
      <w:r w:rsidRPr="00D015B4">
        <w:rPr>
          <w:lang w:val="en-GB"/>
        </w:rPr>
        <w:t>to the t</w:t>
      </w:r>
      <w:r w:rsidR="00BF79C7" w:rsidRPr="00D015B4">
        <w:rPr>
          <w:lang w:val="en-GB"/>
        </w:rPr>
        <w:t>h</w:t>
      </w:r>
      <w:r w:rsidRPr="00D015B4">
        <w:rPr>
          <w:lang w:val="en-GB"/>
        </w:rPr>
        <w:t>ree Sector</w:t>
      </w:r>
      <w:r w:rsidR="00BF79C7" w:rsidRPr="00D015B4">
        <w:rPr>
          <w:lang w:val="en-GB"/>
        </w:rPr>
        <w:t>s</w:t>
      </w:r>
      <w:r w:rsidRPr="00D015B4">
        <w:rPr>
          <w:lang w:val="en-GB"/>
        </w:rPr>
        <w:t xml:space="preserve">. It also seeks to identify the mechanisms </w:t>
      </w:r>
      <w:r w:rsidR="00BF79C7" w:rsidRPr="00D015B4">
        <w:rPr>
          <w:lang w:val="en-GB"/>
        </w:rPr>
        <w:t xml:space="preserve">necessary </w:t>
      </w:r>
      <w:r w:rsidRPr="00D015B4">
        <w:rPr>
          <w:lang w:val="en-GB"/>
        </w:rPr>
        <w:t>to strengthen cooperation and joint activit</w:t>
      </w:r>
      <w:r w:rsidR="00BF79C7" w:rsidRPr="00D015B4">
        <w:rPr>
          <w:lang w:val="en-GB"/>
        </w:rPr>
        <w:t xml:space="preserve">ies </w:t>
      </w:r>
      <w:r w:rsidRPr="00D015B4">
        <w:rPr>
          <w:lang w:val="en-GB"/>
        </w:rPr>
        <w:t xml:space="preserve">among the three Sectors, with </w:t>
      </w:r>
      <w:proofErr w:type="gramStart"/>
      <w:r w:rsidRPr="00D015B4">
        <w:rPr>
          <w:lang w:val="en-GB"/>
        </w:rPr>
        <w:t>particular emphasis</w:t>
      </w:r>
      <w:proofErr w:type="gramEnd"/>
      <w:r w:rsidRPr="00D015B4">
        <w:rPr>
          <w:lang w:val="en-GB"/>
        </w:rPr>
        <w:t xml:space="preserve"> on the interests of developing countries. In addition, the ITU Inter-Sectoral Coordination Task Force (ISC-TF) is coordinating activities among the t</w:t>
      </w:r>
      <w:r w:rsidR="002534EE" w:rsidRPr="00D015B4">
        <w:rPr>
          <w:lang w:val="en-GB"/>
        </w:rPr>
        <w:t>h</w:t>
      </w:r>
      <w:r w:rsidRPr="00D015B4">
        <w:rPr>
          <w:lang w:val="en-GB"/>
        </w:rPr>
        <w:t>ree Bureaux.</w:t>
      </w:r>
      <w:bookmarkStart w:id="112" w:name="Item57_02"/>
      <w:bookmarkEnd w:id="112"/>
    </w:p>
    <w:p w14:paraId="49A9B240" w14:textId="2719AF0A" w:rsidR="007F20DF" w:rsidRPr="00FE2DD1" w:rsidRDefault="00111D4E" w:rsidP="009E5FFA">
      <w:pPr>
        <w:rPr>
          <w:szCs w:val="24"/>
          <w:lang w:val="en-GB"/>
        </w:rPr>
      </w:pPr>
      <w:r w:rsidRPr="007F20DF">
        <w:rPr>
          <w:lang w:val="en-GB"/>
        </w:rPr>
        <w:t>A</w:t>
      </w:r>
      <w:r w:rsidR="00E05461" w:rsidRPr="007F20DF">
        <w:rPr>
          <w:lang w:val="en-GB"/>
        </w:rPr>
        <w:t xml:space="preserve"> </w:t>
      </w:r>
      <w:hyperlink r:id="rId126" w:history="1">
        <w:r w:rsidR="00E05461" w:rsidRPr="007F20DF">
          <w:rPr>
            <w:rStyle w:val="Hyperlink"/>
            <w:lang w:val="en-GB"/>
          </w:rPr>
          <w:t>series of events</w:t>
        </w:r>
      </w:hyperlink>
      <w:r w:rsidR="00E05461" w:rsidRPr="007F20DF">
        <w:rPr>
          <w:lang w:val="en-GB"/>
        </w:rPr>
        <w:t xml:space="preserve"> on </w:t>
      </w:r>
      <w:r w:rsidR="00CA2D85" w:rsidRPr="007F20DF">
        <w:rPr>
          <w:lang w:val="en-GB"/>
        </w:rPr>
        <w:t>"</w:t>
      </w:r>
      <w:r w:rsidR="00BF79C7" w:rsidRPr="007F20DF">
        <w:rPr>
          <w:lang w:val="en-GB"/>
        </w:rPr>
        <w:t>T</w:t>
      </w:r>
      <w:r w:rsidR="00E05461" w:rsidRPr="007F20DF">
        <w:rPr>
          <w:lang w:val="en-GB"/>
        </w:rPr>
        <w:t xml:space="preserve">he </w:t>
      </w:r>
      <w:r w:rsidR="00BF79C7" w:rsidRPr="007F20DF">
        <w:rPr>
          <w:lang w:val="en-GB"/>
        </w:rPr>
        <w:t>F</w:t>
      </w:r>
      <w:r w:rsidR="00E05461" w:rsidRPr="007F20DF">
        <w:rPr>
          <w:lang w:val="en-GB"/>
        </w:rPr>
        <w:t>uture of TV</w:t>
      </w:r>
      <w:r w:rsidR="00CA2D85" w:rsidRPr="007F20DF">
        <w:rPr>
          <w:lang w:val="en-GB"/>
        </w:rPr>
        <w:t>"</w:t>
      </w:r>
      <w:r w:rsidRPr="007F20DF">
        <w:rPr>
          <w:lang w:val="en-GB"/>
        </w:rPr>
        <w:t xml:space="preserve">, initiated by ITU-T SG9, are </w:t>
      </w:r>
      <w:r w:rsidR="00E05461" w:rsidRPr="007F20DF">
        <w:rPr>
          <w:lang w:val="en-GB"/>
        </w:rPr>
        <w:t xml:space="preserve">organized </w:t>
      </w:r>
      <w:r w:rsidR="00BF79C7" w:rsidRPr="007F20DF">
        <w:rPr>
          <w:lang w:val="en-GB"/>
        </w:rPr>
        <w:t xml:space="preserve">in collaboration </w:t>
      </w:r>
      <w:r w:rsidR="00E05461" w:rsidRPr="007F20DF">
        <w:rPr>
          <w:lang w:val="en-GB"/>
        </w:rPr>
        <w:t xml:space="preserve">by the three </w:t>
      </w:r>
      <w:r w:rsidR="00014568" w:rsidRPr="007F20DF">
        <w:rPr>
          <w:lang w:val="en-GB"/>
        </w:rPr>
        <w:t xml:space="preserve">ITU </w:t>
      </w:r>
      <w:r w:rsidR="00E05461" w:rsidRPr="007F20DF">
        <w:rPr>
          <w:lang w:val="en-GB"/>
        </w:rPr>
        <w:t xml:space="preserve">Sectors </w:t>
      </w:r>
      <w:r w:rsidR="00BF79C7" w:rsidRPr="007F20DF">
        <w:rPr>
          <w:lang w:val="en-GB"/>
        </w:rPr>
        <w:t>and ITU</w:t>
      </w:r>
      <w:r w:rsidR="00E05461" w:rsidRPr="007F20DF">
        <w:rPr>
          <w:lang w:val="en-GB"/>
        </w:rPr>
        <w:t xml:space="preserve"> </w:t>
      </w:r>
      <w:r w:rsidR="00BF79C7" w:rsidRPr="007F20DF">
        <w:rPr>
          <w:lang w:val="en-GB"/>
        </w:rPr>
        <w:t>R</w:t>
      </w:r>
      <w:r w:rsidR="00E05461" w:rsidRPr="007F20DF">
        <w:rPr>
          <w:lang w:val="en-GB"/>
        </w:rPr>
        <w:t xml:space="preserve">egional </w:t>
      </w:r>
      <w:r w:rsidR="00BF79C7" w:rsidRPr="007F20DF">
        <w:rPr>
          <w:lang w:val="en-GB"/>
        </w:rPr>
        <w:t>O</w:t>
      </w:r>
      <w:r w:rsidR="00E05461" w:rsidRPr="007F20DF">
        <w:rPr>
          <w:lang w:val="en-GB"/>
        </w:rPr>
        <w:t>ffices.</w:t>
      </w:r>
      <w:r w:rsidR="00FE2DD1">
        <w:rPr>
          <w:szCs w:val="24"/>
          <w:lang w:val="en-GB"/>
        </w:rPr>
        <w:t xml:space="preserve"> </w:t>
      </w:r>
      <w:r w:rsidR="007F20DF" w:rsidRPr="008B4D94">
        <w:rPr>
          <w:bCs/>
          <w:lang w:val="en-GB"/>
        </w:rPr>
        <w:t xml:space="preserve">Two events in this series are planned </w:t>
      </w:r>
      <w:r w:rsidR="007A4BDE">
        <w:rPr>
          <w:bCs/>
          <w:lang w:val="en-GB"/>
        </w:rPr>
        <w:t xml:space="preserve">for </w:t>
      </w:r>
      <w:r w:rsidR="000C01CD" w:rsidRPr="008B4D94">
        <w:rPr>
          <w:bCs/>
          <w:lang w:val="en-GB"/>
        </w:rPr>
        <w:t>2020</w:t>
      </w:r>
      <w:r w:rsidR="007F20DF" w:rsidRPr="008B4D94">
        <w:rPr>
          <w:bCs/>
          <w:lang w:val="en-GB"/>
        </w:rPr>
        <w:t>:</w:t>
      </w:r>
    </w:p>
    <w:p w14:paraId="5B3E0BA9" w14:textId="7483D9D4" w:rsidR="007F20DF" w:rsidRPr="00093086" w:rsidRDefault="007F20DF" w:rsidP="009363BD">
      <w:pPr>
        <w:numPr>
          <w:ilvl w:val="0"/>
          <w:numId w:val="32"/>
        </w:numPr>
        <w:rPr>
          <w:szCs w:val="24"/>
          <w:shd w:val="clear" w:color="auto" w:fill="FFFFFF"/>
        </w:rPr>
      </w:pPr>
      <w:r w:rsidRPr="00093086">
        <w:rPr>
          <w:bCs/>
        </w:rPr>
        <w:t xml:space="preserve">ITU Workshop on the Future of Television for </w:t>
      </w:r>
      <w:r w:rsidR="008B4D94" w:rsidRPr="00093086">
        <w:rPr>
          <w:bCs/>
        </w:rPr>
        <w:t>Asia &amp; Pacific</w:t>
      </w:r>
      <w:r w:rsidR="00093086" w:rsidRPr="00093086">
        <w:rPr>
          <w:b/>
          <w:bCs/>
        </w:rPr>
        <w:t xml:space="preserve">, </w:t>
      </w:r>
      <w:r w:rsidR="008B4D94" w:rsidRPr="00093086">
        <w:rPr>
          <w:szCs w:val="24"/>
          <w:shd w:val="clear" w:color="auto" w:fill="FFFFFF"/>
        </w:rPr>
        <w:t>Tokyo</w:t>
      </w:r>
      <w:r w:rsidRPr="00093086">
        <w:rPr>
          <w:szCs w:val="24"/>
          <w:shd w:val="clear" w:color="auto" w:fill="FFFFFF"/>
        </w:rPr>
        <w:t xml:space="preserve">, </w:t>
      </w:r>
      <w:r w:rsidR="008B4D94" w:rsidRPr="00093086">
        <w:rPr>
          <w:szCs w:val="24"/>
          <w:shd w:val="clear" w:color="auto" w:fill="FFFFFF"/>
        </w:rPr>
        <w:t>Japan</w:t>
      </w:r>
      <w:r w:rsidRPr="00093086">
        <w:rPr>
          <w:szCs w:val="24"/>
          <w:shd w:val="clear" w:color="auto" w:fill="FFFFFF"/>
        </w:rPr>
        <w:t xml:space="preserve">, </w:t>
      </w:r>
      <w:r w:rsidR="008B4D94" w:rsidRPr="00093086">
        <w:rPr>
          <w:szCs w:val="24"/>
          <w:shd w:val="clear" w:color="auto" w:fill="FFFFFF"/>
        </w:rPr>
        <w:t>April</w:t>
      </w:r>
      <w:r w:rsidRPr="00093086">
        <w:rPr>
          <w:szCs w:val="24"/>
          <w:shd w:val="clear" w:color="auto" w:fill="FFFFFF"/>
        </w:rPr>
        <w:t xml:space="preserve"> 20</w:t>
      </w:r>
      <w:r w:rsidR="008B4D94" w:rsidRPr="00093086">
        <w:rPr>
          <w:szCs w:val="24"/>
          <w:shd w:val="clear" w:color="auto" w:fill="FFFFFF"/>
        </w:rPr>
        <w:t>20</w:t>
      </w:r>
      <w:r w:rsidR="00093086" w:rsidRPr="00093086">
        <w:rPr>
          <w:szCs w:val="24"/>
          <w:shd w:val="clear" w:color="auto" w:fill="FFFFFF"/>
        </w:rPr>
        <w:t>;</w:t>
      </w:r>
    </w:p>
    <w:p w14:paraId="7CD021B1" w14:textId="1F5CE9DA" w:rsidR="008B4D94" w:rsidRPr="00093086" w:rsidRDefault="008B4D94" w:rsidP="009363BD">
      <w:pPr>
        <w:numPr>
          <w:ilvl w:val="0"/>
          <w:numId w:val="32"/>
        </w:numPr>
        <w:rPr>
          <w:szCs w:val="24"/>
          <w:shd w:val="clear" w:color="auto" w:fill="FFFFFF"/>
        </w:rPr>
      </w:pPr>
      <w:r w:rsidRPr="00093086">
        <w:rPr>
          <w:bCs/>
        </w:rPr>
        <w:lastRenderedPageBreak/>
        <w:t>ITU Workshop on the Future of Television for Africa</w:t>
      </w:r>
      <w:r w:rsidR="002136F6">
        <w:rPr>
          <w:bCs/>
        </w:rPr>
        <w:t>, The</w:t>
      </w:r>
      <w:r w:rsidR="00093086" w:rsidRPr="00093086">
        <w:rPr>
          <w:b/>
          <w:bCs/>
        </w:rPr>
        <w:t xml:space="preserve"> </w:t>
      </w:r>
      <w:r w:rsidRPr="00093086">
        <w:rPr>
          <w:szCs w:val="24"/>
          <w:shd w:val="clear" w:color="auto" w:fill="FFFFFF"/>
        </w:rPr>
        <w:t>Gambia, September/October 2020</w:t>
      </w:r>
      <w:r w:rsidR="00093086" w:rsidRPr="00093086">
        <w:rPr>
          <w:szCs w:val="24"/>
          <w:shd w:val="clear" w:color="auto" w:fill="FFFFFF"/>
        </w:rPr>
        <w:t>.</w:t>
      </w:r>
    </w:p>
    <w:p w14:paraId="6383062B" w14:textId="0689E978" w:rsidR="006944F8" w:rsidRPr="00F57FAD" w:rsidRDefault="00D64AF8" w:rsidP="006944F8">
      <w:pPr>
        <w:pStyle w:val="Heading2"/>
      </w:pPr>
      <w:bookmarkStart w:id="113" w:name="_Toc31967157"/>
      <w:r w:rsidRPr="00F57FAD">
        <w:t>6</w:t>
      </w:r>
      <w:r w:rsidR="006944F8" w:rsidRPr="00F57FAD">
        <w:t>.</w:t>
      </w:r>
      <w:r w:rsidR="007A778B">
        <w:t>3</w:t>
      </w:r>
      <w:r w:rsidR="006944F8" w:rsidRPr="00F57FAD">
        <w:tab/>
        <w:t>Coordination and cooperation with the Regions and the Regional Offices</w:t>
      </w:r>
      <w:bookmarkEnd w:id="113"/>
    </w:p>
    <w:p w14:paraId="335B4435" w14:textId="2C086ADE" w:rsidR="00A54975" w:rsidRPr="0053002B" w:rsidRDefault="00A54975" w:rsidP="00A54975">
      <w:pPr>
        <w:rPr>
          <w:szCs w:val="24"/>
          <w:lang w:val="en-GB"/>
        </w:rPr>
      </w:pPr>
      <w:r w:rsidRPr="0053002B">
        <w:rPr>
          <w:lang w:val="en-GB"/>
        </w:rPr>
        <w:t xml:space="preserve">With the goal of improving coordination and increasing the efficiency of the overall operations, events and activities of the Sector and the Bureau, </w:t>
      </w:r>
      <w:r>
        <w:rPr>
          <w:rFonts w:asciiTheme="majorBidi" w:hAnsiTheme="majorBidi" w:cstheme="majorBidi"/>
          <w:lang w:val="en-GB"/>
        </w:rPr>
        <w:t xml:space="preserve">at the initiative of the TSB Director, </w:t>
      </w:r>
      <w:r w:rsidRPr="0053002B">
        <w:rPr>
          <w:lang w:val="en-GB"/>
        </w:rPr>
        <w:t>TSB organizes conference calls and face-to-face meetings on a regular basis with ITU’s Regional Offices</w:t>
      </w:r>
      <w:r>
        <w:rPr>
          <w:szCs w:val="24"/>
          <w:lang w:val="en-GB"/>
        </w:rPr>
        <w:t>.</w:t>
      </w:r>
    </w:p>
    <w:p w14:paraId="4F54640B" w14:textId="59F89A91" w:rsidR="00A54975" w:rsidRPr="0053002B" w:rsidRDefault="00A54975" w:rsidP="00A54975">
      <w:pPr>
        <w:rPr>
          <w:lang w:val="en-GB"/>
        </w:rPr>
      </w:pPr>
      <w:r w:rsidRPr="0053002B">
        <w:rPr>
          <w:lang w:val="en-GB"/>
        </w:rPr>
        <w:t>This activity has led to significant improvements in the overall coordination of standardization operations, events and activities taking place in the Regions</w:t>
      </w:r>
      <w:r w:rsidRPr="0053002B">
        <w:rPr>
          <w:szCs w:val="24"/>
          <w:lang w:val="en-GB"/>
        </w:rPr>
        <w:t>. It has contributed to greater awareness of ITU-T standardization activities in each Region</w:t>
      </w:r>
      <w:r w:rsidRPr="0053002B">
        <w:rPr>
          <w:lang w:val="en-GB"/>
        </w:rPr>
        <w:t>.</w:t>
      </w:r>
    </w:p>
    <w:p w14:paraId="738EDC13" w14:textId="77777777" w:rsidR="00A54975" w:rsidRDefault="00A54975" w:rsidP="00A54975">
      <w:pPr>
        <w:rPr>
          <w:lang w:val="en-GB"/>
        </w:rPr>
      </w:pPr>
      <w:r w:rsidRPr="0053002B">
        <w:rPr>
          <w:lang w:val="en-GB"/>
        </w:rPr>
        <w:t>TSB will continue to enhance cooperation with the ITU Regional Offices, as well as with relevant regional and other international organizations dealing with standards.</w:t>
      </w:r>
    </w:p>
    <w:p w14:paraId="453D2B60" w14:textId="054ECEDC" w:rsidR="006944F8" w:rsidRPr="00F57FAD" w:rsidRDefault="00D64AF8" w:rsidP="006944F8">
      <w:pPr>
        <w:pStyle w:val="Heading2"/>
      </w:pPr>
      <w:bookmarkStart w:id="114" w:name="_Toc31967158"/>
      <w:r w:rsidRPr="00F57FAD">
        <w:t>6</w:t>
      </w:r>
      <w:r w:rsidR="006944F8" w:rsidRPr="00F57FAD">
        <w:t>.</w:t>
      </w:r>
      <w:r w:rsidR="007A778B">
        <w:t>4</w:t>
      </w:r>
      <w:r w:rsidR="006944F8" w:rsidRPr="00F57FAD">
        <w:tab/>
        <w:t>General assistance and cooperation</w:t>
      </w:r>
      <w:bookmarkEnd w:id="114"/>
    </w:p>
    <w:p w14:paraId="56B5D98A" w14:textId="77777777" w:rsidR="006944F8" w:rsidRPr="00CC0BC7" w:rsidRDefault="006944F8" w:rsidP="006944F8">
      <w:pPr>
        <w:rPr>
          <w:lang w:val="en-GB"/>
        </w:rPr>
      </w:pPr>
      <w:bookmarkStart w:id="115" w:name="_6.5_Focus_Group"/>
      <w:bookmarkStart w:id="116" w:name="_7.5_Focus_Group"/>
      <w:bookmarkStart w:id="117" w:name="_7.2_TSB_Director’s"/>
      <w:bookmarkStart w:id="118" w:name="_13_Chief_Technology"/>
      <w:bookmarkStart w:id="119" w:name="_8.1_ITU-UNECE_event"/>
      <w:bookmarkStart w:id="120" w:name="_8.3_3rd_ITU"/>
      <w:bookmarkStart w:id="121" w:name="_8.5_Standards_collaboration,"/>
      <w:bookmarkStart w:id="122" w:name="_8.6_Montevideo_forum"/>
      <w:bookmarkStart w:id="123" w:name="_8.8_Accessible_Inclusion"/>
      <w:bookmarkStart w:id="124" w:name="_10_Chief_Technology"/>
      <w:bookmarkEnd w:id="109"/>
      <w:bookmarkEnd w:id="115"/>
      <w:bookmarkEnd w:id="116"/>
      <w:bookmarkEnd w:id="117"/>
      <w:bookmarkEnd w:id="118"/>
      <w:bookmarkEnd w:id="119"/>
      <w:bookmarkEnd w:id="120"/>
      <w:bookmarkEnd w:id="121"/>
      <w:bookmarkEnd w:id="122"/>
      <w:bookmarkEnd w:id="123"/>
      <w:bookmarkEnd w:id="124"/>
      <w:r w:rsidRPr="00CC0BC7">
        <w:rPr>
          <w:lang w:val="en-GB"/>
        </w:rPr>
        <w:t xml:space="preserve">ITU continues to provide leadership in </w:t>
      </w:r>
      <w:r w:rsidRPr="00CC0BC7">
        <w:rPr>
          <w:bCs/>
          <w:lang w:val="en-GB"/>
        </w:rPr>
        <w:t>building cooperation</w:t>
      </w:r>
      <w:r w:rsidRPr="00CC0BC7">
        <w:rPr>
          <w:lang w:val="en-GB"/>
        </w:rPr>
        <w:t xml:space="preserve"> among the many interests served by ICT standardization.</w:t>
      </w:r>
    </w:p>
    <w:p w14:paraId="196770E8" w14:textId="6EC8A3C7" w:rsidR="006944F8" w:rsidRPr="00CC0BC7" w:rsidRDefault="006944F8" w:rsidP="009E5FFA">
      <w:pPr>
        <w:rPr>
          <w:lang w:val="en-GB"/>
        </w:rPr>
      </w:pPr>
      <w:r w:rsidRPr="00CC0BC7">
        <w:rPr>
          <w:lang w:val="en-GB"/>
        </w:rPr>
        <w:t xml:space="preserve">The </w:t>
      </w:r>
      <w:r w:rsidRPr="00CC0BC7">
        <w:rPr>
          <w:b/>
          <w:lang w:val="en-GB"/>
        </w:rPr>
        <w:t xml:space="preserve">World </w:t>
      </w:r>
      <w:r w:rsidRPr="00CC0BC7">
        <w:rPr>
          <w:b/>
          <w:bCs/>
          <w:lang w:val="en-GB"/>
        </w:rPr>
        <w:t>Standards Cooperation</w:t>
      </w:r>
      <w:r w:rsidRPr="00CC0BC7">
        <w:rPr>
          <w:lang w:val="en-GB"/>
        </w:rPr>
        <w:t xml:space="preserve"> is a partnership of ITU, ISO and IEC to promote international standards. </w:t>
      </w:r>
      <w:r w:rsidR="00720F28" w:rsidRPr="00CC0BC7">
        <w:rPr>
          <w:lang w:val="en-GB"/>
        </w:rPr>
        <w:t xml:space="preserve">The World Standards Cooperation leads the celebration of World Standards Day, 14 October. </w:t>
      </w:r>
      <w:r w:rsidR="00317140" w:rsidRPr="00CC0BC7">
        <w:rPr>
          <w:lang w:val="en-GB"/>
        </w:rPr>
        <w:t>The theme of World Standards Day 201</w:t>
      </w:r>
      <w:r w:rsidR="00CC0BC7" w:rsidRPr="00CC0BC7">
        <w:rPr>
          <w:lang w:val="en-GB"/>
        </w:rPr>
        <w:t>9</w:t>
      </w:r>
      <w:r w:rsidR="00317140" w:rsidRPr="00CC0BC7">
        <w:rPr>
          <w:lang w:val="en-GB"/>
        </w:rPr>
        <w:t xml:space="preserve"> </w:t>
      </w:r>
      <w:r w:rsidR="00720F28" w:rsidRPr="00CC0BC7">
        <w:rPr>
          <w:lang w:val="en-GB"/>
        </w:rPr>
        <w:t xml:space="preserve">was </w:t>
      </w:r>
      <w:r w:rsidR="00CC0BC7" w:rsidRPr="00CC0BC7">
        <w:rPr>
          <w:lang w:val="en-GB"/>
        </w:rPr>
        <w:t>“Video standards create a global stage”</w:t>
      </w:r>
      <w:r w:rsidR="00720F28" w:rsidRPr="00CC0BC7">
        <w:rPr>
          <w:lang w:val="en-GB"/>
        </w:rPr>
        <w:t>.</w:t>
      </w:r>
    </w:p>
    <w:p w14:paraId="0A9C9558" w14:textId="2133B1B4" w:rsidR="00F053CB" w:rsidRPr="004347E4" w:rsidRDefault="00F053CB" w:rsidP="00F053CB">
      <w:pPr>
        <w:rPr>
          <w:lang w:val="en-GB"/>
        </w:rPr>
      </w:pPr>
      <w:r w:rsidRPr="004347E4">
        <w:rPr>
          <w:b/>
          <w:lang w:val="en-GB"/>
        </w:rPr>
        <w:t>IEC, ISO and ITU</w:t>
      </w:r>
      <w:r w:rsidRPr="004347E4">
        <w:rPr>
          <w:lang w:val="en-GB"/>
        </w:rPr>
        <w:t xml:space="preserve"> cooperate in standardization to the degree that 10 per cent of all ITU standards are common or aligned texts with the ISO/IEC Joint Technical Committee 1 on Information Technology (ISO/IEC JTC1).</w:t>
      </w:r>
    </w:p>
    <w:p w14:paraId="3419FB4E" w14:textId="175F299A" w:rsidR="00F053CB" w:rsidRPr="00B9496F" w:rsidRDefault="007A4BDE" w:rsidP="00F053CB">
      <w:pPr>
        <w:rPr>
          <w:lang w:val="en-GB"/>
        </w:rPr>
      </w:pPr>
      <w:r>
        <w:rPr>
          <w:lang w:val="en-GB"/>
        </w:rPr>
        <w:t xml:space="preserve">The </w:t>
      </w:r>
      <w:r w:rsidR="00F053CB" w:rsidRPr="00B9496F">
        <w:rPr>
          <w:b/>
          <w:lang w:val="en-GB"/>
        </w:rPr>
        <w:t>Global Standards Collaboration</w:t>
      </w:r>
      <w:r w:rsidR="00F053CB" w:rsidRPr="00B9496F">
        <w:rPr>
          <w:lang w:val="en-GB"/>
        </w:rPr>
        <w:t xml:space="preserve"> </w:t>
      </w:r>
      <w:r w:rsidR="00F053CB" w:rsidRPr="00B9496F">
        <w:rPr>
          <w:b/>
          <w:bCs/>
          <w:lang w:val="en-GB"/>
        </w:rPr>
        <w:t>(GSC)</w:t>
      </w:r>
      <w:r w:rsidR="00F053CB" w:rsidRPr="00B9496F">
        <w:rPr>
          <w:lang w:val="en-GB"/>
        </w:rPr>
        <w:t xml:space="preserve"> assists regional and international SDOs in coordinating </w:t>
      </w:r>
      <w:r w:rsidR="00F053CB" w:rsidRPr="00F86875">
        <w:rPr>
          <w:lang w:val="en-GB"/>
        </w:rPr>
        <w:t xml:space="preserve">their </w:t>
      </w:r>
      <w:r w:rsidR="00F053CB" w:rsidRPr="00B9496F">
        <w:rPr>
          <w:lang w:val="en-GB"/>
        </w:rPr>
        <w:t>contributions to fields of mutual interest.</w:t>
      </w:r>
      <w:r w:rsidR="00D32FC7" w:rsidRPr="00B9496F">
        <w:rPr>
          <w:lang w:val="en-GB"/>
        </w:rPr>
        <w:t xml:space="preserve"> </w:t>
      </w:r>
      <w:r w:rsidR="00F053CB" w:rsidRPr="00B9496F">
        <w:rPr>
          <w:lang w:val="en-GB"/>
        </w:rPr>
        <w:t xml:space="preserve">ITU hosts the </w:t>
      </w:r>
      <w:hyperlink r:id="rId127" w:history="1">
        <w:r w:rsidR="00F053CB" w:rsidRPr="00B9496F">
          <w:rPr>
            <w:rStyle w:val="Hyperlink"/>
            <w:rFonts w:eastAsiaTheme="majorEastAsia"/>
            <w:lang w:val="en-GB"/>
          </w:rPr>
          <w:t>repository</w:t>
        </w:r>
      </w:hyperlink>
      <w:r w:rsidR="00F053CB" w:rsidRPr="00B9496F">
        <w:rPr>
          <w:lang w:val="en-GB"/>
        </w:rPr>
        <w:t xml:space="preserve"> of GSC documents from past meetings. See </w:t>
      </w:r>
      <w:hyperlink r:id="rId128" w:history="1">
        <w:r w:rsidR="00F053CB" w:rsidRPr="00B9496F">
          <w:rPr>
            <w:rStyle w:val="Hyperlink"/>
            <w:rFonts w:eastAsiaTheme="majorEastAsia"/>
            <w:lang w:val="en-GB"/>
          </w:rPr>
          <w:t>GSC website</w:t>
        </w:r>
      </w:hyperlink>
      <w:r w:rsidR="00F053CB" w:rsidRPr="00B9496F">
        <w:rPr>
          <w:lang w:val="en-GB"/>
        </w:rPr>
        <w:t>.</w:t>
      </w:r>
    </w:p>
    <w:p w14:paraId="3D94E161" w14:textId="4A3D735A" w:rsidR="00923325" w:rsidRPr="00923325" w:rsidRDefault="007A4BDE" w:rsidP="00F053CB">
      <w:pPr>
        <w:rPr>
          <w:lang w:val="en-GB"/>
        </w:rPr>
      </w:pPr>
      <w:r>
        <w:rPr>
          <w:lang w:val="en-GB"/>
        </w:rPr>
        <w:t xml:space="preserve">The </w:t>
      </w:r>
      <w:r w:rsidR="001463D7" w:rsidRPr="001463D7">
        <w:rPr>
          <w:b/>
          <w:bCs/>
          <w:lang w:val="en-GB"/>
        </w:rPr>
        <w:t>European Commission Multi</w:t>
      </w:r>
      <w:r>
        <w:rPr>
          <w:b/>
          <w:bCs/>
          <w:lang w:val="en-GB"/>
        </w:rPr>
        <w:t>-S</w:t>
      </w:r>
      <w:r w:rsidR="001463D7" w:rsidRPr="001463D7">
        <w:rPr>
          <w:b/>
          <w:bCs/>
          <w:lang w:val="en-GB"/>
        </w:rPr>
        <w:t xml:space="preserve">takeholder Platform on ICT Standardization </w:t>
      </w:r>
      <w:r w:rsidR="004B2D43">
        <w:rPr>
          <w:bCs/>
          <w:lang w:val="en-GB"/>
        </w:rPr>
        <w:t xml:space="preserve">supports the coordination of </w:t>
      </w:r>
      <w:r w:rsidR="007F121B">
        <w:rPr>
          <w:bCs/>
          <w:lang w:val="en-GB"/>
        </w:rPr>
        <w:t xml:space="preserve">the </w:t>
      </w:r>
      <w:r w:rsidR="004B2D43">
        <w:rPr>
          <w:lang w:val="en-GB"/>
        </w:rPr>
        <w:t xml:space="preserve">activities </w:t>
      </w:r>
      <w:r w:rsidR="007F121B">
        <w:rPr>
          <w:lang w:val="en-GB"/>
        </w:rPr>
        <w:t xml:space="preserve">of </w:t>
      </w:r>
      <w:r>
        <w:rPr>
          <w:lang w:val="en-GB"/>
        </w:rPr>
        <w:t xml:space="preserve">the European Commission, European Standardization Organizations </w:t>
      </w:r>
      <w:r w:rsidR="004B2D43">
        <w:rPr>
          <w:lang w:val="en-GB"/>
        </w:rPr>
        <w:t xml:space="preserve">and ITU. ITU also contributes to </w:t>
      </w:r>
      <w:r w:rsidR="001463D7">
        <w:rPr>
          <w:lang w:val="en-GB"/>
        </w:rPr>
        <w:t xml:space="preserve">the </w:t>
      </w:r>
      <w:hyperlink r:id="rId129" w:history="1">
        <w:r w:rsidR="001463D7" w:rsidRPr="001463D7">
          <w:rPr>
            <w:rStyle w:val="Hyperlink"/>
            <w:lang w:val="en-GB"/>
          </w:rPr>
          <w:t>EC Rolling Plan on ICT Standardization</w:t>
        </w:r>
      </w:hyperlink>
      <w:r w:rsidR="001463D7">
        <w:rPr>
          <w:lang w:val="en-GB"/>
        </w:rPr>
        <w:t>.</w:t>
      </w:r>
    </w:p>
    <w:p w14:paraId="30632BBB" w14:textId="27167514" w:rsidR="006944F8" w:rsidRPr="005142DD" w:rsidRDefault="006944F8" w:rsidP="006944F8">
      <w:pPr>
        <w:rPr>
          <w:lang w:val="en-GB"/>
        </w:rPr>
      </w:pPr>
      <w:r w:rsidRPr="00C558BC">
        <w:rPr>
          <w:b/>
          <w:bCs/>
          <w:lang w:val="en-GB"/>
        </w:rPr>
        <w:t xml:space="preserve">ITU is a strong advocate of </w:t>
      </w:r>
      <w:r w:rsidR="00CA2D85" w:rsidRPr="00C558BC">
        <w:rPr>
          <w:b/>
          <w:bCs/>
          <w:lang w:val="en-GB"/>
        </w:rPr>
        <w:t>"</w:t>
      </w:r>
      <w:r w:rsidRPr="00C558BC">
        <w:rPr>
          <w:b/>
          <w:bCs/>
          <w:lang w:val="en-GB"/>
        </w:rPr>
        <w:t>Universal Design</w:t>
      </w:r>
      <w:r w:rsidR="00CA2D85" w:rsidRPr="00C558BC">
        <w:rPr>
          <w:b/>
          <w:bCs/>
          <w:lang w:val="en-GB"/>
        </w:rPr>
        <w:t>"</w:t>
      </w:r>
      <w:r w:rsidRPr="00C558BC">
        <w:rPr>
          <w:lang w:val="en-GB"/>
        </w:rPr>
        <w:t xml:space="preserve"> </w:t>
      </w:r>
      <w:r w:rsidRPr="005142DD">
        <w:rPr>
          <w:lang w:val="en-GB"/>
        </w:rPr>
        <w:t>and has standardization guidelines to produce solutions that are inherently accessible to persons with and without disabilities.</w:t>
      </w:r>
    </w:p>
    <w:p w14:paraId="6791684B" w14:textId="087A8DA6" w:rsidR="006944F8" w:rsidRPr="00D26562" w:rsidRDefault="006944F8" w:rsidP="006944F8">
      <w:pPr>
        <w:rPr>
          <w:bCs/>
          <w:lang w:val="en-GB"/>
        </w:rPr>
      </w:pPr>
      <w:r w:rsidRPr="00D26562">
        <w:rPr>
          <w:b/>
          <w:bCs/>
          <w:lang w:val="en-GB"/>
        </w:rPr>
        <w:t>ITU</w:t>
      </w:r>
      <w:r w:rsidR="00CA2D85" w:rsidRPr="00D26562">
        <w:rPr>
          <w:b/>
          <w:bCs/>
          <w:lang w:val="en-GB"/>
        </w:rPr>
        <w:t>'</w:t>
      </w:r>
      <w:r w:rsidRPr="00D26562">
        <w:rPr>
          <w:b/>
          <w:bCs/>
          <w:lang w:val="en-GB"/>
        </w:rPr>
        <w:t>s Bridging the Standardization Gap (BSG) programme</w:t>
      </w:r>
      <w:r w:rsidRPr="00D26562">
        <w:rPr>
          <w:lang w:val="en-GB"/>
        </w:rPr>
        <w:t xml:space="preserve"> improves the capacity</w:t>
      </w:r>
      <w:r w:rsidRPr="00D26562">
        <w:rPr>
          <w:bCs/>
          <w:lang w:val="en-GB"/>
        </w:rPr>
        <w:t xml:space="preserve"> of developing countries to participate in the development and implementation of international ICT standards.</w:t>
      </w:r>
    </w:p>
    <w:p w14:paraId="505AEA66" w14:textId="2EA89989" w:rsidR="006944F8" w:rsidRPr="00D26562" w:rsidRDefault="006944F8" w:rsidP="006944F8">
      <w:pPr>
        <w:rPr>
          <w:bCs/>
          <w:lang w:val="en-GB"/>
        </w:rPr>
      </w:pPr>
      <w:r w:rsidRPr="00D26562">
        <w:rPr>
          <w:b/>
          <w:lang w:val="en-GB"/>
        </w:rPr>
        <w:t>ITU</w:t>
      </w:r>
      <w:r w:rsidR="00CA2D85" w:rsidRPr="00D26562">
        <w:rPr>
          <w:b/>
          <w:lang w:val="en-GB"/>
        </w:rPr>
        <w:t>'</w:t>
      </w:r>
      <w:r w:rsidRPr="00D26562">
        <w:rPr>
          <w:b/>
          <w:lang w:val="en-GB"/>
        </w:rPr>
        <w:t>s conformity and interoperability (C&amp;I) programme</w:t>
      </w:r>
      <w:r w:rsidRPr="00D26562">
        <w:rPr>
          <w:bCs/>
          <w:lang w:val="en-GB"/>
        </w:rPr>
        <w:t xml:space="preserve"> is of </w:t>
      </w:r>
      <w:proofErr w:type="gramStart"/>
      <w:r w:rsidRPr="00D26562">
        <w:rPr>
          <w:bCs/>
          <w:lang w:val="en-GB"/>
        </w:rPr>
        <w:t>particular value</w:t>
      </w:r>
      <w:proofErr w:type="gramEnd"/>
      <w:r w:rsidRPr="00D26562">
        <w:rPr>
          <w:bCs/>
          <w:lang w:val="en-GB"/>
        </w:rPr>
        <w:t xml:space="preserve"> to developing countries in their efforts to enhance conformity and interoperability of ICT products implementing ITU Recommendations or part thereof.</w:t>
      </w:r>
    </w:p>
    <w:p w14:paraId="4ADF2D23" w14:textId="68A5C128" w:rsidR="006944F8" w:rsidRPr="00D26562" w:rsidRDefault="006944F8" w:rsidP="0033393D">
      <w:pPr>
        <w:rPr>
          <w:bCs/>
          <w:lang w:val="en-GB"/>
        </w:rPr>
      </w:pPr>
      <w:r w:rsidRPr="00D26562">
        <w:rPr>
          <w:b/>
          <w:lang w:val="en-GB"/>
        </w:rPr>
        <w:t>Chief Technology Officer meetings</w:t>
      </w:r>
      <w:r w:rsidRPr="00D26562">
        <w:rPr>
          <w:bCs/>
          <w:lang w:val="en-GB"/>
        </w:rPr>
        <w:t xml:space="preserve">: </w:t>
      </w:r>
      <w:hyperlink r:id="rId130" w:history="1">
        <w:r w:rsidRPr="00D26562">
          <w:rPr>
            <w:rStyle w:val="Hyperlink"/>
            <w:rFonts w:eastAsiaTheme="majorEastAsia"/>
            <w:bCs/>
            <w:lang w:val="en-GB"/>
          </w:rPr>
          <w:t xml:space="preserve">CTO and </w:t>
        </w:r>
        <w:proofErr w:type="spellStart"/>
        <w:r w:rsidRPr="00D26562">
          <w:rPr>
            <w:rStyle w:val="Hyperlink"/>
            <w:rFonts w:eastAsiaTheme="majorEastAsia"/>
            <w:bCs/>
            <w:lang w:val="en-GB"/>
          </w:rPr>
          <w:t>CxO</w:t>
        </w:r>
        <w:proofErr w:type="spellEnd"/>
        <w:r w:rsidRPr="00D26562">
          <w:rPr>
            <w:rStyle w:val="Hyperlink"/>
            <w:rFonts w:eastAsiaTheme="majorEastAsia"/>
            <w:bCs/>
            <w:lang w:val="en-GB"/>
          </w:rPr>
          <w:t xml:space="preserve"> meetings</w:t>
        </w:r>
      </w:hyperlink>
      <w:r w:rsidRPr="00D26562">
        <w:rPr>
          <w:bCs/>
          <w:lang w:val="en-GB"/>
        </w:rPr>
        <w:t xml:space="preserve"> bring together industry executives to highlight their business priorities and support</w:t>
      </w:r>
      <w:r w:rsidR="006553CE" w:rsidRPr="00D26562">
        <w:rPr>
          <w:bCs/>
          <w:lang w:val="en-GB"/>
        </w:rPr>
        <w:t>ing standardization strategies.</w:t>
      </w:r>
      <w:r w:rsidR="0034036E" w:rsidRPr="00D26562">
        <w:rPr>
          <w:bCs/>
          <w:lang w:val="en-GB"/>
        </w:rPr>
        <w:t xml:space="preserve"> </w:t>
      </w:r>
      <w:r w:rsidR="007F121B">
        <w:rPr>
          <w:bCs/>
          <w:lang w:val="en-GB"/>
        </w:rPr>
        <w:t xml:space="preserve">The </w:t>
      </w:r>
      <w:hyperlink r:id="rId131" w:history="1">
        <w:r w:rsidR="007F121B" w:rsidRPr="00CE3E09">
          <w:rPr>
            <w:rStyle w:val="Hyperlink"/>
            <w:bCs/>
            <w:lang w:val="en-GB"/>
          </w:rPr>
          <w:t>annual CTO meeting</w:t>
        </w:r>
      </w:hyperlink>
      <w:r w:rsidR="007F121B">
        <w:rPr>
          <w:bCs/>
          <w:lang w:val="en-GB"/>
        </w:rPr>
        <w:t xml:space="preserve"> was held in Budapest, Hungary, 8 September 2019, in conjunction with ITU Telecom World. A </w:t>
      </w:r>
      <w:hyperlink r:id="rId132" w:history="1">
        <w:proofErr w:type="spellStart"/>
        <w:r w:rsidR="007F121B" w:rsidRPr="00CE3E09">
          <w:rPr>
            <w:rStyle w:val="Hyperlink"/>
            <w:bCs/>
            <w:lang w:val="en-GB"/>
          </w:rPr>
          <w:t>CxO</w:t>
        </w:r>
        <w:proofErr w:type="spellEnd"/>
        <w:r w:rsidR="007F121B" w:rsidRPr="00CE3E09">
          <w:rPr>
            <w:rStyle w:val="Hyperlink"/>
            <w:bCs/>
            <w:lang w:val="en-GB"/>
          </w:rPr>
          <w:t xml:space="preserve"> meeting</w:t>
        </w:r>
      </w:hyperlink>
      <w:r w:rsidR="007F121B">
        <w:rPr>
          <w:bCs/>
          <w:lang w:val="en-GB"/>
        </w:rPr>
        <w:t xml:space="preserve"> was held in Dubai, UAE, 11 December 2019, in conjunction with the </w:t>
      </w:r>
      <w:r w:rsidR="00B74075">
        <w:rPr>
          <w:bCs/>
          <w:lang w:val="en-GB"/>
        </w:rPr>
        <w:t>Telecom Review Leaders’ Summit.</w:t>
      </w:r>
    </w:p>
    <w:p w14:paraId="61F7AE5E" w14:textId="57914BF3" w:rsidR="00E96B1E" w:rsidRPr="00E96B1E" w:rsidRDefault="006944F8" w:rsidP="009E5FFA">
      <w:pPr>
        <w:rPr>
          <w:lang w:val="en-GB"/>
        </w:rPr>
      </w:pPr>
      <w:r w:rsidRPr="00E96B1E">
        <w:rPr>
          <w:b/>
          <w:lang w:val="en-GB"/>
        </w:rPr>
        <w:t>e-Health</w:t>
      </w:r>
      <w:r w:rsidRPr="00E96B1E">
        <w:rPr>
          <w:bCs/>
          <w:lang w:val="en-GB"/>
        </w:rPr>
        <w:t>: ITU-T continues its longstanding collaboration with bodies active in the healthcare field, supporting the development of medical-grade e-health devices. Participating organizations include UN bodies, standards bodies, academic and research institutes, and industry associations.</w:t>
      </w:r>
      <w:r w:rsidR="00E96B1E" w:rsidRPr="00E96B1E">
        <w:rPr>
          <w:bCs/>
          <w:lang w:val="en-GB"/>
        </w:rPr>
        <w:t xml:space="preserve"> </w:t>
      </w:r>
      <w:r w:rsidRPr="00E96B1E">
        <w:rPr>
          <w:lang w:val="en-GB"/>
        </w:rPr>
        <w:t>ITU-T</w:t>
      </w:r>
      <w:r w:rsidR="007B2629" w:rsidRPr="00E96B1E">
        <w:rPr>
          <w:lang w:val="en-GB"/>
        </w:rPr>
        <w:t xml:space="preserve"> </w:t>
      </w:r>
      <w:r w:rsidR="001F0830">
        <w:rPr>
          <w:lang w:val="en-GB"/>
        </w:rPr>
        <w:t xml:space="preserve">continues to collaborate with </w:t>
      </w:r>
      <w:r w:rsidR="007B2629" w:rsidRPr="00E96B1E">
        <w:rPr>
          <w:lang w:val="en-GB"/>
        </w:rPr>
        <w:t>WHO</w:t>
      </w:r>
      <w:r w:rsidR="001F0830">
        <w:rPr>
          <w:lang w:val="en-GB"/>
        </w:rPr>
        <w:t>, with notable recent initiatives on safe listening dev</w:t>
      </w:r>
      <w:r w:rsidR="00B74075">
        <w:rPr>
          <w:lang w:val="en-GB"/>
        </w:rPr>
        <w:t>ices/systems and AI for health.</w:t>
      </w:r>
    </w:p>
    <w:p w14:paraId="09911759" w14:textId="3F4A8E45" w:rsidR="008B7852" w:rsidRPr="008B4D94" w:rsidRDefault="006944F8">
      <w:pPr>
        <w:rPr>
          <w:bCs/>
          <w:lang w:val="en-GB"/>
        </w:rPr>
      </w:pPr>
      <w:r w:rsidRPr="008B4D94">
        <w:rPr>
          <w:b/>
          <w:lang w:val="en-GB"/>
        </w:rPr>
        <w:lastRenderedPageBreak/>
        <w:t>Intelligent transport systems (ITS)</w:t>
      </w:r>
      <w:r w:rsidRPr="008B4D94">
        <w:rPr>
          <w:bCs/>
          <w:lang w:val="en-GB"/>
        </w:rPr>
        <w:t xml:space="preserve">: The </w:t>
      </w:r>
      <w:hyperlink r:id="rId133" w:history="1">
        <w:r w:rsidRPr="008B4D94">
          <w:rPr>
            <w:rStyle w:val="Hyperlink"/>
            <w:rFonts w:eastAsiaTheme="majorEastAsia"/>
            <w:bCs/>
            <w:lang w:val="en-GB"/>
          </w:rPr>
          <w:t>Collaboration on ITS Communication Standards</w:t>
        </w:r>
      </w:hyperlink>
      <w:r w:rsidRPr="008B4D94">
        <w:rPr>
          <w:bCs/>
          <w:lang w:val="en-GB"/>
        </w:rPr>
        <w:t xml:space="preserve"> is a body responsible for the coordination of technical standardization work to encourage the offer of interoperable ITS products.</w:t>
      </w:r>
      <w:r w:rsidR="009C2F17" w:rsidRPr="008B4D94">
        <w:rPr>
          <w:bCs/>
          <w:lang w:val="en-GB"/>
        </w:rPr>
        <w:t xml:space="preserve"> </w:t>
      </w:r>
      <w:r w:rsidR="007B2629" w:rsidRPr="008B4D94">
        <w:rPr>
          <w:bCs/>
          <w:lang w:val="en-GB"/>
        </w:rPr>
        <w:t>CITS meetings are held back-to-back with ITU workshops on</w:t>
      </w:r>
      <w:r w:rsidR="00240BDA" w:rsidRPr="008B4D94">
        <w:rPr>
          <w:bCs/>
          <w:lang w:val="en-GB"/>
        </w:rPr>
        <w:t xml:space="preserve"> intelligent transport systems.</w:t>
      </w:r>
      <w:r w:rsidR="008B7852" w:rsidRPr="008B4D94">
        <w:rPr>
          <w:bCs/>
          <w:lang w:val="en-GB"/>
        </w:rPr>
        <w:t xml:space="preserve"> </w:t>
      </w:r>
      <w:r w:rsidR="00EA0C1F" w:rsidRPr="008B4D94">
        <w:rPr>
          <w:bCs/>
          <w:lang w:val="en-GB"/>
        </w:rPr>
        <w:t>CITS has established a</w:t>
      </w:r>
      <w:r w:rsidR="006443D7">
        <w:rPr>
          <w:bCs/>
          <w:lang w:val="en-GB"/>
        </w:rPr>
        <w:t xml:space="preserve"> </w:t>
      </w:r>
      <w:hyperlink r:id="rId134" w:anchor="?topic=0.131&amp;workgroup=1&amp;searchValue=&amp;page=1&amp;sort=Revelance" w:history="1">
        <w:r w:rsidR="00EA0C1F" w:rsidRPr="008B4D94">
          <w:rPr>
            <w:rStyle w:val="Hyperlink"/>
            <w:bCs/>
            <w:lang w:val="en-GB"/>
          </w:rPr>
          <w:t>standards database</w:t>
        </w:r>
      </w:hyperlink>
      <w:r w:rsidR="006443D7">
        <w:rPr>
          <w:bCs/>
          <w:lang w:val="en-GB"/>
        </w:rPr>
        <w:t xml:space="preserve"> </w:t>
      </w:r>
      <w:r w:rsidR="00EA0C1F" w:rsidRPr="008B4D94">
        <w:rPr>
          <w:bCs/>
          <w:lang w:val="en-GB"/>
        </w:rPr>
        <w:t>to assist the harmonization of ITS standards. The database includes ITS standards developed by</w:t>
      </w:r>
      <w:r w:rsidR="00B74075">
        <w:rPr>
          <w:bCs/>
          <w:lang w:val="en-GB"/>
        </w:rPr>
        <w:t xml:space="preserve"> all relevant standards bodies.</w:t>
      </w:r>
    </w:p>
    <w:p w14:paraId="7B737907" w14:textId="4DCC77D0" w:rsidR="006175CC" w:rsidRPr="001F0830" w:rsidRDefault="006944F8" w:rsidP="006A13AE">
      <w:pPr>
        <w:rPr>
          <w:highlight w:val="yellow"/>
          <w:lang w:val="en-GB"/>
        </w:rPr>
      </w:pPr>
      <w:r w:rsidRPr="00277B72">
        <w:rPr>
          <w:b/>
          <w:lang w:val="en-GB"/>
        </w:rPr>
        <w:t>ITU/WMO/UNESCO-IOC Joint Task Force</w:t>
      </w:r>
      <w:r w:rsidR="00983282" w:rsidRPr="00277B72">
        <w:rPr>
          <w:b/>
          <w:lang w:val="en-GB"/>
        </w:rPr>
        <w:t xml:space="preserve"> (JTF)</w:t>
      </w:r>
      <w:r w:rsidRPr="00277B72">
        <w:rPr>
          <w:b/>
          <w:lang w:val="en-GB"/>
        </w:rPr>
        <w:t xml:space="preserve"> on SMART Cable Systems: </w:t>
      </w:r>
      <w:r w:rsidR="006A13AE" w:rsidRPr="00277B72">
        <w:rPr>
          <w:bCs/>
          <w:lang w:val="en-GB"/>
        </w:rPr>
        <w:t xml:space="preserve">The </w:t>
      </w:r>
      <w:r w:rsidR="001B00EC">
        <w:rPr>
          <w:bCs/>
          <w:lang w:val="en-GB"/>
        </w:rPr>
        <w:t xml:space="preserve">JTF </w:t>
      </w:r>
      <w:r w:rsidR="006A13AE" w:rsidRPr="00277B72">
        <w:rPr>
          <w:lang w:val="en-GB"/>
        </w:rPr>
        <w:t xml:space="preserve">is leading an ambitious project to equip submarine communications cables with scientific sensors (e.g., sea water temperature, pressure, water movement) that could be used for climate change monitoring and tsunami early warning (“SMART cables”). SMART cables are technically and financially feasible and expected to be </w:t>
      </w:r>
      <w:proofErr w:type="gramStart"/>
      <w:r w:rsidR="006A13AE" w:rsidRPr="00277B72">
        <w:rPr>
          <w:lang w:val="en-GB"/>
        </w:rPr>
        <w:t>field-proven</w:t>
      </w:r>
      <w:proofErr w:type="gramEnd"/>
      <w:r w:rsidR="006A13AE" w:rsidRPr="00277B72">
        <w:rPr>
          <w:lang w:val="en-GB"/>
        </w:rPr>
        <w:t xml:space="preserve"> via ongoing demonstrations and proposed pilot systems in The Americas, Antarctica, Asia and Europe. </w:t>
      </w:r>
      <w:r w:rsidR="001B00EC">
        <w:rPr>
          <w:lang w:val="en-GB"/>
        </w:rPr>
        <w:t>A</w:t>
      </w:r>
      <w:r w:rsidR="006A13AE" w:rsidRPr="00277B72">
        <w:rPr>
          <w:lang w:val="en-GB"/>
        </w:rPr>
        <w:t xml:space="preserve"> detailed peer-reviewed article </w:t>
      </w:r>
      <w:r w:rsidR="001B00EC">
        <w:rPr>
          <w:lang w:val="en-GB"/>
        </w:rPr>
        <w:t xml:space="preserve">on the project </w:t>
      </w:r>
      <w:r w:rsidR="00620BB4">
        <w:rPr>
          <w:lang w:val="en-GB"/>
        </w:rPr>
        <w:t xml:space="preserve">can be found </w:t>
      </w:r>
      <w:r w:rsidR="006A13AE" w:rsidRPr="00277B72">
        <w:rPr>
          <w:lang w:val="en-GB"/>
        </w:rPr>
        <w:t xml:space="preserve">in the journal “Frontiers in Marine Science”: </w:t>
      </w:r>
      <w:hyperlink r:id="rId135" w:history="1">
        <w:r w:rsidR="00CE3E09">
          <w:rPr>
            <w:rStyle w:val="Hyperlink"/>
            <w:lang w:val="en-GB"/>
          </w:rPr>
          <w:t>“S</w:t>
        </w:r>
        <w:r w:rsidR="006A13AE" w:rsidRPr="00277B72">
          <w:rPr>
            <w:rStyle w:val="Hyperlink"/>
            <w:lang w:val="en-GB"/>
          </w:rPr>
          <w:t>MART Cables for Observing the Global Ocean: Science and Implementatio</w:t>
        </w:r>
        <w:r w:rsidR="00CE3E09">
          <w:rPr>
            <w:rStyle w:val="Hyperlink"/>
            <w:lang w:val="en-GB"/>
          </w:rPr>
          <w:t>n”</w:t>
        </w:r>
      </w:hyperlink>
      <w:r w:rsidR="006A13AE" w:rsidRPr="00277B72">
        <w:rPr>
          <w:lang w:val="en-GB"/>
        </w:rPr>
        <w:t>.</w:t>
      </w:r>
    </w:p>
    <w:p w14:paraId="1EC7A314" w14:textId="07DA59AB" w:rsidR="00A2313B" w:rsidRDefault="00A2313B" w:rsidP="00A2313B">
      <w:pPr>
        <w:rPr>
          <w:bCs/>
          <w:lang w:val="en-GB"/>
        </w:rPr>
      </w:pPr>
      <w:r w:rsidRPr="005B4703">
        <w:rPr>
          <w:b/>
          <w:lang w:val="en-GB"/>
        </w:rPr>
        <w:t>ICT, environment and climate change</w:t>
      </w:r>
      <w:r w:rsidRPr="005B4703">
        <w:rPr>
          <w:bCs/>
          <w:lang w:val="en-GB"/>
        </w:rPr>
        <w:t xml:space="preserve">: ITU-T maintains cooperation with a wide range of bodies active in environmental sustainability, including UN bodies, standards bodies, regional organizations, academia, and industry associations. ITU is working together with nine other UN bodies to develop a report on </w:t>
      </w:r>
      <w:r w:rsidR="0089517D">
        <w:rPr>
          <w:bCs/>
          <w:lang w:val="en-GB"/>
        </w:rPr>
        <w:t>“</w:t>
      </w:r>
      <w:r w:rsidRPr="005B4703">
        <w:rPr>
          <w:bCs/>
          <w:lang w:val="en-GB"/>
        </w:rPr>
        <w:t>frontier technologies to protect the environment and tackle climate change</w:t>
      </w:r>
      <w:r w:rsidR="0089517D">
        <w:rPr>
          <w:bCs/>
          <w:lang w:val="en-GB"/>
        </w:rPr>
        <w:t>”</w:t>
      </w:r>
      <w:r w:rsidRPr="005B4703">
        <w:rPr>
          <w:bCs/>
          <w:lang w:val="en-GB"/>
        </w:rPr>
        <w:t>.</w:t>
      </w:r>
    </w:p>
    <w:p w14:paraId="305D8C94" w14:textId="5876AD2A" w:rsidR="0089517D" w:rsidRDefault="0089517D" w:rsidP="0089517D">
      <w:pPr>
        <w:rPr>
          <w:lang w:val="en-GB"/>
        </w:rPr>
      </w:pPr>
      <w:r w:rsidRPr="00662764">
        <w:rPr>
          <w:b/>
          <w:lang w:val="en-GB"/>
        </w:rPr>
        <w:t>Smart Sustainable Cities</w:t>
      </w:r>
      <w:r>
        <w:rPr>
          <w:lang w:val="en-GB"/>
        </w:rPr>
        <w:t xml:space="preserve">: </w:t>
      </w:r>
      <w:r w:rsidRPr="005B4703">
        <w:rPr>
          <w:bCs/>
          <w:lang w:val="en-GB"/>
        </w:rPr>
        <w:t xml:space="preserve">The </w:t>
      </w:r>
      <w:hyperlink r:id="rId136" w:history="1">
        <w:r w:rsidRPr="005B4703">
          <w:rPr>
            <w:rStyle w:val="Hyperlink"/>
            <w:rFonts w:eastAsiaTheme="majorEastAsia"/>
            <w:bCs/>
            <w:lang w:val="en-GB"/>
          </w:rPr>
          <w:t>United for Smart Sustainable Cities (U4SSC)</w:t>
        </w:r>
      </w:hyperlink>
      <w:r w:rsidRPr="005B4703">
        <w:rPr>
          <w:rFonts w:eastAsiaTheme="majorEastAsia"/>
          <w:lang w:val="en-GB"/>
        </w:rPr>
        <w:t xml:space="preserve"> initiative</w:t>
      </w:r>
      <w:r w:rsidRPr="005B4703">
        <w:rPr>
          <w:bCs/>
          <w:lang w:val="en-GB"/>
        </w:rPr>
        <w:t xml:space="preserve">, supported by 16 UN bodies, advocates for public policy to ensure that ICTs – and ICT standards in particular – play a definitive role in the transition to smart cities. </w:t>
      </w:r>
      <w:r w:rsidRPr="00754B21">
        <w:rPr>
          <w:lang w:val="en-GB"/>
        </w:rPr>
        <w:t>More than 100 cities worldwide are measuring their progress using ‘Key Performance Indicators for Smart Sustainable Cities’ based on ITU standards, indicators promoted by</w:t>
      </w:r>
      <w:r>
        <w:rPr>
          <w:lang w:val="en-GB"/>
        </w:rPr>
        <w:t xml:space="preserve"> U4SSC</w:t>
      </w:r>
      <w:r w:rsidRPr="00754B21">
        <w:rPr>
          <w:lang w:val="en-GB"/>
        </w:rPr>
        <w:t>.</w:t>
      </w:r>
      <w:r>
        <w:rPr>
          <w:lang w:val="en-GB"/>
        </w:rPr>
        <w:t xml:space="preserve"> New U4SSC reports include a </w:t>
      </w:r>
      <w:hyperlink r:id="rId137" w:history="1">
        <w:r w:rsidRPr="005B4703">
          <w:rPr>
            <w:rStyle w:val="Hyperlink"/>
            <w:bCs/>
            <w:lang w:val="en-GB"/>
          </w:rPr>
          <w:t>“City Science Application Framework”</w:t>
        </w:r>
      </w:hyperlink>
      <w:r w:rsidRPr="005B4703">
        <w:rPr>
          <w:bCs/>
          <w:lang w:val="en-GB"/>
        </w:rPr>
        <w:t xml:space="preserve"> </w:t>
      </w:r>
      <w:r>
        <w:rPr>
          <w:bCs/>
          <w:lang w:val="en-GB"/>
        </w:rPr>
        <w:t xml:space="preserve">and eight associated </w:t>
      </w:r>
      <w:hyperlink r:id="rId138" w:history="1">
        <w:r w:rsidRPr="005B4703">
          <w:rPr>
            <w:rStyle w:val="Hyperlink"/>
            <w:bCs/>
            <w:lang w:val="en-GB"/>
          </w:rPr>
          <w:t>case studies</w:t>
        </w:r>
      </w:hyperlink>
      <w:r>
        <w:rPr>
          <w:lang w:val="en-GB"/>
        </w:rPr>
        <w:t>, as well as ‘</w:t>
      </w:r>
      <w:r w:rsidRPr="009623D3">
        <w:rPr>
          <w:lang w:val="en-GB"/>
        </w:rPr>
        <w:t>city snapshots</w:t>
      </w:r>
      <w:r>
        <w:rPr>
          <w:lang w:val="en-GB"/>
        </w:rPr>
        <w:t>’</w:t>
      </w:r>
      <w:r w:rsidRPr="009623D3">
        <w:rPr>
          <w:lang w:val="en-GB"/>
        </w:rPr>
        <w:t xml:space="preserve"> </w:t>
      </w:r>
      <w:r>
        <w:rPr>
          <w:lang w:val="en-GB"/>
        </w:rPr>
        <w:t xml:space="preserve">of </w:t>
      </w:r>
      <w:hyperlink r:id="rId139" w:history="1">
        <w:proofErr w:type="spellStart"/>
        <w:r w:rsidRPr="009623D3">
          <w:rPr>
            <w:rStyle w:val="Hyperlink"/>
            <w:lang w:val="en-GB"/>
          </w:rPr>
          <w:t>Ålesund</w:t>
        </w:r>
        <w:proofErr w:type="spellEnd"/>
        <w:r w:rsidRPr="009623D3">
          <w:rPr>
            <w:rStyle w:val="Hyperlink"/>
            <w:lang w:val="en-GB"/>
          </w:rPr>
          <w:t>, Norway</w:t>
        </w:r>
      </w:hyperlink>
      <w:r w:rsidRPr="009623D3">
        <w:rPr>
          <w:lang w:val="en-GB"/>
        </w:rPr>
        <w:t xml:space="preserve">; </w:t>
      </w:r>
      <w:hyperlink r:id="rId140" w:history="1">
        <w:r w:rsidRPr="009623D3">
          <w:rPr>
            <w:rStyle w:val="Hyperlink"/>
            <w:lang w:val="en-GB"/>
          </w:rPr>
          <w:t>Bizerte, Tunisia</w:t>
        </w:r>
      </w:hyperlink>
      <w:r>
        <w:rPr>
          <w:lang w:val="en-GB"/>
        </w:rPr>
        <w:t>;</w:t>
      </w:r>
      <w:r w:rsidRPr="009623D3">
        <w:rPr>
          <w:lang w:val="en-GB"/>
        </w:rPr>
        <w:t xml:space="preserve"> </w:t>
      </w:r>
      <w:hyperlink r:id="rId141" w:history="1">
        <w:r w:rsidRPr="009623D3">
          <w:rPr>
            <w:rStyle w:val="Hyperlink"/>
            <w:lang w:val="en-GB"/>
          </w:rPr>
          <w:t>Moscow, Russia</w:t>
        </w:r>
      </w:hyperlink>
      <w:r>
        <w:rPr>
          <w:lang w:val="en-GB"/>
        </w:rPr>
        <w:t>;</w:t>
      </w:r>
      <w:r w:rsidRPr="009623D3">
        <w:rPr>
          <w:lang w:val="en-GB"/>
        </w:rPr>
        <w:t xml:space="preserve"> </w:t>
      </w:r>
      <w:hyperlink r:id="rId142" w:history="1">
        <w:r w:rsidRPr="009623D3">
          <w:rPr>
            <w:rStyle w:val="Hyperlink"/>
            <w:lang w:val="en-GB"/>
          </w:rPr>
          <w:t>Riyadh, Saudi Arabia</w:t>
        </w:r>
      </w:hyperlink>
      <w:r w:rsidRPr="009623D3">
        <w:rPr>
          <w:lang w:val="en-GB"/>
        </w:rPr>
        <w:t xml:space="preserve"> and </w:t>
      </w:r>
      <w:hyperlink r:id="rId143" w:history="1">
        <w:r w:rsidRPr="009623D3">
          <w:rPr>
            <w:rStyle w:val="Hyperlink"/>
            <w:lang w:val="en-GB"/>
          </w:rPr>
          <w:t>Pully, Switzerland</w:t>
        </w:r>
      </w:hyperlink>
      <w:r>
        <w:rPr>
          <w:lang w:val="en-GB"/>
        </w:rPr>
        <w:t xml:space="preserve">. U4SSC has also launched the </w:t>
      </w:r>
      <w:hyperlink r:id="rId144" w:history="1">
        <w:r w:rsidRPr="005B4703">
          <w:rPr>
            <w:rStyle w:val="Hyperlink"/>
            <w:bCs/>
            <w:lang w:val="en-GB"/>
          </w:rPr>
          <w:t>U4SSC implementation programme</w:t>
        </w:r>
      </w:hyperlink>
      <w:r w:rsidRPr="005B4703">
        <w:rPr>
          <w:bCs/>
          <w:lang w:val="en-GB"/>
        </w:rPr>
        <w:t xml:space="preserve">, which </w:t>
      </w:r>
      <w:r w:rsidRPr="00037A63">
        <w:rPr>
          <w:bCs/>
          <w:lang w:val="en-GB"/>
        </w:rPr>
        <w:t>supports the implementation of the K</w:t>
      </w:r>
      <w:r>
        <w:rPr>
          <w:bCs/>
          <w:lang w:val="en-GB"/>
        </w:rPr>
        <w:t xml:space="preserve">ey Performance Indicators as well as related </w:t>
      </w:r>
      <w:r w:rsidRPr="00037A63">
        <w:rPr>
          <w:bCs/>
          <w:lang w:val="en-GB"/>
        </w:rPr>
        <w:t xml:space="preserve">projects and </w:t>
      </w:r>
      <w:r>
        <w:rPr>
          <w:bCs/>
          <w:lang w:val="en-GB"/>
        </w:rPr>
        <w:t xml:space="preserve">the building of </w:t>
      </w:r>
      <w:r w:rsidRPr="00037A63">
        <w:rPr>
          <w:bCs/>
          <w:lang w:val="en-GB"/>
        </w:rPr>
        <w:t>partnership</w:t>
      </w:r>
      <w:r>
        <w:rPr>
          <w:bCs/>
          <w:lang w:val="en-GB"/>
        </w:rPr>
        <w:t>s</w:t>
      </w:r>
      <w:r w:rsidRPr="00037A63">
        <w:rPr>
          <w:bCs/>
          <w:lang w:val="en-GB"/>
        </w:rPr>
        <w:t>.</w:t>
      </w:r>
    </w:p>
    <w:p w14:paraId="19F8E4D3" w14:textId="3C171118" w:rsidR="00CE3E09" w:rsidRDefault="0089517D" w:rsidP="00CE3E09">
      <w:pPr>
        <w:rPr>
          <w:lang w:val="en-GB"/>
        </w:rPr>
      </w:pPr>
      <w:r w:rsidRPr="00662764">
        <w:rPr>
          <w:b/>
          <w:lang w:val="en-GB"/>
        </w:rPr>
        <w:t>Green Standards Week</w:t>
      </w:r>
      <w:r>
        <w:rPr>
          <w:lang w:val="en-GB"/>
        </w:rPr>
        <w:t xml:space="preserve">: </w:t>
      </w:r>
      <w:r w:rsidR="00CE3E09">
        <w:rPr>
          <w:lang w:val="en-GB"/>
        </w:rPr>
        <w:t>Themed “</w:t>
      </w:r>
      <w:r w:rsidR="00CE3E09" w:rsidRPr="005B4703">
        <w:rPr>
          <w:lang w:val="en-GB"/>
        </w:rPr>
        <w:t>Connecting Smart Sustainable Cities with th</w:t>
      </w:r>
      <w:r w:rsidR="00CE3E09">
        <w:rPr>
          <w:lang w:val="en-GB"/>
        </w:rPr>
        <w:t>e Sustainable Development Goals”</w:t>
      </w:r>
      <w:r w:rsidR="00CE3E09" w:rsidRPr="005B4703">
        <w:rPr>
          <w:lang w:val="en-GB"/>
        </w:rPr>
        <w:t xml:space="preserve">, the </w:t>
      </w:r>
      <w:hyperlink r:id="rId145" w:history="1">
        <w:r w:rsidR="00CE3E09" w:rsidRPr="005B4703">
          <w:rPr>
            <w:rStyle w:val="Hyperlink"/>
            <w:lang w:val="en-GB"/>
          </w:rPr>
          <w:t>9th Green Standards Wee</w:t>
        </w:r>
        <w:r w:rsidR="00CE3E09">
          <w:rPr>
            <w:rStyle w:val="Hyperlink"/>
            <w:lang w:val="en-GB"/>
          </w:rPr>
          <w:t>k (GSW-19)</w:t>
        </w:r>
      </w:hyperlink>
      <w:r w:rsidR="00CE3E09" w:rsidRPr="005B4703">
        <w:rPr>
          <w:lang w:val="en-GB"/>
        </w:rPr>
        <w:t xml:space="preserve"> was held in Valencia, Spain, 1-4 October 2019, organized by ITU together with 37 partners and hosted by the city of Valencia. </w:t>
      </w:r>
      <w:r w:rsidR="00CE3E09">
        <w:rPr>
          <w:lang w:val="en-GB"/>
        </w:rPr>
        <w:t xml:space="preserve">GSW-19 concluded with the adoption of a </w:t>
      </w:r>
      <w:hyperlink r:id="rId146" w:history="1">
        <w:r w:rsidR="00CE3E09" w:rsidRPr="00EE2DC8">
          <w:rPr>
            <w:rStyle w:val="Hyperlink"/>
            <w:lang w:val="en-GB"/>
          </w:rPr>
          <w:t>Call to Action</w:t>
        </w:r>
      </w:hyperlink>
      <w:r w:rsidR="00CE3E09">
        <w:rPr>
          <w:lang w:val="en-GB"/>
        </w:rPr>
        <w:t xml:space="preserve"> to accelerate the transiti</w:t>
      </w:r>
      <w:r w:rsidR="00B74075">
        <w:rPr>
          <w:lang w:val="en-GB"/>
        </w:rPr>
        <w:t>on to Smart Sustainable Cities.</w:t>
      </w:r>
    </w:p>
    <w:p w14:paraId="1554D0A3" w14:textId="3EF9CCA8" w:rsidR="00C93347" w:rsidRPr="006937F2" w:rsidRDefault="00C93347" w:rsidP="00C93347">
      <w:pPr>
        <w:rPr>
          <w:lang w:val="en-GB"/>
        </w:rPr>
      </w:pPr>
      <w:r w:rsidRPr="006937F2">
        <w:rPr>
          <w:b/>
          <w:lang w:val="en-GB"/>
        </w:rPr>
        <w:t>ITU and ETSI</w:t>
      </w:r>
      <w:r w:rsidRPr="006937F2">
        <w:rPr>
          <w:lang w:val="en-GB"/>
        </w:rPr>
        <w:t xml:space="preserve"> continue to enjoy successful collaboration in areas including multimedia </w:t>
      </w:r>
      <w:proofErr w:type="spellStart"/>
      <w:r w:rsidRPr="006937F2">
        <w:rPr>
          <w:lang w:val="en-GB"/>
        </w:rPr>
        <w:t>QoE</w:t>
      </w:r>
      <w:proofErr w:type="spellEnd"/>
      <w:r w:rsidRPr="006937F2">
        <w:rPr>
          <w:lang w:val="en-GB"/>
        </w:rPr>
        <w:t xml:space="preserve"> and IP capacity and latency parameters</w:t>
      </w:r>
      <w:r w:rsidR="00561D21" w:rsidRPr="006937F2">
        <w:rPr>
          <w:lang w:val="en-GB"/>
        </w:rPr>
        <w:t>;</w:t>
      </w:r>
      <w:r w:rsidRPr="006937F2">
        <w:rPr>
          <w:lang w:val="en-GB"/>
        </w:rPr>
        <w:t xml:space="preserve"> ICT energy efficiency and methodologies to assess ICTs’ environmental impacts</w:t>
      </w:r>
      <w:r w:rsidR="00561D21" w:rsidRPr="006937F2">
        <w:rPr>
          <w:lang w:val="en-GB"/>
        </w:rPr>
        <w:t>;</w:t>
      </w:r>
      <w:r w:rsidRPr="006937F2">
        <w:rPr>
          <w:lang w:val="en-GB"/>
        </w:rPr>
        <w:t xml:space="preserve"> standardization for C&amp;I testing</w:t>
      </w:r>
      <w:r w:rsidR="00561D21" w:rsidRPr="006937F2">
        <w:rPr>
          <w:lang w:val="en-GB"/>
        </w:rPr>
        <w:t>;</w:t>
      </w:r>
      <w:r w:rsidRPr="006937F2">
        <w:rPr>
          <w:lang w:val="en-GB"/>
        </w:rPr>
        <w:t xml:space="preserve"> and </w:t>
      </w:r>
      <w:r w:rsidR="00561D21" w:rsidRPr="006937F2">
        <w:rPr>
          <w:lang w:val="en-GB"/>
        </w:rPr>
        <w:t>Test and Test Control Notation version 3</w:t>
      </w:r>
      <w:r w:rsidRPr="006937F2">
        <w:rPr>
          <w:lang w:val="en-GB"/>
        </w:rPr>
        <w:t>.</w:t>
      </w:r>
    </w:p>
    <w:p w14:paraId="53FD7336" w14:textId="36D3BF1E" w:rsidR="002136F6" w:rsidRDefault="002136F6" w:rsidP="002136F6">
      <w:pPr>
        <w:rPr>
          <w:bCs/>
          <w:lang w:val="en-GB"/>
        </w:rPr>
      </w:pPr>
      <w:r w:rsidRPr="00662764">
        <w:rPr>
          <w:bCs/>
          <w:lang w:val="en-GB"/>
        </w:rPr>
        <w:t>The</w:t>
      </w:r>
      <w:r>
        <w:rPr>
          <w:b/>
          <w:bCs/>
          <w:lang w:val="en-GB"/>
        </w:rPr>
        <w:t xml:space="preserve"> </w:t>
      </w:r>
      <w:r w:rsidR="006944F8" w:rsidRPr="00A43AC1">
        <w:rPr>
          <w:b/>
          <w:bCs/>
          <w:lang w:val="en-GB"/>
        </w:rPr>
        <w:t>Financial Inclusion Global Initiative</w:t>
      </w:r>
      <w:r w:rsidR="006944F8" w:rsidRPr="00A43AC1">
        <w:rPr>
          <w:lang w:val="en-GB"/>
        </w:rPr>
        <w:t xml:space="preserve"> </w:t>
      </w:r>
      <w:r w:rsidR="006944F8" w:rsidRPr="00A43AC1">
        <w:rPr>
          <w:b/>
          <w:bCs/>
          <w:lang w:val="en-GB"/>
        </w:rPr>
        <w:t>(FIGI)</w:t>
      </w:r>
      <w:r w:rsidR="006944F8" w:rsidRPr="00A43AC1">
        <w:rPr>
          <w:lang w:val="en-GB"/>
        </w:rPr>
        <w:t xml:space="preserve"> is a three-year programme of collective action led by ITU, the World Bank Group and the Committee on Payments and Market Infrastructures, with support from the Bill &amp; Melinda Gates Foundation. The initiative is designed to advance research in digital finance and accelerate digital financial inclusion in developing countries.</w:t>
      </w:r>
      <w:r>
        <w:rPr>
          <w:lang w:val="en-GB"/>
        </w:rPr>
        <w:t xml:space="preserve"> </w:t>
      </w:r>
      <w:r>
        <w:rPr>
          <w:rFonts w:asciiTheme="majorBidi" w:hAnsiTheme="majorBidi" w:cstheme="majorBidi"/>
        </w:rPr>
        <w:t>The</w:t>
      </w:r>
      <w:r w:rsidRPr="00986AFD">
        <w:rPr>
          <w:rFonts w:asciiTheme="majorBidi" w:hAnsiTheme="majorBidi" w:cstheme="majorBidi"/>
          <w:lang w:val="en-GB"/>
        </w:rPr>
        <w:t> </w:t>
      </w:r>
      <w:hyperlink r:id="rId147" w:history="1">
        <w:r w:rsidRPr="00986AFD">
          <w:rPr>
            <w:rStyle w:val="Hyperlink"/>
            <w:rFonts w:asciiTheme="majorBidi" w:hAnsiTheme="majorBidi" w:cstheme="majorBidi"/>
            <w:lang w:val="en-GB"/>
          </w:rPr>
          <w:t>FIGI Security Clinic</w:t>
        </w:r>
      </w:hyperlink>
      <w:r>
        <w:rPr>
          <w:rFonts w:asciiTheme="majorBidi" w:hAnsiTheme="majorBidi" w:cstheme="majorBidi"/>
          <w:lang w:val="en-GB"/>
        </w:rPr>
        <w:t xml:space="preserve"> in Geneva, 4-5 December 2019, </w:t>
      </w:r>
      <w:r w:rsidRPr="00986AFD">
        <w:rPr>
          <w:rFonts w:asciiTheme="majorBidi" w:hAnsiTheme="majorBidi" w:cstheme="majorBidi"/>
          <w:lang w:val="en-GB"/>
        </w:rPr>
        <w:t>presented the latest findings of the ITU-led </w:t>
      </w:r>
      <w:hyperlink r:id="rId148" w:history="1">
        <w:r w:rsidR="00CE3E09">
          <w:rPr>
            <w:rStyle w:val="Hyperlink"/>
            <w:rFonts w:asciiTheme="majorBidi" w:hAnsiTheme="majorBidi" w:cstheme="majorBidi"/>
            <w:lang w:val="en-GB"/>
          </w:rPr>
          <w:t>FIGI Working Group on “</w:t>
        </w:r>
        <w:r w:rsidRPr="00986AFD">
          <w:rPr>
            <w:rStyle w:val="Hyperlink"/>
            <w:rFonts w:asciiTheme="majorBidi" w:hAnsiTheme="majorBidi" w:cstheme="majorBidi"/>
            <w:lang w:val="en-GB"/>
          </w:rPr>
          <w:t>Security, Infrastructure and Trust</w:t>
        </w:r>
        <w:r w:rsidR="00CE3E09">
          <w:rPr>
            <w:rStyle w:val="Hyperlink"/>
            <w:rFonts w:asciiTheme="majorBidi" w:hAnsiTheme="majorBidi" w:cstheme="majorBidi"/>
            <w:lang w:val="en-GB"/>
          </w:rPr>
          <w:t>”</w:t>
        </w:r>
      </w:hyperlink>
      <w:r w:rsidR="00CE3E09">
        <w:rPr>
          <w:rFonts w:asciiTheme="majorBidi" w:hAnsiTheme="majorBidi" w:cstheme="majorBidi"/>
          <w:lang w:val="en-GB"/>
        </w:rPr>
        <w:t xml:space="preserve"> </w:t>
      </w:r>
      <w:r>
        <w:rPr>
          <w:rFonts w:asciiTheme="majorBidi" w:hAnsiTheme="majorBidi" w:cstheme="majorBidi"/>
          <w:lang w:val="en-GB"/>
        </w:rPr>
        <w:t xml:space="preserve">. </w:t>
      </w:r>
      <w:r w:rsidRPr="00986AFD">
        <w:rPr>
          <w:rFonts w:asciiTheme="majorBidi" w:hAnsiTheme="majorBidi" w:cstheme="majorBidi"/>
          <w:lang w:val="en-GB"/>
        </w:rPr>
        <w:t>In focus were new FIGI reports on topics including the mitigation of security vulnerabilit</w:t>
      </w:r>
      <w:r w:rsidR="00CE3E09">
        <w:rPr>
          <w:rFonts w:asciiTheme="majorBidi" w:hAnsiTheme="majorBidi" w:cstheme="majorBidi"/>
          <w:lang w:val="en-GB"/>
        </w:rPr>
        <w:t>ies in Signalling System 7</w:t>
      </w:r>
      <w:r w:rsidRPr="00986AFD">
        <w:rPr>
          <w:rFonts w:asciiTheme="majorBidi" w:hAnsiTheme="majorBidi" w:cstheme="majorBidi"/>
          <w:lang w:val="en-GB"/>
        </w:rPr>
        <w:t>, digital identity and strong authentication, and security assurance frameworks to increase security across the value chain.</w:t>
      </w:r>
      <w:r>
        <w:rPr>
          <w:rFonts w:asciiTheme="majorBidi" w:hAnsiTheme="majorBidi" w:cstheme="majorBidi"/>
          <w:lang w:val="en-GB"/>
        </w:rPr>
        <w:t xml:space="preserve"> </w:t>
      </w:r>
      <w:r w:rsidRPr="006B3FB3">
        <w:rPr>
          <w:bCs/>
          <w:lang w:val="en-GB"/>
        </w:rPr>
        <w:t>The</w:t>
      </w:r>
      <w:r>
        <w:rPr>
          <w:bCs/>
          <w:lang w:val="en-GB"/>
        </w:rPr>
        <w:t xml:space="preserve"> working group’s reports have inf</w:t>
      </w:r>
      <w:r w:rsidR="00511627">
        <w:rPr>
          <w:bCs/>
          <w:lang w:val="en-GB"/>
        </w:rPr>
        <w:t>ormed related work in ITU-T SG</w:t>
      </w:r>
      <w:r>
        <w:rPr>
          <w:bCs/>
          <w:lang w:val="en-GB"/>
        </w:rPr>
        <w:t xml:space="preserve">11, </w:t>
      </w:r>
      <w:r w:rsidR="00511627">
        <w:rPr>
          <w:bCs/>
          <w:lang w:val="en-GB"/>
        </w:rPr>
        <w:t>SG</w:t>
      </w:r>
      <w:r>
        <w:rPr>
          <w:bCs/>
          <w:lang w:val="en-GB"/>
        </w:rPr>
        <w:t xml:space="preserve">12 and </w:t>
      </w:r>
      <w:r w:rsidR="00511627">
        <w:rPr>
          <w:bCs/>
          <w:lang w:val="en-GB"/>
        </w:rPr>
        <w:t>SG</w:t>
      </w:r>
      <w:r w:rsidR="00B74075">
        <w:rPr>
          <w:bCs/>
          <w:lang w:val="en-GB"/>
        </w:rPr>
        <w:t>17.</w:t>
      </w:r>
    </w:p>
    <w:p w14:paraId="3472751F" w14:textId="319DB13F" w:rsidR="00511627" w:rsidRPr="00662764" w:rsidRDefault="00511627" w:rsidP="002136F6">
      <w:pPr>
        <w:rPr>
          <w:lang w:val="en-GB"/>
        </w:rPr>
      </w:pPr>
      <w:r w:rsidRPr="00662764">
        <w:rPr>
          <w:b/>
          <w:bCs/>
          <w:lang w:val="en-GB"/>
        </w:rPr>
        <w:t>ITU and ITU Academia member Zhejiang University</w:t>
      </w:r>
      <w:r w:rsidRPr="00725DFD">
        <w:rPr>
          <w:bCs/>
          <w:lang w:val="en-GB"/>
        </w:rPr>
        <w:t xml:space="preserve"> signed a </w:t>
      </w:r>
      <w:hyperlink r:id="rId149" w:history="1">
        <w:r w:rsidRPr="00197466">
          <w:rPr>
            <w:rStyle w:val="Hyperlink"/>
            <w:lang w:val="en-GB"/>
          </w:rPr>
          <w:t>Memorandum of Understanding</w:t>
        </w:r>
      </w:hyperlink>
      <w:r w:rsidRPr="00197466">
        <w:rPr>
          <w:lang w:val="en-GB"/>
        </w:rPr>
        <w:t xml:space="preserve"> in September 2019, outli</w:t>
      </w:r>
      <w:r>
        <w:rPr>
          <w:lang w:val="en-GB"/>
        </w:rPr>
        <w:t>ning</w:t>
      </w:r>
      <w:r w:rsidRPr="00197466">
        <w:rPr>
          <w:lang w:val="en-GB"/>
        </w:rPr>
        <w:t xml:space="preserve"> potential collaboration in global, regional and national events – as well as research collaboration in radiocommunication, standardization, telecommunication </w:t>
      </w:r>
      <w:r w:rsidR="00B74075">
        <w:rPr>
          <w:lang w:val="en-GB"/>
        </w:rPr>
        <w:t>and ICT development activities.</w:t>
      </w:r>
    </w:p>
    <w:p w14:paraId="0B037D4A" w14:textId="6F9DD1A4" w:rsidR="006944F8" w:rsidRPr="00510575" w:rsidRDefault="00D64AF8" w:rsidP="006944F8">
      <w:pPr>
        <w:pStyle w:val="Heading2"/>
      </w:pPr>
      <w:bookmarkStart w:id="125" w:name="_Toc31967159"/>
      <w:r w:rsidRPr="00510575">
        <w:lastRenderedPageBreak/>
        <w:t>6</w:t>
      </w:r>
      <w:r w:rsidR="006944F8" w:rsidRPr="00510575">
        <w:t>.5</w:t>
      </w:r>
      <w:r w:rsidR="006944F8" w:rsidRPr="00510575">
        <w:tab/>
        <w:t>Cooperation with national and regional standardization organizations</w:t>
      </w:r>
      <w:bookmarkEnd w:id="125"/>
    </w:p>
    <w:p w14:paraId="2481B98E" w14:textId="4136A199" w:rsidR="000A5F8C" w:rsidRDefault="000A5F8C" w:rsidP="000A5F8C">
      <w:pPr>
        <w:rPr>
          <w:szCs w:val="24"/>
          <w:lang w:val="en-GB"/>
        </w:rPr>
      </w:pPr>
      <w:r w:rsidRPr="00662764">
        <w:rPr>
          <w:szCs w:val="24"/>
          <w:lang w:val="en-GB"/>
        </w:rPr>
        <w:t xml:space="preserve">TSB supports the achievement of Objective T.5 of the Strategic Plan of the Union, </w:t>
      </w:r>
      <w:r w:rsidR="00CA2D85" w:rsidRPr="00662764">
        <w:rPr>
          <w:szCs w:val="24"/>
          <w:lang w:val="en-GB"/>
        </w:rPr>
        <w:t>"</w:t>
      </w:r>
      <w:r w:rsidRPr="00662764">
        <w:rPr>
          <w:szCs w:val="24"/>
          <w:lang w:val="en-GB"/>
        </w:rPr>
        <w:t>Extend and facilitate cooperation with international, regional and national standardization bodies</w:t>
      </w:r>
      <w:r w:rsidR="00CA2D85" w:rsidRPr="00662764">
        <w:rPr>
          <w:szCs w:val="24"/>
          <w:lang w:val="en-GB"/>
        </w:rPr>
        <w:t>"</w:t>
      </w:r>
      <w:r w:rsidRPr="00662764">
        <w:rPr>
          <w:szCs w:val="24"/>
          <w:lang w:val="en-GB"/>
        </w:rPr>
        <w:t>, by facilitating an ITU-T presence in activities arranged by other standards bodies, with a view to promoting other standards bodies</w:t>
      </w:r>
      <w:r w:rsidR="00CA2D85" w:rsidRPr="00662764">
        <w:rPr>
          <w:szCs w:val="24"/>
          <w:lang w:val="en-GB"/>
        </w:rPr>
        <w:t>'</w:t>
      </w:r>
      <w:r w:rsidRPr="00662764">
        <w:rPr>
          <w:szCs w:val="24"/>
          <w:lang w:val="en-GB"/>
        </w:rPr>
        <w:t xml:space="preserve"> engagement with </w:t>
      </w:r>
      <w:r w:rsidR="007F6DBC" w:rsidRPr="00662764">
        <w:rPr>
          <w:szCs w:val="24"/>
          <w:lang w:val="en-GB"/>
        </w:rPr>
        <w:t>ITU-T workings groups, workshops and related ITU-T collaboration initiatives. TSB’s efforts in this regard h</w:t>
      </w:r>
      <w:r w:rsidR="005A6B40" w:rsidRPr="00662764">
        <w:rPr>
          <w:szCs w:val="24"/>
          <w:lang w:val="en-GB"/>
        </w:rPr>
        <w:t xml:space="preserve">ave strengthened the exchange of information between ITU-T and national and regional standards, supporting closer cooperation </w:t>
      </w:r>
      <w:r w:rsidR="006A1DDE" w:rsidRPr="00662764">
        <w:rPr>
          <w:szCs w:val="24"/>
          <w:lang w:val="en-GB"/>
        </w:rPr>
        <w:t>and</w:t>
      </w:r>
      <w:r w:rsidR="00E42FD9" w:rsidRPr="00662764">
        <w:rPr>
          <w:szCs w:val="24"/>
          <w:lang w:val="en-GB"/>
        </w:rPr>
        <w:t xml:space="preserve"> collaboration.</w:t>
      </w:r>
    </w:p>
    <w:p w14:paraId="6B1AB170" w14:textId="10DFE6EF" w:rsidR="002A6A93" w:rsidRDefault="006C68BA" w:rsidP="00662764">
      <w:pPr>
        <w:rPr>
          <w:b/>
          <w:szCs w:val="24"/>
          <w:lang w:val="en-GB"/>
        </w:rPr>
      </w:pPr>
      <w:r w:rsidRPr="00662764">
        <w:rPr>
          <w:szCs w:val="24"/>
          <w:lang w:val="en-GB"/>
        </w:rPr>
        <w:t>ITU and the Gulf Cooperation Council</w:t>
      </w:r>
      <w:r w:rsidR="00261062" w:rsidRPr="00662764">
        <w:rPr>
          <w:szCs w:val="24"/>
          <w:lang w:val="en-GB"/>
        </w:rPr>
        <w:t xml:space="preserve"> Standardization Organization (GSO</w:t>
      </w:r>
      <w:r w:rsidRPr="00662764">
        <w:rPr>
          <w:szCs w:val="24"/>
          <w:lang w:val="en-GB"/>
        </w:rPr>
        <w:t>)</w:t>
      </w:r>
      <w:r w:rsidRPr="006C68BA">
        <w:rPr>
          <w:b/>
          <w:bCs/>
          <w:szCs w:val="24"/>
        </w:rPr>
        <w:t xml:space="preserve"> </w:t>
      </w:r>
      <w:r w:rsidRPr="006C68BA">
        <w:rPr>
          <w:bCs/>
          <w:szCs w:val="24"/>
        </w:rPr>
        <w:t xml:space="preserve">signed a </w:t>
      </w:r>
      <w:hyperlink r:id="rId150" w:history="1">
        <w:r w:rsidRPr="006C68BA">
          <w:rPr>
            <w:rStyle w:val="Hyperlink"/>
            <w:bCs/>
            <w:szCs w:val="24"/>
          </w:rPr>
          <w:t>Cooperation Agreement</w:t>
        </w:r>
      </w:hyperlink>
      <w:r w:rsidRPr="006C68BA">
        <w:rPr>
          <w:bCs/>
          <w:szCs w:val="24"/>
        </w:rPr>
        <w:t xml:space="preserve"> </w:t>
      </w:r>
      <w:r w:rsidRPr="006C68BA">
        <w:rPr>
          <w:szCs w:val="24"/>
        </w:rPr>
        <w:t>in September 2019,</w:t>
      </w:r>
      <w:r w:rsidRPr="006C68BA">
        <w:rPr>
          <w:bCs/>
          <w:szCs w:val="24"/>
        </w:rPr>
        <w:t xml:space="preserve"> </w:t>
      </w:r>
      <w:r w:rsidRPr="006C68BA">
        <w:rPr>
          <w:szCs w:val="24"/>
        </w:rPr>
        <w:t>establishing a high-level,</w:t>
      </w:r>
      <w:r w:rsidR="00EE2DC8">
        <w:rPr>
          <w:szCs w:val="24"/>
        </w:rPr>
        <w:t xml:space="preserve"> non-exclusive framework for</w:t>
      </w:r>
      <w:r w:rsidRPr="006C68BA">
        <w:rPr>
          <w:szCs w:val="24"/>
        </w:rPr>
        <w:t xml:space="preserve"> cooperation. </w:t>
      </w:r>
      <w:r w:rsidRPr="006C68BA">
        <w:rPr>
          <w:szCs w:val="24"/>
          <w:lang w:val="en-GB"/>
        </w:rPr>
        <w:t xml:space="preserve">The agreement supports the promotion of ITU standards, </w:t>
      </w:r>
      <w:proofErr w:type="gramStart"/>
      <w:r w:rsidRPr="006C68BA">
        <w:rPr>
          <w:szCs w:val="24"/>
          <w:lang w:val="en-GB"/>
        </w:rPr>
        <w:t>taking into account</w:t>
      </w:r>
      <w:proofErr w:type="gramEnd"/>
      <w:r w:rsidRPr="006C68BA">
        <w:rPr>
          <w:szCs w:val="24"/>
          <w:lang w:val="en-GB"/>
        </w:rPr>
        <w:t xml:space="preserve"> the requirements GSO member countries, </w:t>
      </w:r>
      <w:r w:rsidRPr="006C68BA">
        <w:rPr>
          <w:szCs w:val="24"/>
        </w:rPr>
        <w:t>to support long-term sustainable economic development.</w:t>
      </w:r>
    </w:p>
    <w:p w14:paraId="4EA4EFBF" w14:textId="4E71C7CB" w:rsidR="00511627" w:rsidRDefault="006C68BA" w:rsidP="00662764">
      <w:pPr>
        <w:rPr>
          <w:szCs w:val="24"/>
          <w:lang w:val="en-GB"/>
        </w:rPr>
      </w:pPr>
      <w:r>
        <w:rPr>
          <w:szCs w:val="24"/>
          <w:lang w:val="en-GB"/>
        </w:rPr>
        <w:t>The GSO cooperation agreement follows similar agreements</w:t>
      </w:r>
      <w:r w:rsidR="002A6A93">
        <w:rPr>
          <w:szCs w:val="24"/>
          <w:lang w:val="en-GB"/>
        </w:rPr>
        <w:t xml:space="preserve"> with:</w:t>
      </w:r>
    </w:p>
    <w:p w14:paraId="0DBB4EFF" w14:textId="496188C8" w:rsidR="002A6A93" w:rsidRPr="00662764" w:rsidRDefault="002A6A93" w:rsidP="009363BD">
      <w:pPr>
        <w:pStyle w:val="ListParagraph"/>
        <w:numPr>
          <w:ilvl w:val="0"/>
          <w:numId w:val="38"/>
        </w:numPr>
        <w:rPr>
          <w:rFonts w:ascii="Times New Roman" w:hAnsi="Times New Roman"/>
          <w:color w:val="000000"/>
          <w:sz w:val="24"/>
          <w:szCs w:val="24"/>
          <w:lang w:val="en-GB"/>
        </w:rPr>
      </w:pPr>
      <w:r w:rsidRPr="00662764">
        <w:rPr>
          <w:rFonts w:ascii="Times New Roman" w:hAnsi="Times New Roman"/>
          <w:sz w:val="24"/>
          <w:szCs w:val="24"/>
          <w:lang w:val="en-GB"/>
        </w:rPr>
        <w:t>T</w:t>
      </w:r>
      <w:r w:rsidR="006C68BA" w:rsidRPr="00662764">
        <w:rPr>
          <w:rFonts w:ascii="Times New Roman" w:hAnsi="Times New Roman"/>
          <w:sz w:val="24"/>
          <w:szCs w:val="24"/>
          <w:lang w:val="en-GB"/>
        </w:rPr>
        <w:t>he African Organiz</w:t>
      </w:r>
      <w:r w:rsidRPr="00662764">
        <w:rPr>
          <w:rFonts w:ascii="Times New Roman" w:hAnsi="Times New Roman"/>
          <w:sz w:val="24"/>
          <w:szCs w:val="24"/>
          <w:lang w:val="en-GB"/>
        </w:rPr>
        <w:t>ation for Standardization (</w:t>
      </w:r>
      <w:r w:rsidR="006C68BA" w:rsidRPr="00662764">
        <w:rPr>
          <w:rFonts w:ascii="Times New Roman" w:hAnsi="Times New Roman"/>
          <w:color w:val="000000"/>
          <w:sz w:val="24"/>
          <w:szCs w:val="24"/>
          <w:lang w:val="en-GB"/>
        </w:rPr>
        <w:t>June 2019</w:t>
      </w:r>
      <w:r w:rsidRPr="00662764">
        <w:rPr>
          <w:rFonts w:ascii="Times New Roman" w:hAnsi="Times New Roman"/>
          <w:color w:val="000000"/>
          <w:sz w:val="24"/>
          <w:szCs w:val="24"/>
          <w:lang w:val="en-GB"/>
        </w:rPr>
        <w:t>)</w:t>
      </w:r>
    </w:p>
    <w:p w14:paraId="12FB0CD3" w14:textId="55FB9BA4" w:rsidR="002A6A93" w:rsidRPr="00662764" w:rsidRDefault="002A6A93" w:rsidP="009363BD">
      <w:pPr>
        <w:pStyle w:val="ListParagraph"/>
        <w:numPr>
          <w:ilvl w:val="0"/>
          <w:numId w:val="38"/>
        </w:numPr>
        <w:rPr>
          <w:rFonts w:ascii="Times New Roman" w:hAnsi="Times New Roman"/>
          <w:sz w:val="24"/>
          <w:szCs w:val="24"/>
          <w:lang w:val="en-GB"/>
        </w:rPr>
      </w:pPr>
      <w:r w:rsidRPr="00662764">
        <w:rPr>
          <w:rFonts w:ascii="Times New Roman" w:hAnsi="Times New Roman"/>
          <w:bCs/>
          <w:sz w:val="24"/>
          <w:szCs w:val="24"/>
          <w:lang w:val="en-GB"/>
        </w:rPr>
        <w:t>The</w:t>
      </w:r>
      <w:r w:rsidRPr="00662764">
        <w:rPr>
          <w:rFonts w:ascii="Times New Roman" w:hAnsi="Times New Roman"/>
          <w:sz w:val="24"/>
          <w:szCs w:val="24"/>
          <w:lang w:val="en-GB"/>
        </w:rPr>
        <w:t xml:space="preserve"> European Committee for Standardization and European Committee for Electrotechnical Standardization (March 2017)</w:t>
      </w:r>
    </w:p>
    <w:p w14:paraId="5BB22527" w14:textId="04120646" w:rsidR="002A6A93" w:rsidRPr="00662764" w:rsidRDefault="002A6A93" w:rsidP="009363BD">
      <w:pPr>
        <w:pStyle w:val="ListParagraph"/>
        <w:numPr>
          <w:ilvl w:val="0"/>
          <w:numId w:val="38"/>
        </w:numPr>
        <w:rPr>
          <w:rFonts w:ascii="Times New Roman" w:hAnsi="Times New Roman"/>
          <w:color w:val="000000"/>
          <w:sz w:val="24"/>
          <w:szCs w:val="24"/>
          <w:lang w:val="en-GB"/>
        </w:rPr>
      </w:pPr>
      <w:r w:rsidRPr="00662764">
        <w:rPr>
          <w:rFonts w:ascii="Times New Roman" w:hAnsi="Times New Roman"/>
          <w:color w:val="000000"/>
          <w:sz w:val="24"/>
          <w:szCs w:val="24"/>
          <w:lang w:val="en-GB"/>
        </w:rPr>
        <w:t>The European Telecommunications Standards Institute (July 2012; renewed May 2016)</w:t>
      </w:r>
    </w:p>
    <w:p w14:paraId="05DDB228" w14:textId="4AB57FF7" w:rsidR="002A6A93" w:rsidRDefault="002A6A93" w:rsidP="009363BD">
      <w:pPr>
        <w:pStyle w:val="ListParagraph"/>
        <w:numPr>
          <w:ilvl w:val="0"/>
          <w:numId w:val="38"/>
        </w:numPr>
        <w:rPr>
          <w:rFonts w:ascii="Times New Roman" w:hAnsi="Times New Roman"/>
          <w:color w:val="000000"/>
          <w:sz w:val="24"/>
          <w:szCs w:val="24"/>
          <w:lang w:val="en-GB"/>
        </w:rPr>
      </w:pPr>
      <w:r w:rsidRPr="00662764">
        <w:rPr>
          <w:rFonts w:ascii="Times New Roman" w:hAnsi="Times New Roman"/>
          <w:color w:val="000000"/>
          <w:sz w:val="24"/>
          <w:szCs w:val="24"/>
          <w:lang w:val="en-GB"/>
        </w:rPr>
        <w:t>The Association of Radio Industries and Businesses, China Communications Standards Association, Telecommunications Technology Association and Telecommunication Technology Committee (July 2011)</w:t>
      </w:r>
      <w:r w:rsidR="00C63B63" w:rsidRPr="00662764">
        <w:rPr>
          <w:rFonts w:ascii="Times New Roman" w:hAnsi="Times New Roman"/>
          <w:color w:val="000000"/>
          <w:sz w:val="24"/>
          <w:szCs w:val="24"/>
          <w:lang w:val="en-GB"/>
        </w:rPr>
        <w:t>.</w:t>
      </w:r>
    </w:p>
    <w:p w14:paraId="2FFAF8EE" w14:textId="364C0846" w:rsidR="00511627" w:rsidRPr="00662764" w:rsidRDefault="00511627" w:rsidP="00662764">
      <w:pPr>
        <w:rPr>
          <w:color w:val="000000"/>
          <w:szCs w:val="24"/>
          <w:lang w:val="en-GB"/>
        </w:rPr>
      </w:pPr>
      <w:r>
        <w:rPr>
          <w:color w:val="000000"/>
          <w:szCs w:val="24"/>
          <w:lang w:val="en-GB"/>
        </w:rPr>
        <w:t xml:space="preserve">For all Memoranda of Understanding and Cooperation Agreement, see relevant </w:t>
      </w:r>
      <w:hyperlink r:id="rId151" w:history="1">
        <w:r w:rsidRPr="00511627">
          <w:rPr>
            <w:rStyle w:val="Hyperlink"/>
            <w:szCs w:val="24"/>
            <w:lang w:val="en-GB"/>
          </w:rPr>
          <w:t>web page</w:t>
        </w:r>
      </w:hyperlink>
      <w:r w:rsidR="00B74075">
        <w:rPr>
          <w:color w:val="000000"/>
          <w:szCs w:val="24"/>
          <w:lang w:val="en-GB"/>
        </w:rPr>
        <w:t>.</w:t>
      </w:r>
    </w:p>
    <w:p w14:paraId="0383F696" w14:textId="18E4612B" w:rsidR="003E2374" w:rsidRPr="00662764" w:rsidRDefault="00C63B63" w:rsidP="00662764">
      <w:pPr>
        <w:rPr>
          <w:iCs/>
          <w:color w:val="000000"/>
          <w:szCs w:val="24"/>
        </w:rPr>
      </w:pPr>
      <w:r w:rsidRPr="00662764">
        <w:rPr>
          <w:szCs w:val="24"/>
          <w:lang w:val="en-GB"/>
        </w:rPr>
        <w:t xml:space="preserve">Other standardization bodies with which </w:t>
      </w:r>
      <w:r w:rsidR="00934302" w:rsidRPr="00662764">
        <w:rPr>
          <w:color w:val="000000"/>
          <w:szCs w:val="24"/>
          <w:lang w:val="en-GB"/>
        </w:rPr>
        <w:t xml:space="preserve">TSB </w:t>
      </w:r>
      <w:r w:rsidRPr="00662764">
        <w:rPr>
          <w:color w:val="000000"/>
          <w:szCs w:val="24"/>
          <w:lang w:val="en-GB"/>
        </w:rPr>
        <w:t xml:space="preserve">is </w:t>
      </w:r>
      <w:r w:rsidR="00E100E1" w:rsidRPr="00662764">
        <w:rPr>
          <w:color w:val="000000"/>
          <w:szCs w:val="24"/>
          <w:lang w:val="en-GB"/>
        </w:rPr>
        <w:t>increas</w:t>
      </w:r>
      <w:r w:rsidRPr="00662764">
        <w:rPr>
          <w:color w:val="000000"/>
          <w:szCs w:val="24"/>
          <w:lang w:val="en-GB"/>
        </w:rPr>
        <w:t>ing</w:t>
      </w:r>
      <w:r w:rsidR="00E100E1" w:rsidRPr="00662764">
        <w:rPr>
          <w:color w:val="000000"/>
          <w:szCs w:val="24"/>
          <w:lang w:val="en-GB"/>
        </w:rPr>
        <w:t xml:space="preserve"> engagement </w:t>
      </w:r>
      <w:r w:rsidRPr="00662764">
        <w:rPr>
          <w:color w:val="000000"/>
          <w:szCs w:val="24"/>
          <w:lang w:val="en-GB"/>
        </w:rPr>
        <w:t xml:space="preserve">include the </w:t>
      </w:r>
      <w:r w:rsidR="00D977B5" w:rsidRPr="00662764">
        <w:rPr>
          <w:bCs/>
          <w:szCs w:val="24"/>
          <w:lang w:val="en-GB"/>
        </w:rPr>
        <w:t>Pan American Standards Commission</w:t>
      </w:r>
      <w:r w:rsidRPr="00662764">
        <w:rPr>
          <w:bCs/>
          <w:szCs w:val="24"/>
          <w:lang w:val="en-GB"/>
        </w:rPr>
        <w:t xml:space="preserve">, </w:t>
      </w:r>
      <w:r w:rsidR="00511627">
        <w:rPr>
          <w:bCs/>
          <w:szCs w:val="24"/>
          <w:lang w:val="en-GB"/>
        </w:rPr>
        <w:t xml:space="preserve">the </w:t>
      </w:r>
      <w:r w:rsidR="00D977B5" w:rsidRPr="00662764">
        <w:rPr>
          <w:bCs/>
          <w:szCs w:val="24"/>
          <w:lang w:val="en-GB"/>
        </w:rPr>
        <w:t>Pacific Area Standards Congress</w:t>
      </w:r>
      <w:r w:rsidRPr="00662764">
        <w:rPr>
          <w:color w:val="000000"/>
          <w:szCs w:val="24"/>
          <w:lang w:val="en-GB"/>
        </w:rPr>
        <w:t xml:space="preserve">, and the </w:t>
      </w:r>
      <w:r w:rsidR="003E2374" w:rsidRPr="00662764">
        <w:rPr>
          <w:iCs/>
          <w:color w:val="000000"/>
          <w:szCs w:val="24"/>
        </w:rPr>
        <w:t>South Asian Regional Standards Organization</w:t>
      </w:r>
      <w:r w:rsidR="00B74075">
        <w:rPr>
          <w:iCs/>
          <w:color w:val="000000"/>
          <w:szCs w:val="24"/>
        </w:rPr>
        <w:t>.</w:t>
      </w:r>
    </w:p>
    <w:p w14:paraId="24CF1FE9" w14:textId="2A068F9B" w:rsidR="006944F8" w:rsidRPr="00F57FAD" w:rsidRDefault="00D64AF8" w:rsidP="006944F8">
      <w:pPr>
        <w:pStyle w:val="Heading1"/>
      </w:pPr>
      <w:bookmarkStart w:id="126" w:name="_Toc416161356"/>
      <w:bookmarkStart w:id="127" w:name="_Toc438553979"/>
      <w:bookmarkStart w:id="128" w:name="_Toc453929098"/>
      <w:bookmarkStart w:id="129" w:name="_Toc453932969"/>
      <w:bookmarkStart w:id="130" w:name="_Toc454295875"/>
      <w:bookmarkStart w:id="131" w:name="_Toc480527846"/>
      <w:bookmarkStart w:id="132" w:name="_Toc31967160"/>
      <w:r w:rsidRPr="00F57FAD">
        <w:rPr>
          <w:rFonts w:eastAsiaTheme="minorEastAsia"/>
        </w:rPr>
        <w:t>7</w:t>
      </w:r>
      <w:r w:rsidR="006944F8" w:rsidRPr="00F57FAD">
        <w:rPr>
          <w:rFonts w:eastAsiaTheme="minorEastAsia"/>
        </w:rPr>
        <w:tab/>
      </w:r>
      <w:r w:rsidR="006944F8" w:rsidRPr="00F57FAD">
        <w:t>Bridging the standardization gap</w:t>
      </w:r>
      <w:bookmarkStart w:id="133" w:name="_Toc328209623"/>
      <w:bookmarkStart w:id="134" w:name="_Toc337476742"/>
      <w:bookmarkStart w:id="135" w:name="_Toc416161362"/>
      <w:bookmarkStart w:id="136" w:name="_Toc438553985"/>
      <w:bookmarkStart w:id="137" w:name="_Toc453929107"/>
      <w:bookmarkStart w:id="138" w:name="_Toc453932978"/>
      <w:bookmarkStart w:id="139" w:name="_Toc454295884"/>
      <w:bookmarkEnd w:id="126"/>
      <w:bookmarkEnd w:id="127"/>
      <w:bookmarkEnd w:id="128"/>
      <w:bookmarkEnd w:id="129"/>
      <w:bookmarkEnd w:id="130"/>
      <w:bookmarkEnd w:id="131"/>
      <w:bookmarkEnd w:id="132"/>
    </w:p>
    <w:p w14:paraId="3907E1CC" w14:textId="08F54049" w:rsidR="006944F8" w:rsidRPr="002F15C8" w:rsidRDefault="006944F8" w:rsidP="006944F8">
      <w:pPr>
        <w:rPr>
          <w:lang w:val="en-GB"/>
        </w:rPr>
      </w:pPr>
      <w:r w:rsidRPr="002F15C8">
        <w:rPr>
          <w:lang w:val="en-GB"/>
        </w:rPr>
        <w:t>ITU</w:t>
      </w:r>
      <w:r w:rsidR="00CA2D85" w:rsidRPr="002F15C8">
        <w:rPr>
          <w:lang w:val="en-GB"/>
        </w:rPr>
        <w:t>'</w:t>
      </w:r>
      <w:r w:rsidRPr="002F15C8">
        <w:rPr>
          <w:lang w:val="en-GB"/>
        </w:rPr>
        <w:t>s Bridging the Standardization Gap (BSG) programme improves the capacity of developing countries to participate in the development and implementation of international ICT standards.</w:t>
      </w:r>
    </w:p>
    <w:p w14:paraId="7E6E12C4" w14:textId="77777777" w:rsidR="006944F8" w:rsidRPr="002F15C8" w:rsidRDefault="006944F8" w:rsidP="006944F8">
      <w:pPr>
        <w:rPr>
          <w:lang w:val="en-GB"/>
        </w:rPr>
      </w:pPr>
      <w:r w:rsidRPr="002F15C8">
        <w:rPr>
          <w:lang w:val="en-GB"/>
        </w:rPr>
        <w:t>WTSA-16 agreed an Action Plan to address further the disparity in standardization between developed and developing countries, including least-developed countries, Small Island Developing States (SIDS) and countries with economies in transition.</w:t>
      </w:r>
    </w:p>
    <w:p w14:paraId="5FD2EA3A" w14:textId="1351FD09" w:rsidR="006944F8" w:rsidRPr="002F15C8" w:rsidRDefault="006944F8" w:rsidP="009E5FFA">
      <w:pPr>
        <w:rPr>
          <w:lang w:val="en-GB"/>
        </w:rPr>
      </w:pPr>
      <w:r w:rsidRPr="002F15C8">
        <w:rPr>
          <w:lang w:val="en-GB"/>
        </w:rPr>
        <w:t xml:space="preserve">The revamped BSG Programme is structured around </w:t>
      </w:r>
      <w:r w:rsidR="00C95497" w:rsidRPr="002F15C8">
        <w:rPr>
          <w:lang w:val="en-GB"/>
        </w:rPr>
        <w:t>five</w:t>
      </w:r>
      <w:r w:rsidRPr="002F15C8">
        <w:rPr>
          <w:lang w:val="en-GB"/>
        </w:rPr>
        <w:t xml:space="preserve"> pillars</w:t>
      </w:r>
      <w:r w:rsidR="000F10CE" w:rsidRPr="002F15C8">
        <w:rPr>
          <w:lang w:val="en-GB"/>
        </w:rPr>
        <w:t xml:space="preserve">, responding to </w:t>
      </w:r>
      <w:r w:rsidRPr="002F15C8">
        <w:rPr>
          <w:lang w:val="en-GB"/>
        </w:rPr>
        <w:t xml:space="preserve">WTSA Resolution 44. The </w:t>
      </w:r>
      <w:r w:rsidR="00C95497" w:rsidRPr="002F15C8">
        <w:rPr>
          <w:lang w:val="en-GB"/>
        </w:rPr>
        <w:t>five</w:t>
      </w:r>
      <w:r w:rsidRPr="002F15C8">
        <w:rPr>
          <w:lang w:val="en-GB"/>
        </w:rPr>
        <w:t xml:space="preserve"> p</w:t>
      </w:r>
      <w:r w:rsidR="005E533F" w:rsidRPr="002F15C8">
        <w:rPr>
          <w:lang w:val="en-GB"/>
        </w:rPr>
        <w:t>illars of the BSG programme are</w:t>
      </w:r>
      <w:r w:rsidRPr="002F15C8">
        <w:rPr>
          <w:lang w:val="en-GB"/>
        </w:rPr>
        <w:t xml:space="preserve">: Engagement, </w:t>
      </w:r>
      <w:r w:rsidR="00E95E52" w:rsidRPr="002F15C8">
        <w:rPr>
          <w:lang w:val="en-GB"/>
        </w:rPr>
        <w:t>k</w:t>
      </w:r>
      <w:r w:rsidRPr="002F15C8">
        <w:rPr>
          <w:lang w:val="en-GB"/>
        </w:rPr>
        <w:t>now-how, community, awareness, and partnering:</w:t>
      </w:r>
    </w:p>
    <w:p w14:paraId="3970AB2E" w14:textId="65533C64" w:rsidR="006944F8" w:rsidRPr="002F15C8" w:rsidRDefault="006944F8" w:rsidP="009363BD">
      <w:pPr>
        <w:numPr>
          <w:ilvl w:val="0"/>
          <w:numId w:val="33"/>
        </w:numPr>
        <w:rPr>
          <w:lang w:val="en-GB"/>
        </w:rPr>
      </w:pPr>
      <w:r w:rsidRPr="002F15C8">
        <w:rPr>
          <w:b/>
          <w:bCs/>
          <w:lang w:val="en-GB"/>
        </w:rPr>
        <w:t>Engagement</w:t>
      </w:r>
      <w:r w:rsidRPr="002F15C8">
        <w:rPr>
          <w:lang w:val="en-GB"/>
        </w:rPr>
        <w:t xml:space="preserve"> is about facilitating participation in standards development. This includes fellowship and mentorship programmes and tools for remote participation.</w:t>
      </w:r>
    </w:p>
    <w:p w14:paraId="3263E412" w14:textId="5ED8D7EB" w:rsidR="006944F8" w:rsidRPr="002F15C8" w:rsidRDefault="006944F8" w:rsidP="009363BD">
      <w:pPr>
        <w:numPr>
          <w:ilvl w:val="0"/>
          <w:numId w:val="33"/>
        </w:numPr>
        <w:rPr>
          <w:lang w:val="en-GB"/>
        </w:rPr>
      </w:pPr>
      <w:r w:rsidRPr="002F15C8">
        <w:rPr>
          <w:b/>
          <w:bCs/>
          <w:lang w:val="en-GB"/>
        </w:rPr>
        <w:t>Know-how</w:t>
      </w:r>
      <w:r w:rsidRPr="002F15C8">
        <w:rPr>
          <w:lang w:val="en-GB"/>
        </w:rPr>
        <w:t xml:space="preserve"> covers the development of skills and capabilities for standards-making. This includes standards-making effectiveness sessions, video </w:t>
      </w:r>
      <w:r w:rsidR="00E95E52" w:rsidRPr="002F15C8">
        <w:rPr>
          <w:lang w:val="en-GB"/>
        </w:rPr>
        <w:t xml:space="preserve">tutorials </w:t>
      </w:r>
      <w:r w:rsidRPr="002F15C8">
        <w:rPr>
          <w:lang w:val="en-GB"/>
        </w:rPr>
        <w:t>and e-learning courses.</w:t>
      </w:r>
    </w:p>
    <w:p w14:paraId="3D3150A5" w14:textId="02DB99DC" w:rsidR="006944F8" w:rsidRPr="002F15C8" w:rsidRDefault="006944F8" w:rsidP="009363BD">
      <w:pPr>
        <w:numPr>
          <w:ilvl w:val="0"/>
          <w:numId w:val="33"/>
        </w:numPr>
        <w:rPr>
          <w:lang w:val="en-GB"/>
        </w:rPr>
      </w:pPr>
      <w:r w:rsidRPr="002F15C8">
        <w:rPr>
          <w:b/>
          <w:bCs/>
          <w:lang w:val="en-GB"/>
        </w:rPr>
        <w:t>Community</w:t>
      </w:r>
      <w:r w:rsidRPr="002F15C8">
        <w:rPr>
          <w:lang w:val="en-GB"/>
        </w:rPr>
        <w:t xml:space="preserve"> </w:t>
      </w:r>
      <w:r w:rsidR="00E95E52" w:rsidRPr="002F15C8">
        <w:rPr>
          <w:lang w:val="en-GB"/>
        </w:rPr>
        <w:t xml:space="preserve">focused on </w:t>
      </w:r>
      <w:r w:rsidRPr="002F15C8">
        <w:rPr>
          <w:lang w:val="en-GB"/>
        </w:rPr>
        <w:t>empowerment</w:t>
      </w:r>
      <w:r w:rsidR="00E95E52" w:rsidRPr="002F15C8">
        <w:rPr>
          <w:lang w:val="en-GB"/>
        </w:rPr>
        <w:t xml:space="preserve"> </w:t>
      </w:r>
      <w:r w:rsidRPr="002F15C8">
        <w:rPr>
          <w:lang w:val="en-GB"/>
        </w:rPr>
        <w:t xml:space="preserve">at regional and national levels. </w:t>
      </w:r>
      <w:r w:rsidR="00E95E52" w:rsidRPr="002F15C8">
        <w:rPr>
          <w:lang w:val="en-GB"/>
        </w:rPr>
        <w:t xml:space="preserve">Regional Groups within ITU-T </w:t>
      </w:r>
      <w:r w:rsidR="00F1765F">
        <w:rPr>
          <w:lang w:val="en-GB"/>
        </w:rPr>
        <w:t>SG</w:t>
      </w:r>
      <w:r w:rsidR="00E95E52" w:rsidRPr="002F15C8">
        <w:rPr>
          <w:lang w:val="en-GB"/>
        </w:rPr>
        <w:t xml:space="preserve">s are a prime example, </w:t>
      </w:r>
      <w:r w:rsidRPr="002F15C8">
        <w:rPr>
          <w:lang w:val="en-GB"/>
        </w:rPr>
        <w:t>ensur</w:t>
      </w:r>
      <w:r w:rsidR="00E95E52" w:rsidRPr="002F15C8">
        <w:rPr>
          <w:lang w:val="en-GB"/>
        </w:rPr>
        <w:t>ing</w:t>
      </w:r>
      <w:r w:rsidRPr="002F15C8">
        <w:rPr>
          <w:lang w:val="en-GB"/>
        </w:rPr>
        <w:t xml:space="preserve"> that standards-making is inclusive of the needs of all regions.</w:t>
      </w:r>
    </w:p>
    <w:p w14:paraId="27EF9612" w14:textId="17D862F5" w:rsidR="006944F8" w:rsidRPr="002F15C8" w:rsidRDefault="006944F8" w:rsidP="009363BD">
      <w:pPr>
        <w:numPr>
          <w:ilvl w:val="0"/>
          <w:numId w:val="33"/>
        </w:numPr>
        <w:rPr>
          <w:lang w:val="en-GB"/>
        </w:rPr>
      </w:pPr>
      <w:r w:rsidRPr="002F15C8">
        <w:rPr>
          <w:b/>
          <w:bCs/>
          <w:lang w:val="en-GB"/>
        </w:rPr>
        <w:t>Awareness</w:t>
      </w:r>
      <w:r w:rsidRPr="002F15C8">
        <w:rPr>
          <w:lang w:val="en-GB"/>
        </w:rPr>
        <w:t xml:space="preserve"> covers information sharing, </w:t>
      </w:r>
      <w:r w:rsidR="00E95E52" w:rsidRPr="002F15C8">
        <w:rPr>
          <w:lang w:val="en-GB"/>
        </w:rPr>
        <w:t xml:space="preserve">using </w:t>
      </w:r>
      <w:r w:rsidRPr="002F15C8">
        <w:rPr>
          <w:lang w:val="en-GB"/>
        </w:rPr>
        <w:t>ITU-T publications on a wide range of topics a</w:t>
      </w:r>
      <w:r w:rsidR="00E95E52" w:rsidRPr="002F15C8">
        <w:rPr>
          <w:lang w:val="en-GB"/>
        </w:rPr>
        <w:t>s well as</w:t>
      </w:r>
      <w:r w:rsidRPr="002F15C8">
        <w:rPr>
          <w:lang w:val="en-GB"/>
        </w:rPr>
        <w:t xml:space="preserve"> Regional and Inter-</w:t>
      </w:r>
      <w:r w:rsidR="00E95E52" w:rsidRPr="002F15C8">
        <w:rPr>
          <w:lang w:val="en-GB"/>
        </w:rPr>
        <w:t>R</w:t>
      </w:r>
      <w:r w:rsidRPr="002F15C8">
        <w:rPr>
          <w:lang w:val="en-GB"/>
        </w:rPr>
        <w:t>egional standardization forums.</w:t>
      </w:r>
    </w:p>
    <w:p w14:paraId="2D5CF8FF" w14:textId="77777777" w:rsidR="006944F8" w:rsidRPr="002F15C8" w:rsidRDefault="006944F8" w:rsidP="009363BD">
      <w:pPr>
        <w:numPr>
          <w:ilvl w:val="0"/>
          <w:numId w:val="33"/>
        </w:numPr>
        <w:rPr>
          <w:lang w:val="en-GB"/>
        </w:rPr>
      </w:pPr>
      <w:r w:rsidRPr="002F15C8">
        <w:rPr>
          <w:b/>
          <w:bCs/>
          <w:lang w:val="en-GB"/>
        </w:rPr>
        <w:t>Partnering</w:t>
      </w:r>
      <w:r w:rsidRPr="002F15C8">
        <w:rPr>
          <w:lang w:val="en-GB"/>
        </w:rPr>
        <w:t xml:space="preserve"> is about mobilizing resources and fostering collaboration.</w:t>
      </w:r>
    </w:p>
    <w:p w14:paraId="62C91AE9" w14:textId="65777AC2" w:rsidR="006944F8" w:rsidRPr="00656355" w:rsidRDefault="006944F8" w:rsidP="006944F8">
      <w:pPr>
        <w:keepNext/>
        <w:jc w:val="center"/>
        <w:rPr>
          <w:highlight w:val="yellow"/>
          <w:lang w:val="en-GB"/>
        </w:rPr>
      </w:pPr>
      <w:r w:rsidRPr="002F15C8">
        <w:rPr>
          <w:noProof/>
          <w:lang w:val="en-GB" w:eastAsia="en-GB"/>
        </w:rPr>
        <w:lastRenderedPageBreak/>
        <w:drawing>
          <wp:inline distT="0" distB="0" distL="0" distR="0" wp14:anchorId="4B63B8EA" wp14:editId="16A0CCBE">
            <wp:extent cx="3642970" cy="2162954"/>
            <wp:effectExtent l="0" t="0" r="0" b="8890"/>
            <wp:docPr id="232"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1"/>
                    <pic:cNvPicPr>
                      <a:picLocks noChangeAspect="1"/>
                    </pic:cNvPicPr>
                  </pic:nvPicPr>
                  <pic:blipFill>
                    <a:blip r:embed="rId152"/>
                    <a:stretch>
                      <a:fillRect/>
                    </a:stretch>
                  </pic:blipFill>
                  <pic:spPr>
                    <a:xfrm>
                      <a:off x="0" y="0"/>
                      <a:ext cx="3686432" cy="2188759"/>
                    </a:xfrm>
                    <a:prstGeom prst="rect">
                      <a:avLst/>
                    </a:prstGeom>
                  </pic:spPr>
                </pic:pic>
              </a:graphicData>
            </a:graphic>
          </wp:inline>
        </w:drawing>
      </w:r>
    </w:p>
    <w:p w14:paraId="581A5966" w14:textId="77777777" w:rsidR="006944F8" w:rsidRPr="002F15C8" w:rsidRDefault="006944F8" w:rsidP="00C1421E">
      <w:pPr>
        <w:pStyle w:val="Caption"/>
        <w:rPr>
          <w:lang w:val="en-GB"/>
        </w:rPr>
      </w:pPr>
      <w:r w:rsidRPr="002F15C8">
        <w:rPr>
          <w:lang w:val="en-GB"/>
        </w:rPr>
        <w:t xml:space="preserve">Figure </w:t>
      </w:r>
      <w:r w:rsidRPr="002F15C8">
        <w:rPr>
          <w:lang w:val="en-GB"/>
        </w:rPr>
        <w:fldChar w:fldCharType="begin"/>
      </w:r>
      <w:r w:rsidRPr="002F15C8">
        <w:rPr>
          <w:lang w:val="en-GB"/>
        </w:rPr>
        <w:instrText xml:space="preserve"> SEQ Figure \* ARABIC </w:instrText>
      </w:r>
      <w:r w:rsidRPr="002F15C8">
        <w:rPr>
          <w:lang w:val="en-GB"/>
        </w:rPr>
        <w:fldChar w:fldCharType="separate"/>
      </w:r>
      <w:r w:rsidRPr="002F15C8">
        <w:rPr>
          <w:lang w:val="en-GB"/>
        </w:rPr>
        <w:t>1</w:t>
      </w:r>
      <w:r w:rsidRPr="002F15C8">
        <w:rPr>
          <w:lang w:val="en-GB"/>
        </w:rPr>
        <w:fldChar w:fldCharType="end"/>
      </w:r>
      <w:r w:rsidRPr="002F15C8">
        <w:rPr>
          <w:lang w:val="en-GB"/>
        </w:rPr>
        <w:t xml:space="preserve"> - Five pillars of the BSG Programme</w:t>
      </w:r>
    </w:p>
    <w:p w14:paraId="05E48875" w14:textId="635912CA" w:rsidR="006944F8" w:rsidRPr="00F57FAD" w:rsidRDefault="00D64AF8" w:rsidP="006944F8">
      <w:pPr>
        <w:pStyle w:val="Heading2"/>
      </w:pPr>
      <w:bookmarkStart w:id="140" w:name="_Toc462664261"/>
      <w:bookmarkStart w:id="141" w:name="_Toc480527847"/>
      <w:bookmarkStart w:id="142" w:name="_Toc31967161"/>
      <w:r w:rsidRPr="00F57FAD">
        <w:t>7</w:t>
      </w:r>
      <w:r w:rsidR="006944F8" w:rsidRPr="00F57FAD">
        <w:t>.1</w:t>
      </w:r>
      <w:r w:rsidR="006944F8" w:rsidRPr="00F57FAD">
        <w:tab/>
      </w:r>
      <w:bookmarkEnd w:id="140"/>
      <w:r w:rsidR="006944F8" w:rsidRPr="00F57FAD">
        <w:t>BSG hands-on training sessions</w:t>
      </w:r>
      <w:bookmarkEnd w:id="141"/>
      <w:bookmarkEnd w:id="142"/>
    </w:p>
    <w:p w14:paraId="2B53A149" w14:textId="3B330FEE" w:rsidR="006944F8" w:rsidRDefault="006944F8" w:rsidP="009E5FFA">
      <w:pPr>
        <w:rPr>
          <w:lang w:val="en-GB"/>
        </w:rPr>
      </w:pPr>
      <w:r w:rsidRPr="00E50A91">
        <w:rPr>
          <w:lang w:val="en-GB"/>
        </w:rPr>
        <w:t xml:space="preserve">ITU-T has introduced the new </w:t>
      </w:r>
      <w:r w:rsidR="00CA2D85" w:rsidRPr="00E50A91">
        <w:rPr>
          <w:lang w:val="en-GB"/>
        </w:rPr>
        <w:t>'</w:t>
      </w:r>
      <w:r w:rsidRPr="00E50A91">
        <w:rPr>
          <w:lang w:val="en-GB"/>
        </w:rPr>
        <w:t xml:space="preserve">BSG Hands-On </w:t>
      </w:r>
      <w:r w:rsidR="00F1765F">
        <w:rPr>
          <w:lang w:val="en-GB"/>
        </w:rPr>
        <w:t>SG</w:t>
      </w:r>
      <w:r w:rsidRPr="00E50A91">
        <w:rPr>
          <w:lang w:val="en-GB"/>
        </w:rPr>
        <w:t xml:space="preserve"> effectiveness training</w:t>
      </w:r>
      <w:r w:rsidR="00CA2D85" w:rsidRPr="00E50A91">
        <w:rPr>
          <w:lang w:val="en-GB"/>
        </w:rPr>
        <w:t>'</w:t>
      </w:r>
      <w:r w:rsidRPr="00E50A91">
        <w:rPr>
          <w:lang w:val="en-GB"/>
        </w:rPr>
        <w:t xml:space="preserve"> </w:t>
      </w:r>
      <w:r w:rsidR="00E95E52" w:rsidRPr="00E50A91">
        <w:rPr>
          <w:lang w:val="en-GB"/>
        </w:rPr>
        <w:t xml:space="preserve">in response to WTSA </w:t>
      </w:r>
      <w:r w:rsidRPr="00E50A91">
        <w:rPr>
          <w:lang w:val="en-GB"/>
        </w:rPr>
        <w:t>Resolution 44</w:t>
      </w:r>
      <w:r w:rsidR="00E95E52" w:rsidRPr="00E50A91">
        <w:rPr>
          <w:lang w:val="en-GB"/>
        </w:rPr>
        <w:t xml:space="preserve">. </w:t>
      </w:r>
      <w:r w:rsidRPr="00E50A91">
        <w:rPr>
          <w:lang w:val="en-GB"/>
        </w:rPr>
        <w:t>The training focuses on the development of practical skills to maximize the effectiveness of developing countries</w:t>
      </w:r>
      <w:r w:rsidR="00CA2D85" w:rsidRPr="00E50A91">
        <w:rPr>
          <w:lang w:val="en-GB"/>
        </w:rPr>
        <w:t>'</w:t>
      </w:r>
      <w:r w:rsidRPr="00E50A91">
        <w:rPr>
          <w:lang w:val="en-GB"/>
        </w:rPr>
        <w:t xml:space="preserve"> participation in the ITU-T standardization process, covering topics including s</w:t>
      </w:r>
      <w:r w:rsidR="00317510" w:rsidRPr="00E50A91">
        <w:rPr>
          <w:lang w:val="en-GB"/>
        </w:rPr>
        <w:t xml:space="preserve">trategies for participation in </w:t>
      </w:r>
      <w:r w:rsidR="00F1765F">
        <w:rPr>
          <w:lang w:val="en-GB"/>
        </w:rPr>
        <w:t>SG</w:t>
      </w:r>
      <w:r w:rsidRPr="00E50A91">
        <w:rPr>
          <w:lang w:val="en-GB"/>
        </w:rPr>
        <w:t>s, drafting contributions to meetings, presenting proposals, collaborative working methods and building consensus.</w:t>
      </w:r>
    </w:p>
    <w:p w14:paraId="70BA4384" w14:textId="68F4535D" w:rsidR="00510575" w:rsidRPr="00662764" w:rsidRDefault="00620BB4" w:rsidP="00662764">
      <w:pPr>
        <w:pStyle w:val="enumlev2"/>
        <w:ind w:left="0" w:firstLine="0"/>
        <w:rPr>
          <w:highlight w:val="yellow"/>
        </w:rPr>
      </w:pPr>
      <w:r w:rsidRPr="00662764">
        <w:t>An inter</w:t>
      </w:r>
      <w:r w:rsidR="002519AF" w:rsidRPr="00662764">
        <w:t>-</w:t>
      </w:r>
      <w:r w:rsidRPr="00662764">
        <w:t>regional Arab-African h</w:t>
      </w:r>
      <w:r w:rsidR="001F36B9" w:rsidRPr="00662764">
        <w:t xml:space="preserve">ands-on training </w:t>
      </w:r>
      <w:r w:rsidRPr="00662764">
        <w:t xml:space="preserve">programme was held in Dubai, UAE, 20-21 October 2019, in conjunction </w:t>
      </w:r>
      <w:r w:rsidRPr="00620BB4">
        <w:t xml:space="preserve">an ITU </w:t>
      </w:r>
      <w:r w:rsidR="002519AF">
        <w:t>Inter-Regional Standardization F</w:t>
      </w:r>
      <w:r w:rsidRPr="00620BB4">
        <w:t xml:space="preserve">orum discussing issues pertinent to the African and Arab regions’ participation in ITU-T </w:t>
      </w:r>
      <w:r>
        <w:t>SG</w:t>
      </w:r>
      <w:r w:rsidRPr="00620BB4">
        <w:t>2</w:t>
      </w:r>
      <w:r>
        <w:t xml:space="preserve"> and SG3 and </w:t>
      </w:r>
      <w:r w:rsidRPr="00620BB4">
        <w:t>meetings of the African and Arab Regional Groups within these two</w:t>
      </w:r>
      <w:r>
        <w:t xml:space="preserve"> SGs</w:t>
      </w:r>
      <w:r w:rsidRPr="00620BB4">
        <w:t>.</w:t>
      </w:r>
      <w:r w:rsidR="00B74075">
        <w:t xml:space="preserve"> See also section 7.3.</w:t>
      </w:r>
    </w:p>
    <w:p w14:paraId="5BADE620" w14:textId="30F7023E" w:rsidR="00321DC4" w:rsidRPr="00662764" w:rsidRDefault="00321DC4" w:rsidP="00321DC4">
      <w:pPr>
        <w:rPr>
          <w:b/>
          <w:lang w:val="en-GB"/>
        </w:rPr>
      </w:pPr>
      <w:r w:rsidRPr="00662764">
        <w:rPr>
          <w:b/>
          <w:lang w:val="en-GB"/>
        </w:rPr>
        <w:t>7.1.1</w:t>
      </w:r>
      <w:r w:rsidRPr="00662764">
        <w:rPr>
          <w:b/>
          <w:lang w:val="en-GB"/>
        </w:rPr>
        <w:tab/>
        <w:t>BSG training on services</w:t>
      </w:r>
      <w:r w:rsidR="00620BB4">
        <w:rPr>
          <w:b/>
          <w:lang w:val="en-GB"/>
        </w:rPr>
        <w:t xml:space="preserve"> and tools</w:t>
      </w:r>
    </w:p>
    <w:p w14:paraId="6E587EB4" w14:textId="1AE21D25" w:rsidR="00511627" w:rsidRDefault="00510575" w:rsidP="009E5FFA">
      <w:pPr>
        <w:rPr>
          <w:lang w:val="en-GB"/>
        </w:rPr>
      </w:pPr>
      <w:r>
        <w:rPr>
          <w:lang w:val="en-GB"/>
        </w:rPr>
        <w:t xml:space="preserve">TSB offered a full-day training session on the use of TSB </w:t>
      </w:r>
      <w:r w:rsidRPr="00506B8D">
        <w:rPr>
          <w:lang w:val="en-GB"/>
        </w:rPr>
        <w:t>services</w:t>
      </w:r>
      <w:r>
        <w:rPr>
          <w:lang w:val="en-GB"/>
        </w:rPr>
        <w:t xml:space="preserve"> </w:t>
      </w:r>
      <w:r w:rsidR="00620BB4">
        <w:rPr>
          <w:lang w:val="en-GB"/>
        </w:rPr>
        <w:t xml:space="preserve">and tools </w:t>
      </w:r>
      <w:r>
        <w:rPr>
          <w:lang w:val="en-GB"/>
        </w:rPr>
        <w:t>in conjunction with the second African Telecommunications Union’s R</w:t>
      </w:r>
      <w:r w:rsidRPr="00760FD6">
        <w:rPr>
          <w:lang w:val="en-GB"/>
        </w:rPr>
        <w:t xml:space="preserve">egional Preparatory Meeting </w:t>
      </w:r>
      <w:r>
        <w:rPr>
          <w:lang w:val="en-GB"/>
        </w:rPr>
        <w:t>for WTSA-20 in</w:t>
      </w:r>
      <w:r w:rsidRPr="00760FD6">
        <w:rPr>
          <w:lang w:val="en-GB"/>
        </w:rPr>
        <w:t xml:space="preserve"> Entebbe, Uganda, </w:t>
      </w:r>
      <w:r>
        <w:rPr>
          <w:lang w:val="en-GB"/>
        </w:rPr>
        <w:t xml:space="preserve">7-11 </w:t>
      </w:r>
      <w:r w:rsidRPr="00760FD6">
        <w:rPr>
          <w:lang w:val="en-GB"/>
        </w:rPr>
        <w:t xml:space="preserve">October </w:t>
      </w:r>
      <w:r w:rsidR="00B74075">
        <w:rPr>
          <w:lang w:val="en-GB"/>
        </w:rPr>
        <w:t>2019.</w:t>
      </w:r>
    </w:p>
    <w:p w14:paraId="4906A2DF" w14:textId="78018BAE" w:rsidR="00510575" w:rsidRDefault="00510575" w:rsidP="009E5FFA">
      <w:pPr>
        <w:rPr>
          <w:lang w:val="en-GB"/>
        </w:rPr>
      </w:pPr>
      <w:r w:rsidRPr="00760FD6">
        <w:rPr>
          <w:lang w:val="en-GB"/>
        </w:rPr>
        <w:t>TSB staff present</w:t>
      </w:r>
      <w:r>
        <w:rPr>
          <w:lang w:val="en-GB"/>
        </w:rPr>
        <w:t xml:space="preserve">ed remotely from ITU Headquarters, introducing services </w:t>
      </w:r>
      <w:r w:rsidR="00620BB4">
        <w:rPr>
          <w:lang w:val="en-GB"/>
        </w:rPr>
        <w:t xml:space="preserve">and tools </w:t>
      </w:r>
      <w:r>
        <w:rPr>
          <w:lang w:val="en-GB"/>
        </w:rPr>
        <w:t xml:space="preserve">including remote participation, </w:t>
      </w:r>
      <w:proofErr w:type="spellStart"/>
      <w:r>
        <w:rPr>
          <w:lang w:val="en-GB"/>
        </w:rPr>
        <w:t>MyWorkspace</w:t>
      </w:r>
      <w:proofErr w:type="spellEnd"/>
      <w:r>
        <w:rPr>
          <w:lang w:val="en-GB"/>
        </w:rPr>
        <w:t xml:space="preserve"> and publications</w:t>
      </w:r>
      <w:r w:rsidR="002519AF">
        <w:rPr>
          <w:lang w:val="en-GB"/>
        </w:rPr>
        <w:t xml:space="preserve">. The training session aimed </w:t>
      </w:r>
      <w:r>
        <w:rPr>
          <w:lang w:val="en-GB"/>
        </w:rPr>
        <w:t>to support more active and efficient participation in ITU-T work, particularly in view of the upcoming WTSA-20</w:t>
      </w:r>
      <w:r w:rsidRPr="00760FD6">
        <w:rPr>
          <w:lang w:val="en-GB"/>
        </w:rPr>
        <w:t>.</w:t>
      </w:r>
      <w:r>
        <w:rPr>
          <w:lang w:val="en-GB"/>
        </w:rPr>
        <w:t xml:space="preserve"> The full programme of the training session can be found </w:t>
      </w:r>
      <w:hyperlink r:id="rId153" w:history="1">
        <w:r w:rsidRPr="00BA3B7F">
          <w:rPr>
            <w:rStyle w:val="Hyperlink"/>
            <w:lang w:val="en-GB"/>
          </w:rPr>
          <w:t>here</w:t>
        </w:r>
      </w:hyperlink>
      <w:r>
        <w:rPr>
          <w:lang w:val="en-GB"/>
        </w:rPr>
        <w:t>. For more on TSB services</w:t>
      </w:r>
      <w:r w:rsidR="002519AF">
        <w:rPr>
          <w:lang w:val="en-GB"/>
        </w:rPr>
        <w:t xml:space="preserve"> and tools</w:t>
      </w:r>
      <w:r>
        <w:rPr>
          <w:lang w:val="en-GB"/>
        </w:rPr>
        <w:t>, see section 13.</w:t>
      </w:r>
    </w:p>
    <w:p w14:paraId="7C114033" w14:textId="3DBB40BB" w:rsidR="006944F8" w:rsidRPr="00F57FAD" w:rsidRDefault="00D64AF8" w:rsidP="006944F8">
      <w:pPr>
        <w:pStyle w:val="Heading2"/>
      </w:pPr>
      <w:bookmarkStart w:id="143" w:name="_Toc480527848"/>
      <w:bookmarkStart w:id="144" w:name="_Toc31967162"/>
      <w:r w:rsidRPr="00F57FAD">
        <w:t>7</w:t>
      </w:r>
      <w:r w:rsidR="006944F8" w:rsidRPr="00F57FAD">
        <w:t>.2</w:t>
      </w:r>
      <w:r w:rsidR="006944F8" w:rsidRPr="00F57FAD">
        <w:tab/>
        <w:t>Regional Groups</w:t>
      </w:r>
      <w:bookmarkEnd w:id="143"/>
      <w:bookmarkEnd w:id="144"/>
    </w:p>
    <w:p w14:paraId="3CD8E255" w14:textId="2F02B48E" w:rsidR="006944F8" w:rsidRPr="00656355" w:rsidRDefault="006944F8" w:rsidP="002013A1">
      <w:pPr>
        <w:rPr>
          <w:szCs w:val="24"/>
          <w:highlight w:val="yellow"/>
          <w:lang w:val="en-GB"/>
        </w:rPr>
      </w:pPr>
      <w:bookmarkStart w:id="145" w:name="_Toc480527849"/>
      <w:r w:rsidRPr="000945E5">
        <w:rPr>
          <w:lang w:val="en-GB"/>
        </w:rPr>
        <w:t xml:space="preserve">Regional Groups within ITU-T </w:t>
      </w:r>
      <w:r w:rsidR="00F1765F">
        <w:rPr>
          <w:lang w:val="en-GB"/>
        </w:rPr>
        <w:t>SG</w:t>
      </w:r>
      <w:r w:rsidRPr="000945E5">
        <w:rPr>
          <w:lang w:val="en-GB"/>
        </w:rPr>
        <w:t>s have proven effective mechanisms to coordinate regional contributions to ITU and increase the number and quality of technical contributions from developing countries.</w:t>
      </w:r>
      <w:r w:rsidR="007D4449" w:rsidRPr="000945E5">
        <w:rPr>
          <w:lang w:val="en-GB"/>
        </w:rPr>
        <w:t xml:space="preserve"> </w:t>
      </w:r>
      <w:r w:rsidR="001F36B9">
        <w:rPr>
          <w:lang w:val="en-GB"/>
        </w:rPr>
        <w:t xml:space="preserve">Some </w:t>
      </w:r>
      <w:r w:rsidR="00A54D80">
        <w:rPr>
          <w:lang w:val="en-GB"/>
        </w:rPr>
        <w:t>3</w:t>
      </w:r>
      <w:r w:rsidR="00624446">
        <w:rPr>
          <w:lang w:val="en-GB"/>
        </w:rPr>
        <w:t>3</w:t>
      </w:r>
      <w:r w:rsidR="00A54D80">
        <w:rPr>
          <w:lang w:val="en-GB"/>
        </w:rPr>
        <w:t xml:space="preserve">0 </w:t>
      </w:r>
      <w:r w:rsidR="007D4449" w:rsidRPr="005821A2">
        <w:rPr>
          <w:lang w:val="en-GB"/>
        </w:rPr>
        <w:t xml:space="preserve">participants attended </w:t>
      </w:r>
      <w:r w:rsidR="00A703AD" w:rsidRPr="005821A2">
        <w:rPr>
          <w:lang w:val="en-GB"/>
        </w:rPr>
        <w:t xml:space="preserve">the </w:t>
      </w:r>
      <w:r w:rsidR="00624446">
        <w:rPr>
          <w:lang w:val="en-GB"/>
        </w:rPr>
        <w:t>nine</w:t>
      </w:r>
      <w:r w:rsidR="007D4449" w:rsidRPr="005821A2">
        <w:rPr>
          <w:szCs w:val="24"/>
          <w:lang w:val="en-GB"/>
        </w:rPr>
        <w:t xml:space="preserve"> Regional Group meeting</w:t>
      </w:r>
      <w:r w:rsidR="00A703AD" w:rsidRPr="005821A2">
        <w:rPr>
          <w:szCs w:val="24"/>
          <w:lang w:val="en-GB"/>
        </w:rPr>
        <w:t>s held</w:t>
      </w:r>
      <w:r w:rsidR="007D4449" w:rsidRPr="005821A2">
        <w:rPr>
          <w:szCs w:val="24"/>
          <w:lang w:val="en-GB"/>
        </w:rPr>
        <w:t xml:space="preserve"> since </w:t>
      </w:r>
      <w:r w:rsidR="005821A2" w:rsidRPr="005821A2">
        <w:rPr>
          <w:szCs w:val="24"/>
          <w:lang w:val="en-GB"/>
        </w:rPr>
        <w:t>August 2019</w:t>
      </w:r>
      <w:r w:rsidR="007D4449" w:rsidRPr="005821A2">
        <w:rPr>
          <w:szCs w:val="24"/>
          <w:lang w:val="en-GB"/>
        </w:rPr>
        <w:t>:</w:t>
      </w:r>
    </w:p>
    <w:p w14:paraId="3D7FACC3" w14:textId="3BC59443" w:rsidR="006944F8" w:rsidRPr="001B6973" w:rsidRDefault="00DC162C" w:rsidP="009363BD">
      <w:pPr>
        <w:numPr>
          <w:ilvl w:val="0"/>
          <w:numId w:val="27"/>
        </w:numPr>
        <w:rPr>
          <w:lang w:val="en-GB"/>
        </w:rPr>
      </w:pPr>
      <w:r>
        <w:rPr>
          <w:lang w:val="en-GB"/>
        </w:rPr>
        <w:t>Four</w:t>
      </w:r>
      <w:r w:rsidR="006944F8" w:rsidRPr="001B6973">
        <w:rPr>
          <w:lang w:val="en-GB"/>
        </w:rPr>
        <w:t xml:space="preserve"> in Africa </w:t>
      </w:r>
      <w:proofErr w:type="gramStart"/>
      <w:r w:rsidR="006944F8" w:rsidRPr="001B6973">
        <w:rPr>
          <w:lang w:val="en-GB"/>
        </w:rPr>
        <w:t>(</w:t>
      </w:r>
      <w:r w:rsidR="001F36B9">
        <w:rPr>
          <w:lang w:val="en-GB"/>
        </w:rPr>
        <w:t xml:space="preserve"> SGs</w:t>
      </w:r>
      <w:proofErr w:type="gramEnd"/>
      <w:r w:rsidR="006944F8" w:rsidRPr="001B6973">
        <w:rPr>
          <w:lang w:val="en-GB"/>
        </w:rPr>
        <w:t xml:space="preserve"> </w:t>
      </w:r>
      <w:r>
        <w:rPr>
          <w:lang w:val="en-GB"/>
        </w:rPr>
        <w:t xml:space="preserve">2, </w:t>
      </w:r>
      <w:r w:rsidR="001B6973" w:rsidRPr="001B6973">
        <w:rPr>
          <w:lang w:val="en-GB"/>
        </w:rPr>
        <w:t xml:space="preserve">5, 11 and </w:t>
      </w:r>
      <w:r w:rsidR="006944F8" w:rsidRPr="001B6973">
        <w:rPr>
          <w:lang w:val="en-GB"/>
        </w:rPr>
        <w:t>20)</w:t>
      </w:r>
    </w:p>
    <w:p w14:paraId="3E84050B" w14:textId="25D59B11" w:rsidR="00DC162C" w:rsidRPr="00DC162C" w:rsidRDefault="00DC162C" w:rsidP="009363BD">
      <w:pPr>
        <w:numPr>
          <w:ilvl w:val="0"/>
          <w:numId w:val="31"/>
        </w:numPr>
        <w:rPr>
          <w:lang w:val="en-GB"/>
        </w:rPr>
      </w:pPr>
      <w:r w:rsidRPr="00783319">
        <w:t>SG2RG-AFR</w:t>
      </w:r>
      <w:r>
        <w:t>:</w:t>
      </w:r>
      <w:r w:rsidRPr="009D4512">
        <w:rPr>
          <w:bCs/>
          <w:lang w:val="en-GB"/>
        </w:rPr>
        <w:t xml:space="preserve"> </w:t>
      </w:r>
      <w:r w:rsidRPr="00783319">
        <w:t>Dubai,</w:t>
      </w:r>
      <w:r>
        <w:t xml:space="preserve"> U</w:t>
      </w:r>
      <w:r w:rsidR="001F36B9">
        <w:t>AE</w:t>
      </w:r>
      <w:r>
        <w:t xml:space="preserve">, </w:t>
      </w:r>
      <w:r w:rsidRPr="00783319">
        <w:t>23-24 October 2019</w:t>
      </w:r>
      <w:r>
        <w:t>: 25 participants.</w:t>
      </w:r>
    </w:p>
    <w:p w14:paraId="6E110961" w14:textId="1C1A7841" w:rsidR="009D4512" w:rsidRPr="004B06C6" w:rsidRDefault="009D4512" w:rsidP="009363BD">
      <w:pPr>
        <w:numPr>
          <w:ilvl w:val="0"/>
          <w:numId w:val="31"/>
        </w:numPr>
        <w:rPr>
          <w:lang w:val="en-GB"/>
        </w:rPr>
      </w:pPr>
      <w:r w:rsidRPr="009D4512">
        <w:rPr>
          <w:bCs/>
          <w:lang w:val="en-GB"/>
        </w:rPr>
        <w:t>SG5-RGAFR: Abuja, Nigeria, 29-30 August 2019</w:t>
      </w:r>
      <w:r>
        <w:rPr>
          <w:bCs/>
          <w:lang w:val="en-GB"/>
        </w:rPr>
        <w:t xml:space="preserve">: </w:t>
      </w:r>
      <w:r w:rsidR="003B4C77">
        <w:rPr>
          <w:bCs/>
          <w:lang w:val="en-GB"/>
        </w:rPr>
        <w:t xml:space="preserve">81 </w:t>
      </w:r>
      <w:r>
        <w:rPr>
          <w:bCs/>
          <w:lang w:val="en-GB"/>
        </w:rPr>
        <w:t>participants.</w:t>
      </w:r>
    </w:p>
    <w:p w14:paraId="61C40C63" w14:textId="794E8ECD" w:rsidR="004B06C6" w:rsidRPr="009D4512" w:rsidRDefault="004B06C6" w:rsidP="009363BD">
      <w:pPr>
        <w:numPr>
          <w:ilvl w:val="0"/>
          <w:numId w:val="31"/>
        </w:numPr>
        <w:rPr>
          <w:lang w:val="en-GB"/>
        </w:rPr>
      </w:pPr>
      <w:r>
        <w:rPr>
          <w:bCs/>
          <w:lang w:val="en-GB"/>
        </w:rPr>
        <w:t xml:space="preserve">SG11-RGAFR: </w:t>
      </w:r>
      <w:r w:rsidRPr="004B06C6">
        <w:rPr>
          <w:bCs/>
          <w:lang w:val="en-GB"/>
        </w:rPr>
        <w:t>Tunis, Tunisia, 30 September</w:t>
      </w:r>
      <w:r w:rsidR="001F36B9">
        <w:rPr>
          <w:bCs/>
          <w:lang w:val="en-GB"/>
        </w:rPr>
        <w:t xml:space="preserve"> </w:t>
      </w:r>
      <w:r w:rsidRPr="004B06C6">
        <w:rPr>
          <w:bCs/>
          <w:lang w:val="en-GB"/>
        </w:rPr>
        <w:t>-</w:t>
      </w:r>
      <w:r w:rsidR="001F36B9">
        <w:rPr>
          <w:bCs/>
          <w:lang w:val="en-GB"/>
        </w:rPr>
        <w:t xml:space="preserve"> </w:t>
      </w:r>
      <w:r w:rsidRPr="004B06C6">
        <w:rPr>
          <w:bCs/>
          <w:lang w:val="en-GB"/>
        </w:rPr>
        <w:t>2 October 2019</w:t>
      </w:r>
      <w:r>
        <w:rPr>
          <w:bCs/>
          <w:lang w:val="en-GB"/>
        </w:rPr>
        <w:t xml:space="preserve">: </w:t>
      </w:r>
      <w:r w:rsidR="004C4AE8">
        <w:rPr>
          <w:bCs/>
          <w:lang w:val="en-GB"/>
        </w:rPr>
        <w:t xml:space="preserve">19 </w:t>
      </w:r>
      <w:r>
        <w:rPr>
          <w:bCs/>
          <w:lang w:val="en-GB"/>
        </w:rPr>
        <w:t>participants.</w:t>
      </w:r>
    </w:p>
    <w:p w14:paraId="6F6092DF" w14:textId="3E933B8F" w:rsidR="001B6973" w:rsidRPr="00DC162C" w:rsidRDefault="001B6973" w:rsidP="009363BD">
      <w:pPr>
        <w:numPr>
          <w:ilvl w:val="0"/>
          <w:numId w:val="31"/>
        </w:numPr>
        <w:rPr>
          <w:lang w:val="en-GB"/>
        </w:rPr>
      </w:pPr>
      <w:r w:rsidRPr="001B6973">
        <w:rPr>
          <w:bCs/>
          <w:lang w:val="en-GB"/>
        </w:rPr>
        <w:t xml:space="preserve">SG20-RGAFR: Abuja, Nigeria, 27-29 August 2019: </w:t>
      </w:r>
      <w:r w:rsidR="009F6178">
        <w:rPr>
          <w:bCs/>
          <w:lang w:val="en-GB"/>
        </w:rPr>
        <w:t xml:space="preserve">80 </w:t>
      </w:r>
      <w:r w:rsidRPr="001B6973">
        <w:rPr>
          <w:bCs/>
          <w:lang w:val="en-GB"/>
        </w:rPr>
        <w:t>participants.</w:t>
      </w:r>
    </w:p>
    <w:p w14:paraId="6613847D" w14:textId="45EF2C20" w:rsidR="006944F8" w:rsidRPr="00FB3DAB" w:rsidRDefault="00FB3DAB" w:rsidP="009363BD">
      <w:pPr>
        <w:numPr>
          <w:ilvl w:val="0"/>
          <w:numId w:val="28"/>
        </w:numPr>
        <w:rPr>
          <w:lang w:val="en-GB"/>
        </w:rPr>
      </w:pPr>
      <w:r w:rsidRPr="00FB3DAB">
        <w:rPr>
          <w:lang w:val="en-GB"/>
        </w:rPr>
        <w:t>One</w:t>
      </w:r>
      <w:r w:rsidR="006944F8" w:rsidRPr="00FB3DAB">
        <w:rPr>
          <w:lang w:val="en-GB"/>
        </w:rPr>
        <w:t xml:space="preserve"> for the Americas (</w:t>
      </w:r>
      <w:r w:rsidR="001F36B9">
        <w:rPr>
          <w:lang w:val="en-GB"/>
        </w:rPr>
        <w:t>SG</w:t>
      </w:r>
      <w:r w:rsidRPr="00FB3DAB">
        <w:rPr>
          <w:lang w:val="en-GB"/>
        </w:rPr>
        <w:t>20</w:t>
      </w:r>
      <w:r w:rsidR="006944F8" w:rsidRPr="00FB3DAB">
        <w:rPr>
          <w:lang w:val="en-GB"/>
        </w:rPr>
        <w:t>)</w:t>
      </w:r>
    </w:p>
    <w:p w14:paraId="6A89BA62" w14:textId="037CA105" w:rsidR="00FB3DAB" w:rsidRPr="000E6BBA" w:rsidRDefault="00FB3DAB" w:rsidP="009363BD">
      <w:pPr>
        <w:numPr>
          <w:ilvl w:val="1"/>
          <w:numId w:val="29"/>
        </w:numPr>
        <w:rPr>
          <w:rStyle w:val="Strong"/>
          <w:b w:val="0"/>
          <w:bCs w:val="0"/>
          <w:lang w:val="es-ES"/>
        </w:rPr>
      </w:pPr>
      <w:r w:rsidRPr="00FC13B1">
        <w:rPr>
          <w:rStyle w:val="Strong"/>
          <w:b w:val="0"/>
          <w:szCs w:val="24"/>
          <w:lang w:val="es-ES"/>
        </w:rPr>
        <w:lastRenderedPageBreak/>
        <w:t>SG20-RGLATAM: San Salvador, El Salvador</w:t>
      </w:r>
      <w:r w:rsidR="001F36B9">
        <w:rPr>
          <w:rStyle w:val="Strong"/>
          <w:b w:val="0"/>
          <w:szCs w:val="24"/>
          <w:lang w:val="es-ES"/>
        </w:rPr>
        <w:t xml:space="preserve">, </w:t>
      </w:r>
      <w:r w:rsidR="001F36B9" w:rsidRPr="00FC13B1">
        <w:rPr>
          <w:rStyle w:val="Strong"/>
          <w:b w:val="0"/>
          <w:szCs w:val="24"/>
          <w:lang w:val="es-ES"/>
        </w:rPr>
        <w:t xml:space="preserve">11-12 </w:t>
      </w:r>
      <w:proofErr w:type="spellStart"/>
      <w:r w:rsidR="001F36B9" w:rsidRPr="00FC13B1">
        <w:rPr>
          <w:rStyle w:val="Strong"/>
          <w:b w:val="0"/>
          <w:szCs w:val="24"/>
          <w:lang w:val="es-ES"/>
        </w:rPr>
        <w:t>September</w:t>
      </w:r>
      <w:proofErr w:type="spellEnd"/>
      <w:r w:rsidR="001F36B9" w:rsidRPr="00FC13B1">
        <w:rPr>
          <w:rStyle w:val="Strong"/>
          <w:b w:val="0"/>
          <w:szCs w:val="24"/>
          <w:lang w:val="es-ES"/>
        </w:rPr>
        <w:t xml:space="preserve"> 2019</w:t>
      </w:r>
      <w:r w:rsidRPr="00FC13B1">
        <w:rPr>
          <w:rStyle w:val="Strong"/>
          <w:b w:val="0"/>
          <w:szCs w:val="24"/>
          <w:lang w:val="es-ES"/>
        </w:rPr>
        <w:t xml:space="preserve">: 30 </w:t>
      </w:r>
      <w:proofErr w:type="spellStart"/>
      <w:r w:rsidRPr="00FC13B1">
        <w:rPr>
          <w:rStyle w:val="Strong"/>
          <w:b w:val="0"/>
          <w:szCs w:val="24"/>
          <w:lang w:val="es-ES"/>
        </w:rPr>
        <w:t>participants</w:t>
      </w:r>
      <w:proofErr w:type="spellEnd"/>
      <w:r w:rsidRPr="00FC13B1">
        <w:rPr>
          <w:rStyle w:val="Strong"/>
          <w:b w:val="0"/>
          <w:szCs w:val="24"/>
          <w:lang w:val="es-ES"/>
        </w:rPr>
        <w:t>.</w:t>
      </w:r>
    </w:p>
    <w:p w14:paraId="15CE8C79" w14:textId="4B06B2F7" w:rsidR="006944F8" w:rsidRPr="007021E8" w:rsidRDefault="00BC6C2F" w:rsidP="009363BD">
      <w:pPr>
        <w:numPr>
          <w:ilvl w:val="0"/>
          <w:numId w:val="28"/>
        </w:numPr>
        <w:rPr>
          <w:lang w:val="en-GB"/>
        </w:rPr>
      </w:pPr>
      <w:r w:rsidRPr="00BC6C2F">
        <w:rPr>
          <w:lang w:val="en-GB"/>
        </w:rPr>
        <w:t>Three</w:t>
      </w:r>
      <w:r w:rsidR="006944F8" w:rsidRPr="00BC6C2F">
        <w:rPr>
          <w:lang w:val="en-GB"/>
        </w:rPr>
        <w:t xml:space="preserve"> </w:t>
      </w:r>
      <w:r w:rsidR="006944F8" w:rsidRPr="007021E8">
        <w:rPr>
          <w:lang w:val="en-GB"/>
        </w:rPr>
        <w:t>for the Arab States (</w:t>
      </w:r>
      <w:r w:rsidR="001F36B9">
        <w:rPr>
          <w:lang w:val="en-GB"/>
        </w:rPr>
        <w:t xml:space="preserve">SGs </w:t>
      </w:r>
      <w:r w:rsidR="006944F8" w:rsidRPr="007021E8">
        <w:rPr>
          <w:lang w:val="en-GB"/>
        </w:rPr>
        <w:t xml:space="preserve">2, </w:t>
      </w:r>
      <w:r w:rsidR="005F7DA6" w:rsidRPr="007021E8">
        <w:rPr>
          <w:lang w:val="en-GB"/>
        </w:rPr>
        <w:t xml:space="preserve">3 and </w:t>
      </w:r>
      <w:r>
        <w:rPr>
          <w:lang w:val="en-GB"/>
        </w:rPr>
        <w:t>20</w:t>
      </w:r>
      <w:r w:rsidR="006944F8" w:rsidRPr="007021E8">
        <w:rPr>
          <w:lang w:val="en-GB"/>
        </w:rPr>
        <w:t>)</w:t>
      </w:r>
    </w:p>
    <w:p w14:paraId="55ABBE94" w14:textId="5B0C79B5" w:rsidR="00F54089" w:rsidRPr="007021E8" w:rsidRDefault="00F54089" w:rsidP="009363BD">
      <w:pPr>
        <w:numPr>
          <w:ilvl w:val="0"/>
          <w:numId w:val="30"/>
        </w:numPr>
        <w:rPr>
          <w:lang w:val="en-GB"/>
        </w:rPr>
      </w:pPr>
      <w:r w:rsidRPr="007021E8">
        <w:rPr>
          <w:lang w:val="en-GB"/>
        </w:rPr>
        <w:t>SG2</w:t>
      </w:r>
      <w:r w:rsidR="00611AFD" w:rsidRPr="007021E8">
        <w:rPr>
          <w:lang w:val="en-GB"/>
        </w:rPr>
        <w:t>-RGARB</w:t>
      </w:r>
      <w:r w:rsidRPr="007021E8">
        <w:rPr>
          <w:lang w:val="en-GB"/>
        </w:rPr>
        <w:t xml:space="preserve">: </w:t>
      </w:r>
      <w:r w:rsidR="007021E8" w:rsidRPr="007021E8">
        <w:rPr>
          <w:lang w:val="en-GB"/>
        </w:rPr>
        <w:t xml:space="preserve">Dubai, </w:t>
      </w:r>
      <w:r w:rsidR="001F36B9">
        <w:rPr>
          <w:lang w:val="en-GB"/>
        </w:rPr>
        <w:t>UAE</w:t>
      </w:r>
      <w:r w:rsidR="007021E8" w:rsidRPr="007021E8">
        <w:rPr>
          <w:lang w:val="en-GB"/>
        </w:rPr>
        <w:t xml:space="preserve">, 23-24 October </w:t>
      </w:r>
      <w:r w:rsidR="007021E8" w:rsidRPr="00A94EFB">
        <w:rPr>
          <w:lang w:val="en-GB"/>
        </w:rPr>
        <w:t>2019</w:t>
      </w:r>
      <w:r w:rsidR="007B01BA" w:rsidRPr="00A94EFB">
        <w:rPr>
          <w:lang w:val="en-GB"/>
        </w:rPr>
        <w:t>: 2</w:t>
      </w:r>
      <w:r w:rsidR="00A94EFB" w:rsidRPr="00A94EFB">
        <w:rPr>
          <w:lang w:val="en-GB"/>
        </w:rPr>
        <w:t>5</w:t>
      </w:r>
      <w:r w:rsidR="007B01BA" w:rsidRPr="00A94EFB">
        <w:rPr>
          <w:lang w:val="en-GB"/>
        </w:rPr>
        <w:t xml:space="preserve"> participants</w:t>
      </w:r>
      <w:r w:rsidR="007B01BA" w:rsidRPr="007021E8">
        <w:rPr>
          <w:lang w:val="en-GB"/>
        </w:rPr>
        <w:t>.</w:t>
      </w:r>
    </w:p>
    <w:p w14:paraId="1994796A" w14:textId="08A5F5A4" w:rsidR="00F54089" w:rsidRDefault="0059207D" w:rsidP="009363BD">
      <w:pPr>
        <w:numPr>
          <w:ilvl w:val="0"/>
          <w:numId w:val="30"/>
        </w:numPr>
        <w:rPr>
          <w:lang w:val="en-GB"/>
        </w:rPr>
      </w:pPr>
      <w:r w:rsidRPr="0059552A">
        <w:rPr>
          <w:lang w:val="en-GB"/>
        </w:rPr>
        <w:t>SG3</w:t>
      </w:r>
      <w:r w:rsidR="00611AFD" w:rsidRPr="0059552A">
        <w:rPr>
          <w:lang w:val="en-GB"/>
        </w:rPr>
        <w:t>-RGARB</w:t>
      </w:r>
      <w:r w:rsidRPr="0059552A">
        <w:rPr>
          <w:lang w:val="en-GB"/>
        </w:rPr>
        <w:t xml:space="preserve">: </w:t>
      </w:r>
      <w:r w:rsidR="0059552A" w:rsidRPr="0059552A">
        <w:rPr>
          <w:lang w:val="en-GB"/>
        </w:rPr>
        <w:t xml:space="preserve">Dubai, </w:t>
      </w:r>
      <w:r w:rsidR="001F36B9">
        <w:rPr>
          <w:lang w:val="en-GB"/>
        </w:rPr>
        <w:t>UAE</w:t>
      </w:r>
      <w:r w:rsidR="001C0D8C">
        <w:rPr>
          <w:lang w:val="en-GB"/>
        </w:rPr>
        <w:t>, 23-</w:t>
      </w:r>
      <w:r w:rsidR="0059552A" w:rsidRPr="0059552A">
        <w:rPr>
          <w:lang w:val="en-GB"/>
        </w:rPr>
        <w:t>24 October 2019</w:t>
      </w:r>
      <w:r w:rsidR="0059552A">
        <w:rPr>
          <w:lang w:val="en-GB"/>
        </w:rPr>
        <w:t xml:space="preserve">: 26 </w:t>
      </w:r>
      <w:r w:rsidR="004D7AB4" w:rsidRPr="0059552A">
        <w:rPr>
          <w:lang w:val="en-GB"/>
        </w:rPr>
        <w:t>participants.</w:t>
      </w:r>
    </w:p>
    <w:p w14:paraId="6D71D988" w14:textId="79015C48" w:rsidR="006B6C5C" w:rsidRPr="006B6C5C" w:rsidRDefault="005D29B5" w:rsidP="009363BD">
      <w:pPr>
        <w:numPr>
          <w:ilvl w:val="0"/>
          <w:numId w:val="30"/>
        </w:numPr>
        <w:rPr>
          <w:lang w:val="en-GB"/>
        </w:rPr>
      </w:pPr>
      <w:r>
        <w:rPr>
          <w:lang w:val="en-GB"/>
        </w:rPr>
        <w:t xml:space="preserve">SG20-RGARB: </w:t>
      </w:r>
      <w:r w:rsidRPr="005D29B5">
        <w:rPr>
          <w:lang w:val="en-GB"/>
        </w:rPr>
        <w:t>Riyadh, Saudi Arabia</w:t>
      </w:r>
      <w:r>
        <w:rPr>
          <w:lang w:val="en-GB"/>
        </w:rPr>
        <w:t xml:space="preserve">, 7 October 2019: </w:t>
      </w:r>
      <w:r w:rsidR="008F4752">
        <w:rPr>
          <w:lang w:val="en-GB"/>
        </w:rPr>
        <w:t>11</w:t>
      </w:r>
      <w:r w:rsidR="00BC6C2F">
        <w:rPr>
          <w:lang w:val="en-GB"/>
        </w:rPr>
        <w:t xml:space="preserve"> </w:t>
      </w:r>
      <w:r>
        <w:rPr>
          <w:lang w:val="en-GB"/>
        </w:rPr>
        <w:t>participants.</w:t>
      </w:r>
    </w:p>
    <w:p w14:paraId="25B8D938" w14:textId="211F17A2" w:rsidR="00DF74E5" w:rsidRPr="00DF74E5" w:rsidRDefault="00BA3C09" w:rsidP="009363BD">
      <w:pPr>
        <w:numPr>
          <w:ilvl w:val="0"/>
          <w:numId w:val="28"/>
        </w:numPr>
        <w:rPr>
          <w:lang w:val="en-GB"/>
        </w:rPr>
      </w:pPr>
      <w:r w:rsidRPr="00BA3C09">
        <w:rPr>
          <w:lang w:val="en-GB"/>
        </w:rPr>
        <w:t>One</w:t>
      </w:r>
      <w:r w:rsidR="00DF74E5" w:rsidRPr="00DF74E5">
        <w:rPr>
          <w:lang w:val="en-GB"/>
        </w:rPr>
        <w:t xml:space="preserve"> for Asia</w:t>
      </w:r>
      <w:r w:rsidR="001F36B9">
        <w:rPr>
          <w:lang w:val="en-GB"/>
        </w:rPr>
        <w:t xml:space="preserve"> and </w:t>
      </w:r>
      <w:r w:rsidR="004B68C1">
        <w:rPr>
          <w:lang w:val="en-GB"/>
        </w:rPr>
        <w:t>Oceania</w:t>
      </w:r>
      <w:r w:rsidR="00DF74E5" w:rsidRPr="00DF74E5">
        <w:rPr>
          <w:lang w:val="en-GB"/>
        </w:rPr>
        <w:t xml:space="preserve"> (</w:t>
      </w:r>
      <w:r w:rsidR="001F36B9">
        <w:rPr>
          <w:lang w:val="en-GB"/>
        </w:rPr>
        <w:t>SG</w:t>
      </w:r>
      <w:r w:rsidR="00DF74E5" w:rsidRPr="00DF74E5">
        <w:rPr>
          <w:lang w:val="en-GB"/>
        </w:rPr>
        <w:t>3).</w:t>
      </w:r>
    </w:p>
    <w:p w14:paraId="22FC5137" w14:textId="40DA557A" w:rsidR="00DF74E5" w:rsidRPr="007F20DF" w:rsidRDefault="00DF74E5" w:rsidP="009363BD">
      <w:pPr>
        <w:numPr>
          <w:ilvl w:val="0"/>
          <w:numId w:val="36"/>
        </w:numPr>
        <w:rPr>
          <w:lang w:val="it-IT"/>
        </w:rPr>
      </w:pPr>
      <w:r w:rsidRPr="007F20DF">
        <w:rPr>
          <w:lang w:val="it-IT"/>
        </w:rPr>
        <w:t>SG3-RGAO: Colombo, Sri Lanka, 2-4 October 2019</w:t>
      </w:r>
      <w:r w:rsidR="001F36B9">
        <w:rPr>
          <w:lang w:val="it-IT"/>
        </w:rPr>
        <w:t xml:space="preserve">: </w:t>
      </w:r>
      <w:r w:rsidR="00D371E9" w:rsidRPr="007F20DF">
        <w:rPr>
          <w:lang w:val="it-IT"/>
        </w:rPr>
        <w:t>31</w:t>
      </w:r>
      <w:r w:rsidRPr="007F20DF">
        <w:rPr>
          <w:lang w:val="it-IT"/>
        </w:rPr>
        <w:t xml:space="preserve"> participants.</w:t>
      </w:r>
    </w:p>
    <w:p w14:paraId="4C016292" w14:textId="5F8AC5C2" w:rsidR="006944F8" w:rsidRPr="00F57FAD" w:rsidRDefault="00D64AF8" w:rsidP="006944F8">
      <w:pPr>
        <w:pStyle w:val="Heading2"/>
      </w:pPr>
      <w:bookmarkStart w:id="146" w:name="_Toc31967163"/>
      <w:r w:rsidRPr="00F57FAD">
        <w:t>7</w:t>
      </w:r>
      <w:r w:rsidR="006944F8" w:rsidRPr="00F57FAD">
        <w:t>.3</w:t>
      </w:r>
      <w:r w:rsidR="006944F8" w:rsidRPr="00F57FAD">
        <w:tab/>
      </w:r>
      <w:r w:rsidRPr="00F57FAD">
        <w:t xml:space="preserve">Regional </w:t>
      </w:r>
      <w:r w:rsidR="006944F8" w:rsidRPr="00F57FAD">
        <w:t>Standardization Forums</w:t>
      </w:r>
      <w:bookmarkEnd w:id="145"/>
      <w:bookmarkEnd w:id="146"/>
    </w:p>
    <w:p w14:paraId="6C2F48D0" w14:textId="216F4C9F" w:rsidR="006944F8" w:rsidRPr="000F5DC9" w:rsidRDefault="006944F8" w:rsidP="006944F8">
      <w:pPr>
        <w:rPr>
          <w:lang w:val="en-GB"/>
        </w:rPr>
      </w:pPr>
      <w:r w:rsidRPr="000F5DC9">
        <w:rPr>
          <w:lang w:val="en-GB"/>
        </w:rPr>
        <w:t xml:space="preserve">Regional Standardization Forums </w:t>
      </w:r>
      <w:r w:rsidR="00A74E8B" w:rsidRPr="000F5DC9">
        <w:rPr>
          <w:lang w:val="en-GB"/>
        </w:rPr>
        <w:t xml:space="preserve">(RSFs) </w:t>
      </w:r>
      <w:r w:rsidRPr="000F5DC9">
        <w:rPr>
          <w:lang w:val="en-GB"/>
        </w:rPr>
        <w:t xml:space="preserve">provide tutorials on ITU-T working methods as well as more </w:t>
      </w:r>
      <w:proofErr w:type="gramStart"/>
      <w:r w:rsidRPr="000F5DC9">
        <w:rPr>
          <w:lang w:val="en-GB"/>
        </w:rPr>
        <w:t>technically-oriented</w:t>
      </w:r>
      <w:proofErr w:type="gramEnd"/>
      <w:r w:rsidRPr="000F5DC9">
        <w:rPr>
          <w:lang w:val="en-GB"/>
        </w:rPr>
        <w:t xml:space="preserve"> themes such as human exposure to </w:t>
      </w:r>
      <w:r w:rsidR="00E738E0" w:rsidRPr="000F5DC9">
        <w:rPr>
          <w:lang w:val="en-GB"/>
        </w:rPr>
        <w:t>electromagnetic fields</w:t>
      </w:r>
      <w:r w:rsidRPr="000F5DC9">
        <w:rPr>
          <w:lang w:val="en-GB"/>
        </w:rPr>
        <w:t>, quality of service, smart water management, international mobile roaming, mobile financial services, digital identity, big data, and security and trust.</w:t>
      </w:r>
    </w:p>
    <w:p w14:paraId="696FDA3E" w14:textId="5627516C" w:rsidR="00A74E8B" w:rsidRPr="000F5DC9" w:rsidRDefault="006944F8" w:rsidP="00410E97">
      <w:pPr>
        <w:spacing w:after="120"/>
        <w:rPr>
          <w:lang w:val="en-GB"/>
        </w:rPr>
      </w:pPr>
      <w:r w:rsidRPr="000F5DC9">
        <w:rPr>
          <w:lang w:val="en-GB"/>
        </w:rPr>
        <w:t>R</w:t>
      </w:r>
      <w:r w:rsidR="00A74E8B" w:rsidRPr="000F5DC9">
        <w:rPr>
          <w:lang w:val="en-GB"/>
        </w:rPr>
        <w:t xml:space="preserve">SFs are being held in conjunction with meetings </w:t>
      </w:r>
      <w:r w:rsidR="00194D44">
        <w:rPr>
          <w:lang w:val="en-GB"/>
        </w:rPr>
        <w:t xml:space="preserve">of </w:t>
      </w:r>
      <w:r w:rsidR="00A74E8B" w:rsidRPr="000F5DC9">
        <w:rPr>
          <w:lang w:val="en-GB"/>
        </w:rPr>
        <w:t xml:space="preserve">Regional Groups to improve the alignment of RSF discussions and the </w:t>
      </w:r>
      <w:r w:rsidRPr="000F5DC9">
        <w:rPr>
          <w:lang w:val="en-GB"/>
        </w:rPr>
        <w:t xml:space="preserve">priorities of ITU-T </w:t>
      </w:r>
      <w:r w:rsidR="00F1765F">
        <w:rPr>
          <w:lang w:val="en-GB"/>
        </w:rPr>
        <w:t>SG</w:t>
      </w:r>
      <w:r w:rsidRPr="000F5DC9">
        <w:rPr>
          <w:lang w:val="en-GB"/>
        </w:rPr>
        <w:t xml:space="preserve">s. RSFs are also raising awareness of </w:t>
      </w:r>
      <w:r w:rsidR="00194D44">
        <w:rPr>
          <w:lang w:val="en-GB"/>
        </w:rPr>
        <w:t>ITU</w:t>
      </w:r>
      <w:r w:rsidRPr="000F5DC9">
        <w:rPr>
          <w:lang w:val="en-GB"/>
        </w:rPr>
        <w:t xml:space="preserve"> standard</w:t>
      </w:r>
      <w:r w:rsidR="00194D44">
        <w:rPr>
          <w:lang w:val="en-GB"/>
        </w:rPr>
        <w:t xml:space="preserve">ization </w:t>
      </w:r>
      <w:r w:rsidRPr="000F5DC9">
        <w:rPr>
          <w:lang w:val="en-GB"/>
        </w:rPr>
        <w:t>activities through the participation of key decision</w:t>
      </w:r>
      <w:r w:rsidR="00194D44">
        <w:rPr>
          <w:lang w:val="en-GB"/>
        </w:rPr>
        <w:t>-</w:t>
      </w:r>
      <w:r w:rsidRPr="000F5DC9">
        <w:rPr>
          <w:lang w:val="en-GB"/>
        </w:rPr>
        <w:t xml:space="preserve">makers (Prime </w:t>
      </w:r>
      <w:r w:rsidR="00A74E8B" w:rsidRPr="000F5DC9">
        <w:rPr>
          <w:lang w:val="en-GB"/>
        </w:rPr>
        <w:t>M</w:t>
      </w:r>
      <w:r w:rsidRPr="000F5DC9">
        <w:rPr>
          <w:lang w:val="en-GB"/>
        </w:rPr>
        <w:t xml:space="preserve">inisters, Ministers, </w:t>
      </w:r>
      <w:r w:rsidR="00A74E8B" w:rsidRPr="000F5DC9">
        <w:rPr>
          <w:lang w:val="en-GB"/>
        </w:rPr>
        <w:t>H</w:t>
      </w:r>
      <w:r w:rsidRPr="000F5DC9">
        <w:rPr>
          <w:lang w:val="en-GB"/>
        </w:rPr>
        <w:t>ead</w:t>
      </w:r>
      <w:r w:rsidR="00A74E8B" w:rsidRPr="000F5DC9">
        <w:rPr>
          <w:lang w:val="en-GB"/>
        </w:rPr>
        <w:t>s</w:t>
      </w:r>
      <w:r w:rsidRPr="000F5DC9">
        <w:rPr>
          <w:lang w:val="en-GB"/>
        </w:rPr>
        <w:t xml:space="preserve"> of Regulators, C</w:t>
      </w:r>
      <w:r w:rsidR="00A74E8B" w:rsidRPr="000F5DC9">
        <w:rPr>
          <w:lang w:val="en-GB"/>
        </w:rPr>
        <w:t>E</w:t>
      </w:r>
      <w:r w:rsidRPr="000F5DC9">
        <w:rPr>
          <w:lang w:val="en-GB"/>
        </w:rPr>
        <w:t>Os</w:t>
      </w:r>
      <w:r w:rsidR="00A74E8B" w:rsidRPr="000F5DC9">
        <w:rPr>
          <w:lang w:val="en-GB"/>
        </w:rPr>
        <w:t>,</w:t>
      </w:r>
      <w:r w:rsidRPr="000F5DC9">
        <w:rPr>
          <w:lang w:val="en-GB"/>
        </w:rPr>
        <w:t xml:space="preserve"> etc</w:t>
      </w:r>
      <w:r w:rsidR="00A74E8B" w:rsidRPr="000F5DC9">
        <w:rPr>
          <w:lang w:val="en-GB"/>
        </w:rPr>
        <w:t>.)</w:t>
      </w:r>
      <w:r w:rsidR="00B34CEA" w:rsidRPr="000F5DC9">
        <w:rPr>
          <w:lang w:val="en-GB"/>
        </w:rPr>
        <w:t>.</w:t>
      </w:r>
    </w:p>
    <w:p w14:paraId="4794B300" w14:textId="3D6B7493" w:rsidR="0048792D" w:rsidRDefault="0048792D" w:rsidP="0048792D">
      <w:r>
        <w:t xml:space="preserve">The </w:t>
      </w:r>
      <w:hyperlink r:id="rId154" w:history="1">
        <w:r w:rsidRPr="00E20752">
          <w:rPr>
            <w:bCs/>
            <w:color w:val="0000FF"/>
            <w:u w:val="single"/>
          </w:rPr>
          <w:t>ITU Regional Standardization Forum (RSF) on “Addressing Competition Issues in ICT Economy”</w:t>
        </w:r>
      </w:hyperlink>
      <w:r w:rsidRPr="00E20752">
        <w:t xml:space="preserve"> </w:t>
      </w:r>
      <w:r>
        <w:t xml:space="preserve">was held in </w:t>
      </w:r>
      <w:r w:rsidRPr="00E20752">
        <w:t>Colombo, Sri Lanka, 1 October 2019</w:t>
      </w:r>
      <w:r>
        <w:t>.</w:t>
      </w:r>
    </w:p>
    <w:p w14:paraId="35E0A3D1" w14:textId="71381DEA" w:rsidR="00E0216E" w:rsidRPr="00E20752" w:rsidRDefault="00E0216E" w:rsidP="0048792D">
      <w:pPr>
        <w:rPr>
          <w:lang w:val="en-GB"/>
        </w:rPr>
      </w:pPr>
      <w:r>
        <w:rPr>
          <w:lang w:val="en-GB"/>
        </w:rPr>
        <w:t xml:space="preserve">The </w:t>
      </w:r>
      <w:hyperlink r:id="rId155" w:history="1">
        <w:r w:rsidRPr="00E0216E">
          <w:rPr>
            <w:rStyle w:val="Hyperlink"/>
            <w:lang w:val="en-GB"/>
          </w:rPr>
          <w:t>I</w:t>
        </w:r>
        <w:r w:rsidR="005C4ABC">
          <w:rPr>
            <w:rStyle w:val="Hyperlink"/>
            <w:lang w:val="en-GB"/>
          </w:rPr>
          <w:t>TU I</w:t>
        </w:r>
        <w:r w:rsidRPr="00E0216E">
          <w:rPr>
            <w:rStyle w:val="Hyperlink"/>
            <w:lang w:val="en-GB"/>
          </w:rPr>
          <w:t>nter-</w:t>
        </w:r>
        <w:r w:rsidR="00194D44">
          <w:rPr>
            <w:rStyle w:val="Hyperlink"/>
            <w:lang w:val="en-GB"/>
          </w:rPr>
          <w:t>R</w:t>
        </w:r>
        <w:r w:rsidRPr="00E0216E">
          <w:rPr>
            <w:rStyle w:val="Hyperlink"/>
            <w:lang w:val="en-GB"/>
          </w:rPr>
          <w:t>egional Standardization Forum on “Operational issues on numbering, emergency service and OTTs”</w:t>
        </w:r>
      </w:hyperlink>
      <w:r>
        <w:rPr>
          <w:lang w:val="en-GB"/>
        </w:rPr>
        <w:t xml:space="preserve"> was held in Dubai, </w:t>
      </w:r>
      <w:r w:rsidR="00194D44">
        <w:rPr>
          <w:lang w:val="en-GB"/>
        </w:rPr>
        <w:t xml:space="preserve">UAE, </w:t>
      </w:r>
      <w:r>
        <w:rPr>
          <w:lang w:val="en-GB"/>
        </w:rPr>
        <w:t>22 October 2019.</w:t>
      </w:r>
    </w:p>
    <w:p w14:paraId="65E0F8BE" w14:textId="63D9EFEE" w:rsidR="006944F8" w:rsidRPr="00F57FAD" w:rsidRDefault="00D64AF8" w:rsidP="0033393D">
      <w:pPr>
        <w:pStyle w:val="Heading2"/>
      </w:pPr>
      <w:bookmarkStart w:id="147" w:name="_Toc475354525"/>
      <w:bookmarkStart w:id="148" w:name="_Toc480527850"/>
      <w:bookmarkStart w:id="149" w:name="_Toc31967164"/>
      <w:r w:rsidRPr="00F57FAD">
        <w:t>7</w:t>
      </w:r>
      <w:r w:rsidR="006944F8" w:rsidRPr="00F57FAD">
        <w:t>.4</w:t>
      </w:r>
      <w:r w:rsidR="006944F8" w:rsidRPr="00F57FAD">
        <w:tab/>
      </w:r>
      <w:bookmarkStart w:id="150" w:name="_Toc475354527"/>
      <w:bookmarkStart w:id="151" w:name="_Toc480527852"/>
      <w:bookmarkEnd w:id="147"/>
      <w:bookmarkEnd w:id="148"/>
      <w:r w:rsidR="006944F8" w:rsidRPr="00F57FAD">
        <w:t>National Standardization Secretariats</w:t>
      </w:r>
      <w:bookmarkEnd w:id="149"/>
    </w:p>
    <w:p w14:paraId="382E70EC" w14:textId="435051CB" w:rsidR="006944F8" w:rsidRPr="00662764" w:rsidRDefault="006944F8" w:rsidP="008A2F29">
      <w:pPr>
        <w:keepNext/>
        <w:keepLines/>
        <w:rPr>
          <w:lang w:val="en-GB"/>
        </w:rPr>
      </w:pPr>
      <w:r w:rsidRPr="00662764">
        <w:rPr>
          <w:lang w:val="en-GB"/>
        </w:rPr>
        <w:t>ITU-T</w:t>
      </w:r>
      <w:r w:rsidR="00194D44" w:rsidRPr="00662764">
        <w:rPr>
          <w:lang w:val="en-GB"/>
        </w:rPr>
        <w:t xml:space="preserve">’s </w:t>
      </w:r>
      <w:hyperlink r:id="rId156" w:history="1">
        <w:r w:rsidRPr="00662764">
          <w:rPr>
            <w:rStyle w:val="Hyperlink"/>
            <w:lang w:val="en-GB"/>
          </w:rPr>
          <w:t xml:space="preserve">new Guidelines for </w:t>
        </w:r>
        <w:r w:rsidR="00A74E8B" w:rsidRPr="00662764">
          <w:rPr>
            <w:rStyle w:val="Hyperlink"/>
            <w:lang w:val="en-GB"/>
          </w:rPr>
          <w:t>National Standardization Secretariats (</w:t>
        </w:r>
        <w:r w:rsidRPr="00662764">
          <w:rPr>
            <w:rStyle w:val="Hyperlink"/>
            <w:lang w:val="en-GB"/>
          </w:rPr>
          <w:t>NSS</w:t>
        </w:r>
        <w:r w:rsidR="00A74E8B" w:rsidRPr="00662764">
          <w:rPr>
            <w:rStyle w:val="Hyperlink"/>
            <w:lang w:val="en-GB"/>
          </w:rPr>
          <w:t>)</w:t>
        </w:r>
      </w:hyperlink>
      <w:r w:rsidR="00194D44" w:rsidRPr="00662764">
        <w:rPr>
          <w:lang w:val="en-GB"/>
        </w:rPr>
        <w:t xml:space="preserve"> </w:t>
      </w:r>
      <w:r w:rsidRPr="00662764">
        <w:rPr>
          <w:lang w:val="en-GB"/>
        </w:rPr>
        <w:t>tak</w:t>
      </w:r>
      <w:r w:rsidR="00194D44" w:rsidRPr="00662764">
        <w:rPr>
          <w:lang w:val="en-GB"/>
        </w:rPr>
        <w:t>e</w:t>
      </w:r>
      <w:r w:rsidRPr="00662764">
        <w:rPr>
          <w:lang w:val="en-GB"/>
        </w:rPr>
        <w:t xml:space="preserve"> in</w:t>
      </w:r>
      <w:r w:rsidR="007D74A5" w:rsidRPr="00662764">
        <w:rPr>
          <w:lang w:val="en-GB"/>
        </w:rPr>
        <w:t>to</w:t>
      </w:r>
      <w:r w:rsidRPr="00662764">
        <w:rPr>
          <w:lang w:val="en-GB"/>
        </w:rPr>
        <w:t xml:space="preserve"> account the </w:t>
      </w:r>
      <w:r w:rsidR="00194D44" w:rsidRPr="00662764">
        <w:rPr>
          <w:lang w:val="en-GB"/>
        </w:rPr>
        <w:t>m</w:t>
      </w:r>
      <w:r w:rsidRPr="00662764">
        <w:rPr>
          <w:lang w:val="en-GB"/>
        </w:rPr>
        <w:t xml:space="preserve">embership feedback on the </w:t>
      </w:r>
      <w:r w:rsidR="000C01CD" w:rsidRPr="00662764">
        <w:rPr>
          <w:lang w:val="en-GB"/>
        </w:rPr>
        <w:t>Guidelines</w:t>
      </w:r>
      <w:r w:rsidR="007D74A5" w:rsidRPr="00662764">
        <w:rPr>
          <w:lang w:val="en-GB"/>
        </w:rPr>
        <w:t xml:space="preserve"> first </w:t>
      </w:r>
      <w:r w:rsidRPr="00662764">
        <w:rPr>
          <w:lang w:val="en-GB"/>
        </w:rPr>
        <w:t>published in 2014. The Guid</w:t>
      </w:r>
      <w:r w:rsidR="007D74A5" w:rsidRPr="00662764">
        <w:rPr>
          <w:lang w:val="en-GB"/>
        </w:rPr>
        <w:t>e</w:t>
      </w:r>
      <w:r w:rsidRPr="00662764">
        <w:rPr>
          <w:lang w:val="en-GB"/>
        </w:rPr>
        <w:t xml:space="preserve">lines set out </w:t>
      </w:r>
      <w:proofErr w:type="gramStart"/>
      <w:r w:rsidRPr="00662764">
        <w:rPr>
          <w:lang w:val="en-GB"/>
        </w:rPr>
        <w:t>a number of</w:t>
      </w:r>
      <w:proofErr w:type="gramEnd"/>
      <w:r w:rsidRPr="00662764">
        <w:rPr>
          <w:lang w:val="en-GB"/>
        </w:rPr>
        <w:t xml:space="preserve"> options for developing national procedures and processes </w:t>
      </w:r>
      <w:r w:rsidR="00A74E8B" w:rsidRPr="00662764">
        <w:rPr>
          <w:lang w:val="en-GB"/>
        </w:rPr>
        <w:t xml:space="preserve">to support </w:t>
      </w:r>
      <w:r w:rsidRPr="00662764">
        <w:rPr>
          <w:lang w:val="en-GB"/>
        </w:rPr>
        <w:t>effective participati</w:t>
      </w:r>
      <w:r w:rsidR="00A74E8B" w:rsidRPr="00662764">
        <w:rPr>
          <w:lang w:val="en-GB"/>
        </w:rPr>
        <w:t>on</w:t>
      </w:r>
      <w:r w:rsidRPr="00662764">
        <w:rPr>
          <w:lang w:val="en-GB"/>
        </w:rPr>
        <w:t xml:space="preserve"> in the ITU-T</w:t>
      </w:r>
      <w:r w:rsidR="00A74E8B" w:rsidRPr="00662764">
        <w:rPr>
          <w:lang w:val="en-GB"/>
        </w:rPr>
        <w:t xml:space="preserve"> standards-development process</w:t>
      </w:r>
      <w:r w:rsidRPr="00662764">
        <w:rPr>
          <w:lang w:val="en-GB"/>
        </w:rPr>
        <w:t>.</w:t>
      </w:r>
      <w:r w:rsidR="004B6D09" w:rsidRPr="00662764">
        <w:rPr>
          <w:lang w:val="en-GB"/>
        </w:rPr>
        <w:t xml:space="preserve"> </w:t>
      </w:r>
      <w:r w:rsidRPr="00662764">
        <w:rPr>
          <w:lang w:val="en-GB"/>
        </w:rPr>
        <w:t>A</w:t>
      </w:r>
      <w:r w:rsidR="00A74E8B" w:rsidRPr="00662764">
        <w:rPr>
          <w:lang w:val="en-GB"/>
        </w:rPr>
        <w:t xml:space="preserve">n NSS, </w:t>
      </w:r>
      <w:r w:rsidRPr="00662764">
        <w:rPr>
          <w:lang w:val="en-GB"/>
        </w:rPr>
        <w:t>as described</w:t>
      </w:r>
      <w:r w:rsidR="00194D44" w:rsidRPr="00662764">
        <w:rPr>
          <w:lang w:val="en-GB"/>
        </w:rPr>
        <w:t xml:space="preserve"> by the Guidelines</w:t>
      </w:r>
      <w:r w:rsidR="00A74E8B" w:rsidRPr="00662764">
        <w:rPr>
          <w:lang w:val="en-GB"/>
        </w:rPr>
        <w:t xml:space="preserve">, </w:t>
      </w:r>
      <w:r w:rsidRPr="00662764">
        <w:rPr>
          <w:lang w:val="en-GB"/>
        </w:rPr>
        <w:t>is the full set of arrangements by which participation in and contributions to ITU-T are coordinated within a country</w:t>
      </w:r>
      <w:r w:rsidR="00B74075">
        <w:rPr>
          <w:lang w:val="en-GB"/>
        </w:rPr>
        <w:t>.</w:t>
      </w:r>
    </w:p>
    <w:p w14:paraId="68AEEC85" w14:textId="54E3540B" w:rsidR="006944F8" w:rsidRPr="00662764" w:rsidRDefault="006944F8" w:rsidP="009E5FFA">
      <w:pPr>
        <w:rPr>
          <w:lang w:val="en-GB"/>
        </w:rPr>
      </w:pPr>
      <w:r w:rsidRPr="00662764">
        <w:rPr>
          <w:lang w:val="en-GB"/>
        </w:rPr>
        <w:t>An extensive set of functions that a</w:t>
      </w:r>
      <w:r w:rsidR="00342279" w:rsidRPr="00662764">
        <w:rPr>
          <w:lang w:val="en-GB"/>
        </w:rPr>
        <w:t>n NSS</w:t>
      </w:r>
      <w:r w:rsidRPr="00662764">
        <w:rPr>
          <w:lang w:val="en-GB"/>
        </w:rPr>
        <w:t xml:space="preserve"> could perform are presented</w:t>
      </w:r>
      <w:r w:rsidR="00342279" w:rsidRPr="00662764">
        <w:rPr>
          <w:lang w:val="en-GB"/>
        </w:rPr>
        <w:t>,</w:t>
      </w:r>
      <w:r w:rsidRPr="00662764">
        <w:rPr>
          <w:lang w:val="en-GB"/>
        </w:rPr>
        <w:t xml:space="preserve"> </w:t>
      </w:r>
      <w:r w:rsidR="00342279" w:rsidRPr="00662764">
        <w:rPr>
          <w:lang w:val="en-GB"/>
        </w:rPr>
        <w:t xml:space="preserve">enabling a country to </w:t>
      </w:r>
      <w:r w:rsidRPr="00662764">
        <w:rPr>
          <w:lang w:val="en-GB"/>
        </w:rPr>
        <w:t>select functions and organizational arrangements in a modular fashion</w:t>
      </w:r>
      <w:r w:rsidR="00342279" w:rsidRPr="00662764">
        <w:rPr>
          <w:lang w:val="en-GB"/>
        </w:rPr>
        <w:t xml:space="preserve">, </w:t>
      </w:r>
      <w:r w:rsidRPr="00662764">
        <w:rPr>
          <w:lang w:val="en-GB"/>
        </w:rPr>
        <w:t xml:space="preserve">considering factors such as its </w:t>
      </w:r>
      <w:r w:rsidR="00194D44" w:rsidRPr="00662764">
        <w:rPr>
          <w:lang w:val="en-GB"/>
        </w:rPr>
        <w:t xml:space="preserve">ICT </w:t>
      </w:r>
      <w:r w:rsidRPr="00662764">
        <w:rPr>
          <w:lang w:val="en-GB"/>
        </w:rPr>
        <w:t>standardization policies</w:t>
      </w:r>
      <w:r w:rsidR="00342279" w:rsidRPr="00662764">
        <w:rPr>
          <w:lang w:val="en-GB"/>
        </w:rPr>
        <w:t>;</w:t>
      </w:r>
      <w:r w:rsidRPr="00662764">
        <w:rPr>
          <w:lang w:val="en-GB"/>
        </w:rPr>
        <w:t xml:space="preserve"> the number and type of organizations with an interest in </w:t>
      </w:r>
      <w:r w:rsidR="00194D44" w:rsidRPr="00662764">
        <w:rPr>
          <w:lang w:val="en-GB"/>
        </w:rPr>
        <w:t xml:space="preserve">ICT </w:t>
      </w:r>
      <w:r w:rsidRPr="00662764">
        <w:rPr>
          <w:lang w:val="en-GB"/>
        </w:rPr>
        <w:t>standardization in the country (e.g.</w:t>
      </w:r>
      <w:r w:rsidR="00194D44" w:rsidRPr="00662764">
        <w:rPr>
          <w:lang w:val="en-GB"/>
        </w:rPr>
        <w:t>,</w:t>
      </w:r>
      <w:r w:rsidRPr="00662764">
        <w:rPr>
          <w:lang w:val="en-GB"/>
        </w:rPr>
        <w:t xml:space="preserve"> number of service providers, equipment manufacturers</w:t>
      </w:r>
      <w:r w:rsidR="00194D44" w:rsidRPr="00662764">
        <w:rPr>
          <w:lang w:val="en-GB"/>
        </w:rPr>
        <w:t xml:space="preserve">, </w:t>
      </w:r>
      <w:r w:rsidRPr="00662764">
        <w:rPr>
          <w:lang w:val="en-GB"/>
        </w:rPr>
        <w:t xml:space="preserve">and academic </w:t>
      </w:r>
      <w:r w:rsidR="00342279" w:rsidRPr="00662764">
        <w:rPr>
          <w:lang w:val="en-GB"/>
        </w:rPr>
        <w:t xml:space="preserve">and research </w:t>
      </w:r>
      <w:r w:rsidRPr="00662764">
        <w:rPr>
          <w:lang w:val="en-GB"/>
        </w:rPr>
        <w:t>institutes)</w:t>
      </w:r>
      <w:r w:rsidR="00342279" w:rsidRPr="00662764">
        <w:rPr>
          <w:lang w:val="en-GB"/>
        </w:rPr>
        <w:t>;</w:t>
      </w:r>
      <w:r w:rsidRPr="00662764">
        <w:rPr>
          <w:lang w:val="en-GB"/>
        </w:rPr>
        <w:t xml:space="preserve"> and the level of participation in ITU-T </w:t>
      </w:r>
      <w:r w:rsidR="00F1765F">
        <w:rPr>
          <w:lang w:val="en-GB"/>
        </w:rPr>
        <w:t>SG</w:t>
      </w:r>
      <w:r w:rsidRPr="00662764">
        <w:rPr>
          <w:lang w:val="en-GB"/>
        </w:rPr>
        <w:t>s (e.g.</w:t>
      </w:r>
      <w:r w:rsidR="00194D44" w:rsidRPr="00662764">
        <w:rPr>
          <w:lang w:val="en-GB"/>
        </w:rPr>
        <w:t>,</w:t>
      </w:r>
      <w:r w:rsidRPr="00662764">
        <w:rPr>
          <w:lang w:val="en-GB"/>
        </w:rPr>
        <w:t xml:space="preserve"> whether as an initiator of work items, active contributor or observer in</w:t>
      </w:r>
      <w:r w:rsidR="007D74A5" w:rsidRPr="00662764">
        <w:rPr>
          <w:lang w:val="en-GB"/>
        </w:rPr>
        <w:t xml:space="preserve"> </w:t>
      </w:r>
      <w:r w:rsidRPr="00662764">
        <w:rPr>
          <w:lang w:val="en-GB"/>
        </w:rPr>
        <w:t xml:space="preserve">one or more </w:t>
      </w:r>
      <w:r w:rsidR="00342279" w:rsidRPr="00662764">
        <w:rPr>
          <w:lang w:val="en-GB"/>
        </w:rPr>
        <w:t xml:space="preserve">ITU-T </w:t>
      </w:r>
      <w:r w:rsidR="00F1765F">
        <w:rPr>
          <w:lang w:val="en-GB"/>
        </w:rPr>
        <w:t>SG</w:t>
      </w:r>
      <w:r w:rsidRPr="00662764">
        <w:rPr>
          <w:lang w:val="en-GB"/>
        </w:rPr>
        <w:t>s).</w:t>
      </w:r>
    </w:p>
    <w:p w14:paraId="19B4928B" w14:textId="2A1C0313" w:rsidR="006944F8" w:rsidRPr="00F57FAD" w:rsidRDefault="00D64AF8" w:rsidP="006944F8">
      <w:pPr>
        <w:pStyle w:val="Heading2"/>
        <w:keepNext w:val="0"/>
        <w:keepLines w:val="0"/>
      </w:pPr>
      <w:bookmarkStart w:id="152" w:name="_Toc31967165"/>
      <w:r w:rsidRPr="00F57FAD">
        <w:t>7</w:t>
      </w:r>
      <w:r w:rsidR="006944F8" w:rsidRPr="00F57FAD">
        <w:t>.5</w:t>
      </w:r>
      <w:r w:rsidR="006944F8" w:rsidRPr="00F57FAD">
        <w:tab/>
        <w:t>e-Learning courses</w:t>
      </w:r>
      <w:bookmarkEnd w:id="150"/>
      <w:bookmarkEnd w:id="151"/>
      <w:bookmarkEnd w:id="152"/>
    </w:p>
    <w:p w14:paraId="37E9736F" w14:textId="632F237E" w:rsidR="00C95497" w:rsidRPr="00C8696B" w:rsidRDefault="00342279" w:rsidP="001C37A8">
      <w:pPr>
        <w:rPr>
          <w:lang w:val="en-GB"/>
        </w:rPr>
      </w:pPr>
      <w:r w:rsidRPr="00C8696B">
        <w:rPr>
          <w:rFonts w:eastAsia="SimSun"/>
          <w:lang w:val="en-GB"/>
        </w:rPr>
        <w:t>O</w:t>
      </w:r>
      <w:r w:rsidR="006944F8" w:rsidRPr="00C8696B">
        <w:rPr>
          <w:rFonts w:eastAsia="SimSun"/>
          <w:lang w:val="en-GB"/>
        </w:rPr>
        <w:t xml:space="preserve">ne of the </w:t>
      </w:r>
      <w:r w:rsidRPr="00C8696B">
        <w:rPr>
          <w:rFonts w:eastAsia="SimSun"/>
          <w:lang w:val="en-GB"/>
        </w:rPr>
        <w:t xml:space="preserve">BSG </w:t>
      </w:r>
      <w:r w:rsidR="006944F8" w:rsidRPr="00C8696B">
        <w:rPr>
          <w:rFonts w:eastAsia="SimSun"/>
          <w:lang w:val="en-GB"/>
        </w:rPr>
        <w:t xml:space="preserve">measures adopted under </w:t>
      </w:r>
      <w:r w:rsidRPr="00C8696B">
        <w:rPr>
          <w:rFonts w:eastAsia="SimSun"/>
          <w:lang w:val="en-GB"/>
        </w:rPr>
        <w:t xml:space="preserve">WTSA </w:t>
      </w:r>
      <w:r w:rsidR="006944F8" w:rsidRPr="00C8696B">
        <w:rPr>
          <w:rFonts w:eastAsia="SimSun"/>
          <w:lang w:val="en-GB"/>
        </w:rPr>
        <w:t xml:space="preserve">Resolution 44 </w:t>
      </w:r>
      <w:r w:rsidR="004B6D09" w:rsidRPr="00C8696B">
        <w:rPr>
          <w:rFonts w:eastAsia="SimSun"/>
          <w:lang w:val="en-GB"/>
        </w:rPr>
        <w:t xml:space="preserve">calls for the exploration of </w:t>
      </w:r>
      <w:r w:rsidR="006944F8" w:rsidRPr="00C8696B">
        <w:rPr>
          <w:rFonts w:eastAsia="SimSun"/>
          <w:lang w:val="en-GB"/>
        </w:rPr>
        <w:t>e-learning channels for training on ITU-T Recommendations.</w:t>
      </w:r>
      <w:r w:rsidR="004B6D09" w:rsidRPr="00C8696B">
        <w:rPr>
          <w:rFonts w:eastAsia="SimSun"/>
          <w:lang w:val="en-GB"/>
        </w:rPr>
        <w:t xml:space="preserve"> </w:t>
      </w:r>
      <w:r w:rsidR="00C95497" w:rsidRPr="00C8696B">
        <w:rPr>
          <w:rFonts w:eastAsia="SimSun"/>
          <w:lang w:val="en-GB"/>
        </w:rPr>
        <w:t xml:space="preserve">These </w:t>
      </w:r>
      <w:r w:rsidR="004B6D09" w:rsidRPr="00C8696B">
        <w:rPr>
          <w:rFonts w:eastAsia="SimSun"/>
          <w:lang w:val="en-GB"/>
        </w:rPr>
        <w:t xml:space="preserve">training </w:t>
      </w:r>
      <w:r w:rsidR="00C95497" w:rsidRPr="00C8696B">
        <w:rPr>
          <w:rFonts w:eastAsia="SimSun"/>
          <w:lang w:val="en-GB"/>
        </w:rPr>
        <w:t>courses are available on the ITU Academy website at</w:t>
      </w:r>
      <w:r w:rsidR="00C95497" w:rsidRPr="00C8696B">
        <w:rPr>
          <w:lang w:val="en-GB"/>
        </w:rPr>
        <w:t xml:space="preserve"> </w:t>
      </w:r>
      <w:hyperlink r:id="rId157" w:history="1">
        <w:r w:rsidR="00C95497" w:rsidRPr="00C8696B">
          <w:rPr>
            <w:rStyle w:val="Hyperlink"/>
            <w:rFonts w:cstheme="majorBidi"/>
            <w:szCs w:val="24"/>
            <w:lang w:val="en-GB"/>
          </w:rPr>
          <w:t>http://academy.itu.int</w:t>
        </w:r>
      </w:hyperlink>
      <w:r w:rsidR="00C95497" w:rsidRPr="00C8696B">
        <w:rPr>
          <w:lang w:val="en-GB"/>
        </w:rPr>
        <w:t>.</w:t>
      </w:r>
    </w:p>
    <w:p w14:paraId="2B12F9DD" w14:textId="6CF84FB8" w:rsidR="004B6D09" w:rsidRPr="00966747" w:rsidRDefault="004B6D09" w:rsidP="004B6D09">
      <w:pPr>
        <w:rPr>
          <w:rFonts w:eastAsia="SimSun"/>
          <w:lang w:val="en-GB"/>
        </w:rPr>
      </w:pPr>
      <w:r w:rsidRPr="00966747">
        <w:rPr>
          <w:rFonts w:eastAsia="SimSun"/>
          <w:lang w:val="en-GB"/>
        </w:rPr>
        <w:t xml:space="preserve">The most recent addition to the ITU Academia platform trains developers of systems compliant with ITU-T F.921 “Audio-based indoor and outdoor network navigation system for persons with vision impairment”. The course was developed by </w:t>
      </w:r>
      <w:proofErr w:type="spellStart"/>
      <w:r w:rsidRPr="00966747">
        <w:rPr>
          <w:rFonts w:eastAsia="SimSun"/>
          <w:lang w:val="en-GB"/>
        </w:rPr>
        <w:t>Wayfindr</w:t>
      </w:r>
      <w:proofErr w:type="spellEnd"/>
      <w:r w:rsidRPr="00966747">
        <w:rPr>
          <w:rFonts w:eastAsia="SimSun"/>
          <w:lang w:val="en-GB"/>
        </w:rPr>
        <w:t>, in collaboration with TSB and BDT.</w:t>
      </w:r>
    </w:p>
    <w:p w14:paraId="721089DF" w14:textId="301BFA3F" w:rsidR="006944F8" w:rsidRPr="00F57FAD" w:rsidRDefault="00D64AF8" w:rsidP="006944F8">
      <w:pPr>
        <w:pStyle w:val="Heading2"/>
      </w:pPr>
      <w:bookmarkStart w:id="153" w:name="_Toc475354528"/>
      <w:bookmarkStart w:id="154" w:name="_Toc480527853"/>
      <w:bookmarkStart w:id="155" w:name="_Toc31967166"/>
      <w:r w:rsidRPr="00F57FAD">
        <w:lastRenderedPageBreak/>
        <w:t>7</w:t>
      </w:r>
      <w:r w:rsidR="006944F8" w:rsidRPr="00F57FAD">
        <w:t>.6</w:t>
      </w:r>
      <w:r w:rsidR="006944F8" w:rsidRPr="00F57FAD">
        <w:tab/>
      </w:r>
      <w:r w:rsidR="00F1765F">
        <w:t>SG</w:t>
      </w:r>
      <w:r w:rsidR="006944F8" w:rsidRPr="00F57FAD">
        <w:t xml:space="preserve"> Mentoring Programme</w:t>
      </w:r>
      <w:bookmarkEnd w:id="153"/>
      <w:bookmarkEnd w:id="154"/>
      <w:bookmarkEnd w:id="155"/>
    </w:p>
    <w:p w14:paraId="7F861396" w14:textId="321D9BE5" w:rsidR="006944F8" w:rsidRPr="00F4004F" w:rsidRDefault="006944F8" w:rsidP="002013A1">
      <w:pPr>
        <w:rPr>
          <w:lang w:val="en-GB"/>
        </w:rPr>
      </w:pPr>
      <w:r w:rsidRPr="00F4004F">
        <w:rPr>
          <w:lang w:val="en-GB"/>
        </w:rPr>
        <w:t xml:space="preserve">In 2011, a mentoring programme for ITU-T </w:t>
      </w:r>
      <w:r w:rsidR="00F1765F">
        <w:rPr>
          <w:lang w:val="en-GB"/>
        </w:rPr>
        <w:t>SG</w:t>
      </w:r>
      <w:r w:rsidRPr="00F4004F">
        <w:rPr>
          <w:lang w:val="en-GB"/>
        </w:rPr>
        <w:t xml:space="preserve">s was introduced. The objective of the mentoring programme is to provide a contact point to assist new delegates with the working methods of ITU-T and to facilitate participation and contributions from developing countries. It has since featured as an important part of the work of ITU-T </w:t>
      </w:r>
      <w:r w:rsidR="00F1765F">
        <w:rPr>
          <w:lang w:val="en-GB"/>
        </w:rPr>
        <w:t>SG</w:t>
      </w:r>
      <w:r w:rsidRPr="00F4004F">
        <w:rPr>
          <w:lang w:val="en-GB"/>
        </w:rPr>
        <w:t>s and TSAG.</w:t>
      </w:r>
    </w:p>
    <w:p w14:paraId="55AA7121" w14:textId="24791E24" w:rsidR="006944F8" w:rsidRPr="00F57FAD" w:rsidRDefault="00D64AF8" w:rsidP="006944F8">
      <w:pPr>
        <w:pStyle w:val="Heading2"/>
      </w:pPr>
      <w:bookmarkStart w:id="156" w:name="_Toc480527855"/>
      <w:bookmarkStart w:id="157" w:name="_Toc31967167"/>
      <w:r w:rsidRPr="00F57FAD">
        <w:t>7</w:t>
      </w:r>
      <w:r w:rsidR="006944F8" w:rsidRPr="00F57FAD">
        <w:t>.7</w:t>
      </w:r>
      <w:r w:rsidR="006944F8" w:rsidRPr="00F57FAD">
        <w:tab/>
        <w:t>Technical Papers</w:t>
      </w:r>
      <w:bookmarkEnd w:id="156"/>
      <w:bookmarkEnd w:id="157"/>
    </w:p>
    <w:p w14:paraId="06C2E0C6" w14:textId="4BA80A40" w:rsidR="006944F8" w:rsidRPr="00F4004F" w:rsidRDefault="007856C3" w:rsidP="006944F8">
      <w:pPr>
        <w:rPr>
          <w:lang w:val="en-GB"/>
        </w:rPr>
      </w:pPr>
      <w:r>
        <w:rPr>
          <w:lang w:val="en-GB"/>
        </w:rPr>
        <w:t>A series of Technical R</w:t>
      </w:r>
      <w:r w:rsidR="006944F8" w:rsidRPr="00F4004F">
        <w:rPr>
          <w:lang w:val="en-GB"/>
        </w:rPr>
        <w:t>eports provide additional information for developing countries on best practices in implementing ITU-T Recommendations. See</w:t>
      </w:r>
      <w:r w:rsidR="00B72A2A" w:rsidRPr="00F4004F">
        <w:rPr>
          <w:lang w:val="en-GB"/>
        </w:rPr>
        <w:t xml:space="preserve"> the</w:t>
      </w:r>
      <w:r>
        <w:rPr>
          <w:lang w:val="en-GB"/>
        </w:rPr>
        <w:t xml:space="preserve"> Technical R</w:t>
      </w:r>
      <w:r w:rsidR="006944F8" w:rsidRPr="00F4004F">
        <w:rPr>
          <w:lang w:val="en-GB"/>
        </w:rPr>
        <w:t xml:space="preserve">eports </w:t>
      </w:r>
      <w:hyperlink r:id="rId158" w:history="1">
        <w:r w:rsidR="006944F8" w:rsidRPr="00F4004F">
          <w:rPr>
            <w:rStyle w:val="Hyperlink"/>
            <w:rFonts w:asciiTheme="majorBidi" w:hAnsiTheme="majorBidi" w:cstheme="majorBidi"/>
            <w:lang w:val="en-GB"/>
          </w:rPr>
          <w:t>web page</w:t>
        </w:r>
      </w:hyperlink>
      <w:r w:rsidR="006944F8" w:rsidRPr="00F4004F">
        <w:rPr>
          <w:lang w:val="en-GB"/>
        </w:rPr>
        <w:t>.</w:t>
      </w:r>
    </w:p>
    <w:p w14:paraId="7D35C0FA" w14:textId="55860658" w:rsidR="006944F8" w:rsidRPr="00F57FAD" w:rsidRDefault="00D64AF8" w:rsidP="006944F8">
      <w:pPr>
        <w:pStyle w:val="Heading2"/>
      </w:pPr>
      <w:bookmarkStart w:id="158" w:name="_Toc480527856"/>
      <w:bookmarkStart w:id="159" w:name="_Toc31967168"/>
      <w:r w:rsidRPr="00F57FAD">
        <w:t>7</w:t>
      </w:r>
      <w:r w:rsidR="006944F8" w:rsidRPr="00F57FAD">
        <w:t>.8</w:t>
      </w:r>
      <w:r w:rsidR="006944F8" w:rsidRPr="00F57FAD">
        <w:tab/>
        <w:t>Fellowships</w:t>
      </w:r>
      <w:bookmarkEnd w:id="158"/>
      <w:bookmarkEnd w:id="159"/>
    </w:p>
    <w:p w14:paraId="123927BE" w14:textId="5212DB2D" w:rsidR="006944F8" w:rsidRPr="00656355" w:rsidRDefault="006944F8" w:rsidP="00BA096E">
      <w:pPr>
        <w:spacing w:after="120"/>
        <w:rPr>
          <w:highlight w:val="yellow"/>
          <w:lang w:val="en-GB"/>
        </w:rPr>
      </w:pPr>
      <w:bookmarkStart w:id="160" w:name="_Toc462664265"/>
      <w:bookmarkStart w:id="161" w:name="_Toc462665590"/>
      <w:bookmarkStart w:id="162" w:name="_Toc462669176"/>
      <w:r w:rsidRPr="001A6808">
        <w:rPr>
          <w:lang w:val="en-GB"/>
        </w:rPr>
        <w:t xml:space="preserve">The table below shows the fellowships awarded during the period from </w:t>
      </w:r>
      <w:r w:rsidR="001A6808" w:rsidRPr="001A6808">
        <w:rPr>
          <w:lang w:val="en-GB"/>
        </w:rPr>
        <w:t>August to December 2019</w:t>
      </w:r>
      <w:r w:rsidRPr="001A6808">
        <w:rPr>
          <w:lang w:val="en-GB"/>
        </w:rPr>
        <w:t xml:space="preserve">. </w:t>
      </w:r>
      <w:r w:rsidR="00695C49" w:rsidRPr="007D2724">
        <w:rPr>
          <w:lang w:val="en-GB"/>
        </w:rPr>
        <w:t xml:space="preserve">193 </w:t>
      </w:r>
      <w:r w:rsidRPr="007D2724">
        <w:rPr>
          <w:lang w:val="en-GB"/>
        </w:rPr>
        <w:t xml:space="preserve">fellowships were </w:t>
      </w:r>
      <w:proofErr w:type="gramStart"/>
      <w:r w:rsidRPr="007D2724">
        <w:rPr>
          <w:lang w:val="en-GB"/>
        </w:rPr>
        <w:t>requested</w:t>
      </w:r>
      <w:proofErr w:type="gramEnd"/>
      <w:r w:rsidRPr="007D2724">
        <w:rPr>
          <w:lang w:val="en-GB"/>
        </w:rPr>
        <w:t xml:space="preserve"> and</w:t>
      </w:r>
      <w:r w:rsidR="00695C49" w:rsidRPr="007D2724">
        <w:rPr>
          <w:lang w:val="en-GB"/>
        </w:rPr>
        <w:t xml:space="preserve"> 105 </w:t>
      </w:r>
      <w:r w:rsidRPr="007D2724">
        <w:rPr>
          <w:lang w:val="en-GB"/>
        </w:rPr>
        <w:t xml:space="preserve">fellowships were awarded. Of the </w:t>
      </w:r>
      <w:r w:rsidR="00695C49" w:rsidRPr="007D2724">
        <w:rPr>
          <w:lang w:val="en-GB"/>
        </w:rPr>
        <w:t xml:space="preserve">105 </w:t>
      </w:r>
      <w:r w:rsidRPr="007D2724">
        <w:rPr>
          <w:lang w:val="en-GB"/>
        </w:rPr>
        <w:t xml:space="preserve">fellowships awarded, </w:t>
      </w:r>
      <w:r w:rsidR="00695C49" w:rsidRPr="007D2724">
        <w:rPr>
          <w:lang w:val="en-GB"/>
        </w:rPr>
        <w:t xml:space="preserve">85 </w:t>
      </w:r>
      <w:r w:rsidRPr="007D2724">
        <w:rPr>
          <w:lang w:val="en-GB"/>
        </w:rPr>
        <w:t xml:space="preserve">fellowships were used and </w:t>
      </w:r>
      <w:r w:rsidR="00695C49" w:rsidRPr="007D2724">
        <w:rPr>
          <w:lang w:val="en-GB"/>
        </w:rPr>
        <w:t xml:space="preserve">20 </w:t>
      </w:r>
      <w:r w:rsidRPr="007D2724">
        <w:rPr>
          <w:lang w:val="en-GB"/>
        </w:rPr>
        <w:t>were cancelled.</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701"/>
        <w:gridCol w:w="1559"/>
        <w:gridCol w:w="2551"/>
      </w:tblGrid>
      <w:tr w:rsidR="006944F8" w:rsidRPr="00F57FAD" w14:paraId="350E5586" w14:textId="77777777" w:rsidTr="007339CE">
        <w:trPr>
          <w:cantSplit/>
          <w:tblHeader/>
        </w:trPr>
        <w:tc>
          <w:tcPr>
            <w:tcW w:w="3828" w:type="dxa"/>
            <w:vMerge w:val="restart"/>
            <w:shd w:val="clear" w:color="auto" w:fill="B8CCE4" w:themeFill="accent1" w:themeFillTint="66"/>
            <w:vAlign w:val="center"/>
          </w:tcPr>
          <w:p w14:paraId="35B64D4F" w14:textId="77777777" w:rsidR="006944F8" w:rsidRPr="00F57FAD" w:rsidRDefault="006944F8" w:rsidP="00C1421E">
            <w:pPr>
              <w:pStyle w:val="Tablehead"/>
              <w:rPr>
                <w:lang w:val="en-GB"/>
              </w:rPr>
            </w:pPr>
            <w:r w:rsidRPr="00F57FAD">
              <w:rPr>
                <w:lang w:val="en-GB"/>
              </w:rPr>
              <w:t>Meeting</w:t>
            </w:r>
          </w:p>
        </w:tc>
        <w:tc>
          <w:tcPr>
            <w:tcW w:w="3260" w:type="dxa"/>
            <w:gridSpan w:val="2"/>
            <w:shd w:val="clear" w:color="auto" w:fill="B8CCE4" w:themeFill="accent1" w:themeFillTint="66"/>
            <w:vAlign w:val="center"/>
          </w:tcPr>
          <w:p w14:paraId="2DC0ACC3" w14:textId="77777777" w:rsidR="006944F8" w:rsidRPr="00F57FAD" w:rsidRDefault="006944F8" w:rsidP="00C1421E">
            <w:pPr>
              <w:pStyle w:val="Tablehead"/>
              <w:rPr>
                <w:lang w:val="en-GB"/>
              </w:rPr>
            </w:pPr>
            <w:r w:rsidRPr="00F57FAD">
              <w:rPr>
                <w:lang w:val="en-GB"/>
              </w:rPr>
              <w:t>Fellows</w:t>
            </w:r>
          </w:p>
        </w:tc>
        <w:tc>
          <w:tcPr>
            <w:tcW w:w="2551" w:type="dxa"/>
            <w:vMerge w:val="restart"/>
            <w:shd w:val="clear" w:color="auto" w:fill="B8CCE4" w:themeFill="accent1" w:themeFillTint="66"/>
            <w:vAlign w:val="center"/>
          </w:tcPr>
          <w:p w14:paraId="53B07F3E" w14:textId="77777777" w:rsidR="006944F8" w:rsidRPr="00F57FAD" w:rsidRDefault="006944F8" w:rsidP="00C1421E">
            <w:pPr>
              <w:pStyle w:val="Tablehead"/>
              <w:rPr>
                <w:lang w:val="en-GB"/>
              </w:rPr>
            </w:pPr>
            <w:r w:rsidRPr="00F57FAD">
              <w:rPr>
                <w:lang w:val="en-GB"/>
              </w:rPr>
              <w:t>Total</w:t>
            </w:r>
          </w:p>
        </w:tc>
      </w:tr>
      <w:tr w:rsidR="006944F8" w:rsidRPr="00F57FAD" w14:paraId="0D2401B7" w14:textId="77777777" w:rsidTr="007339CE">
        <w:trPr>
          <w:cantSplit/>
          <w:tblHeader/>
        </w:trPr>
        <w:tc>
          <w:tcPr>
            <w:tcW w:w="3828" w:type="dxa"/>
            <w:vMerge/>
            <w:shd w:val="clear" w:color="auto" w:fill="B8CCE4" w:themeFill="accent1" w:themeFillTint="66"/>
            <w:vAlign w:val="center"/>
          </w:tcPr>
          <w:p w14:paraId="01F3D405" w14:textId="77777777" w:rsidR="006944F8" w:rsidRPr="00F57FAD" w:rsidRDefault="006944F8" w:rsidP="00C1421E">
            <w:pPr>
              <w:pStyle w:val="Tablehead"/>
              <w:rPr>
                <w:lang w:val="en-GB"/>
              </w:rPr>
            </w:pPr>
          </w:p>
        </w:tc>
        <w:tc>
          <w:tcPr>
            <w:tcW w:w="1701" w:type="dxa"/>
            <w:shd w:val="clear" w:color="auto" w:fill="B8CCE4" w:themeFill="accent1" w:themeFillTint="66"/>
            <w:vAlign w:val="center"/>
          </w:tcPr>
          <w:p w14:paraId="02196B3C" w14:textId="77777777" w:rsidR="006944F8" w:rsidRPr="00F57FAD" w:rsidRDefault="006944F8" w:rsidP="00C1421E">
            <w:pPr>
              <w:pStyle w:val="Tablehead"/>
              <w:rPr>
                <w:lang w:val="en-GB"/>
              </w:rPr>
            </w:pPr>
            <w:r w:rsidRPr="00F57FAD">
              <w:rPr>
                <w:lang w:val="en-GB"/>
              </w:rPr>
              <w:t>Female</w:t>
            </w:r>
          </w:p>
        </w:tc>
        <w:tc>
          <w:tcPr>
            <w:tcW w:w="1559" w:type="dxa"/>
            <w:shd w:val="clear" w:color="auto" w:fill="B8CCE4" w:themeFill="accent1" w:themeFillTint="66"/>
            <w:vAlign w:val="center"/>
          </w:tcPr>
          <w:p w14:paraId="24337EBE" w14:textId="77777777" w:rsidR="006944F8" w:rsidRPr="00F57FAD" w:rsidRDefault="006944F8" w:rsidP="00C1421E">
            <w:pPr>
              <w:pStyle w:val="Tablehead"/>
              <w:rPr>
                <w:lang w:val="en-GB"/>
              </w:rPr>
            </w:pPr>
            <w:r w:rsidRPr="00F57FAD">
              <w:rPr>
                <w:lang w:val="en-GB"/>
              </w:rPr>
              <w:t>Male</w:t>
            </w:r>
          </w:p>
        </w:tc>
        <w:tc>
          <w:tcPr>
            <w:tcW w:w="2551" w:type="dxa"/>
            <w:vMerge/>
            <w:shd w:val="clear" w:color="auto" w:fill="B8CCE4" w:themeFill="accent1" w:themeFillTint="66"/>
            <w:vAlign w:val="center"/>
          </w:tcPr>
          <w:p w14:paraId="6692145C" w14:textId="77777777" w:rsidR="006944F8" w:rsidRPr="00F57FAD" w:rsidRDefault="006944F8" w:rsidP="00C1421E">
            <w:pPr>
              <w:pStyle w:val="Tablehead"/>
              <w:rPr>
                <w:lang w:val="en-GB"/>
              </w:rPr>
            </w:pPr>
          </w:p>
        </w:tc>
      </w:tr>
      <w:tr w:rsidR="00165580" w:rsidRPr="00656355" w14:paraId="1D2271F8" w14:textId="77777777" w:rsidTr="007339CE">
        <w:tc>
          <w:tcPr>
            <w:tcW w:w="3828" w:type="dxa"/>
          </w:tcPr>
          <w:p w14:paraId="603BD25C" w14:textId="14F5C0EE" w:rsidR="00165580" w:rsidRPr="007D2724" w:rsidRDefault="00165580" w:rsidP="00165580">
            <w:pPr>
              <w:pStyle w:val="TableText0"/>
              <w:rPr>
                <w:lang w:val="en-GB"/>
              </w:rPr>
            </w:pPr>
            <w:r w:rsidRPr="00B35B83">
              <w:t xml:space="preserve">ITU-T SG17, Geneva, 27 August – 5 September 2019 </w:t>
            </w:r>
          </w:p>
        </w:tc>
        <w:tc>
          <w:tcPr>
            <w:tcW w:w="1701" w:type="dxa"/>
          </w:tcPr>
          <w:p w14:paraId="72020F47" w14:textId="2A1E4385" w:rsidR="00165580" w:rsidRPr="007D2724" w:rsidRDefault="00165580" w:rsidP="00165580">
            <w:pPr>
              <w:pStyle w:val="TableText0"/>
              <w:jc w:val="center"/>
              <w:rPr>
                <w:lang w:val="en-GB"/>
              </w:rPr>
            </w:pPr>
            <w:r w:rsidRPr="00B35B83">
              <w:t>2 (1 cancelled)</w:t>
            </w:r>
          </w:p>
        </w:tc>
        <w:tc>
          <w:tcPr>
            <w:tcW w:w="1559" w:type="dxa"/>
          </w:tcPr>
          <w:p w14:paraId="5410FA4C" w14:textId="66110DB2" w:rsidR="00165580" w:rsidRPr="007D2724" w:rsidRDefault="00165580" w:rsidP="00165580">
            <w:pPr>
              <w:pStyle w:val="TableText0"/>
              <w:jc w:val="center"/>
              <w:rPr>
                <w:lang w:val="en-GB"/>
              </w:rPr>
            </w:pPr>
            <w:r w:rsidRPr="00B35B83">
              <w:t>4 (1 cancelled)</w:t>
            </w:r>
          </w:p>
        </w:tc>
        <w:tc>
          <w:tcPr>
            <w:tcW w:w="2551" w:type="dxa"/>
          </w:tcPr>
          <w:p w14:paraId="2A5F17D8" w14:textId="47B8BB49" w:rsidR="00165580" w:rsidRPr="007D2724" w:rsidRDefault="00165580" w:rsidP="00165580">
            <w:pPr>
              <w:pStyle w:val="TableText0"/>
              <w:rPr>
                <w:lang w:val="en-GB"/>
              </w:rPr>
            </w:pPr>
            <w:r w:rsidRPr="00B35B83">
              <w:t>6 fellowships awarded, 4 participants</w:t>
            </w:r>
          </w:p>
        </w:tc>
      </w:tr>
      <w:tr w:rsidR="00165580" w:rsidRPr="00656355" w14:paraId="162D4CCC" w14:textId="77777777" w:rsidTr="007339CE">
        <w:tc>
          <w:tcPr>
            <w:tcW w:w="3828" w:type="dxa"/>
          </w:tcPr>
          <w:p w14:paraId="236E14A9" w14:textId="15B7D024" w:rsidR="00165580" w:rsidRPr="007D2724" w:rsidRDefault="00165580" w:rsidP="00165580">
            <w:pPr>
              <w:pStyle w:val="TableText0"/>
              <w:rPr>
                <w:lang w:val="en-GB"/>
              </w:rPr>
            </w:pPr>
            <w:r w:rsidRPr="00B35B83">
              <w:t>ITU-T SG5RG-AFR and SG20RG-AFR, Abuja, Nigeria, 27-30 August 2019</w:t>
            </w:r>
          </w:p>
        </w:tc>
        <w:tc>
          <w:tcPr>
            <w:tcW w:w="1701" w:type="dxa"/>
          </w:tcPr>
          <w:p w14:paraId="511B4BEB" w14:textId="5E3447D5" w:rsidR="00165580" w:rsidRPr="007D2724" w:rsidRDefault="00165580" w:rsidP="00165580">
            <w:pPr>
              <w:pStyle w:val="TableText0"/>
              <w:jc w:val="center"/>
              <w:rPr>
                <w:lang w:val="en-GB"/>
              </w:rPr>
            </w:pPr>
            <w:r w:rsidRPr="00B35B83">
              <w:t>6 (2 cancelled)</w:t>
            </w:r>
          </w:p>
        </w:tc>
        <w:tc>
          <w:tcPr>
            <w:tcW w:w="1559" w:type="dxa"/>
          </w:tcPr>
          <w:p w14:paraId="1F3C5CE0" w14:textId="16B4AF2B" w:rsidR="00165580" w:rsidRPr="007D2724" w:rsidRDefault="00165580" w:rsidP="00165580">
            <w:pPr>
              <w:pStyle w:val="TableText0"/>
              <w:jc w:val="center"/>
              <w:rPr>
                <w:lang w:val="en-GB"/>
              </w:rPr>
            </w:pPr>
            <w:r w:rsidRPr="00B35B83">
              <w:t>6 (3 cancelled)</w:t>
            </w:r>
          </w:p>
        </w:tc>
        <w:tc>
          <w:tcPr>
            <w:tcW w:w="2551" w:type="dxa"/>
          </w:tcPr>
          <w:p w14:paraId="69C3C36E" w14:textId="68DA31DD" w:rsidR="00165580" w:rsidRPr="007D2724" w:rsidRDefault="00165580" w:rsidP="00165580">
            <w:pPr>
              <w:pStyle w:val="TableText0"/>
              <w:rPr>
                <w:lang w:val="en-GB"/>
              </w:rPr>
            </w:pPr>
            <w:r w:rsidRPr="00B35B83">
              <w:t>12 fellowships awarded, 7 participants</w:t>
            </w:r>
          </w:p>
        </w:tc>
      </w:tr>
      <w:tr w:rsidR="00165580" w:rsidRPr="00656355" w14:paraId="695F4E0E" w14:textId="77777777" w:rsidTr="007339CE">
        <w:tc>
          <w:tcPr>
            <w:tcW w:w="3828" w:type="dxa"/>
          </w:tcPr>
          <w:p w14:paraId="236D2C36" w14:textId="386F3619" w:rsidR="00165580" w:rsidRPr="007D2724" w:rsidRDefault="00165580" w:rsidP="00165580">
            <w:pPr>
              <w:pStyle w:val="TableText0"/>
              <w:rPr>
                <w:lang w:val="en-GB"/>
              </w:rPr>
            </w:pPr>
            <w:r w:rsidRPr="00B35B83">
              <w:t>ITU-T SG5, Geneva, 16</w:t>
            </w:r>
            <w:r w:rsidR="00510575">
              <w:t>-</w:t>
            </w:r>
            <w:r w:rsidRPr="00B35B83">
              <w:t>20 September 2019</w:t>
            </w:r>
          </w:p>
        </w:tc>
        <w:tc>
          <w:tcPr>
            <w:tcW w:w="1701" w:type="dxa"/>
          </w:tcPr>
          <w:p w14:paraId="2E45C6B8" w14:textId="07788936" w:rsidR="00165580" w:rsidRPr="007D2724" w:rsidRDefault="00165580" w:rsidP="00165580">
            <w:pPr>
              <w:pStyle w:val="TableText0"/>
              <w:jc w:val="center"/>
              <w:rPr>
                <w:lang w:val="en-GB"/>
              </w:rPr>
            </w:pPr>
            <w:r w:rsidRPr="00B35B83">
              <w:t>5</w:t>
            </w:r>
          </w:p>
        </w:tc>
        <w:tc>
          <w:tcPr>
            <w:tcW w:w="1559" w:type="dxa"/>
          </w:tcPr>
          <w:p w14:paraId="45E5560A" w14:textId="36349D82" w:rsidR="00165580" w:rsidRPr="007D2724" w:rsidRDefault="00165580" w:rsidP="00165580">
            <w:pPr>
              <w:pStyle w:val="TableText0"/>
              <w:jc w:val="center"/>
              <w:rPr>
                <w:lang w:val="en-GB"/>
              </w:rPr>
            </w:pPr>
            <w:r w:rsidRPr="00B35B83">
              <w:t>2 (1 cancelled)</w:t>
            </w:r>
          </w:p>
        </w:tc>
        <w:tc>
          <w:tcPr>
            <w:tcW w:w="2551" w:type="dxa"/>
          </w:tcPr>
          <w:p w14:paraId="0A228545" w14:textId="63E71910" w:rsidR="00165580" w:rsidRPr="007D2724" w:rsidRDefault="00165580" w:rsidP="00165580">
            <w:pPr>
              <w:pStyle w:val="TableText0"/>
              <w:rPr>
                <w:lang w:val="en-GB"/>
              </w:rPr>
            </w:pPr>
            <w:r w:rsidRPr="00B35B83">
              <w:t>7 fellowships awarded, 6 participants</w:t>
            </w:r>
          </w:p>
        </w:tc>
      </w:tr>
      <w:tr w:rsidR="00165580" w:rsidRPr="00656355" w14:paraId="1D95D1E3" w14:textId="77777777" w:rsidTr="007339CE">
        <w:tc>
          <w:tcPr>
            <w:tcW w:w="3828" w:type="dxa"/>
          </w:tcPr>
          <w:p w14:paraId="57963848" w14:textId="1D7B3460" w:rsidR="00165580" w:rsidRPr="007D2724" w:rsidRDefault="00165580" w:rsidP="00165580">
            <w:pPr>
              <w:pStyle w:val="TableText0"/>
              <w:rPr>
                <w:lang w:val="en-GB"/>
              </w:rPr>
            </w:pPr>
            <w:r w:rsidRPr="00B35B83">
              <w:t>TSAG, Geneva, 23-27 September 2019</w:t>
            </w:r>
          </w:p>
        </w:tc>
        <w:tc>
          <w:tcPr>
            <w:tcW w:w="1701" w:type="dxa"/>
          </w:tcPr>
          <w:p w14:paraId="38FA147F" w14:textId="4DA7C37A" w:rsidR="00165580" w:rsidRPr="007D2724" w:rsidRDefault="00165580" w:rsidP="00165580">
            <w:pPr>
              <w:pStyle w:val="TableText0"/>
              <w:jc w:val="center"/>
              <w:rPr>
                <w:lang w:val="en-GB"/>
              </w:rPr>
            </w:pPr>
            <w:r w:rsidRPr="00B35B83">
              <w:t>2 (1 cancelled)</w:t>
            </w:r>
          </w:p>
        </w:tc>
        <w:tc>
          <w:tcPr>
            <w:tcW w:w="1559" w:type="dxa"/>
          </w:tcPr>
          <w:p w14:paraId="6CF12D04" w14:textId="3802F650" w:rsidR="00165580" w:rsidRPr="007D2724" w:rsidRDefault="00165580" w:rsidP="00165580">
            <w:pPr>
              <w:pStyle w:val="TableText0"/>
              <w:jc w:val="center"/>
              <w:rPr>
                <w:lang w:val="en-GB"/>
              </w:rPr>
            </w:pPr>
            <w:r w:rsidRPr="00B35B83">
              <w:t>10 (1 cancelled)</w:t>
            </w:r>
          </w:p>
        </w:tc>
        <w:tc>
          <w:tcPr>
            <w:tcW w:w="2551" w:type="dxa"/>
          </w:tcPr>
          <w:p w14:paraId="7B58ED55" w14:textId="1D5AFD1A" w:rsidR="00165580" w:rsidRPr="007D2724" w:rsidRDefault="00165580" w:rsidP="00165580">
            <w:pPr>
              <w:pStyle w:val="TableText0"/>
              <w:rPr>
                <w:lang w:val="en-GB"/>
              </w:rPr>
            </w:pPr>
            <w:r w:rsidRPr="00B35B83">
              <w:t>12 fellowships awarded, 10 participants</w:t>
            </w:r>
          </w:p>
        </w:tc>
      </w:tr>
      <w:tr w:rsidR="00165580" w:rsidRPr="00656355" w14:paraId="4DB760E1" w14:textId="77777777" w:rsidTr="007339CE">
        <w:tc>
          <w:tcPr>
            <w:tcW w:w="3828" w:type="dxa"/>
          </w:tcPr>
          <w:p w14:paraId="2C15C714" w14:textId="0230989A" w:rsidR="00165580" w:rsidRDefault="00165580" w:rsidP="00165580">
            <w:pPr>
              <w:pStyle w:val="TableText0"/>
              <w:rPr>
                <w:lang w:val="en-GB"/>
              </w:rPr>
            </w:pPr>
            <w:r w:rsidRPr="00B35B83">
              <w:t>ITU-T SG11RG-AFR, Tunis, Tunisia, 30 September – 2 October 2019</w:t>
            </w:r>
          </w:p>
        </w:tc>
        <w:tc>
          <w:tcPr>
            <w:tcW w:w="1701" w:type="dxa"/>
          </w:tcPr>
          <w:p w14:paraId="5A831053" w14:textId="6AC6CD84" w:rsidR="00165580" w:rsidRPr="00165580" w:rsidRDefault="00165580" w:rsidP="00165580">
            <w:pPr>
              <w:pStyle w:val="TableText0"/>
              <w:jc w:val="center"/>
              <w:rPr>
                <w:lang w:val="en-GB"/>
              </w:rPr>
            </w:pPr>
            <w:r w:rsidRPr="00B35B83">
              <w:t>0</w:t>
            </w:r>
          </w:p>
        </w:tc>
        <w:tc>
          <w:tcPr>
            <w:tcW w:w="1559" w:type="dxa"/>
          </w:tcPr>
          <w:p w14:paraId="71161F1F" w14:textId="67C72761" w:rsidR="00165580" w:rsidRPr="00165580" w:rsidRDefault="00165580" w:rsidP="00165580">
            <w:pPr>
              <w:pStyle w:val="TableText0"/>
              <w:jc w:val="center"/>
              <w:rPr>
                <w:lang w:val="en-GB"/>
              </w:rPr>
            </w:pPr>
            <w:r w:rsidRPr="00B35B83">
              <w:t>4</w:t>
            </w:r>
          </w:p>
        </w:tc>
        <w:tc>
          <w:tcPr>
            <w:tcW w:w="2551" w:type="dxa"/>
          </w:tcPr>
          <w:p w14:paraId="78B4DE0C" w14:textId="562C727A" w:rsidR="00165580" w:rsidRDefault="00165580" w:rsidP="00165580">
            <w:pPr>
              <w:pStyle w:val="TableText0"/>
              <w:rPr>
                <w:lang w:val="en-GB"/>
              </w:rPr>
            </w:pPr>
            <w:r w:rsidRPr="00B35B83">
              <w:t>4 fellowships awarded, 4 participants</w:t>
            </w:r>
          </w:p>
        </w:tc>
      </w:tr>
      <w:tr w:rsidR="00165580" w:rsidRPr="00656355" w14:paraId="3E90CDA3" w14:textId="77777777" w:rsidTr="007339CE">
        <w:tc>
          <w:tcPr>
            <w:tcW w:w="3828" w:type="dxa"/>
          </w:tcPr>
          <w:p w14:paraId="0F0C6E95" w14:textId="1A9511CE" w:rsidR="00165580" w:rsidRDefault="00165580" w:rsidP="00165580">
            <w:pPr>
              <w:pStyle w:val="TableText0"/>
              <w:rPr>
                <w:lang w:val="en-GB"/>
              </w:rPr>
            </w:pPr>
            <w:r w:rsidRPr="00B35B83">
              <w:t>ITU-T SG3RG-AO, Colombo, Sri Lanka, 2</w:t>
            </w:r>
            <w:r w:rsidR="00510575">
              <w:t>-</w:t>
            </w:r>
            <w:r w:rsidRPr="00B35B83">
              <w:t>4 October 2019</w:t>
            </w:r>
          </w:p>
        </w:tc>
        <w:tc>
          <w:tcPr>
            <w:tcW w:w="1701" w:type="dxa"/>
          </w:tcPr>
          <w:p w14:paraId="6AFB119C" w14:textId="73139696" w:rsidR="00165580" w:rsidRPr="00165580" w:rsidRDefault="00165580" w:rsidP="00165580">
            <w:pPr>
              <w:pStyle w:val="TableText0"/>
              <w:jc w:val="center"/>
              <w:rPr>
                <w:lang w:val="en-GB"/>
              </w:rPr>
            </w:pPr>
            <w:r w:rsidRPr="00B35B83">
              <w:t>0</w:t>
            </w:r>
          </w:p>
        </w:tc>
        <w:tc>
          <w:tcPr>
            <w:tcW w:w="1559" w:type="dxa"/>
          </w:tcPr>
          <w:p w14:paraId="3CDF7273" w14:textId="5184F2ED" w:rsidR="00165580" w:rsidRPr="00165580" w:rsidRDefault="00165580" w:rsidP="00165580">
            <w:pPr>
              <w:pStyle w:val="TableText0"/>
              <w:jc w:val="center"/>
              <w:rPr>
                <w:lang w:val="en-GB"/>
              </w:rPr>
            </w:pPr>
            <w:r w:rsidRPr="00B35B83">
              <w:t>1</w:t>
            </w:r>
          </w:p>
        </w:tc>
        <w:tc>
          <w:tcPr>
            <w:tcW w:w="2551" w:type="dxa"/>
          </w:tcPr>
          <w:p w14:paraId="63368B74" w14:textId="4DADDF0C" w:rsidR="00165580" w:rsidRDefault="00165580" w:rsidP="00165580">
            <w:pPr>
              <w:pStyle w:val="TableText0"/>
              <w:rPr>
                <w:lang w:val="en-GB"/>
              </w:rPr>
            </w:pPr>
            <w:r w:rsidRPr="00B35B83">
              <w:t>1 fellowship awarded, 1 participant</w:t>
            </w:r>
          </w:p>
        </w:tc>
      </w:tr>
      <w:tr w:rsidR="00165580" w:rsidRPr="00656355" w14:paraId="5B70228B" w14:textId="77777777" w:rsidTr="007339CE">
        <w:tc>
          <w:tcPr>
            <w:tcW w:w="3828" w:type="dxa"/>
          </w:tcPr>
          <w:p w14:paraId="2178F2E7" w14:textId="63D8D7E3" w:rsidR="00165580" w:rsidRDefault="00165580" w:rsidP="00165580">
            <w:pPr>
              <w:pStyle w:val="TableText0"/>
              <w:rPr>
                <w:lang w:val="en-GB"/>
              </w:rPr>
            </w:pPr>
            <w:r w:rsidRPr="00B35B83">
              <w:t>ITU-T SG16, Geneva, 7</w:t>
            </w:r>
            <w:r w:rsidR="00510575">
              <w:t>-</w:t>
            </w:r>
            <w:r w:rsidRPr="00B35B83">
              <w:t>17 October 2019</w:t>
            </w:r>
          </w:p>
        </w:tc>
        <w:tc>
          <w:tcPr>
            <w:tcW w:w="1701" w:type="dxa"/>
          </w:tcPr>
          <w:p w14:paraId="380B5B2A" w14:textId="5A214C84" w:rsidR="00165580" w:rsidRPr="00165580" w:rsidRDefault="00165580" w:rsidP="00165580">
            <w:pPr>
              <w:pStyle w:val="TableText0"/>
              <w:jc w:val="center"/>
              <w:rPr>
                <w:lang w:val="en-GB"/>
              </w:rPr>
            </w:pPr>
            <w:r w:rsidRPr="00B35B83">
              <w:t>1</w:t>
            </w:r>
          </w:p>
        </w:tc>
        <w:tc>
          <w:tcPr>
            <w:tcW w:w="1559" w:type="dxa"/>
          </w:tcPr>
          <w:p w14:paraId="26B52C88" w14:textId="4A81576B" w:rsidR="00165580" w:rsidRPr="00165580" w:rsidRDefault="00165580" w:rsidP="00165580">
            <w:pPr>
              <w:pStyle w:val="TableText0"/>
              <w:jc w:val="center"/>
              <w:rPr>
                <w:lang w:val="en-GB"/>
              </w:rPr>
            </w:pPr>
            <w:r w:rsidRPr="00B35B83">
              <w:t>5</w:t>
            </w:r>
          </w:p>
        </w:tc>
        <w:tc>
          <w:tcPr>
            <w:tcW w:w="2551" w:type="dxa"/>
          </w:tcPr>
          <w:p w14:paraId="0F7A21D2" w14:textId="28379640" w:rsidR="00165580" w:rsidRDefault="00165580" w:rsidP="00165580">
            <w:pPr>
              <w:pStyle w:val="TableText0"/>
              <w:rPr>
                <w:lang w:val="en-GB"/>
              </w:rPr>
            </w:pPr>
            <w:r w:rsidRPr="00B35B83">
              <w:t>6 fellowships awarded, 6 participants</w:t>
            </w:r>
          </w:p>
        </w:tc>
      </w:tr>
      <w:tr w:rsidR="00165580" w:rsidRPr="00656355" w14:paraId="3EC1A4F3" w14:textId="77777777" w:rsidTr="007339CE">
        <w:tc>
          <w:tcPr>
            <w:tcW w:w="3828" w:type="dxa"/>
          </w:tcPr>
          <w:p w14:paraId="77EA239B" w14:textId="10DF0752" w:rsidR="00165580" w:rsidRDefault="00165580" w:rsidP="00165580">
            <w:pPr>
              <w:pStyle w:val="TableText0"/>
              <w:rPr>
                <w:lang w:val="en-GB"/>
              </w:rPr>
            </w:pPr>
            <w:r w:rsidRPr="00B35B83">
              <w:t>ITU-T SG13, Geneva, 14</w:t>
            </w:r>
            <w:r w:rsidR="00510575">
              <w:t>-</w:t>
            </w:r>
            <w:r w:rsidRPr="00B35B83">
              <w:t>25 October 2019</w:t>
            </w:r>
          </w:p>
        </w:tc>
        <w:tc>
          <w:tcPr>
            <w:tcW w:w="1701" w:type="dxa"/>
          </w:tcPr>
          <w:p w14:paraId="6C64EDD6" w14:textId="03FA9FF2" w:rsidR="00165580" w:rsidRPr="00165580" w:rsidRDefault="00165580" w:rsidP="00165580">
            <w:pPr>
              <w:pStyle w:val="TableText0"/>
              <w:jc w:val="center"/>
              <w:rPr>
                <w:lang w:val="en-GB"/>
              </w:rPr>
            </w:pPr>
            <w:r w:rsidRPr="00B35B83">
              <w:t>0</w:t>
            </w:r>
          </w:p>
        </w:tc>
        <w:tc>
          <w:tcPr>
            <w:tcW w:w="1559" w:type="dxa"/>
          </w:tcPr>
          <w:p w14:paraId="770526BF" w14:textId="40D6B5E5" w:rsidR="00165580" w:rsidRPr="00165580" w:rsidRDefault="00165580" w:rsidP="00165580">
            <w:pPr>
              <w:pStyle w:val="TableText0"/>
              <w:jc w:val="center"/>
              <w:rPr>
                <w:lang w:val="en-GB"/>
              </w:rPr>
            </w:pPr>
            <w:r w:rsidRPr="00B35B83">
              <w:t>5</w:t>
            </w:r>
          </w:p>
        </w:tc>
        <w:tc>
          <w:tcPr>
            <w:tcW w:w="2551" w:type="dxa"/>
          </w:tcPr>
          <w:p w14:paraId="1BAC5EE8" w14:textId="017B3934" w:rsidR="00165580" w:rsidRDefault="00165580" w:rsidP="00165580">
            <w:pPr>
              <w:pStyle w:val="TableText0"/>
              <w:rPr>
                <w:lang w:val="en-GB"/>
              </w:rPr>
            </w:pPr>
            <w:r w:rsidRPr="00B35B83">
              <w:t>5 fellowships awarded, 5 participants</w:t>
            </w:r>
          </w:p>
        </w:tc>
      </w:tr>
      <w:tr w:rsidR="00165580" w:rsidRPr="00656355" w14:paraId="20B37D3A" w14:textId="77777777" w:rsidTr="007339CE">
        <w:tc>
          <w:tcPr>
            <w:tcW w:w="3828" w:type="dxa"/>
          </w:tcPr>
          <w:p w14:paraId="2FEA04C0" w14:textId="57287ED3" w:rsidR="00165580" w:rsidRDefault="00165580" w:rsidP="00165580">
            <w:pPr>
              <w:pStyle w:val="TableText0"/>
              <w:rPr>
                <w:lang w:val="en-GB"/>
              </w:rPr>
            </w:pPr>
            <w:r w:rsidRPr="00B35B83">
              <w:t>ITU-T SG11, Geneva, 16</w:t>
            </w:r>
            <w:r w:rsidR="00510575">
              <w:t>-</w:t>
            </w:r>
            <w:r w:rsidRPr="00B35B83">
              <w:t>25 October 2019</w:t>
            </w:r>
          </w:p>
        </w:tc>
        <w:tc>
          <w:tcPr>
            <w:tcW w:w="1701" w:type="dxa"/>
          </w:tcPr>
          <w:p w14:paraId="3FC50D86" w14:textId="31084533" w:rsidR="00165580" w:rsidRPr="00165580" w:rsidRDefault="00165580" w:rsidP="00165580">
            <w:pPr>
              <w:pStyle w:val="TableText0"/>
              <w:jc w:val="center"/>
              <w:rPr>
                <w:lang w:val="en-GB"/>
              </w:rPr>
            </w:pPr>
            <w:r w:rsidRPr="00B35B83">
              <w:t>0</w:t>
            </w:r>
          </w:p>
        </w:tc>
        <w:tc>
          <w:tcPr>
            <w:tcW w:w="1559" w:type="dxa"/>
          </w:tcPr>
          <w:p w14:paraId="05A491A5" w14:textId="255372BF" w:rsidR="00165580" w:rsidRPr="00165580" w:rsidRDefault="00165580" w:rsidP="00165580">
            <w:pPr>
              <w:pStyle w:val="TableText0"/>
              <w:jc w:val="center"/>
              <w:rPr>
                <w:lang w:val="en-GB"/>
              </w:rPr>
            </w:pPr>
            <w:r w:rsidRPr="00B35B83">
              <w:t>7</w:t>
            </w:r>
          </w:p>
        </w:tc>
        <w:tc>
          <w:tcPr>
            <w:tcW w:w="2551" w:type="dxa"/>
          </w:tcPr>
          <w:p w14:paraId="157410C1" w14:textId="2C3B9B93" w:rsidR="00165580" w:rsidRDefault="00165580" w:rsidP="00165580">
            <w:pPr>
              <w:pStyle w:val="TableText0"/>
              <w:rPr>
                <w:lang w:val="en-GB"/>
              </w:rPr>
            </w:pPr>
            <w:r w:rsidRPr="00B35B83">
              <w:t>7 fellowships awarded, 7 participants</w:t>
            </w:r>
          </w:p>
        </w:tc>
      </w:tr>
      <w:tr w:rsidR="00165580" w:rsidRPr="00656355" w14:paraId="11C2B8C6" w14:textId="77777777" w:rsidTr="007339CE">
        <w:tc>
          <w:tcPr>
            <w:tcW w:w="3828" w:type="dxa"/>
          </w:tcPr>
          <w:p w14:paraId="20D7EDFE" w14:textId="47963AAB" w:rsidR="00165580" w:rsidRDefault="00165580" w:rsidP="00165580">
            <w:pPr>
              <w:pStyle w:val="TableText0"/>
              <w:rPr>
                <w:lang w:val="en-GB"/>
              </w:rPr>
            </w:pPr>
            <w:r w:rsidRPr="00B35B83">
              <w:t>ITU-T SG2RG-ARB, SG2RG-AFR and SG3RG-ARB, Dubai, UAE, 23</w:t>
            </w:r>
            <w:r w:rsidR="00510575">
              <w:t>-</w:t>
            </w:r>
            <w:r w:rsidRPr="00B35B83">
              <w:t>24 October 2019</w:t>
            </w:r>
          </w:p>
        </w:tc>
        <w:tc>
          <w:tcPr>
            <w:tcW w:w="1701" w:type="dxa"/>
          </w:tcPr>
          <w:p w14:paraId="16D1ED89" w14:textId="06A0BF9B" w:rsidR="00165580" w:rsidRPr="007D2724" w:rsidRDefault="00165580" w:rsidP="00695C49">
            <w:pPr>
              <w:pStyle w:val="TableText0"/>
              <w:jc w:val="center"/>
            </w:pPr>
            <w:r w:rsidRPr="007D2724">
              <w:t>10 (</w:t>
            </w:r>
            <w:r w:rsidR="00695C49">
              <w:t>1</w:t>
            </w:r>
            <w:r w:rsidRPr="007D2724">
              <w:t xml:space="preserve"> cancelled)</w:t>
            </w:r>
          </w:p>
        </w:tc>
        <w:tc>
          <w:tcPr>
            <w:tcW w:w="1559" w:type="dxa"/>
          </w:tcPr>
          <w:p w14:paraId="0E926675" w14:textId="2D4654C8" w:rsidR="00165580" w:rsidRPr="007D2724" w:rsidRDefault="00165580" w:rsidP="00695C49">
            <w:pPr>
              <w:pStyle w:val="TableText0"/>
              <w:jc w:val="center"/>
            </w:pPr>
            <w:r w:rsidRPr="007D2724">
              <w:t>18 (</w:t>
            </w:r>
            <w:r w:rsidR="00695C49">
              <w:t>7</w:t>
            </w:r>
            <w:r w:rsidRPr="007D2724">
              <w:t xml:space="preserve"> cancelled)</w:t>
            </w:r>
          </w:p>
        </w:tc>
        <w:tc>
          <w:tcPr>
            <w:tcW w:w="2551" w:type="dxa"/>
          </w:tcPr>
          <w:p w14:paraId="21714722" w14:textId="26B84F6A" w:rsidR="00165580" w:rsidRPr="007D2724" w:rsidRDefault="00695C49" w:rsidP="00165580">
            <w:pPr>
              <w:pStyle w:val="TableText0"/>
            </w:pPr>
            <w:r>
              <w:t>28 fellowships awarded, 20</w:t>
            </w:r>
            <w:r w:rsidR="00165580" w:rsidRPr="007D2724">
              <w:t xml:space="preserve"> participants</w:t>
            </w:r>
          </w:p>
        </w:tc>
      </w:tr>
      <w:tr w:rsidR="00165580" w:rsidRPr="00656355" w14:paraId="69BEB29C" w14:textId="77777777" w:rsidTr="007339CE">
        <w:tc>
          <w:tcPr>
            <w:tcW w:w="3828" w:type="dxa"/>
          </w:tcPr>
          <w:p w14:paraId="5C94D94E" w14:textId="0506D250" w:rsidR="00165580" w:rsidRDefault="00165580" w:rsidP="00165580">
            <w:pPr>
              <w:pStyle w:val="TableText0"/>
              <w:rPr>
                <w:lang w:val="en-GB"/>
              </w:rPr>
            </w:pPr>
            <w:r w:rsidRPr="00B35B83">
              <w:t>ITU-T SG20, Geneva, 25 November – 6 December 2019</w:t>
            </w:r>
          </w:p>
        </w:tc>
        <w:tc>
          <w:tcPr>
            <w:tcW w:w="1701" w:type="dxa"/>
          </w:tcPr>
          <w:p w14:paraId="55617DE5" w14:textId="6E8BDC2D" w:rsidR="00165580" w:rsidRPr="00306326" w:rsidRDefault="00165580" w:rsidP="009A1B90">
            <w:pPr>
              <w:pStyle w:val="TableText0"/>
              <w:jc w:val="center"/>
              <w:rPr>
                <w:lang w:val="en-GB"/>
              </w:rPr>
            </w:pPr>
            <w:r w:rsidRPr="007D2724">
              <w:t>1</w:t>
            </w:r>
          </w:p>
        </w:tc>
        <w:tc>
          <w:tcPr>
            <w:tcW w:w="1559" w:type="dxa"/>
          </w:tcPr>
          <w:p w14:paraId="18279E00" w14:textId="36A40D17" w:rsidR="00165580" w:rsidRPr="00306326" w:rsidRDefault="009A1B90" w:rsidP="009A1B90">
            <w:pPr>
              <w:pStyle w:val="TableText0"/>
              <w:jc w:val="center"/>
              <w:rPr>
                <w:lang w:val="en-GB"/>
              </w:rPr>
            </w:pPr>
            <w:r w:rsidRPr="007D2724">
              <w:t>4</w:t>
            </w:r>
          </w:p>
        </w:tc>
        <w:tc>
          <w:tcPr>
            <w:tcW w:w="2551" w:type="dxa"/>
          </w:tcPr>
          <w:p w14:paraId="42E51761" w14:textId="1CAFABD4" w:rsidR="00165580" w:rsidRPr="00306326" w:rsidRDefault="00165580" w:rsidP="009A1B90">
            <w:pPr>
              <w:pStyle w:val="TableText0"/>
              <w:rPr>
                <w:lang w:val="en-GB"/>
              </w:rPr>
            </w:pPr>
            <w:r w:rsidRPr="007D2724">
              <w:t xml:space="preserve">5 fellowships awarded, </w:t>
            </w:r>
            <w:r w:rsidR="009A1B90" w:rsidRPr="007D2724">
              <w:t>5</w:t>
            </w:r>
            <w:r w:rsidRPr="007D2724">
              <w:t xml:space="preserve"> participants</w:t>
            </w:r>
          </w:p>
        </w:tc>
      </w:tr>
      <w:tr w:rsidR="00165580" w:rsidRPr="00656355" w14:paraId="570580B4" w14:textId="77777777" w:rsidTr="007339CE">
        <w:tc>
          <w:tcPr>
            <w:tcW w:w="3828" w:type="dxa"/>
          </w:tcPr>
          <w:p w14:paraId="53D70AB9" w14:textId="5E79CC17" w:rsidR="00165580" w:rsidRDefault="00165580" w:rsidP="00165580">
            <w:pPr>
              <w:pStyle w:val="TableText0"/>
              <w:rPr>
                <w:lang w:val="en-GB"/>
              </w:rPr>
            </w:pPr>
            <w:r w:rsidRPr="00B35B83">
              <w:t>ITU-T SG12, Geneva, 26 November – 5 December 2019</w:t>
            </w:r>
          </w:p>
        </w:tc>
        <w:tc>
          <w:tcPr>
            <w:tcW w:w="1701" w:type="dxa"/>
          </w:tcPr>
          <w:p w14:paraId="7BC3454D" w14:textId="4E8D4582" w:rsidR="00165580" w:rsidRPr="00306326" w:rsidRDefault="00165580" w:rsidP="009A1B90">
            <w:pPr>
              <w:pStyle w:val="TableText0"/>
              <w:jc w:val="center"/>
              <w:rPr>
                <w:lang w:val="en-GB"/>
              </w:rPr>
            </w:pPr>
            <w:r w:rsidRPr="007D2724">
              <w:t>3</w:t>
            </w:r>
          </w:p>
        </w:tc>
        <w:tc>
          <w:tcPr>
            <w:tcW w:w="1559" w:type="dxa"/>
          </w:tcPr>
          <w:p w14:paraId="0D46A2F9" w14:textId="4769E0F1" w:rsidR="00165580" w:rsidRPr="00306326" w:rsidRDefault="009A1B90" w:rsidP="00165580">
            <w:pPr>
              <w:pStyle w:val="TableText0"/>
              <w:jc w:val="center"/>
              <w:rPr>
                <w:lang w:val="en-GB"/>
              </w:rPr>
            </w:pPr>
            <w:r w:rsidRPr="007D2724">
              <w:t>3</w:t>
            </w:r>
          </w:p>
        </w:tc>
        <w:tc>
          <w:tcPr>
            <w:tcW w:w="2551" w:type="dxa"/>
          </w:tcPr>
          <w:p w14:paraId="69E6D1A4" w14:textId="50EAD12F" w:rsidR="00165580" w:rsidRPr="00306326" w:rsidRDefault="00165580" w:rsidP="009A1B90">
            <w:pPr>
              <w:pStyle w:val="TableText0"/>
              <w:rPr>
                <w:lang w:val="en-GB"/>
              </w:rPr>
            </w:pPr>
            <w:r w:rsidRPr="007D2724">
              <w:t xml:space="preserve">6 fellowships awarded, </w:t>
            </w:r>
            <w:r w:rsidR="009A1B90" w:rsidRPr="007D2724">
              <w:t>6</w:t>
            </w:r>
            <w:r w:rsidRPr="007D2724">
              <w:t xml:space="preserve"> participants</w:t>
            </w:r>
          </w:p>
        </w:tc>
      </w:tr>
      <w:tr w:rsidR="00165580" w:rsidRPr="00656355" w14:paraId="39BF15D8" w14:textId="77777777" w:rsidTr="007339CE">
        <w:tc>
          <w:tcPr>
            <w:tcW w:w="3828" w:type="dxa"/>
          </w:tcPr>
          <w:p w14:paraId="6039F3AC" w14:textId="6955A00A" w:rsidR="00165580" w:rsidRPr="00165580" w:rsidRDefault="00165580" w:rsidP="00165580">
            <w:pPr>
              <w:pStyle w:val="TableText0"/>
              <w:rPr>
                <w:lang w:val="en-GB"/>
              </w:rPr>
            </w:pPr>
            <w:r w:rsidRPr="00B35B83">
              <w:t>ITU-T SG2, Geneva, 4</w:t>
            </w:r>
            <w:r w:rsidR="00510575">
              <w:t>-</w:t>
            </w:r>
            <w:r w:rsidRPr="00B35B83">
              <w:t>13 December 2019</w:t>
            </w:r>
          </w:p>
        </w:tc>
        <w:tc>
          <w:tcPr>
            <w:tcW w:w="1701" w:type="dxa"/>
          </w:tcPr>
          <w:p w14:paraId="2A45F82F" w14:textId="70DA166F" w:rsidR="00165580" w:rsidRPr="00306326" w:rsidRDefault="00165580" w:rsidP="009A1B90">
            <w:pPr>
              <w:pStyle w:val="TableText0"/>
              <w:jc w:val="center"/>
              <w:rPr>
                <w:lang w:val="en-GB"/>
              </w:rPr>
            </w:pPr>
            <w:r w:rsidRPr="007D2724">
              <w:t>1</w:t>
            </w:r>
          </w:p>
        </w:tc>
        <w:tc>
          <w:tcPr>
            <w:tcW w:w="1559" w:type="dxa"/>
          </w:tcPr>
          <w:p w14:paraId="594EEFBA" w14:textId="1D0F97B7" w:rsidR="00165580" w:rsidRPr="00306326" w:rsidRDefault="00165580" w:rsidP="009A1B90">
            <w:pPr>
              <w:pStyle w:val="TableText0"/>
              <w:jc w:val="center"/>
              <w:rPr>
                <w:lang w:val="en-GB"/>
              </w:rPr>
            </w:pPr>
            <w:r w:rsidRPr="007D2724">
              <w:t>5 (</w:t>
            </w:r>
            <w:r w:rsidR="009A1B90" w:rsidRPr="007D2724">
              <w:t>2</w:t>
            </w:r>
            <w:r w:rsidRPr="007D2724">
              <w:t xml:space="preserve"> cancelled)</w:t>
            </w:r>
          </w:p>
        </w:tc>
        <w:tc>
          <w:tcPr>
            <w:tcW w:w="2551" w:type="dxa"/>
          </w:tcPr>
          <w:p w14:paraId="444F8571" w14:textId="0B7A77EE" w:rsidR="00165580" w:rsidRPr="00306326" w:rsidRDefault="00165580" w:rsidP="009A1B90">
            <w:pPr>
              <w:pStyle w:val="TableText0"/>
              <w:rPr>
                <w:lang w:val="en-GB"/>
              </w:rPr>
            </w:pPr>
            <w:r w:rsidRPr="007D2724">
              <w:t xml:space="preserve">6 fellowships awarded, </w:t>
            </w:r>
            <w:r w:rsidR="009A1B90" w:rsidRPr="007D2724">
              <w:t>4</w:t>
            </w:r>
            <w:r w:rsidRPr="007D2724">
              <w:t xml:space="preserve"> participants</w:t>
            </w:r>
          </w:p>
        </w:tc>
      </w:tr>
    </w:tbl>
    <w:p w14:paraId="35A9B2AD" w14:textId="7EB4B975" w:rsidR="006944F8" w:rsidRPr="00F57FAD" w:rsidRDefault="00D64AF8" w:rsidP="00EF080A">
      <w:pPr>
        <w:pStyle w:val="Heading2"/>
      </w:pPr>
      <w:bookmarkStart w:id="163" w:name="_Toc31967169"/>
      <w:bookmarkStart w:id="164" w:name="_Toc480527858"/>
      <w:r w:rsidRPr="00F57FAD">
        <w:t>7</w:t>
      </w:r>
      <w:r w:rsidR="006944F8" w:rsidRPr="00F57FAD">
        <w:t>.9</w:t>
      </w:r>
      <w:r w:rsidR="006944F8" w:rsidRPr="00F57FAD">
        <w:tab/>
      </w:r>
      <w:r w:rsidR="00EF080A" w:rsidRPr="00F57FAD">
        <w:t>Questionnaires for</w:t>
      </w:r>
      <w:r w:rsidR="006944F8" w:rsidRPr="00F57FAD">
        <w:t xml:space="preserve"> </w:t>
      </w:r>
      <w:r w:rsidR="00B72A2A" w:rsidRPr="00F57FAD">
        <w:t>d</w:t>
      </w:r>
      <w:r w:rsidR="006944F8" w:rsidRPr="00F57FAD">
        <w:t xml:space="preserve">eveloping </w:t>
      </w:r>
      <w:r w:rsidR="00B72A2A" w:rsidRPr="00F57FAD">
        <w:t>c</w:t>
      </w:r>
      <w:r w:rsidR="006944F8" w:rsidRPr="00F57FAD">
        <w:t>ountries</w:t>
      </w:r>
      <w:bookmarkEnd w:id="163"/>
    </w:p>
    <w:p w14:paraId="75954A0B" w14:textId="42656262" w:rsidR="00B05D9E" w:rsidRPr="007D2724" w:rsidRDefault="000F5F87" w:rsidP="00B05D9E">
      <w:pPr>
        <w:rPr>
          <w:szCs w:val="22"/>
          <w:lang w:val="en-GB"/>
        </w:rPr>
      </w:pPr>
      <w:r>
        <w:rPr>
          <w:szCs w:val="22"/>
          <w:lang w:val="en-GB"/>
        </w:rPr>
        <w:t>Q</w:t>
      </w:r>
      <w:r w:rsidR="00B05D9E" w:rsidRPr="007D2724">
        <w:rPr>
          <w:szCs w:val="22"/>
          <w:lang w:val="en-GB"/>
        </w:rPr>
        <w:t>uestionnaires</w:t>
      </w:r>
      <w:r w:rsidR="00B05D9E" w:rsidRPr="007D2724">
        <w:rPr>
          <w:b/>
          <w:szCs w:val="22"/>
          <w:lang w:val="en-GB"/>
        </w:rPr>
        <w:t xml:space="preserve"> </w:t>
      </w:r>
      <w:r w:rsidR="00B05D9E" w:rsidRPr="007D2724">
        <w:rPr>
          <w:szCs w:val="22"/>
          <w:lang w:val="en-GB"/>
        </w:rPr>
        <w:t xml:space="preserve">on </w:t>
      </w:r>
      <w:r>
        <w:rPr>
          <w:szCs w:val="22"/>
          <w:lang w:val="en-GB"/>
        </w:rPr>
        <w:t>“</w:t>
      </w:r>
      <w:r w:rsidR="00B05D9E" w:rsidRPr="00662764">
        <w:rPr>
          <w:iCs/>
          <w:szCs w:val="22"/>
        </w:rPr>
        <w:t>Big Data Adoption in Developing Countries</w:t>
      </w:r>
      <w:r>
        <w:rPr>
          <w:iCs/>
          <w:szCs w:val="22"/>
        </w:rPr>
        <w:t>”</w:t>
      </w:r>
      <w:r w:rsidR="00B05D9E" w:rsidRPr="00662764">
        <w:rPr>
          <w:iCs/>
          <w:szCs w:val="22"/>
        </w:rPr>
        <w:t xml:space="preserve"> </w:t>
      </w:r>
      <w:r w:rsidR="00B05D9E" w:rsidRPr="000F5F87">
        <w:rPr>
          <w:szCs w:val="22"/>
          <w:lang w:val="en-GB"/>
        </w:rPr>
        <w:t xml:space="preserve">and </w:t>
      </w:r>
      <w:r>
        <w:rPr>
          <w:szCs w:val="22"/>
          <w:lang w:val="en-GB"/>
        </w:rPr>
        <w:t>“U</w:t>
      </w:r>
      <w:r w:rsidR="00B05D9E" w:rsidRPr="00662764">
        <w:rPr>
          <w:szCs w:val="22"/>
          <w:lang w:val="en-GB"/>
        </w:rPr>
        <w:t>se of ITU-T Recommendations in developing countries</w:t>
      </w:r>
      <w:r>
        <w:rPr>
          <w:szCs w:val="22"/>
          <w:lang w:val="en-GB"/>
        </w:rPr>
        <w:t>”</w:t>
      </w:r>
      <w:r w:rsidR="00B05D9E" w:rsidRPr="007D2724">
        <w:rPr>
          <w:szCs w:val="22"/>
          <w:lang w:val="en-GB"/>
        </w:rPr>
        <w:t xml:space="preserve"> </w:t>
      </w:r>
      <w:r>
        <w:rPr>
          <w:szCs w:val="22"/>
          <w:lang w:val="en-GB"/>
        </w:rPr>
        <w:t xml:space="preserve">received </w:t>
      </w:r>
      <w:r w:rsidR="00B05D9E" w:rsidRPr="007D2724">
        <w:rPr>
          <w:szCs w:val="22"/>
          <w:lang w:val="en-GB"/>
        </w:rPr>
        <w:t>17 and 18 responses</w:t>
      </w:r>
      <w:r>
        <w:rPr>
          <w:szCs w:val="22"/>
          <w:lang w:val="en-GB"/>
        </w:rPr>
        <w:t>,</w:t>
      </w:r>
      <w:r w:rsidR="00B05D9E" w:rsidRPr="007D2724">
        <w:rPr>
          <w:szCs w:val="22"/>
          <w:lang w:val="en-GB"/>
        </w:rPr>
        <w:t xml:space="preserve"> respectively</w:t>
      </w:r>
      <w:r>
        <w:rPr>
          <w:szCs w:val="22"/>
          <w:lang w:val="en-GB"/>
        </w:rPr>
        <w:t xml:space="preserve">, by the 31 </w:t>
      </w:r>
      <w:r>
        <w:rPr>
          <w:szCs w:val="22"/>
          <w:lang w:val="en-GB"/>
        </w:rPr>
        <w:lastRenderedPageBreak/>
        <w:t>August 2019 submission deadline</w:t>
      </w:r>
      <w:r w:rsidR="00B05D9E" w:rsidRPr="007D2724">
        <w:rPr>
          <w:szCs w:val="22"/>
          <w:lang w:val="en-GB"/>
        </w:rPr>
        <w:t>. Th</w:t>
      </w:r>
      <w:r>
        <w:rPr>
          <w:szCs w:val="22"/>
          <w:lang w:val="en-GB"/>
        </w:rPr>
        <w:t>e responses have</w:t>
      </w:r>
      <w:r w:rsidR="00B05D9E" w:rsidRPr="007D2724">
        <w:rPr>
          <w:szCs w:val="22"/>
          <w:lang w:val="en-GB"/>
        </w:rPr>
        <w:t xml:space="preserve"> formed</w:t>
      </w:r>
      <w:r>
        <w:rPr>
          <w:szCs w:val="22"/>
          <w:lang w:val="en-GB"/>
        </w:rPr>
        <w:t xml:space="preserve"> a basis for </w:t>
      </w:r>
      <w:r w:rsidR="00B05D9E" w:rsidRPr="007D2724">
        <w:rPr>
          <w:szCs w:val="22"/>
          <w:lang w:val="en-GB"/>
        </w:rPr>
        <w:t xml:space="preserve">the progression of </w:t>
      </w:r>
      <w:r>
        <w:rPr>
          <w:szCs w:val="22"/>
          <w:lang w:val="en-GB"/>
        </w:rPr>
        <w:t xml:space="preserve">associated Supplements under development in </w:t>
      </w:r>
      <w:r w:rsidR="00B05D9E" w:rsidRPr="007D2724">
        <w:rPr>
          <w:szCs w:val="22"/>
          <w:lang w:val="en-GB"/>
        </w:rPr>
        <w:t xml:space="preserve">Q5/13 </w:t>
      </w:r>
      <w:r>
        <w:rPr>
          <w:szCs w:val="22"/>
          <w:lang w:val="en-GB"/>
        </w:rPr>
        <w:t>(</w:t>
      </w:r>
      <w:r w:rsidRPr="000F5F87">
        <w:rPr>
          <w:szCs w:val="22"/>
          <w:lang w:val="en-GB"/>
        </w:rPr>
        <w:t>Applying networks of future and innovation in developing countries</w:t>
      </w:r>
      <w:r>
        <w:rPr>
          <w:szCs w:val="22"/>
          <w:lang w:val="en-GB"/>
        </w:rPr>
        <w:t>)</w:t>
      </w:r>
      <w:r w:rsidR="00B05D9E" w:rsidRPr="007D2724">
        <w:rPr>
          <w:szCs w:val="22"/>
          <w:lang w:val="en-GB"/>
        </w:rPr>
        <w:t>.</w:t>
      </w:r>
    </w:p>
    <w:p w14:paraId="5574FC17" w14:textId="0C3800E1" w:rsidR="006944F8" w:rsidRPr="00F57FAD" w:rsidRDefault="00D64AF8" w:rsidP="006944F8">
      <w:pPr>
        <w:pStyle w:val="Heading1"/>
      </w:pPr>
      <w:bookmarkStart w:id="165" w:name="_Toc31967170"/>
      <w:r w:rsidRPr="00F57FAD">
        <w:t>8</w:t>
      </w:r>
      <w:r w:rsidR="006944F8" w:rsidRPr="00F57FAD">
        <w:tab/>
        <w:t>Membership</w:t>
      </w:r>
      <w:bookmarkEnd w:id="133"/>
      <w:bookmarkEnd w:id="134"/>
      <w:bookmarkEnd w:id="135"/>
      <w:bookmarkEnd w:id="136"/>
      <w:bookmarkEnd w:id="137"/>
      <w:bookmarkEnd w:id="138"/>
      <w:bookmarkEnd w:id="139"/>
      <w:bookmarkEnd w:id="160"/>
      <w:bookmarkEnd w:id="161"/>
      <w:bookmarkEnd w:id="162"/>
      <w:bookmarkEnd w:id="164"/>
      <w:bookmarkEnd w:id="165"/>
    </w:p>
    <w:p w14:paraId="03F7D5E0" w14:textId="5F297B20" w:rsidR="006944F8" w:rsidRPr="00F57FAD" w:rsidRDefault="00D64AF8" w:rsidP="00C1421E">
      <w:pPr>
        <w:pStyle w:val="Heading2"/>
      </w:pPr>
      <w:bookmarkStart w:id="166" w:name="_Toc462664266"/>
      <w:bookmarkStart w:id="167" w:name="_Toc480527859"/>
      <w:bookmarkStart w:id="168" w:name="_Toc31967171"/>
      <w:r w:rsidRPr="00F57FAD">
        <w:t>8</w:t>
      </w:r>
      <w:r w:rsidR="006944F8" w:rsidRPr="00F57FAD">
        <w:t>.1</w:t>
      </w:r>
      <w:r w:rsidR="006944F8" w:rsidRPr="00F57FAD">
        <w:tab/>
        <w:t>Evolution of ITU-T membership</w:t>
      </w:r>
      <w:bookmarkEnd w:id="166"/>
      <w:bookmarkEnd w:id="167"/>
      <w:bookmarkEnd w:id="168"/>
    </w:p>
    <w:p w14:paraId="0A57424A" w14:textId="6047B8E2" w:rsidR="00C07490" w:rsidRPr="00662764" w:rsidRDefault="00C07490" w:rsidP="00C07490">
      <w:pPr>
        <w:rPr>
          <w:rFonts w:eastAsia="Calibri"/>
          <w:szCs w:val="24"/>
          <w:lang w:val="en-GB"/>
        </w:rPr>
      </w:pPr>
      <w:r w:rsidRPr="00662764">
        <w:rPr>
          <w:rFonts w:eastAsia="Calibri"/>
          <w:szCs w:val="24"/>
          <w:lang w:val="en-GB"/>
        </w:rPr>
        <w:t>ITU-T membership mai</w:t>
      </w:r>
      <w:r>
        <w:rPr>
          <w:rFonts w:eastAsia="Calibri"/>
          <w:szCs w:val="24"/>
          <w:lang w:val="en-GB"/>
        </w:rPr>
        <w:t xml:space="preserve">ntained strong growth in </w:t>
      </w:r>
      <w:r w:rsidRPr="00662764">
        <w:rPr>
          <w:rFonts w:eastAsia="Calibri"/>
          <w:szCs w:val="24"/>
          <w:lang w:val="en-GB"/>
        </w:rPr>
        <w:t xml:space="preserve">2019. During this period, 20 Sector Members and 34 Associates joined </w:t>
      </w:r>
      <w:r>
        <w:rPr>
          <w:rFonts w:eastAsia="Calibri"/>
          <w:szCs w:val="24"/>
          <w:lang w:val="en-GB"/>
        </w:rPr>
        <w:t xml:space="preserve">ITU-T, </w:t>
      </w:r>
      <w:r w:rsidRPr="00662764">
        <w:rPr>
          <w:rFonts w:eastAsia="Calibri"/>
          <w:szCs w:val="24"/>
          <w:lang w:val="en-GB"/>
        </w:rPr>
        <w:t xml:space="preserve">amounting to a total of 54 new members. Overall, ITU-T achieved a net increase </w:t>
      </w:r>
      <w:r>
        <w:rPr>
          <w:rFonts w:eastAsia="Calibri"/>
          <w:szCs w:val="24"/>
          <w:lang w:val="en-GB"/>
        </w:rPr>
        <w:t xml:space="preserve">of </w:t>
      </w:r>
      <w:r w:rsidRPr="00662764">
        <w:rPr>
          <w:rFonts w:eastAsia="Calibri"/>
          <w:szCs w:val="24"/>
          <w:lang w:val="en-GB"/>
        </w:rPr>
        <w:t>38 members in 2019</w:t>
      </w:r>
      <w:r w:rsidR="00F3474A">
        <w:rPr>
          <w:rFonts w:eastAsia="Calibri"/>
          <w:szCs w:val="24"/>
          <w:lang w:val="en-GB"/>
        </w:rPr>
        <w:t xml:space="preserve"> (not including Academia)</w:t>
      </w:r>
      <w:r w:rsidRPr="00662764">
        <w:rPr>
          <w:rFonts w:eastAsia="Calibri"/>
          <w:szCs w:val="24"/>
          <w:lang w:val="en-GB"/>
        </w:rPr>
        <w:t>. In addition, 23 new Academia members joined</w:t>
      </w:r>
      <w:r>
        <w:rPr>
          <w:rFonts w:eastAsia="Calibri"/>
          <w:szCs w:val="24"/>
          <w:lang w:val="en-GB"/>
        </w:rPr>
        <w:t xml:space="preserve"> ITU</w:t>
      </w:r>
      <w:r w:rsidRPr="00662764">
        <w:rPr>
          <w:rFonts w:eastAsia="Calibri"/>
          <w:szCs w:val="24"/>
          <w:lang w:val="en-GB"/>
        </w:rPr>
        <w:t>, leading to a net increase of 8</w:t>
      </w:r>
      <w:r>
        <w:rPr>
          <w:rFonts w:eastAsia="Calibri"/>
          <w:szCs w:val="24"/>
          <w:lang w:val="en-GB"/>
        </w:rPr>
        <w:t xml:space="preserve"> Academia memberships</w:t>
      </w:r>
      <w:r w:rsidRPr="00662764">
        <w:rPr>
          <w:rFonts w:eastAsia="Calibri"/>
          <w:szCs w:val="24"/>
          <w:lang w:val="en-GB"/>
        </w:rPr>
        <w:t>.</w:t>
      </w:r>
    </w:p>
    <w:p w14:paraId="62C79C39" w14:textId="057D57E1" w:rsidR="00C07490" w:rsidRPr="00662764" w:rsidRDefault="00C07490" w:rsidP="00C07490">
      <w:pPr>
        <w:rPr>
          <w:rFonts w:eastAsia="Calibri"/>
          <w:szCs w:val="24"/>
          <w:lang w:val="en-GB"/>
        </w:rPr>
      </w:pPr>
      <w:r w:rsidRPr="00662764">
        <w:rPr>
          <w:rFonts w:eastAsia="Calibri"/>
          <w:szCs w:val="24"/>
          <w:lang w:val="en-GB"/>
        </w:rPr>
        <w:t xml:space="preserve">New </w:t>
      </w:r>
      <w:r>
        <w:rPr>
          <w:rFonts w:eastAsia="Calibri"/>
          <w:szCs w:val="24"/>
          <w:lang w:val="en-GB"/>
        </w:rPr>
        <w:t xml:space="preserve">ITU-T members </w:t>
      </w:r>
      <w:r w:rsidRPr="00662764">
        <w:rPr>
          <w:rFonts w:eastAsia="Calibri"/>
          <w:szCs w:val="24"/>
          <w:lang w:val="en-GB"/>
        </w:rPr>
        <w:t xml:space="preserve">include companies specializing in energy and utilities, shipping and logistics, mobile payments, </w:t>
      </w:r>
      <w:r>
        <w:rPr>
          <w:rFonts w:eastAsia="Calibri"/>
          <w:szCs w:val="24"/>
          <w:lang w:val="en-GB"/>
        </w:rPr>
        <w:t xml:space="preserve">over-the-top applications, </w:t>
      </w:r>
      <w:r w:rsidRPr="00662764">
        <w:rPr>
          <w:rFonts w:eastAsia="Calibri"/>
          <w:szCs w:val="24"/>
          <w:lang w:val="en-GB"/>
        </w:rPr>
        <w:t>automotive, IoT/M2M connectivity, v</w:t>
      </w:r>
      <w:r>
        <w:rPr>
          <w:rFonts w:eastAsia="Calibri"/>
          <w:szCs w:val="24"/>
          <w:lang w:val="en-GB"/>
        </w:rPr>
        <w:t>isible light communication</w:t>
      </w:r>
      <w:r w:rsidRPr="00662764">
        <w:rPr>
          <w:rFonts w:eastAsia="Calibri"/>
          <w:szCs w:val="24"/>
          <w:lang w:val="en-GB"/>
        </w:rPr>
        <w:t>, dis</w:t>
      </w:r>
      <w:r>
        <w:rPr>
          <w:rFonts w:eastAsia="Calibri"/>
          <w:szCs w:val="24"/>
          <w:lang w:val="en-GB"/>
        </w:rPr>
        <w:t>tributed ledger technologies</w:t>
      </w:r>
      <w:r w:rsidRPr="00662764">
        <w:rPr>
          <w:rFonts w:eastAsia="Calibri"/>
          <w:szCs w:val="24"/>
          <w:lang w:val="en-GB"/>
        </w:rPr>
        <w:t>, quan</w:t>
      </w:r>
      <w:r>
        <w:rPr>
          <w:rFonts w:eastAsia="Calibri"/>
          <w:szCs w:val="24"/>
          <w:lang w:val="en-GB"/>
        </w:rPr>
        <w:t>tum information technology</w:t>
      </w:r>
      <w:r w:rsidRPr="00662764">
        <w:rPr>
          <w:rFonts w:eastAsia="Calibri"/>
          <w:szCs w:val="24"/>
          <w:lang w:val="en-GB"/>
        </w:rPr>
        <w:t>, cybersecurity</w:t>
      </w:r>
      <w:r>
        <w:rPr>
          <w:rFonts w:eastAsia="Calibri"/>
          <w:szCs w:val="24"/>
          <w:lang w:val="en-GB"/>
        </w:rPr>
        <w:t>,</w:t>
      </w:r>
      <w:r w:rsidRPr="00C07490">
        <w:t xml:space="preserve"> </w:t>
      </w:r>
      <w:r w:rsidRPr="00C07490">
        <w:rPr>
          <w:rFonts w:eastAsia="Calibri"/>
          <w:szCs w:val="24"/>
          <w:lang w:val="en-GB"/>
        </w:rPr>
        <w:t>AI, and quality of service and experience</w:t>
      </w:r>
      <w:r w:rsidRPr="00662764">
        <w:rPr>
          <w:rFonts w:eastAsia="Calibri"/>
          <w:szCs w:val="24"/>
          <w:lang w:val="en-GB"/>
        </w:rPr>
        <w:t>.</w:t>
      </w:r>
    </w:p>
    <w:p w14:paraId="6E86F42D" w14:textId="69CEF4D4" w:rsidR="00C07490" w:rsidRPr="00662764" w:rsidRDefault="00C07490" w:rsidP="00C07490">
      <w:pPr>
        <w:rPr>
          <w:rFonts w:eastAsia="Calibri"/>
          <w:szCs w:val="24"/>
          <w:lang w:val="en-GB"/>
        </w:rPr>
      </w:pPr>
      <w:r w:rsidRPr="00662764">
        <w:rPr>
          <w:rFonts w:eastAsia="Calibri"/>
          <w:szCs w:val="24"/>
          <w:lang w:val="en-GB"/>
        </w:rPr>
        <w:t>Targeted membership outreach, campaigns and events – executed in collaboration with TSB’s Strategic Engagement Div</w:t>
      </w:r>
      <w:r>
        <w:rPr>
          <w:rFonts w:eastAsia="Calibri"/>
          <w:szCs w:val="24"/>
          <w:lang w:val="en-GB"/>
        </w:rPr>
        <w:t xml:space="preserve">ision and </w:t>
      </w:r>
      <w:r w:rsidR="00F1765F">
        <w:rPr>
          <w:rFonts w:eastAsia="Calibri"/>
          <w:szCs w:val="24"/>
          <w:lang w:val="en-GB"/>
        </w:rPr>
        <w:t>SG</w:t>
      </w:r>
      <w:r>
        <w:rPr>
          <w:rFonts w:eastAsia="Calibri"/>
          <w:szCs w:val="24"/>
          <w:lang w:val="en-GB"/>
        </w:rPr>
        <w:t>s Department</w:t>
      </w:r>
      <w:r w:rsidRPr="00662764">
        <w:rPr>
          <w:rFonts w:eastAsia="Calibri"/>
          <w:szCs w:val="24"/>
          <w:lang w:val="en-GB"/>
        </w:rPr>
        <w:t xml:space="preserve"> – continue to show great promise in attracting and recruiting new ITU-T members. TSB continues to put an increased emphasis on tailored outreach to membership prospects while also enhancing the level of account management </w:t>
      </w:r>
      <w:r w:rsidR="00A477B7">
        <w:rPr>
          <w:rFonts w:eastAsia="Calibri"/>
          <w:szCs w:val="24"/>
          <w:lang w:val="en-GB"/>
        </w:rPr>
        <w:t xml:space="preserve">offered </w:t>
      </w:r>
      <w:r w:rsidRPr="00662764">
        <w:rPr>
          <w:rFonts w:eastAsia="Calibri"/>
          <w:szCs w:val="24"/>
          <w:lang w:val="en-GB"/>
        </w:rPr>
        <w:t>to ITU-T’s existing membership.</w:t>
      </w:r>
    </w:p>
    <w:p w14:paraId="4A525FA1" w14:textId="08A1DC90" w:rsidR="00C07490" w:rsidRPr="00662764" w:rsidRDefault="00C07490" w:rsidP="00C07490">
      <w:pPr>
        <w:rPr>
          <w:rFonts w:eastAsia="Calibri"/>
          <w:szCs w:val="24"/>
          <w:u w:val="single"/>
          <w:lang w:val="en-GB"/>
        </w:rPr>
      </w:pPr>
      <w:r>
        <w:rPr>
          <w:rFonts w:eastAsia="Calibri"/>
          <w:szCs w:val="24"/>
          <w:u w:val="single"/>
          <w:lang w:val="en-GB"/>
        </w:rPr>
        <w:t xml:space="preserve">New Sector Members in </w:t>
      </w:r>
      <w:r w:rsidRPr="00662764">
        <w:rPr>
          <w:rFonts w:eastAsia="Calibri"/>
          <w:szCs w:val="24"/>
          <w:u w:val="single"/>
          <w:lang w:val="en-GB"/>
        </w:rPr>
        <w:t>2019:</w:t>
      </w:r>
    </w:p>
    <w:p w14:paraId="7EBEE4D7" w14:textId="6B038C1E" w:rsidR="00C07490" w:rsidRPr="00662764" w:rsidRDefault="00C07490" w:rsidP="00C07490">
      <w:pPr>
        <w:rPr>
          <w:rFonts w:eastAsia="Calibri"/>
          <w:szCs w:val="24"/>
          <w:lang w:val="en-GB"/>
        </w:rPr>
      </w:pPr>
      <w:r w:rsidRPr="00662764">
        <w:rPr>
          <w:rFonts w:eastAsia="Calibri"/>
          <w:szCs w:val="24"/>
          <w:lang w:val="en-GB"/>
        </w:rPr>
        <w:t>Bangladesh Communication Sa</w:t>
      </w:r>
      <w:r w:rsidR="00A477B7">
        <w:rPr>
          <w:rFonts w:eastAsia="Calibri"/>
          <w:szCs w:val="24"/>
          <w:lang w:val="en-GB"/>
        </w:rPr>
        <w:t>tellite Company Limited (BCSCL);</w:t>
      </w:r>
      <w:r w:rsidRPr="00662764">
        <w:rPr>
          <w:rFonts w:eastAsia="Calibri"/>
          <w:szCs w:val="24"/>
          <w:lang w:val="en-GB"/>
        </w:rPr>
        <w:t xml:space="preserve"> Beijing Baidu Netco</w:t>
      </w:r>
      <w:r w:rsidR="00A477B7">
        <w:rPr>
          <w:rFonts w:eastAsia="Calibri"/>
          <w:szCs w:val="24"/>
          <w:lang w:val="en-GB"/>
        </w:rPr>
        <w:t xml:space="preserve">m Science Technology Co., Ltd.; </w:t>
      </w:r>
      <w:r w:rsidRPr="00662764">
        <w:rPr>
          <w:rFonts w:eastAsia="Calibri"/>
          <w:szCs w:val="24"/>
          <w:lang w:val="en-GB"/>
        </w:rPr>
        <w:t>CAS Q</w:t>
      </w:r>
      <w:r w:rsidR="00A477B7">
        <w:rPr>
          <w:rFonts w:eastAsia="Calibri"/>
          <w:szCs w:val="24"/>
          <w:lang w:val="en-GB"/>
        </w:rPr>
        <w:t xml:space="preserve">uantum Network Co. Ltd.; </w:t>
      </w:r>
      <w:proofErr w:type="spellStart"/>
      <w:r w:rsidR="00A477B7">
        <w:rPr>
          <w:rFonts w:eastAsia="Calibri"/>
          <w:szCs w:val="24"/>
          <w:lang w:val="en-GB"/>
        </w:rPr>
        <w:t>QuantumCTek</w:t>
      </w:r>
      <w:proofErr w:type="spellEnd"/>
      <w:r w:rsidR="00A477B7">
        <w:rPr>
          <w:rFonts w:eastAsia="Calibri"/>
          <w:szCs w:val="24"/>
          <w:lang w:val="en-GB"/>
        </w:rPr>
        <w:t xml:space="preserve"> Co., Ltd.; Credit Pilot PLC; Volkswagen AG; </w:t>
      </w:r>
      <w:r w:rsidRPr="00662764">
        <w:rPr>
          <w:rFonts w:eastAsia="Calibri"/>
          <w:szCs w:val="24"/>
          <w:lang w:val="en-GB"/>
        </w:rPr>
        <w:t>Su</w:t>
      </w:r>
      <w:r w:rsidR="00A477B7">
        <w:rPr>
          <w:rFonts w:eastAsia="Calibri"/>
          <w:szCs w:val="24"/>
          <w:lang w:val="en-GB"/>
        </w:rPr>
        <w:t xml:space="preserve">bah Infosolutions Ghana Limited; Reliance </w:t>
      </w:r>
      <w:proofErr w:type="spellStart"/>
      <w:r w:rsidR="00A477B7">
        <w:rPr>
          <w:rFonts w:eastAsia="Calibri"/>
          <w:szCs w:val="24"/>
          <w:lang w:val="en-GB"/>
        </w:rPr>
        <w:t>Jio</w:t>
      </w:r>
      <w:proofErr w:type="spellEnd"/>
      <w:r w:rsidR="00A477B7">
        <w:rPr>
          <w:rFonts w:eastAsia="Calibri"/>
          <w:szCs w:val="24"/>
          <w:lang w:val="en-GB"/>
        </w:rPr>
        <w:t xml:space="preserve"> </w:t>
      </w:r>
      <w:proofErr w:type="spellStart"/>
      <w:r w:rsidR="00A477B7">
        <w:rPr>
          <w:rFonts w:eastAsia="Calibri"/>
          <w:szCs w:val="24"/>
          <w:lang w:val="en-GB"/>
        </w:rPr>
        <w:t>Infocomm</w:t>
      </w:r>
      <w:proofErr w:type="spellEnd"/>
      <w:r w:rsidR="00A477B7">
        <w:rPr>
          <w:rFonts w:eastAsia="Calibri"/>
          <w:szCs w:val="24"/>
          <w:lang w:val="en-GB"/>
        </w:rPr>
        <w:t xml:space="preserve"> Limited; LG </w:t>
      </w:r>
      <w:proofErr w:type="spellStart"/>
      <w:r w:rsidR="00A477B7">
        <w:rPr>
          <w:rFonts w:eastAsia="Calibri"/>
          <w:szCs w:val="24"/>
          <w:lang w:val="en-GB"/>
        </w:rPr>
        <w:t>Uplus</w:t>
      </w:r>
      <w:proofErr w:type="spellEnd"/>
      <w:r w:rsidR="00A477B7">
        <w:rPr>
          <w:rFonts w:eastAsia="Calibri"/>
          <w:szCs w:val="24"/>
          <w:lang w:val="en-GB"/>
        </w:rPr>
        <w:t>; Infinera Corporation; ITRI International Inc.;</w:t>
      </w:r>
      <w:r w:rsidRPr="00662764">
        <w:rPr>
          <w:rFonts w:eastAsia="Calibri"/>
          <w:szCs w:val="24"/>
          <w:lang w:val="en-GB"/>
        </w:rPr>
        <w:t xml:space="preserve"> Plantronics, Inc.</w:t>
      </w:r>
      <w:r w:rsidR="00A477B7">
        <w:rPr>
          <w:rFonts w:eastAsia="Calibri"/>
          <w:szCs w:val="24"/>
          <w:lang w:val="en-GB"/>
        </w:rPr>
        <w:t>; XPRIZE Foundation Inc.;</w:t>
      </w:r>
      <w:r w:rsidRPr="00662764">
        <w:rPr>
          <w:rFonts w:eastAsia="Calibri"/>
          <w:szCs w:val="24"/>
          <w:lang w:val="en-GB"/>
        </w:rPr>
        <w:t xml:space="preserve"> ADA Inno</w:t>
      </w:r>
      <w:r w:rsidR="00A477B7">
        <w:rPr>
          <w:rFonts w:eastAsia="Calibri"/>
          <w:szCs w:val="24"/>
          <w:lang w:val="en-GB"/>
        </w:rPr>
        <w:t>vation Lab Limited;</w:t>
      </w:r>
      <w:r w:rsidRPr="00662764">
        <w:rPr>
          <w:rFonts w:eastAsia="Calibri"/>
          <w:szCs w:val="24"/>
          <w:lang w:val="en-GB"/>
        </w:rPr>
        <w:t xml:space="preserve"> </w:t>
      </w:r>
      <w:proofErr w:type="spellStart"/>
      <w:r w:rsidRPr="00662764">
        <w:rPr>
          <w:rFonts w:eastAsia="Calibri"/>
          <w:szCs w:val="24"/>
          <w:lang w:val="en-GB"/>
        </w:rPr>
        <w:t>He</w:t>
      </w:r>
      <w:r w:rsidR="00A477B7">
        <w:rPr>
          <w:rFonts w:eastAsia="Calibri"/>
          <w:szCs w:val="24"/>
          <w:lang w:val="en-GB"/>
        </w:rPr>
        <w:t>ngtong</w:t>
      </w:r>
      <w:proofErr w:type="spellEnd"/>
      <w:r w:rsidR="00A477B7">
        <w:rPr>
          <w:rFonts w:eastAsia="Calibri"/>
          <w:szCs w:val="24"/>
          <w:lang w:val="en-GB"/>
        </w:rPr>
        <w:t xml:space="preserve"> Optic-electric Co., Ltd.;</w:t>
      </w:r>
      <w:r w:rsidRPr="00662764">
        <w:rPr>
          <w:rFonts w:eastAsia="Calibri"/>
          <w:szCs w:val="24"/>
          <w:lang w:val="en-GB"/>
        </w:rPr>
        <w:t xml:space="preserve"> Jinan </w:t>
      </w:r>
      <w:r w:rsidR="00A477B7">
        <w:rPr>
          <w:rFonts w:eastAsia="Calibri"/>
          <w:szCs w:val="24"/>
          <w:lang w:val="en-GB"/>
        </w:rPr>
        <w:t>Institute of Quantum Technology;</w:t>
      </w:r>
      <w:r w:rsidRPr="00662764">
        <w:rPr>
          <w:rFonts w:eastAsia="Calibri"/>
          <w:szCs w:val="24"/>
          <w:lang w:val="en-GB"/>
        </w:rPr>
        <w:t xml:space="preserve"> </w:t>
      </w:r>
      <w:proofErr w:type="spellStart"/>
      <w:r w:rsidRPr="00662764">
        <w:rPr>
          <w:rFonts w:eastAsia="Calibri"/>
          <w:szCs w:val="24"/>
          <w:lang w:val="en-GB"/>
        </w:rPr>
        <w:t>A</w:t>
      </w:r>
      <w:r w:rsidR="00A477B7">
        <w:rPr>
          <w:rFonts w:eastAsia="Calibri"/>
          <w:szCs w:val="24"/>
          <w:lang w:val="en-GB"/>
        </w:rPr>
        <w:t>tlantique</w:t>
      </w:r>
      <w:proofErr w:type="spellEnd"/>
      <w:r w:rsidR="00A477B7">
        <w:rPr>
          <w:rFonts w:eastAsia="Calibri"/>
          <w:szCs w:val="24"/>
          <w:lang w:val="en-GB"/>
        </w:rPr>
        <w:t xml:space="preserve"> </w:t>
      </w:r>
      <w:proofErr w:type="spellStart"/>
      <w:r w:rsidR="00A477B7">
        <w:rPr>
          <w:rFonts w:eastAsia="Calibri"/>
          <w:szCs w:val="24"/>
          <w:lang w:val="en-GB"/>
        </w:rPr>
        <w:t>Télécom</w:t>
      </w:r>
      <w:proofErr w:type="spellEnd"/>
      <w:r w:rsidR="00A477B7">
        <w:rPr>
          <w:rFonts w:eastAsia="Calibri"/>
          <w:szCs w:val="24"/>
          <w:lang w:val="en-GB"/>
        </w:rPr>
        <w:t xml:space="preserve"> Côte d'Ivoire; </w:t>
      </w:r>
      <w:proofErr w:type="spellStart"/>
      <w:r w:rsidR="00A477B7">
        <w:rPr>
          <w:rFonts w:eastAsia="Calibri"/>
          <w:szCs w:val="24"/>
          <w:lang w:val="en-GB"/>
        </w:rPr>
        <w:t>SomosGov</w:t>
      </w:r>
      <w:proofErr w:type="spellEnd"/>
      <w:r w:rsidR="00A477B7">
        <w:rPr>
          <w:rFonts w:eastAsia="Calibri"/>
          <w:szCs w:val="24"/>
          <w:lang w:val="en-GB"/>
        </w:rPr>
        <w:t xml:space="preserve"> Inc.; XPERI;</w:t>
      </w:r>
      <w:r w:rsidRPr="00662764">
        <w:rPr>
          <w:rFonts w:eastAsia="Calibri"/>
          <w:szCs w:val="24"/>
          <w:lang w:val="en-GB"/>
        </w:rPr>
        <w:t xml:space="preserve"> Huawei Technologies Düsseldorf GmbH</w:t>
      </w:r>
      <w:r w:rsidR="00A477B7">
        <w:rPr>
          <w:rFonts w:eastAsia="Calibri"/>
          <w:szCs w:val="24"/>
          <w:lang w:val="en-GB"/>
        </w:rPr>
        <w:t>.</w:t>
      </w:r>
    </w:p>
    <w:p w14:paraId="7C5E1871" w14:textId="49581B72" w:rsidR="00C07490" w:rsidRPr="00662764" w:rsidRDefault="00C07490" w:rsidP="00C07490">
      <w:pPr>
        <w:rPr>
          <w:rFonts w:eastAsia="Calibri"/>
          <w:szCs w:val="24"/>
          <w:u w:val="single"/>
          <w:lang w:val="en-GB"/>
        </w:rPr>
      </w:pPr>
      <w:r w:rsidRPr="00662764">
        <w:rPr>
          <w:rFonts w:eastAsia="Calibri"/>
          <w:szCs w:val="24"/>
          <w:u w:val="single"/>
          <w:lang w:val="en-GB"/>
        </w:rPr>
        <w:t xml:space="preserve">New Associates </w:t>
      </w:r>
      <w:r>
        <w:rPr>
          <w:rFonts w:eastAsia="Calibri"/>
          <w:szCs w:val="24"/>
          <w:u w:val="single"/>
          <w:lang w:val="en-GB"/>
        </w:rPr>
        <w:t xml:space="preserve">in </w:t>
      </w:r>
      <w:r w:rsidRPr="00662764">
        <w:rPr>
          <w:rFonts w:eastAsia="Calibri"/>
          <w:szCs w:val="24"/>
          <w:u w:val="single"/>
          <w:lang w:val="en-GB"/>
        </w:rPr>
        <w:t>2019:</w:t>
      </w:r>
    </w:p>
    <w:p w14:paraId="3CCB2811" w14:textId="71FBD04C" w:rsidR="00C07490" w:rsidRPr="00662764" w:rsidRDefault="00A477B7" w:rsidP="00C07490">
      <w:pPr>
        <w:rPr>
          <w:rFonts w:eastAsia="Calibri"/>
          <w:szCs w:val="24"/>
          <w:lang w:val="en-GB"/>
        </w:rPr>
      </w:pPr>
      <w:r>
        <w:rPr>
          <w:rFonts w:eastAsia="Calibri"/>
          <w:szCs w:val="24"/>
          <w:lang w:val="en-GB"/>
        </w:rPr>
        <w:t>Maersk Line A/S (SG2);</w:t>
      </w:r>
      <w:r w:rsidR="00C07490" w:rsidRPr="00662764">
        <w:rPr>
          <w:rFonts w:eastAsia="Calibri"/>
          <w:szCs w:val="24"/>
          <w:lang w:val="en-GB"/>
        </w:rPr>
        <w:t xml:space="preserve"> Vattenfall </w:t>
      </w:r>
      <w:proofErr w:type="spellStart"/>
      <w:r w:rsidR="00C07490" w:rsidRPr="00662764">
        <w:rPr>
          <w:rFonts w:eastAsia="Calibri"/>
          <w:szCs w:val="24"/>
          <w:lang w:val="en-GB"/>
        </w:rPr>
        <w:t>Vindkraft</w:t>
      </w:r>
      <w:proofErr w:type="spellEnd"/>
      <w:r w:rsidR="00C07490" w:rsidRPr="00662764">
        <w:rPr>
          <w:rFonts w:eastAsia="Calibri"/>
          <w:szCs w:val="24"/>
          <w:lang w:val="en-GB"/>
        </w:rPr>
        <w:t xml:space="preserve"> A/S</w:t>
      </w:r>
      <w:r>
        <w:rPr>
          <w:rFonts w:eastAsia="Calibri"/>
          <w:szCs w:val="24"/>
          <w:lang w:val="en-GB"/>
        </w:rPr>
        <w:t xml:space="preserve"> (SG2); </w:t>
      </w:r>
      <w:proofErr w:type="spellStart"/>
      <w:r>
        <w:rPr>
          <w:rFonts w:eastAsia="Calibri"/>
          <w:szCs w:val="24"/>
          <w:lang w:val="en-GB"/>
        </w:rPr>
        <w:t>Clementvale</w:t>
      </w:r>
      <w:proofErr w:type="spellEnd"/>
      <w:r>
        <w:rPr>
          <w:rFonts w:eastAsia="Calibri"/>
          <w:szCs w:val="24"/>
          <w:lang w:val="en-GB"/>
        </w:rPr>
        <w:t xml:space="preserve"> Baltic OÜ (SG2); Bouygues Telecom (SG2); </w:t>
      </w:r>
      <w:proofErr w:type="spellStart"/>
      <w:r>
        <w:rPr>
          <w:rFonts w:eastAsia="Calibri"/>
          <w:szCs w:val="24"/>
          <w:lang w:val="en-GB"/>
        </w:rPr>
        <w:t>Athalos</w:t>
      </w:r>
      <w:proofErr w:type="spellEnd"/>
      <w:r>
        <w:rPr>
          <w:rFonts w:eastAsia="Calibri"/>
          <w:szCs w:val="24"/>
          <w:lang w:val="en-GB"/>
        </w:rPr>
        <w:t xml:space="preserve"> PRS-Telecom (SG2); Tele2 IoT (SG2); </w:t>
      </w:r>
      <w:proofErr w:type="spellStart"/>
      <w:r>
        <w:rPr>
          <w:rFonts w:eastAsia="Calibri"/>
          <w:szCs w:val="24"/>
          <w:lang w:val="en-GB"/>
        </w:rPr>
        <w:t>Phonegroup</w:t>
      </w:r>
      <w:proofErr w:type="spellEnd"/>
      <w:r>
        <w:rPr>
          <w:rFonts w:eastAsia="Calibri"/>
          <w:szCs w:val="24"/>
          <w:lang w:val="en-GB"/>
        </w:rPr>
        <w:t xml:space="preserve"> SA (SG2);</w:t>
      </w:r>
      <w:r w:rsidR="00C07490" w:rsidRPr="00662764">
        <w:rPr>
          <w:rFonts w:eastAsia="Calibri"/>
          <w:szCs w:val="24"/>
          <w:lang w:val="en-GB"/>
        </w:rPr>
        <w:t xml:space="preserve"> Dense Air (SG2)</w:t>
      </w:r>
      <w:r>
        <w:rPr>
          <w:rFonts w:eastAsia="Calibri"/>
          <w:szCs w:val="24"/>
          <w:lang w:val="en-GB"/>
        </w:rPr>
        <w:t xml:space="preserve">; </w:t>
      </w:r>
      <w:proofErr w:type="spellStart"/>
      <w:r>
        <w:rPr>
          <w:rFonts w:eastAsia="Calibri"/>
          <w:szCs w:val="24"/>
          <w:lang w:val="en-GB"/>
        </w:rPr>
        <w:t>Arkessa</w:t>
      </w:r>
      <w:proofErr w:type="spellEnd"/>
      <w:r>
        <w:rPr>
          <w:rFonts w:eastAsia="Calibri"/>
          <w:szCs w:val="24"/>
          <w:lang w:val="en-GB"/>
        </w:rPr>
        <w:t xml:space="preserve"> Limited (SG2); MNF Group Limited (SG2);</w:t>
      </w:r>
      <w:r w:rsidR="00C07490" w:rsidRPr="00662764">
        <w:rPr>
          <w:rFonts w:eastAsia="Calibri"/>
          <w:szCs w:val="24"/>
          <w:lang w:val="en-GB"/>
        </w:rPr>
        <w:t xml:space="preserve"> </w:t>
      </w:r>
      <w:proofErr w:type="spellStart"/>
      <w:r w:rsidR="00C07490" w:rsidRPr="00662764">
        <w:rPr>
          <w:rFonts w:eastAsia="Calibri"/>
          <w:szCs w:val="24"/>
          <w:lang w:val="en-GB"/>
        </w:rPr>
        <w:t>Teli</w:t>
      </w:r>
      <w:r>
        <w:rPr>
          <w:rFonts w:eastAsia="Calibri"/>
          <w:szCs w:val="24"/>
          <w:lang w:val="en-GB"/>
        </w:rPr>
        <w:t>t</w:t>
      </w:r>
      <w:proofErr w:type="spellEnd"/>
      <w:r>
        <w:rPr>
          <w:rFonts w:eastAsia="Calibri"/>
          <w:szCs w:val="24"/>
          <w:lang w:val="en-GB"/>
        </w:rPr>
        <w:t xml:space="preserve"> Wireless Solutions GmbH (SG2); </w:t>
      </w:r>
      <w:proofErr w:type="spellStart"/>
      <w:r>
        <w:rPr>
          <w:rFonts w:eastAsia="Calibri"/>
          <w:szCs w:val="24"/>
          <w:lang w:val="en-GB"/>
        </w:rPr>
        <w:t>MovieLabs</w:t>
      </w:r>
      <w:proofErr w:type="spellEnd"/>
      <w:r>
        <w:rPr>
          <w:rFonts w:eastAsia="Calibri"/>
          <w:szCs w:val="24"/>
          <w:lang w:val="en-GB"/>
        </w:rPr>
        <w:t xml:space="preserve"> (SG9);</w:t>
      </w:r>
      <w:r w:rsidR="00C07490" w:rsidRPr="00662764">
        <w:rPr>
          <w:rFonts w:eastAsia="Calibri"/>
          <w:szCs w:val="24"/>
          <w:lang w:val="en-GB"/>
        </w:rPr>
        <w:t xml:space="preserve"> </w:t>
      </w:r>
      <w:proofErr w:type="spellStart"/>
      <w:r w:rsidR="00C07490" w:rsidRPr="00662764">
        <w:rPr>
          <w:rFonts w:eastAsia="Calibri"/>
          <w:szCs w:val="24"/>
          <w:lang w:val="en-GB"/>
        </w:rPr>
        <w:t>Synamedia</w:t>
      </w:r>
      <w:proofErr w:type="spellEnd"/>
      <w:r w:rsidR="00C07490" w:rsidRPr="00662764">
        <w:rPr>
          <w:rFonts w:eastAsia="Calibri"/>
          <w:szCs w:val="24"/>
          <w:lang w:val="en-GB"/>
        </w:rPr>
        <w:t xml:space="preserve"> (S</w:t>
      </w:r>
      <w:r>
        <w:rPr>
          <w:rFonts w:eastAsia="Calibri"/>
          <w:szCs w:val="24"/>
          <w:lang w:val="en-GB"/>
        </w:rPr>
        <w:t xml:space="preserve">G9); </w:t>
      </w:r>
      <w:proofErr w:type="spellStart"/>
      <w:r>
        <w:rPr>
          <w:rFonts w:eastAsia="Calibri"/>
          <w:szCs w:val="24"/>
          <w:lang w:val="en-GB"/>
        </w:rPr>
        <w:t>Afilias</w:t>
      </w:r>
      <w:proofErr w:type="spellEnd"/>
      <w:r>
        <w:rPr>
          <w:rFonts w:eastAsia="Calibri"/>
          <w:szCs w:val="24"/>
          <w:lang w:val="en-GB"/>
        </w:rPr>
        <w:t xml:space="preserve"> Ltd. (SG11);</w:t>
      </w:r>
      <w:r w:rsidR="00C07490" w:rsidRPr="00662764">
        <w:rPr>
          <w:rFonts w:eastAsia="Calibri"/>
          <w:szCs w:val="24"/>
          <w:lang w:val="en-GB"/>
        </w:rPr>
        <w:t xml:space="preserve"> Advanced Telecommunications Research</w:t>
      </w:r>
      <w:r>
        <w:rPr>
          <w:rFonts w:eastAsia="Calibri"/>
          <w:szCs w:val="24"/>
          <w:lang w:val="en-GB"/>
        </w:rPr>
        <w:t xml:space="preserve"> Institute International (SG11); OpenSignal Limited (SG12);</w:t>
      </w:r>
      <w:r w:rsidR="00C07490" w:rsidRPr="00662764">
        <w:rPr>
          <w:rFonts w:eastAsia="Calibri"/>
          <w:szCs w:val="24"/>
          <w:lang w:val="en-GB"/>
        </w:rPr>
        <w:t xml:space="preserve"> Continenta</w:t>
      </w:r>
      <w:r>
        <w:rPr>
          <w:rFonts w:eastAsia="Calibri"/>
          <w:szCs w:val="24"/>
          <w:lang w:val="en-GB"/>
        </w:rPr>
        <w:t xml:space="preserve">l Automotive Systems Inc.(SG12); Hyundai </w:t>
      </w:r>
      <w:proofErr w:type="spellStart"/>
      <w:r>
        <w:rPr>
          <w:rFonts w:eastAsia="Calibri"/>
          <w:szCs w:val="24"/>
          <w:lang w:val="en-GB"/>
        </w:rPr>
        <w:t>Mobis</w:t>
      </w:r>
      <w:proofErr w:type="spellEnd"/>
      <w:r>
        <w:rPr>
          <w:rFonts w:eastAsia="Calibri"/>
          <w:szCs w:val="24"/>
          <w:lang w:val="en-GB"/>
        </w:rPr>
        <w:t xml:space="preserve"> Co., Ltd. (SG12); </w:t>
      </w:r>
      <w:proofErr w:type="spellStart"/>
      <w:r>
        <w:rPr>
          <w:rFonts w:eastAsia="Calibri"/>
          <w:szCs w:val="24"/>
          <w:lang w:val="en-GB"/>
        </w:rPr>
        <w:t>Dingli</w:t>
      </w:r>
      <w:proofErr w:type="spellEnd"/>
      <w:r>
        <w:rPr>
          <w:rFonts w:eastAsia="Calibri"/>
          <w:szCs w:val="24"/>
          <w:lang w:val="en-GB"/>
        </w:rPr>
        <w:t xml:space="preserve"> Corporation Ltd.(SG12); </w:t>
      </w:r>
      <w:proofErr w:type="spellStart"/>
      <w:r>
        <w:rPr>
          <w:rFonts w:eastAsia="Calibri"/>
          <w:szCs w:val="24"/>
          <w:lang w:val="en-GB"/>
        </w:rPr>
        <w:t>Ookla</w:t>
      </w:r>
      <w:proofErr w:type="spellEnd"/>
      <w:r>
        <w:rPr>
          <w:rFonts w:eastAsia="Calibri"/>
          <w:szCs w:val="24"/>
          <w:lang w:val="en-GB"/>
        </w:rPr>
        <w:t xml:space="preserve"> (SG12);</w:t>
      </w:r>
      <w:r w:rsidR="00C07490" w:rsidRPr="00662764">
        <w:rPr>
          <w:rFonts w:eastAsia="Calibri"/>
          <w:szCs w:val="24"/>
          <w:lang w:val="en-GB"/>
        </w:rPr>
        <w:t xml:space="preserve"> CEZ </w:t>
      </w:r>
      <w:proofErr w:type="spellStart"/>
      <w:r w:rsidR="00C07490" w:rsidRPr="00662764">
        <w:rPr>
          <w:rFonts w:eastAsia="Calibri"/>
          <w:szCs w:val="24"/>
          <w:lang w:val="en-GB"/>
        </w:rPr>
        <w:t>Distribuce</w:t>
      </w:r>
      <w:proofErr w:type="spellEnd"/>
      <w:r w:rsidR="00C07490" w:rsidRPr="00662764">
        <w:rPr>
          <w:rFonts w:eastAsia="Calibri"/>
          <w:szCs w:val="24"/>
          <w:lang w:val="en-GB"/>
        </w:rPr>
        <w:t>,</w:t>
      </w:r>
      <w:r>
        <w:rPr>
          <w:rFonts w:eastAsia="Calibri"/>
          <w:szCs w:val="24"/>
          <w:lang w:val="en-GB"/>
        </w:rPr>
        <w:t xml:space="preserve"> </w:t>
      </w:r>
      <w:proofErr w:type="spellStart"/>
      <w:r>
        <w:rPr>
          <w:rFonts w:eastAsia="Calibri"/>
          <w:szCs w:val="24"/>
          <w:lang w:val="en-GB"/>
        </w:rPr>
        <w:t>a.s.</w:t>
      </w:r>
      <w:proofErr w:type="spellEnd"/>
      <w:r>
        <w:rPr>
          <w:rFonts w:eastAsia="Calibri"/>
          <w:szCs w:val="24"/>
          <w:lang w:val="en-GB"/>
        </w:rPr>
        <w:t>(SG15);</w:t>
      </w:r>
      <w:r w:rsidR="00C07490" w:rsidRPr="00662764">
        <w:rPr>
          <w:rFonts w:eastAsia="Calibri"/>
          <w:szCs w:val="24"/>
          <w:lang w:val="en-GB"/>
        </w:rPr>
        <w:t xml:space="preserve"> Signi</w:t>
      </w:r>
      <w:r>
        <w:rPr>
          <w:rFonts w:eastAsia="Calibri"/>
          <w:szCs w:val="24"/>
          <w:lang w:val="en-GB"/>
        </w:rPr>
        <w:t>fy/Philips, Lighting B.V.(SG15); u-</w:t>
      </w:r>
      <w:proofErr w:type="spellStart"/>
      <w:r>
        <w:rPr>
          <w:rFonts w:eastAsia="Calibri"/>
          <w:szCs w:val="24"/>
          <w:lang w:val="en-GB"/>
        </w:rPr>
        <w:t>blox</w:t>
      </w:r>
      <w:proofErr w:type="spellEnd"/>
      <w:r>
        <w:rPr>
          <w:rFonts w:eastAsia="Calibri"/>
          <w:szCs w:val="24"/>
          <w:lang w:val="en-GB"/>
        </w:rPr>
        <w:t xml:space="preserve"> AG (SG15); IBM (SG15); </w:t>
      </w:r>
      <w:proofErr w:type="spellStart"/>
      <w:r>
        <w:rPr>
          <w:rFonts w:eastAsia="Calibri"/>
          <w:szCs w:val="24"/>
          <w:lang w:val="en-GB"/>
        </w:rPr>
        <w:t>Tibit</w:t>
      </w:r>
      <w:proofErr w:type="spellEnd"/>
      <w:r>
        <w:rPr>
          <w:rFonts w:eastAsia="Calibri"/>
          <w:szCs w:val="24"/>
          <w:lang w:val="en-GB"/>
        </w:rPr>
        <w:t xml:space="preserve"> Communications (SG15); Xilinx Incorporation (SG15); OLEDCOMM (SG15);</w:t>
      </w:r>
      <w:r w:rsidR="00C07490" w:rsidRPr="00662764">
        <w:rPr>
          <w:rFonts w:eastAsia="Calibri"/>
          <w:szCs w:val="24"/>
          <w:lang w:val="en-GB"/>
        </w:rPr>
        <w:t xml:space="preserve"> Men</w:t>
      </w:r>
      <w:r>
        <w:rPr>
          <w:rFonts w:eastAsia="Calibri"/>
          <w:szCs w:val="24"/>
          <w:lang w:val="en-GB"/>
        </w:rPr>
        <w:t>tor Graphics Corporation (SG15);</w:t>
      </w:r>
      <w:r w:rsidR="00C07490" w:rsidRPr="00662764">
        <w:rPr>
          <w:rFonts w:eastAsia="Calibri"/>
          <w:szCs w:val="24"/>
          <w:lang w:val="en-GB"/>
        </w:rPr>
        <w:t xml:space="preserve"> </w:t>
      </w:r>
      <w:proofErr w:type="spellStart"/>
      <w:r w:rsidR="00C07490" w:rsidRPr="00662764">
        <w:rPr>
          <w:rFonts w:eastAsia="Calibri"/>
          <w:szCs w:val="24"/>
          <w:lang w:val="en-GB"/>
        </w:rPr>
        <w:t>VisionVera</w:t>
      </w:r>
      <w:proofErr w:type="spellEnd"/>
      <w:r w:rsidR="00C07490" w:rsidRPr="00662764">
        <w:rPr>
          <w:rFonts w:eastAsia="Calibri"/>
          <w:szCs w:val="24"/>
          <w:lang w:val="en-GB"/>
        </w:rPr>
        <w:t xml:space="preserve"> Informa</w:t>
      </w:r>
      <w:r>
        <w:rPr>
          <w:rFonts w:eastAsia="Calibri"/>
          <w:szCs w:val="24"/>
          <w:lang w:val="en-GB"/>
        </w:rPr>
        <w:t>tion Technology Co. Ltd. (SG16);</w:t>
      </w:r>
      <w:r w:rsidR="00C07490" w:rsidRPr="00662764">
        <w:rPr>
          <w:rFonts w:eastAsia="Calibri"/>
          <w:szCs w:val="24"/>
          <w:lang w:val="en-GB"/>
        </w:rPr>
        <w:t xml:space="preserve"> </w:t>
      </w:r>
      <w:proofErr w:type="spellStart"/>
      <w:r w:rsidR="00C07490" w:rsidRPr="00662764">
        <w:rPr>
          <w:rFonts w:eastAsia="Calibri"/>
          <w:szCs w:val="24"/>
          <w:lang w:val="en-GB"/>
        </w:rPr>
        <w:t>Fondation</w:t>
      </w:r>
      <w:proofErr w:type="spellEnd"/>
      <w:r w:rsidR="00C07490" w:rsidRPr="00662764">
        <w:rPr>
          <w:rFonts w:eastAsia="Calibri"/>
          <w:szCs w:val="24"/>
          <w:lang w:val="en-GB"/>
        </w:rPr>
        <w:t xml:space="preserve"> </w:t>
      </w:r>
      <w:proofErr w:type="spellStart"/>
      <w:r w:rsidR="00C07490" w:rsidRPr="00662764">
        <w:rPr>
          <w:rFonts w:eastAsia="Calibri"/>
          <w:szCs w:val="24"/>
          <w:lang w:val="en-GB"/>
        </w:rPr>
        <w:t>Bo</w:t>
      </w:r>
      <w:r>
        <w:rPr>
          <w:rFonts w:eastAsia="Calibri"/>
          <w:szCs w:val="24"/>
          <w:lang w:val="en-GB"/>
        </w:rPr>
        <w:t>tnar</w:t>
      </w:r>
      <w:proofErr w:type="spellEnd"/>
      <w:r>
        <w:rPr>
          <w:rFonts w:eastAsia="Calibri"/>
          <w:szCs w:val="24"/>
          <w:lang w:val="en-GB"/>
        </w:rPr>
        <w:t xml:space="preserve"> (SG16);</w:t>
      </w:r>
      <w:r w:rsidR="00C07490" w:rsidRPr="00662764">
        <w:rPr>
          <w:rFonts w:eastAsia="Calibri"/>
          <w:szCs w:val="24"/>
          <w:lang w:val="en-GB"/>
        </w:rPr>
        <w:t xml:space="preserve"> Cam</w:t>
      </w:r>
      <w:r>
        <w:rPr>
          <w:rFonts w:eastAsia="Calibri"/>
          <w:szCs w:val="24"/>
          <w:lang w:val="en-GB"/>
        </w:rPr>
        <w:t>bridge Quantum Computing (SG17);</w:t>
      </w:r>
      <w:r w:rsidR="00C07490" w:rsidRPr="00662764">
        <w:rPr>
          <w:rFonts w:eastAsia="Calibri"/>
          <w:szCs w:val="24"/>
          <w:lang w:val="en-GB"/>
        </w:rPr>
        <w:t xml:space="preserve"> Capi</w:t>
      </w:r>
      <w:r>
        <w:rPr>
          <w:rFonts w:eastAsia="Calibri"/>
          <w:szCs w:val="24"/>
          <w:lang w:val="en-GB"/>
        </w:rPr>
        <w:t>tal City Service Limited (SG17); FORTINET Inc. (SG17);</w:t>
      </w:r>
      <w:r w:rsidR="00C07490" w:rsidRPr="00662764">
        <w:rPr>
          <w:rFonts w:eastAsia="Calibri"/>
          <w:szCs w:val="24"/>
          <w:lang w:val="en-GB"/>
        </w:rPr>
        <w:t xml:space="preserve"> System Engineering Research Institute (SG20)</w:t>
      </w:r>
      <w:r>
        <w:rPr>
          <w:rFonts w:eastAsia="Calibri"/>
          <w:szCs w:val="24"/>
          <w:lang w:val="en-GB"/>
        </w:rPr>
        <w:t>.</w:t>
      </w:r>
    </w:p>
    <w:p w14:paraId="58CCDC8E" w14:textId="3253E220" w:rsidR="00C07490" w:rsidRPr="00662764" w:rsidRDefault="00C07490" w:rsidP="00C07490">
      <w:pPr>
        <w:rPr>
          <w:rFonts w:eastAsia="Calibri"/>
          <w:szCs w:val="24"/>
          <w:u w:val="single"/>
          <w:lang w:val="en-GB"/>
        </w:rPr>
      </w:pPr>
      <w:r w:rsidRPr="00662764">
        <w:rPr>
          <w:rFonts w:eastAsia="Calibri"/>
          <w:szCs w:val="24"/>
          <w:u w:val="single"/>
          <w:lang w:val="en-GB"/>
        </w:rPr>
        <w:t xml:space="preserve">New Academia </w:t>
      </w:r>
      <w:r>
        <w:rPr>
          <w:rFonts w:eastAsia="Calibri"/>
          <w:szCs w:val="24"/>
          <w:u w:val="single"/>
          <w:lang w:val="en-GB"/>
        </w:rPr>
        <w:t xml:space="preserve">in </w:t>
      </w:r>
      <w:r w:rsidRPr="00662764">
        <w:rPr>
          <w:rFonts w:eastAsia="Calibri"/>
          <w:szCs w:val="24"/>
          <w:u w:val="single"/>
          <w:lang w:val="en-GB"/>
        </w:rPr>
        <w:t>2019:</w:t>
      </w:r>
    </w:p>
    <w:p w14:paraId="08F80270" w14:textId="0853894D" w:rsidR="00C07490" w:rsidRPr="00662764" w:rsidRDefault="00C07490" w:rsidP="00C07490">
      <w:pPr>
        <w:rPr>
          <w:rFonts w:eastAsia="Calibri"/>
          <w:szCs w:val="24"/>
          <w:lang w:val="en-GB"/>
        </w:rPr>
      </w:pPr>
      <w:r w:rsidRPr="00662764">
        <w:rPr>
          <w:rFonts w:eastAsia="Calibri"/>
          <w:szCs w:val="24"/>
          <w:lang w:val="en-GB"/>
        </w:rPr>
        <w:t>U</w:t>
      </w:r>
      <w:r w:rsidR="00204F07">
        <w:rPr>
          <w:rFonts w:eastAsia="Calibri"/>
          <w:szCs w:val="24"/>
          <w:lang w:val="en-GB"/>
        </w:rPr>
        <w:t xml:space="preserve">niversidad Nacional del </w:t>
      </w:r>
      <w:proofErr w:type="spellStart"/>
      <w:r w:rsidR="00204F07">
        <w:rPr>
          <w:rFonts w:eastAsia="Calibri"/>
          <w:szCs w:val="24"/>
          <w:lang w:val="en-GB"/>
        </w:rPr>
        <w:t>Litoral</w:t>
      </w:r>
      <w:proofErr w:type="spellEnd"/>
      <w:r w:rsidR="00204F07">
        <w:rPr>
          <w:rFonts w:eastAsia="Calibri"/>
          <w:szCs w:val="24"/>
          <w:lang w:val="en-GB"/>
        </w:rPr>
        <w:t>; Concordia University;</w:t>
      </w:r>
      <w:r w:rsidRPr="00662764">
        <w:rPr>
          <w:rFonts w:eastAsia="Calibri"/>
          <w:szCs w:val="24"/>
          <w:lang w:val="en-GB"/>
        </w:rPr>
        <w:t xml:space="preserve"> Mila - </w:t>
      </w:r>
      <w:proofErr w:type="spellStart"/>
      <w:r w:rsidRPr="00662764">
        <w:rPr>
          <w:rFonts w:eastAsia="Calibri"/>
          <w:szCs w:val="24"/>
          <w:lang w:val="en-GB"/>
        </w:rPr>
        <w:t>Institut</w:t>
      </w:r>
      <w:proofErr w:type="spellEnd"/>
      <w:r w:rsidRPr="00662764">
        <w:rPr>
          <w:rFonts w:eastAsia="Calibri"/>
          <w:szCs w:val="24"/>
          <w:lang w:val="en-GB"/>
        </w:rPr>
        <w:t xml:space="preserve"> Québécoi</w:t>
      </w:r>
      <w:r w:rsidR="00204F07">
        <w:rPr>
          <w:rFonts w:eastAsia="Calibri"/>
          <w:szCs w:val="24"/>
          <w:lang w:val="en-GB"/>
        </w:rPr>
        <w:t xml:space="preserve">s </w:t>
      </w:r>
      <w:proofErr w:type="spellStart"/>
      <w:r w:rsidR="00204F07">
        <w:rPr>
          <w:rFonts w:eastAsia="Calibri"/>
          <w:szCs w:val="24"/>
          <w:lang w:val="en-GB"/>
        </w:rPr>
        <w:t>d'Intelligence</w:t>
      </w:r>
      <w:proofErr w:type="spellEnd"/>
      <w:r w:rsidR="00204F07">
        <w:rPr>
          <w:rFonts w:eastAsia="Calibri"/>
          <w:szCs w:val="24"/>
          <w:lang w:val="en-GB"/>
        </w:rPr>
        <w:t xml:space="preserve"> </w:t>
      </w:r>
      <w:proofErr w:type="spellStart"/>
      <w:r w:rsidR="00204F07">
        <w:rPr>
          <w:rFonts w:eastAsia="Calibri"/>
          <w:szCs w:val="24"/>
          <w:lang w:val="en-GB"/>
        </w:rPr>
        <w:t>Artificielle</w:t>
      </w:r>
      <w:proofErr w:type="spellEnd"/>
      <w:r w:rsidR="00204F07">
        <w:rPr>
          <w:rFonts w:eastAsia="Calibri"/>
          <w:szCs w:val="24"/>
          <w:lang w:val="en-GB"/>
        </w:rPr>
        <w:t>;</w:t>
      </w:r>
      <w:r w:rsidRPr="00662764">
        <w:rPr>
          <w:rFonts w:eastAsia="Calibri"/>
          <w:szCs w:val="24"/>
          <w:lang w:val="en-GB"/>
        </w:rPr>
        <w:t xml:space="preserve"> Hong Kong Applied Science and</w:t>
      </w:r>
      <w:r w:rsidR="00204F07">
        <w:rPr>
          <w:rFonts w:eastAsia="Calibri"/>
          <w:szCs w:val="24"/>
          <w:lang w:val="en-GB"/>
        </w:rPr>
        <w:t xml:space="preserve"> Technology Research Institute; Universidad Técnica del Norte; </w:t>
      </w:r>
      <w:proofErr w:type="spellStart"/>
      <w:r w:rsidR="00204F07">
        <w:rPr>
          <w:rFonts w:eastAsia="Calibri"/>
          <w:szCs w:val="24"/>
          <w:lang w:val="en-GB"/>
        </w:rPr>
        <w:t>Institut</w:t>
      </w:r>
      <w:proofErr w:type="spellEnd"/>
      <w:r w:rsidR="00204F07">
        <w:rPr>
          <w:rFonts w:eastAsia="Calibri"/>
          <w:szCs w:val="24"/>
          <w:lang w:val="en-GB"/>
        </w:rPr>
        <w:t xml:space="preserve"> </w:t>
      </w:r>
      <w:proofErr w:type="spellStart"/>
      <w:r w:rsidR="00204F07">
        <w:rPr>
          <w:rFonts w:eastAsia="Calibri"/>
          <w:szCs w:val="24"/>
          <w:lang w:val="en-GB"/>
        </w:rPr>
        <w:t>Scientifique</w:t>
      </w:r>
      <w:proofErr w:type="spellEnd"/>
      <w:r w:rsidR="00204F07">
        <w:rPr>
          <w:rFonts w:eastAsia="Calibri"/>
          <w:szCs w:val="24"/>
          <w:lang w:val="en-GB"/>
        </w:rPr>
        <w:t xml:space="preserve"> </w:t>
      </w:r>
      <w:proofErr w:type="spellStart"/>
      <w:r w:rsidR="00204F07">
        <w:rPr>
          <w:rFonts w:eastAsia="Calibri"/>
          <w:szCs w:val="24"/>
          <w:lang w:val="en-GB"/>
        </w:rPr>
        <w:t>Européen</w:t>
      </w:r>
      <w:proofErr w:type="spellEnd"/>
      <w:r w:rsidR="00204F07">
        <w:rPr>
          <w:rFonts w:eastAsia="Calibri"/>
          <w:szCs w:val="24"/>
          <w:lang w:val="en-GB"/>
        </w:rPr>
        <w:t xml:space="preserve">; </w:t>
      </w:r>
      <w:proofErr w:type="spellStart"/>
      <w:r w:rsidR="00204F07">
        <w:rPr>
          <w:rFonts w:eastAsia="Calibri"/>
          <w:szCs w:val="24"/>
          <w:lang w:val="en-GB"/>
        </w:rPr>
        <w:t>Université</w:t>
      </w:r>
      <w:proofErr w:type="spellEnd"/>
      <w:r w:rsidR="00204F07">
        <w:rPr>
          <w:rFonts w:eastAsia="Calibri"/>
          <w:szCs w:val="24"/>
          <w:lang w:val="en-GB"/>
        </w:rPr>
        <w:t xml:space="preserve"> de Bordeaux; RWTH Aachen University;</w:t>
      </w:r>
      <w:r w:rsidRPr="00662764">
        <w:rPr>
          <w:rFonts w:eastAsia="Calibri"/>
          <w:szCs w:val="24"/>
          <w:lang w:val="en-GB"/>
        </w:rPr>
        <w:t xml:space="preserve"> </w:t>
      </w:r>
      <w:proofErr w:type="spellStart"/>
      <w:r w:rsidRPr="00662764">
        <w:rPr>
          <w:rFonts w:eastAsia="Calibri"/>
          <w:szCs w:val="24"/>
          <w:lang w:val="en-GB"/>
        </w:rPr>
        <w:t>Ilmenau</w:t>
      </w:r>
      <w:proofErr w:type="spellEnd"/>
      <w:r w:rsidRPr="00662764">
        <w:rPr>
          <w:rFonts w:eastAsia="Calibri"/>
          <w:szCs w:val="24"/>
          <w:lang w:val="en-GB"/>
        </w:rPr>
        <w:t xml:space="preserve"> Unive</w:t>
      </w:r>
      <w:r w:rsidR="00204F07">
        <w:rPr>
          <w:rFonts w:eastAsia="Calibri"/>
          <w:szCs w:val="24"/>
          <w:lang w:val="en-GB"/>
        </w:rPr>
        <w:t>rsity of Technology;</w:t>
      </w:r>
      <w:r w:rsidRPr="00662764">
        <w:rPr>
          <w:rFonts w:eastAsia="Calibri"/>
          <w:szCs w:val="24"/>
          <w:lang w:val="en-GB"/>
        </w:rPr>
        <w:t xml:space="preserve"> Centre</w:t>
      </w:r>
      <w:r w:rsidR="00204F07">
        <w:rPr>
          <w:rFonts w:eastAsia="Calibri"/>
          <w:szCs w:val="24"/>
          <w:lang w:val="en-GB"/>
        </w:rPr>
        <w:t xml:space="preserve"> for Development of Telematics;</w:t>
      </w:r>
      <w:r w:rsidR="00302657">
        <w:rPr>
          <w:rFonts w:eastAsia="Calibri"/>
          <w:szCs w:val="24"/>
          <w:lang w:val="en-GB"/>
        </w:rPr>
        <w:t xml:space="preserve"> University </w:t>
      </w:r>
      <w:r w:rsidRPr="00662764">
        <w:rPr>
          <w:rFonts w:eastAsia="Calibri"/>
          <w:szCs w:val="24"/>
          <w:lang w:val="en-GB"/>
        </w:rPr>
        <w:t>of Tehran</w:t>
      </w:r>
      <w:r w:rsidR="00204F07">
        <w:rPr>
          <w:rFonts w:eastAsia="Calibri"/>
          <w:szCs w:val="24"/>
          <w:lang w:val="en-GB"/>
        </w:rPr>
        <w:t>;</w:t>
      </w:r>
      <w:r w:rsidRPr="00662764">
        <w:rPr>
          <w:rFonts w:eastAsia="Calibri"/>
          <w:szCs w:val="24"/>
          <w:lang w:val="en-GB"/>
        </w:rPr>
        <w:t xml:space="preserve"> </w:t>
      </w:r>
      <w:proofErr w:type="spellStart"/>
      <w:r w:rsidRPr="00662764">
        <w:rPr>
          <w:rFonts w:eastAsia="Calibri"/>
          <w:szCs w:val="24"/>
          <w:lang w:val="en-GB"/>
        </w:rPr>
        <w:t>Ami</w:t>
      </w:r>
      <w:r w:rsidR="00204F07">
        <w:rPr>
          <w:rFonts w:eastAsia="Calibri"/>
          <w:szCs w:val="24"/>
          <w:lang w:val="en-GB"/>
        </w:rPr>
        <w:t>rkabir</w:t>
      </w:r>
      <w:proofErr w:type="spellEnd"/>
      <w:r w:rsidR="00204F07">
        <w:rPr>
          <w:rFonts w:eastAsia="Calibri"/>
          <w:szCs w:val="24"/>
          <w:lang w:val="en-GB"/>
        </w:rPr>
        <w:t xml:space="preserve"> University of Technology; </w:t>
      </w:r>
      <w:proofErr w:type="spellStart"/>
      <w:r w:rsidR="00204F07">
        <w:rPr>
          <w:rFonts w:eastAsia="Calibri"/>
          <w:szCs w:val="24"/>
          <w:lang w:val="en-GB"/>
        </w:rPr>
        <w:t>Tarbiat</w:t>
      </w:r>
      <w:proofErr w:type="spellEnd"/>
      <w:r w:rsidR="00204F07">
        <w:rPr>
          <w:rFonts w:eastAsia="Calibri"/>
          <w:szCs w:val="24"/>
          <w:lang w:val="en-GB"/>
        </w:rPr>
        <w:t xml:space="preserve"> </w:t>
      </w:r>
      <w:proofErr w:type="spellStart"/>
      <w:r w:rsidR="00204F07">
        <w:rPr>
          <w:rFonts w:eastAsia="Calibri"/>
          <w:szCs w:val="24"/>
          <w:lang w:val="en-GB"/>
        </w:rPr>
        <w:t>Modares</w:t>
      </w:r>
      <w:proofErr w:type="spellEnd"/>
      <w:r w:rsidR="00204F07">
        <w:rPr>
          <w:rFonts w:eastAsia="Calibri"/>
          <w:szCs w:val="24"/>
          <w:lang w:val="en-GB"/>
        </w:rPr>
        <w:t xml:space="preserve"> University; Tokyo Institute of Technology; Shinshu University; </w:t>
      </w:r>
      <w:r w:rsidRPr="00662764">
        <w:rPr>
          <w:rFonts w:eastAsia="Calibri"/>
          <w:szCs w:val="24"/>
          <w:lang w:val="en-GB"/>
        </w:rPr>
        <w:t>Arab States Resear</w:t>
      </w:r>
      <w:r w:rsidR="00204F07">
        <w:rPr>
          <w:rFonts w:eastAsia="Calibri"/>
          <w:szCs w:val="24"/>
          <w:lang w:val="en-GB"/>
        </w:rPr>
        <w:t>ch and Education Network; Nazarbayev University;</w:t>
      </w:r>
      <w:r w:rsidRPr="00662764">
        <w:rPr>
          <w:rFonts w:eastAsia="Calibri"/>
          <w:szCs w:val="24"/>
          <w:lang w:val="en-GB"/>
        </w:rPr>
        <w:t xml:space="preserve"> Smart Quantum Communi</w:t>
      </w:r>
      <w:r w:rsidR="00204F07">
        <w:rPr>
          <w:rFonts w:eastAsia="Calibri"/>
          <w:szCs w:val="24"/>
          <w:lang w:val="en-GB"/>
        </w:rPr>
        <w:t>cation ITRC (Korea University); Hamad Bin Khalifa University;</w:t>
      </w:r>
      <w:r w:rsidRPr="00662764">
        <w:rPr>
          <w:rFonts w:eastAsia="Calibri"/>
          <w:szCs w:val="24"/>
          <w:lang w:val="en-GB"/>
        </w:rPr>
        <w:t xml:space="preserve"> The University </w:t>
      </w:r>
      <w:r w:rsidR="00204F07">
        <w:rPr>
          <w:rFonts w:eastAsia="Calibri"/>
          <w:szCs w:val="24"/>
          <w:lang w:val="en-GB"/>
        </w:rPr>
        <w:lastRenderedPageBreak/>
        <w:t>of Dodoma;</w:t>
      </w:r>
      <w:r w:rsidRPr="00662764">
        <w:rPr>
          <w:rFonts w:eastAsia="Calibri"/>
          <w:szCs w:val="24"/>
          <w:lang w:val="en-GB"/>
        </w:rPr>
        <w:t xml:space="preserve"> University of </w:t>
      </w:r>
      <w:r w:rsidR="00204F07">
        <w:rPr>
          <w:rFonts w:eastAsia="Calibri"/>
          <w:szCs w:val="24"/>
          <w:lang w:val="en-GB"/>
        </w:rPr>
        <w:t>California Irvine School of Law;</w:t>
      </w:r>
      <w:r w:rsidRPr="00662764">
        <w:rPr>
          <w:rFonts w:eastAsia="Calibri"/>
          <w:szCs w:val="24"/>
          <w:lang w:val="en-GB"/>
        </w:rPr>
        <w:t xml:space="preserve"> University of Surrey Institut</w:t>
      </w:r>
      <w:r w:rsidR="00204F07">
        <w:rPr>
          <w:rFonts w:eastAsia="Calibri"/>
          <w:szCs w:val="24"/>
          <w:lang w:val="en-GB"/>
        </w:rPr>
        <w:t>e for Communication Systems;</w:t>
      </w:r>
      <w:r w:rsidRPr="00662764">
        <w:rPr>
          <w:rFonts w:eastAsia="Calibri"/>
          <w:szCs w:val="24"/>
          <w:lang w:val="en-GB"/>
        </w:rPr>
        <w:t xml:space="preserve"> University of Bristol</w:t>
      </w:r>
      <w:r>
        <w:rPr>
          <w:rFonts w:eastAsia="Calibri"/>
          <w:szCs w:val="24"/>
          <w:lang w:val="en-GB"/>
        </w:rPr>
        <w:t>.</w:t>
      </w:r>
    </w:p>
    <w:p w14:paraId="2D8236FD" w14:textId="042223BC" w:rsidR="00C07490" w:rsidRPr="00662764" w:rsidRDefault="00C07490" w:rsidP="00C07490">
      <w:pPr>
        <w:rPr>
          <w:rFonts w:eastAsia="Calibri"/>
          <w:b/>
          <w:szCs w:val="24"/>
          <w:lang w:val="en-GB"/>
        </w:rPr>
      </w:pPr>
      <w:r w:rsidRPr="00662764">
        <w:rPr>
          <w:rFonts w:eastAsia="Calibri"/>
          <w:b/>
          <w:szCs w:val="24"/>
          <w:lang w:val="en-GB"/>
        </w:rPr>
        <w:t>Total ITU-T Sector Members, Associates and Academia (31 December 2006 – 31 December 2019):</w:t>
      </w:r>
    </w:p>
    <w:p w14:paraId="2CC1A336" w14:textId="5DC9B70C" w:rsidR="00C07490" w:rsidRPr="00662764" w:rsidRDefault="00C07490" w:rsidP="00C07490">
      <w:pPr>
        <w:rPr>
          <w:rFonts w:eastAsia="Calibri"/>
          <w:szCs w:val="24"/>
          <w:lang w:val="en-GB"/>
        </w:rPr>
      </w:pPr>
      <w:r w:rsidRPr="00C07490">
        <w:rPr>
          <w:rFonts w:eastAsia="Calibri"/>
          <w:szCs w:val="24"/>
          <w:lang w:val="en-GB"/>
        </w:rPr>
        <w:t xml:space="preserve">The following table and figure </w:t>
      </w:r>
      <w:r>
        <w:rPr>
          <w:rFonts w:eastAsia="Calibri"/>
          <w:szCs w:val="24"/>
          <w:lang w:val="en-GB"/>
        </w:rPr>
        <w:t xml:space="preserve">illustrate the evolution of </w:t>
      </w:r>
      <w:r w:rsidRPr="00C07490">
        <w:rPr>
          <w:rFonts w:eastAsia="Calibri"/>
          <w:szCs w:val="24"/>
          <w:lang w:val="en-GB"/>
        </w:rPr>
        <w:t xml:space="preserve">ITU-T membership from 31 December 2006 to 31 </w:t>
      </w:r>
      <w:r>
        <w:rPr>
          <w:rFonts w:eastAsia="Calibri"/>
          <w:szCs w:val="24"/>
          <w:lang w:val="en-GB"/>
        </w:rPr>
        <w:t xml:space="preserve">December </w:t>
      </w:r>
      <w:r w:rsidRPr="00C07490">
        <w:rPr>
          <w:rFonts w:eastAsia="Calibri"/>
          <w:szCs w:val="24"/>
          <w:lang w:val="en-GB"/>
        </w:rPr>
        <w:t>2019 (noting that the Academia membership category opened in 2011).</w:t>
      </w:r>
    </w:p>
    <w:p w14:paraId="77845981" w14:textId="77777777" w:rsidR="00C07490" w:rsidRPr="00662764" w:rsidRDefault="00C07490" w:rsidP="00C07490">
      <w:pPr>
        <w:rPr>
          <w:rFonts w:eastAsia="Calibri"/>
          <w:b/>
          <w:szCs w:val="24"/>
          <w:lang w:val="en-GB"/>
        </w:rPr>
      </w:pPr>
      <w:r w:rsidRPr="00662764">
        <w:rPr>
          <w:rFonts w:eastAsia="Calibri"/>
          <w:b/>
          <w:szCs w:val="24"/>
          <w:lang w:val="en-GB"/>
        </w:rPr>
        <w:t>Table 1: Evolution of ITU-T membership from 31 December 2006 to 31 December 2019</w:t>
      </w:r>
    </w:p>
    <w:p w14:paraId="2B6AA2A6" w14:textId="77777777" w:rsidR="00C07490" w:rsidRPr="00662764" w:rsidRDefault="00C07490" w:rsidP="00C07490">
      <w:pPr>
        <w:rPr>
          <w:rFonts w:eastAsia="Calibri"/>
          <w:szCs w:val="24"/>
          <w:lang w:val="en-GB"/>
        </w:rPr>
      </w:pPr>
    </w:p>
    <w:tbl>
      <w:tblPr>
        <w:tblW w:w="9781" w:type="dxa"/>
        <w:jc w:val="center"/>
        <w:tblCellMar>
          <w:left w:w="0" w:type="dxa"/>
          <w:right w:w="0" w:type="dxa"/>
        </w:tblCellMar>
        <w:tblLook w:val="04A0" w:firstRow="1" w:lastRow="0" w:firstColumn="1" w:lastColumn="0" w:noHBand="0" w:noVBand="1"/>
      </w:tblPr>
      <w:tblGrid>
        <w:gridCol w:w="1243"/>
        <w:gridCol w:w="696"/>
        <w:gridCol w:w="500"/>
        <w:gridCol w:w="696"/>
        <w:gridCol w:w="696"/>
        <w:gridCol w:w="696"/>
        <w:gridCol w:w="696"/>
        <w:gridCol w:w="696"/>
        <w:gridCol w:w="696"/>
        <w:gridCol w:w="696"/>
        <w:gridCol w:w="696"/>
        <w:gridCol w:w="696"/>
        <w:gridCol w:w="696"/>
        <w:gridCol w:w="510"/>
        <w:gridCol w:w="510"/>
      </w:tblGrid>
      <w:tr w:rsidR="00C07490" w:rsidRPr="00C07490" w14:paraId="00BF6A54" w14:textId="77777777" w:rsidTr="00C07490">
        <w:trPr>
          <w:tblHeader/>
          <w:jc w:val="center"/>
        </w:trPr>
        <w:tc>
          <w:tcPr>
            <w:tcW w:w="1274" w:type="dxa"/>
            <w:tcBorders>
              <w:top w:val="nil"/>
              <w:left w:val="nil"/>
              <w:bottom w:val="single" w:sz="12" w:space="0" w:color="auto"/>
              <w:right w:val="single" w:sz="12" w:space="0" w:color="auto"/>
            </w:tcBorders>
            <w:tcMar>
              <w:top w:w="0" w:type="dxa"/>
              <w:left w:w="108" w:type="dxa"/>
              <w:bottom w:w="0" w:type="dxa"/>
              <w:right w:w="108" w:type="dxa"/>
            </w:tcMar>
            <w:hideMark/>
          </w:tcPr>
          <w:p w14:paraId="34EE8CA7" w14:textId="77777777" w:rsidR="00C07490" w:rsidRPr="00662764" w:rsidRDefault="00C07490" w:rsidP="00C07490">
            <w:pPr>
              <w:rPr>
                <w:rFonts w:eastAsia="Calibri"/>
                <w:szCs w:val="24"/>
                <w:lang w:val="en-GB"/>
              </w:rPr>
            </w:pPr>
          </w:p>
        </w:tc>
        <w:tc>
          <w:tcPr>
            <w:tcW w:w="617"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3E96AE0C" w14:textId="77777777" w:rsidR="00C07490" w:rsidRPr="00662764" w:rsidRDefault="00C07490" w:rsidP="00C07490">
            <w:pPr>
              <w:rPr>
                <w:rFonts w:eastAsia="Calibri"/>
                <w:b/>
                <w:bCs/>
                <w:szCs w:val="24"/>
                <w:lang w:val="en-GB"/>
              </w:rPr>
            </w:pPr>
            <w:r w:rsidRPr="00662764">
              <w:rPr>
                <w:rFonts w:eastAsia="Calibri"/>
                <w:b/>
                <w:bCs/>
                <w:szCs w:val="24"/>
                <w:lang w:val="en-GB"/>
              </w:rPr>
              <w:t>2006</w:t>
            </w:r>
          </w:p>
        </w:tc>
        <w:tc>
          <w:tcPr>
            <w:tcW w:w="516" w:type="dxa"/>
            <w:tcBorders>
              <w:top w:val="single" w:sz="12" w:space="0" w:color="auto"/>
              <w:left w:val="nil"/>
              <w:bottom w:val="single" w:sz="12" w:space="0" w:color="auto"/>
              <w:right w:val="single" w:sz="8" w:space="0" w:color="auto"/>
            </w:tcBorders>
            <w:hideMark/>
          </w:tcPr>
          <w:p w14:paraId="359FD1DC" w14:textId="77777777" w:rsidR="00C07490" w:rsidRPr="00662764" w:rsidRDefault="00C07490" w:rsidP="00C07490">
            <w:pPr>
              <w:rPr>
                <w:rFonts w:eastAsia="Calibri"/>
                <w:b/>
                <w:bCs/>
                <w:szCs w:val="24"/>
                <w:lang w:val="en-GB"/>
              </w:rPr>
            </w:pPr>
            <w:r w:rsidRPr="00662764">
              <w:rPr>
                <w:rFonts w:eastAsia="Calibri"/>
                <w:b/>
                <w:bCs/>
                <w:szCs w:val="24"/>
                <w:lang w:val="en-GB"/>
              </w:rPr>
              <w:t>2007</w:t>
            </w:r>
          </w:p>
        </w:tc>
        <w:tc>
          <w:tcPr>
            <w:tcW w:w="627"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F42B40C" w14:textId="77777777" w:rsidR="00C07490" w:rsidRPr="00662764" w:rsidRDefault="00C07490" w:rsidP="00C07490">
            <w:pPr>
              <w:rPr>
                <w:rFonts w:eastAsia="Calibri"/>
                <w:b/>
                <w:bCs/>
                <w:szCs w:val="24"/>
                <w:lang w:val="en-GB"/>
              </w:rPr>
            </w:pPr>
            <w:r w:rsidRPr="00662764">
              <w:rPr>
                <w:rFonts w:eastAsia="Calibri"/>
                <w:b/>
                <w:bCs/>
                <w:szCs w:val="24"/>
                <w:lang w:val="en-GB"/>
              </w:rPr>
              <w:t>2008</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D020301" w14:textId="77777777" w:rsidR="00C07490" w:rsidRPr="00662764" w:rsidRDefault="00C07490" w:rsidP="00C07490">
            <w:pPr>
              <w:rPr>
                <w:rFonts w:eastAsia="Calibri"/>
                <w:b/>
                <w:bCs/>
                <w:szCs w:val="24"/>
                <w:lang w:val="en-GB"/>
              </w:rPr>
            </w:pPr>
            <w:r w:rsidRPr="00662764">
              <w:rPr>
                <w:rFonts w:eastAsia="Calibri"/>
                <w:b/>
                <w:bCs/>
                <w:szCs w:val="24"/>
                <w:lang w:val="en-GB"/>
              </w:rPr>
              <w:t>2009</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613A249D" w14:textId="77777777" w:rsidR="00C07490" w:rsidRPr="00662764" w:rsidRDefault="00C07490" w:rsidP="00C07490">
            <w:pPr>
              <w:rPr>
                <w:rFonts w:eastAsia="Calibri"/>
                <w:b/>
                <w:bCs/>
                <w:szCs w:val="24"/>
                <w:lang w:val="en-GB"/>
              </w:rPr>
            </w:pPr>
            <w:r w:rsidRPr="00662764">
              <w:rPr>
                <w:rFonts w:eastAsia="Calibri"/>
                <w:b/>
                <w:bCs/>
                <w:szCs w:val="24"/>
                <w:lang w:val="en-GB"/>
              </w:rPr>
              <w:t>2010</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0E9B806B" w14:textId="77777777" w:rsidR="00C07490" w:rsidRPr="00662764" w:rsidRDefault="00C07490" w:rsidP="00C07490">
            <w:pPr>
              <w:rPr>
                <w:rFonts w:eastAsia="Calibri"/>
                <w:b/>
                <w:bCs/>
                <w:szCs w:val="24"/>
                <w:lang w:val="en-GB"/>
              </w:rPr>
            </w:pPr>
            <w:r w:rsidRPr="00662764">
              <w:rPr>
                <w:rFonts w:eastAsia="Calibri"/>
                <w:b/>
                <w:bCs/>
                <w:szCs w:val="24"/>
                <w:lang w:val="en-GB"/>
              </w:rPr>
              <w:t>2011</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7E9A3321" w14:textId="77777777" w:rsidR="00C07490" w:rsidRPr="00662764" w:rsidRDefault="00C07490" w:rsidP="00C07490">
            <w:pPr>
              <w:rPr>
                <w:rFonts w:eastAsia="Calibri"/>
                <w:b/>
                <w:bCs/>
                <w:szCs w:val="24"/>
                <w:lang w:val="en-GB"/>
              </w:rPr>
            </w:pPr>
            <w:r w:rsidRPr="00662764">
              <w:rPr>
                <w:rFonts w:eastAsia="Calibri"/>
                <w:b/>
                <w:bCs/>
                <w:szCs w:val="24"/>
                <w:lang w:val="en-GB"/>
              </w:rPr>
              <w:t>2012</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7CA863E8" w14:textId="77777777" w:rsidR="00C07490" w:rsidRPr="00662764" w:rsidRDefault="00C07490" w:rsidP="00C07490">
            <w:pPr>
              <w:rPr>
                <w:rFonts w:eastAsia="Calibri"/>
                <w:b/>
                <w:bCs/>
                <w:szCs w:val="24"/>
                <w:lang w:val="en-GB"/>
              </w:rPr>
            </w:pPr>
            <w:r w:rsidRPr="00662764">
              <w:rPr>
                <w:rFonts w:eastAsia="Calibri"/>
                <w:b/>
                <w:bCs/>
                <w:szCs w:val="24"/>
                <w:lang w:val="en-GB"/>
              </w:rPr>
              <w:t>2013</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630DC346" w14:textId="77777777" w:rsidR="00C07490" w:rsidRPr="00662764" w:rsidRDefault="00C07490" w:rsidP="00C07490">
            <w:pPr>
              <w:rPr>
                <w:rFonts w:eastAsia="Calibri"/>
                <w:b/>
                <w:bCs/>
                <w:szCs w:val="24"/>
                <w:lang w:val="en-GB"/>
              </w:rPr>
            </w:pPr>
            <w:r w:rsidRPr="00662764">
              <w:rPr>
                <w:rFonts w:eastAsia="Calibri"/>
                <w:b/>
                <w:bCs/>
                <w:szCs w:val="24"/>
                <w:lang w:val="en-GB"/>
              </w:rPr>
              <w:t>2014</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22094859" w14:textId="77777777" w:rsidR="00C07490" w:rsidRPr="00662764" w:rsidRDefault="00C07490" w:rsidP="00C07490">
            <w:pPr>
              <w:rPr>
                <w:rFonts w:eastAsia="Calibri"/>
                <w:b/>
                <w:bCs/>
                <w:szCs w:val="24"/>
                <w:lang w:val="en-GB"/>
              </w:rPr>
            </w:pPr>
            <w:r w:rsidRPr="00662764">
              <w:rPr>
                <w:rFonts w:eastAsia="Calibri"/>
                <w:b/>
                <w:bCs/>
                <w:szCs w:val="24"/>
                <w:lang w:val="en-GB"/>
              </w:rPr>
              <w:t>2015</w:t>
            </w:r>
          </w:p>
        </w:tc>
        <w:tc>
          <w:tcPr>
            <w:tcW w:w="628"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592931BB" w14:textId="77777777" w:rsidR="00C07490" w:rsidRPr="00662764" w:rsidRDefault="00C07490" w:rsidP="00C07490">
            <w:pPr>
              <w:rPr>
                <w:rFonts w:eastAsia="Calibri"/>
                <w:b/>
                <w:bCs/>
                <w:szCs w:val="24"/>
                <w:lang w:val="en-GB"/>
              </w:rPr>
            </w:pPr>
            <w:r w:rsidRPr="00662764">
              <w:rPr>
                <w:rFonts w:eastAsia="Calibri"/>
                <w:b/>
                <w:bCs/>
                <w:szCs w:val="24"/>
                <w:lang w:val="en-GB"/>
              </w:rPr>
              <w:t>2016</w:t>
            </w:r>
          </w:p>
        </w:tc>
        <w:tc>
          <w:tcPr>
            <w:tcW w:w="628"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1C65C401" w14:textId="77777777" w:rsidR="00C07490" w:rsidRPr="00662764" w:rsidRDefault="00C07490" w:rsidP="00C07490">
            <w:pPr>
              <w:rPr>
                <w:rFonts w:eastAsia="Calibri"/>
                <w:b/>
                <w:bCs/>
                <w:szCs w:val="24"/>
                <w:lang w:val="en-GB"/>
              </w:rPr>
            </w:pPr>
            <w:r w:rsidRPr="00662764">
              <w:rPr>
                <w:rFonts w:eastAsia="Calibri"/>
                <w:b/>
                <w:bCs/>
                <w:szCs w:val="24"/>
                <w:lang w:val="en-GB"/>
              </w:rPr>
              <w:t>2017</w:t>
            </w:r>
          </w:p>
        </w:tc>
        <w:tc>
          <w:tcPr>
            <w:tcW w:w="498" w:type="dxa"/>
            <w:tcBorders>
              <w:top w:val="single" w:sz="12" w:space="0" w:color="auto"/>
              <w:left w:val="nil"/>
              <w:bottom w:val="single" w:sz="12" w:space="0" w:color="auto"/>
              <w:right w:val="single" w:sz="12" w:space="0" w:color="auto"/>
            </w:tcBorders>
            <w:hideMark/>
          </w:tcPr>
          <w:p w14:paraId="071D1184" w14:textId="77777777" w:rsidR="00C07490" w:rsidRPr="00662764" w:rsidRDefault="00C07490" w:rsidP="00C07490">
            <w:pPr>
              <w:rPr>
                <w:rFonts w:eastAsia="Calibri"/>
                <w:b/>
                <w:bCs/>
                <w:szCs w:val="24"/>
                <w:lang w:val="en-GB"/>
              </w:rPr>
            </w:pPr>
            <w:r w:rsidRPr="00662764">
              <w:rPr>
                <w:rFonts w:eastAsia="Calibri"/>
                <w:b/>
                <w:bCs/>
                <w:szCs w:val="24"/>
                <w:lang w:val="en-GB"/>
              </w:rPr>
              <w:t>2018</w:t>
            </w:r>
          </w:p>
        </w:tc>
        <w:tc>
          <w:tcPr>
            <w:tcW w:w="597" w:type="dxa"/>
            <w:tcBorders>
              <w:top w:val="single" w:sz="12" w:space="0" w:color="auto"/>
              <w:left w:val="nil"/>
              <w:bottom w:val="single" w:sz="12" w:space="0" w:color="auto"/>
              <w:right w:val="single" w:sz="12" w:space="0" w:color="auto"/>
            </w:tcBorders>
            <w:hideMark/>
          </w:tcPr>
          <w:p w14:paraId="01359C72" w14:textId="77777777" w:rsidR="00C07490" w:rsidRPr="00662764" w:rsidRDefault="00C07490" w:rsidP="00C07490">
            <w:pPr>
              <w:rPr>
                <w:rFonts w:eastAsia="Calibri"/>
                <w:b/>
                <w:bCs/>
                <w:szCs w:val="24"/>
                <w:lang w:val="en-GB"/>
              </w:rPr>
            </w:pPr>
            <w:r w:rsidRPr="00662764">
              <w:rPr>
                <w:rFonts w:eastAsia="Calibri"/>
                <w:b/>
                <w:bCs/>
                <w:szCs w:val="24"/>
                <w:lang w:val="en-GB"/>
              </w:rPr>
              <w:t>2019</w:t>
            </w:r>
          </w:p>
        </w:tc>
      </w:tr>
      <w:tr w:rsidR="00C07490" w:rsidRPr="00C07490" w14:paraId="525E495F" w14:textId="77777777" w:rsidTr="00C07490">
        <w:trPr>
          <w:jc w:val="center"/>
        </w:trPr>
        <w:tc>
          <w:tcPr>
            <w:tcW w:w="1274"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A5ED2BC" w14:textId="77777777" w:rsidR="00C07490" w:rsidRPr="00662764" w:rsidRDefault="00C07490" w:rsidP="00C07490">
            <w:pPr>
              <w:rPr>
                <w:rFonts w:eastAsia="Calibri"/>
                <w:szCs w:val="24"/>
                <w:lang w:val="en-GB"/>
              </w:rPr>
            </w:pPr>
            <w:r w:rsidRPr="00662764">
              <w:rPr>
                <w:rFonts w:eastAsia="Calibri"/>
                <w:szCs w:val="24"/>
                <w:lang w:val="en-GB"/>
              </w:rPr>
              <w:t>Sector Members</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32C760CE" w14:textId="77777777" w:rsidR="00C07490" w:rsidRPr="00662764" w:rsidRDefault="00C07490" w:rsidP="00C07490">
            <w:pPr>
              <w:rPr>
                <w:rFonts w:eastAsia="Calibri"/>
                <w:szCs w:val="24"/>
                <w:lang w:val="en-GB"/>
              </w:rPr>
            </w:pPr>
            <w:r w:rsidRPr="00662764">
              <w:rPr>
                <w:rFonts w:eastAsia="Calibri"/>
                <w:szCs w:val="24"/>
                <w:lang w:val="en-GB"/>
              </w:rPr>
              <w:t>344</w:t>
            </w:r>
          </w:p>
        </w:tc>
        <w:tc>
          <w:tcPr>
            <w:tcW w:w="516" w:type="dxa"/>
            <w:tcBorders>
              <w:top w:val="nil"/>
              <w:left w:val="nil"/>
              <w:bottom w:val="single" w:sz="8" w:space="0" w:color="auto"/>
              <w:right w:val="single" w:sz="8" w:space="0" w:color="auto"/>
            </w:tcBorders>
            <w:hideMark/>
          </w:tcPr>
          <w:p w14:paraId="25D99CA6" w14:textId="77777777" w:rsidR="00C07490" w:rsidRPr="00662764" w:rsidRDefault="00C07490" w:rsidP="00C07490">
            <w:pPr>
              <w:rPr>
                <w:rFonts w:eastAsia="Calibri"/>
                <w:szCs w:val="24"/>
                <w:lang w:val="en-GB"/>
              </w:rPr>
            </w:pPr>
            <w:r w:rsidRPr="00662764">
              <w:rPr>
                <w:rFonts w:eastAsia="Calibri"/>
                <w:szCs w:val="24"/>
                <w:lang w:val="en-GB"/>
              </w:rPr>
              <w:t>314</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285B4FAB" w14:textId="77777777" w:rsidR="00C07490" w:rsidRPr="00662764" w:rsidRDefault="00C07490" w:rsidP="00C07490">
            <w:pPr>
              <w:rPr>
                <w:rFonts w:eastAsia="Calibri"/>
                <w:szCs w:val="24"/>
                <w:lang w:val="en-GB"/>
              </w:rPr>
            </w:pPr>
            <w:r w:rsidRPr="00662764">
              <w:rPr>
                <w:rFonts w:eastAsia="Calibri"/>
                <w:szCs w:val="24"/>
                <w:lang w:val="en-GB"/>
              </w:rPr>
              <w:t>309</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20C11E9" w14:textId="77777777" w:rsidR="00C07490" w:rsidRPr="00662764" w:rsidRDefault="00C07490" w:rsidP="00C07490">
            <w:pPr>
              <w:rPr>
                <w:rFonts w:eastAsia="Calibri"/>
                <w:szCs w:val="24"/>
                <w:lang w:val="en-GB"/>
              </w:rPr>
            </w:pPr>
            <w:r w:rsidRPr="00662764">
              <w:rPr>
                <w:rFonts w:eastAsia="Calibri"/>
                <w:szCs w:val="24"/>
                <w:lang w:val="en-GB"/>
              </w:rPr>
              <w:t>294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417F9BA" w14:textId="77777777" w:rsidR="00C07490" w:rsidRPr="00662764" w:rsidRDefault="00C07490" w:rsidP="00C07490">
            <w:pPr>
              <w:rPr>
                <w:rFonts w:eastAsia="Calibri"/>
                <w:szCs w:val="24"/>
                <w:lang w:val="en-GB"/>
              </w:rPr>
            </w:pPr>
            <w:r w:rsidRPr="00662764">
              <w:rPr>
                <w:rFonts w:eastAsia="Calibri"/>
                <w:szCs w:val="24"/>
                <w:lang w:val="en-GB"/>
              </w:rPr>
              <w:t>273</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16D4257F" w14:textId="77777777" w:rsidR="00C07490" w:rsidRPr="00662764" w:rsidRDefault="00C07490" w:rsidP="00C07490">
            <w:pPr>
              <w:rPr>
                <w:rFonts w:eastAsia="Calibri"/>
                <w:szCs w:val="24"/>
                <w:lang w:val="en-GB"/>
              </w:rPr>
            </w:pPr>
            <w:r w:rsidRPr="00662764">
              <w:rPr>
                <w:rFonts w:eastAsia="Calibri"/>
                <w:szCs w:val="24"/>
                <w:lang w:val="en-GB"/>
              </w:rPr>
              <w:t>271</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63AF3334" w14:textId="77777777" w:rsidR="00C07490" w:rsidRPr="00662764" w:rsidRDefault="00C07490" w:rsidP="00C07490">
            <w:pPr>
              <w:rPr>
                <w:rFonts w:eastAsia="Calibri"/>
                <w:szCs w:val="24"/>
                <w:lang w:val="en-GB"/>
              </w:rPr>
            </w:pPr>
            <w:r w:rsidRPr="00662764">
              <w:rPr>
                <w:rFonts w:eastAsia="Calibri"/>
                <w:szCs w:val="24"/>
                <w:lang w:val="en-GB"/>
              </w:rPr>
              <w:t>278</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34C4953" w14:textId="77777777" w:rsidR="00C07490" w:rsidRPr="00662764" w:rsidRDefault="00C07490" w:rsidP="00C07490">
            <w:pPr>
              <w:rPr>
                <w:rFonts w:eastAsia="Calibri"/>
                <w:szCs w:val="24"/>
                <w:lang w:val="en-GB"/>
              </w:rPr>
            </w:pPr>
            <w:r w:rsidRPr="00662764">
              <w:rPr>
                <w:rFonts w:eastAsia="Calibri"/>
                <w:szCs w:val="24"/>
                <w:lang w:val="en-GB"/>
              </w:rPr>
              <w:t>284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0A5E386" w14:textId="77777777" w:rsidR="00C07490" w:rsidRPr="00662764" w:rsidRDefault="00C07490" w:rsidP="00C07490">
            <w:pPr>
              <w:rPr>
                <w:rFonts w:eastAsia="Calibri"/>
                <w:szCs w:val="24"/>
                <w:lang w:val="en-GB"/>
              </w:rPr>
            </w:pPr>
            <w:r w:rsidRPr="00662764">
              <w:rPr>
                <w:rFonts w:eastAsia="Calibri"/>
                <w:szCs w:val="24"/>
                <w:lang w:val="en-GB"/>
              </w:rPr>
              <w:t>274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67165482" w14:textId="77777777" w:rsidR="00C07490" w:rsidRPr="00662764" w:rsidRDefault="00C07490" w:rsidP="00C07490">
            <w:pPr>
              <w:rPr>
                <w:rFonts w:eastAsia="Calibri"/>
                <w:szCs w:val="24"/>
                <w:lang w:val="en-GB"/>
              </w:rPr>
            </w:pPr>
            <w:r w:rsidRPr="00662764">
              <w:rPr>
                <w:rFonts w:eastAsia="Calibri"/>
                <w:szCs w:val="24"/>
                <w:lang w:val="en-GB"/>
              </w:rPr>
              <w:t>267</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EB4EE58" w14:textId="77777777" w:rsidR="00C07490" w:rsidRPr="00662764" w:rsidRDefault="00C07490" w:rsidP="00C07490">
            <w:pPr>
              <w:rPr>
                <w:rFonts w:eastAsia="Calibri"/>
                <w:szCs w:val="24"/>
                <w:lang w:val="en-GB"/>
              </w:rPr>
            </w:pPr>
            <w:r w:rsidRPr="00662764">
              <w:rPr>
                <w:rFonts w:eastAsia="Calibri"/>
                <w:szCs w:val="24"/>
                <w:lang w:val="en-GB"/>
              </w:rPr>
              <w:t>254</w:t>
            </w:r>
          </w:p>
        </w:tc>
        <w:tc>
          <w:tcPr>
            <w:tcW w:w="628" w:type="dxa"/>
            <w:tcBorders>
              <w:top w:val="nil"/>
              <w:left w:val="nil"/>
              <w:bottom w:val="single" w:sz="8" w:space="0" w:color="auto"/>
              <w:right w:val="single" w:sz="12" w:space="0" w:color="auto"/>
            </w:tcBorders>
            <w:tcMar>
              <w:top w:w="0" w:type="dxa"/>
              <w:left w:w="108" w:type="dxa"/>
              <w:bottom w:w="0" w:type="dxa"/>
              <w:right w:w="108" w:type="dxa"/>
            </w:tcMar>
            <w:hideMark/>
          </w:tcPr>
          <w:p w14:paraId="5E288E1E" w14:textId="02EA70F1" w:rsidR="00C07490" w:rsidRPr="00662764" w:rsidRDefault="00C07490" w:rsidP="00302657">
            <w:pPr>
              <w:jc w:val="center"/>
              <w:rPr>
                <w:rFonts w:eastAsia="Calibri"/>
                <w:szCs w:val="24"/>
                <w:lang w:val="en-GB"/>
              </w:rPr>
            </w:pPr>
            <w:r w:rsidRPr="00662764">
              <w:rPr>
                <w:rFonts w:eastAsia="Calibri"/>
                <w:szCs w:val="24"/>
                <w:lang w:val="en-GB"/>
              </w:rPr>
              <w:t>256</w:t>
            </w:r>
          </w:p>
        </w:tc>
        <w:tc>
          <w:tcPr>
            <w:tcW w:w="498" w:type="dxa"/>
            <w:tcBorders>
              <w:top w:val="nil"/>
              <w:left w:val="nil"/>
              <w:bottom w:val="single" w:sz="8" w:space="0" w:color="auto"/>
              <w:right w:val="single" w:sz="12" w:space="0" w:color="auto"/>
            </w:tcBorders>
            <w:hideMark/>
          </w:tcPr>
          <w:p w14:paraId="54E1012B" w14:textId="7FD352F9" w:rsidR="00C07490" w:rsidRPr="00662764" w:rsidRDefault="00C07490" w:rsidP="00302657">
            <w:pPr>
              <w:jc w:val="center"/>
              <w:rPr>
                <w:rFonts w:eastAsia="Calibri"/>
                <w:szCs w:val="24"/>
                <w:lang w:val="en-GB"/>
              </w:rPr>
            </w:pPr>
            <w:r w:rsidRPr="00662764">
              <w:rPr>
                <w:rFonts w:eastAsia="Calibri"/>
                <w:szCs w:val="24"/>
                <w:lang w:val="en-GB"/>
              </w:rPr>
              <w:t>257</w:t>
            </w:r>
          </w:p>
        </w:tc>
        <w:tc>
          <w:tcPr>
            <w:tcW w:w="597" w:type="dxa"/>
            <w:tcBorders>
              <w:top w:val="nil"/>
              <w:left w:val="nil"/>
              <w:bottom w:val="single" w:sz="8" w:space="0" w:color="auto"/>
              <w:right w:val="single" w:sz="12" w:space="0" w:color="auto"/>
            </w:tcBorders>
            <w:hideMark/>
          </w:tcPr>
          <w:p w14:paraId="56F6BA84" w14:textId="77777777" w:rsidR="00C07490" w:rsidRPr="00662764" w:rsidRDefault="00C07490" w:rsidP="00302657">
            <w:pPr>
              <w:jc w:val="center"/>
              <w:rPr>
                <w:rFonts w:eastAsia="Calibri"/>
                <w:szCs w:val="24"/>
                <w:lang w:val="en-GB"/>
              </w:rPr>
            </w:pPr>
            <w:r w:rsidRPr="00662764">
              <w:rPr>
                <w:rFonts w:eastAsia="Calibri"/>
                <w:szCs w:val="24"/>
                <w:lang w:val="en-GB"/>
              </w:rPr>
              <w:t>268</w:t>
            </w:r>
          </w:p>
        </w:tc>
      </w:tr>
      <w:tr w:rsidR="00C07490" w:rsidRPr="00C07490" w14:paraId="48DA6A9E" w14:textId="77777777" w:rsidTr="00C07490">
        <w:trPr>
          <w:jc w:val="center"/>
        </w:trPr>
        <w:tc>
          <w:tcPr>
            <w:tcW w:w="1274"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06319F2D" w14:textId="77777777" w:rsidR="00C07490" w:rsidRPr="00662764" w:rsidRDefault="00C07490" w:rsidP="00C07490">
            <w:pPr>
              <w:rPr>
                <w:rFonts w:eastAsia="Calibri"/>
                <w:szCs w:val="24"/>
                <w:lang w:val="en-GB"/>
              </w:rPr>
            </w:pPr>
            <w:r w:rsidRPr="00662764">
              <w:rPr>
                <w:rFonts w:eastAsia="Calibri"/>
                <w:szCs w:val="24"/>
                <w:lang w:val="en-GB"/>
              </w:rPr>
              <w:t>Associates</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38B436C6" w14:textId="77777777" w:rsidR="00C07490" w:rsidRPr="00662764" w:rsidRDefault="00C07490" w:rsidP="00C07490">
            <w:pPr>
              <w:rPr>
                <w:rFonts w:eastAsia="Calibri"/>
                <w:szCs w:val="24"/>
                <w:lang w:val="en-GB"/>
              </w:rPr>
            </w:pPr>
            <w:r w:rsidRPr="00662764">
              <w:rPr>
                <w:rFonts w:eastAsia="Calibri"/>
                <w:szCs w:val="24"/>
                <w:lang w:val="en-GB"/>
              </w:rPr>
              <w:t>112</w:t>
            </w:r>
          </w:p>
        </w:tc>
        <w:tc>
          <w:tcPr>
            <w:tcW w:w="516" w:type="dxa"/>
            <w:tcBorders>
              <w:top w:val="nil"/>
              <w:left w:val="nil"/>
              <w:bottom w:val="single" w:sz="8" w:space="0" w:color="auto"/>
              <w:right w:val="single" w:sz="8" w:space="0" w:color="auto"/>
            </w:tcBorders>
            <w:hideMark/>
          </w:tcPr>
          <w:p w14:paraId="74A610F5" w14:textId="77777777" w:rsidR="00C07490" w:rsidRPr="00662764" w:rsidRDefault="00C07490" w:rsidP="00C07490">
            <w:pPr>
              <w:rPr>
                <w:rFonts w:eastAsia="Calibri"/>
                <w:szCs w:val="24"/>
                <w:lang w:val="en-GB"/>
              </w:rPr>
            </w:pPr>
            <w:r w:rsidRPr="00662764">
              <w:rPr>
                <w:rFonts w:eastAsia="Calibri"/>
                <w:szCs w:val="24"/>
                <w:lang w:val="en-GB"/>
              </w:rPr>
              <w:t>116</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21E58EB4" w14:textId="77777777" w:rsidR="00C07490" w:rsidRPr="00662764" w:rsidRDefault="00C07490" w:rsidP="00C07490">
            <w:pPr>
              <w:rPr>
                <w:rFonts w:eastAsia="Calibri"/>
                <w:szCs w:val="24"/>
                <w:lang w:val="en-GB"/>
              </w:rPr>
            </w:pPr>
            <w:r w:rsidRPr="00662764">
              <w:rPr>
                <w:rFonts w:eastAsia="Calibri"/>
                <w:szCs w:val="24"/>
                <w:lang w:val="en-GB"/>
              </w:rPr>
              <w:t>134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7EA04111" w14:textId="77777777" w:rsidR="00C07490" w:rsidRPr="00662764" w:rsidRDefault="00C07490" w:rsidP="00C07490">
            <w:pPr>
              <w:rPr>
                <w:rFonts w:eastAsia="Calibri"/>
                <w:szCs w:val="24"/>
                <w:lang w:val="en-GB"/>
              </w:rPr>
            </w:pPr>
            <w:r w:rsidRPr="00662764">
              <w:rPr>
                <w:rFonts w:eastAsia="Calibri"/>
                <w:szCs w:val="24"/>
                <w:lang w:val="en-GB"/>
              </w:rPr>
              <w:t>128</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64ED136C" w14:textId="77777777" w:rsidR="00C07490" w:rsidRPr="00662764" w:rsidRDefault="00C07490" w:rsidP="00C07490">
            <w:pPr>
              <w:rPr>
                <w:rFonts w:eastAsia="Calibri"/>
                <w:szCs w:val="24"/>
                <w:lang w:val="en-GB"/>
              </w:rPr>
            </w:pPr>
            <w:r w:rsidRPr="00662764">
              <w:rPr>
                <w:rFonts w:eastAsia="Calibri"/>
                <w:szCs w:val="24"/>
                <w:lang w:val="en-GB"/>
              </w:rPr>
              <w:t>125</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760F05F3" w14:textId="77777777" w:rsidR="00C07490" w:rsidRPr="00662764" w:rsidRDefault="00C07490" w:rsidP="00C07490">
            <w:pPr>
              <w:rPr>
                <w:rFonts w:eastAsia="Calibri"/>
                <w:szCs w:val="24"/>
                <w:lang w:val="en-GB"/>
              </w:rPr>
            </w:pPr>
            <w:r w:rsidRPr="00662764">
              <w:rPr>
                <w:rFonts w:eastAsia="Calibri"/>
                <w:szCs w:val="24"/>
                <w:lang w:val="en-GB"/>
              </w:rPr>
              <w:t>136</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96434D0" w14:textId="77777777" w:rsidR="00C07490" w:rsidRPr="00662764" w:rsidRDefault="00C07490" w:rsidP="00C07490">
            <w:pPr>
              <w:rPr>
                <w:rFonts w:eastAsia="Calibri"/>
                <w:szCs w:val="24"/>
                <w:lang w:val="en-GB"/>
              </w:rPr>
            </w:pPr>
            <w:r w:rsidRPr="00662764">
              <w:rPr>
                <w:rFonts w:eastAsia="Calibri"/>
                <w:szCs w:val="24"/>
                <w:lang w:val="en-GB"/>
              </w:rPr>
              <w:t>144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44ADB04" w14:textId="77777777" w:rsidR="00C07490" w:rsidRPr="00662764" w:rsidRDefault="00C07490" w:rsidP="00C07490">
            <w:pPr>
              <w:rPr>
                <w:rFonts w:eastAsia="Calibri"/>
                <w:szCs w:val="24"/>
                <w:lang w:val="en-GB"/>
              </w:rPr>
            </w:pPr>
            <w:r w:rsidRPr="00662764">
              <w:rPr>
                <w:rFonts w:eastAsia="Calibri"/>
                <w:szCs w:val="24"/>
                <w:lang w:val="en-GB"/>
              </w:rPr>
              <w:t>139</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6C0FEEB" w14:textId="77777777" w:rsidR="00C07490" w:rsidRPr="00662764" w:rsidRDefault="00C07490" w:rsidP="00C07490">
            <w:pPr>
              <w:rPr>
                <w:rFonts w:eastAsia="Calibri"/>
                <w:szCs w:val="24"/>
                <w:lang w:val="en-GB"/>
              </w:rPr>
            </w:pPr>
            <w:r w:rsidRPr="00662764">
              <w:rPr>
                <w:rFonts w:eastAsia="Calibri"/>
                <w:szCs w:val="24"/>
                <w:lang w:val="en-GB"/>
              </w:rPr>
              <w:t>134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45006EBD" w14:textId="77777777" w:rsidR="00C07490" w:rsidRPr="00662764" w:rsidRDefault="00C07490" w:rsidP="00C07490">
            <w:pPr>
              <w:rPr>
                <w:rFonts w:eastAsia="Calibri"/>
                <w:szCs w:val="24"/>
                <w:lang w:val="en-GB"/>
              </w:rPr>
            </w:pPr>
            <w:r w:rsidRPr="00662764">
              <w:rPr>
                <w:rFonts w:eastAsia="Calibri"/>
                <w:szCs w:val="24"/>
                <w:lang w:val="en-GB"/>
              </w:rPr>
              <w:t>134</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CA51BAE" w14:textId="77777777" w:rsidR="00C07490" w:rsidRPr="00662764" w:rsidRDefault="00C07490" w:rsidP="00C07490">
            <w:pPr>
              <w:rPr>
                <w:rFonts w:eastAsia="Calibri"/>
                <w:szCs w:val="24"/>
                <w:lang w:val="en-GB"/>
              </w:rPr>
            </w:pPr>
            <w:r w:rsidRPr="00662764">
              <w:rPr>
                <w:rFonts w:eastAsia="Calibri"/>
                <w:szCs w:val="24"/>
                <w:lang w:val="en-GB"/>
              </w:rPr>
              <w:t>130</w:t>
            </w:r>
          </w:p>
        </w:tc>
        <w:tc>
          <w:tcPr>
            <w:tcW w:w="628" w:type="dxa"/>
            <w:tcBorders>
              <w:top w:val="nil"/>
              <w:left w:val="nil"/>
              <w:bottom w:val="single" w:sz="8" w:space="0" w:color="auto"/>
              <w:right w:val="single" w:sz="12" w:space="0" w:color="auto"/>
            </w:tcBorders>
            <w:tcMar>
              <w:top w:w="0" w:type="dxa"/>
              <w:left w:w="108" w:type="dxa"/>
              <w:bottom w:w="0" w:type="dxa"/>
              <w:right w:w="108" w:type="dxa"/>
            </w:tcMar>
            <w:hideMark/>
          </w:tcPr>
          <w:p w14:paraId="2523C5F1" w14:textId="77777777" w:rsidR="00C07490" w:rsidRPr="00662764" w:rsidRDefault="00C07490" w:rsidP="00302657">
            <w:pPr>
              <w:jc w:val="center"/>
              <w:rPr>
                <w:rFonts w:eastAsia="Calibri"/>
                <w:szCs w:val="24"/>
                <w:lang w:val="en-GB"/>
              </w:rPr>
            </w:pPr>
            <w:r w:rsidRPr="00662764">
              <w:rPr>
                <w:rFonts w:eastAsia="Calibri"/>
                <w:szCs w:val="24"/>
                <w:lang w:val="en-GB"/>
              </w:rPr>
              <w:t>139</w:t>
            </w:r>
          </w:p>
        </w:tc>
        <w:tc>
          <w:tcPr>
            <w:tcW w:w="498" w:type="dxa"/>
            <w:tcBorders>
              <w:top w:val="nil"/>
              <w:left w:val="nil"/>
              <w:bottom w:val="single" w:sz="8" w:space="0" w:color="auto"/>
              <w:right w:val="single" w:sz="12" w:space="0" w:color="auto"/>
            </w:tcBorders>
            <w:hideMark/>
          </w:tcPr>
          <w:p w14:paraId="686D7F52" w14:textId="69231171" w:rsidR="00C07490" w:rsidRPr="00662764" w:rsidRDefault="00C07490" w:rsidP="00302657">
            <w:pPr>
              <w:jc w:val="center"/>
              <w:rPr>
                <w:rFonts w:eastAsia="Calibri"/>
                <w:szCs w:val="24"/>
                <w:lang w:val="en-GB"/>
              </w:rPr>
            </w:pPr>
            <w:r w:rsidRPr="00662764">
              <w:rPr>
                <w:rFonts w:eastAsia="Calibri"/>
                <w:szCs w:val="24"/>
                <w:lang w:val="en-GB"/>
              </w:rPr>
              <w:t>157</w:t>
            </w:r>
          </w:p>
        </w:tc>
        <w:tc>
          <w:tcPr>
            <w:tcW w:w="597" w:type="dxa"/>
            <w:tcBorders>
              <w:top w:val="nil"/>
              <w:left w:val="nil"/>
              <w:bottom w:val="single" w:sz="8" w:space="0" w:color="auto"/>
              <w:right w:val="single" w:sz="12" w:space="0" w:color="auto"/>
            </w:tcBorders>
            <w:hideMark/>
          </w:tcPr>
          <w:p w14:paraId="4BBA65A6" w14:textId="77777777" w:rsidR="00C07490" w:rsidRPr="00662764" w:rsidRDefault="00C07490" w:rsidP="00302657">
            <w:pPr>
              <w:jc w:val="center"/>
              <w:rPr>
                <w:rFonts w:eastAsia="Calibri"/>
                <w:szCs w:val="24"/>
                <w:lang w:val="en-GB"/>
              </w:rPr>
            </w:pPr>
            <w:r w:rsidRPr="00662764">
              <w:rPr>
                <w:rFonts w:eastAsia="Calibri"/>
                <w:szCs w:val="24"/>
                <w:lang w:val="en-GB"/>
              </w:rPr>
              <w:t>184</w:t>
            </w:r>
          </w:p>
        </w:tc>
      </w:tr>
      <w:tr w:rsidR="00C07490" w:rsidRPr="00C07490" w14:paraId="3691C734" w14:textId="77777777" w:rsidTr="00C07490">
        <w:trPr>
          <w:jc w:val="center"/>
        </w:trPr>
        <w:tc>
          <w:tcPr>
            <w:tcW w:w="1274"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E391D04" w14:textId="77777777" w:rsidR="00C07490" w:rsidRPr="00662764" w:rsidRDefault="00C07490" w:rsidP="00C07490">
            <w:pPr>
              <w:rPr>
                <w:rFonts w:eastAsia="Calibri"/>
                <w:szCs w:val="24"/>
                <w:lang w:val="en-GB"/>
              </w:rPr>
            </w:pPr>
            <w:r w:rsidRPr="00662764">
              <w:rPr>
                <w:rFonts w:eastAsia="Calibri"/>
                <w:szCs w:val="24"/>
                <w:lang w:val="en-GB"/>
              </w:rPr>
              <w:t>Academia</w:t>
            </w:r>
          </w:p>
        </w:tc>
        <w:tc>
          <w:tcPr>
            <w:tcW w:w="617" w:type="dxa"/>
            <w:tcBorders>
              <w:top w:val="nil"/>
              <w:left w:val="nil"/>
              <w:bottom w:val="single" w:sz="8" w:space="0" w:color="auto"/>
              <w:right w:val="single" w:sz="8" w:space="0" w:color="auto"/>
            </w:tcBorders>
            <w:tcMar>
              <w:top w:w="0" w:type="dxa"/>
              <w:left w:w="108" w:type="dxa"/>
              <w:bottom w:w="0" w:type="dxa"/>
              <w:right w:w="108" w:type="dxa"/>
            </w:tcMar>
            <w:hideMark/>
          </w:tcPr>
          <w:p w14:paraId="701B18B0" w14:textId="77777777" w:rsidR="00C07490" w:rsidRPr="00662764" w:rsidRDefault="00C07490" w:rsidP="00C07490">
            <w:pPr>
              <w:rPr>
                <w:rFonts w:eastAsia="Calibri"/>
                <w:szCs w:val="24"/>
                <w:lang w:val="en-GB"/>
              </w:rPr>
            </w:pPr>
            <w:r w:rsidRPr="00662764">
              <w:rPr>
                <w:rFonts w:eastAsia="Calibri"/>
                <w:szCs w:val="24"/>
                <w:lang w:val="en-GB"/>
              </w:rPr>
              <w:noBreakHyphen/>
            </w:r>
          </w:p>
        </w:tc>
        <w:tc>
          <w:tcPr>
            <w:tcW w:w="516" w:type="dxa"/>
            <w:tcBorders>
              <w:top w:val="nil"/>
              <w:left w:val="nil"/>
              <w:bottom w:val="single" w:sz="8" w:space="0" w:color="auto"/>
              <w:right w:val="single" w:sz="8" w:space="0" w:color="auto"/>
            </w:tcBorders>
            <w:hideMark/>
          </w:tcPr>
          <w:p w14:paraId="5A8F0A0D" w14:textId="77777777" w:rsidR="00C07490" w:rsidRPr="00662764" w:rsidRDefault="00C07490" w:rsidP="00C07490">
            <w:pPr>
              <w:rPr>
                <w:rFonts w:eastAsia="Calibri"/>
                <w:szCs w:val="24"/>
                <w:lang w:val="en-GB"/>
              </w:rPr>
            </w:pPr>
            <w:r w:rsidRPr="00662764">
              <w:rPr>
                <w:rFonts w:eastAsia="Calibri"/>
                <w:szCs w:val="24"/>
                <w:lang w:val="en-GB"/>
              </w:rPr>
              <w:t>-</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14:paraId="3C818724" w14:textId="77777777" w:rsidR="00C07490" w:rsidRPr="00662764" w:rsidRDefault="00C07490" w:rsidP="00C07490">
            <w:pPr>
              <w:rPr>
                <w:rFonts w:eastAsia="Calibri"/>
                <w:szCs w:val="24"/>
                <w:lang w:val="en-GB"/>
              </w:rPr>
            </w:pPr>
            <w:r w:rsidRPr="00662764">
              <w:rPr>
                <w:rFonts w:eastAsia="Calibri"/>
                <w:szCs w:val="24"/>
                <w:lang w:val="en-GB"/>
              </w:rPr>
              <w:noBreakHyphen/>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502A3191" w14:textId="77777777" w:rsidR="00C07490" w:rsidRPr="00662764" w:rsidRDefault="00C07490" w:rsidP="00C07490">
            <w:pPr>
              <w:rPr>
                <w:rFonts w:eastAsia="Calibri"/>
                <w:szCs w:val="24"/>
                <w:lang w:val="en-GB"/>
              </w:rPr>
            </w:pPr>
            <w:r w:rsidRPr="00662764">
              <w:rPr>
                <w:rFonts w:eastAsia="Calibri"/>
                <w:szCs w:val="24"/>
                <w:lang w:val="en-GB"/>
              </w:rPr>
              <w:noBreakHyphen/>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7DBC5812" w14:textId="77777777" w:rsidR="00C07490" w:rsidRPr="00662764" w:rsidRDefault="00C07490" w:rsidP="00C07490">
            <w:pPr>
              <w:rPr>
                <w:rFonts w:eastAsia="Calibri"/>
                <w:szCs w:val="24"/>
                <w:lang w:val="en-GB"/>
              </w:rPr>
            </w:pPr>
            <w:r w:rsidRPr="00662764">
              <w:rPr>
                <w:rFonts w:eastAsia="Calibri"/>
                <w:szCs w:val="24"/>
                <w:lang w:val="en-GB"/>
              </w:rPr>
              <w:noBreakHyphen/>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D8BA6EC" w14:textId="77777777" w:rsidR="00C07490" w:rsidRPr="00662764" w:rsidRDefault="00C07490" w:rsidP="00C07490">
            <w:pPr>
              <w:rPr>
                <w:rFonts w:eastAsia="Calibri"/>
                <w:szCs w:val="24"/>
                <w:lang w:val="en-GB"/>
              </w:rPr>
            </w:pPr>
            <w:r w:rsidRPr="00662764">
              <w:rPr>
                <w:rFonts w:eastAsia="Calibri"/>
                <w:szCs w:val="24"/>
                <w:lang w:val="en-GB"/>
              </w:rPr>
              <w:t>25</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318F734B" w14:textId="77777777" w:rsidR="00C07490" w:rsidRPr="00662764" w:rsidRDefault="00C07490" w:rsidP="00C07490">
            <w:pPr>
              <w:rPr>
                <w:rFonts w:eastAsia="Calibri"/>
                <w:szCs w:val="24"/>
                <w:lang w:val="en-GB"/>
              </w:rPr>
            </w:pPr>
            <w:r w:rsidRPr="00662764">
              <w:rPr>
                <w:rFonts w:eastAsia="Calibri"/>
                <w:szCs w:val="24"/>
                <w:lang w:val="en-GB"/>
              </w:rPr>
              <w:t>36</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6746C9A1" w14:textId="77777777" w:rsidR="00C07490" w:rsidRPr="00662764" w:rsidRDefault="00C07490" w:rsidP="00C07490">
            <w:pPr>
              <w:rPr>
                <w:rFonts w:eastAsia="Calibri"/>
                <w:szCs w:val="24"/>
                <w:lang w:val="en-GB"/>
              </w:rPr>
            </w:pPr>
            <w:r w:rsidRPr="00662764">
              <w:rPr>
                <w:rFonts w:eastAsia="Calibri"/>
                <w:szCs w:val="24"/>
                <w:lang w:val="en-GB"/>
              </w:rPr>
              <w:t>45</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21B206F9" w14:textId="77777777" w:rsidR="00C07490" w:rsidRPr="00662764" w:rsidRDefault="00C07490" w:rsidP="00C07490">
            <w:pPr>
              <w:rPr>
                <w:rFonts w:eastAsia="Calibri"/>
                <w:szCs w:val="24"/>
                <w:lang w:val="en-GB"/>
              </w:rPr>
            </w:pPr>
            <w:r w:rsidRPr="00662764">
              <w:rPr>
                <w:rFonts w:eastAsia="Calibri"/>
                <w:szCs w:val="24"/>
                <w:lang w:val="en-GB"/>
              </w:rPr>
              <w:t>86</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45C23DFF" w14:textId="77777777" w:rsidR="00C07490" w:rsidRPr="00662764" w:rsidRDefault="00C07490" w:rsidP="00C07490">
            <w:pPr>
              <w:rPr>
                <w:rFonts w:eastAsia="Calibri"/>
                <w:szCs w:val="24"/>
                <w:lang w:val="en-GB"/>
              </w:rPr>
            </w:pPr>
            <w:r w:rsidRPr="00662764">
              <w:rPr>
                <w:rFonts w:eastAsia="Calibri"/>
                <w:szCs w:val="24"/>
                <w:lang w:val="en-GB"/>
              </w:rPr>
              <w:t>109</w:t>
            </w:r>
          </w:p>
        </w:tc>
        <w:tc>
          <w:tcPr>
            <w:tcW w:w="628" w:type="dxa"/>
            <w:tcBorders>
              <w:top w:val="nil"/>
              <w:left w:val="nil"/>
              <w:bottom w:val="single" w:sz="8" w:space="0" w:color="auto"/>
              <w:right w:val="single" w:sz="8" w:space="0" w:color="auto"/>
            </w:tcBorders>
            <w:tcMar>
              <w:top w:w="0" w:type="dxa"/>
              <w:left w:w="108" w:type="dxa"/>
              <w:bottom w:w="0" w:type="dxa"/>
              <w:right w:w="108" w:type="dxa"/>
            </w:tcMar>
            <w:hideMark/>
          </w:tcPr>
          <w:p w14:paraId="47D13AAD" w14:textId="77777777" w:rsidR="00C07490" w:rsidRPr="00662764" w:rsidRDefault="00C07490" w:rsidP="00C07490">
            <w:pPr>
              <w:rPr>
                <w:rFonts w:eastAsia="Calibri"/>
                <w:szCs w:val="24"/>
                <w:lang w:val="en-GB"/>
              </w:rPr>
            </w:pPr>
            <w:r w:rsidRPr="00662764">
              <w:rPr>
                <w:rFonts w:eastAsia="Calibri"/>
                <w:szCs w:val="24"/>
                <w:lang w:val="en-GB"/>
              </w:rPr>
              <w:t>107</w:t>
            </w:r>
          </w:p>
        </w:tc>
        <w:tc>
          <w:tcPr>
            <w:tcW w:w="628" w:type="dxa"/>
            <w:tcBorders>
              <w:top w:val="nil"/>
              <w:left w:val="nil"/>
              <w:bottom w:val="single" w:sz="8" w:space="0" w:color="auto"/>
              <w:right w:val="single" w:sz="12" w:space="0" w:color="auto"/>
            </w:tcBorders>
            <w:tcMar>
              <w:top w:w="0" w:type="dxa"/>
              <w:left w:w="108" w:type="dxa"/>
              <w:bottom w:w="0" w:type="dxa"/>
              <w:right w:w="108" w:type="dxa"/>
            </w:tcMar>
            <w:hideMark/>
          </w:tcPr>
          <w:p w14:paraId="40C4CCEC" w14:textId="77777777" w:rsidR="00C07490" w:rsidRPr="00662764" w:rsidRDefault="00C07490" w:rsidP="00302657">
            <w:pPr>
              <w:jc w:val="center"/>
              <w:rPr>
                <w:rFonts w:eastAsia="Calibri"/>
                <w:szCs w:val="24"/>
                <w:lang w:val="en-GB"/>
              </w:rPr>
            </w:pPr>
            <w:r w:rsidRPr="00662764">
              <w:rPr>
                <w:rFonts w:eastAsia="Calibri"/>
                <w:szCs w:val="24"/>
                <w:lang w:val="en-GB"/>
              </w:rPr>
              <w:t>125</w:t>
            </w:r>
          </w:p>
        </w:tc>
        <w:tc>
          <w:tcPr>
            <w:tcW w:w="498" w:type="dxa"/>
            <w:tcBorders>
              <w:top w:val="nil"/>
              <w:left w:val="nil"/>
              <w:bottom w:val="single" w:sz="8" w:space="0" w:color="auto"/>
              <w:right w:val="single" w:sz="12" w:space="0" w:color="auto"/>
            </w:tcBorders>
            <w:hideMark/>
          </w:tcPr>
          <w:p w14:paraId="58F65DEA" w14:textId="77777777" w:rsidR="00C07490" w:rsidRPr="00662764" w:rsidRDefault="00C07490" w:rsidP="00302657">
            <w:pPr>
              <w:jc w:val="center"/>
              <w:rPr>
                <w:rFonts w:eastAsia="Calibri"/>
                <w:szCs w:val="24"/>
                <w:lang w:val="en-GB"/>
              </w:rPr>
            </w:pPr>
            <w:r w:rsidRPr="00662764">
              <w:rPr>
                <w:rFonts w:eastAsia="Calibri"/>
                <w:szCs w:val="24"/>
                <w:lang w:val="en-GB"/>
              </w:rPr>
              <w:t>155</w:t>
            </w:r>
          </w:p>
        </w:tc>
        <w:tc>
          <w:tcPr>
            <w:tcW w:w="597" w:type="dxa"/>
            <w:tcBorders>
              <w:top w:val="nil"/>
              <w:left w:val="nil"/>
              <w:bottom w:val="single" w:sz="8" w:space="0" w:color="auto"/>
              <w:right w:val="single" w:sz="12" w:space="0" w:color="auto"/>
            </w:tcBorders>
            <w:hideMark/>
          </w:tcPr>
          <w:p w14:paraId="7E7DAE39" w14:textId="77777777" w:rsidR="00C07490" w:rsidRPr="00662764" w:rsidRDefault="00C07490" w:rsidP="00302657">
            <w:pPr>
              <w:jc w:val="center"/>
              <w:rPr>
                <w:rFonts w:eastAsia="Calibri"/>
                <w:szCs w:val="24"/>
                <w:lang w:val="en-GB"/>
              </w:rPr>
            </w:pPr>
            <w:r w:rsidRPr="00662764">
              <w:rPr>
                <w:rFonts w:eastAsia="Calibri"/>
                <w:szCs w:val="24"/>
                <w:lang w:val="en-GB"/>
              </w:rPr>
              <w:t>163</w:t>
            </w:r>
          </w:p>
        </w:tc>
      </w:tr>
      <w:tr w:rsidR="00C07490" w:rsidRPr="00C07490" w14:paraId="35BEE1A2" w14:textId="77777777" w:rsidTr="00C07490">
        <w:trPr>
          <w:jc w:val="center"/>
        </w:trPr>
        <w:tc>
          <w:tcPr>
            <w:tcW w:w="1274"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1193F188" w14:textId="77777777" w:rsidR="00C07490" w:rsidRPr="00662764" w:rsidRDefault="00C07490" w:rsidP="00C07490">
            <w:pPr>
              <w:rPr>
                <w:rFonts w:eastAsia="Calibri"/>
                <w:szCs w:val="24"/>
                <w:lang w:val="en-GB"/>
              </w:rPr>
            </w:pPr>
            <w:r w:rsidRPr="00662764">
              <w:rPr>
                <w:rFonts w:eastAsia="Calibri"/>
                <w:szCs w:val="24"/>
                <w:lang w:val="en-GB"/>
              </w:rPr>
              <w:t xml:space="preserve">TOTAL </w:t>
            </w:r>
          </w:p>
        </w:tc>
        <w:tc>
          <w:tcPr>
            <w:tcW w:w="617" w:type="dxa"/>
            <w:tcBorders>
              <w:top w:val="nil"/>
              <w:left w:val="nil"/>
              <w:bottom w:val="single" w:sz="12" w:space="0" w:color="auto"/>
              <w:right w:val="single" w:sz="8" w:space="0" w:color="auto"/>
            </w:tcBorders>
            <w:tcMar>
              <w:top w:w="0" w:type="dxa"/>
              <w:left w:w="108" w:type="dxa"/>
              <w:bottom w:w="0" w:type="dxa"/>
              <w:right w:w="108" w:type="dxa"/>
            </w:tcMar>
            <w:hideMark/>
          </w:tcPr>
          <w:p w14:paraId="73A5A780" w14:textId="77777777" w:rsidR="00C07490" w:rsidRPr="00662764" w:rsidRDefault="00C07490" w:rsidP="00C07490">
            <w:pPr>
              <w:rPr>
                <w:rFonts w:eastAsia="Calibri"/>
                <w:szCs w:val="24"/>
                <w:lang w:val="en-GB"/>
              </w:rPr>
            </w:pPr>
            <w:r w:rsidRPr="00662764">
              <w:rPr>
                <w:rFonts w:eastAsia="Calibri"/>
                <w:szCs w:val="24"/>
                <w:lang w:val="en-GB"/>
              </w:rPr>
              <w:t>456</w:t>
            </w:r>
          </w:p>
        </w:tc>
        <w:tc>
          <w:tcPr>
            <w:tcW w:w="516" w:type="dxa"/>
            <w:tcBorders>
              <w:top w:val="nil"/>
              <w:left w:val="nil"/>
              <w:bottom w:val="single" w:sz="12" w:space="0" w:color="auto"/>
              <w:right w:val="single" w:sz="8" w:space="0" w:color="auto"/>
            </w:tcBorders>
            <w:hideMark/>
          </w:tcPr>
          <w:p w14:paraId="3517C313" w14:textId="77777777" w:rsidR="00C07490" w:rsidRPr="00662764" w:rsidRDefault="00C07490" w:rsidP="00C07490">
            <w:pPr>
              <w:rPr>
                <w:rFonts w:eastAsia="Calibri"/>
                <w:szCs w:val="24"/>
                <w:lang w:val="en-GB"/>
              </w:rPr>
            </w:pPr>
            <w:r w:rsidRPr="00662764">
              <w:rPr>
                <w:rFonts w:eastAsia="Calibri"/>
                <w:szCs w:val="24"/>
                <w:lang w:val="en-GB"/>
              </w:rPr>
              <w:t>430</w:t>
            </w:r>
          </w:p>
        </w:tc>
        <w:tc>
          <w:tcPr>
            <w:tcW w:w="627" w:type="dxa"/>
            <w:tcBorders>
              <w:top w:val="nil"/>
              <w:left w:val="nil"/>
              <w:bottom w:val="single" w:sz="12" w:space="0" w:color="auto"/>
              <w:right w:val="single" w:sz="8" w:space="0" w:color="auto"/>
            </w:tcBorders>
            <w:tcMar>
              <w:top w:w="0" w:type="dxa"/>
              <w:left w:w="108" w:type="dxa"/>
              <w:bottom w:w="0" w:type="dxa"/>
              <w:right w:w="108" w:type="dxa"/>
            </w:tcMar>
            <w:hideMark/>
          </w:tcPr>
          <w:p w14:paraId="6BA38731" w14:textId="77777777" w:rsidR="00C07490" w:rsidRPr="00662764" w:rsidRDefault="00C07490" w:rsidP="00C07490">
            <w:pPr>
              <w:rPr>
                <w:rFonts w:eastAsia="Calibri"/>
                <w:szCs w:val="24"/>
                <w:lang w:val="en-GB"/>
              </w:rPr>
            </w:pPr>
            <w:r w:rsidRPr="00662764">
              <w:rPr>
                <w:rFonts w:eastAsia="Calibri"/>
                <w:szCs w:val="24"/>
                <w:lang w:val="en-GB"/>
              </w:rPr>
              <w:t>443</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7B865417" w14:textId="77777777" w:rsidR="00C07490" w:rsidRPr="00662764" w:rsidRDefault="00C07490" w:rsidP="00C07490">
            <w:pPr>
              <w:rPr>
                <w:rFonts w:eastAsia="Calibri"/>
                <w:szCs w:val="24"/>
                <w:lang w:val="en-GB"/>
              </w:rPr>
            </w:pPr>
            <w:r w:rsidRPr="00662764">
              <w:rPr>
                <w:rFonts w:eastAsia="Calibri"/>
                <w:szCs w:val="24"/>
                <w:lang w:val="en-GB"/>
              </w:rPr>
              <w:t>422</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6B54E8C5" w14:textId="77777777" w:rsidR="00C07490" w:rsidRPr="00662764" w:rsidRDefault="00C07490" w:rsidP="00C07490">
            <w:pPr>
              <w:rPr>
                <w:rFonts w:eastAsia="Calibri"/>
                <w:szCs w:val="24"/>
                <w:lang w:val="en-GB"/>
              </w:rPr>
            </w:pPr>
            <w:r w:rsidRPr="00662764">
              <w:rPr>
                <w:rFonts w:eastAsia="Calibri"/>
                <w:szCs w:val="24"/>
                <w:lang w:val="en-GB"/>
              </w:rPr>
              <w:t>398</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3372B57E" w14:textId="77777777" w:rsidR="00C07490" w:rsidRPr="00662764" w:rsidRDefault="00C07490" w:rsidP="00C07490">
            <w:pPr>
              <w:rPr>
                <w:rFonts w:eastAsia="Calibri"/>
                <w:szCs w:val="24"/>
                <w:lang w:val="en-GB"/>
              </w:rPr>
            </w:pPr>
            <w:r w:rsidRPr="00662764">
              <w:rPr>
                <w:rFonts w:eastAsia="Calibri"/>
                <w:szCs w:val="24"/>
                <w:lang w:val="en-GB"/>
              </w:rPr>
              <w:t>432</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52A97A37" w14:textId="77777777" w:rsidR="00C07490" w:rsidRPr="00662764" w:rsidRDefault="00C07490" w:rsidP="00C07490">
            <w:pPr>
              <w:rPr>
                <w:rFonts w:eastAsia="Calibri"/>
                <w:szCs w:val="24"/>
                <w:lang w:val="en-GB"/>
              </w:rPr>
            </w:pPr>
            <w:r w:rsidRPr="00662764">
              <w:rPr>
                <w:rFonts w:eastAsia="Calibri"/>
                <w:szCs w:val="24"/>
                <w:lang w:val="en-GB"/>
              </w:rPr>
              <w:t>458</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4AC268D8" w14:textId="77777777" w:rsidR="00C07490" w:rsidRPr="00662764" w:rsidRDefault="00C07490" w:rsidP="00C07490">
            <w:pPr>
              <w:rPr>
                <w:rFonts w:eastAsia="Calibri"/>
                <w:szCs w:val="24"/>
                <w:lang w:val="en-GB"/>
              </w:rPr>
            </w:pPr>
            <w:r w:rsidRPr="00662764">
              <w:rPr>
                <w:rFonts w:eastAsia="Calibri"/>
                <w:szCs w:val="24"/>
                <w:lang w:val="en-GB"/>
              </w:rPr>
              <w:t>468</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1F3D10A5" w14:textId="77777777" w:rsidR="00C07490" w:rsidRPr="00662764" w:rsidRDefault="00C07490" w:rsidP="00C07490">
            <w:pPr>
              <w:rPr>
                <w:rFonts w:eastAsia="Calibri"/>
                <w:szCs w:val="24"/>
                <w:lang w:val="en-GB"/>
              </w:rPr>
            </w:pPr>
            <w:r w:rsidRPr="00662764">
              <w:rPr>
                <w:rFonts w:eastAsia="Calibri"/>
                <w:szCs w:val="24"/>
                <w:lang w:val="en-GB"/>
              </w:rPr>
              <w:t>494</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04B44C2F" w14:textId="77777777" w:rsidR="00C07490" w:rsidRPr="00662764" w:rsidRDefault="00C07490" w:rsidP="00C07490">
            <w:pPr>
              <w:rPr>
                <w:rFonts w:eastAsia="Calibri"/>
                <w:szCs w:val="24"/>
                <w:lang w:val="en-GB"/>
              </w:rPr>
            </w:pPr>
            <w:r w:rsidRPr="00662764">
              <w:rPr>
                <w:rFonts w:eastAsia="Calibri"/>
                <w:szCs w:val="24"/>
                <w:lang w:val="en-GB"/>
              </w:rPr>
              <w:t>510</w:t>
            </w:r>
          </w:p>
        </w:tc>
        <w:tc>
          <w:tcPr>
            <w:tcW w:w="628" w:type="dxa"/>
            <w:tcBorders>
              <w:top w:val="nil"/>
              <w:left w:val="nil"/>
              <w:bottom w:val="single" w:sz="12" w:space="0" w:color="auto"/>
              <w:right w:val="single" w:sz="8" w:space="0" w:color="auto"/>
            </w:tcBorders>
            <w:tcMar>
              <w:top w:w="0" w:type="dxa"/>
              <w:left w:w="108" w:type="dxa"/>
              <w:bottom w:w="0" w:type="dxa"/>
              <w:right w:w="108" w:type="dxa"/>
            </w:tcMar>
            <w:hideMark/>
          </w:tcPr>
          <w:p w14:paraId="13DB4A12" w14:textId="77777777" w:rsidR="00C07490" w:rsidRPr="00662764" w:rsidRDefault="00C07490" w:rsidP="00C07490">
            <w:pPr>
              <w:rPr>
                <w:rFonts w:eastAsia="Calibri"/>
                <w:szCs w:val="24"/>
                <w:lang w:val="en-GB"/>
              </w:rPr>
            </w:pPr>
            <w:r w:rsidRPr="00662764">
              <w:rPr>
                <w:rFonts w:eastAsia="Calibri"/>
                <w:szCs w:val="24"/>
                <w:lang w:val="en-GB"/>
              </w:rPr>
              <w:t>491</w:t>
            </w:r>
          </w:p>
        </w:tc>
        <w:tc>
          <w:tcPr>
            <w:tcW w:w="628" w:type="dxa"/>
            <w:tcBorders>
              <w:top w:val="nil"/>
              <w:left w:val="nil"/>
              <w:bottom w:val="single" w:sz="12" w:space="0" w:color="auto"/>
              <w:right w:val="single" w:sz="12" w:space="0" w:color="auto"/>
            </w:tcBorders>
            <w:tcMar>
              <w:top w:w="0" w:type="dxa"/>
              <w:left w:w="108" w:type="dxa"/>
              <w:bottom w:w="0" w:type="dxa"/>
              <w:right w:w="108" w:type="dxa"/>
            </w:tcMar>
            <w:hideMark/>
          </w:tcPr>
          <w:p w14:paraId="5EB54158" w14:textId="77777777" w:rsidR="00C07490" w:rsidRPr="00662764" w:rsidRDefault="00C07490" w:rsidP="00302657">
            <w:pPr>
              <w:jc w:val="center"/>
              <w:rPr>
                <w:rFonts w:eastAsia="Calibri"/>
                <w:szCs w:val="24"/>
                <w:lang w:val="en-GB"/>
              </w:rPr>
            </w:pPr>
            <w:r w:rsidRPr="00662764">
              <w:rPr>
                <w:rFonts w:eastAsia="Calibri"/>
                <w:szCs w:val="24"/>
                <w:lang w:val="en-GB"/>
              </w:rPr>
              <w:t>520</w:t>
            </w:r>
          </w:p>
        </w:tc>
        <w:tc>
          <w:tcPr>
            <w:tcW w:w="498" w:type="dxa"/>
            <w:tcBorders>
              <w:top w:val="nil"/>
              <w:left w:val="nil"/>
              <w:bottom w:val="single" w:sz="12" w:space="0" w:color="auto"/>
              <w:right w:val="single" w:sz="12" w:space="0" w:color="auto"/>
            </w:tcBorders>
            <w:hideMark/>
          </w:tcPr>
          <w:p w14:paraId="6A98BEA2" w14:textId="77777777" w:rsidR="00C07490" w:rsidRPr="00662764" w:rsidRDefault="00C07490" w:rsidP="00302657">
            <w:pPr>
              <w:jc w:val="center"/>
              <w:rPr>
                <w:rFonts w:eastAsia="Calibri"/>
                <w:szCs w:val="24"/>
                <w:lang w:val="en-GB"/>
              </w:rPr>
            </w:pPr>
            <w:r w:rsidRPr="00662764">
              <w:rPr>
                <w:rFonts w:eastAsia="Calibri"/>
                <w:szCs w:val="24"/>
                <w:lang w:val="en-GB"/>
              </w:rPr>
              <w:t>569</w:t>
            </w:r>
          </w:p>
        </w:tc>
        <w:tc>
          <w:tcPr>
            <w:tcW w:w="597" w:type="dxa"/>
            <w:tcBorders>
              <w:top w:val="nil"/>
              <w:left w:val="nil"/>
              <w:bottom w:val="single" w:sz="12" w:space="0" w:color="auto"/>
              <w:right w:val="single" w:sz="12" w:space="0" w:color="auto"/>
            </w:tcBorders>
            <w:hideMark/>
          </w:tcPr>
          <w:p w14:paraId="00D63BC0" w14:textId="77777777" w:rsidR="00C07490" w:rsidRPr="00662764" w:rsidRDefault="00C07490" w:rsidP="00302657">
            <w:pPr>
              <w:jc w:val="center"/>
              <w:rPr>
                <w:rFonts w:eastAsia="Calibri"/>
                <w:szCs w:val="24"/>
                <w:lang w:val="en-GB"/>
              </w:rPr>
            </w:pPr>
            <w:r w:rsidRPr="00662764">
              <w:rPr>
                <w:rFonts w:eastAsia="Calibri"/>
                <w:szCs w:val="24"/>
                <w:lang w:val="en-GB"/>
              </w:rPr>
              <w:t>615</w:t>
            </w:r>
          </w:p>
        </w:tc>
      </w:tr>
    </w:tbl>
    <w:p w14:paraId="76E2D61F" w14:textId="77777777" w:rsidR="00C07490" w:rsidRPr="00662764" w:rsidRDefault="00C07490" w:rsidP="00C07490">
      <w:pPr>
        <w:rPr>
          <w:rFonts w:eastAsia="Calibri"/>
          <w:szCs w:val="24"/>
          <w:lang w:val="en-GB"/>
        </w:rPr>
      </w:pPr>
      <w:r w:rsidRPr="00662764">
        <w:rPr>
          <w:rFonts w:eastAsia="Calibri"/>
          <w:szCs w:val="24"/>
          <w:lang w:val="en-GB"/>
        </w:rPr>
        <w:t>NOTE – Some of the figures in the table above have been subject to retroactive changes</w:t>
      </w:r>
    </w:p>
    <w:p w14:paraId="773D597F" w14:textId="77777777" w:rsidR="00C07490" w:rsidRPr="00662764" w:rsidRDefault="00C07490" w:rsidP="00C07490">
      <w:pPr>
        <w:rPr>
          <w:rFonts w:eastAsia="Calibri"/>
          <w:szCs w:val="24"/>
          <w:lang w:val="en-GB"/>
        </w:rPr>
      </w:pPr>
    </w:p>
    <w:p w14:paraId="079F4F42" w14:textId="77777777" w:rsidR="00C07490" w:rsidRPr="00662764" w:rsidRDefault="00C07490" w:rsidP="00C07490">
      <w:pPr>
        <w:rPr>
          <w:rFonts w:eastAsia="Calibri"/>
          <w:b/>
          <w:bCs/>
          <w:szCs w:val="24"/>
          <w:lang w:val="en-GB"/>
        </w:rPr>
      </w:pPr>
      <w:r w:rsidRPr="00662764">
        <w:rPr>
          <w:rFonts w:eastAsia="Calibri"/>
          <w:b/>
          <w:bCs/>
          <w:szCs w:val="24"/>
          <w:lang w:val="en-GB"/>
        </w:rPr>
        <w:t>Figure 3 – Evolution of ITU-T membership from 31 December 2006 to 31 December 2019</w:t>
      </w:r>
    </w:p>
    <w:p w14:paraId="05B03CAB" w14:textId="2154E974" w:rsidR="00C07490" w:rsidRPr="00662764" w:rsidRDefault="00C07490" w:rsidP="00B74075">
      <w:pPr>
        <w:jc w:val="center"/>
        <w:rPr>
          <w:rFonts w:eastAsia="Calibri"/>
          <w:szCs w:val="24"/>
          <w:lang w:val="en-GB"/>
        </w:rPr>
      </w:pPr>
      <w:r w:rsidRPr="00662764">
        <w:rPr>
          <w:rFonts w:eastAsia="Calibri"/>
          <w:noProof/>
          <w:szCs w:val="24"/>
          <w:lang w:val="en-GB" w:eastAsia="en-GB"/>
        </w:rPr>
        <w:drawing>
          <wp:inline distT="0" distB="0" distL="0" distR="0" wp14:anchorId="4AC889B2" wp14:editId="131D64CC">
            <wp:extent cx="4148919" cy="2479466"/>
            <wp:effectExtent l="0" t="0" r="4445"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9"/>
              </a:graphicData>
            </a:graphic>
          </wp:inline>
        </w:drawing>
      </w:r>
    </w:p>
    <w:p w14:paraId="0FB11CC6" w14:textId="034F444F" w:rsidR="00C07490" w:rsidRPr="00662764" w:rsidRDefault="00C07490" w:rsidP="00044D72">
      <w:pPr>
        <w:rPr>
          <w:rFonts w:eastAsia="Calibri"/>
          <w:szCs w:val="24"/>
          <w:lang w:val="en-GB"/>
        </w:rPr>
      </w:pPr>
      <w:r w:rsidRPr="00662764">
        <w:rPr>
          <w:rFonts w:eastAsia="Calibri"/>
          <w:szCs w:val="24"/>
          <w:lang w:val="en-GB"/>
        </w:rPr>
        <w:t>NOTE – The Academia category was created in 2011.</w:t>
      </w:r>
    </w:p>
    <w:p w14:paraId="6A9851FD" w14:textId="300C7034" w:rsidR="00412E28" w:rsidRPr="00F57FAD" w:rsidRDefault="00D64AF8" w:rsidP="00C1421E">
      <w:pPr>
        <w:pStyle w:val="Heading2"/>
      </w:pPr>
      <w:bookmarkStart w:id="169" w:name="_Toc31967172"/>
      <w:r w:rsidRPr="00F57FAD">
        <w:t>8</w:t>
      </w:r>
      <w:r w:rsidR="002F0E38" w:rsidRPr="00F57FAD">
        <w:t>.2</w:t>
      </w:r>
      <w:r w:rsidRPr="00F57FAD">
        <w:tab/>
        <w:t>Implementation of SME Pilot Project</w:t>
      </w:r>
      <w:bookmarkEnd w:id="169"/>
    </w:p>
    <w:p w14:paraId="086EAC08" w14:textId="22042340" w:rsidR="00564FEE" w:rsidRDefault="00044D72" w:rsidP="001A5609">
      <w:pPr>
        <w:rPr>
          <w:lang w:val="en-GB"/>
        </w:rPr>
      </w:pPr>
      <w:r w:rsidRPr="006D7EE6">
        <w:rPr>
          <w:lang w:val="en-GB"/>
        </w:rPr>
        <w:t xml:space="preserve">ITU-T </w:t>
      </w:r>
      <w:r w:rsidR="00F1765F">
        <w:rPr>
          <w:lang w:val="en-GB"/>
        </w:rPr>
        <w:t>SG</w:t>
      </w:r>
      <w:r w:rsidRPr="006D7EE6">
        <w:rPr>
          <w:lang w:val="en-GB"/>
        </w:rPr>
        <w:t xml:space="preserve">s 5, 11, 16 and 20 have implemented a pilot project to increase the engagement of SMEs in the work of ITU. </w:t>
      </w:r>
      <w:r w:rsidR="00A47A10" w:rsidRPr="006D7EE6">
        <w:rPr>
          <w:lang w:val="en-GB"/>
        </w:rPr>
        <w:t xml:space="preserve">The participation of </w:t>
      </w:r>
      <w:r w:rsidRPr="006D7EE6">
        <w:rPr>
          <w:lang w:val="en-GB"/>
        </w:rPr>
        <w:t xml:space="preserve">16 SMEs </w:t>
      </w:r>
      <w:r w:rsidR="00A47A10" w:rsidRPr="006D7EE6">
        <w:rPr>
          <w:lang w:val="en-GB"/>
        </w:rPr>
        <w:t xml:space="preserve">in ITU-T </w:t>
      </w:r>
      <w:r w:rsidRPr="006D7EE6">
        <w:rPr>
          <w:lang w:val="en-GB"/>
        </w:rPr>
        <w:t>ha</w:t>
      </w:r>
      <w:r w:rsidR="00A47A10" w:rsidRPr="006D7EE6">
        <w:rPr>
          <w:lang w:val="en-GB"/>
        </w:rPr>
        <w:t xml:space="preserve">s </w:t>
      </w:r>
      <w:r w:rsidRPr="006D7EE6">
        <w:rPr>
          <w:lang w:val="en-GB"/>
        </w:rPr>
        <w:t xml:space="preserve">been approved by </w:t>
      </w:r>
      <w:r w:rsidR="00A47A10" w:rsidRPr="006D7EE6">
        <w:rPr>
          <w:lang w:val="en-GB"/>
        </w:rPr>
        <w:t xml:space="preserve">their </w:t>
      </w:r>
      <w:r w:rsidRPr="006D7EE6">
        <w:rPr>
          <w:lang w:val="en-GB"/>
        </w:rPr>
        <w:t xml:space="preserve">relevant administrations </w:t>
      </w:r>
      <w:r w:rsidR="00A47A10" w:rsidRPr="006D7EE6">
        <w:rPr>
          <w:lang w:val="en-GB"/>
        </w:rPr>
        <w:t xml:space="preserve">as part of </w:t>
      </w:r>
      <w:r w:rsidRPr="006D7EE6">
        <w:rPr>
          <w:lang w:val="en-GB"/>
        </w:rPr>
        <w:t>the pilot</w:t>
      </w:r>
      <w:r w:rsidR="00A47A10" w:rsidRPr="006D7EE6">
        <w:rPr>
          <w:lang w:val="en-GB"/>
        </w:rPr>
        <w:t xml:space="preserve"> project</w:t>
      </w:r>
      <w:r w:rsidRPr="006D7EE6">
        <w:rPr>
          <w:lang w:val="en-GB"/>
        </w:rPr>
        <w:t>.</w:t>
      </w:r>
    </w:p>
    <w:p w14:paraId="6FC3E6CF" w14:textId="77777777" w:rsidR="002136F6" w:rsidRPr="006D7EE6" w:rsidRDefault="002136F6" w:rsidP="002136F6">
      <w:pPr>
        <w:rPr>
          <w:lang w:val="en-GB"/>
        </w:rPr>
      </w:pPr>
      <w:proofErr w:type="gramStart"/>
      <w:r w:rsidRPr="00197466">
        <w:rPr>
          <w:lang w:val="en-GB"/>
        </w:rPr>
        <w:t>A number of</w:t>
      </w:r>
      <w:proofErr w:type="gramEnd"/>
      <w:r w:rsidRPr="00197466">
        <w:rPr>
          <w:lang w:val="en-GB"/>
        </w:rPr>
        <w:t xml:space="preserve"> SMEs currently participating in this pilot project have expressed a strong interest in applying for Associate status under the reduced fee structure contained in </w:t>
      </w:r>
      <w:r>
        <w:rPr>
          <w:lang w:val="en-GB"/>
        </w:rPr>
        <w:t xml:space="preserve">PP </w:t>
      </w:r>
      <w:r w:rsidRPr="00197466">
        <w:rPr>
          <w:lang w:val="en-GB"/>
        </w:rPr>
        <w:t>Resolution 209 (Dubai, 2018), which will come into effect on 31 January 2020.</w:t>
      </w:r>
    </w:p>
    <w:p w14:paraId="4A86D9BE" w14:textId="13C902ED" w:rsidR="00715DA1" w:rsidRPr="00932445" w:rsidRDefault="00A47A10" w:rsidP="001A5609">
      <w:pPr>
        <w:rPr>
          <w:lang w:val="en-GB"/>
        </w:rPr>
      </w:pPr>
      <w:r w:rsidRPr="00932445">
        <w:rPr>
          <w:lang w:val="en-GB"/>
        </w:rPr>
        <w:t>Examples of work underway as a result of th</w:t>
      </w:r>
      <w:r w:rsidR="0089517D">
        <w:rPr>
          <w:lang w:val="en-GB"/>
        </w:rPr>
        <w:t xml:space="preserve">e SME </w:t>
      </w:r>
      <w:r w:rsidRPr="00932445">
        <w:rPr>
          <w:lang w:val="en-GB"/>
        </w:rPr>
        <w:t>pilot project include</w:t>
      </w:r>
      <w:r w:rsidR="00715DA1" w:rsidRPr="00932445">
        <w:rPr>
          <w:lang w:val="en-GB"/>
        </w:rPr>
        <w:t>:</w:t>
      </w:r>
    </w:p>
    <w:p w14:paraId="4A9F6F37" w14:textId="156E0375" w:rsidR="00691998" w:rsidRPr="00932445" w:rsidRDefault="00715DA1" w:rsidP="009363BD">
      <w:pPr>
        <w:numPr>
          <w:ilvl w:val="0"/>
          <w:numId w:val="26"/>
        </w:numPr>
        <w:rPr>
          <w:lang w:val="en-GB"/>
        </w:rPr>
      </w:pPr>
      <w:r w:rsidRPr="00932445">
        <w:rPr>
          <w:lang w:val="en-GB"/>
        </w:rPr>
        <w:t xml:space="preserve">In </w:t>
      </w:r>
      <w:r w:rsidR="00A47A10" w:rsidRPr="00932445">
        <w:rPr>
          <w:lang w:val="en-GB"/>
        </w:rPr>
        <w:t xml:space="preserve">ITU-T </w:t>
      </w:r>
      <w:r w:rsidR="00CA2D85" w:rsidRPr="00932445">
        <w:rPr>
          <w:lang w:val="en-GB"/>
        </w:rPr>
        <w:t>SG5</w:t>
      </w:r>
      <w:r w:rsidR="00A47A10" w:rsidRPr="00932445">
        <w:rPr>
          <w:lang w:val="en-GB"/>
        </w:rPr>
        <w:t>,</w:t>
      </w:r>
      <w:r w:rsidR="00CA2D85" w:rsidRPr="00932445">
        <w:rPr>
          <w:lang w:val="en-GB"/>
        </w:rPr>
        <w:t xml:space="preserve"> </w:t>
      </w:r>
      <w:proofErr w:type="spellStart"/>
      <w:r w:rsidR="00691998" w:rsidRPr="00932445">
        <w:rPr>
          <w:lang w:val="en-GB"/>
        </w:rPr>
        <w:t>WaveControl</w:t>
      </w:r>
      <w:proofErr w:type="spellEnd"/>
      <w:r w:rsidR="00691998" w:rsidRPr="00932445">
        <w:rPr>
          <w:lang w:val="en-GB"/>
        </w:rPr>
        <w:t xml:space="preserve"> (Spain) le</w:t>
      </w:r>
      <w:r w:rsidR="00037A63" w:rsidRPr="00932445">
        <w:rPr>
          <w:lang w:val="en-GB"/>
        </w:rPr>
        <w:t>d</w:t>
      </w:r>
      <w:r w:rsidR="00691998" w:rsidRPr="00932445">
        <w:rPr>
          <w:lang w:val="en-GB"/>
        </w:rPr>
        <w:t xml:space="preserve"> the development of </w:t>
      </w:r>
      <w:r w:rsidR="00037A63" w:rsidRPr="00932445">
        <w:rPr>
          <w:lang w:val="en-GB"/>
        </w:rPr>
        <w:t xml:space="preserve">ITU-T K.145 </w:t>
      </w:r>
      <w:r w:rsidR="00CA2D85" w:rsidRPr="00932445">
        <w:rPr>
          <w:lang w:val="en-GB"/>
        </w:rPr>
        <w:t>"</w:t>
      </w:r>
      <w:r w:rsidR="00691998" w:rsidRPr="00932445">
        <w:rPr>
          <w:lang w:val="en-GB"/>
        </w:rPr>
        <w:t xml:space="preserve">Assessment and management of compliance with </w:t>
      </w:r>
      <w:r w:rsidR="00037A63" w:rsidRPr="00932445">
        <w:rPr>
          <w:lang w:val="en-GB"/>
        </w:rPr>
        <w:t xml:space="preserve">radio frequency electromagnetic field exposure </w:t>
      </w:r>
      <w:r w:rsidR="00691998" w:rsidRPr="00932445">
        <w:rPr>
          <w:lang w:val="en-GB"/>
        </w:rPr>
        <w:t>limits for workers at radiocommunication sites and facilities</w:t>
      </w:r>
      <w:r w:rsidR="00CA2D85" w:rsidRPr="00932445">
        <w:rPr>
          <w:lang w:val="en-GB"/>
        </w:rPr>
        <w:t>"</w:t>
      </w:r>
      <w:r w:rsidR="00204F07">
        <w:rPr>
          <w:lang w:val="en-GB"/>
        </w:rPr>
        <w:t xml:space="preserve"> (11/19)</w:t>
      </w:r>
      <w:r w:rsidR="00A47A10" w:rsidRPr="00932445">
        <w:rPr>
          <w:lang w:val="en-GB"/>
        </w:rPr>
        <w:t>;</w:t>
      </w:r>
      <w:r w:rsidR="00691998" w:rsidRPr="00932445">
        <w:rPr>
          <w:lang w:val="en-GB"/>
        </w:rPr>
        <w:t xml:space="preserve"> and MJRD Assessment Inc. </w:t>
      </w:r>
      <w:r w:rsidR="00691998" w:rsidRPr="00932445">
        <w:rPr>
          <w:lang w:val="en-GB"/>
        </w:rPr>
        <w:lastRenderedPageBreak/>
        <w:t xml:space="preserve">(Canada) is leading the development of </w:t>
      </w:r>
      <w:r w:rsidR="00A47A10" w:rsidRPr="00932445">
        <w:rPr>
          <w:lang w:val="en-GB"/>
        </w:rPr>
        <w:t xml:space="preserve">the </w:t>
      </w:r>
      <w:r w:rsidR="00E512E1" w:rsidRPr="00932445">
        <w:rPr>
          <w:lang w:val="en-GB"/>
        </w:rPr>
        <w:t xml:space="preserve">work item </w:t>
      </w:r>
      <w:r w:rsidR="00691998" w:rsidRPr="00932445">
        <w:rPr>
          <w:lang w:val="en-GB"/>
        </w:rPr>
        <w:t xml:space="preserve">L.SP_OB </w:t>
      </w:r>
      <w:r w:rsidR="00CA2D85" w:rsidRPr="00932445">
        <w:rPr>
          <w:lang w:val="en-GB"/>
        </w:rPr>
        <w:t>"</w:t>
      </w:r>
      <w:r w:rsidR="00691998" w:rsidRPr="00932445">
        <w:rPr>
          <w:lang w:val="en-GB"/>
        </w:rPr>
        <w:t>A methodology for improving, assessing and scoring the sustainability performance of office buildings</w:t>
      </w:r>
      <w:r w:rsidR="00CA2D85" w:rsidRPr="00932445">
        <w:rPr>
          <w:lang w:val="en-GB"/>
        </w:rPr>
        <w:t>"</w:t>
      </w:r>
      <w:r w:rsidR="00691998" w:rsidRPr="00932445">
        <w:rPr>
          <w:lang w:val="en-GB"/>
        </w:rPr>
        <w:t>.</w:t>
      </w:r>
    </w:p>
    <w:p w14:paraId="7E57F0D5" w14:textId="7C0BE82A" w:rsidR="005E08E7" w:rsidRPr="00313560" w:rsidRDefault="005E08E7" w:rsidP="009363BD">
      <w:pPr>
        <w:numPr>
          <w:ilvl w:val="0"/>
          <w:numId w:val="26"/>
        </w:numPr>
        <w:rPr>
          <w:lang w:val="en-GB"/>
        </w:rPr>
      </w:pPr>
      <w:r w:rsidRPr="00313560">
        <w:rPr>
          <w:lang w:val="en-GB"/>
        </w:rPr>
        <w:t xml:space="preserve">In ITU-T </w:t>
      </w:r>
      <w:r w:rsidR="00A47A10" w:rsidRPr="00313560">
        <w:rPr>
          <w:lang w:val="en-GB"/>
        </w:rPr>
        <w:t>SG</w:t>
      </w:r>
      <w:r w:rsidRPr="00313560">
        <w:rPr>
          <w:lang w:val="en-GB"/>
        </w:rPr>
        <w:t xml:space="preserve">11, </w:t>
      </w:r>
      <w:proofErr w:type="spellStart"/>
      <w:r w:rsidRPr="00313560">
        <w:rPr>
          <w:lang w:val="en-GB"/>
        </w:rPr>
        <w:t>Vaulto</w:t>
      </w:r>
      <w:proofErr w:type="spellEnd"/>
      <w:r w:rsidRPr="00313560">
        <w:rPr>
          <w:lang w:val="en-GB"/>
        </w:rPr>
        <w:t xml:space="preserve"> Technologies (Israel) contributed a </w:t>
      </w:r>
      <w:r w:rsidR="00A47A10" w:rsidRPr="00313560">
        <w:rPr>
          <w:lang w:val="en-GB"/>
        </w:rPr>
        <w:t>T</w:t>
      </w:r>
      <w:r w:rsidRPr="00313560">
        <w:rPr>
          <w:lang w:val="en-GB"/>
        </w:rPr>
        <w:t xml:space="preserve">echnical </w:t>
      </w:r>
      <w:r w:rsidR="00A47A10" w:rsidRPr="00313560">
        <w:rPr>
          <w:lang w:val="en-GB"/>
        </w:rPr>
        <w:t>R</w:t>
      </w:r>
      <w:r w:rsidRPr="00313560">
        <w:rPr>
          <w:lang w:val="en-GB"/>
        </w:rPr>
        <w:t xml:space="preserve">eport on </w:t>
      </w:r>
      <w:r w:rsidR="00313560" w:rsidRPr="00447741">
        <w:t xml:space="preserve">SS7 vulnerabilities and </w:t>
      </w:r>
      <w:r w:rsidR="00204F07">
        <w:t xml:space="preserve">associated </w:t>
      </w:r>
      <w:r w:rsidR="00313560" w:rsidRPr="00447741">
        <w:t xml:space="preserve">mitigation measures for digital financial </w:t>
      </w:r>
      <w:proofErr w:type="gramStart"/>
      <w:r w:rsidR="00313560" w:rsidRPr="00447741">
        <w:t>transactions</w:t>
      </w:r>
      <w:r w:rsidR="00204F07">
        <w:rPr>
          <w:lang w:val="en-GB"/>
        </w:rPr>
        <w:t>, and</w:t>
      </w:r>
      <w:proofErr w:type="gramEnd"/>
      <w:r w:rsidR="00204F07">
        <w:rPr>
          <w:lang w:val="en-GB"/>
        </w:rPr>
        <w:t xml:space="preserve"> continues to contribute to ITU-T SG11’s work to </w:t>
      </w:r>
      <w:r w:rsidR="00A47A10" w:rsidRPr="00313560">
        <w:rPr>
          <w:lang w:val="en-GB"/>
        </w:rPr>
        <w:t>assist network operators an</w:t>
      </w:r>
      <w:r w:rsidR="00313560">
        <w:rPr>
          <w:lang w:val="en-GB"/>
        </w:rPr>
        <w:t>d</w:t>
      </w:r>
      <w:r w:rsidR="00A47A10" w:rsidRPr="00313560">
        <w:rPr>
          <w:lang w:val="en-GB"/>
        </w:rPr>
        <w:t xml:space="preserve"> financial institutions in addressing SS7 security vulnerabilities</w:t>
      </w:r>
      <w:r w:rsidRPr="00313560">
        <w:rPr>
          <w:lang w:val="en-GB"/>
        </w:rPr>
        <w:t>.</w:t>
      </w:r>
    </w:p>
    <w:p w14:paraId="2DD254DF" w14:textId="52F40533" w:rsidR="00CA2D85" w:rsidRPr="006D7EE6" w:rsidRDefault="00CA2D85" w:rsidP="009363BD">
      <w:pPr>
        <w:numPr>
          <w:ilvl w:val="0"/>
          <w:numId w:val="26"/>
        </w:numPr>
        <w:rPr>
          <w:lang w:val="en-GB"/>
        </w:rPr>
      </w:pPr>
      <w:r w:rsidRPr="006D7EE6">
        <w:rPr>
          <w:lang w:val="en-GB"/>
        </w:rPr>
        <w:t xml:space="preserve">In ITU-T SG16, </w:t>
      </w:r>
      <w:proofErr w:type="spellStart"/>
      <w:r w:rsidRPr="006D7EE6">
        <w:rPr>
          <w:lang w:val="en-GB"/>
        </w:rPr>
        <w:t>Wayfindr</w:t>
      </w:r>
      <w:proofErr w:type="spellEnd"/>
      <w:r w:rsidRPr="006D7EE6">
        <w:rPr>
          <w:lang w:val="en-GB"/>
        </w:rPr>
        <w:t xml:space="preserve"> (UK) contributed the material that became ITU-T F.921 and FSTP-CONF-F921 on indoor and outdoor network navigation for persons with visual </w:t>
      </w:r>
      <w:r w:rsidR="00715DA1" w:rsidRPr="006D7EE6">
        <w:rPr>
          <w:lang w:val="en-GB"/>
        </w:rPr>
        <w:t>impairments.</w:t>
      </w:r>
    </w:p>
    <w:p w14:paraId="388FD5E3" w14:textId="5D5EC839" w:rsidR="00FB7CDF" w:rsidRPr="00F57FAD" w:rsidRDefault="00FB7CDF" w:rsidP="009E5FFA">
      <w:pPr>
        <w:pStyle w:val="Heading1"/>
      </w:pPr>
      <w:bookmarkStart w:id="170" w:name="_Toc31967173"/>
      <w:bookmarkStart w:id="171" w:name="_Toc438553987"/>
      <w:bookmarkStart w:id="172" w:name="_Toc453929111"/>
      <w:bookmarkStart w:id="173" w:name="_Toc453932982"/>
      <w:bookmarkStart w:id="174" w:name="_Toc454295888"/>
      <w:bookmarkStart w:id="175" w:name="_Toc462664268"/>
      <w:bookmarkStart w:id="176" w:name="_Toc480527861"/>
      <w:r w:rsidRPr="00F57FAD">
        <w:t>9</w:t>
      </w:r>
      <w:r w:rsidRPr="00F57FAD">
        <w:tab/>
        <w:t>Gender</w:t>
      </w:r>
      <w:bookmarkEnd w:id="170"/>
    </w:p>
    <w:p w14:paraId="1CBEDC34" w14:textId="018FA7C5" w:rsidR="006944F8" w:rsidRPr="007C0A96" w:rsidRDefault="006816D0" w:rsidP="002013A1">
      <w:pPr>
        <w:rPr>
          <w:lang w:val="en-GB"/>
        </w:rPr>
      </w:pPr>
      <w:r w:rsidRPr="007C0A96">
        <w:rPr>
          <w:lang w:val="en-GB"/>
        </w:rPr>
        <w:t xml:space="preserve">In alignment with </w:t>
      </w:r>
      <w:r w:rsidRPr="007C0A96">
        <w:rPr>
          <w:rFonts w:eastAsia="SimSun"/>
          <w:szCs w:val="24"/>
          <w:lang w:val="en-GB"/>
        </w:rPr>
        <w:t xml:space="preserve">ITU-T Resolution 55 (Rev. </w:t>
      </w:r>
      <w:proofErr w:type="spellStart"/>
      <w:r w:rsidRPr="007C0A96">
        <w:rPr>
          <w:rFonts w:eastAsia="SimSun"/>
          <w:szCs w:val="24"/>
          <w:lang w:val="en-GB"/>
        </w:rPr>
        <w:t>Hammamet</w:t>
      </w:r>
      <w:proofErr w:type="spellEnd"/>
      <w:r w:rsidR="00834621" w:rsidRPr="007C0A96">
        <w:rPr>
          <w:rFonts w:eastAsia="SimSun"/>
          <w:szCs w:val="24"/>
          <w:lang w:val="en-GB"/>
        </w:rPr>
        <w:t>, 2016</w:t>
      </w:r>
      <w:r w:rsidRPr="007C0A96">
        <w:rPr>
          <w:rFonts w:eastAsia="SimSun"/>
          <w:szCs w:val="24"/>
          <w:lang w:val="en-GB"/>
        </w:rPr>
        <w:t xml:space="preserve">), </w:t>
      </w:r>
      <w:r w:rsidR="006944F8" w:rsidRPr="007C0A96">
        <w:rPr>
          <w:lang w:val="en-GB"/>
        </w:rPr>
        <w:t xml:space="preserve">TSB continues </w:t>
      </w:r>
      <w:r w:rsidRPr="007C0A96">
        <w:rPr>
          <w:lang w:val="en-GB"/>
        </w:rPr>
        <w:t xml:space="preserve">to undertake actions to improve gender equality in TSB and ITU-T. </w:t>
      </w:r>
      <w:r w:rsidRPr="007C0A96">
        <w:rPr>
          <w:rFonts w:eastAsia="SimSun"/>
          <w:szCs w:val="24"/>
          <w:lang w:val="en-GB"/>
        </w:rPr>
        <w:t xml:space="preserve">TSB has endorsed the </w:t>
      </w:r>
      <w:r w:rsidR="00511627">
        <w:rPr>
          <w:rFonts w:eastAsia="SimSun"/>
          <w:szCs w:val="24"/>
          <w:lang w:val="en-GB"/>
        </w:rPr>
        <w:t>“</w:t>
      </w:r>
      <w:r w:rsidRPr="007C0A96">
        <w:rPr>
          <w:rFonts w:eastAsia="SimSun"/>
          <w:szCs w:val="24"/>
          <w:lang w:val="en-GB"/>
        </w:rPr>
        <w:t>Gender Responsive Standards</w:t>
      </w:r>
      <w:r w:rsidR="00511627">
        <w:rPr>
          <w:rFonts w:eastAsia="SimSun"/>
          <w:szCs w:val="24"/>
          <w:lang w:val="en-GB"/>
        </w:rPr>
        <w:t>”</w:t>
      </w:r>
      <w:r w:rsidRPr="007C0A96">
        <w:rPr>
          <w:rFonts w:eastAsia="SimSun"/>
          <w:szCs w:val="24"/>
          <w:lang w:val="en-GB"/>
        </w:rPr>
        <w:t xml:space="preserve"> initiative by UNECE</w:t>
      </w:r>
      <w:r w:rsidR="00BE7E0A" w:rsidRPr="007C0A96">
        <w:rPr>
          <w:rFonts w:eastAsia="SimSun"/>
          <w:szCs w:val="24"/>
          <w:lang w:val="en-GB"/>
        </w:rPr>
        <w:t xml:space="preserve"> which aims </w:t>
      </w:r>
      <w:r w:rsidRPr="007C0A96">
        <w:rPr>
          <w:rFonts w:eastAsia="SimSun"/>
          <w:szCs w:val="24"/>
          <w:lang w:val="en-GB"/>
        </w:rPr>
        <w:t>to improve gender balance in standards development and ensure that the content and impact</w:t>
      </w:r>
      <w:r w:rsidR="00BE7E0A" w:rsidRPr="007C0A96">
        <w:rPr>
          <w:rFonts w:eastAsia="SimSun"/>
          <w:szCs w:val="24"/>
          <w:lang w:val="en-GB"/>
        </w:rPr>
        <w:t>s</w:t>
      </w:r>
      <w:r w:rsidRPr="007C0A96">
        <w:rPr>
          <w:rFonts w:eastAsia="SimSun"/>
          <w:szCs w:val="24"/>
          <w:lang w:val="en-GB"/>
        </w:rPr>
        <w:t xml:space="preserve"> of standards are gender responsive.</w:t>
      </w:r>
      <w:r w:rsidR="00BE7E0A" w:rsidRPr="007C0A96">
        <w:rPr>
          <w:lang w:val="en-GB"/>
        </w:rPr>
        <w:t xml:space="preserve"> </w:t>
      </w:r>
      <w:r w:rsidR="006944F8" w:rsidRPr="007C0A96">
        <w:rPr>
          <w:lang w:val="en-GB"/>
        </w:rPr>
        <w:t>Diversity of staff, gender equality and the empowerment of women continue to be among TSB</w:t>
      </w:r>
      <w:r w:rsidR="00CA2D85" w:rsidRPr="007C0A96">
        <w:rPr>
          <w:lang w:val="en-GB"/>
        </w:rPr>
        <w:t>'</w:t>
      </w:r>
      <w:r w:rsidR="006944F8" w:rsidRPr="007C0A96">
        <w:rPr>
          <w:lang w:val="en-GB"/>
        </w:rPr>
        <w:t>s priorities.</w:t>
      </w:r>
    </w:p>
    <w:p w14:paraId="6112790D" w14:textId="22E0F510" w:rsidR="006944F8" w:rsidRPr="00F57FAD" w:rsidRDefault="002F0E38" w:rsidP="006944F8">
      <w:pPr>
        <w:pStyle w:val="Heading1"/>
      </w:pPr>
      <w:bookmarkStart w:id="177" w:name="_Toc31967174"/>
      <w:r w:rsidRPr="00F57FAD">
        <w:t>10</w:t>
      </w:r>
      <w:r w:rsidR="006944F8" w:rsidRPr="00F57FAD">
        <w:tab/>
        <w:t>Academia</w:t>
      </w:r>
      <w:bookmarkEnd w:id="171"/>
      <w:bookmarkEnd w:id="172"/>
      <w:bookmarkEnd w:id="173"/>
      <w:bookmarkEnd w:id="174"/>
      <w:bookmarkEnd w:id="175"/>
      <w:bookmarkEnd w:id="176"/>
      <w:bookmarkEnd w:id="177"/>
    </w:p>
    <w:p w14:paraId="1CBAD07A" w14:textId="44316472" w:rsidR="006944F8" w:rsidRPr="00F57FAD" w:rsidRDefault="002F0E38" w:rsidP="00C1421E">
      <w:pPr>
        <w:pStyle w:val="Heading2"/>
      </w:pPr>
      <w:bookmarkStart w:id="178" w:name="_Toc31967175"/>
      <w:r w:rsidRPr="00F57FAD">
        <w:t>10</w:t>
      </w:r>
      <w:r w:rsidR="006944F8" w:rsidRPr="00F57FAD">
        <w:t>.1</w:t>
      </w:r>
      <w:r w:rsidR="006944F8" w:rsidRPr="00F57FAD">
        <w:tab/>
        <w:t>ITU Kaleidoscope academic conferences</w:t>
      </w:r>
      <w:bookmarkEnd w:id="178"/>
    </w:p>
    <w:p w14:paraId="45DC8940" w14:textId="106A5B24" w:rsidR="006944F8" w:rsidRPr="005B0FB7" w:rsidRDefault="006944F8" w:rsidP="001C37A8">
      <w:pPr>
        <w:rPr>
          <w:lang w:val="en-GB"/>
        </w:rPr>
      </w:pPr>
      <w:r w:rsidRPr="005B0FB7">
        <w:rPr>
          <w:lang w:val="en-GB"/>
        </w:rPr>
        <w:t xml:space="preserve">The ITU Kaleidoscope series of peer-reviewed academic conferences – technically co-sponsored by the IEEE Communications Society </w:t>
      </w:r>
      <w:r w:rsidR="00DF7952">
        <w:rPr>
          <w:lang w:val="en-GB"/>
        </w:rPr>
        <w:t xml:space="preserve">(IEEE </w:t>
      </w:r>
      <w:proofErr w:type="spellStart"/>
      <w:r w:rsidR="00DF7952">
        <w:rPr>
          <w:lang w:val="en-GB"/>
        </w:rPr>
        <w:t>ComSoc</w:t>
      </w:r>
      <w:proofErr w:type="spellEnd"/>
      <w:r w:rsidR="00DF7952">
        <w:rPr>
          <w:lang w:val="en-GB"/>
        </w:rPr>
        <w:t xml:space="preserve">) </w:t>
      </w:r>
      <w:r w:rsidRPr="005B0FB7">
        <w:rPr>
          <w:lang w:val="en-GB"/>
        </w:rPr>
        <w:t>– calls for original research on ICT innovation and related demands on international standardization.</w:t>
      </w:r>
    </w:p>
    <w:p w14:paraId="6640E8EA" w14:textId="3F452A42" w:rsidR="00511627" w:rsidRDefault="00895B87" w:rsidP="001C37A8">
      <w:pPr>
        <w:rPr>
          <w:lang w:val="en-GB"/>
        </w:rPr>
      </w:pPr>
      <w:r w:rsidRPr="000A593C">
        <w:rPr>
          <w:lang w:val="en-GB"/>
        </w:rPr>
        <w:t>The 11</w:t>
      </w:r>
      <w:r w:rsidRPr="001759E6">
        <w:rPr>
          <w:vertAlign w:val="superscript"/>
          <w:lang w:val="en-GB"/>
        </w:rPr>
        <w:t>th</w:t>
      </w:r>
      <w:r w:rsidR="00395C7F">
        <w:rPr>
          <w:lang w:val="en-GB"/>
        </w:rPr>
        <w:t xml:space="preserve"> </w:t>
      </w:r>
      <w:r w:rsidR="00BE7E0A" w:rsidRPr="000A593C">
        <w:rPr>
          <w:lang w:val="en-GB"/>
        </w:rPr>
        <w:t>edition of Kaleidoscope,</w:t>
      </w:r>
      <w:r w:rsidRPr="000A593C">
        <w:rPr>
          <w:lang w:val="en-GB"/>
        </w:rPr>
        <w:t xml:space="preserve"> </w:t>
      </w:r>
      <w:hyperlink r:id="rId160" w:history="1">
        <w:r w:rsidRPr="007F0299">
          <w:rPr>
            <w:rStyle w:val="Hyperlink"/>
            <w:lang w:val="en-GB"/>
          </w:rPr>
          <w:t xml:space="preserve">Kaleidoscope 2019: </w:t>
        </w:r>
        <w:r w:rsidR="007F0299">
          <w:rPr>
            <w:rStyle w:val="Hyperlink"/>
            <w:lang w:val="en-GB"/>
          </w:rPr>
          <w:t>“</w:t>
        </w:r>
        <w:r w:rsidRPr="007F0299">
          <w:rPr>
            <w:rStyle w:val="Hyperlink"/>
            <w:lang w:val="en-GB"/>
          </w:rPr>
          <w:t>ICT for Health: Networks, standards and innovation</w:t>
        </w:r>
      </w:hyperlink>
      <w:r w:rsidR="007F0299">
        <w:rPr>
          <w:rStyle w:val="Hyperlink"/>
          <w:lang w:val="en-GB"/>
        </w:rPr>
        <w:t>”</w:t>
      </w:r>
      <w:r w:rsidRPr="000A593C">
        <w:rPr>
          <w:lang w:val="en-GB"/>
        </w:rPr>
        <w:t xml:space="preserve">, </w:t>
      </w:r>
      <w:r w:rsidR="00BE7E0A" w:rsidRPr="000A593C">
        <w:rPr>
          <w:lang w:val="en-GB"/>
        </w:rPr>
        <w:t>organized by ITU in</w:t>
      </w:r>
      <w:r w:rsidR="00F35A9A" w:rsidRPr="000A593C">
        <w:rPr>
          <w:lang w:val="en-GB"/>
        </w:rPr>
        <w:t xml:space="preserve"> collaboration with</w:t>
      </w:r>
      <w:r w:rsidR="00BE7E0A" w:rsidRPr="000A593C">
        <w:rPr>
          <w:lang w:val="en-GB"/>
        </w:rPr>
        <w:t xml:space="preserve"> WHO</w:t>
      </w:r>
      <w:r w:rsidR="00F35A9A" w:rsidRPr="000A593C">
        <w:rPr>
          <w:lang w:val="en-GB"/>
        </w:rPr>
        <w:t>, w</w:t>
      </w:r>
      <w:r w:rsidR="000A593C" w:rsidRPr="000A593C">
        <w:rPr>
          <w:lang w:val="en-GB"/>
        </w:rPr>
        <w:t>as</w:t>
      </w:r>
      <w:r w:rsidR="00F35A9A" w:rsidRPr="000A593C">
        <w:rPr>
          <w:lang w:val="en-GB"/>
        </w:rPr>
        <w:t xml:space="preserve"> </w:t>
      </w:r>
      <w:r w:rsidR="00BE7E0A" w:rsidRPr="000A593C">
        <w:rPr>
          <w:lang w:val="en-GB"/>
        </w:rPr>
        <w:t xml:space="preserve">held in Atlanta, U.S., </w:t>
      </w:r>
      <w:r w:rsidR="00F35A9A" w:rsidRPr="000A593C">
        <w:rPr>
          <w:lang w:val="en-GB"/>
        </w:rPr>
        <w:t>4-6 December 2019</w:t>
      </w:r>
      <w:r w:rsidR="00BE7E0A" w:rsidRPr="000A593C">
        <w:rPr>
          <w:lang w:val="en-GB"/>
        </w:rPr>
        <w:t xml:space="preserve">, </w:t>
      </w:r>
      <w:r w:rsidR="00F35A9A" w:rsidRPr="000A593C">
        <w:rPr>
          <w:lang w:val="en-GB"/>
        </w:rPr>
        <w:t xml:space="preserve">hosted by </w:t>
      </w:r>
      <w:r w:rsidR="00BE7E0A" w:rsidRPr="000A593C">
        <w:rPr>
          <w:lang w:val="en-GB"/>
        </w:rPr>
        <w:t>ITU Academia member</w:t>
      </w:r>
      <w:r w:rsidR="00DF7952">
        <w:rPr>
          <w:lang w:val="en-GB"/>
        </w:rPr>
        <w:t xml:space="preserve"> </w:t>
      </w:r>
      <w:r w:rsidR="00BE7E0A" w:rsidRPr="000A593C">
        <w:rPr>
          <w:lang w:val="en-GB"/>
        </w:rPr>
        <w:t xml:space="preserve">the </w:t>
      </w:r>
      <w:r w:rsidR="00F35A9A" w:rsidRPr="000A593C">
        <w:rPr>
          <w:lang w:val="en-GB"/>
        </w:rPr>
        <w:t>Georgia Institute of Technology.</w:t>
      </w:r>
      <w:r w:rsidR="00C535A5" w:rsidRPr="000A593C">
        <w:rPr>
          <w:lang w:val="en-GB"/>
        </w:rPr>
        <w:t xml:space="preserve"> IEEE, IEEE </w:t>
      </w:r>
      <w:proofErr w:type="spellStart"/>
      <w:r w:rsidR="00C535A5" w:rsidRPr="000A593C">
        <w:rPr>
          <w:lang w:val="en-GB"/>
        </w:rPr>
        <w:t>ComSoc</w:t>
      </w:r>
      <w:proofErr w:type="spellEnd"/>
      <w:r w:rsidR="00F35A9A" w:rsidRPr="000A593C">
        <w:rPr>
          <w:lang w:val="en-GB"/>
        </w:rPr>
        <w:t xml:space="preserve"> </w:t>
      </w:r>
      <w:r w:rsidR="00C535A5" w:rsidRPr="000A593C">
        <w:rPr>
          <w:lang w:val="en-GB"/>
        </w:rPr>
        <w:t xml:space="preserve">and </w:t>
      </w:r>
      <w:r w:rsidR="00C535A5" w:rsidRPr="00662764">
        <w:rPr>
          <w:iCs/>
          <w:lang w:val="en-GB"/>
        </w:rPr>
        <w:t>The Lancet Digital Health</w:t>
      </w:r>
      <w:r w:rsidR="00C535A5" w:rsidRPr="000A593C">
        <w:rPr>
          <w:lang w:val="en-GB"/>
        </w:rPr>
        <w:t xml:space="preserve"> </w:t>
      </w:r>
      <w:r w:rsidR="00DF7952">
        <w:rPr>
          <w:lang w:val="en-GB"/>
        </w:rPr>
        <w:t xml:space="preserve">were </w:t>
      </w:r>
      <w:r w:rsidR="00F35A9A" w:rsidRPr="000A593C">
        <w:rPr>
          <w:lang w:val="en-GB"/>
        </w:rPr>
        <w:t>technical co-sponsors</w:t>
      </w:r>
      <w:r w:rsidR="00BE7E0A" w:rsidRPr="000A593C">
        <w:rPr>
          <w:lang w:val="en-GB"/>
        </w:rPr>
        <w:t xml:space="preserve"> </w:t>
      </w:r>
      <w:r w:rsidR="00CB6CB5" w:rsidRPr="000A593C">
        <w:rPr>
          <w:lang w:val="en-GB"/>
        </w:rPr>
        <w:t xml:space="preserve">of </w:t>
      </w:r>
      <w:r w:rsidR="00BE7E0A" w:rsidRPr="000A593C">
        <w:rPr>
          <w:lang w:val="en-GB"/>
        </w:rPr>
        <w:t>Kaleidoscope 2019</w:t>
      </w:r>
      <w:r w:rsidR="00DF7952">
        <w:rPr>
          <w:lang w:val="en-GB"/>
        </w:rPr>
        <w:t>.</w:t>
      </w:r>
    </w:p>
    <w:p w14:paraId="66E3CA40" w14:textId="651F3B17" w:rsidR="00895B87" w:rsidRPr="00C45FF5" w:rsidRDefault="00F60C99" w:rsidP="001C37A8">
      <w:pPr>
        <w:rPr>
          <w:highlight w:val="magenta"/>
          <w:lang w:val="en-GB"/>
        </w:rPr>
      </w:pPr>
      <w:hyperlink r:id="rId161" w:history="1">
        <w:r w:rsidR="00511627" w:rsidRPr="00EE2DC8">
          <w:rPr>
            <w:rStyle w:val="Hyperlink"/>
            <w:lang w:val="en-GB"/>
          </w:rPr>
          <w:t>Kaleidoscope’s winning paper</w:t>
        </w:r>
      </w:hyperlink>
      <w:r w:rsidR="00511627" w:rsidRPr="00E643C8">
        <w:rPr>
          <w:lang w:val="en-GB"/>
        </w:rPr>
        <w:t xml:space="preserve"> proposes to extend the password-authenticated key exchange protocols – the weak ‘shared secret’ model of authentication, often dependent on usernames and passwords – with other authentication factors, such as biometrics. The proposal aims to enable secure access to digital health services, especially for people with disabilities relying on assistive devices.</w:t>
      </w:r>
    </w:p>
    <w:p w14:paraId="59B4AFB0" w14:textId="5693D455" w:rsidR="006944F8" w:rsidRPr="00F57FAD" w:rsidRDefault="006944F8" w:rsidP="00C1421E">
      <w:pPr>
        <w:pStyle w:val="Heading2"/>
      </w:pPr>
      <w:bookmarkStart w:id="179" w:name="_Toc31967176"/>
      <w:r w:rsidRPr="00F57FAD">
        <w:t>1</w:t>
      </w:r>
      <w:r w:rsidR="002F0E38" w:rsidRPr="00F57FAD">
        <w:t>0</w:t>
      </w:r>
      <w:r w:rsidRPr="00F57FAD">
        <w:t>.2</w:t>
      </w:r>
      <w:r w:rsidRPr="00F57FAD">
        <w:tab/>
        <w:t xml:space="preserve">ITU Journal: </w:t>
      </w:r>
      <w:r w:rsidRPr="001759E6">
        <w:rPr>
          <w:i/>
          <w:iCs/>
        </w:rPr>
        <w:t>ICT Discoveries</w:t>
      </w:r>
      <w:bookmarkEnd w:id="179"/>
    </w:p>
    <w:p w14:paraId="40F1A4AA" w14:textId="4C54841A" w:rsidR="00F35A9A" w:rsidRPr="001759E6" w:rsidRDefault="00DF7952" w:rsidP="001C37A8">
      <w:pPr>
        <w:rPr>
          <w:lang w:val="en-GB"/>
        </w:rPr>
      </w:pPr>
      <w:r>
        <w:rPr>
          <w:lang w:val="en-GB"/>
        </w:rPr>
        <w:t xml:space="preserve">November 2019 saw the publication of </w:t>
      </w:r>
      <w:r w:rsidR="00BE7E0A" w:rsidRPr="001759E6">
        <w:rPr>
          <w:lang w:val="en-GB"/>
        </w:rPr>
        <w:t xml:space="preserve">a </w:t>
      </w:r>
      <w:r w:rsidR="00F35A9A" w:rsidRPr="001759E6">
        <w:rPr>
          <w:lang w:val="en-GB"/>
        </w:rPr>
        <w:t xml:space="preserve">new special issue </w:t>
      </w:r>
      <w:r>
        <w:rPr>
          <w:lang w:val="en-GB"/>
        </w:rPr>
        <w:t xml:space="preserve">of the ITU Journal </w:t>
      </w:r>
      <w:r w:rsidR="00F35A9A" w:rsidRPr="001759E6">
        <w:rPr>
          <w:lang w:val="en-GB"/>
        </w:rPr>
        <w:t>o</w:t>
      </w:r>
      <w:r w:rsidR="00BE7E0A" w:rsidRPr="001759E6">
        <w:rPr>
          <w:lang w:val="en-GB"/>
        </w:rPr>
        <w:t>n</w:t>
      </w:r>
      <w:r w:rsidR="00F35A9A" w:rsidRPr="001759E6">
        <w:rPr>
          <w:lang w:val="en-GB"/>
        </w:rPr>
        <w:t xml:space="preserve"> </w:t>
      </w:r>
      <w:r w:rsidR="00CA2D85" w:rsidRPr="001759E6">
        <w:rPr>
          <w:lang w:val="en-GB"/>
        </w:rPr>
        <w:t>"</w:t>
      </w:r>
      <w:hyperlink r:id="rId162" w:history="1">
        <w:r w:rsidR="00F35A9A" w:rsidRPr="001759E6">
          <w:rPr>
            <w:rStyle w:val="Hyperlink"/>
            <w:lang w:val="en-GB"/>
          </w:rPr>
          <w:t>Propagatio</w:t>
        </w:r>
        <w:r>
          <w:rPr>
            <w:rStyle w:val="Hyperlink"/>
            <w:lang w:val="en-GB"/>
          </w:rPr>
          <w:t>n</w:t>
        </w:r>
        <w:r w:rsidR="00F35A9A" w:rsidRPr="001759E6">
          <w:rPr>
            <w:rStyle w:val="Hyperlink"/>
            <w:lang w:val="en-GB"/>
          </w:rPr>
          <w:t xml:space="preserve"> modelling for advanced future radio systems – Challenges for a congested radio spectrum</w:t>
        </w:r>
      </w:hyperlink>
      <w:r w:rsidR="00CA2D85" w:rsidRPr="001759E6">
        <w:rPr>
          <w:lang w:val="en-GB"/>
        </w:rPr>
        <w:t>"</w:t>
      </w:r>
      <w:r w:rsidR="00F35A9A" w:rsidRPr="001759E6">
        <w:rPr>
          <w:lang w:val="en-GB"/>
        </w:rPr>
        <w:t>.</w:t>
      </w:r>
      <w:r>
        <w:rPr>
          <w:lang w:val="en-GB"/>
        </w:rPr>
        <w:t xml:space="preserve"> The next </w:t>
      </w:r>
      <w:r w:rsidR="00F35A9A" w:rsidRPr="001759E6">
        <w:rPr>
          <w:lang w:val="en-GB"/>
        </w:rPr>
        <w:t xml:space="preserve">special issue </w:t>
      </w:r>
      <w:r>
        <w:rPr>
          <w:lang w:val="en-GB"/>
        </w:rPr>
        <w:t>of the ITU Journal will address</w:t>
      </w:r>
      <w:r w:rsidR="00F35A9A" w:rsidRPr="001759E6">
        <w:rPr>
          <w:lang w:val="en-GB"/>
        </w:rPr>
        <w:t xml:space="preserve"> </w:t>
      </w:r>
      <w:r w:rsidR="00CA2D85" w:rsidRPr="001759E6">
        <w:rPr>
          <w:lang w:val="en-GB"/>
        </w:rPr>
        <w:t>"</w:t>
      </w:r>
      <w:hyperlink r:id="rId163" w:history="1">
        <w:r w:rsidR="00F35A9A" w:rsidRPr="001759E6">
          <w:rPr>
            <w:rStyle w:val="Hyperlink"/>
            <w:lang w:val="en-GB"/>
          </w:rPr>
          <w:t>The future of video and immersive media</w:t>
        </w:r>
      </w:hyperlink>
      <w:r w:rsidR="00CA2D85" w:rsidRPr="001759E6">
        <w:rPr>
          <w:lang w:val="en-GB"/>
        </w:rPr>
        <w:t>"</w:t>
      </w:r>
      <w:r>
        <w:rPr>
          <w:lang w:val="en-GB"/>
        </w:rPr>
        <w:t>.</w:t>
      </w:r>
    </w:p>
    <w:p w14:paraId="0A5366F3" w14:textId="74EDE313" w:rsidR="009201EC" w:rsidRDefault="009201EC" w:rsidP="009201EC">
      <w:pPr>
        <w:rPr>
          <w:lang w:val="en-GB"/>
        </w:rPr>
      </w:pPr>
      <w:r>
        <w:rPr>
          <w:lang w:val="en-GB"/>
        </w:rPr>
        <w:t xml:space="preserve">November 2019 saw the publication of </w:t>
      </w:r>
      <w:r w:rsidRPr="001759E6">
        <w:rPr>
          <w:lang w:val="en-GB"/>
        </w:rPr>
        <w:t xml:space="preserve">a new special issue </w:t>
      </w:r>
      <w:r>
        <w:rPr>
          <w:lang w:val="en-GB"/>
        </w:rPr>
        <w:t xml:space="preserve">of the ITU Journal </w:t>
      </w:r>
      <w:r w:rsidRPr="001759E6">
        <w:rPr>
          <w:lang w:val="en-GB"/>
        </w:rPr>
        <w:t xml:space="preserve">on </w:t>
      </w:r>
      <w:hyperlink r:id="rId164" w:history="1">
        <w:r>
          <w:rPr>
            <w:rStyle w:val="Hyperlink"/>
            <w:lang w:val="en-GB"/>
          </w:rPr>
          <w:t>“P</w:t>
        </w:r>
        <w:r w:rsidRPr="001759E6">
          <w:rPr>
            <w:rStyle w:val="Hyperlink"/>
            <w:lang w:val="en-GB"/>
          </w:rPr>
          <w:t>ropagatio</w:t>
        </w:r>
        <w:r>
          <w:rPr>
            <w:rStyle w:val="Hyperlink"/>
            <w:lang w:val="en-GB"/>
          </w:rPr>
          <w:t>n</w:t>
        </w:r>
        <w:r w:rsidRPr="001759E6">
          <w:rPr>
            <w:rStyle w:val="Hyperlink"/>
            <w:lang w:val="en-GB"/>
          </w:rPr>
          <w:t xml:space="preserve"> modelling for advanced future radio systems – Challenges for a congested radio spectru</w:t>
        </w:r>
        <w:r>
          <w:rPr>
            <w:rStyle w:val="Hyperlink"/>
            <w:lang w:val="en-GB"/>
          </w:rPr>
          <w:t>m”</w:t>
        </w:r>
      </w:hyperlink>
      <w:r w:rsidRPr="001759E6">
        <w:rPr>
          <w:lang w:val="en-GB"/>
        </w:rPr>
        <w:t>.</w:t>
      </w:r>
      <w:r>
        <w:rPr>
          <w:lang w:val="en-GB"/>
        </w:rPr>
        <w:t xml:space="preserve"> The next </w:t>
      </w:r>
      <w:r w:rsidRPr="001759E6">
        <w:rPr>
          <w:lang w:val="en-GB"/>
        </w:rPr>
        <w:t xml:space="preserve">special issue </w:t>
      </w:r>
      <w:r>
        <w:rPr>
          <w:lang w:val="en-GB"/>
        </w:rPr>
        <w:t xml:space="preserve">of the ITU Journal will address </w:t>
      </w:r>
      <w:hyperlink r:id="rId165" w:history="1">
        <w:r>
          <w:rPr>
            <w:rStyle w:val="Hyperlink"/>
            <w:lang w:val="en-GB"/>
          </w:rPr>
          <w:t>“T</w:t>
        </w:r>
        <w:r w:rsidRPr="001759E6">
          <w:rPr>
            <w:rStyle w:val="Hyperlink"/>
            <w:lang w:val="en-GB"/>
          </w:rPr>
          <w:t>he future of video and immersive medi</w:t>
        </w:r>
        <w:r>
          <w:rPr>
            <w:rStyle w:val="Hyperlink"/>
            <w:lang w:val="en-GB"/>
          </w:rPr>
          <w:t>a”</w:t>
        </w:r>
      </w:hyperlink>
      <w:r w:rsidR="00B74075">
        <w:rPr>
          <w:lang w:val="en-GB"/>
        </w:rPr>
        <w:t>.</w:t>
      </w:r>
    </w:p>
    <w:p w14:paraId="1E947447" w14:textId="3B56C1BE" w:rsidR="009201EC" w:rsidRPr="001759E6" w:rsidRDefault="009201EC" w:rsidP="009201EC">
      <w:pPr>
        <w:rPr>
          <w:lang w:val="en-GB"/>
        </w:rPr>
      </w:pPr>
      <w:r w:rsidRPr="00395C7F">
        <w:rPr>
          <w:lang w:val="en-GB"/>
        </w:rPr>
        <w:t xml:space="preserve">ITU </w:t>
      </w:r>
      <w:r>
        <w:rPr>
          <w:lang w:val="en-GB"/>
        </w:rPr>
        <w:t xml:space="preserve">has also </w:t>
      </w:r>
      <w:r w:rsidRPr="00395C7F">
        <w:rPr>
          <w:lang w:val="en-GB"/>
        </w:rPr>
        <w:t>signed a co-publishing agreement with Tsinghua University Press Ltd.</w:t>
      </w:r>
      <w:r>
        <w:rPr>
          <w:lang w:val="en-GB"/>
        </w:rPr>
        <w:t xml:space="preserve"> in support of a </w:t>
      </w:r>
      <w:r w:rsidRPr="00395C7F">
        <w:rPr>
          <w:lang w:val="en-GB"/>
        </w:rPr>
        <w:t>new</w:t>
      </w:r>
      <w:r>
        <w:rPr>
          <w:lang w:val="en-GB"/>
        </w:rPr>
        <w:t xml:space="preserve"> </w:t>
      </w:r>
      <w:r w:rsidRPr="00395C7F">
        <w:rPr>
          <w:lang w:val="en-GB"/>
        </w:rPr>
        <w:t xml:space="preserve">joint publication, under the framework of the ITU Journal: </w:t>
      </w:r>
      <w:r w:rsidRPr="001759E6">
        <w:rPr>
          <w:i/>
          <w:iCs/>
          <w:lang w:val="en-GB"/>
        </w:rPr>
        <w:t>ICT Discoveries</w:t>
      </w:r>
      <w:r w:rsidRPr="00395C7F">
        <w:rPr>
          <w:lang w:val="en-GB"/>
        </w:rPr>
        <w:t xml:space="preserve">, </w:t>
      </w:r>
      <w:r>
        <w:rPr>
          <w:lang w:val="en-GB"/>
        </w:rPr>
        <w:t xml:space="preserve">to be </w:t>
      </w:r>
      <w:r w:rsidRPr="00395C7F">
        <w:rPr>
          <w:lang w:val="en-GB"/>
        </w:rPr>
        <w:t>launch</w:t>
      </w:r>
      <w:r>
        <w:rPr>
          <w:lang w:val="en-GB"/>
        </w:rPr>
        <w:t>ed</w:t>
      </w:r>
      <w:r w:rsidRPr="00395C7F">
        <w:rPr>
          <w:lang w:val="en-GB"/>
        </w:rPr>
        <w:t xml:space="preserve"> in the first quarter of 2020</w:t>
      </w:r>
      <w:r w:rsidRPr="001759E6">
        <w:rPr>
          <w:lang w:val="en-GB"/>
        </w:rPr>
        <w:t>.</w:t>
      </w:r>
    </w:p>
    <w:p w14:paraId="05484A99" w14:textId="52820AE0" w:rsidR="006944F8" w:rsidRPr="00F57FAD" w:rsidRDefault="006944F8" w:rsidP="00C1421E">
      <w:pPr>
        <w:pStyle w:val="Heading2"/>
      </w:pPr>
      <w:bookmarkStart w:id="180" w:name="_Toc31967177"/>
      <w:r w:rsidRPr="00F57FAD">
        <w:t>1</w:t>
      </w:r>
      <w:r w:rsidR="002F0E38" w:rsidRPr="00F57FAD">
        <w:t>0</w:t>
      </w:r>
      <w:r w:rsidRPr="00F57FAD">
        <w:t>.3</w:t>
      </w:r>
      <w:r w:rsidRPr="00F57FAD">
        <w:tab/>
        <w:t>World Standards Cooperation and Academia</w:t>
      </w:r>
      <w:bookmarkEnd w:id="180"/>
    </w:p>
    <w:p w14:paraId="41628F1F" w14:textId="0E10D182" w:rsidR="006944F8" w:rsidRPr="00337A18" w:rsidRDefault="006944F8" w:rsidP="001C37A8">
      <w:pPr>
        <w:rPr>
          <w:lang w:val="en-GB"/>
        </w:rPr>
      </w:pPr>
      <w:r w:rsidRPr="00337A18">
        <w:rPr>
          <w:lang w:val="en-GB"/>
        </w:rPr>
        <w:t>IEC, ISO and</w:t>
      </w:r>
      <w:r w:rsidR="008D184E" w:rsidRPr="00337A18">
        <w:rPr>
          <w:lang w:val="en-GB"/>
        </w:rPr>
        <w:t xml:space="preserve"> ITU </w:t>
      </w:r>
      <w:r w:rsidRPr="00337A18">
        <w:rPr>
          <w:lang w:val="en-GB"/>
        </w:rPr>
        <w:t xml:space="preserve">organize </w:t>
      </w:r>
      <w:r w:rsidR="008077A1" w:rsidRPr="00337A18">
        <w:rPr>
          <w:lang w:val="en-GB"/>
        </w:rPr>
        <w:t xml:space="preserve">academic events under the banner of the </w:t>
      </w:r>
      <w:r w:rsidRPr="00337A18">
        <w:rPr>
          <w:lang w:val="en-GB"/>
        </w:rPr>
        <w:t>World Standards Cooperation</w:t>
      </w:r>
      <w:r w:rsidR="008077A1" w:rsidRPr="00337A18">
        <w:rPr>
          <w:lang w:val="en-GB"/>
        </w:rPr>
        <w:t xml:space="preserve"> to </w:t>
      </w:r>
      <w:r w:rsidRPr="00337A18">
        <w:rPr>
          <w:lang w:val="en-GB"/>
        </w:rPr>
        <w:t xml:space="preserve">discuss the role </w:t>
      </w:r>
      <w:r w:rsidR="008077A1" w:rsidRPr="00337A18">
        <w:rPr>
          <w:lang w:val="en-GB"/>
        </w:rPr>
        <w:t xml:space="preserve">played by </w:t>
      </w:r>
      <w:r w:rsidRPr="00337A18">
        <w:rPr>
          <w:lang w:val="en-GB"/>
        </w:rPr>
        <w:t>academia in the standards-development process.</w:t>
      </w:r>
      <w:r w:rsidR="009201EC">
        <w:rPr>
          <w:lang w:val="en-GB"/>
        </w:rPr>
        <w:t xml:space="preserve"> See relevant </w:t>
      </w:r>
      <w:hyperlink r:id="rId166" w:history="1">
        <w:r w:rsidR="009201EC" w:rsidRPr="009201EC">
          <w:rPr>
            <w:rStyle w:val="Hyperlink"/>
            <w:lang w:val="en-GB"/>
          </w:rPr>
          <w:t>web page</w:t>
        </w:r>
      </w:hyperlink>
      <w:r w:rsidR="00B74075">
        <w:rPr>
          <w:lang w:val="en-GB"/>
        </w:rPr>
        <w:t>.</w:t>
      </w:r>
    </w:p>
    <w:p w14:paraId="7D19734C" w14:textId="7DE2D75C" w:rsidR="006944F8" w:rsidRPr="00AA3856" w:rsidRDefault="006944F8" w:rsidP="001C37A8">
      <w:pPr>
        <w:rPr>
          <w:lang w:val="en-GB"/>
        </w:rPr>
      </w:pPr>
      <w:r w:rsidRPr="00AA3856">
        <w:rPr>
          <w:lang w:val="en-GB"/>
        </w:rPr>
        <w:lastRenderedPageBreak/>
        <w:t>WSC Academic Day</w:t>
      </w:r>
      <w:r w:rsidR="008077A1" w:rsidRPr="00AA3856">
        <w:rPr>
          <w:lang w:val="en-GB"/>
        </w:rPr>
        <w:t>s</w:t>
      </w:r>
      <w:r w:rsidRPr="00AA3856">
        <w:rPr>
          <w:lang w:val="en-GB"/>
        </w:rPr>
        <w:t xml:space="preserve"> took place in China (2011), Indonesia (2012), France (2013), Canada (2014), Korea (2015), Germany (2016), </w:t>
      </w:r>
      <w:r w:rsidR="008D184E" w:rsidRPr="00AA3856">
        <w:rPr>
          <w:lang w:val="en-GB"/>
        </w:rPr>
        <w:t xml:space="preserve">the </w:t>
      </w:r>
      <w:r w:rsidRPr="00AA3856">
        <w:rPr>
          <w:lang w:val="en-GB"/>
        </w:rPr>
        <w:t>U</w:t>
      </w:r>
      <w:r w:rsidR="003D4F6B" w:rsidRPr="00AA3856">
        <w:rPr>
          <w:lang w:val="en-GB"/>
        </w:rPr>
        <w:t>.S.</w:t>
      </w:r>
      <w:r w:rsidRPr="00AA3856">
        <w:rPr>
          <w:lang w:val="en-GB"/>
        </w:rPr>
        <w:t xml:space="preserve"> (2017)</w:t>
      </w:r>
      <w:r w:rsidR="00F35A9A" w:rsidRPr="00AA3856">
        <w:rPr>
          <w:lang w:val="en-GB"/>
        </w:rPr>
        <w:t xml:space="preserve"> and Indonesia (2018)</w:t>
      </w:r>
      <w:r w:rsidR="008D184E" w:rsidRPr="00AA3856">
        <w:rPr>
          <w:lang w:val="en-GB"/>
        </w:rPr>
        <w:t>. These events are held</w:t>
      </w:r>
      <w:r w:rsidRPr="00AA3856">
        <w:rPr>
          <w:lang w:val="en-GB"/>
        </w:rPr>
        <w:t xml:space="preserve"> in conjunction with the annual International Cooperation for Education about Standardization (ICES) conferences.</w:t>
      </w:r>
    </w:p>
    <w:p w14:paraId="2BA7DD1F" w14:textId="1F1B7101" w:rsidR="00F35A9A" w:rsidRPr="00AA3856" w:rsidRDefault="00F35A9A" w:rsidP="001C37A8">
      <w:pPr>
        <w:rPr>
          <w:rFonts w:eastAsia="Arial"/>
          <w:lang w:val="en-GB"/>
        </w:rPr>
      </w:pPr>
      <w:r w:rsidRPr="00AA3856">
        <w:rPr>
          <w:lang w:val="en-GB"/>
        </w:rPr>
        <w:t xml:space="preserve">WSC Academic Day 2019 </w:t>
      </w:r>
      <w:r w:rsidR="006D0FC9">
        <w:rPr>
          <w:lang w:val="en-GB"/>
        </w:rPr>
        <w:t>was held</w:t>
      </w:r>
      <w:r w:rsidRPr="00AA3856">
        <w:rPr>
          <w:lang w:val="en-GB"/>
        </w:rPr>
        <w:t xml:space="preserve"> </w:t>
      </w:r>
      <w:r w:rsidR="008077A1" w:rsidRPr="00AA3856">
        <w:rPr>
          <w:lang w:val="en-GB"/>
        </w:rPr>
        <w:t>in Belgrade, Serbia,</w:t>
      </w:r>
      <w:r w:rsidRPr="00AA3856">
        <w:rPr>
          <w:lang w:val="en-GB"/>
        </w:rPr>
        <w:t xml:space="preserve"> 11 October 2019, hosted by the University of Belgrade. The central theme </w:t>
      </w:r>
      <w:r w:rsidR="008077A1" w:rsidRPr="00AA3856">
        <w:rPr>
          <w:lang w:val="en-GB"/>
        </w:rPr>
        <w:t xml:space="preserve">of WSC </w:t>
      </w:r>
      <w:r w:rsidRPr="00AA3856">
        <w:rPr>
          <w:lang w:val="en-GB"/>
        </w:rPr>
        <w:t xml:space="preserve">Academic Day </w:t>
      </w:r>
      <w:r w:rsidR="008077A1" w:rsidRPr="00AA3856">
        <w:rPr>
          <w:lang w:val="en-GB"/>
        </w:rPr>
        <w:t>2019 w</w:t>
      </w:r>
      <w:r w:rsidR="00AA3856" w:rsidRPr="00AA3856">
        <w:rPr>
          <w:lang w:val="en-GB"/>
        </w:rPr>
        <w:t>as</w:t>
      </w:r>
      <w:r w:rsidR="008077A1" w:rsidRPr="00AA3856">
        <w:rPr>
          <w:lang w:val="en-GB"/>
        </w:rPr>
        <w:t xml:space="preserve"> </w:t>
      </w:r>
      <w:r w:rsidRPr="00AA3856">
        <w:rPr>
          <w:lang w:val="en-GB"/>
        </w:rPr>
        <w:t>the economic, social and environmental benefits of International Standards.</w:t>
      </w:r>
    </w:p>
    <w:p w14:paraId="5FD8F3B0" w14:textId="21782E0F" w:rsidR="006944F8" w:rsidRPr="00F57FAD" w:rsidRDefault="002F0E38" w:rsidP="006944F8">
      <w:pPr>
        <w:pStyle w:val="Heading1"/>
      </w:pPr>
      <w:bookmarkStart w:id="181" w:name="_Toc462664274"/>
      <w:bookmarkStart w:id="182" w:name="_Toc480527863"/>
      <w:bookmarkStart w:id="183" w:name="_Toc31967178"/>
      <w:bookmarkStart w:id="184" w:name="_Toc453929120"/>
      <w:bookmarkStart w:id="185" w:name="_Toc453932991"/>
      <w:bookmarkStart w:id="186" w:name="_Toc454295897"/>
      <w:bookmarkStart w:id="187" w:name="_Toc387390042"/>
      <w:bookmarkStart w:id="188" w:name="_Toc416161372"/>
      <w:bookmarkStart w:id="189" w:name="_Toc438553998"/>
      <w:r w:rsidRPr="00F57FAD">
        <w:t>11</w:t>
      </w:r>
      <w:r w:rsidR="006944F8" w:rsidRPr="00F57FAD">
        <w:tab/>
        <w:t>Publications</w:t>
      </w:r>
      <w:bookmarkEnd w:id="181"/>
      <w:bookmarkEnd w:id="182"/>
      <w:bookmarkEnd w:id="183"/>
    </w:p>
    <w:p w14:paraId="21098919" w14:textId="6CD7B478" w:rsidR="006944F8" w:rsidRPr="001759E6" w:rsidRDefault="006944F8" w:rsidP="002013A1">
      <w:pPr>
        <w:rPr>
          <w:lang w:val="en-GB"/>
        </w:rPr>
      </w:pPr>
      <w:r w:rsidRPr="001759E6">
        <w:rPr>
          <w:lang w:val="en-GB"/>
        </w:rPr>
        <w:t xml:space="preserve">Over </w:t>
      </w:r>
      <w:r w:rsidR="00714A0C">
        <w:rPr>
          <w:lang w:val="en-GB"/>
        </w:rPr>
        <w:t>6</w:t>
      </w:r>
      <w:r w:rsidR="008D184E" w:rsidRPr="001759E6">
        <w:rPr>
          <w:lang w:val="en-GB"/>
        </w:rPr>
        <w:t>,</w:t>
      </w:r>
      <w:r w:rsidR="001F724D" w:rsidRPr="001759E6">
        <w:rPr>
          <w:lang w:val="en-GB"/>
        </w:rPr>
        <w:t>0</w:t>
      </w:r>
      <w:r w:rsidRPr="001759E6">
        <w:rPr>
          <w:lang w:val="en-GB"/>
        </w:rPr>
        <w:t xml:space="preserve">00 pages of ITU-T Recommendations and Supplements were published between </w:t>
      </w:r>
      <w:r w:rsidR="00714A0C" w:rsidRPr="001759E6">
        <w:rPr>
          <w:lang w:val="en-GB"/>
        </w:rPr>
        <w:t xml:space="preserve">September </w:t>
      </w:r>
      <w:r w:rsidR="00AC4C00" w:rsidRPr="001759E6">
        <w:rPr>
          <w:lang w:val="en-GB"/>
        </w:rPr>
        <w:t xml:space="preserve">and </w:t>
      </w:r>
      <w:r w:rsidR="00714A0C" w:rsidRPr="001759E6">
        <w:rPr>
          <w:lang w:val="en-GB"/>
        </w:rPr>
        <w:t>mid-December</w:t>
      </w:r>
      <w:r w:rsidR="00AC4C00" w:rsidRPr="001759E6">
        <w:rPr>
          <w:lang w:val="en-GB"/>
        </w:rPr>
        <w:t xml:space="preserve"> </w:t>
      </w:r>
      <w:r w:rsidRPr="001759E6">
        <w:rPr>
          <w:lang w:val="en-GB"/>
        </w:rPr>
        <w:t>201</w:t>
      </w:r>
      <w:r w:rsidR="00AC4C00" w:rsidRPr="001759E6">
        <w:rPr>
          <w:lang w:val="en-GB"/>
        </w:rPr>
        <w:t>9</w:t>
      </w:r>
      <w:r w:rsidRPr="001759E6">
        <w:rPr>
          <w:lang w:val="en-GB"/>
        </w:rPr>
        <w:t xml:space="preserve">. Figure 4 illustrates the number of Recommendations (including Supplements) published per year </w:t>
      </w:r>
      <w:r w:rsidR="004C0A18" w:rsidRPr="001759E6">
        <w:rPr>
          <w:lang w:val="en-GB"/>
        </w:rPr>
        <w:t>since 201</w:t>
      </w:r>
      <w:r w:rsidR="009A4E2D" w:rsidRPr="001759E6">
        <w:rPr>
          <w:lang w:val="en-GB"/>
        </w:rPr>
        <w:t>6</w:t>
      </w:r>
      <w:r w:rsidR="0021319C" w:rsidRPr="001759E6">
        <w:rPr>
          <w:lang w:val="en-GB"/>
        </w:rPr>
        <w:t xml:space="preserve">, </w:t>
      </w:r>
      <w:r w:rsidR="00345610" w:rsidRPr="001759E6">
        <w:rPr>
          <w:lang w:val="en-GB"/>
        </w:rPr>
        <w:t>not</w:t>
      </w:r>
      <w:r w:rsidR="0021319C" w:rsidRPr="001759E6">
        <w:rPr>
          <w:lang w:val="en-GB"/>
        </w:rPr>
        <w:t>ing</w:t>
      </w:r>
      <w:r w:rsidR="00345610" w:rsidRPr="001759E6">
        <w:rPr>
          <w:lang w:val="en-GB"/>
        </w:rPr>
        <w:t xml:space="preserve"> that 201</w:t>
      </w:r>
      <w:r w:rsidR="00AC4C00" w:rsidRPr="001759E6">
        <w:rPr>
          <w:lang w:val="en-GB"/>
        </w:rPr>
        <w:t>9</w:t>
      </w:r>
      <w:r w:rsidR="00345610" w:rsidRPr="001759E6">
        <w:rPr>
          <w:lang w:val="en-GB"/>
        </w:rPr>
        <w:t xml:space="preserve"> </w:t>
      </w:r>
      <w:r w:rsidR="009A4E2D" w:rsidRPr="001759E6">
        <w:rPr>
          <w:lang w:val="en-GB"/>
        </w:rPr>
        <w:t xml:space="preserve">covers only until </w:t>
      </w:r>
      <w:r w:rsidR="00714A0C" w:rsidRPr="001759E6">
        <w:rPr>
          <w:lang w:val="en-GB"/>
        </w:rPr>
        <w:t>mid-December</w:t>
      </w:r>
      <w:r w:rsidRPr="001759E6">
        <w:rPr>
          <w:lang w:val="en-GB"/>
        </w:rPr>
        <w:t>.</w:t>
      </w:r>
    </w:p>
    <w:p w14:paraId="05DD359D" w14:textId="0DB5C077" w:rsidR="006944F8" w:rsidRDefault="006944F8" w:rsidP="002013A1">
      <w:pPr>
        <w:rPr>
          <w:lang w:val="en-GB"/>
        </w:rPr>
      </w:pPr>
      <w:r w:rsidRPr="001759E6">
        <w:rPr>
          <w:lang w:val="en-GB"/>
        </w:rPr>
        <w:t xml:space="preserve">All major </w:t>
      </w:r>
      <w:r w:rsidR="00427B15">
        <w:rPr>
          <w:lang w:val="en-GB"/>
        </w:rPr>
        <w:t>editions</w:t>
      </w:r>
      <w:r w:rsidR="00714A0C" w:rsidRPr="001759E6">
        <w:rPr>
          <w:lang w:val="en-GB"/>
        </w:rPr>
        <w:t xml:space="preserve"> </w:t>
      </w:r>
      <w:r w:rsidRPr="001759E6">
        <w:rPr>
          <w:lang w:val="en-GB"/>
        </w:rPr>
        <w:t xml:space="preserve">of ITU-T Recommendations are now also being </w:t>
      </w:r>
      <w:r w:rsidR="00AC4C00" w:rsidRPr="001759E6">
        <w:rPr>
          <w:lang w:val="en-GB"/>
        </w:rPr>
        <w:t xml:space="preserve">converted to </w:t>
      </w:r>
      <w:r w:rsidRPr="001759E6">
        <w:rPr>
          <w:lang w:val="en-GB"/>
        </w:rPr>
        <w:t xml:space="preserve">the reflowable </w:t>
      </w:r>
      <w:proofErr w:type="spellStart"/>
      <w:r w:rsidRPr="001759E6">
        <w:rPr>
          <w:lang w:val="en-GB"/>
        </w:rPr>
        <w:t>ePub</w:t>
      </w:r>
      <w:proofErr w:type="spellEnd"/>
      <w:r w:rsidRPr="001759E6">
        <w:rPr>
          <w:lang w:val="en-GB"/>
        </w:rPr>
        <w:t xml:space="preserve"> </w:t>
      </w:r>
      <w:proofErr w:type="gramStart"/>
      <w:r w:rsidRPr="001759E6">
        <w:rPr>
          <w:lang w:val="en-GB"/>
        </w:rPr>
        <w:t xml:space="preserve">format, </w:t>
      </w:r>
      <w:r w:rsidR="00AC4C00" w:rsidRPr="001759E6">
        <w:rPr>
          <w:lang w:val="en-GB"/>
        </w:rPr>
        <w:t>and</w:t>
      </w:r>
      <w:proofErr w:type="gramEnd"/>
      <w:r w:rsidR="00AC4C00" w:rsidRPr="001759E6">
        <w:rPr>
          <w:lang w:val="en-GB"/>
        </w:rPr>
        <w:t xml:space="preserve"> </w:t>
      </w:r>
      <w:r w:rsidR="00427B15">
        <w:rPr>
          <w:lang w:val="en-GB"/>
        </w:rPr>
        <w:t>are</w:t>
      </w:r>
      <w:r w:rsidR="00714A0C" w:rsidRPr="001759E6">
        <w:rPr>
          <w:lang w:val="en-GB"/>
        </w:rPr>
        <w:t xml:space="preserve"> </w:t>
      </w:r>
      <w:r w:rsidR="00AC4C00" w:rsidRPr="001759E6">
        <w:rPr>
          <w:lang w:val="en-GB"/>
        </w:rPr>
        <w:t xml:space="preserve">published for free download </w:t>
      </w:r>
      <w:r w:rsidRPr="001759E6">
        <w:rPr>
          <w:lang w:val="en-GB"/>
        </w:rPr>
        <w:t xml:space="preserve">alongside the usual PDF format. The </w:t>
      </w:r>
      <w:proofErr w:type="spellStart"/>
      <w:r w:rsidRPr="001759E6">
        <w:rPr>
          <w:lang w:val="en-GB"/>
        </w:rPr>
        <w:t>ePub</w:t>
      </w:r>
      <w:proofErr w:type="spellEnd"/>
      <w:r w:rsidRPr="001759E6">
        <w:rPr>
          <w:lang w:val="en-GB"/>
        </w:rPr>
        <w:t xml:space="preserve"> format allows users to read the Recommendations on devices of different screen sizes, </w:t>
      </w:r>
      <w:proofErr w:type="gramStart"/>
      <w:r w:rsidRPr="001759E6">
        <w:rPr>
          <w:lang w:val="en-GB"/>
        </w:rPr>
        <w:t xml:space="preserve">and </w:t>
      </w:r>
      <w:r w:rsidR="008D184E" w:rsidRPr="001759E6">
        <w:rPr>
          <w:lang w:val="en-GB"/>
        </w:rPr>
        <w:t>also</w:t>
      </w:r>
      <w:proofErr w:type="gramEnd"/>
      <w:r w:rsidR="008D184E" w:rsidRPr="001759E6">
        <w:rPr>
          <w:lang w:val="en-GB"/>
        </w:rPr>
        <w:t xml:space="preserve"> </w:t>
      </w:r>
      <w:r w:rsidRPr="001759E6">
        <w:rPr>
          <w:lang w:val="en-GB"/>
        </w:rPr>
        <w:t xml:space="preserve">to </w:t>
      </w:r>
      <w:r w:rsidR="008D184E" w:rsidRPr="001759E6">
        <w:rPr>
          <w:lang w:val="en-GB"/>
        </w:rPr>
        <w:t xml:space="preserve">apply functions such as </w:t>
      </w:r>
      <w:r w:rsidRPr="001759E6">
        <w:rPr>
          <w:lang w:val="en-GB"/>
        </w:rPr>
        <w:t>bookmark</w:t>
      </w:r>
      <w:r w:rsidR="008D184E" w:rsidRPr="001759E6">
        <w:rPr>
          <w:lang w:val="en-GB"/>
        </w:rPr>
        <w:t>s</w:t>
      </w:r>
      <w:r w:rsidRPr="001759E6">
        <w:rPr>
          <w:lang w:val="en-GB"/>
        </w:rPr>
        <w:t>, notes and highlight</w:t>
      </w:r>
      <w:r w:rsidR="008D184E" w:rsidRPr="001759E6">
        <w:rPr>
          <w:lang w:val="en-GB"/>
        </w:rPr>
        <w:t>s</w:t>
      </w:r>
      <w:r w:rsidR="009D2CA5" w:rsidRPr="001759E6">
        <w:rPr>
          <w:lang w:val="en-GB"/>
        </w:rPr>
        <w:t>.</w:t>
      </w:r>
    </w:p>
    <w:p w14:paraId="1F097B78" w14:textId="73B8C9E4" w:rsidR="00714A0C" w:rsidRPr="001759E6" w:rsidRDefault="00714A0C" w:rsidP="002013A1">
      <w:pPr>
        <w:rPr>
          <w:lang w:val="en-GB"/>
        </w:rPr>
      </w:pPr>
      <w:r>
        <w:rPr>
          <w:lang w:val="en-GB"/>
        </w:rPr>
        <w:t xml:space="preserve">As approved by TSAG, most corrigenda and amendments to ITU-T Recommendations are </w:t>
      </w:r>
      <w:r w:rsidR="00427B15">
        <w:rPr>
          <w:lang w:val="en-GB"/>
        </w:rPr>
        <w:t>now</w:t>
      </w:r>
      <w:r w:rsidR="006D0FC9">
        <w:rPr>
          <w:lang w:val="en-GB"/>
        </w:rPr>
        <w:t xml:space="preserve"> </w:t>
      </w:r>
      <w:r>
        <w:rPr>
          <w:lang w:val="en-GB"/>
        </w:rPr>
        <w:t xml:space="preserve">integrated into the main edition. The changes introduced by the amendment or corrigendum are </w:t>
      </w:r>
      <w:r w:rsidR="00427B15">
        <w:rPr>
          <w:lang w:val="en-GB"/>
        </w:rPr>
        <w:t xml:space="preserve">still </w:t>
      </w:r>
      <w:r>
        <w:rPr>
          <w:lang w:val="en-GB"/>
        </w:rPr>
        <w:t xml:space="preserve">shown </w:t>
      </w:r>
      <w:r w:rsidR="006D0FC9">
        <w:rPr>
          <w:lang w:val="en-GB"/>
        </w:rPr>
        <w:t>in</w:t>
      </w:r>
      <w:r>
        <w:rPr>
          <w:lang w:val="en-GB"/>
        </w:rPr>
        <w:t xml:space="preserve"> revision marks.</w:t>
      </w:r>
    </w:p>
    <w:p w14:paraId="125E7DFD" w14:textId="13261283" w:rsidR="006944F8" w:rsidRPr="001759E6" w:rsidRDefault="006944F8" w:rsidP="002013A1">
      <w:pPr>
        <w:rPr>
          <w:lang w:val="en-GB"/>
        </w:rPr>
      </w:pPr>
      <w:r w:rsidRPr="001759E6">
        <w:rPr>
          <w:lang w:val="en-GB"/>
        </w:rPr>
        <w:t xml:space="preserve">The ITU product </w:t>
      </w:r>
      <w:r w:rsidR="00CA2D85" w:rsidRPr="001759E6">
        <w:rPr>
          <w:lang w:val="en-GB"/>
        </w:rPr>
        <w:t>"</w:t>
      </w:r>
      <w:r w:rsidRPr="001759E6">
        <w:rPr>
          <w:lang w:val="en-GB"/>
        </w:rPr>
        <w:t>ITU-T Recommendations and selected Handbooks</w:t>
      </w:r>
      <w:r w:rsidR="00CA2D85" w:rsidRPr="001759E6">
        <w:rPr>
          <w:lang w:val="en-GB"/>
        </w:rPr>
        <w:t>"</w:t>
      </w:r>
      <w:r w:rsidRPr="001759E6">
        <w:rPr>
          <w:lang w:val="en-GB"/>
        </w:rPr>
        <w:t xml:space="preserve"> continues to be distributed on a quarterly basis as a USB key. This product represents a tool of great value to standards developers and implementers as a consolidated archive of the over 4</w:t>
      </w:r>
      <w:r w:rsidR="008D184E" w:rsidRPr="001759E6">
        <w:rPr>
          <w:lang w:val="en-GB"/>
        </w:rPr>
        <w:t>,</w:t>
      </w:r>
      <w:r w:rsidRPr="001759E6">
        <w:rPr>
          <w:lang w:val="en-GB"/>
        </w:rPr>
        <w:t>000 ITU-T standards in force. The USB key incorporates advanced search tools, including detailed search-by-content capabilities. Search parameters can be defined by keywords, time</w:t>
      </w:r>
      <w:r w:rsidR="00427B15">
        <w:rPr>
          <w:lang w:val="en-GB"/>
        </w:rPr>
        <w:t xml:space="preserve"> </w:t>
      </w:r>
      <w:r w:rsidRPr="001759E6">
        <w:rPr>
          <w:lang w:val="en-GB"/>
        </w:rPr>
        <w:t xml:space="preserve">frame and </w:t>
      </w:r>
      <w:r w:rsidR="00F1765F">
        <w:rPr>
          <w:lang w:val="en-GB"/>
        </w:rPr>
        <w:t>SG</w:t>
      </w:r>
      <w:r w:rsidRPr="001759E6">
        <w:rPr>
          <w:lang w:val="en-GB"/>
        </w:rPr>
        <w:t>, among others, with searches applicable to the title or the full text of the standard.</w:t>
      </w:r>
    </w:p>
    <w:p w14:paraId="44D397D8" w14:textId="10A55991" w:rsidR="009673A2" w:rsidRPr="001759E6" w:rsidRDefault="001F724D" w:rsidP="009673A2">
      <w:pPr>
        <w:jc w:val="center"/>
        <w:rPr>
          <w:lang w:val="en-GB"/>
        </w:rPr>
      </w:pPr>
      <w:r w:rsidRPr="001759E6">
        <w:rPr>
          <w:lang w:val="en-GB" w:eastAsia="en-GB"/>
        </w:rPr>
        <w:t xml:space="preserve"> </w:t>
      </w:r>
      <w:r w:rsidR="00427B15" w:rsidRPr="00427B15">
        <w:rPr>
          <w:noProof/>
          <w:lang w:val="en-GB" w:eastAsia="en-GB"/>
        </w:rPr>
        <w:drawing>
          <wp:inline distT="0" distB="0" distL="0" distR="0" wp14:anchorId="3EDD7958" wp14:editId="62E537EE">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7"/>
              </a:graphicData>
            </a:graphic>
          </wp:inline>
        </w:drawing>
      </w:r>
    </w:p>
    <w:p w14:paraId="7003E41E" w14:textId="3047179A" w:rsidR="006944F8" w:rsidRPr="001759E6" w:rsidRDefault="006944F8" w:rsidP="00A51CCB">
      <w:pPr>
        <w:jc w:val="center"/>
        <w:rPr>
          <w:rFonts w:eastAsia="MS Mincho"/>
          <w:b/>
          <w:bCs/>
          <w:szCs w:val="24"/>
          <w:lang w:val="en-GB"/>
        </w:rPr>
      </w:pPr>
      <w:bookmarkStart w:id="190" w:name="_Toc16780647"/>
      <w:r w:rsidRPr="001759E6">
        <w:rPr>
          <w:rFonts w:eastAsia="MS Mincho"/>
          <w:b/>
          <w:bCs/>
          <w:szCs w:val="24"/>
          <w:lang w:val="en-GB"/>
        </w:rPr>
        <w:t xml:space="preserve">Figure </w:t>
      </w:r>
      <w:r w:rsidR="00C1421E" w:rsidRPr="001759E6">
        <w:rPr>
          <w:rFonts w:eastAsia="MS Mincho"/>
          <w:b/>
          <w:bCs/>
          <w:szCs w:val="24"/>
          <w:lang w:val="en-GB"/>
        </w:rPr>
        <w:fldChar w:fldCharType="begin"/>
      </w:r>
      <w:r w:rsidR="00C1421E" w:rsidRPr="001759E6">
        <w:rPr>
          <w:rFonts w:eastAsia="MS Mincho"/>
          <w:b/>
          <w:bCs/>
          <w:szCs w:val="24"/>
          <w:lang w:val="en-GB"/>
        </w:rPr>
        <w:instrText xml:space="preserve"> SEQ Figure \* ARABIC </w:instrText>
      </w:r>
      <w:r w:rsidR="00C1421E" w:rsidRPr="001759E6">
        <w:rPr>
          <w:rFonts w:eastAsia="MS Mincho"/>
          <w:b/>
          <w:bCs/>
          <w:szCs w:val="24"/>
          <w:lang w:val="en-GB"/>
        </w:rPr>
        <w:fldChar w:fldCharType="separate"/>
      </w:r>
      <w:r w:rsidR="00C1421E" w:rsidRPr="001759E6">
        <w:rPr>
          <w:rFonts w:eastAsia="MS Mincho"/>
          <w:b/>
          <w:bCs/>
          <w:szCs w:val="24"/>
          <w:lang w:val="en-GB"/>
        </w:rPr>
        <w:t>4</w:t>
      </w:r>
      <w:r w:rsidR="00C1421E" w:rsidRPr="001759E6">
        <w:rPr>
          <w:rFonts w:eastAsia="MS Mincho"/>
          <w:b/>
          <w:bCs/>
          <w:szCs w:val="24"/>
          <w:lang w:val="en-GB"/>
        </w:rPr>
        <w:fldChar w:fldCharType="end"/>
      </w:r>
      <w:r w:rsidRPr="001759E6">
        <w:rPr>
          <w:rFonts w:eastAsia="MS Mincho"/>
          <w:b/>
          <w:bCs/>
          <w:szCs w:val="24"/>
          <w:lang w:val="en-GB"/>
        </w:rPr>
        <w:t xml:space="preserve"> – Number of Recommendations, amendments and Supplements </w:t>
      </w:r>
      <w:r w:rsidRPr="001759E6">
        <w:rPr>
          <w:rFonts w:eastAsia="MS Mincho"/>
          <w:b/>
          <w:bCs/>
          <w:szCs w:val="24"/>
          <w:lang w:val="en-GB"/>
        </w:rPr>
        <w:br/>
        <w:t>published per year since 201</w:t>
      </w:r>
      <w:r w:rsidR="009A4E2D" w:rsidRPr="001759E6">
        <w:rPr>
          <w:rFonts w:eastAsia="MS Mincho"/>
          <w:b/>
          <w:bCs/>
          <w:szCs w:val="24"/>
          <w:lang w:val="en-GB"/>
        </w:rPr>
        <w:t>6</w:t>
      </w:r>
      <w:bookmarkEnd w:id="190"/>
    </w:p>
    <w:p w14:paraId="605353D9" w14:textId="074AE6DF" w:rsidR="006944F8" w:rsidRPr="00F57FAD" w:rsidRDefault="006944F8" w:rsidP="006944F8">
      <w:pPr>
        <w:pStyle w:val="Heading1"/>
      </w:pPr>
      <w:bookmarkStart w:id="191" w:name="_Toc462664275"/>
      <w:bookmarkStart w:id="192" w:name="_Toc480527864"/>
      <w:bookmarkStart w:id="193" w:name="_Toc31967179"/>
      <w:r w:rsidRPr="00F57FAD">
        <w:t>1</w:t>
      </w:r>
      <w:r w:rsidR="002F0E38" w:rsidRPr="00F57FAD">
        <w:t>2</w:t>
      </w:r>
      <w:r w:rsidRPr="00F57FAD">
        <w:tab/>
      </w:r>
      <w:bookmarkStart w:id="194" w:name="_Toc480527865"/>
      <w:bookmarkStart w:id="195" w:name="_Toc505235939"/>
      <w:bookmarkEnd w:id="184"/>
      <w:bookmarkEnd w:id="185"/>
      <w:bookmarkEnd w:id="186"/>
      <w:bookmarkEnd w:id="187"/>
      <w:bookmarkEnd w:id="188"/>
      <w:bookmarkEnd w:id="189"/>
      <w:bookmarkEnd w:id="191"/>
      <w:bookmarkEnd w:id="192"/>
      <w:r w:rsidRPr="00F57FAD">
        <w:t>Media and promotion</w:t>
      </w:r>
      <w:bookmarkEnd w:id="194"/>
      <w:bookmarkEnd w:id="195"/>
      <w:bookmarkEnd w:id="193"/>
    </w:p>
    <w:p w14:paraId="2B0A2FA8" w14:textId="509D3D4A" w:rsidR="004E6F00" w:rsidRPr="00F57FAD" w:rsidRDefault="006944F8" w:rsidP="001C37A8">
      <w:pPr>
        <w:rPr>
          <w:lang w:val="en-GB"/>
        </w:rPr>
      </w:pPr>
      <w:r w:rsidRPr="00F57FAD">
        <w:rPr>
          <w:lang w:val="en-GB"/>
        </w:rPr>
        <w:t>TSB maintains a consistent output of original ITU-T news content, coupled with a coordinated social media strategy led by the ITU General Secretar</w:t>
      </w:r>
      <w:r w:rsidR="00084C58" w:rsidRPr="00F57FAD">
        <w:rPr>
          <w:lang w:val="en-GB"/>
        </w:rPr>
        <w:t>iat.</w:t>
      </w:r>
    </w:p>
    <w:p w14:paraId="657F0167" w14:textId="6BBF5427" w:rsidR="004E6F00" w:rsidRPr="00F57FAD" w:rsidRDefault="004258B1" w:rsidP="001C37A8">
      <w:pPr>
        <w:rPr>
          <w:lang w:val="en-GB"/>
        </w:rPr>
      </w:pPr>
      <w:r w:rsidRPr="00F57FAD">
        <w:rPr>
          <w:lang w:val="en-GB"/>
        </w:rPr>
        <w:lastRenderedPageBreak/>
        <w:t>TSB produces the most communications of any sector and these communications feature among the most popular ITU content each year.</w:t>
      </w:r>
      <w:r w:rsidR="004E6F00" w:rsidRPr="00F57FAD">
        <w:rPr>
          <w:lang w:val="en-GB"/>
        </w:rPr>
        <w:t xml:space="preserve"> </w:t>
      </w:r>
      <w:r w:rsidR="006944F8" w:rsidRPr="00F57FAD">
        <w:rPr>
          <w:lang w:val="en-GB"/>
        </w:rPr>
        <w:t xml:space="preserve">ITU-T news is published on the new </w:t>
      </w:r>
      <w:hyperlink r:id="rId168" w:history="1">
        <w:r w:rsidR="006944F8" w:rsidRPr="00F57FAD">
          <w:rPr>
            <w:rStyle w:val="Hyperlink"/>
            <w:lang w:val="en-GB"/>
          </w:rPr>
          <w:t>ITU News platform</w:t>
        </w:r>
      </w:hyperlink>
      <w:r w:rsidR="001D7B96" w:rsidRPr="00F57FAD">
        <w:rPr>
          <w:lang w:val="en-GB"/>
        </w:rPr>
        <w:t xml:space="preserve">, a </w:t>
      </w:r>
      <w:r w:rsidRPr="00F57FAD">
        <w:rPr>
          <w:lang w:val="en-GB"/>
        </w:rPr>
        <w:t xml:space="preserve">mobile-optimized platform </w:t>
      </w:r>
      <w:r w:rsidR="001D7B96" w:rsidRPr="00F57FAD">
        <w:rPr>
          <w:lang w:val="en-GB"/>
        </w:rPr>
        <w:t xml:space="preserve">which </w:t>
      </w:r>
      <w:r w:rsidRPr="00F57FAD">
        <w:rPr>
          <w:lang w:val="en-GB"/>
        </w:rPr>
        <w:t xml:space="preserve">supports the incorporation of multimedia and improves search-engine results and sharing. A new </w:t>
      </w:r>
      <w:hyperlink r:id="rId169" w:history="1">
        <w:r w:rsidR="00CA2D85" w:rsidRPr="00F57FAD">
          <w:rPr>
            <w:rStyle w:val="Hyperlink"/>
            <w:lang w:val="en-GB"/>
          </w:rPr>
          <w:t>'</w:t>
        </w:r>
        <w:r w:rsidRPr="00F57FAD">
          <w:rPr>
            <w:rStyle w:val="Hyperlink"/>
            <w:lang w:val="en-GB"/>
          </w:rPr>
          <w:t>Standards</w:t>
        </w:r>
        <w:r w:rsidR="00CA2D85" w:rsidRPr="00F57FAD">
          <w:rPr>
            <w:rStyle w:val="Hyperlink"/>
            <w:lang w:val="en-GB"/>
          </w:rPr>
          <w:t>'</w:t>
        </w:r>
        <w:r w:rsidRPr="00F57FAD">
          <w:rPr>
            <w:rStyle w:val="Hyperlink"/>
            <w:lang w:val="en-GB"/>
          </w:rPr>
          <w:t xml:space="preserve"> category of ITU News</w:t>
        </w:r>
      </w:hyperlink>
      <w:r w:rsidRPr="00F57FAD">
        <w:rPr>
          <w:lang w:val="en-GB"/>
        </w:rPr>
        <w:t xml:space="preserve"> focuses </w:t>
      </w:r>
      <w:r w:rsidR="00BE3030" w:rsidRPr="00F57FAD">
        <w:rPr>
          <w:lang w:val="en-GB"/>
        </w:rPr>
        <w:t>on the work of ITU-R and ITU-T.</w:t>
      </w:r>
    </w:p>
    <w:p w14:paraId="77C49CE5" w14:textId="3C3BCA4F" w:rsidR="006944F8" w:rsidRPr="00F57FAD" w:rsidRDefault="004E6F00" w:rsidP="001C37A8">
      <w:pPr>
        <w:rPr>
          <w:lang w:val="en-GB"/>
        </w:rPr>
      </w:pPr>
      <w:r w:rsidRPr="00F57FAD">
        <w:rPr>
          <w:lang w:val="en-GB"/>
        </w:rPr>
        <w:t xml:space="preserve">TSB communications are systematically distributed using a variety of social media channels including Twitter, Facebook, LinkedIn, Weibo and YouTube. </w:t>
      </w:r>
      <w:r w:rsidR="00F053CB" w:rsidRPr="00F57FAD">
        <w:rPr>
          <w:lang w:val="en-GB"/>
        </w:rPr>
        <w:t xml:space="preserve">Infographics, animations and video form part of coordinated </w:t>
      </w:r>
      <w:r w:rsidR="00B74075">
        <w:rPr>
          <w:lang w:val="en-GB"/>
        </w:rPr>
        <w:t>packages of TSB communications.</w:t>
      </w:r>
    </w:p>
    <w:p w14:paraId="4CC40111" w14:textId="77777777" w:rsidR="006944F8" w:rsidRPr="00F57FAD" w:rsidRDefault="006944F8" w:rsidP="001C37A8">
      <w:pPr>
        <w:rPr>
          <w:lang w:val="en-GB"/>
        </w:rPr>
      </w:pPr>
      <w:r w:rsidRPr="00F57FAD">
        <w:rPr>
          <w:lang w:val="en-GB"/>
        </w:rPr>
        <w:t>High-priority ITU-T news topics include:</w:t>
      </w:r>
    </w:p>
    <w:p w14:paraId="49B61ACC" w14:textId="6152DEFA" w:rsidR="00150C92" w:rsidRPr="00662764" w:rsidRDefault="006944F8" w:rsidP="009363BD">
      <w:pPr>
        <w:numPr>
          <w:ilvl w:val="0"/>
          <w:numId w:val="11"/>
        </w:numPr>
        <w:rPr>
          <w:lang w:val="en-GB"/>
        </w:rPr>
      </w:pPr>
      <w:r w:rsidRPr="00662764">
        <w:rPr>
          <w:lang w:val="en-GB"/>
        </w:rPr>
        <w:t>Transport and access</w:t>
      </w:r>
      <w:r w:rsidR="001D7B96" w:rsidRPr="00662764">
        <w:rPr>
          <w:lang w:val="en-GB"/>
        </w:rPr>
        <w:t>,</w:t>
      </w:r>
      <w:r w:rsidRPr="00662764">
        <w:rPr>
          <w:lang w:val="en-GB"/>
        </w:rPr>
        <w:t xml:space="preserve"> video coding</w:t>
      </w:r>
      <w:r w:rsidR="001D7B96" w:rsidRPr="00662764">
        <w:rPr>
          <w:lang w:val="en-GB"/>
        </w:rPr>
        <w:t xml:space="preserve">, </w:t>
      </w:r>
      <w:r w:rsidRPr="00662764">
        <w:rPr>
          <w:lang w:val="en-GB"/>
        </w:rPr>
        <w:t xml:space="preserve">and performance, QoS and </w:t>
      </w:r>
      <w:proofErr w:type="spellStart"/>
      <w:r w:rsidRPr="00662764">
        <w:rPr>
          <w:lang w:val="en-GB"/>
        </w:rPr>
        <w:t>QoE</w:t>
      </w:r>
      <w:proofErr w:type="spellEnd"/>
      <w:r w:rsidRPr="00662764">
        <w:rPr>
          <w:lang w:val="en-GB"/>
        </w:rPr>
        <w:t xml:space="preserve"> are of great interest to ITU-T</w:t>
      </w:r>
      <w:r w:rsidR="00CA2D85" w:rsidRPr="00662764">
        <w:rPr>
          <w:lang w:val="en-GB"/>
        </w:rPr>
        <w:t>'</w:t>
      </w:r>
      <w:r w:rsidRPr="00662764">
        <w:rPr>
          <w:lang w:val="en-GB"/>
        </w:rPr>
        <w:t>s audience. The success of related ITU-T news can be attributed to ITU</w:t>
      </w:r>
      <w:r w:rsidR="00CA2D85" w:rsidRPr="00662764">
        <w:rPr>
          <w:lang w:val="en-GB"/>
        </w:rPr>
        <w:t>'</w:t>
      </w:r>
      <w:r w:rsidRPr="00662764">
        <w:rPr>
          <w:lang w:val="en-GB"/>
        </w:rPr>
        <w:t>s leadership and credibility in these fields.</w:t>
      </w:r>
    </w:p>
    <w:p w14:paraId="6C08B6D3" w14:textId="43410353" w:rsidR="00150C92" w:rsidRPr="00662764" w:rsidRDefault="006653E5" w:rsidP="009363BD">
      <w:pPr>
        <w:numPr>
          <w:ilvl w:val="0"/>
          <w:numId w:val="11"/>
        </w:numPr>
        <w:rPr>
          <w:lang w:val="en-GB"/>
        </w:rPr>
      </w:pPr>
      <w:r w:rsidRPr="00662764">
        <w:rPr>
          <w:lang w:val="en-GB"/>
        </w:rPr>
        <w:t>5G, trust, IoT and smart c</w:t>
      </w:r>
      <w:r w:rsidR="006944F8" w:rsidRPr="00662764">
        <w:rPr>
          <w:lang w:val="en-GB"/>
        </w:rPr>
        <w:t xml:space="preserve">ities are effective </w:t>
      </w:r>
      <w:r w:rsidR="00CA2D85" w:rsidRPr="00662764">
        <w:rPr>
          <w:lang w:val="en-GB"/>
        </w:rPr>
        <w:t>'</w:t>
      </w:r>
      <w:r w:rsidR="006944F8" w:rsidRPr="00662764">
        <w:rPr>
          <w:lang w:val="en-GB"/>
        </w:rPr>
        <w:t>headline</w:t>
      </w:r>
      <w:r w:rsidR="00CA2D85" w:rsidRPr="00662764">
        <w:rPr>
          <w:lang w:val="en-GB"/>
        </w:rPr>
        <w:t>'</w:t>
      </w:r>
      <w:r w:rsidR="006944F8" w:rsidRPr="00662764">
        <w:rPr>
          <w:lang w:val="en-GB"/>
        </w:rPr>
        <w:t xml:space="preserve"> topics, helping ITU-T news to highlight how I</w:t>
      </w:r>
      <w:r w:rsidR="00E81BEB" w:rsidRPr="00662764">
        <w:rPr>
          <w:lang w:val="en-GB"/>
        </w:rPr>
        <w:t>TU standards support ICT users.</w:t>
      </w:r>
    </w:p>
    <w:p w14:paraId="19D46D32" w14:textId="30294D36" w:rsidR="006944F8" w:rsidRPr="00662764" w:rsidRDefault="00CA2D85" w:rsidP="009363BD">
      <w:pPr>
        <w:numPr>
          <w:ilvl w:val="0"/>
          <w:numId w:val="11"/>
        </w:numPr>
        <w:rPr>
          <w:lang w:val="en-GB"/>
        </w:rPr>
      </w:pPr>
      <w:r w:rsidRPr="00662764">
        <w:rPr>
          <w:lang w:val="en-GB"/>
        </w:rPr>
        <w:t>'</w:t>
      </w:r>
      <w:r w:rsidR="00AF6AAA" w:rsidRPr="00662764">
        <w:rPr>
          <w:lang w:val="en-GB"/>
        </w:rPr>
        <w:t>Emerging trends</w:t>
      </w:r>
      <w:r w:rsidRPr="00662764">
        <w:rPr>
          <w:lang w:val="en-GB"/>
        </w:rPr>
        <w:t>'</w:t>
      </w:r>
      <w:r w:rsidR="006653E5" w:rsidRPr="00662764">
        <w:rPr>
          <w:lang w:val="en-GB"/>
        </w:rPr>
        <w:t xml:space="preserve"> such as AI, ITS, b</w:t>
      </w:r>
      <w:r w:rsidR="00AF6AAA" w:rsidRPr="00662764">
        <w:rPr>
          <w:lang w:val="en-GB"/>
        </w:rPr>
        <w:t xml:space="preserve">lockchain, DFS and quantum </w:t>
      </w:r>
      <w:r w:rsidR="0021319C" w:rsidRPr="00662764">
        <w:rPr>
          <w:lang w:val="en-GB"/>
        </w:rPr>
        <w:t xml:space="preserve">information technologies </w:t>
      </w:r>
      <w:r w:rsidR="00150C92" w:rsidRPr="00662764">
        <w:rPr>
          <w:lang w:val="en-GB"/>
        </w:rPr>
        <w:t xml:space="preserve">are also proving </w:t>
      </w:r>
      <w:r w:rsidR="00AF6AAA" w:rsidRPr="00662764">
        <w:rPr>
          <w:lang w:val="en-GB"/>
        </w:rPr>
        <w:t>popular with ITU-T</w:t>
      </w:r>
      <w:r w:rsidRPr="00662764">
        <w:rPr>
          <w:lang w:val="en-GB"/>
        </w:rPr>
        <w:t>'</w:t>
      </w:r>
      <w:r w:rsidR="00AF6AAA" w:rsidRPr="00662764">
        <w:rPr>
          <w:lang w:val="en-GB"/>
        </w:rPr>
        <w:t>s audience</w:t>
      </w:r>
      <w:r w:rsidR="006944F8" w:rsidRPr="00662764">
        <w:rPr>
          <w:lang w:val="en-GB"/>
        </w:rPr>
        <w:t>.</w:t>
      </w:r>
    </w:p>
    <w:p w14:paraId="63791F6A" w14:textId="49BF42C1" w:rsidR="006944F8" w:rsidRPr="00F57FAD" w:rsidRDefault="002F0E38" w:rsidP="00C1421E">
      <w:pPr>
        <w:pStyle w:val="Heading1"/>
      </w:pPr>
      <w:bookmarkStart w:id="196" w:name="_Toc416161374"/>
      <w:bookmarkStart w:id="197" w:name="_Toc438553999"/>
      <w:bookmarkStart w:id="198" w:name="_Toc453929121"/>
      <w:bookmarkStart w:id="199" w:name="_Toc453932992"/>
      <w:bookmarkStart w:id="200" w:name="_Toc454295898"/>
      <w:bookmarkStart w:id="201" w:name="_Toc462664276"/>
      <w:bookmarkStart w:id="202" w:name="_Toc480527868"/>
      <w:bookmarkStart w:id="203" w:name="_Ref16697318"/>
      <w:bookmarkStart w:id="204" w:name="_Toc31967180"/>
      <w:r w:rsidRPr="00F57FAD">
        <w:t>13</w:t>
      </w:r>
      <w:r w:rsidR="006944F8" w:rsidRPr="00F57FAD">
        <w:tab/>
        <w:t>Services and tools</w:t>
      </w:r>
      <w:bookmarkEnd w:id="196"/>
      <w:bookmarkEnd w:id="197"/>
      <w:bookmarkEnd w:id="198"/>
      <w:bookmarkEnd w:id="199"/>
      <w:bookmarkEnd w:id="200"/>
      <w:bookmarkEnd w:id="201"/>
      <w:bookmarkEnd w:id="202"/>
      <w:bookmarkEnd w:id="203"/>
      <w:bookmarkEnd w:id="204"/>
    </w:p>
    <w:p w14:paraId="38B721F7" w14:textId="1FA93970" w:rsidR="006944F8" w:rsidRDefault="006944F8" w:rsidP="002013A1">
      <w:pPr>
        <w:rPr>
          <w:lang w:val="en-GB"/>
        </w:rPr>
      </w:pPr>
      <w:r w:rsidRPr="00F57FAD">
        <w:rPr>
          <w:lang w:val="en-GB"/>
        </w:rPr>
        <w:t>Electronic working methods offer crucial support to members engaged in ITU</w:t>
      </w:r>
      <w:r w:rsidR="008D184E" w:rsidRPr="00F57FAD">
        <w:rPr>
          <w:lang w:val="en-GB"/>
        </w:rPr>
        <w:t>-T</w:t>
      </w:r>
      <w:r w:rsidRPr="00F57FAD">
        <w:rPr>
          <w:lang w:val="en-GB"/>
        </w:rPr>
        <w:t xml:space="preserve"> standardization work. </w:t>
      </w:r>
      <w:r w:rsidR="008D184E" w:rsidRPr="00F57FAD">
        <w:rPr>
          <w:lang w:val="en-GB"/>
        </w:rPr>
        <w:t xml:space="preserve">TSB </w:t>
      </w:r>
      <w:r w:rsidRPr="00F57FAD">
        <w:rPr>
          <w:lang w:val="en-GB"/>
        </w:rPr>
        <w:t>continues to develop new applications and services to maintain and expand ITU</w:t>
      </w:r>
      <w:r w:rsidR="008D184E" w:rsidRPr="00F57FAD">
        <w:rPr>
          <w:lang w:val="en-GB"/>
        </w:rPr>
        <w:t>-T</w:t>
      </w:r>
      <w:r w:rsidR="00CA2D85" w:rsidRPr="00F57FAD">
        <w:rPr>
          <w:lang w:val="en-GB"/>
        </w:rPr>
        <w:t>'</w:t>
      </w:r>
      <w:r w:rsidRPr="00F57FAD">
        <w:rPr>
          <w:lang w:val="en-GB"/>
        </w:rPr>
        <w:t>s advanced electronic working environment.</w:t>
      </w:r>
    </w:p>
    <w:p w14:paraId="649ECF41" w14:textId="64BF3BEC" w:rsidR="006944F8" w:rsidRPr="00F57FAD" w:rsidRDefault="002F0E38" w:rsidP="006944F8">
      <w:pPr>
        <w:pStyle w:val="Heading2"/>
      </w:pPr>
      <w:bookmarkStart w:id="205" w:name="_Toc312148142"/>
      <w:bookmarkStart w:id="206" w:name="_Toc462664277"/>
      <w:bookmarkStart w:id="207" w:name="_Toc480527869"/>
      <w:bookmarkStart w:id="208" w:name="_Toc31967181"/>
      <w:r w:rsidRPr="00F57FAD">
        <w:t>13</w:t>
      </w:r>
      <w:r w:rsidR="006944F8" w:rsidRPr="00F57FAD">
        <w:t>.1</w:t>
      </w:r>
      <w:r w:rsidR="006944F8" w:rsidRPr="00F57FAD">
        <w:tab/>
        <w:t xml:space="preserve">ITU-T </w:t>
      </w:r>
      <w:r w:rsidR="001C37A8" w:rsidRPr="00F57FAD">
        <w:t>databases</w:t>
      </w:r>
      <w:bookmarkEnd w:id="205"/>
      <w:bookmarkEnd w:id="206"/>
      <w:bookmarkEnd w:id="207"/>
      <w:bookmarkEnd w:id="208"/>
    </w:p>
    <w:p w14:paraId="3B81D83D" w14:textId="46111F5E" w:rsidR="006944F8" w:rsidRPr="00F57FAD" w:rsidRDefault="006944F8" w:rsidP="002013A1">
      <w:pPr>
        <w:rPr>
          <w:lang w:val="en-GB"/>
        </w:rPr>
      </w:pPr>
      <w:r w:rsidRPr="00F57FAD">
        <w:rPr>
          <w:lang w:val="en-GB"/>
        </w:rPr>
        <w:t>To serve ITU-T delegates and secretariat staff, the following databases are available online:</w:t>
      </w:r>
    </w:p>
    <w:p w14:paraId="7F517E03"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0" w:history="1">
        <w:r w:rsidR="006944F8" w:rsidRPr="00F57FAD">
          <w:rPr>
            <w:rStyle w:val="Hyperlink"/>
            <w:rFonts w:asciiTheme="majorBidi" w:eastAsia="SimSun" w:hAnsiTheme="majorBidi" w:cstheme="majorBidi"/>
            <w:lang w:val="en-GB"/>
          </w:rPr>
          <w:t>ITU-T Work Programme</w:t>
        </w:r>
      </w:hyperlink>
    </w:p>
    <w:p w14:paraId="745C41D5"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1" w:history="1">
        <w:r w:rsidR="006944F8" w:rsidRPr="00F57FAD">
          <w:rPr>
            <w:rStyle w:val="Hyperlink"/>
            <w:rFonts w:asciiTheme="majorBidi" w:eastAsia="SimSun" w:hAnsiTheme="majorBidi" w:cstheme="majorBidi"/>
            <w:lang w:val="en-GB"/>
          </w:rPr>
          <w:t>ITU-T A.4, A.5 and A.6 recognized organizations</w:t>
        </w:r>
      </w:hyperlink>
    </w:p>
    <w:p w14:paraId="12567541"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2" w:history="1">
        <w:r w:rsidR="006944F8" w:rsidRPr="00F57FAD">
          <w:rPr>
            <w:rStyle w:val="Hyperlink"/>
            <w:rFonts w:asciiTheme="majorBidi" w:hAnsiTheme="majorBidi" w:cstheme="majorBidi"/>
            <w:lang w:val="en-GB"/>
          </w:rPr>
          <w:t>ITU-T AAP</w:t>
        </w:r>
      </w:hyperlink>
      <w:r w:rsidR="006944F8" w:rsidRPr="00F57FAD">
        <w:rPr>
          <w:lang w:val="en-GB"/>
        </w:rPr>
        <w:t xml:space="preserve"> &amp; </w:t>
      </w:r>
      <w:hyperlink r:id="rId173" w:history="1">
        <w:r w:rsidR="006944F8" w:rsidRPr="00F57FAD">
          <w:rPr>
            <w:rStyle w:val="Hyperlink"/>
            <w:rFonts w:asciiTheme="majorBidi" w:hAnsiTheme="majorBidi" w:cstheme="majorBidi"/>
            <w:lang w:val="en-GB"/>
          </w:rPr>
          <w:t>TAP</w:t>
        </w:r>
      </w:hyperlink>
    </w:p>
    <w:p w14:paraId="19DCEF3F"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4" w:history="1">
        <w:r w:rsidR="006944F8" w:rsidRPr="00F57FAD">
          <w:rPr>
            <w:rStyle w:val="Hyperlink"/>
            <w:rFonts w:asciiTheme="majorBidi" w:eastAsia="SimSun" w:hAnsiTheme="majorBidi" w:cstheme="majorBidi"/>
            <w:lang w:val="en-GB"/>
          </w:rPr>
          <w:t>ITU-T Recommendations</w:t>
        </w:r>
      </w:hyperlink>
    </w:p>
    <w:p w14:paraId="4BD2F2F1"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5" w:history="1">
        <w:r w:rsidR="006944F8" w:rsidRPr="00F57FAD">
          <w:rPr>
            <w:rStyle w:val="Hyperlink"/>
            <w:rFonts w:asciiTheme="majorBidi" w:eastAsia="SimSun" w:hAnsiTheme="majorBidi" w:cstheme="majorBidi"/>
            <w:lang w:val="en-GB"/>
          </w:rPr>
          <w:t>ITU-T Liaison Statements</w:t>
        </w:r>
      </w:hyperlink>
    </w:p>
    <w:p w14:paraId="76BEE416"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6" w:history="1">
        <w:r w:rsidR="006944F8" w:rsidRPr="00F57FAD">
          <w:rPr>
            <w:rStyle w:val="Hyperlink"/>
            <w:rFonts w:asciiTheme="majorBidi" w:eastAsia="SimSun" w:hAnsiTheme="majorBidi" w:cstheme="majorBidi"/>
            <w:lang w:val="en-GB"/>
          </w:rPr>
          <w:t>ITU-T Patents and Software Copyrights</w:t>
        </w:r>
      </w:hyperlink>
    </w:p>
    <w:p w14:paraId="14410659"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7" w:history="1">
        <w:r w:rsidR="006944F8" w:rsidRPr="00F57FAD">
          <w:rPr>
            <w:rStyle w:val="Hyperlink"/>
            <w:rFonts w:asciiTheme="majorBidi" w:eastAsia="SimSun" w:hAnsiTheme="majorBidi" w:cstheme="majorBidi"/>
            <w:lang w:val="en-GB"/>
          </w:rPr>
          <w:t>ITU Product Conformity Database</w:t>
        </w:r>
      </w:hyperlink>
    </w:p>
    <w:p w14:paraId="1D9D3C9B" w14:textId="77B858B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8" w:history="1">
        <w:r w:rsidR="006944F8" w:rsidRPr="00F57FAD">
          <w:rPr>
            <w:rStyle w:val="Hyperlink"/>
            <w:rFonts w:asciiTheme="majorBidi" w:eastAsia="SimSun" w:hAnsiTheme="majorBidi" w:cstheme="majorBidi"/>
            <w:lang w:val="en-GB"/>
          </w:rPr>
          <w:t xml:space="preserve">ITU-T Formal </w:t>
        </w:r>
        <w:r w:rsidR="00135FE4">
          <w:rPr>
            <w:rStyle w:val="Hyperlink"/>
            <w:rFonts w:asciiTheme="majorBidi" w:eastAsia="SimSun" w:hAnsiTheme="majorBidi" w:cstheme="majorBidi"/>
            <w:lang w:val="en-GB"/>
          </w:rPr>
          <w:t>D</w:t>
        </w:r>
        <w:r w:rsidR="006944F8" w:rsidRPr="00F57FAD">
          <w:rPr>
            <w:rStyle w:val="Hyperlink"/>
            <w:rFonts w:asciiTheme="majorBidi" w:eastAsia="SimSun" w:hAnsiTheme="majorBidi" w:cstheme="majorBidi"/>
            <w:lang w:val="en-GB"/>
          </w:rPr>
          <w:t xml:space="preserve">escriptions and Object </w:t>
        </w:r>
        <w:r w:rsidR="00135FE4">
          <w:rPr>
            <w:rStyle w:val="Hyperlink"/>
            <w:rFonts w:asciiTheme="majorBidi" w:eastAsia="SimSun" w:hAnsiTheme="majorBidi" w:cstheme="majorBidi"/>
            <w:lang w:val="en-GB"/>
          </w:rPr>
          <w:t>I</w:t>
        </w:r>
        <w:r w:rsidR="006944F8" w:rsidRPr="00F57FAD">
          <w:rPr>
            <w:rStyle w:val="Hyperlink"/>
            <w:rFonts w:asciiTheme="majorBidi" w:eastAsia="SimSun" w:hAnsiTheme="majorBidi" w:cstheme="majorBidi"/>
            <w:lang w:val="en-GB"/>
          </w:rPr>
          <w:t>dentifiers</w:t>
        </w:r>
      </w:hyperlink>
    </w:p>
    <w:p w14:paraId="342AC998"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79" w:history="1">
        <w:r w:rsidR="006944F8" w:rsidRPr="00F57FAD">
          <w:rPr>
            <w:rStyle w:val="Hyperlink"/>
            <w:rFonts w:asciiTheme="majorBidi" w:eastAsia="SimSun" w:hAnsiTheme="majorBidi" w:cstheme="majorBidi"/>
            <w:lang w:val="en-GB"/>
          </w:rPr>
          <w:t>ITU-T Test Signals</w:t>
        </w:r>
      </w:hyperlink>
    </w:p>
    <w:p w14:paraId="6884AA67" w14:textId="77777777"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80" w:history="1">
        <w:r w:rsidR="006944F8" w:rsidRPr="00F57FAD">
          <w:rPr>
            <w:rStyle w:val="Hyperlink"/>
            <w:rFonts w:asciiTheme="majorBidi" w:eastAsia="SimSun" w:hAnsiTheme="majorBidi" w:cstheme="majorBidi"/>
            <w:lang w:val="en-GB"/>
          </w:rPr>
          <w:t>ITU-T Terms &amp; Definitions</w:t>
        </w:r>
      </w:hyperlink>
    </w:p>
    <w:p w14:paraId="50026380" w14:textId="77777777" w:rsidR="004872B7" w:rsidRPr="00F57FAD" w:rsidRDefault="00F60C99" w:rsidP="009363BD">
      <w:pPr>
        <w:numPr>
          <w:ilvl w:val="0"/>
          <w:numId w:val="9"/>
        </w:numPr>
        <w:tabs>
          <w:tab w:val="clear" w:pos="794"/>
          <w:tab w:val="clear" w:pos="1191"/>
          <w:tab w:val="clear" w:pos="1588"/>
          <w:tab w:val="clear" w:pos="1985"/>
        </w:tabs>
        <w:spacing w:before="0"/>
        <w:rPr>
          <w:lang w:val="en-GB"/>
        </w:rPr>
      </w:pPr>
      <w:hyperlink r:id="rId181" w:history="1">
        <w:r w:rsidR="006944F8" w:rsidRPr="00F57FAD">
          <w:rPr>
            <w:rStyle w:val="Hyperlink"/>
            <w:rFonts w:asciiTheme="majorBidi" w:eastAsia="SimSun" w:hAnsiTheme="majorBidi" w:cstheme="majorBidi"/>
            <w:lang w:val="en-GB"/>
          </w:rPr>
          <w:t>International Numbering Resources</w:t>
        </w:r>
      </w:hyperlink>
      <w:r w:rsidR="00DD288D" w:rsidRPr="00F57FAD">
        <w:rPr>
          <w:lang w:val="en-GB"/>
        </w:rPr>
        <w:t xml:space="preserve"> (See section 13</w:t>
      </w:r>
      <w:r w:rsidR="006944F8" w:rsidRPr="00F57FAD">
        <w:rPr>
          <w:lang w:val="en-GB"/>
        </w:rPr>
        <w:t>.6 for more details)</w:t>
      </w:r>
    </w:p>
    <w:p w14:paraId="01899100" w14:textId="3B11D5FC" w:rsidR="001C37A8" w:rsidRPr="00F57FAD" w:rsidRDefault="00F60C99" w:rsidP="009363BD">
      <w:pPr>
        <w:numPr>
          <w:ilvl w:val="0"/>
          <w:numId w:val="9"/>
        </w:numPr>
        <w:tabs>
          <w:tab w:val="clear" w:pos="794"/>
          <w:tab w:val="clear" w:pos="1191"/>
          <w:tab w:val="clear" w:pos="1588"/>
          <w:tab w:val="clear" w:pos="1985"/>
        </w:tabs>
        <w:spacing w:before="0"/>
        <w:rPr>
          <w:lang w:val="en-GB"/>
        </w:rPr>
      </w:pPr>
      <w:hyperlink r:id="rId182" w:anchor="?topic=0.131&amp;workgroup=1&amp;searchValue=&amp;page=1&amp;sort=Revelance" w:history="1">
        <w:r w:rsidR="001C37A8" w:rsidRPr="00F57FAD">
          <w:rPr>
            <w:rStyle w:val="Hyperlink"/>
            <w:bCs/>
            <w:lang w:val="en-GB"/>
          </w:rPr>
          <w:t>ITS Communication Standards database</w:t>
        </w:r>
      </w:hyperlink>
      <w:r w:rsidR="001C37A8" w:rsidRPr="00F57FAD">
        <w:rPr>
          <w:lang w:val="en-GB"/>
        </w:rPr>
        <w:t xml:space="preserve"> (from CITS)</w:t>
      </w:r>
    </w:p>
    <w:p w14:paraId="448A179F" w14:textId="7D3B2A1D" w:rsidR="006944F8" w:rsidRPr="00F57FAD" w:rsidRDefault="00F60C99" w:rsidP="009363BD">
      <w:pPr>
        <w:numPr>
          <w:ilvl w:val="0"/>
          <w:numId w:val="9"/>
        </w:numPr>
        <w:tabs>
          <w:tab w:val="clear" w:pos="794"/>
          <w:tab w:val="clear" w:pos="1191"/>
          <w:tab w:val="clear" w:pos="1588"/>
          <w:tab w:val="clear" w:pos="1985"/>
        </w:tabs>
        <w:spacing w:before="0"/>
        <w:rPr>
          <w:lang w:val="en-GB"/>
        </w:rPr>
      </w:pPr>
      <w:hyperlink r:id="rId183" w:history="1">
        <w:r w:rsidR="004872B7" w:rsidRPr="00F57FAD">
          <w:rPr>
            <w:rStyle w:val="Hyperlink"/>
            <w:lang w:val="en-GB"/>
          </w:rPr>
          <w:t>ICT standards landscape</w:t>
        </w:r>
      </w:hyperlink>
      <w:r w:rsidR="004872B7" w:rsidRPr="00F57FAD">
        <w:rPr>
          <w:lang w:val="en-GB"/>
        </w:rPr>
        <w:t xml:space="preserve"> (from SG17)</w:t>
      </w:r>
      <w:r w:rsidR="00B74075">
        <w:rPr>
          <w:lang w:val="en-GB"/>
        </w:rPr>
        <w:t>.</w:t>
      </w:r>
    </w:p>
    <w:p w14:paraId="00B8FF50" w14:textId="1D4F585F" w:rsidR="006944F8" w:rsidRPr="00F57FAD" w:rsidRDefault="002F0E38" w:rsidP="006944F8">
      <w:pPr>
        <w:pStyle w:val="Heading2"/>
      </w:pPr>
      <w:bookmarkStart w:id="209" w:name="_Toc31967182"/>
      <w:r w:rsidRPr="00F57FAD">
        <w:t>13</w:t>
      </w:r>
      <w:r w:rsidR="006944F8" w:rsidRPr="00F57FAD">
        <w:t>.2</w:t>
      </w:r>
      <w:r w:rsidR="006944F8" w:rsidRPr="00F57FAD">
        <w:tab/>
        <w:t xml:space="preserve">ITU-T </w:t>
      </w:r>
      <w:proofErr w:type="spellStart"/>
      <w:r w:rsidR="006944F8" w:rsidRPr="00F57FAD">
        <w:t>MyWorkspace</w:t>
      </w:r>
      <w:bookmarkEnd w:id="209"/>
      <w:proofErr w:type="spellEnd"/>
    </w:p>
    <w:p w14:paraId="4B9BF6CC" w14:textId="69CF8F1F" w:rsidR="00E04195" w:rsidRPr="008D28D9" w:rsidRDefault="00F60C99" w:rsidP="00E04195">
      <w:pPr>
        <w:rPr>
          <w:szCs w:val="24"/>
          <w:lang w:val="en-GB"/>
        </w:rPr>
      </w:pPr>
      <w:hyperlink r:id="rId184" w:history="1">
        <w:proofErr w:type="spellStart"/>
        <w:r w:rsidR="00E04195" w:rsidRPr="009201EC">
          <w:rPr>
            <w:rStyle w:val="Hyperlink"/>
            <w:szCs w:val="24"/>
            <w:lang w:val="en-GB"/>
          </w:rPr>
          <w:t>MyWorkspace</w:t>
        </w:r>
        <w:proofErr w:type="spellEnd"/>
      </w:hyperlink>
      <w:r w:rsidR="00E04195" w:rsidRPr="00675EE7">
        <w:rPr>
          <w:szCs w:val="24"/>
          <w:lang w:val="en-GB"/>
        </w:rPr>
        <w:t xml:space="preserve"> is a set of mobile-friendly tools and services to facilitate </w:t>
      </w:r>
      <w:r w:rsidR="00E04195" w:rsidRPr="008D28D9">
        <w:rPr>
          <w:szCs w:val="24"/>
          <w:lang w:val="en-GB"/>
        </w:rPr>
        <w:t>the work of ITU-T experts</w:t>
      </w:r>
      <w:r w:rsidR="0021319C" w:rsidRPr="008D28D9">
        <w:rPr>
          <w:szCs w:val="24"/>
          <w:lang w:val="en-GB"/>
        </w:rPr>
        <w:t xml:space="preserve">. </w:t>
      </w:r>
      <w:proofErr w:type="spellStart"/>
      <w:r w:rsidR="0021319C" w:rsidRPr="008D28D9">
        <w:rPr>
          <w:szCs w:val="24"/>
          <w:lang w:val="en-GB"/>
        </w:rPr>
        <w:t>MyWorkspace</w:t>
      </w:r>
      <w:proofErr w:type="spellEnd"/>
      <w:r w:rsidR="0021319C" w:rsidRPr="008D28D9">
        <w:rPr>
          <w:szCs w:val="24"/>
          <w:lang w:val="en-GB"/>
        </w:rPr>
        <w:t xml:space="preserve"> responds to</w:t>
      </w:r>
      <w:r w:rsidR="00E04195" w:rsidRPr="008D28D9">
        <w:rPr>
          <w:szCs w:val="24"/>
          <w:lang w:val="en-GB"/>
        </w:rPr>
        <w:t xml:space="preserve"> WTSA Resolution 32 on strengthening electronic working methods. The f</w:t>
      </w:r>
      <w:r w:rsidR="00E04195" w:rsidRPr="008D28D9">
        <w:rPr>
          <w:lang w:val="en-GB"/>
        </w:rPr>
        <w:t>irst version was released in 2017</w:t>
      </w:r>
      <w:r w:rsidR="0021319C" w:rsidRPr="008D28D9">
        <w:rPr>
          <w:lang w:val="en-GB"/>
        </w:rPr>
        <w:t xml:space="preserve"> and has since welcomed </w:t>
      </w:r>
      <w:r w:rsidR="00E04195" w:rsidRPr="008D28D9">
        <w:rPr>
          <w:lang w:val="en-GB"/>
        </w:rPr>
        <w:t>1</w:t>
      </w:r>
      <w:r w:rsidR="0021319C" w:rsidRPr="008D28D9">
        <w:rPr>
          <w:lang w:val="en-GB"/>
        </w:rPr>
        <w:t>,</w:t>
      </w:r>
      <w:r w:rsidR="00E04195" w:rsidRPr="008D28D9">
        <w:rPr>
          <w:lang w:val="en-GB"/>
        </w:rPr>
        <w:t xml:space="preserve">600 </w:t>
      </w:r>
      <w:r w:rsidR="0021319C" w:rsidRPr="008D28D9">
        <w:rPr>
          <w:lang w:val="en-GB"/>
        </w:rPr>
        <w:t>users. T</w:t>
      </w:r>
      <w:r w:rsidR="00E04195" w:rsidRPr="008D28D9">
        <w:rPr>
          <w:lang w:val="en-GB"/>
        </w:rPr>
        <w:t xml:space="preserve">he site </w:t>
      </w:r>
      <w:r w:rsidR="0021319C" w:rsidRPr="008D28D9">
        <w:rPr>
          <w:lang w:val="en-GB"/>
        </w:rPr>
        <w:t xml:space="preserve">receives visits from </w:t>
      </w:r>
      <w:r w:rsidR="00E04195" w:rsidRPr="008D28D9">
        <w:rPr>
          <w:lang w:val="en-GB"/>
        </w:rPr>
        <w:t xml:space="preserve">an average of 500 </w:t>
      </w:r>
      <w:r w:rsidR="0021319C" w:rsidRPr="008D28D9">
        <w:rPr>
          <w:lang w:val="en-GB"/>
        </w:rPr>
        <w:t xml:space="preserve">users </w:t>
      </w:r>
      <w:r w:rsidR="00E04195" w:rsidRPr="008D28D9">
        <w:rPr>
          <w:lang w:val="en-GB"/>
        </w:rPr>
        <w:t>per month.</w:t>
      </w:r>
    </w:p>
    <w:p w14:paraId="3957D257" w14:textId="582E7437" w:rsidR="00E04195" w:rsidRPr="008D28D9" w:rsidRDefault="00E04195" w:rsidP="00E04195">
      <w:pPr>
        <w:rPr>
          <w:lang w:val="en-GB"/>
        </w:rPr>
      </w:pPr>
      <w:r w:rsidRPr="008D28D9">
        <w:rPr>
          <w:lang w:val="en-GB"/>
        </w:rPr>
        <w:t xml:space="preserve">The </w:t>
      </w:r>
      <w:r w:rsidR="0021319C" w:rsidRPr="008D28D9">
        <w:rPr>
          <w:lang w:val="en-GB"/>
        </w:rPr>
        <w:t>lates</w:t>
      </w:r>
      <w:r w:rsidR="00CB6CB5" w:rsidRPr="008D28D9">
        <w:rPr>
          <w:lang w:val="en-GB"/>
        </w:rPr>
        <w:t>t</w:t>
      </w:r>
      <w:r w:rsidR="0021319C" w:rsidRPr="008D28D9">
        <w:rPr>
          <w:lang w:val="en-GB"/>
        </w:rPr>
        <w:t xml:space="preserve"> </w:t>
      </w:r>
      <w:r w:rsidRPr="008D28D9">
        <w:rPr>
          <w:lang w:val="en-GB"/>
        </w:rPr>
        <w:t>version</w:t>
      </w:r>
      <w:r w:rsidR="0021319C" w:rsidRPr="008D28D9">
        <w:rPr>
          <w:lang w:val="en-GB"/>
        </w:rPr>
        <w:t>, version</w:t>
      </w:r>
      <w:r w:rsidRPr="008D28D9">
        <w:rPr>
          <w:lang w:val="en-GB"/>
        </w:rPr>
        <w:t xml:space="preserve"> 3.0</w:t>
      </w:r>
      <w:r w:rsidR="0021319C" w:rsidRPr="008D28D9">
        <w:rPr>
          <w:lang w:val="en-GB"/>
        </w:rPr>
        <w:t>,</w:t>
      </w:r>
      <w:r w:rsidRPr="008D28D9">
        <w:rPr>
          <w:lang w:val="en-GB"/>
        </w:rPr>
        <w:t xml:space="preserve"> was released in </w:t>
      </w:r>
      <w:r w:rsidR="0021319C" w:rsidRPr="008D28D9">
        <w:rPr>
          <w:lang w:val="en-GB"/>
        </w:rPr>
        <w:t xml:space="preserve">the </w:t>
      </w:r>
      <w:r w:rsidRPr="008D28D9">
        <w:rPr>
          <w:lang w:val="en-GB"/>
        </w:rPr>
        <w:t>second quarter of 2019</w:t>
      </w:r>
      <w:r w:rsidR="0021319C" w:rsidRPr="008D28D9">
        <w:rPr>
          <w:lang w:val="en-GB"/>
        </w:rPr>
        <w:t xml:space="preserve">. Version 3.0 includes </w:t>
      </w:r>
      <w:r w:rsidRPr="008D28D9">
        <w:rPr>
          <w:lang w:val="en-GB"/>
        </w:rPr>
        <w:t>enhance</w:t>
      </w:r>
      <w:r w:rsidR="0021319C" w:rsidRPr="008D28D9">
        <w:rPr>
          <w:lang w:val="en-GB"/>
        </w:rPr>
        <w:t xml:space="preserve">s the </w:t>
      </w:r>
      <w:r w:rsidRPr="008D28D9">
        <w:rPr>
          <w:lang w:val="en-GB"/>
        </w:rPr>
        <w:t xml:space="preserve">user interface </w:t>
      </w:r>
      <w:r w:rsidR="0021319C" w:rsidRPr="008D28D9">
        <w:rPr>
          <w:lang w:val="en-GB"/>
        </w:rPr>
        <w:t xml:space="preserve">and includes a </w:t>
      </w:r>
      <w:r w:rsidRPr="008D28D9">
        <w:rPr>
          <w:lang w:val="en-GB"/>
        </w:rPr>
        <w:t xml:space="preserve">new section for ITU-T events. </w:t>
      </w:r>
      <w:proofErr w:type="spellStart"/>
      <w:r w:rsidRPr="008D28D9">
        <w:rPr>
          <w:lang w:val="en-GB"/>
        </w:rPr>
        <w:t>My</w:t>
      </w:r>
      <w:r w:rsidR="0021319C" w:rsidRPr="008D28D9">
        <w:rPr>
          <w:lang w:val="en-GB"/>
        </w:rPr>
        <w:t>W</w:t>
      </w:r>
      <w:r w:rsidRPr="008D28D9">
        <w:rPr>
          <w:lang w:val="en-GB"/>
        </w:rPr>
        <w:t>orkspace</w:t>
      </w:r>
      <w:proofErr w:type="spellEnd"/>
      <w:r w:rsidRPr="008D28D9">
        <w:rPr>
          <w:lang w:val="en-GB"/>
        </w:rPr>
        <w:t xml:space="preserve"> is accessible through a responsive website and new mobile application (Android &amp; </w:t>
      </w:r>
      <w:r w:rsidR="0021319C" w:rsidRPr="008D28D9">
        <w:rPr>
          <w:lang w:val="en-GB"/>
        </w:rPr>
        <w:t>i</w:t>
      </w:r>
      <w:r w:rsidRPr="008D28D9">
        <w:rPr>
          <w:lang w:val="en-GB"/>
        </w:rPr>
        <w:t>OS)</w:t>
      </w:r>
      <w:r w:rsidR="0021319C" w:rsidRPr="008D28D9">
        <w:rPr>
          <w:lang w:val="en-GB"/>
        </w:rPr>
        <w:t xml:space="preserve">. Secure access to </w:t>
      </w:r>
      <w:proofErr w:type="spellStart"/>
      <w:r w:rsidR="0021319C" w:rsidRPr="008D28D9">
        <w:rPr>
          <w:lang w:val="en-GB"/>
        </w:rPr>
        <w:t>MyWorkspace</w:t>
      </w:r>
      <w:proofErr w:type="spellEnd"/>
      <w:r w:rsidR="0021319C" w:rsidRPr="008D28D9">
        <w:rPr>
          <w:lang w:val="en-GB"/>
        </w:rPr>
        <w:t xml:space="preserve"> is enabled through ITU </w:t>
      </w:r>
      <w:r w:rsidR="00DE1505" w:rsidRPr="008D28D9">
        <w:rPr>
          <w:lang w:val="en-GB"/>
        </w:rPr>
        <w:t>User A</w:t>
      </w:r>
      <w:r w:rsidR="0021319C" w:rsidRPr="008D28D9">
        <w:rPr>
          <w:lang w:val="en-GB"/>
        </w:rPr>
        <w:t xml:space="preserve">ccount </w:t>
      </w:r>
      <w:r w:rsidR="00DE1505" w:rsidRPr="008D28D9">
        <w:rPr>
          <w:lang w:val="en-GB"/>
        </w:rPr>
        <w:t xml:space="preserve">(TIES) </w:t>
      </w:r>
      <w:r w:rsidR="0021319C" w:rsidRPr="008D28D9">
        <w:rPr>
          <w:lang w:val="en-GB"/>
        </w:rPr>
        <w:t>credentials.</w:t>
      </w:r>
    </w:p>
    <w:p w14:paraId="792D3276" w14:textId="15145CC3" w:rsidR="00E04195" w:rsidRPr="008D28D9" w:rsidRDefault="00E04195" w:rsidP="00E04195">
      <w:pPr>
        <w:rPr>
          <w:lang w:val="en-GB"/>
        </w:rPr>
      </w:pPr>
      <w:r w:rsidRPr="008D28D9">
        <w:rPr>
          <w:lang w:val="en-GB"/>
        </w:rPr>
        <w:lastRenderedPageBreak/>
        <w:t>The following services are available from the platform:</w:t>
      </w:r>
    </w:p>
    <w:p w14:paraId="55F5D76C" w14:textId="053DE3F7" w:rsidR="00E04195" w:rsidRPr="008D28D9" w:rsidRDefault="00E04195" w:rsidP="009363BD">
      <w:pPr>
        <w:numPr>
          <w:ilvl w:val="0"/>
          <w:numId w:val="11"/>
        </w:numPr>
        <w:rPr>
          <w:lang w:val="en-GB"/>
        </w:rPr>
      </w:pPr>
      <w:r w:rsidRPr="008D28D9">
        <w:rPr>
          <w:lang w:val="en-GB"/>
        </w:rPr>
        <w:t>ITU-T experts directory</w:t>
      </w:r>
    </w:p>
    <w:p w14:paraId="53561C21" w14:textId="325F3267" w:rsidR="00E04195" w:rsidRPr="008D28D9" w:rsidRDefault="00E04195" w:rsidP="009363BD">
      <w:pPr>
        <w:numPr>
          <w:ilvl w:val="0"/>
          <w:numId w:val="11"/>
        </w:numPr>
        <w:rPr>
          <w:lang w:val="en-GB"/>
        </w:rPr>
      </w:pPr>
      <w:r w:rsidRPr="008D28D9">
        <w:rPr>
          <w:lang w:val="en-GB"/>
        </w:rPr>
        <w:t>Chat service for real-time communication</w:t>
      </w:r>
    </w:p>
    <w:p w14:paraId="29820C49" w14:textId="091D71B0" w:rsidR="00E04195" w:rsidRPr="008D28D9" w:rsidRDefault="00E04195" w:rsidP="009363BD">
      <w:pPr>
        <w:numPr>
          <w:ilvl w:val="0"/>
          <w:numId w:val="11"/>
        </w:numPr>
        <w:rPr>
          <w:lang w:val="en-GB"/>
        </w:rPr>
      </w:pPr>
      <w:r w:rsidRPr="008D28D9">
        <w:rPr>
          <w:lang w:val="en-GB"/>
        </w:rPr>
        <w:t xml:space="preserve">Meeting documents with </w:t>
      </w:r>
      <w:r w:rsidR="0021319C" w:rsidRPr="008D28D9">
        <w:rPr>
          <w:lang w:val="en-GB"/>
        </w:rPr>
        <w:t xml:space="preserve">the </w:t>
      </w:r>
      <w:r w:rsidRPr="008D28D9">
        <w:rPr>
          <w:lang w:val="en-GB"/>
        </w:rPr>
        <w:t>option to bookmark favourites</w:t>
      </w:r>
    </w:p>
    <w:p w14:paraId="7D1E0E61" w14:textId="499F1F5D" w:rsidR="00E04195" w:rsidRPr="008D28D9" w:rsidRDefault="00E04195" w:rsidP="009363BD">
      <w:pPr>
        <w:numPr>
          <w:ilvl w:val="0"/>
          <w:numId w:val="11"/>
        </w:numPr>
        <w:rPr>
          <w:lang w:val="en-GB"/>
        </w:rPr>
      </w:pPr>
      <w:r w:rsidRPr="008D28D9">
        <w:rPr>
          <w:lang w:val="en-GB"/>
        </w:rPr>
        <w:t>Mailing list subscriptions</w:t>
      </w:r>
    </w:p>
    <w:p w14:paraId="051A927B" w14:textId="57EF77A1" w:rsidR="00E04195" w:rsidRPr="008D28D9" w:rsidRDefault="00E04195" w:rsidP="009363BD">
      <w:pPr>
        <w:numPr>
          <w:ilvl w:val="0"/>
          <w:numId w:val="11"/>
        </w:numPr>
        <w:rPr>
          <w:lang w:val="en-GB"/>
        </w:rPr>
      </w:pPr>
      <w:r w:rsidRPr="008D28D9">
        <w:rPr>
          <w:lang w:val="en-GB"/>
        </w:rPr>
        <w:t xml:space="preserve">Calendar </w:t>
      </w:r>
      <w:r w:rsidR="0021319C" w:rsidRPr="008D28D9">
        <w:rPr>
          <w:lang w:val="en-GB"/>
        </w:rPr>
        <w:t xml:space="preserve">of </w:t>
      </w:r>
      <w:r w:rsidRPr="008D28D9">
        <w:rPr>
          <w:lang w:val="en-GB"/>
        </w:rPr>
        <w:t xml:space="preserve">ITU-T events with filters by </w:t>
      </w:r>
      <w:r w:rsidR="0021319C" w:rsidRPr="008D28D9">
        <w:rPr>
          <w:lang w:val="en-GB"/>
        </w:rPr>
        <w:t xml:space="preserve">working </w:t>
      </w:r>
      <w:r w:rsidRPr="008D28D9">
        <w:rPr>
          <w:lang w:val="en-GB"/>
        </w:rPr>
        <w:t>group</w:t>
      </w:r>
    </w:p>
    <w:p w14:paraId="67723A3E" w14:textId="18CD4AE9" w:rsidR="00E04195" w:rsidRPr="008D28D9" w:rsidRDefault="00E04195" w:rsidP="009363BD">
      <w:pPr>
        <w:numPr>
          <w:ilvl w:val="0"/>
          <w:numId w:val="11"/>
        </w:numPr>
        <w:rPr>
          <w:lang w:val="en-GB"/>
        </w:rPr>
      </w:pPr>
      <w:r w:rsidRPr="008D28D9">
        <w:rPr>
          <w:lang w:val="en-GB"/>
        </w:rPr>
        <w:t>User profile management (CRM profiles) and additional preferences</w:t>
      </w:r>
    </w:p>
    <w:p w14:paraId="24315A41" w14:textId="1031950A" w:rsidR="00E04195" w:rsidRPr="008D28D9" w:rsidRDefault="00E04195" w:rsidP="009363BD">
      <w:pPr>
        <w:numPr>
          <w:ilvl w:val="0"/>
          <w:numId w:val="11"/>
        </w:numPr>
        <w:rPr>
          <w:lang w:val="en-GB"/>
        </w:rPr>
      </w:pPr>
      <w:r w:rsidRPr="008D28D9">
        <w:rPr>
          <w:lang w:val="en-GB"/>
        </w:rPr>
        <w:t>New applications included in 2019:</w:t>
      </w:r>
    </w:p>
    <w:p w14:paraId="14604183" w14:textId="45685954" w:rsidR="00E04195" w:rsidRPr="008D28D9" w:rsidRDefault="00E04195" w:rsidP="009363BD">
      <w:pPr>
        <w:numPr>
          <w:ilvl w:val="0"/>
          <w:numId w:val="12"/>
        </w:numPr>
        <w:rPr>
          <w:lang w:val="en-GB"/>
        </w:rPr>
      </w:pPr>
      <w:r w:rsidRPr="008D28D9">
        <w:rPr>
          <w:lang w:val="en-GB"/>
        </w:rPr>
        <w:t>Neural</w:t>
      </w:r>
      <w:r w:rsidR="00715DA1" w:rsidRPr="008D28D9">
        <w:rPr>
          <w:lang w:val="en-GB"/>
        </w:rPr>
        <w:t>-net based</w:t>
      </w:r>
      <w:r w:rsidRPr="008D28D9">
        <w:rPr>
          <w:lang w:val="en-GB"/>
        </w:rPr>
        <w:t xml:space="preserve"> machine translation prototype for document</w:t>
      </w:r>
      <w:r w:rsidR="008D22B5" w:rsidRPr="008D28D9">
        <w:rPr>
          <w:lang w:val="en-GB"/>
        </w:rPr>
        <w:t>s</w:t>
      </w:r>
      <w:r w:rsidRPr="008D28D9">
        <w:rPr>
          <w:lang w:val="en-GB"/>
        </w:rPr>
        <w:t xml:space="preserve"> in the </w:t>
      </w:r>
      <w:r w:rsidR="00715DA1" w:rsidRPr="008D28D9">
        <w:rPr>
          <w:lang w:val="en-GB"/>
        </w:rPr>
        <w:t>six</w:t>
      </w:r>
      <w:r w:rsidRPr="008D28D9">
        <w:rPr>
          <w:lang w:val="en-GB"/>
        </w:rPr>
        <w:t xml:space="preserve"> official languages (including formatting)</w:t>
      </w:r>
    </w:p>
    <w:p w14:paraId="4BBE0685" w14:textId="76304B6E" w:rsidR="00E04195" w:rsidRPr="008D28D9" w:rsidRDefault="00E04195" w:rsidP="009363BD">
      <w:pPr>
        <w:numPr>
          <w:ilvl w:val="0"/>
          <w:numId w:val="12"/>
        </w:numPr>
        <w:rPr>
          <w:lang w:val="en-GB"/>
        </w:rPr>
      </w:pPr>
      <w:r w:rsidRPr="008D28D9">
        <w:rPr>
          <w:lang w:val="en-GB"/>
        </w:rPr>
        <w:t xml:space="preserve">Remote participation service frequently used by </w:t>
      </w:r>
      <w:r w:rsidR="00F1765F">
        <w:rPr>
          <w:lang w:val="en-GB"/>
        </w:rPr>
        <w:t>SG</w:t>
      </w:r>
      <w:r w:rsidRPr="008D28D9">
        <w:rPr>
          <w:lang w:val="en-GB"/>
        </w:rPr>
        <w:t>s, based on an open</w:t>
      </w:r>
      <w:r w:rsidR="008D22B5" w:rsidRPr="008D28D9">
        <w:rPr>
          <w:lang w:val="en-GB"/>
        </w:rPr>
        <w:t>-</w:t>
      </w:r>
      <w:r w:rsidRPr="008D28D9">
        <w:rPr>
          <w:lang w:val="en-GB"/>
        </w:rPr>
        <w:t>source tool</w:t>
      </w:r>
    </w:p>
    <w:p w14:paraId="540D048A" w14:textId="6F2DA9EE" w:rsidR="00E04195" w:rsidRPr="008D28D9" w:rsidRDefault="00E04195" w:rsidP="009363BD">
      <w:pPr>
        <w:numPr>
          <w:ilvl w:val="0"/>
          <w:numId w:val="12"/>
        </w:numPr>
        <w:rPr>
          <w:lang w:val="en-GB"/>
        </w:rPr>
      </w:pPr>
      <w:r w:rsidRPr="008D28D9">
        <w:rPr>
          <w:lang w:val="en-GB"/>
        </w:rPr>
        <w:t>New ITU-T events service, fully integrated with CRM events and registered participants</w:t>
      </w:r>
      <w:r w:rsidR="008D22B5" w:rsidRPr="008D28D9">
        <w:rPr>
          <w:lang w:val="en-GB"/>
        </w:rPr>
        <w:t xml:space="preserve">, </w:t>
      </w:r>
      <w:r w:rsidRPr="008D28D9">
        <w:rPr>
          <w:lang w:val="en-GB"/>
        </w:rPr>
        <w:t>includ</w:t>
      </w:r>
      <w:r w:rsidR="008D22B5" w:rsidRPr="008D28D9">
        <w:rPr>
          <w:lang w:val="en-GB"/>
        </w:rPr>
        <w:t>ing a ‘</w:t>
      </w:r>
      <w:r w:rsidRPr="008D28D9">
        <w:rPr>
          <w:lang w:val="en-GB"/>
        </w:rPr>
        <w:t>matchmaking</w:t>
      </w:r>
      <w:r w:rsidR="008D22B5" w:rsidRPr="008D28D9">
        <w:rPr>
          <w:lang w:val="en-GB"/>
        </w:rPr>
        <w:t>’</w:t>
      </w:r>
      <w:r w:rsidRPr="008D28D9">
        <w:rPr>
          <w:lang w:val="en-GB"/>
        </w:rPr>
        <w:t xml:space="preserve"> feature to </w:t>
      </w:r>
      <w:r w:rsidR="008D22B5" w:rsidRPr="008D28D9">
        <w:rPr>
          <w:lang w:val="en-GB"/>
        </w:rPr>
        <w:t xml:space="preserve">enhance delegate </w:t>
      </w:r>
      <w:r w:rsidRPr="008D28D9">
        <w:rPr>
          <w:lang w:val="en-GB"/>
        </w:rPr>
        <w:t>networking.</w:t>
      </w:r>
    </w:p>
    <w:p w14:paraId="1D53CB08" w14:textId="6FBDC018" w:rsidR="006944F8" w:rsidRPr="00F57FAD" w:rsidRDefault="002F0E38" w:rsidP="009E5FFA">
      <w:pPr>
        <w:pStyle w:val="Heading2"/>
      </w:pPr>
      <w:bookmarkStart w:id="210" w:name="_Toc31967183"/>
      <w:r w:rsidRPr="00F57FAD">
        <w:t>13</w:t>
      </w:r>
      <w:r w:rsidR="006944F8" w:rsidRPr="00F57FAD">
        <w:t>.3</w:t>
      </w:r>
      <w:r w:rsidR="006944F8" w:rsidRPr="00F57FAD">
        <w:tab/>
        <w:t>ITU</w:t>
      </w:r>
      <w:r w:rsidR="004258B1" w:rsidRPr="00F57FAD">
        <w:t xml:space="preserve"> </w:t>
      </w:r>
      <w:r w:rsidR="001D7B96" w:rsidRPr="00F57FAD">
        <w:t>s</w:t>
      </w:r>
      <w:r w:rsidR="006944F8" w:rsidRPr="00F57FAD">
        <w:t>earch</w:t>
      </w:r>
      <w:r w:rsidR="001D7B96" w:rsidRPr="00F57FAD">
        <w:t xml:space="preserve"> engine</w:t>
      </w:r>
      <w:bookmarkEnd w:id="210"/>
    </w:p>
    <w:p w14:paraId="7CC74ABF" w14:textId="582E2C3E" w:rsidR="00635E20" w:rsidRPr="008D28D9" w:rsidRDefault="008D22B5" w:rsidP="002013A1">
      <w:pPr>
        <w:rPr>
          <w:lang w:val="en-GB"/>
        </w:rPr>
      </w:pPr>
      <w:r w:rsidRPr="00675EE7">
        <w:rPr>
          <w:lang w:val="en-GB"/>
        </w:rPr>
        <w:t>The</w:t>
      </w:r>
      <w:r w:rsidR="00DE1505" w:rsidRPr="00675EE7">
        <w:rPr>
          <w:lang w:val="en-GB"/>
        </w:rPr>
        <w:t xml:space="preserve"> mobile-friendly</w:t>
      </w:r>
      <w:r w:rsidRPr="00675EE7">
        <w:rPr>
          <w:lang w:val="en-GB"/>
        </w:rPr>
        <w:t xml:space="preserve"> </w:t>
      </w:r>
      <w:hyperlink r:id="rId185" w:history="1">
        <w:r w:rsidR="00635E20" w:rsidRPr="00675EE7">
          <w:rPr>
            <w:rStyle w:val="Hyperlink"/>
            <w:lang w:val="en-GB"/>
          </w:rPr>
          <w:t>ITU</w:t>
        </w:r>
        <w:r w:rsidRPr="00675EE7">
          <w:rPr>
            <w:rStyle w:val="Hyperlink"/>
            <w:lang w:val="en-GB"/>
          </w:rPr>
          <w:t xml:space="preserve"> s</w:t>
        </w:r>
        <w:r w:rsidR="00635E20" w:rsidRPr="00675EE7">
          <w:rPr>
            <w:rStyle w:val="Hyperlink"/>
            <w:lang w:val="en-GB"/>
          </w:rPr>
          <w:t>earch</w:t>
        </w:r>
        <w:r w:rsidRPr="00675EE7">
          <w:rPr>
            <w:rStyle w:val="Hyperlink"/>
            <w:lang w:val="en-GB"/>
          </w:rPr>
          <w:t xml:space="preserve"> engine</w:t>
        </w:r>
      </w:hyperlink>
      <w:r w:rsidR="00635E20" w:rsidRPr="00675EE7">
        <w:rPr>
          <w:lang w:val="en-GB"/>
        </w:rPr>
        <w:t xml:space="preserve"> facilitates access to ITU documents, websites, publications and other resour</w:t>
      </w:r>
      <w:r w:rsidR="00635E20" w:rsidRPr="008D28D9">
        <w:rPr>
          <w:lang w:val="en-GB"/>
        </w:rPr>
        <w:t xml:space="preserve">ces. </w:t>
      </w:r>
      <w:r w:rsidRPr="008D28D9">
        <w:rPr>
          <w:lang w:val="en-GB"/>
        </w:rPr>
        <w:t xml:space="preserve">2018 saw the expansion of the tool from ITU-T resources to the resources of all ITU Sectors. An average of 15,000 </w:t>
      </w:r>
      <w:r w:rsidR="008D28D9">
        <w:rPr>
          <w:lang w:val="en-GB"/>
        </w:rPr>
        <w:t>searches take place each month.</w:t>
      </w:r>
    </w:p>
    <w:p w14:paraId="048B6BDD" w14:textId="749EC6A1" w:rsidR="00635E20" w:rsidRPr="008D28D9" w:rsidRDefault="00635E20" w:rsidP="002013A1">
      <w:pPr>
        <w:rPr>
          <w:lang w:val="en-GB"/>
        </w:rPr>
      </w:pPr>
      <w:r w:rsidRPr="008D28D9">
        <w:rPr>
          <w:lang w:val="en-GB"/>
        </w:rPr>
        <w:t xml:space="preserve">The latest version </w:t>
      </w:r>
      <w:r w:rsidR="00DE1505" w:rsidRPr="008D28D9">
        <w:rPr>
          <w:lang w:val="en-GB"/>
        </w:rPr>
        <w:t xml:space="preserve">of the search engine </w:t>
      </w:r>
      <w:r w:rsidRPr="008D28D9">
        <w:rPr>
          <w:lang w:val="en-GB"/>
        </w:rPr>
        <w:t>was released in December 2018</w:t>
      </w:r>
      <w:r w:rsidR="00DE1505" w:rsidRPr="008D28D9">
        <w:rPr>
          <w:lang w:val="en-GB"/>
        </w:rPr>
        <w:t>. This</w:t>
      </w:r>
      <w:r w:rsidRPr="008D28D9">
        <w:rPr>
          <w:lang w:val="en-GB"/>
        </w:rPr>
        <w:t xml:space="preserve"> </w:t>
      </w:r>
      <w:r w:rsidR="00DE1505" w:rsidRPr="008D28D9">
        <w:rPr>
          <w:lang w:val="en-GB"/>
        </w:rPr>
        <w:t>latest</w:t>
      </w:r>
      <w:r w:rsidRPr="008D28D9">
        <w:rPr>
          <w:lang w:val="en-GB"/>
        </w:rPr>
        <w:t xml:space="preserve"> version includes:</w:t>
      </w:r>
    </w:p>
    <w:p w14:paraId="73B5B51B" w14:textId="37BEC89A" w:rsidR="00635E20" w:rsidRPr="008D28D9" w:rsidRDefault="00635E20" w:rsidP="009363BD">
      <w:pPr>
        <w:numPr>
          <w:ilvl w:val="0"/>
          <w:numId w:val="13"/>
        </w:numPr>
        <w:rPr>
          <w:lang w:val="en-GB"/>
        </w:rPr>
      </w:pPr>
      <w:r w:rsidRPr="008D28D9">
        <w:rPr>
          <w:lang w:val="en-GB"/>
        </w:rPr>
        <w:t xml:space="preserve">Filters to narrow searches by Sector, </w:t>
      </w:r>
      <w:r w:rsidR="00DE1505" w:rsidRPr="008D28D9">
        <w:rPr>
          <w:lang w:val="en-GB"/>
        </w:rPr>
        <w:t>t</w:t>
      </w:r>
      <w:r w:rsidRPr="008D28D9">
        <w:rPr>
          <w:lang w:val="en-GB"/>
        </w:rPr>
        <w:t xml:space="preserve">ype of document or </w:t>
      </w:r>
      <w:r w:rsidR="00DE1505" w:rsidRPr="008D28D9">
        <w:rPr>
          <w:lang w:val="en-GB"/>
        </w:rPr>
        <w:t>l</w:t>
      </w:r>
      <w:r w:rsidRPr="008D28D9">
        <w:rPr>
          <w:lang w:val="en-GB"/>
        </w:rPr>
        <w:t>anguage</w:t>
      </w:r>
    </w:p>
    <w:p w14:paraId="1CF1B303" w14:textId="6E7DBF9B" w:rsidR="00635E20" w:rsidRPr="008D28D9" w:rsidRDefault="00635E20" w:rsidP="009363BD">
      <w:pPr>
        <w:numPr>
          <w:ilvl w:val="0"/>
          <w:numId w:val="13"/>
        </w:numPr>
        <w:rPr>
          <w:lang w:val="en-GB"/>
        </w:rPr>
      </w:pPr>
      <w:r w:rsidRPr="008D28D9">
        <w:rPr>
          <w:lang w:val="en-GB"/>
        </w:rPr>
        <w:t>New collections available:</w:t>
      </w:r>
    </w:p>
    <w:p w14:paraId="7F6D4AA2" w14:textId="610038D9" w:rsidR="00635E20" w:rsidRPr="008D28D9" w:rsidRDefault="00635E20" w:rsidP="009363BD">
      <w:pPr>
        <w:numPr>
          <w:ilvl w:val="1"/>
          <w:numId w:val="13"/>
        </w:numPr>
        <w:rPr>
          <w:lang w:val="en-GB"/>
        </w:rPr>
      </w:pPr>
      <w:r w:rsidRPr="008D28D9">
        <w:rPr>
          <w:lang w:val="en-GB"/>
        </w:rPr>
        <w:t xml:space="preserve">Meeting documents and websites from all </w:t>
      </w:r>
      <w:r w:rsidR="00DE1505" w:rsidRPr="008D28D9">
        <w:rPr>
          <w:lang w:val="en-GB"/>
        </w:rPr>
        <w:t xml:space="preserve">ITU </w:t>
      </w:r>
      <w:r w:rsidRPr="008D28D9">
        <w:rPr>
          <w:lang w:val="en-GB"/>
        </w:rPr>
        <w:t>Sectors</w:t>
      </w:r>
    </w:p>
    <w:p w14:paraId="1ED5332C" w14:textId="219FBFCA" w:rsidR="00635E20" w:rsidRPr="008D28D9" w:rsidRDefault="00635E20" w:rsidP="009363BD">
      <w:pPr>
        <w:numPr>
          <w:ilvl w:val="1"/>
          <w:numId w:val="13"/>
        </w:numPr>
        <w:rPr>
          <w:lang w:val="en-GB"/>
        </w:rPr>
      </w:pPr>
      <w:r w:rsidRPr="008D28D9">
        <w:rPr>
          <w:lang w:val="en-GB"/>
        </w:rPr>
        <w:t>Social media (</w:t>
      </w:r>
      <w:r w:rsidR="00DE1505" w:rsidRPr="008D28D9">
        <w:rPr>
          <w:lang w:val="en-GB"/>
        </w:rPr>
        <w:t xml:space="preserve">ITU </w:t>
      </w:r>
      <w:r w:rsidRPr="008D28D9">
        <w:rPr>
          <w:lang w:val="en-GB"/>
        </w:rPr>
        <w:t>Facebook</w:t>
      </w:r>
      <w:r w:rsidR="00DE1505" w:rsidRPr="008D28D9">
        <w:rPr>
          <w:lang w:val="en-GB"/>
        </w:rPr>
        <w:t xml:space="preserve"> and </w:t>
      </w:r>
      <w:r w:rsidRPr="008D28D9">
        <w:rPr>
          <w:lang w:val="en-GB"/>
        </w:rPr>
        <w:t>Twitter</w:t>
      </w:r>
      <w:r w:rsidR="00DE1505" w:rsidRPr="008D28D9">
        <w:rPr>
          <w:lang w:val="en-GB"/>
        </w:rPr>
        <w:t xml:space="preserve"> accounts</w:t>
      </w:r>
      <w:r w:rsidRPr="008D28D9">
        <w:rPr>
          <w:lang w:val="en-GB"/>
        </w:rPr>
        <w:t>) and Multimedia (</w:t>
      </w:r>
      <w:r w:rsidR="00DE1505" w:rsidRPr="008D28D9">
        <w:rPr>
          <w:lang w:val="en-GB"/>
        </w:rPr>
        <w:t xml:space="preserve">ITU </w:t>
      </w:r>
      <w:r w:rsidRPr="008D28D9">
        <w:rPr>
          <w:lang w:val="en-GB"/>
        </w:rPr>
        <w:t>Flickr</w:t>
      </w:r>
      <w:r w:rsidR="00DE1505" w:rsidRPr="008D28D9">
        <w:rPr>
          <w:lang w:val="en-GB"/>
        </w:rPr>
        <w:t xml:space="preserve"> and </w:t>
      </w:r>
      <w:r w:rsidRPr="008D28D9">
        <w:rPr>
          <w:lang w:val="en-GB"/>
        </w:rPr>
        <w:t>YouTube</w:t>
      </w:r>
      <w:r w:rsidR="00DE1505" w:rsidRPr="008D28D9">
        <w:rPr>
          <w:lang w:val="en-GB"/>
        </w:rPr>
        <w:t xml:space="preserve"> accounts</w:t>
      </w:r>
      <w:r w:rsidRPr="008D28D9">
        <w:rPr>
          <w:lang w:val="en-GB"/>
        </w:rPr>
        <w:t>)</w:t>
      </w:r>
    </w:p>
    <w:p w14:paraId="7418DE72" w14:textId="1E4161E6" w:rsidR="00635E20" w:rsidRPr="008D28D9" w:rsidRDefault="00635E20" w:rsidP="009363BD">
      <w:pPr>
        <w:numPr>
          <w:ilvl w:val="0"/>
          <w:numId w:val="13"/>
        </w:numPr>
        <w:rPr>
          <w:lang w:val="en-GB"/>
        </w:rPr>
      </w:pPr>
      <w:r w:rsidRPr="008D28D9">
        <w:rPr>
          <w:lang w:val="en-GB"/>
        </w:rPr>
        <w:t xml:space="preserve">New section </w:t>
      </w:r>
      <w:r w:rsidR="008F380F" w:rsidRPr="008D28D9">
        <w:rPr>
          <w:lang w:val="en-GB"/>
        </w:rPr>
        <w:t xml:space="preserve">to search </w:t>
      </w:r>
      <w:r w:rsidRPr="008D28D9">
        <w:rPr>
          <w:lang w:val="en-GB"/>
        </w:rPr>
        <w:t xml:space="preserve">resolutions and decisions of ITU </w:t>
      </w:r>
      <w:r w:rsidR="008F380F" w:rsidRPr="008D28D9">
        <w:rPr>
          <w:lang w:val="en-GB"/>
        </w:rPr>
        <w:t>governing bodies</w:t>
      </w:r>
    </w:p>
    <w:p w14:paraId="791AB5D8" w14:textId="3262E777" w:rsidR="00635E20" w:rsidRPr="008D28D9" w:rsidRDefault="00635E20" w:rsidP="009363BD">
      <w:pPr>
        <w:numPr>
          <w:ilvl w:val="0"/>
          <w:numId w:val="13"/>
        </w:numPr>
        <w:rPr>
          <w:lang w:val="en-GB"/>
        </w:rPr>
      </w:pPr>
      <w:r w:rsidRPr="008D28D9">
        <w:rPr>
          <w:lang w:val="en-GB"/>
        </w:rPr>
        <w:t xml:space="preserve">Multilingual search, support any of the </w:t>
      </w:r>
      <w:r w:rsidR="001C37A8" w:rsidRPr="008D28D9">
        <w:rPr>
          <w:lang w:val="en-GB"/>
        </w:rPr>
        <w:t>six</w:t>
      </w:r>
      <w:r w:rsidRPr="008D28D9">
        <w:rPr>
          <w:lang w:val="en-GB"/>
        </w:rPr>
        <w:t xml:space="preserve"> official languages</w:t>
      </w:r>
      <w:r w:rsidR="008D28D9" w:rsidRPr="008D28D9">
        <w:rPr>
          <w:lang w:val="en-GB"/>
        </w:rPr>
        <w:t>.</w:t>
      </w:r>
    </w:p>
    <w:p w14:paraId="3099D356" w14:textId="236C3967" w:rsidR="006944F8" w:rsidRPr="00F57FAD" w:rsidRDefault="002F0E38" w:rsidP="006944F8">
      <w:pPr>
        <w:pStyle w:val="Heading2"/>
      </w:pPr>
      <w:bookmarkStart w:id="211" w:name="_Toc31967184"/>
      <w:r w:rsidRPr="00F57FAD">
        <w:t>13</w:t>
      </w:r>
      <w:r w:rsidR="006944F8" w:rsidRPr="00F57FAD">
        <w:t>.4</w:t>
      </w:r>
      <w:r w:rsidR="006944F8" w:rsidRPr="00F57FAD">
        <w:tab/>
        <w:t>ITU-T services &amp; tools announcements</w:t>
      </w:r>
      <w:bookmarkEnd w:id="211"/>
    </w:p>
    <w:p w14:paraId="184D5ADE" w14:textId="03BDC001" w:rsidR="006944F8" w:rsidRPr="008D28D9" w:rsidRDefault="00194F77" w:rsidP="0033393D">
      <w:pPr>
        <w:rPr>
          <w:b/>
          <w:bCs/>
          <w:lang w:val="en-GB"/>
        </w:rPr>
      </w:pPr>
      <w:r w:rsidRPr="008D28D9">
        <w:rPr>
          <w:lang w:val="en-GB"/>
        </w:rPr>
        <w:t xml:space="preserve">A service announcements platform, </w:t>
      </w:r>
      <w:hyperlink r:id="rId186" w:history="1">
        <w:r w:rsidRPr="008D28D9">
          <w:rPr>
            <w:rStyle w:val="Hyperlink"/>
            <w:rFonts w:asciiTheme="majorBidi" w:hAnsiTheme="majorBidi" w:cstheme="majorBidi"/>
            <w:lang w:val="en-GB"/>
          </w:rPr>
          <w:t>http://tsbtech.itu.int/</w:t>
        </w:r>
      </w:hyperlink>
      <w:r w:rsidRPr="008D28D9">
        <w:rPr>
          <w:lang w:val="en-GB"/>
        </w:rPr>
        <w:t xml:space="preserve">, keeps </w:t>
      </w:r>
      <w:r w:rsidR="006944F8" w:rsidRPr="008D28D9">
        <w:rPr>
          <w:lang w:val="en-GB"/>
        </w:rPr>
        <w:t>the ITU-T community</w:t>
      </w:r>
      <w:r w:rsidRPr="008D28D9">
        <w:rPr>
          <w:lang w:val="en-GB"/>
        </w:rPr>
        <w:t xml:space="preserve"> up to date </w:t>
      </w:r>
      <w:r w:rsidR="006944F8" w:rsidRPr="008D28D9">
        <w:rPr>
          <w:lang w:val="en-GB"/>
        </w:rPr>
        <w:t xml:space="preserve">with the latest </w:t>
      </w:r>
      <w:r w:rsidR="00DE1505" w:rsidRPr="008D28D9">
        <w:rPr>
          <w:lang w:val="en-GB"/>
        </w:rPr>
        <w:t xml:space="preserve">enhancements to the </w:t>
      </w:r>
      <w:r w:rsidR="006944F8" w:rsidRPr="008D28D9">
        <w:rPr>
          <w:lang w:val="en-GB"/>
        </w:rPr>
        <w:t>services and tool</w:t>
      </w:r>
      <w:r w:rsidR="00DE1505" w:rsidRPr="008D28D9">
        <w:rPr>
          <w:lang w:val="en-GB"/>
        </w:rPr>
        <w:t>s provided to ITU-T members</w:t>
      </w:r>
      <w:r w:rsidRPr="008D28D9">
        <w:rPr>
          <w:lang w:val="en-GB"/>
        </w:rPr>
        <w:t>.</w:t>
      </w:r>
    </w:p>
    <w:p w14:paraId="6AA3BB35" w14:textId="75BBCE6A" w:rsidR="006944F8" w:rsidRPr="00F57FAD" w:rsidRDefault="002F0E38" w:rsidP="006944F8">
      <w:pPr>
        <w:pStyle w:val="Heading2"/>
      </w:pPr>
      <w:bookmarkStart w:id="212" w:name="_Toc480527871"/>
      <w:bookmarkStart w:id="213" w:name="_Toc31967185"/>
      <w:r w:rsidRPr="00F57FAD">
        <w:t>13</w:t>
      </w:r>
      <w:r w:rsidR="006944F8" w:rsidRPr="00F57FAD">
        <w:t>.5</w:t>
      </w:r>
      <w:r w:rsidR="006944F8" w:rsidRPr="00F57FAD">
        <w:tab/>
        <w:t>Document Management System for Rapporteur Groups</w:t>
      </w:r>
      <w:bookmarkEnd w:id="212"/>
      <w:bookmarkEnd w:id="213"/>
    </w:p>
    <w:p w14:paraId="2651C1D0" w14:textId="3B0E27F1" w:rsidR="006944F8" w:rsidRPr="009A0820" w:rsidRDefault="006944F8" w:rsidP="0033393D">
      <w:pPr>
        <w:rPr>
          <w:lang w:val="en-GB"/>
        </w:rPr>
      </w:pPr>
      <w:r w:rsidRPr="009A0820">
        <w:rPr>
          <w:szCs w:val="24"/>
          <w:lang w:val="en-GB"/>
        </w:rPr>
        <w:t>The M</w:t>
      </w:r>
      <w:r w:rsidR="00DE1505" w:rsidRPr="009A0820">
        <w:rPr>
          <w:szCs w:val="24"/>
          <w:lang w:val="en-GB"/>
        </w:rPr>
        <w:t>icrosoft</w:t>
      </w:r>
      <w:r w:rsidRPr="009A0820">
        <w:rPr>
          <w:szCs w:val="24"/>
          <w:lang w:val="en-GB"/>
        </w:rPr>
        <w:t xml:space="preserve"> SharePoint</w:t>
      </w:r>
      <w:r w:rsidR="00194F77" w:rsidRPr="009A0820">
        <w:rPr>
          <w:szCs w:val="24"/>
          <w:lang w:val="en-GB"/>
        </w:rPr>
        <w:t>-</w:t>
      </w:r>
      <w:r w:rsidRPr="009A0820">
        <w:rPr>
          <w:szCs w:val="24"/>
          <w:lang w:val="en-GB"/>
        </w:rPr>
        <w:t>based Document Management System for ITU-T Rapporteur Group Meetings (RGM</w:t>
      </w:r>
      <w:r w:rsidR="00194F77" w:rsidRPr="009A0820">
        <w:rPr>
          <w:szCs w:val="24"/>
          <w:lang w:val="en-GB"/>
        </w:rPr>
        <w:t>s</w:t>
      </w:r>
      <w:r w:rsidRPr="009A0820">
        <w:rPr>
          <w:szCs w:val="24"/>
          <w:lang w:val="en-GB"/>
        </w:rPr>
        <w:t xml:space="preserve">) </w:t>
      </w:r>
      <w:r w:rsidR="00B018B9" w:rsidRPr="009A0820">
        <w:rPr>
          <w:szCs w:val="24"/>
          <w:lang w:val="en-GB"/>
        </w:rPr>
        <w:t>has been</w:t>
      </w:r>
      <w:r w:rsidRPr="009A0820">
        <w:rPr>
          <w:szCs w:val="24"/>
          <w:lang w:val="en-GB"/>
        </w:rPr>
        <w:t xml:space="preserve"> used</w:t>
      </w:r>
      <w:r w:rsidRPr="009A0820">
        <w:rPr>
          <w:lang w:val="en-GB"/>
        </w:rPr>
        <w:t xml:space="preserve"> </w:t>
      </w:r>
      <w:r w:rsidRPr="009A0820">
        <w:rPr>
          <w:szCs w:val="24"/>
          <w:lang w:val="en-GB"/>
        </w:rPr>
        <w:t xml:space="preserve">extensively by </w:t>
      </w:r>
      <w:r w:rsidR="00194F77" w:rsidRPr="009A0820">
        <w:rPr>
          <w:szCs w:val="24"/>
          <w:lang w:val="en-GB"/>
        </w:rPr>
        <w:t xml:space="preserve">the </w:t>
      </w:r>
      <w:r w:rsidRPr="009A0820">
        <w:rPr>
          <w:szCs w:val="24"/>
          <w:lang w:val="en-GB"/>
        </w:rPr>
        <w:t xml:space="preserve">majority of ITU-T </w:t>
      </w:r>
      <w:r w:rsidR="00F1765F">
        <w:rPr>
          <w:szCs w:val="24"/>
          <w:lang w:val="en-GB"/>
        </w:rPr>
        <w:t>SG</w:t>
      </w:r>
      <w:r w:rsidRPr="009A0820">
        <w:rPr>
          <w:szCs w:val="24"/>
          <w:lang w:val="en-GB"/>
        </w:rPr>
        <w:t>s</w:t>
      </w:r>
      <w:r w:rsidR="00194F77" w:rsidRPr="009A0820">
        <w:rPr>
          <w:szCs w:val="24"/>
          <w:lang w:val="en-GB"/>
        </w:rPr>
        <w:t>,</w:t>
      </w:r>
      <w:r w:rsidRPr="009A0820">
        <w:rPr>
          <w:szCs w:val="24"/>
          <w:lang w:val="en-GB"/>
        </w:rPr>
        <w:t xml:space="preserve"> notably </w:t>
      </w:r>
      <w:r w:rsidR="00F1765F">
        <w:rPr>
          <w:szCs w:val="24"/>
          <w:lang w:val="en-GB"/>
        </w:rPr>
        <w:t>SG</w:t>
      </w:r>
      <w:r w:rsidRPr="009A0820">
        <w:rPr>
          <w:szCs w:val="24"/>
          <w:lang w:val="en-GB"/>
        </w:rPr>
        <w:t>s 2, 3, 9, 11, 13, 15, 16</w:t>
      </w:r>
      <w:r w:rsidR="001E0661">
        <w:rPr>
          <w:szCs w:val="24"/>
          <w:lang w:val="en-GB"/>
        </w:rPr>
        <w:t>, 17</w:t>
      </w:r>
      <w:r w:rsidRPr="009A0820">
        <w:rPr>
          <w:szCs w:val="24"/>
          <w:lang w:val="en-GB"/>
        </w:rPr>
        <w:t xml:space="preserve"> and TSAG. </w:t>
      </w:r>
      <w:r w:rsidR="00194F77" w:rsidRPr="009A0820">
        <w:rPr>
          <w:szCs w:val="24"/>
          <w:lang w:val="en-GB"/>
        </w:rPr>
        <w:t>Feedback from Rapporteurs drives the continuous improvement of t</w:t>
      </w:r>
      <w:r w:rsidRPr="009A0820">
        <w:rPr>
          <w:szCs w:val="24"/>
          <w:lang w:val="en-GB"/>
        </w:rPr>
        <w:t>he RGM system</w:t>
      </w:r>
      <w:r w:rsidR="00194F77" w:rsidRPr="009A0820">
        <w:rPr>
          <w:szCs w:val="24"/>
          <w:lang w:val="en-GB"/>
        </w:rPr>
        <w:t>.</w:t>
      </w:r>
    </w:p>
    <w:p w14:paraId="29850F12" w14:textId="3AA75837" w:rsidR="006944F8" w:rsidRPr="009A0820" w:rsidRDefault="00194F77" w:rsidP="009E5FFA">
      <w:pPr>
        <w:rPr>
          <w:szCs w:val="24"/>
          <w:lang w:val="en-GB"/>
        </w:rPr>
      </w:pPr>
      <w:r w:rsidRPr="009A0820">
        <w:rPr>
          <w:szCs w:val="24"/>
          <w:lang w:val="en-GB"/>
        </w:rPr>
        <w:t>C</w:t>
      </w:r>
      <w:r w:rsidR="006944F8" w:rsidRPr="009A0820">
        <w:rPr>
          <w:szCs w:val="24"/>
          <w:lang w:val="en-GB"/>
        </w:rPr>
        <w:t xml:space="preserve">urrent and past RGM meetings </w:t>
      </w:r>
      <w:r w:rsidRPr="009A0820">
        <w:rPr>
          <w:szCs w:val="24"/>
          <w:lang w:val="en-GB"/>
        </w:rPr>
        <w:t xml:space="preserve">can </w:t>
      </w:r>
      <w:r w:rsidR="006944F8" w:rsidRPr="009A0820">
        <w:rPr>
          <w:szCs w:val="24"/>
          <w:lang w:val="en-GB"/>
        </w:rPr>
        <w:t>be accessed</w:t>
      </w:r>
      <w:r w:rsidRPr="009A0820">
        <w:rPr>
          <w:szCs w:val="24"/>
          <w:lang w:val="en-GB"/>
        </w:rPr>
        <w:t xml:space="preserve"> at</w:t>
      </w:r>
      <w:r w:rsidR="006944F8" w:rsidRPr="009A0820">
        <w:rPr>
          <w:szCs w:val="24"/>
          <w:lang w:val="en-GB"/>
        </w:rPr>
        <w:t xml:space="preserve"> </w:t>
      </w:r>
      <w:hyperlink r:id="rId187" w:history="1">
        <w:r w:rsidR="006944F8" w:rsidRPr="009A0820">
          <w:rPr>
            <w:rStyle w:val="Hyperlink"/>
            <w:szCs w:val="24"/>
            <w:lang w:val="en-GB"/>
          </w:rPr>
          <w:t>http://itu.int/go/itu-t/rgm</w:t>
        </w:r>
      </w:hyperlink>
    </w:p>
    <w:p w14:paraId="709FFC74" w14:textId="0B537E1B" w:rsidR="006944F8" w:rsidRPr="009A0820" w:rsidRDefault="006944F8" w:rsidP="009E5FFA">
      <w:pPr>
        <w:rPr>
          <w:szCs w:val="24"/>
          <w:lang w:val="en-GB"/>
        </w:rPr>
      </w:pPr>
      <w:r w:rsidRPr="009A0820">
        <w:rPr>
          <w:szCs w:val="24"/>
          <w:lang w:val="en-GB"/>
        </w:rPr>
        <w:t xml:space="preserve">A comprehensive support and FAQs page offering RGM tips and best practices is available </w:t>
      </w:r>
      <w:r w:rsidR="00194F77" w:rsidRPr="009A0820">
        <w:rPr>
          <w:szCs w:val="24"/>
          <w:lang w:val="en-GB"/>
        </w:rPr>
        <w:t>at</w:t>
      </w:r>
      <w:r w:rsidRPr="009A0820">
        <w:rPr>
          <w:szCs w:val="24"/>
          <w:lang w:val="en-GB"/>
        </w:rPr>
        <w:t xml:space="preserve"> </w:t>
      </w:r>
      <w:hyperlink r:id="rId188" w:history="1">
        <w:r w:rsidRPr="009A0820">
          <w:rPr>
            <w:rStyle w:val="Hyperlink"/>
            <w:szCs w:val="24"/>
            <w:lang w:val="en-GB"/>
          </w:rPr>
          <w:t>http://itu.int/go/itu-t/rgm-support</w:t>
        </w:r>
      </w:hyperlink>
    </w:p>
    <w:p w14:paraId="44A4E2F4" w14:textId="0C5A63DC" w:rsidR="006944F8" w:rsidRPr="009A0820" w:rsidRDefault="006944F8" w:rsidP="009E5FFA">
      <w:pPr>
        <w:rPr>
          <w:szCs w:val="24"/>
          <w:lang w:val="en-GB"/>
        </w:rPr>
      </w:pPr>
      <w:r w:rsidRPr="009A0820">
        <w:rPr>
          <w:szCs w:val="24"/>
          <w:lang w:val="en-GB"/>
        </w:rPr>
        <w:t>A detailed online user guide for the RGM System</w:t>
      </w:r>
      <w:r w:rsidR="00194F77" w:rsidRPr="009A0820">
        <w:rPr>
          <w:szCs w:val="24"/>
          <w:lang w:val="en-GB"/>
        </w:rPr>
        <w:t xml:space="preserve">, including video tutorials, </w:t>
      </w:r>
      <w:r w:rsidRPr="009A0820">
        <w:rPr>
          <w:szCs w:val="24"/>
          <w:lang w:val="en-GB"/>
        </w:rPr>
        <w:t xml:space="preserve">is available at </w:t>
      </w:r>
      <w:hyperlink r:id="rId189" w:history="1">
        <w:r w:rsidRPr="009A0820">
          <w:rPr>
            <w:rStyle w:val="Hyperlink"/>
            <w:szCs w:val="24"/>
            <w:lang w:val="en-GB"/>
          </w:rPr>
          <w:t>http://itu.int/go/itu-t/rgm-guide</w:t>
        </w:r>
      </w:hyperlink>
    </w:p>
    <w:p w14:paraId="04A38B61" w14:textId="060AEB44" w:rsidR="006944F8" w:rsidRPr="009A0820" w:rsidRDefault="006944F8" w:rsidP="009E5FFA">
      <w:pPr>
        <w:rPr>
          <w:lang w:val="en-GB"/>
        </w:rPr>
      </w:pPr>
      <w:r w:rsidRPr="009A0820">
        <w:rPr>
          <w:lang w:val="en-GB"/>
        </w:rPr>
        <w:lastRenderedPageBreak/>
        <w:t xml:space="preserve">The RGM system </w:t>
      </w:r>
      <w:r w:rsidRPr="009A0820">
        <w:rPr>
          <w:szCs w:val="24"/>
          <w:lang w:val="en-GB"/>
        </w:rPr>
        <w:t xml:space="preserve">is </w:t>
      </w:r>
      <w:r w:rsidR="00194F77" w:rsidRPr="009A0820">
        <w:rPr>
          <w:szCs w:val="24"/>
          <w:lang w:val="en-GB"/>
        </w:rPr>
        <w:t xml:space="preserve">one </w:t>
      </w:r>
      <w:r w:rsidRPr="009A0820">
        <w:rPr>
          <w:lang w:val="en-GB"/>
        </w:rPr>
        <w:t>of several services available in the ITU-T SharePoint collaboration sites</w:t>
      </w:r>
      <w:r w:rsidR="00194F77" w:rsidRPr="009A0820">
        <w:rPr>
          <w:lang w:val="en-GB"/>
        </w:rPr>
        <w:t>. These sites</w:t>
      </w:r>
      <w:r w:rsidRPr="009A0820">
        <w:rPr>
          <w:lang w:val="en-GB"/>
        </w:rPr>
        <w:t xml:space="preserve"> </w:t>
      </w:r>
      <w:r w:rsidR="00194F77" w:rsidRPr="009A0820">
        <w:rPr>
          <w:lang w:val="en-GB"/>
        </w:rPr>
        <w:t xml:space="preserve">are </w:t>
      </w:r>
      <w:r w:rsidRPr="009A0820">
        <w:rPr>
          <w:lang w:val="en-GB"/>
        </w:rPr>
        <w:t xml:space="preserve">restricted to ITU-T </w:t>
      </w:r>
      <w:r w:rsidR="00DE1505" w:rsidRPr="009A0820">
        <w:rPr>
          <w:lang w:val="en-GB"/>
        </w:rPr>
        <w:t>m</w:t>
      </w:r>
      <w:r w:rsidRPr="009A0820">
        <w:rPr>
          <w:lang w:val="en-GB"/>
        </w:rPr>
        <w:t xml:space="preserve">embers and </w:t>
      </w:r>
      <w:r w:rsidR="00194F77" w:rsidRPr="009A0820">
        <w:rPr>
          <w:lang w:val="en-GB"/>
        </w:rPr>
        <w:t xml:space="preserve">can </w:t>
      </w:r>
      <w:r w:rsidRPr="009A0820">
        <w:rPr>
          <w:lang w:val="en-GB"/>
        </w:rPr>
        <w:t xml:space="preserve">be accessed using an ITU User </w:t>
      </w:r>
      <w:r w:rsidR="00DE1505" w:rsidRPr="009A0820">
        <w:rPr>
          <w:lang w:val="en-GB"/>
        </w:rPr>
        <w:t xml:space="preserve">Account </w:t>
      </w:r>
      <w:r w:rsidRPr="009A0820">
        <w:rPr>
          <w:lang w:val="en-GB"/>
        </w:rPr>
        <w:t>(TIES).</w:t>
      </w:r>
    </w:p>
    <w:p w14:paraId="1126A876" w14:textId="05BBEAB1" w:rsidR="006944F8" w:rsidRPr="00F57FAD" w:rsidRDefault="002F0E38" w:rsidP="006944F8">
      <w:pPr>
        <w:pStyle w:val="Heading2"/>
      </w:pPr>
      <w:bookmarkStart w:id="214" w:name="_Toc480527873"/>
      <w:bookmarkStart w:id="215" w:name="_Toc31967186"/>
      <w:r w:rsidRPr="00F57FAD">
        <w:t>13</w:t>
      </w:r>
      <w:r w:rsidR="006944F8" w:rsidRPr="00F57FAD">
        <w:t>.6</w:t>
      </w:r>
      <w:r w:rsidR="006944F8" w:rsidRPr="00F57FAD">
        <w:tab/>
        <w:t>International Numbering Resources (INRs)</w:t>
      </w:r>
      <w:bookmarkEnd w:id="214"/>
      <w:bookmarkEnd w:id="215"/>
    </w:p>
    <w:p w14:paraId="7DC41C1B" w14:textId="708B1827" w:rsidR="00ED445F" w:rsidRPr="00C81B63" w:rsidRDefault="00ED445F" w:rsidP="001C37A8">
      <w:pPr>
        <w:rPr>
          <w:lang w:val="en-GB"/>
        </w:rPr>
      </w:pPr>
      <w:r w:rsidRPr="00C81B63">
        <w:rPr>
          <w:szCs w:val="24"/>
          <w:lang w:val="en-GB"/>
        </w:rPr>
        <w:t>A prototype of a new</w:t>
      </w:r>
      <w:r w:rsidRPr="00C81B63">
        <w:rPr>
          <w:lang w:val="en-GB"/>
        </w:rPr>
        <w:t xml:space="preserve"> repository of national numbering plans has been developed and is available at: </w:t>
      </w:r>
      <w:hyperlink r:id="rId190" w:history="1">
        <w:r w:rsidRPr="00C81B63">
          <w:rPr>
            <w:rStyle w:val="Hyperlink"/>
            <w:lang w:val="en-GB"/>
          </w:rPr>
          <w:t>https://www.itu.int/net4/itu-t/nnp</w:t>
        </w:r>
      </w:hyperlink>
      <w:r w:rsidRPr="00C81B63">
        <w:rPr>
          <w:lang w:val="en-GB"/>
        </w:rPr>
        <w:t xml:space="preserve">. The prototype responds to </w:t>
      </w:r>
      <w:r w:rsidRPr="00C81B63">
        <w:rPr>
          <w:rFonts w:eastAsia="SimSun"/>
          <w:lang w:val="en-GB"/>
        </w:rPr>
        <w:t>WTSA Resolution 91 (</w:t>
      </w:r>
      <w:proofErr w:type="spellStart"/>
      <w:r w:rsidRPr="00C81B63">
        <w:rPr>
          <w:rFonts w:eastAsia="SimSun"/>
          <w:lang w:val="en-GB"/>
        </w:rPr>
        <w:t>Hammamet</w:t>
      </w:r>
      <w:proofErr w:type="spellEnd"/>
      <w:r w:rsidRPr="00C81B63">
        <w:rPr>
          <w:rFonts w:eastAsia="SimSun"/>
          <w:lang w:val="en-GB"/>
        </w:rPr>
        <w:t>, 2016) on "Enhancing access to an electronic repository of information on numbering plans published by the ITU Telecommunication Standardization Sector".</w:t>
      </w:r>
      <w:r w:rsidRPr="00C81B63">
        <w:rPr>
          <w:lang w:val="en-GB"/>
        </w:rPr>
        <w:t xml:space="preserve"> </w:t>
      </w:r>
      <w:r w:rsidRPr="00C81B63">
        <w:rPr>
          <w:rFonts w:eastAsia="SimSun"/>
          <w:lang w:val="en-GB"/>
        </w:rPr>
        <w:t xml:space="preserve">Pursuant to the relevant ITU-T Recommendations, Member States are invited to </w:t>
      </w:r>
      <w:r w:rsidRPr="00C81B63">
        <w:rPr>
          <w:lang w:val="en-GB"/>
        </w:rPr>
        <w:t xml:space="preserve">provide information on the presentation of their national numbering plans and amendments thereto in a timely manner, </w:t>
      </w:r>
      <w:proofErr w:type="gramStart"/>
      <w:r w:rsidRPr="00C81B63">
        <w:rPr>
          <w:lang w:val="en-GB"/>
        </w:rPr>
        <w:t>so as to</w:t>
      </w:r>
      <w:proofErr w:type="gramEnd"/>
      <w:r w:rsidRPr="00C81B63">
        <w:rPr>
          <w:lang w:val="en-GB"/>
        </w:rPr>
        <w:t xml:space="preserve"> ensure that the electronic</w:t>
      </w:r>
      <w:r w:rsidR="00252B83" w:rsidRPr="00C81B63">
        <w:rPr>
          <w:lang w:val="en-GB"/>
        </w:rPr>
        <w:t xml:space="preserve"> repository remains up to date.</w:t>
      </w:r>
    </w:p>
    <w:p w14:paraId="13196E64" w14:textId="538DB0CA" w:rsidR="006944F8" w:rsidRPr="00C81B63" w:rsidRDefault="006944F8" w:rsidP="001C37A8">
      <w:pPr>
        <w:rPr>
          <w:lang w:val="en-GB"/>
        </w:rPr>
      </w:pPr>
      <w:r w:rsidRPr="00C81B63">
        <w:rPr>
          <w:lang w:val="en-GB"/>
        </w:rPr>
        <w:t>ITU assigns about two-dozen types of International Numbering Resources (INRs), either directly or indirectly.</w:t>
      </w:r>
    </w:p>
    <w:p w14:paraId="51ACBCA8" w14:textId="19B425DE" w:rsidR="006944F8" w:rsidRPr="00C81B63" w:rsidRDefault="006944F8" w:rsidP="009E5FFA">
      <w:pPr>
        <w:rPr>
          <w:lang w:val="en-GB"/>
        </w:rPr>
      </w:pPr>
      <w:r w:rsidRPr="00C81B63">
        <w:rPr>
          <w:lang w:val="en-GB"/>
        </w:rPr>
        <w:t>Notifications of national numbering/identification plan update</w:t>
      </w:r>
      <w:r w:rsidR="00194F77" w:rsidRPr="00C81B63">
        <w:rPr>
          <w:lang w:val="en-GB"/>
        </w:rPr>
        <w:t>s</w:t>
      </w:r>
      <w:r w:rsidRPr="00C81B63">
        <w:rPr>
          <w:lang w:val="en-GB"/>
        </w:rPr>
        <w:t xml:space="preserve"> and assignment</w:t>
      </w:r>
      <w:r w:rsidR="00194F77" w:rsidRPr="00C81B63">
        <w:rPr>
          <w:lang w:val="en-GB"/>
        </w:rPr>
        <w:t>s</w:t>
      </w:r>
      <w:r w:rsidRPr="00C81B63">
        <w:rPr>
          <w:lang w:val="en-GB"/>
        </w:rPr>
        <w:t xml:space="preserve"> or reclamation</w:t>
      </w:r>
      <w:r w:rsidR="00194F77" w:rsidRPr="00C81B63">
        <w:rPr>
          <w:lang w:val="en-GB"/>
        </w:rPr>
        <w:t>s</w:t>
      </w:r>
      <w:r w:rsidRPr="00C81B63">
        <w:rPr>
          <w:lang w:val="en-GB"/>
        </w:rPr>
        <w:t xml:space="preserve"> of national numbering/identification resources </w:t>
      </w:r>
      <w:r w:rsidR="00194F77" w:rsidRPr="00C81B63">
        <w:rPr>
          <w:lang w:val="en-GB"/>
        </w:rPr>
        <w:t xml:space="preserve">are </w:t>
      </w:r>
      <w:r w:rsidRPr="00C81B63">
        <w:rPr>
          <w:lang w:val="en-GB"/>
        </w:rPr>
        <w:t xml:space="preserve">received and published in the </w:t>
      </w:r>
      <w:hyperlink r:id="rId191" w:history="1">
        <w:r w:rsidRPr="00C81B63">
          <w:rPr>
            <w:rFonts w:asciiTheme="majorBidi" w:hAnsiTheme="majorBidi" w:cstheme="majorBidi"/>
            <w:color w:val="0000FF"/>
            <w:u w:val="single" w:color="0000FF"/>
            <w:lang w:val="en-GB"/>
          </w:rPr>
          <w:t>ITU Operational Bulletin</w:t>
        </w:r>
      </w:hyperlink>
      <w:r w:rsidRPr="00C81B63">
        <w:rPr>
          <w:lang w:val="en-GB"/>
        </w:rPr>
        <w:t xml:space="preserve">. The ITU Operational Bulletin is published in the six official languages </w:t>
      </w:r>
      <w:r w:rsidR="00194F77" w:rsidRPr="00C81B63">
        <w:rPr>
          <w:lang w:val="en-GB"/>
        </w:rPr>
        <w:t xml:space="preserve">of the Union </w:t>
      </w:r>
      <w:r w:rsidRPr="00C81B63">
        <w:rPr>
          <w:lang w:val="en-GB"/>
        </w:rPr>
        <w:t xml:space="preserve">twice a month. Some 20 annexes </w:t>
      </w:r>
      <w:r w:rsidR="005C3985" w:rsidRPr="00C81B63">
        <w:rPr>
          <w:lang w:val="en-GB"/>
        </w:rPr>
        <w:t xml:space="preserve">are maintained </w:t>
      </w:r>
      <w:r w:rsidRPr="00C81B63">
        <w:rPr>
          <w:lang w:val="en-GB"/>
        </w:rPr>
        <w:t>on numbers and codes allocated in accordance with the following recommendations:</w:t>
      </w:r>
    </w:p>
    <w:p w14:paraId="6ACE5A10" w14:textId="1B9E08AC" w:rsidR="006944F8" w:rsidRPr="00C81B63" w:rsidRDefault="006944F8" w:rsidP="009363BD">
      <w:pPr>
        <w:numPr>
          <w:ilvl w:val="0"/>
          <w:numId w:val="25"/>
        </w:numPr>
        <w:rPr>
          <w:rFonts w:eastAsiaTheme="minorEastAsia"/>
          <w:lang w:val="en-GB"/>
        </w:rPr>
      </w:pPr>
      <w:r w:rsidRPr="00C81B63">
        <w:rPr>
          <w:rFonts w:eastAsiaTheme="minorEastAsia"/>
          <w:lang w:val="en-GB"/>
        </w:rPr>
        <w:t xml:space="preserve">ITU-T E.164 </w:t>
      </w:r>
      <w:r w:rsidR="00CA2D85" w:rsidRPr="00C81B63">
        <w:rPr>
          <w:rFonts w:eastAsiaTheme="minorEastAsia"/>
          <w:lang w:val="en-GB"/>
        </w:rPr>
        <w:t>"</w:t>
      </w:r>
      <w:r w:rsidRPr="00C81B63">
        <w:rPr>
          <w:rFonts w:eastAsiaTheme="minorEastAsia"/>
          <w:lang w:val="en-GB"/>
        </w:rPr>
        <w:t>The international public telecommunication numbering plan</w:t>
      </w:r>
      <w:r w:rsidR="00CA2D85" w:rsidRPr="00C81B63">
        <w:rPr>
          <w:rFonts w:eastAsiaTheme="minorEastAsia"/>
          <w:lang w:val="en-GB"/>
        </w:rPr>
        <w:t>"</w:t>
      </w:r>
    </w:p>
    <w:p w14:paraId="0961FA46" w14:textId="5972A0C8" w:rsidR="006944F8" w:rsidRPr="00C81B63" w:rsidRDefault="006944F8" w:rsidP="009363BD">
      <w:pPr>
        <w:numPr>
          <w:ilvl w:val="0"/>
          <w:numId w:val="25"/>
        </w:numPr>
        <w:rPr>
          <w:rFonts w:eastAsiaTheme="minorEastAsia"/>
          <w:lang w:val="en-GB"/>
        </w:rPr>
      </w:pPr>
      <w:r w:rsidRPr="00C81B63">
        <w:rPr>
          <w:rFonts w:eastAsiaTheme="minorEastAsia"/>
          <w:lang w:val="en-GB"/>
        </w:rPr>
        <w:t xml:space="preserve">ITU-T E.118 </w:t>
      </w:r>
      <w:r w:rsidR="00CA2D85" w:rsidRPr="00C81B63">
        <w:rPr>
          <w:rFonts w:eastAsiaTheme="minorEastAsia"/>
          <w:lang w:val="en-GB"/>
        </w:rPr>
        <w:t>"</w:t>
      </w:r>
      <w:r w:rsidRPr="00C81B63">
        <w:rPr>
          <w:rFonts w:eastAsiaTheme="minorEastAsia"/>
          <w:lang w:val="en-GB"/>
        </w:rPr>
        <w:t>The international telecommunication charge card</w:t>
      </w:r>
      <w:r w:rsidR="00CA2D85" w:rsidRPr="00C81B63">
        <w:rPr>
          <w:rFonts w:eastAsiaTheme="minorEastAsia"/>
          <w:lang w:val="en-GB"/>
        </w:rPr>
        <w:t>"</w:t>
      </w:r>
    </w:p>
    <w:p w14:paraId="0ECAF69F" w14:textId="5BA67F74" w:rsidR="006944F8" w:rsidRPr="00C81B63" w:rsidRDefault="006944F8" w:rsidP="009363BD">
      <w:pPr>
        <w:numPr>
          <w:ilvl w:val="0"/>
          <w:numId w:val="25"/>
        </w:numPr>
        <w:rPr>
          <w:rFonts w:eastAsiaTheme="minorEastAsia"/>
          <w:lang w:val="en-GB"/>
        </w:rPr>
      </w:pPr>
      <w:r w:rsidRPr="00C81B63">
        <w:rPr>
          <w:rFonts w:eastAsiaTheme="minorEastAsia"/>
          <w:lang w:val="en-GB"/>
        </w:rPr>
        <w:t xml:space="preserve">ITU-T E.212 </w:t>
      </w:r>
      <w:r w:rsidR="00CA2D85" w:rsidRPr="00C81B63">
        <w:rPr>
          <w:rFonts w:eastAsiaTheme="minorEastAsia"/>
          <w:lang w:val="en-GB"/>
        </w:rPr>
        <w:t>"</w:t>
      </w:r>
      <w:r w:rsidRPr="00C81B63">
        <w:rPr>
          <w:rFonts w:eastAsiaTheme="minorEastAsia"/>
          <w:lang w:val="en-GB"/>
        </w:rPr>
        <w:t>The international identification plan for public networks and subscriptions</w:t>
      </w:r>
      <w:r w:rsidR="00CA2D85" w:rsidRPr="00C81B63">
        <w:rPr>
          <w:rFonts w:eastAsiaTheme="minorEastAsia"/>
          <w:lang w:val="en-GB"/>
        </w:rPr>
        <w:t>"</w:t>
      </w:r>
    </w:p>
    <w:p w14:paraId="1B63E52A" w14:textId="6EF9DF20" w:rsidR="006944F8" w:rsidRPr="00C81B63" w:rsidRDefault="006944F8" w:rsidP="009363BD">
      <w:pPr>
        <w:numPr>
          <w:ilvl w:val="0"/>
          <w:numId w:val="25"/>
        </w:numPr>
        <w:rPr>
          <w:rFonts w:eastAsiaTheme="minorEastAsia"/>
          <w:lang w:val="en-GB"/>
        </w:rPr>
      </w:pPr>
      <w:r w:rsidRPr="00C81B63">
        <w:rPr>
          <w:rFonts w:eastAsiaTheme="minorEastAsia"/>
          <w:lang w:val="en-GB"/>
        </w:rPr>
        <w:t xml:space="preserve">ITU-T E.218 </w:t>
      </w:r>
      <w:r w:rsidR="00CA2D85" w:rsidRPr="00C81B63">
        <w:rPr>
          <w:rFonts w:eastAsiaTheme="minorEastAsia"/>
          <w:lang w:val="en-GB"/>
        </w:rPr>
        <w:t>"</w:t>
      </w:r>
      <w:r w:rsidRPr="00C81B63">
        <w:rPr>
          <w:rFonts w:eastAsiaTheme="minorEastAsia"/>
          <w:lang w:val="en-GB"/>
        </w:rPr>
        <w:t>Management of the allocation of terrestrial trunk radio Mobile Country Codes</w:t>
      </w:r>
      <w:r w:rsidR="00CA2D85" w:rsidRPr="00C81B63">
        <w:rPr>
          <w:rFonts w:eastAsiaTheme="minorEastAsia"/>
          <w:lang w:val="en-GB"/>
        </w:rPr>
        <w:t>"</w:t>
      </w:r>
    </w:p>
    <w:p w14:paraId="625B46F6" w14:textId="5E2FF1FD" w:rsidR="006944F8" w:rsidRPr="00C81B63" w:rsidRDefault="006944F8" w:rsidP="009363BD">
      <w:pPr>
        <w:numPr>
          <w:ilvl w:val="0"/>
          <w:numId w:val="25"/>
        </w:numPr>
        <w:rPr>
          <w:rFonts w:eastAsiaTheme="minorEastAsia"/>
          <w:lang w:val="en-GB"/>
        </w:rPr>
      </w:pPr>
      <w:r w:rsidRPr="00C81B63">
        <w:rPr>
          <w:rFonts w:eastAsiaTheme="minorEastAsia"/>
          <w:lang w:val="en-GB"/>
        </w:rPr>
        <w:t xml:space="preserve">ITU-T Q.708 </w:t>
      </w:r>
      <w:r w:rsidR="00CA2D85" w:rsidRPr="00C81B63">
        <w:rPr>
          <w:rFonts w:eastAsiaTheme="minorEastAsia"/>
          <w:lang w:val="en-GB"/>
        </w:rPr>
        <w:t>"</w:t>
      </w:r>
      <w:r w:rsidRPr="00C81B63">
        <w:rPr>
          <w:rFonts w:eastAsiaTheme="minorEastAsia"/>
          <w:lang w:val="en-GB"/>
        </w:rPr>
        <w:t>Assignment procedures for international signalling point codes</w:t>
      </w:r>
      <w:r w:rsidR="00CA2D85" w:rsidRPr="00C81B63">
        <w:rPr>
          <w:rFonts w:eastAsiaTheme="minorEastAsia"/>
          <w:lang w:val="en-GB"/>
        </w:rPr>
        <w:t>"</w:t>
      </w:r>
      <w:r w:rsidRPr="00C81B63">
        <w:rPr>
          <w:rFonts w:eastAsiaTheme="minorEastAsia"/>
          <w:lang w:val="en-GB"/>
        </w:rPr>
        <w:t>.</w:t>
      </w:r>
    </w:p>
    <w:p w14:paraId="0050D20F" w14:textId="7000AFDA" w:rsidR="00C22237" w:rsidRPr="00C81B63" w:rsidRDefault="008F380F" w:rsidP="008569B7">
      <w:pPr>
        <w:rPr>
          <w:lang w:val="en-GB"/>
        </w:rPr>
      </w:pPr>
      <w:r w:rsidRPr="00C81B63">
        <w:rPr>
          <w:lang w:val="en-GB"/>
        </w:rPr>
        <w:t>ITU-T E.156 "Guidelines for ITU-T action on reported misuse of E.164 number resources"</w:t>
      </w:r>
      <w:r w:rsidR="006944F8" w:rsidRPr="00C81B63">
        <w:rPr>
          <w:lang w:val="en-GB"/>
        </w:rPr>
        <w:t xml:space="preserve"> is under revision to include new cases of misuse and to investigate more efficient means of combating misuse.</w:t>
      </w:r>
    </w:p>
    <w:p w14:paraId="740446F1" w14:textId="6A7247D5" w:rsidR="00C22237" w:rsidRPr="00C81B63" w:rsidRDefault="008569B7" w:rsidP="008569B7">
      <w:pPr>
        <w:rPr>
          <w:szCs w:val="24"/>
          <w:lang w:val="en-GB"/>
        </w:rPr>
      </w:pPr>
      <w:r w:rsidRPr="00C81B63">
        <w:rPr>
          <w:szCs w:val="24"/>
          <w:lang w:val="en-GB"/>
        </w:rPr>
        <w:t xml:space="preserve">Following the instruction of WTSA Resolution 20 (Rev. </w:t>
      </w:r>
      <w:proofErr w:type="spellStart"/>
      <w:r w:rsidRPr="00C81B63">
        <w:rPr>
          <w:szCs w:val="24"/>
          <w:lang w:val="en-GB"/>
        </w:rPr>
        <w:t>Hammamet</w:t>
      </w:r>
      <w:proofErr w:type="spellEnd"/>
      <w:r w:rsidRPr="00C81B63">
        <w:rPr>
          <w:szCs w:val="24"/>
          <w:lang w:val="en-GB"/>
        </w:rPr>
        <w:t xml:space="preserve">, 2016), the </w:t>
      </w:r>
      <w:r w:rsidR="00CB05D7" w:rsidRPr="00C81B63">
        <w:rPr>
          <w:szCs w:val="24"/>
          <w:lang w:val="en-GB"/>
        </w:rPr>
        <w:t xml:space="preserve">TSB Director </w:t>
      </w:r>
      <w:r w:rsidRPr="00C81B63">
        <w:rPr>
          <w:szCs w:val="24"/>
          <w:lang w:val="en-GB"/>
        </w:rPr>
        <w:t>informed ITU Council 2019</w:t>
      </w:r>
      <w:r w:rsidR="00C22237" w:rsidRPr="00C81B63">
        <w:rPr>
          <w:szCs w:val="24"/>
          <w:lang w:val="en-GB"/>
        </w:rPr>
        <w:t xml:space="preserve"> of recently received reports of numbering resource </w:t>
      </w:r>
      <w:r w:rsidRPr="00C81B63">
        <w:rPr>
          <w:szCs w:val="24"/>
          <w:lang w:val="en-GB"/>
        </w:rPr>
        <w:t>misuse</w:t>
      </w:r>
      <w:r w:rsidR="00C22237" w:rsidRPr="00C81B63">
        <w:rPr>
          <w:szCs w:val="24"/>
          <w:lang w:val="en-GB"/>
        </w:rPr>
        <w:t xml:space="preserve">. </w:t>
      </w:r>
      <w:r w:rsidRPr="00C81B63">
        <w:rPr>
          <w:szCs w:val="24"/>
          <w:lang w:val="en-GB"/>
        </w:rPr>
        <w:t xml:space="preserve">TSB </w:t>
      </w:r>
      <w:r w:rsidR="00CB6CB5" w:rsidRPr="00C81B63">
        <w:rPr>
          <w:szCs w:val="24"/>
          <w:lang w:val="en-GB"/>
        </w:rPr>
        <w:t>has</w:t>
      </w:r>
      <w:r w:rsidRPr="00C81B63">
        <w:rPr>
          <w:szCs w:val="24"/>
          <w:lang w:val="en-GB"/>
        </w:rPr>
        <w:t xml:space="preserve"> been </w:t>
      </w:r>
      <w:r w:rsidR="00C22237" w:rsidRPr="00C81B63">
        <w:rPr>
          <w:szCs w:val="24"/>
          <w:lang w:val="en-GB"/>
        </w:rPr>
        <w:t xml:space="preserve">working </w:t>
      </w:r>
      <w:r w:rsidRPr="00C81B63">
        <w:rPr>
          <w:szCs w:val="24"/>
          <w:lang w:val="en-GB"/>
        </w:rPr>
        <w:t xml:space="preserve">in close collaboration with </w:t>
      </w:r>
      <w:r w:rsidR="00C22237" w:rsidRPr="00C81B63">
        <w:rPr>
          <w:szCs w:val="24"/>
          <w:lang w:val="en-GB"/>
        </w:rPr>
        <w:t>the experts of ITU-T SG</w:t>
      </w:r>
      <w:r w:rsidRPr="00C81B63">
        <w:rPr>
          <w:szCs w:val="24"/>
          <w:lang w:val="en-GB"/>
        </w:rPr>
        <w:t xml:space="preserve">2 in investigating the </w:t>
      </w:r>
      <w:r w:rsidR="00C22237" w:rsidRPr="00C81B63">
        <w:rPr>
          <w:szCs w:val="24"/>
          <w:lang w:val="en-GB"/>
        </w:rPr>
        <w:t xml:space="preserve">reported </w:t>
      </w:r>
      <w:r w:rsidRPr="00C81B63">
        <w:rPr>
          <w:szCs w:val="24"/>
          <w:lang w:val="en-GB"/>
        </w:rPr>
        <w:t xml:space="preserve">misuse </w:t>
      </w:r>
      <w:r w:rsidR="00C22237" w:rsidRPr="00C81B63">
        <w:rPr>
          <w:szCs w:val="24"/>
          <w:lang w:val="en-GB"/>
        </w:rPr>
        <w:t xml:space="preserve">of </w:t>
      </w:r>
      <w:r w:rsidRPr="00C81B63">
        <w:rPr>
          <w:szCs w:val="24"/>
          <w:lang w:val="en-GB"/>
        </w:rPr>
        <w:t xml:space="preserve">one </w:t>
      </w:r>
      <w:proofErr w:type="gramStart"/>
      <w:r w:rsidRPr="00C81B63">
        <w:rPr>
          <w:szCs w:val="24"/>
          <w:lang w:val="en-GB"/>
        </w:rPr>
        <w:t>p</w:t>
      </w:r>
      <w:r w:rsidR="008F6BAC" w:rsidRPr="00C81B63">
        <w:rPr>
          <w:szCs w:val="24"/>
          <w:lang w:val="en-GB"/>
        </w:rPr>
        <w:t>articular ITU</w:t>
      </w:r>
      <w:proofErr w:type="gramEnd"/>
      <w:r w:rsidR="008F6BAC" w:rsidRPr="00C81B63">
        <w:rPr>
          <w:szCs w:val="24"/>
          <w:lang w:val="en-GB"/>
        </w:rPr>
        <w:t xml:space="preserve"> telephone number.</w:t>
      </w:r>
    </w:p>
    <w:p w14:paraId="5D28C3E8" w14:textId="291F0A57" w:rsidR="008569B7" w:rsidRPr="00C81B63" w:rsidRDefault="008569B7" w:rsidP="008569B7">
      <w:pPr>
        <w:rPr>
          <w:szCs w:val="24"/>
          <w:lang w:val="en-GB"/>
        </w:rPr>
      </w:pPr>
      <w:r w:rsidRPr="00C81B63">
        <w:rPr>
          <w:szCs w:val="24"/>
          <w:lang w:val="en-GB"/>
        </w:rPr>
        <w:t xml:space="preserve">Member States are encouraged to contribute to the implementation of PP Resolution 190 (Busan, 2014) </w:t>
      </w:r>
      <w:r w:rsidR="00CA2D85" w:rsidRPr="00C81B63">
        <w:rPr>
          <w:szCs w:val="24"/>
          <w:lang w:val="en-GB"/>
        </w:rPr>
        <w:t>"</w:t>
      </w:r>
      <w:r w:rsidRPr="00C81B63">
        <w:rPr>
          <w:szCs w:val="24"/>
          <w:lang w:val="en-GB"/>
        </w:rPr>
        <w:t>Countering misappropriation and misuse of international telecommu</w:t>
      </w:r>
      <w:r w:rsidR="00CB05D7" w:rsidRPr="00C81B63">
        <w:rPr>
          <w:szCs w:val="24"/>
          <w:lang w:val="en-GB"/>
        </w:rPr>
        <w:t>nication numbering resources</w:t>
      </w:r>
      <w:r w:rsidR="00CA2D85" w:rsidRPr="00C81B63">
        <w:rPr>
          <w:szCs w:val="24"/>
          <w:lang w:val="en-GB"/>
        </w:rPr>
        <w:t>"</w:t>
      </w:r>
      <w:r w:rsidR="00CB05D7" w:rsidRPr="00C81B63">
        <w:rPr>
          <w:szCs w:val="24"/>
          <w:lang w:val="en-GB"/>
        </w:rPr>
        <w:t xml:space="preserve">, </w:t>
      </w:r>
      <w:r w:rsidRPr="00C81B63">
        <w:rPr>
          <w:szCs w:val="24"/>
          <w:lang w:val="en-GB"/>
        </w:rPr>
        <w:t>in particular</w:t>
      </w:r>
      <w:r w:rsidR="00C22237" w:rsidRPr="00C81B63">
        <w:rPr>
          <w:szCs w:val="24"/>
          <w:lang w:val="en-GB"/>
        </w:rPr>
        <w:t xml:space="preserve"> </w:t>
      </w:r>
      <w:r w:rsidR="00CA2D85" w:rsidRPr="00C81B63">
        <w:rPr>
          <w:szCs w:val="24"/>
          <w:lang w:val="en-GB"/>
        </w:rPr>
        <w:t>"</w:t>
      </w:r>
      <w:r w:rsidRPr="00C81B63">
        <w:rPr>
          <w:szCs w:val="24"/>
          <w:lang w:val="en-GB"/>
        </w:rPr>
        <w:t xml:space="preserve">to continue to study ways and means to improve the understanding, identification and resolution of misappropriation and misuse of ITU-T E.164 telephone numbers through activities of ITU-T and ITU-D </w:t>
      </w:r>
      <w:r w:rsidR="00F1765F">
        <w:rPr>
          <w:szCs w:val="24"/>
          <w:lang w:val="en-GB"/>
        </w:rPr>
        <w:t>SG</w:t>
      </w:r>
      <w:r w:rsidRPr="00C81B63">
        <w:rPr>
          <w:szCs w:val="24"/>
          <w:lang w:val="en-GB"/>
        </w:rPr>
        <w:t>s</w:t>
      </w:r>
      <w:r w:rsidR="00CA2D85" w:rsidRPr="00C81B63">
        <w:rPr>
          <w:szCs w:val="24"/>
          <w:lang w:val="en-GB"/>
        </w:rPr>
        <w:t>"</w:t>
      </w:r>
      <w:r w:rsidRPr="00C81B63">
        <w:rPr>
          <w:szCs w:val="24"/>
          <w:lang w:val="en-GB"/>
        </w:rPr>
        <w:t xml:space="preserve"> and </w:t>
      </w:r>
      <w:r w:rsidR="00CA2D85" w:rsidRPr="00C81B63">
        <w:rPr>
          <w:szCs w:val="24"/>
          <w:lang w:val="en-GB"/>
        </w:rPr>
        <w:t>"</w:t>
      </w:r>
      <w:r w:rsidRPr="00C81B63">
        <w:rPr>
          <w:szCs w:val="24"/>
          <w:lang w:val="en-GB"/>
        </w:rPr>
        <w:t>develop national legal and regulatory frameworks that are sufficient to ensure best practices in ITU-T E.164 telephone numbering management in order to counter telephone number misappropriation and misuse</w:t>
      </w:r>
      <w:r w:rsidR="00CA2D85" w:rsidRPr="00C81B63">
        <w:rPr>
          <w:szCs w:val="24"/>
          <w:lang w:val="en-GB"/>
        </w:rPr>
        <w:t>"</w:t>
      </w:r>
      <w:r w:rsidRPr="00C81B63">
        <w:rPr>
          <w:szCs w:val="24"/>
          <w:lang w:val="en-GB"/>
        </w:rPr>
        <w:t>.</w:t>
      </w:r>
    </w:p>
    <w:p w14:paraId="3670D6F7" w14:textId="242DE51C" w:rsidR="008569B7" w:rsidRPr="00662764" w:rsidRDefault="008569B7" w:rsidP="001C37A8">
      <w:pPr>
        <w:snapToGrid w:val="0"/>
        <w:rPr>
          <w:rFonts w:eastAsia="Calibri"/>
          <w:szCs w:val="24"/>
          <w:lang w:val="en-GB"/>
        </w:rPr>
      </w:pPr>
      <w:r w:rsidRPr="00662764">
        <w:rPr>
          <w:rFonts w:eastAsia="SimSun"/>
          <w:szCs w:val="24"/>
          <w:lang w:val="en-GB"/>
        </w:rPr>
        <w:t xml:space="preserve">Council 2017 </w:t>
      </w:r>
      <w:r w:rsidRPr="00662764">
        <w:rPr>
          <w:szCs w:val="24"/>
          <w:lang w:val="en-GB"/>
        </w:rPr>
        <w:t>approved the new fee structure for UIFN (Universal International Freephone Number) and IIN (Issuer Identifier Number) by approving new Decision 600 (</w:t>
      </w:r>
      <w:hyperlink r:id="rId192" w:history="1">
        <w:r w:rsidRPr="00662764">
          <w:rPr>
            <w:rStyle w:val="Hyperlink"/>
            <w:szCs w:val="24"/>
            <w:lang w:val="en-GB"/>
          </w:rPr>
          <w:t>C17/133</w:t>
        </w:r>
      </w:hyperlink>
      <w:r w:rsidRPr="00662764">
        <w:rPr>
          <w:szCs w:val="24"/>
          <w:lang w:val="en-GB"/>
        </w:rPr>
        <w:t>) and 601 (</w:t>
      </w:r>
      <w:hyperlink r:id="rId193" w:history="1">
        <w:r w:rsidRPr="00662764">
          <w:rPr>
            <w:rStyle w:val="Hyperlink"/>
            <w:szCs w:val="24"/>
            <w:lang w:val="en-GB"/>
          </w:rPr>
          <w:t>C17/134</w:t>
        </w:r>
      </w:hyperlink>
      <w:r w:rsidRPr="00662764">
        <w:rPr>
          <w:szCs w:val="24"/>
          <w:lang w:val="en-GB"/>
        </w:rPr>
        <w:t>). ITU has been in the process of implementing these Decisions.</w:t>
      </w:r>
      <w:r w:rsidR="00F1765F" w:rsidRPr="00662764">
        <w:rPr>
          <w:lang w:val="en-GB"/>
        </w:rPr>
        <w:t xml:space="preserve"> </w:t>
      </w:r>
      <w:r w:rsidR="000711B0" w:rsidRPr="00662764">
        <w:rPr>
          <w:rFonts w:eastAsia="Calibri"/>
          <w:szCs w:val="24"/>
          <w:lang w:val="en-GB"/>
        </w:rPr>
        <w:t>Although p</w:t>
      </w:r>
      <w:r w:rsidRPr="00662764">
        <w:rPr>
          <w:rFonts w:eastAsia="Calibri"/>
          <w:szCs w:val="24"/>
          <w:lang w:val="en-GB"/>
        </w:rPr>
        <w:t>rogress is being</w:t>
      </w:r>
      <w:r w:rsidR="000711B0" w:rsidRPr="00662764">
        <w:rPr>
          <w:rFonts w:eastAsia="Calibri"/>
          <w:szCs w:val="24"/>
          <w:lang w:val="en-GB"/>
        </w:rPr>
        <w:t xml:space="preserve"> achieved</w:t>
      </w:r>
      <w:r w:rsidRPr="00662764">
        <w:rPr>
          <w:rFonts w:eastAsia="Calibri"/>
          <w:szCs w:val="24"/>
          <w:lang w:val="en-GB"/>
        </w:rPr>
        <w:t xml:space="preserve"> in implementing Council Decision</w:t>
      </w:r>
      <w:r w:rsidR="000711B0" w:rsidRPr="00662764">
        <w:rPr>
          <w:rFonts w:eastAsia="Calibri"/>
          <w:szCs w:val="24"/>
          <w:lang w:val="en-GB"/>
        </w:rPr>
        <w:t>s</w:t>
      </w:r>
      <w:r w:rsidRPr="00662764">
        <w:rPr>
          <w:rFonts w:eastAsia="Calibri"/>
          <w:szCs w:val="24"/>
          <w:lang w:val="en-GB"/>
        </w:rPr>
        <w:t xml:space="preserve"> 600 and 601</w:t>
      </w:r>
      <w:r w:rsidR="000711B0" w:rsidRPr="00662764">
        <w:rPr>
          <w:rFonts w:eastAsia="Calibri"/>
          <w:szCs w:val="24"/>
          <w:lang w:val="en-GB"/>
        </w:rPr>
        <w:t xml:space="preserve">, further </w:t>
      </w:r>
      <w:r w:rsidRPr="00662764">
        <w:rPr>
          <w:rFonts w:eastAsia="Calibri"/>
          <w:szCs w:val="24"/>
          <w:lang w:val="en-GB"/>
        </w:rPr>
        <w:t xml:space="preserve">assistance from Member States </w:t>
      </w:r>
      <w:r w:rsidR="000711B0" w:rsidRPr="00662764">
        <w:rPr>
          <w:rFonts w:eastAsia="Calibri"/>
          <w:szCs w:val="24"/>
          <w:lang w:val="en-GB"/>
        </w:rPr>
        <w:t xml:space="preserve">is required </w:t>
      </w:r>
      <w:r w:rsidR="00ED445F" w:rsidRPr="00662764">
        <w:rPr>
          <w:rFonts w:eastAsia="Calibri"/>
          <w:szCs w:val="24"/>
          <w:lang w:val="en-GB"/>
        </w:rPr>
        <w:t xml:space="preserve">either </w:t>
      </w:r>
      <w:r w:rsidRPr="00662764">
        <w:rPr>
          <w:rFonts w:eastAsia="Calibri"/>
          <w:szCs w:val="24"/>
          <w:lang w:val="en-GB"/>
        </w:rPr>
        <w:t>to identify the contact information of UIFN service providers and IIN assignees or ensure th</w:t>
      </w:r>
      <w:r w:rsidR="000711B0" w:rsidRPr="00662764">
        <w:rPr>
          <w:rFonts w:eastAsia="Calibri"/>
          <w:szCs w:val="24"/>
          <w:lang w:val="en-GB"/>
        </w:rPr>
        <w:t>at</w:t>
      </w:r>
      <w:r w:rsidRPr="00662764">
        <w:rPr>
          <w:rFonts w:eastAsia="Calibri"/>
          <w:szCs w:val="24"/>
          <w:lang w:val="en-GB"/>
        </w:rPr>
        <w:t xml:space="preserve"> invoices are paid </w:t>
      </w:r>
      <w:r w:rsidR="00ED445F" w:rsidRPr="00662764">
        <w:rPr>
          <w:rFonts w:eastAsia="Calibri"/>
          <w:szCs w:val="24"/>
          <w:lang w:val="en-GB"/>
        </w:rPr>
        <w:t>on</w:t>
      </w:r>
      <w:r w:rsidRPr="00662764">
        <w:rPr>
          <w:rFonts w:eastAsia="Calibri"/>
          <w:szCs w:val="24"/>
          <w:lang w:val="en-GB"/>
        </w:rPr>
        <w:t xml:space="preserve"> time. It was also observed that </w:t>
      </w:r>
      <w:r w:rsidRPr="00662764">
        <w:rPr>
          <w:szCs w:val="24"/>
          <w:lang w:val="en-GB"/>
        </w:rPr>
        <w:t xml:space="preserve">Council Decision 600 encouraged operators to update their list of active UIFNs and return the unused UIFNs to ITU, and </w:t>
      </w:r>
      <w:r w:rsidR="00ED445F" w:rsidRPr="00662764">
        <w:rPr>
          <w:szCs w:val="24"/>
          <w:lang w:val="en-GB"/>
        </w:rPr>
        <w:t xml:space="preserve">that </w:t>
      </w:r>
      <w:r w:rsidRPr="00662764">
        <w:rPr>
          <w:szCs w:val="24"/>
          <w:lang w:val="en-GB"/>
        </w:rPr>
        <w:t xml:space="preserve">Council Decision </w:t>
      </w:r>
      <w:r w:rsidRPr="00662764">
        <w:rPr>
          <w:szCs w:val="24"/>
          <w:lang w:val="en-GB"/>
        </w:rPr>
        <w:lastRenderedPageBreak/>
        <w:t>601 improves the precision of the IIN records kept in the ITU database.</w:t>
      </w:r>
      <w:r w:rsidR="00F1765F">
        <w:rPr>
          <w:szCs w:val="24"/>
          <w:lang w:val="en-GB"/>
        </w:rPr>
        <w:t xml:space="preserve"> </w:t>
      </w:r>
      <w:r w:rsidRPr="00662764">
        <w:rPr>
          <w:szCs w:val="24"/>
          <w:lang w:val="en-GB"/>
        </w:rPr>
        <w:t>The following recommendati</w:t>
      </w:r>
      <w:r w:rsidR="00D20522" w:rsidRPr="00662764">
        <w:rPr>
          <w:szCs w:val="24"/>
          <w:lang w:val="en-GB"/>
        </w:rPr>
        <w:t xml:space="preserve">on was approved by </w:t>
      </w:r>
      <w:r w:rsidR="000711B0" w:rsidRPr="00662764">
        <w:rPr>
          <w:szCs w:val="24"/>
          <w:lang w:val="en-GB"/>
        </w:rPr>
        <w:t xml:space="preserve">ITU </w:t>
      </w:r>
      <w:r w:rsidR="00D20522" w:rsidRPr="00662764">
        <w:rPr>
          <w:szCs w:val="24"/>
          <w:lang w:val="en-GB"/>
        </w:rPr>
        <w:t>Council 2019:</w:t>
      </w:r>
    </w:p>
    <w:p w14:paraId="33889592" w14:textId="483029D0" w:rsidR="00CB05D7" w:rsidRPr="00662764" w:rsidRDefault="008569B7" w:rsidP="00D20522">
      <w:pPr>
        <w:overflowPunct/>
        <w:autoSpaceDE/>
        <w:autoSpaceDN/>
        <w:adjustRightInd/>
        <w:ind w:left="567"/>
        <w:textAlignment w:val="auto"/>
        <w:rPr>
          <w:rFonts w:eastAsia="SimSun"/>
          <w:b/>
          <w:bCs/>
          <w:i/>
          <w:iCs/>
          <w:szCs w:val="24"/>
          <w:lang w:val="en-GB"/>
        </w:rPr>
      </w:pPr>
      <w:r w:rsidRPr="00662764">
        <w:rPr>
          <w:rFonts w:eastAsia="SimSun"/>
          <w:i/>
          <w:szCs w:val="24"/>
          <w:lang w:val="en-GB"/>
        </w:rPr>
        <w:t xml:space="preserve">The list of UIFN service providers in Annex A to Document C19/47 will be marked as </w:t>
      </w:r>
      <w:r w:rsidR="00CA2D85" w:rsidRPr="00662764">
        <w:rPr>
          <w:rFonts w:eastAsia="SimSun"/>
          <w:i/>
          <w:szCs w:val="24"/>
          <w:lang w:val="en-GB"/>
        </w:rPr>
        <w:t>"</w:t>
      </w:r>
      <w:r w:rsidRPr="00662764">
        <w:rPr>
          <w:rFonts w:eastAsia="SimSun"/>
          <w:i/>
          <w:szCs w:val="24"/>
          <w:lang w:val="en-GB"/>
        </w:rPr>
        <w:t>not reachable</w:t>
      </w:r>
      <w:r w:rsidR="00CA2D85" w:rsidRPr="00662764">
        <w:rPr>
          <w:rFonts w:eastAsia="SimSun"/>
          <w:i/>
          <w:szCs w:val="24"/>
          <w:lang w:val="en-GB"/>
        </w:rPr>
        <w:t>"</w:t>
      </w:r>
      <w:r w:rsidRPr="00662764">
        <w:rPr>
          <w:rFonts w:eastAsia="SimSun"/>
          <w:i/>
          <w:szCs w:val="24"/>
          <w:lang w:val="en-GB"/>
        </w:rPr>
        <w:t xml:space="preserve"> in the ITU database. The records for these UIFN service providers are subject to removal from the ITU database and the UIFNs assigned to them are subject for reclamation based on confirmations/notifications from national Administrations/regulators as recommended by Council 2018. Among these UIFN service providers, for the ones to whom invoices for the maintenance fee for 2018 have been sent, the invoices will be cancelled.</w:t>
      </w:r>
    </w:p>
    <w:p w14:paraId="245C3586" w14:textId="7BDB9FA6" w:rsidR="008569B7" w:rsidRPr="00662764" w:rsidRDefault="008569B7" w:rsidP="00D20522">
      <w:pPr>
        <w:overflowPunct/>
        <w:autoSpaceDE/>
        <w:autoSpaceDN/>
        <w:adjustRightInd/>
        <w:ind w:left="567"/>
        <w:textAlignment w:val="auto"/>
        <w:rPr>
          <w:rFonts w:eastAsia="SimSun"/>
          <w:i/>
          <w:szCs w:val="24"/>
          <w:lang w:val="en-GB"/>
        </w:rPr>
      </w:pPr>
      <w:r w:rsidRPr="00662764">
        <w:rPr>
          <w:i/>
          <w:szCs w:val="24"/>
          <w:lang w:val="en-GB"/>
        </w:rPr>
        <w:t>If the invoices sent to the UIFN service providers in Annex B to Document C19/47 remain unpaid for an extended period, the secretariat will seek assistance from Member States to recover the debt.</w:t>
      </w:r>
    </w:p>
    <w:p w14:paraId="007E2748" w14:textId="77777777" w:rsidR="008569B7" w:rsidRPr="00662764" w:rsidRDefault="008569B7" w:rsidP="00D20522">
      <w:pPr>
        <w:ind w:left="567"/>
        <w:rPr>
          <w:rFonts w:eastAsia="SimSun"/>
          <w:i/>
          <w:lang w:val="en-GB"/>
        </w:rPr>
      </w:pPr>
      <w:r w:rsidRPr="00662764">
        <w:rPr>
          <w:rFonts w:eastAsia="SimSun"/>
          <w:i/>
          <w:lang w:val="en-GB"/>
        </w:rPr>
        <w:t>National Administrations/regulators or</w:t>
      </w:r>
      <w:r w:rsidRPr="00662764">
        <w:rPr>
          <w:i/>
          <w:lang w:val="en-GB"/>
        </w:rPr>
        <w:t xml:space="preserve"> authorized agencies</w:t>
      </w:r>
      <w:r w:rsidRPr="00662764">
        <w:rPr>
          <w:rFonts w:eastAsia="SimSun"/>
          <w:i/>
          <w:lang w:val="en-GB"/>
        </w:rPr>
        <w:t xml:space="preserve"> are encouraged to </w:t>
      </w:r>
      <w:proofErr w:type="gramStart"/>
      <w:r w:rsidRPr="00662764">
        <w:rPr>
          <w:rFonts w:eastAsia="SimSun"/>
          <w:i/>
          <w:lang w:val="en-GB"/>
        </w:rPr>
        <w:t>provide assistance</w:t>
      </w:r>
      <w:proofErr w:type="gramEnd"/>
      <w:r w:rsidRPr="00662764">
        <w:rPr>
          <w:rFonts w:eastAsia="SimSun"/>
          <w:i/>
          <w:lang w:val="en-GB"/>
        </w:rPr>
        <w:t xml:space="preserve"> in identifying the up-to-date contact or status of the UIFN service providers (e.g., if they are no longer in business) listed in Annex C to </w:t>
      </w:r>
      <w:r w:rsidRPr="00662764">
        <w:rPr>
          <w:i/>
          <w:lang w:val="en-GB"/>
        </w:rPr>
        <w:t>Document C19/47</w:t>
      </w:r>
      <w:r w:rsidRPr="00662764">
        <w:rPr>
          <w:rFonts w:eastAsia="SimSun"/>
          <w:i/>
          <w:lang w:val="en-GB"/>
        </w:rPr>
        <w:t>.</w:t>
      </w:r>
    </w:p>
    <w:p w14:paraId="02B5A138" w14:textId="33E942C9" w:rsidR="008569B7" w:rsidRPr="00662764" w:rsidRDefault="008569B7" w:rsidP="00D20522">
      <w:pPr>
        <w:ind w:left="567"/>
        <w:rPr>
          <w:rFonts w:eastAsia="SimSun"/>
          <w:i/>
          <w:lang w:val="en-GB"/>
        </w:rPr>
      </w:pPr>
      <w:r w:rsidRPr="00662764">
        <w:rPr>
          <w:rFonts w:eastAsia="SimSun"/>
          <w:i/>
          <w:lang w:val="en-GB"/>
        </w:rPr>
        <w:t xml:space="preserve">The list of IINs for which contact information is pending will be published on ITU website as IINs with the status </w:t>
      </w:r>
      <w:r w:rsidR="00CA2D85" w:rsidRPr="00662764">
        <w:rPr>
          <w:rFonts w:eastAsia="SimSun"/>
          <w:i/>
          <w:lang w:val="en-GB"/>
        </w:rPr>
        <w:t>"</w:t>
      </w:r>
      <w:r w:rsidRPr="00662764">
        <w:rPr>
          <w:rFonts w:eastAsia="SimSun"/>
          <w:i/>
          <w:lang w:val="en-GB"/>
        </w:rPr>
        <w:t>assignee not reachable</w:t>
      </w:r>
      <w:r w:rsidR="00CA2D85" w:rsidRPr="00662764">
        <w:rPr>
          <w:rFonts w:eastAsia="SimSun"/>
          <w:i/>
          <w:lang w:val="en-GB"/>
        </w:rPr>
        <w:t>"</w:t>
      </w:r>
      <w:r w:rsidRPr="00662764">
        <w:rPr>
          <w:rFonts w:eastAsia="SimSun"/>
          <w:i/>
          <w:lang w:val="en-GB"/>
        </w:rPr>
        <w:t xml:space="preserve"> and will be announced in the ITU Operational Bulletin. National Administrations/regulators or authorized agencies are encouraged to </w:t>
      </w:r>
      <w:proofErr w:type="gramStart"/>
      <w:r w:rsidRPr="00662764">
        <w:rPr>
          <w:rFonts w:eastAsia="SimSun"/>
          <w:i/>
          <w:lang w:val="en-GB"/>
        </w:rPr>
        <w:t>provide assistance</w:t>
      </w:r>
      <w:proofErr w:type="gramEnd"/>
      <w:r w:rsidRPr="00662764">
        <w:rPr>
          <w:rFonts w:eastAsia="SimSun"/>
          <w:i/>
          <w:lang w:val="en-GB"/>
        </w:rPr>
        <w:t xml:space="preserve"> in identifying their up-to-date status and/or contact information.</w:t>
      </w:r>
    </w:p>
    <w:p w14:paraId="0CF68D55" w14:textId="77777777" w:rsidR="008569B7" w:rsidRPr="00662764" w:rsidRDefault="008569B7" w:rsidP="00D20522">
      <w:pPr>
        <w:ind w:left="567"/>
        <w:rPr>
          <w:rFonts w:eastAsia="SimSun"/>
          <w:i/>
          <w:lang w:val="en-GB"/>
        </w:rPr>
      </w:pPr>
      <w:r w:rsidRPr="00662764">
        <w:rPr>
          <w:rFonts w:eastAsia="SimSun"/>
          <w:i/>
          <w:lang w:val="en-GB"/>
        </w:rPr>
        <w:t>For the UIFNs and IINs which are still under consultation with national Administrations/regulators or authorized agencies, their status should be confirmed before 31 October 2019. If no objection is received from national Administrations/regulators or authorized agencies, the corresponding UIFNs and IINs will be considered as no longer active and removed from ITU databases.</w:t>
      </w:r>
    </w:p>
    <w:p w14:paraId="3460DC46" w14:textId="0CE86F71" w:rsidR="008569B7" w:rsidRPr="00C81B63" w:rsidRDefault="008569B7" w:rsidP="00D20522">
      <w:pPr>
        <w:snapToGrid w:val="0"/>
        <w:ind w:left="567"/>
        <w:rPr>
          <w:i/>
          <w:lang w:val="en-GB"/>
        </w:rPr>
      </w:pPr>
      <w:r w:rsidRPr="00662764">
        <w:rPr>
          <w:rFonts w:eastAsia="SimSun"/>
          <w:i/>
          <w:iCs/>
          <w:szCs w:val="24"/>
          <w:lang w:val="en-GB"/>
        </w:rPr>
        <w:t xml:space="preserve">UIFN service providers or IIN assignees with the status of </w:t>
      </w:r>
      <w:r w:rsidRPr="00662764">
        <w:rPr>
          <w:rFonts w:eastAsia="SimSun"/>
          <w:i/>
          <w:szCs w:val="24"/>
          <w:lang w:val="en-GB"/>
        </w:rPr>
        <w:t>ADMIN RELATED</w:t>
      </w:r>
      <w:r w:rsidRPr="00662764">
        <w:rPr>
          <w:rFonts w:eastAsia="SimSun"/>
          <w:i/>
          <w:iCs/>
          <w:szCs w:val="24"/>
          <w:lang w:val="en-GB"/>
        </w:rPr>
        <w:t xml:space="preserve"> are not subject to the annual maintenance fee.</w:t>
      </w:r>
    </w:p>
    <w:p w14:paraId="07262E19" w14:textId="4636B142" w:rsidR="006944F8" w:rsidRPr="00F57FAD" w:rsidRDefault="002F0E38" w:rsidP="00541269">
      <w:pPr>
        <w:pStyle w:val="Heading2"/>
      </w:pPr>
      <w:bookmarkStart w:id="216" w:name="_Toc462664279"/>
      <w:bookmarkStart w:id="217" w:name="_Toc480527874"/>
      <w:bookmarkStart w:id="218" w:name="_Toc31967187"/>
      <w:r w:rsidRPr="00F57FAD">
        <w:t>13</w:t>
      </w:r>
      <w:r w:rsidR="006944F8" w:rsidRPr="00F57FAD">
        <w:t>.7</w:t>
      </w:r>
      <w:r w:rsidR="006944F8" w:rsidRPr="00F57FAD">
        <w:tab/>
        <w:t>ITU-T SharePoint collaboration sites</w:t>
      </w:r>
      <w:bookmarkEnd w:id="216"/>
      <w:bookmarkEnd w:id="217"/>
      <w:bookmarkEnd w:id="218"/>
    </w:p>
    <w:p w14:paraId="5EC327E2" w14:textId="2100EDE9" w:rsidR="006944F8" w:rsidRPr="00F4004F" w:rsidRDefault="006944F8" w:rsidP="00541269">
      <w:pPr>
        <w:overflowPunct/>
        <w:autoSpaceDE/>
        <w:autoSpaceDN/>
        <w:adjustRightInd/>
        <w:textAlignment w:val="auto"/>
        <w:rPr>
          <w:lang w:val="en-GB"/>
        </w:rPr>
      </w:pPr>
      <w:r w:rsidRPr="00F4004F">
        <w:rPr>
          <w:lang w:val="en-GB"/>
        </w:rPr>
        <w:t xml:space="preserve">The ITU-T SharePoint </w:t>
      </w:r>
      <w:r w:rsidR="00541269" w:rsidRPr="00F4004F">
        <w:rPr>
          <w:lang w:val="en-GB"/>
        </w:rPr>
        <w:t>c</w:t>
      </w:r>
      <w:r w:rsidRPr="00F4004F">
        <w:rPr>
          <w:lang w:val="en-GB"/>
        </w:rPr>
        <w:t xml:space="preserve">ollaboration sites </w:t>
      </w:r>
      <w:r w:rsidR="00541269" w:rsidRPr="00F4004F">
        <w:rPr>
          <w:lang w:val="en-GB"/>
        </w:rPr>
        <w:t xml:space="preserve">enable </w:t>
      </w:r>
      <w:r w:rsidRPr="00F4004F">
        <w:rPr>
          <w:lang w:val="en-GB"/>
        </w:rPr>
        <w:t xml:space="preserve">participants </w:t>
      </w:r>
      <w:r w:rsidR="00541269" w:rsidRPr="00F4004F">
        <w:rPr>
          <w:lang w:val="en-GB"/>
        </w:rPr>
        <w:t xml:space="preserve">in ITU-T working groups </w:t>
      </w:r>
      <w:r w:rsidRPr="00F4004F">
        <w:rPr>
          <w:lang w:val="en-GB"/>
        </w:rPr>
        <w:t xml:space="preserve">to conduct online discussions, work on projects, </w:t>
      </w:r>
      <w:r w:rsidR="00541269" w:rsidRPr="00F4004F">
        <w:rPr>
          <w:lang w:val="en-GB"/>
        </w:rPr>
        <w:t>schedule</w:t>
      </w:r>
      <w:r w:rsidRPr="00F4004F">
        <w:rPr>
          <w:lang w:val="en-GB"/>
        </w:rPr>
        <w:t xml:space="preserve"> meeting</w:t>
      </w:r>
      <w:r w:rsidR="00541269" w:rsidRPr="00F4004F">
        <w:rPr>
          <w:lang w:val="en-GB"/>
        </w:rPr>
        <w:t xml:space="preserve">s and </w:t>
      </w:r>
      <w:r w:rsidRPr="00F4004F">
        <w:rPr>
          <w:lang w:val="en-GB"/>
        </w:rPr>
        <w:t>manage and store documents in a secure shared environment.</w:t>
      </w:r>
    </w:p>
    <w:p w14:paraId="7FDDE8C8" w14:textId="70EA208D" w:rsidR="006944F8" w:rsidRPr="00F4004F" w:rsidRDefault="006944F8" w:rsidP="006944F8">
      <w:pPr>
        <w:overflowPunct/>
        <w:autoSpaceDE/>
        <w:autoSpaceDN/>
        <w:adjustRightInd/>
        <w:textAlignment w:val="auto"/>
        <w:rPr>
          <w:lang w:val="en-GB"/>
        </w:rPr>
      </w:pPr>
      <w:r w:rsidRPr="00F4004F">
        <w:rPr>
          <w:lang w:val="en-GB"/>
        </w:rPr>
        <w:t xml:space="preserve">The </w:t>
      </w:r>
      <w:r w:rsidR="00541269" w:rsidRPr="00F4004F">
        <w:rPr>
          <w:lang w:val="en-GB"/>
        </w:rPr>
        <w:t xml:space="preserve">home of </w:t>
      </w:r>
      <w:r w:rsidRPr="00F4004F">
        <w:rPr>
          <w:lang w:val="en-GB"/>
        </w:rPr>
        <w:t>ITU-T SharePoint collaboration site</w:t>
      </w:r>
      <w:r w:rsidR="00541269" w:rsidRPr="00F4004F">
        <w:rPr>
          <w:lang w:val="en-GB"/>
        </w:rPr>
        <w:t>s can</w:t>
      </w:r>
      <w:r w:rsidRPr="00F4004F">
        <w:rPr>
          <w:lang w:val="en-GB"/>
        </w:rPr>
        <w:t xml:space="preserve"> be accessed </w:t>
      </w:r>
      <w:r w:rsidR="00541269" w:rsidRPr="00F4004F">
        <w:rPr>
          <w:lang w:val="en-GB"/>
        </w:rPr>
        <w:t>at</w:t>
      </w:r>
      <w:r w:rsidRPr="00F4004F">
        <w:rPr>
          <w:lang w:val="en-GB"/>
        </w:rPr>
        <w:t xml:space="preserve">: </w:t>
      </w:r>
      <w:hyperlink r:id="rId194" w:history="1">
        <w:r w:rsidRPr="00F4004F">
          <w:rPr>
            <w:rStyle w:val="Hyperlink"/>
            <w:rFonts w:asciiTheme="majorBidi" w:hAnsiTheme="majorBidi" w:cstheme="majorBidi"/>
            <w:szCs w:val="24"/>
            <w:lang w:val="en-GB"/>
          </w:rPr>
          <w:t>https://extranet.itu.int/sites/ITU-T/</w:t>
        </w:r>
      </w:hyperlink>
      <w:r w:rsidRPr="00F4004F">
        <w:rPr>
          <w:lang w:val="en-GB"/>
        </w:rPr>
        <w:t>.</w:t>
      </w:r>
    </w:p>
    <w:p w14:paraId="7F383F22" w14:textId="030B5BEC" w:rsidR="006944F8" w:rsidRPr="00E575B4" w:rsidRDefault="00541269" w:rsidP="001C37A8">
      <w:pPr>
        <w:rPr>
          <w:lang w:val="en-GB"/>
        </w:rPr>
      </w:pPr>
      <w:r w:rsidRPr="00E575B4">
        <w:rPr>
          <w:lang w:val="en-GB"/>
        </w:rPr>
        <w:t xml:space="preserve">A selection of </w:t>
      </w:r>
      <w:r w:rsidR="006944F8" w:rsidRPr="00E575B4">
        <w:rPr>
          <w:lang w:val="en-GB"/>
        </w:rPr>
        <w:t xml:space="preserve">notable </w:t>
      </w:r>
      <w:r w:rsidRPr="00E575B4">
        <w:rPr>
          <w:lang w:val="en-GB"/>
        </w:rPr>
        <w:t>c</w:t>
      </w:r>
      <w:r w:rsidR="006944F8" w:rsidRPr="00E575B4">
        <w:rPr>
          <w:lang w:val="en-GB"/>
        </w:rPr>
        <w:t>ollaboration sites</w:t>
      </w:r>
      <w:r w:rsidRPr="00E575B4">
        <w:rPr>
          <w:lang w:val="en-GB"/>
        </w:rPr>
        <w:t xml:space="preserve"> </w:t>
      </w:r>
      <w:proofErr w:type="gramStart"/>
      <w:r w:rsidR="001E0661">
        <w:rPr>
          <w:lang w:val="en-GB"/>
        </w:rPr>
        <w:t>are</w:t>
      </w:r>
      <w:proofErr w:type="gramEnd"/>
      <w:r w:rsidR="001E0661">
        <w:rPr>
          <w:lang w:val="en-GB"/>
        </w:rPr>
        <w:t xml:space="preserve"> listed</w:t>
      </w:r>
      <w:r w:rsidRPr="00E575B4">
        <w:rPr>
          <w:lang w:val="en-GB"/>
        </w:rPr>
        <w:t xml:space="preserve"> below</w:t>
      </w:r>
      <w:r w:rsidR="006944F8" w:rsidRPr="00E575B4">
        <w:rPr>
          <w:lang w:val="en-GB"/>
        </w:rPr>
        <w:t>:</w:t>
      </w:r>
    </w:p>
    <w:p w14:paraId="0053016F" w14:textId="0FBB178D" w:rsidR="001E0661" w:rsidRPr="00E575B4" w:rsidRDefault="001E0661" w:rsidP="009363BD">
      <w:pPr>
        <w:numPr>
          <w:ilvl w:val="0"/>
          <w:numId w:val="14"/>
        </w:numPr>
        <w:rPr>
          <w:lang w:val="en-GB"/>
        </w:rPr>
      </w:pPr>
      <w:r w:rsidRPr="00E575B4">
        <w:rPr>
          <w:lang w:val="en-GB"/>
        </w:rPr>
        <w:t xml:space="preserve">ITU-T </w:t>
      </w:r>
      <w:r w:rsidR="00F1765F">
        <w:rPr>
          <w:lang w:val="en-GB"/>
        </w:rPr>
        <w:t>SG</w:t>
      </w:r>
      <w:r w:rsidRPr="00E575B4">
        <w:rPr>
          <w:lang w:val="en-GB"/>
        </w:rPr>
        <w:t>s (Study Period 2017-2020) (</w:t>
      </w:r>
      <w:hyperlink r:id="rId195" w:history="1">
        <w:r w:rsidRPr="00E575B4">
          <w:rPr>
            <w:rStyle w:val="Hyperlink"/>
            <w:rFonts w:asciiTheme="majorBidi" w:hAnsiTheme="majorBidi" w:cstheme="majorBidi"/>
            <w:lang w:val="en-GB"/>
          </w:rPr>
          <w:t>https://extranet.itu.int/sites/itu-t/studygroups/2017-2020</w:t>
        </w:r>
      </w:hyperlink>
      <w:r w:rsidRPr="00E575B4">
        <w:rPr>
          <w:lang w:val="en-GB"/>
        </w:rPr>
        <w:t>)</w:t>
      </w:r>
    </w:p>
    <w:p w14:paraId="0B6ABAD2" w14:textId="77777777" w:rsidR="001E0661" w:rsidRPr="00E575B4" w:rsidRDefault="001E0661" w:rsidP="009363BD">
      <w:pPr>
        <w:numPr>
          <w:ilvl w:val="0"/>
          <w:numId w:val="14"/>
        </w:numPr>
        <w:rPr>
          <w:lang w:val="en-GB"/>
        </w:rPr>
      </w:pPr>
      <w:r w:rsidRPr="00E575B4">
        <w:rPr>
          <w:lang w:val="en-GB"/>
        </w:rPr>
        <w:t>United for Smart Sustainable Cities (U4SSC) (</w:t>
      </w:r>
      <w:hyperlink r:id="rId196" w:history="1">
        <w:r w:rsidRPr="00E575B4">
          <w:rPr>
            <w:rStyle w:val="Hyperlink"/>
            <w:rFonts w:asciiTheme="majorBidi" w:hAnsiTheme="majorBidi" w:cstheme="majorBidi"/>
            <w:lang w:val="en-GB"/>
          </w:rPr>
          <w:t>https://extranet.itu.int/sites/itu-t/initiatives/U4SSC/</w:t>
        </w:r>
      </w:hyperlink>
      <w:r w:rsidRPr="00E575B4">
        <w:rPr>
          <w:lang w:val="en-GB"/>
        </w:rPr>
        <w:t>)</w:t>
      </w:r>
    </w:p>
    <w:p w14:paraId="188DC650" w14:textId="77777777" w:rsidR="001E0661" w:rsidRPr="00E575B4" w:rsidRDefault="001E0661" w:rsidP="009363BD">
      <w:pPr>
        <w:numPr>
          <w:ilvl w:val="0"/>
          <w:numId w:val="14"/>
        </w:numPr>
        <w:rPr>
          <w:lang w:val="en-GB"/>
        </w:rPr>
      </w:pPr>
      <w:r w:rsidRPr="00E575B4">
        <w:rPr>
          <w:lang w:val="en-GB"/>
        </w:rPr>
        <w:t>Security, Infrastructure and Trust Working Group (SIT WG) (</w:t>
      </w:r>
      <w:hyperlink r:id="rId197" w:history="1">
        <w:r w:rsidRPr="00E575B4">
          <w:rPr>
            <w:rStyle w:val="Hyperlink"/>
            <w:rFonts w:asciiTheme="majorBidi" w:hAnsiTheme="majorBidi" w:cstheme="majorBidi"/>
            <w:lang w:val="en-GB"/>
          </w:rPr>
          <w:t>https://extranet.itu.int/sites/itu-t/initiatives/sitwg/</w:t>
        </w:r>
      </w:hyperlink>
      <w:r w:rsidRPr="00E575B4">
        <w:rPr>
          <w:lang w:val="en-GB"/>
        </w:rPr>
        <w:t>)</w:t>
      </w:r>
    </w:p>
    <w:p w14:paraId="11FD9983" w14:textId="77777777" w:rsidR="001E0661" w:rsidRDefault="001E0661" w:rsidP="009363BD">
      <w:pPr>
        <w:numPr>
          <w:ilvl w:val="0"/>
          <w:numId w:val="14"/>
        </w:numPr>
        <w:rPr>
          <w:lang w:val="en-GB"/>
        </w:rPr>
      </w:pPr>
      <w:r w:rsidRPr="00E575B4">
        <w:rPr>
          <w:lang w:val="en-GB"/>
        </w:rPr>
        <w:t>FG ML5G - ITU-T Focus Group on Machine Learning for Future Networks including 5G (</w:t>
      </w:r>
      <w:hyperlink r:id="rId198" w:history="1">
        <w:r w:rsidRPr="00E575B4">
          <w:rPr>
            <w:rStyle w:val="Hyperlink"/>
            <w:rFonts w:asciiTheme="majorBidi" w:hAnsiTheme="majorBidi" w:cstheme="majorBidi"/>
            <w:lang w:val="en-GB"/>
          </w:rPr>
          <w:t>https://extranet.itu.int/sites/itu-t/focusgroups/ML5G/</w:t>
        </w:r>
      </w:hyperlink>
      <w:r w:rsidRPr="00E575B4">
        <w:rPr>
          <w:lang w:val="en-GB"/>
        </w:rPr>
        <w:t>)</w:t>
      </w:r>
    </w:p>
    <w:p w14:paraId="48F6F27F" w14:textId="77777777" w:rsidR="001E0661" w:rsidRPr="00E575B4" w:rsidRDefault="001E0661" w:rsidP="009363BD">
      <w:pPr>
        <w:numPr>
          <w:ilvl w:val="0"/>
          <w:numId w:val="14"/>
        </w:numPr>
        <w:rPr>
          <w:lang w:val="en-GB"/>
        </w:rPr>
      </w:pPr>
      <w:r w:rsidRPr="00E575B4">
        <w:rPr>
          <w:lang w:val="en-GB"/>
        </w:rPr>
        <w:t>FG NET-2030 – ITU-T Focus Group on Technologies for Network 2030 (</w:t>
      </w:r>
      <w:hyperlink r:id="rId199" w:history="1">
        <w:r w:rsidRPr="00E575B4">
          <w:rPr>
            <w:rStyle w:val="Hyperlink"/>
            <w:rFonts w:asciiTheme="majorBidi" w:hAnsiTheme="majorBidi" w:cstheme="majorBidi"/>
            <w:lang w:val="en-GB"/>
          </w:rPr>
          <w:t>https://extranet.itu.int/sites/itu-t/focusgroups/net-2030/</w:t>
        </w:r>
      </w:hyperlink>
      <w:r w:rsidRPr="00E575B4">
        <w:rPr>
          <w:lang w:val="en-GB"/>
        </w:rPr>
        <w:t>)</w:t>
      </w:r>
    </w:p>
    <w:p w14:paraId="44C1C14C" w14:textId="17832E6D" w:rsidR="001E0661" w:rsidRPr="00E575B4" w:rsidRDefault="001E0661" w:rsidP="009363BD">
      <w:pPr>
        <w:numPr>
          <w:ilvl w:val="0"/>
          <w:numId w:val="14"/>
        </w:numPr>
        <w:rPr>
          <w:lang w:val="en-GB"/>
        </w:rPr>
      </w:pPr>
      <w:r w:rsidRPr="00E575B4">
        <w:rPr>
          <w:lang w:val="en-GB"/>
        </w:rPr>
        <w:t xml:space="preserve">FG-AI4H - ITU-T Focus Group on </w:t>
      </w:r>
      <w:r w:rsidR="00B0424A">
        <w:rPr>
          <w:lang w:val="en-GB"/>
        </w:rPr>
        <w:t xml:space="preserve">AI </w:t>
      </w:r>
      <w:r w:rsidRPr="00E575B4">
        <w:rPr>
          <w:lang w:val="en-GB"/>
        </w:rPr>
        <w:t>for Health (</w:t>
      </w:r>
      <w:hyperlink r:id="rId200" w:history="1">
        <w:r w:rsidRPr="00E575B4">
          <w:rPr>
            <w:rStyle w:val="Hyperlink"/>
            <w:rFonts w:asciiTheme="majorBidi" w:hAnsiTheme="majorBidi" w:cstheme="majorBidi"/>
            <w:lang w:val="en-GB"/>
          </w:rPr>
          <w:t>https://extranet.itu.int/sites/itu-t/focusgroups/ai4h/</w:t>
        </w:r>
      </w:hyperlink>
      <w:r w:rsidRPr="00E575B4">
        <w:rPr>
          <w:lang w:val="en-GB"/>
        </w:rPr>
        <w:t>)</w:t>
      </w:r>
    </w:p>
    <w:p w14:paraId="582169F5" w14:textId="77777777" w:rsidR="001E0661" w:rsidRDefault="001E0661" w:rsidP="009363BD">
      <w:pPr>
        <w:numPr>
          <w:ilvl w:val="0"/>
          <w:numId w:val="14"/>
        </w:numPr>
        <w:rPr>
          <w:lang w:val="en-GB"/>
        </w:rPr>
      </w:pPr>
      <w:r w:rsidRPr="00E575B4">
        <w:rPr>
          <w:lang w:val="en-GB"/>
        </w:rPr>
        <w:lastRenderedPageBreak/>
        <w:t>FG-VM - ITU-T Focus Group on Vehicular Multimedia</w:t>
      </w:r>
      <w:r w:rsidRPr="00E575B4">
        <w:rPr>
          <w:lang w:val="en-GB"/>
        </w:rPr>
        <w:br/>
        <w:t>(</w:t>
      </w:r>
      <w:hyperlink r:id="rId201" w:history="1">
        <w:r w:rsidRPr="00E575B4">
          <w:rPr>
            <w:rStyle w:val="Hyperlink"/>
            <w:rFonts w:asciiTheme="majorBidi" w:hAnsiTheme="majorBidi" w:cstheme="majorBidi"/>
            <w:lang w:val="en-GB"/>
          </w:rPr>
          <w:t>https://extranet.itu.int/sites/itu-t/focusgroups/vm/</w:t>
        </w:r>
      </w:hyperlink>
      <w:r w:rsidRPr="00E575B4">
        <w:rPr>
          <w:lang w:val="en-GB"/>
        </w:rPr>
        <w:t>)</w:t>
      </w:r>
    </w:p>
    <w:p w14:paraId="14EAC4AF" w14:textId="1E98D9E6" w:rsidR="001E0661" w:rsidRPr="00E575B4" w:rsidRDefault="001E0661" w:rsidP="009363BD">
      <w:pPr>
        <w:numPr>
          <w:ilvl w:val="0"/>
          <w:numId w:val="14"/>
        </w:numPr>
        <w:rPr>
          <w:lang w:val="en-GB"/>
        </w:rPr>
      </w:pPr>
      <w:r w:rsidRPr="00E575B4">
        <w:rPr>
          <w:lang w:val="en-GB"/>
        </w:rPr>
        <w:t xml:space="preserve">FG-AI4EE - Focus Group on Environmental Efficiency for </w:t>
      </w:r>
      <w:r w:rsidR="00B0424A">
        <w:rPr>
          <w:lang w:val="en-GB"/>
        </w:rPr>
        <w:t xml:space="preserve">AI </w:t>
      </w:r>
      <w:r w:rsidRPr="00E575B4">
        <w:rPr>
          <w:lang w:val="en-GB"/>
        </w:rPr>
        <w:t>and other Emerging Technologies</w:t>
      </w:r>
      <w:r w:rsidRPr="00E575B4">
        <w:rPr>
          <w:lang w:val="en-GB"/>
        </w:rPr>
        <w:br/>
        <w:t>(</w:t>
      </w:r>
      <w:hyperlink r:id="rId202" w:history="1">
        <w:r w:rsidRPr="00E575B4">
          <w:rPr>
            <w:rStyle w:val="Hyperlink"/>
            <w:rFonts w:asciiTheme="majorBidi" w:hAnsiTheme="majorBidi" w:cstheme="majorBidi"/>
            <w:lang w:val="en-GB"/>
          </w:rPr>
          <w:t>https://extranet.itu.int/sites/itu-t/focusgroups/ai4ee/</w:t>
        </w:r>
      </w:hyperlink>
      <w:r w:rsidRPr="00E575B4">
        <w:rPr>
          <w:lang w:val="en-GB"/>
        </w:rPr>
        <w:t>)</w:t>
      </w:r>
    </w:p>
    <w:p w14:paraId="0D88178A" w14:textId="77777777" w:rsidR="001E0661" w:rsidRPr="00F57FAD" w:rsidRDefault="001E0661" w:rsidP="009363BD">
      <w:pPr>
        <w:numPr>
          <w:ilvl w:val="0"/>
          <w:numId w:val="14"/>
        </w:numPr>
        <w:rPr>
          <w:lang w:val="en-GB"/>
        </w:rPr>
      </w:pPr>
      <w:r w:rsidRPr="00F57FAD">
        <w:rPr>
          <w:lang w:val="en-GB"/>
        </w:rPr>
        <w:t>FG QIT4N – ITU-T Focus Group on Quantum Information Technology for Networks (</w:t>
      </w:r>
      <w:hyperlink r:id="rId203" w:history="1">
        <w:r>
          <w:rPr>
            <w:rStyle w:val="Hyperlink"/>
            <w:lang w:val="en-GB"/>
          </w:rPr>
          <w:t>https://extranet.itu.int/sites/itu-t/focusgroups/qit4n</w:t>
        </w:r>
      </w:hyperlink>
      <w:r w:rsidRPr="00F57FAD">
        <w:rPr>
          <w:lang w:val="en-GB"/>
        </w:rPr>
        <w:t>)</w:t>
      </w:r>
    </w:p>
    <w:p w14:paraId="38FBB1D2" w14:textId="77777777" w:rsidR="001E0661" w:rsidRDefault="001E0661" w:rsidP="009363BD">
      <w:pPr>
        <w:numPr>
          <w:ilvl w:val="0"/>
          <w:numId w:val="14"/>
        </w:numPr>
        <w:rPr>
          <w:lang w:val="en-GB"/>
        </w:rPr>
      </w:pPr>
      <w:r>
        <w:rPr>
          <w:lang w:val="en-GB"/>
        </w:rPr>
        <w:t>FG-AI4AD – ITU-T Focus Group on Autonomous and Assisted Driving (</w:t>
      </w:r>
      <w:hyperlink r:id="rId204" w:history="1">
        <w:r w:rsidRPr="003A46AE">
          <w:rPr>
            <w:rStyle w:val="Hyperlink"/>
            <w:lang w:val="en-GB"/>
          </w:rPr>
          <w:t>https://extranet.itu.int/sites/itu-t/focusgroups/ai4ad</w:t>
        </w:r>
      </w:hyperlink>
      <w:r>
        <w:rPr>
          <w:lang w:val="en-GB"/>
        </w:rPr>
        <w:t>)</w:t>
      </w:r>
    </w:p>
    <w:p w14:paraId="2AE190F8" w14:textId="77777777" w:rsidR="001E0661" w:rsidRPr="004531C9" w:rsidRDefault="001E0661" w:rsidP="009363BD">
      <w:pPr>
        <w:numPr>
          <w:ilvl w:val="0"/>
          <w:numId w:val="14"/>
        </w:numPr>
        <w:rPr>
          <w:lang w:val="en-GB"/>
        </w:rPr>
      </w:pPr>
      <w:r w:rsidRPr="004531C9">
        <w:rPr>
          <w:lang w:val="en-GB"/>
        </w:rPr>
        <w:t xml:space="preserve">JVDS - </w:t>
      </w:r>
      <w:r>
        <w:rPr>
          <w:lang w:val="en-GB"/>
        </w:rPr>
        <w:t xml:space="preserve">ITU-T SG16 &amp; ISO TC22/SC31/WG8 </w:t>
      </w:r>
      <w:r w:rsidRPr="004531C9">
        <w:rPr>
          <w:lang w:val="en-GB"/>
        </w:rPr>
        <w:t>Joint P</w:t>
      </w:r>
      <w:r>
        <w:rPr>
          <w:lang w:val="en-GB"/>
        </w:rPr>
        <w:t>roject Team on Vehicle Domain S</w:t>
      </w:r>
      <w:r w:rsidRPr="004531C9">
        <w:rPr>
          <w:lang w:val="en-GB"/>
        </w:rPr>
        <w:t>ervice</w:t>
      </w:r>
      <w:r>
        <w:rPr>
          <w:lang w:val="en-GB"/>
        </w:rPr>
        <w:t xml:space="preserve"> (</w:t>
      </w:r>
      <w:hyperlink r:id="rId205" w:history="1">
        <w:r>
          <w:rPr>
            <w:rStyle w:val="Hyperlink"/>
          </w:rPr>
          <w:t>https://extranet.itu.int/sites/itu-t/jointgroups/jvds/</w:t>
        </w:r>
      </w:hyperlink>
      <w:r>
        <w:t>)</w:t>
      </w:r>
    </w:p>
    <w:p w14:paraId="1CAF1704" w14:textId="68EC1F46" w:rsidR="00135FE4" w:rsidRPr="004531C9" w:rsidRDefault="001E0661" w:rsidP="009363BD">
      <w:pPr>
        <w:numPr>
          <w:ilvl w:val="0"/>
          <w:numId w:val="14"/>
        </w:numPr>
        <w:rPr>
          <w:lang w:val="en-GB"/>
        </w:rPr>
      </w:pPr>
      <w:r w:rsidRPr="004531C9">
        <w:rPr>
          <w:lang w:val="en-GB"/>
        </w:rPr>
        <w:t xml:space="preserve">IRG-AVA - </w:t>
      </w:r>
      <w:proofErr w:type="spellStart"/>
      <w:r w:rsidRPr="004531C9">
        <w:rPr>
          <w:lang w:val="en-GB"/>
        </w:rPr>
        <w:t>Intersector</w:t>
      </w:r>
      <w:proofErr w:type="spellEnd"/>
      <w:r w:rsidRPr="004531C9">
        <w:rPr>
          <w:lang w:val="en-GB"/>
        </w:rPr>
        <w:t xml:space="preserve"> Rapporteur Group on </w:t>
      </w:r>
      <w:proofErr w:type="spellStart"/>
      <w:r w:rsidRPr="004531C9">
        <w:rPr>
          <w:lang w:val="en-GB"/>
        </w:rPr>
        <w:t>Audiovisual</w:t>
      </w:r>
      <w:proofErr w:type="spellEnd"/>
      <w:r w:rsidRPr="004531C9">
        <w:rPr>
          <w:lang w:val="en-GB"/>
        </w:rPr>
        <w:t xml:space="preserve"> Media Accessibility</w:t>
      </w:r>
      <w:r>
        <w:rPr>
          <w:lang w:val="en-GB"/>
        </w:rPr>
        <w:t xml:space="preserve"> (</w:t>
      </w:r>
      <w:hyperlink r:id="rId206" w:history="1">
        <w:r>
          <w:rPr>
            <w:rStyle w:val="Hyperlink"/>
          </w:rPr>
          <w:t>https://extranet.itu.int/sites/irg/ava/</w:t>
        </w:r>
      </w:hyperlink>
      <w:r>
        <w:t>)</w:t>
      </w:r>
    </w:p>
    <w:p w14:paraId="6E1D2419" w14:textId="77777777" w:rsidR="00135FE4" w:rsidRPr="00662764" w:rsidRDefault="001E0661" w:rsidP="009363BD">
      <w:pPr>
        <w:numPr>
          <w:ilvl w:val="0"/>
          <w:numId w:val="14"/>
        </w:numPr>
        <w:rPr>
          <w:lang w:val="en-GB"/>
        </w:rPr>
      </w:pPr>
      <w:r w:rsidRPr="00135FE4">
        <w:rPr>
          <w:lang w:val="en-GB"/>
        </w:rPr>
        <w:t>CASC - ITU-T Conformity Assessment Steering Committee</w:t>
      </w:r>
      <w:r w:rsidRPr="00135FE4">
        <w:rPr>
          <w:lang w:val="en-GB"/>
        </w:rPr>
        <w:br/>
        <w:t>(</w:t>
      </w:r>
      <w:hyperlink r:id="rId207" w:history="1">
        <w:r>
          <w:rPr>
            <w:rStyle w:val="Hyperlink"/>
          </w:rPr>
          <w:t>https://extranet.itu.int/sites/itu-t/studygroups/2017-2020/sg11/casc/</w:t>
        </w:r>
      </w:hyperlink>
      <w:r>
        <w:t>)</w:t>
      </w:r>
    </w:p>
    <w:p w14:paraId="184A8554" w14:textId="5EE685E5" w:rsidR="006944F8" w:rsidRPr="00135FE4" w:rsidRDefault="006944F8">
      <w:pPr>
        <w:rPr>
          <w:lang w:val="en-GB"/>
        </w:rPr>
      </w:pPr>
      <w:r w:rsidRPr="00135FE4">
        <w:rPr>
          <w:lang w:val="en-GB"/>
        </w:rPr>
        <w:t>A support site contain</w:t>
      </w:r>
      <w:r w:rsidR="00541269" w:rsidRPr="00135FE4">
        <w:rPr>
          <w:lang w:val="en-GB"/>
        </w:rPr>
        <w:t>ing</w:t>
      </w:r>
      <w:r w:rsidRPr="00135FE4">
        <w:rPr>
          <w:lang w:val="en-GB"/>
        </w:rPr>
        <w:t xml:space="preserve"> a knowledge base of FAQs and user guides on the various SharePoint services is available at: </w:t>
      </w:r>
      <w:hyperlink r:id="rId208" w:history="1">
        <w:r w:rsidRPr="00135FE4">
          <w:rPr>
            <w:rStyle w:val="Hyperlink"/>
            <w:rFonts w:asciiTheme="majorBidi" w:hAnsiTheme="majorBidi" w:cstheme="majorBidi"/>
            <w:szCs w:val="24"/>
            <w:lang w:val="en-GB"/>
          </w:rPr>
          <w:t>https://extranet.itu.int/ITU-T/support/</w:t>
        </w:r>
      </w:hyperlink>
      <w:r w:rsidRPr="00135FE4">
        <w:rPr>
          <w:lang w:val="en-GB"/>
        </w:rPr>
        <w:t>.</w:t>
      </w:r>
    </w:p>
    <w:p w14:paraId="7DE9AA6C" w14:textId="612AD6F3" w:rsidR="006944F8" w:rsidRPr="00C47E64" w:rsidRDefault="006944F8" w:rsidP="002013A1">
      <w:pPr>
        <w:rPr>
          <w:lang w:val="en-GB"/>
        </w:rPr>
      </w:pPr>
      <w:r w:rsidRPr="00C47E64">
        <w:rPr>
          <w:lang w:val="en-GB"/>
        </w:rPr>
        <w:t xml:space="preserve">Most of the collaboration sites are restricted to ITU-T </w:t>
      </w:r>
      <w:r w:rsidR="00541269" w:rsidRPr="00C47E64">
        <w:rPr>
          <w:lang w:val="en-GB"/>
        </w:rPr>
        <w:t>m</w:t>
      </w:r>
      <w:r w:rsidRPr="00C47E64">
        <w:rPr>
          <w:lang w:val="en-GB"/>
        </w:rPr>
        <w:t>embers</w:t>
      </w:r>
      <w:r w:rsidR="00541269" w:rsidRPr="00C47E64">
        <w:rPr>
          <w:lang w:val="en-GB"/>
        </w:rPr>
        <w:t xml:space="preserve">, </w:t>
      </w:r>
      <w:r w:rsidRPr="00C47E64">
        <w:rPr>
          <w:lang w:val="en-GB"/>
        </w:rPr>
        <w:t xml:space="preserve">accessed using an ITU User </w:t>
      </w:r>
      <w:r w:rsidR="00DE1505" w:rsidRPr="00C47E64">
        <w:rPr>
          <w:lang w:val="en-GB"/>
        </w:rPr>
        <w:t xml:space="preserve">Account </w:t>
      </w:r>
      <w:r w:rsidRPr="00C47E64">
        <w:rPr>
          <w:lang w:val="en-GB"/>
        </w:rPr>
        <w:t>(TIES).</w:t>
      </w:r>
      <w:r w:rsidR="00541269" w:rsidRPr="00C47E64">
        <w:rPr>
          <w:lang w:val="en-GB"/>
        </w:rPr>
        <w:t xml:space="preserve"> Certain</w:t>
      </w:r>
      <w:r w:rsidRPr="00C47E64">
        <w:rPr>
          <w:lang w:val="en-GB"/>
        </w:rPr>
        <w:t xml:space="preserve"> collaboration sites are open to non-members</w:t>
      </w:r>
      <w:r w:rsidR="00541269" w:rsidRPr="00C47E64">
        <w:rPr>
          <w:lang w:val="en-GB"/>
        </w:rPr>
        <w:t>,</w:t>
      </w:r>
      <w:r w:rsidRPr="00C47E64">
        <w:rPr>
          <w:lang w:val="en-GB"/>
        </w:rPr>
        <w:t xml:space="preserve"> </w:t>
      </w:r>
      <w:r w:rsidR="00541269" w:rsidRPr="00C47E64">
        <w:rPr>
          <w:lang w:val="en-GB"/>
        </w:rPr>
        <w:t xml:space="preserve">accessed </w:t>
      </w:r>
      <w:r w:rsidRPr="00C47E64">
        <w:rPr>
          <w:lang w:val="en-GB"/>
        </w:rPr>
        <w:t xml:space="preserve">using non-member ITU User </w:t>
      </w:r>
      <w:r w:rsidR="00DE1505" w:rsidRPr="00C47E64">
        <w:rPr>
          <w:lang w:val="en-GB"/>
        </w:rPr>
        <w:t>A</w:t>
      </w:r>
      <w:r w:rsidRPr="00C47E64">
        <w:rPr>
          <w:lang w:val="en-GB"/>
        </w:rPr>
        <w:t>ccounts.</w:t>
      </w:r>
    </w:p>
    <w:p w14:paraId="083BF94F" w14:textId="6D3699B6" w:rsidR="006944F8" w:rsidRPr="00F57FAD" w:rsidRDefault="002F0E38" w:rsidP="006944F8">
      <w:pPr>
        <w:pStyle w:val="Heading2"/>
      </w:pPr>
      <w:bookmarkStart w:id="219" w:name="_Toc462664281"/>
      <w:bookmarkStart w:id="220" w:name="_Toc480527876"/>
      <w:bookmarkStart w:id="221" w:name="_Toc31967188"/>
      <w:r w:rsidRPr="00F57FAD">
        <w:t>13</w:t>
      </w:r>
      <w:r w:rsidR="006944F8" w:rsidRPr="00F57FAD">
        <w:t>.8</w:t>
      </w:r>
      <w:r w:rsidR="006944F8" w:rsidRPr="00F57FAD">
        <w:tab/>
        <w:t>Meeting Documents Sync Application</w:t>
      </w:r>
      <w:bookmarkEnd w:id="219"/>
      <w:bookmarkEnd w:id="220"/>
      <w:bookmarkEnd w:id="221"/>
    </w:p>
    <w:p w14:paraId="7FD7F9C7" w14:textId="4578AEA6" w:rsidR="006944F8" w:rsidRPr="00656355" w:rsidRDefault="006944F8" w:rsidP="00541269">
      <w:pPr>
        <w:rPr>
          <w:highlight w:val="yellow"/>
          <w:lang w:val="en-GB"/>
        </w:rPr>
      </w:pPr>
      <w:bookmarkStart w:id="222" w:name="_Toc462664282"/>
      <w:r w:rsidRPr="00B762A9">
        <w:rPr>
          <w:lang w:val="en-GB"/>
        </w:rPr>
        <w:t xml:space="preserve">This application </w:t>
      </w:r>
      <w:r w:rsidR="00541269" w:rsidRPr="00B762A9">
        <w:rPr>
          <w:lang w:val="en-GB"/>
        </w:rPr>
        <w:t xml:space="preserve">enables </w:t>
      </w:r>
      <w:r w:rsidRPr="00B762A9">
        <w:rPr>
          <w:lang w:val="en-GB"/>
        </w:rPr>
        <w:t xml:space="preserve">meeting participants to synchronize documents of </w:t>
      </w:r>
      <w:r w:rsidR="00541269" w:rsidRPr="00B762A9">
        <w:rPr>
          <w:lang w:val="en-GB"/>
        </w:rPr>
        <w:t xml:space="preserve">ongoing </w:t>
      </w:r>
      <w:r w:rsidRPr="00B762A9">
        <w:rPr>
          <w:lang w:val="en-GB"/>
        </w:rPr>
        <w:t xml:space="preserve">ITU-T </w:t>
      </w:r>
      <w:r w:rsidR="00F1765F">
        <w:rPr>
          <w:lang w:val="en-GB"/>
        </w:rPr>
        <w:t>SG</w:t>
      </w:r>
      <w:r w:rsidRPr="00B762A9">
        <w:rPr>
          <w:lang w:val="en-GB"/>
        </w:rPr>
        <w:t xml:space="preserve"> </w:t>
      </w:r>
      <w:r w:rsidR="00541269" w:rsidRPr="00B762A9">
        <w:rPr>
          <w:lang w:val="en-GB"/>
        </w:rPr>
        <w:t xml:space="preserve">meetings </w:t>
      </w:r>
      <w:r w:rsidRPr="00B762A9">
        <w:rPr>
          <w:lang w:val="en-GB"/>
        </w:rPr>
        <w:t>from the ITU server to their local drive. The application is constantly enhanced and updated following feedback and suggestions from users.</w:t>
      </w:r>
    </w:p>
    <w:p w14:paraId="1B963C55" w14:textId="76F5FFF4" w:rsidR="006944F8" w:rsidRPr="00F57FAD" w:rsidRDefault="002F0E38" w:rsidP="006944F8">
      <w:pPr>
        <w:pStyle w:val="Heading2"/>
      </w:pPr>
      <w:bookmarkStart w:id="223" w:name="_Toc31967189"/>
      <w:r w:rsidRPr="00F57FAD">
        <w:t>13</w:t>
      </w:r>
      <w:r w:rsidR="006944F8" w:rsidRPr="00F57FAD">
        <w:t>.9</w:t>
      </w:r>
      <w:r w:rsidR="006944F8" w:rsidRPr="00F57FAD">
        <w:tab/>
        <w:t>Electronic meetings</w:t>
      </w:r>
      <w:bookmarkEnd w:id="222"/>
      <w:bookmarkEnd w:id="223"/>
    </w:p>
    <w:p w14:paraId="46FAC529" w14:textId="5CC2896D" w:rsidR="006B5F4A" w:rsidRDefault="006B5F4A" w:rsidP="002013A1">
      <w:pPr>
        <w:rPr>
          <w:lang w:val="en-GB"/>
        </w:rPr>
      </w:pPr>
      <w:r w:rsidRPr="00B762A9">
        <w:rPr>
          <w:lang w:val="en-GB"/>
        </w:rPr>
        <w:t xml:space="preserve">TSB continues to improve electronic meeting facilities offered to ITU-T members. </w:t>
      </w:r>
      <w:r w:rsidR="00A5644E" w:rsidRPr="006937F2">
        <w:rPr>
          <w:lang w:val="en-GB"/>
        </w:rPr>
        <w:t xml:space="preserve">2019 saw </w:t>
      </w:r>
      <w:r w:rsidRPr="006937F2">
        <w:rPr>
          <w:lang w:val="en-GB"/>
        </w:rPr>
        <w:t>the</w:t>
      </w:r>
      <w:r w:rsidR="00A5644E" w:rsidRPr="006937F2">
        <w:rPr>
          <w:lang w:val="en-GB"/>
        </w:rPr>
        <w:t xml:space="preserve"> introduction of a </w:t>
      </w:r>
      <w:r w:rsidRPr="006937F2">
        <w:rPr>
          <w:lang w:val="en-GB"/>
        </w:rPr>
        <w:t xml:space="preserve">new </w:t>
      </w:r>
      <w:r w:rsidR="00A5644E" w:rsidRPr="006937F2">
        <w:rPr>
          <w:lang w:val="en-GB"/>
        </w:rPr>
        <w:t xml:space="preserve">tool for </w:t>
      </w:r>
      <w:r w:rsidRPr="006937F2">
        <w:rPr>
          <w:lang w:val="en-GB"/>
        </w:rPr>
        <w:t xml:space="preserve">ITU-T </w:t>
      </w:r>
      <w:r w:rsidR="00A5644E" w:rsidRPr="006937F2">
        <w:rPr>
          <w:lang w:val="en-GB"/>
        </w:rPr>
        <w:t>electronic meetings</w:t>
      </w:r>
      <w:r w:rsidRPr="006937F2">
        <w:rPr>
          <w:lang w:val="en-GB"/>
        </w:rPr>
        <w:t xml:space="preserve"> </w:t>
      </w:r>
      <w:r w:rsidR="00A5644E" w:rsidRPr="006937F2">
        <w:rPr>
          <w:lang w:val="en-GB"/>
        </w:rPr>
        <w:t>with the aim of p</w:t>
      </w:r>
      <w:r w:rsidRPr="006937F2">
        <w:rPr>
          <w:lang w:val="en-GB"/>
        </w:rPr>
        <w:t>rovid</w:t>
      </w:r>
      <w:r w:rsidR="00A5644E" w:rsidRPr="006937F2">
        <w:rPr>
          <w:lang w:val="en-GB"/>
        </w:rPr>
        <w:t xml:space="preserve">ing </w:t>
      </w:r>
      <w:r w:rsidRPr="006937F2">
        <w:rPr>
          <w:lang w:val="en-GB"/>
        </w:rPr>
        <w:t>a consistent, efficient service to</w:t>
      </w:r>
      <w:r w:rsidR="00A5644E" w:rsidRPr="006937F2">
        <w:rPr>
          <w:lang w:val="en-GB"/>
        </w:rPr>
        <w:t xml:space="preserve"> the ITU-T community</w:t>
      </w:r>
      <w:r w:rsidRPr="006937F2">
        <w:rPr>
          <w:lang w:val="en-GB"/>
        </w:rPr>
        <w:t xml:space="preserve">. This tool is now being used for all </w:t>
      </w:r>
      <w:r w:rsidR="005E2B39" w:rsidRPr="006937F2">
        <w:rPr>
          <w:lang w:val="en-GB"/>
        </w:rPr>
        <w:t xml:space="preserve">ITU-T </w:t>
      </w:r>
      <w:r w:rsidRPr="006937F2">
        <w:rPr>
          <w:lang w:val="en-GB"/>
        </w:rPr>
        <w:t xml:space="preserve">statutory meetings. Adobe Connect will continue to be used for multilingual sessions. GoToMeeting and Zoom are used for non-statutory, fully online (virtual) and any on-demand ad-hoc meetings. Statistics on </w:t>
      </w:r>
      <w:proofErr w:type="spellStart"/>
      <w:r w:rsidRPr="006937F2">
        <w:rPr>
          <w:lang w:val="en-GB"/>
        </w:rPr>
        <w:t>e-meetings</w:t>
      </w:r>
      <w:proofErr w:type="spellEnd"/>
      <w:r w:rsidRPr="006937F2">
        <w:rPr>
          <w:lang w:val="en-GB"/>
        </w:rPr>
        <w:t xml:space="preserve"> for the last three years are indicated below.</w:t>
      </w:r>
    </w:p>
    <w:p w14:paraId="2DC5FFBB" w14:textId="167AE5A0" w:rsidR="006B5F4A" w:rsidRPr="00656355" w:rsidRDefault="006D40DB" w:rsidP="00541269">
      <w:pPr>
        <w:rPr>
          <w:highlight w:val="yellow"/>
          <w:lang w:val="en-GB"/>
        </w:rPr>
      </w:pPr>
      <w:r>
        <w:rPr>
          <w:noProof/>
          <w:lang w:val="en-GB" w:eastAsia="en-GB"/>
        </w:rPr>
        <w:lastRenderedPageBreak/>
        <w:drawing>
          <wp:inline distT="0" distB="0" distL="0" distR="0" wp14:anchorId="4125F671" wp14:editId="686C1FEB">
            <wp:extent cx="4962522" cy="3000374"/>
            <wp:effectExtent l="0" t="0" r="10160" b="10160"/>
            <wp:docPr id="7" name="Chart 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9"/>
              </a:graphicData>
            </a:graphic>
          </wp:inline>
        </w:drawing>
      </w:r>
    </w:p>
    <w:p w14:paraId="156690A0" w14:textId="07A0D493" w:rsidR="006944F8" w:rsidRPr="006937F2" w:rsidRDefault="006944F8" w:rsidP="001C37A8">
      <w:pPr>
        <w:pStyle w:val="Caption"/>
        <w:rPr>
          <w:lang w:val="en-GB"/>
        </w:rPr>
      </w:pPr>
      <w:r w:rsidRPr="006937F2">
        <w:rPr>
          <w:lang w:val="en-GB"/>
        </w:rPr>
        <w:t xml:space="preserve">Figure </w:t>
      </w:r>
      <w:r w:rsidR="001C37A8" w:rsidRPr="006937F2">
        <w:rPr>
          <w:lang w:val="en-GB"/>
        </w:rPr>
        <w:fldChar w:fldCharType="begin"/>
      </w:r>
      <w:r w:rsidR="001C37A8" w:rsidRPr="006937F2">
        <w:rPr>
          <w:lang w:val="en-GB"/>
        </w:rPr>
        <w:instrText xml:space="preserve"> SEQ Figure \* ARABIC </w:instrText>
      </w:r>
      <w:r w:rsidR="001C37A8" w:rsidRPr="006937F2">
        <w:rPr>
          <w:lang w:val="en-GB"/>
        </w:rPr>
        <w:fldChar w:fldCharType="separate"/>
      </w:r>
      <w:r w:rsidR="001C37A8" w:rsidRPr="006937F2">
        <w:rPr>
          <w:noProof/>
          <w:lang w:val="en-GB"/>
        </w:rPr>
        <w:t>5</w:t>
      </w:r>
      <w:r w:rsidR="001C37A8" w:rsidRPr="006937F2">
        <w:rPr>
          <w:lang w:val="en-GB"/>
        </w:rPr>
        <w:fldChar w:fldCharType="end"/>
      </w:r>
      <w:r w:rsidRPr="006937F2">
        <w:rPr>
          <w:lang w:val="en-GB"/>
        </w:rPr>
        <w:t xml:space="preserve"> – Remote participation and </w:t>
      </w:r>
      <w:proofErr w:type="spellStart"/>
      <w:r w:rsidRPr="006937F2">
        <w:rPr>
          <w:lang w:val="en-GB"/>
        </w:rPr>
        <w:t>e-meetings</w:t>
      </w:r>
      <w:proofErr w:type="spellEnd"/>
    </w:p>
    <w:p w14:paraId="1AC6FECD" w14:textId="22AF7167" w:rsidR="006944F8" w:rsidRPr="00F57FAD" w:rsidRDefault="002F0E38" w:rsidP="006944F8">
      <w:pPr>
        <w:pStyle w:val="Heading2"/>
      </w:pPr>
      <w:bookmarkStart w:id="224" w:name="_Toc389154483"/>
      <w:bookmarkStart w:id="225" w:name="_Toc462664285"/>
      <w:bookmarkStart w:id="226" w:name="_Toc480527879"/>
      <w:bookmarkStart w:id="227" w:name="_Toc31967190"/>
      <w:r w:rsidRPr="00F57FAD">
        <w:t>13</w:t>
      </w:r>
      <w:r w:rsidR="006944F8" w:rsidRPr="00F57FAD">
        <w:t>.10</w:t>
      </w:r>
      <w:r w:rsidR="006944F8" w:rsidRPr="00F57FAD">
        <w:tab/>
        <w:t xml:space="preserve">Use in the ITU-T of the </w:t>
      </w:r>
      <w:r w:rsidR="00541269" w:rsidRPr="00F57FAD">
        <w:t xml:space="preserve">official </w:t>
      </w:r>
      <w:r w:rsidR="006944F8" w:rsidRPr="00F57FAD">
        <w:t>languages of the Union on an equal footing</w:t>
      </w:r>
      <w:bookmarkEnd w:id="224"/>
      <w:bookmarkEnd w:id="225"/>
      <w:bookmarkEnd w:id="226"/>
      <w:bookmarkEnd w:id="227"/>
    </w:p>
    <w:p w14:paraId="5F29CC8C" w14:textId="3497DB27" w:rsidR="006944F8" w:rsidRPr="00864ED2" w:rsidRDefault="006944F8" w:rsidP="002013A1">
      <w:pPr>
        <w:rPr>
          <w:lang w:val="en-GB"/>
        </w:rPr>
      </w:pPr>
      <w:r w:rsidRPr="00864ED2">
        <w:rPr>
          <w:lang w:val="en-GB"/>
        </w:rPr>
        <w:t xml:space="preserve">The Standardization Committee for Vocabulary (SCV), composed </w:t>
      </w:r>
      <w:r w:rsidR="00541269" w:rsidRPr="00864ED2">
        <w:rPr>
          <w:lang w:val="en-GB"/>
        </w:rPr>
        <w:t>of</w:t>
      </w:r>
      <w:r w:rsidRPr="00864ED2">
        <w:rPr>
          <w:lang w:val="en-GB"/>
        </w:rPr>
        <w:t xml:space="preserve"> ITU-T </w:t>
      </w:r>
      <w:r w:rsidR="00541269" w:rsidRPr="00864ED2">
        <w:rPr>
          <w:lang w:val="en-GB"/>
        </w:rPr>
        <w:t xml:space="preserve">members </w:t>
      </w:r>
      <w:r w:rsidRPr="00864ED2">
        <w:rPr>
          <w:lang w:val="en-GB"/>
        </w:rPr>
        <w:t xml:space="preserve">expert in all the official languages, serves as focal point to ITU-T </w:t>
      </w:r>
      <w:r w:rsidR="00F1765F">
        <w:rPr>
          <w:lang w:val="en-GB"/>
        </w:rPr>
        <w:t>SG</w:t>
      </w:r>
      <w:r w:rsidRPr="00864ED2">
        <w:rPr>
          <w:lang w:val="en-GB"/>
        </w:rPr>
        <w:t>s in terminology-related matters</w:t>
      </w:r>
      <w:r w:rsidR="00541269" w:rsidRPr="00864ED2">
        <w:rPr>
          <w:lang w:val="en-GB"/>
        </w:rPr>
        <w:t xml:space="preserve">. SCV guides the adoption of </w:t>
      </w:r>
      <w:r w:rsidRPr="00864ED2">
        <w:rPr>
          <w:lang w:val="en-GB"/>
        </w:rPr>
        <w:t>terms and definitions in ITU-T Recommendations in accordance with WTSA Resolution 67.</w:t>
      </w:r>
    </w:p>
    <w:p w14:paraId="44E382DA" w14:textId="40BF2AD4" w:rsidR="006944F8" w:rsidRPr="00864ED2" w:rsidRDefault="006944F8" w:rsidP="002013A1">
      <w:pPr>
        <w:rPr>
          <w:lang w:val="en-GB"/>
        </w:rPr>
      </w:pPr>
      <w:r w:rsidRPr="00864ED2">
        <w:rPr>
          <w:lang w:val="en-GB"/>
        </w:rPr>
        <w:t xml:space="preserve">TSB continues to collect all new terms and definitions proposed by ITU-T </w:t>
      </w:r>
      <w:r w:rsidR="00F1765F">
        <w:rPr>
          <w:lang w:val="en-GB"/>
        </w:rPr>
        <w:t>SG</w:t>
      </w:r>
      <w:r w:rsidRPr="00864ED2">
        <w:rPr>
          <w:lang w:val="en-GB"/>
        </w:rPr>
        <w:t>s, enter</w:t>
      </w:r>
      <w:r w:rsidR="00541269" w:rsidRPr="00864ED2">
        <w:rPr>
          <w:lang w:val="en-GB"/>
        </w:rPr>
        <w:t>ing</w:t>
      </w:r>
      <w:r w:rsidRPr="00864ED2">
        <w:rPr>
          <w:lang w:val="en-GB"/>
        </w:rPr>
        <w:t xml:space="preserve"> them in</w:t>
      </w:r>
      <w:r w:rsidR="00541269" w:rsidRPr="00864ED2">
        <w:rPr>
          <w:lang w:val="en-GB"/>
        </w:rPr>
        <w:t>to</w:t>
      </w:r>
      <w:r w:rsidRPr="00864ED2">
        <w:rPr>
          <w:lang w:val="en-GB"/>
        </w:rPr>
        <w:t xml:space="preserve"> the online ITU Terms and Definitions database.</w:t>
      </w:r>
    </w:p>
    <w:p w14:paraId="671FC554" w14:textId="68798DBB" w:rsidR="006944F8" w:rsidRPr="00864ED2" w:rsidRDefault="006944F8" w:rsidP="002013A1">
      <w:pPr>
        <w:rPr>
          <w:lang w:val="en-GB"/>
        </w:rPr>
      </w:pPr>
      <w:r w:rsidRPr="00864ED2">
        <w:rPr>
          <w:lang w:val="en-GB"/>
        </w:rPr>
        <w:t xml:space="preserve">As requested by WTSA Resolution 67, TSB continues to translate all Recommendations approved under the </w:t>
      </w:r>
      <w:r w:rsidR="00541269" w:rsidRPr="00864ED2">
        <w:rPr>
          <w:lang w:val="en-GB"/>
        </w:rPr>
        <w:t>T</w:t>
      </w:r>
      <w:r w:rsidRPr="00864ED2">
        <w:rPr>
          <w:lang w:val="en-GB"/>
        </w:rPr>
        <w:t xml:space="preserve">raditional </w:t>
      </w:r>
      <w:r w:rsidR="00541269" w:rsidRPr="00864ED2">
        <w:rPr>
          <w:lang w:val="en-GB"/>
        </w:rPr>
        <w:t>A</w:t>
      </w:r>
      <w:r w:rsidRPr="00864ED2">
        <w:rPr>
          <w:lang w:val="en-GB"/>
        </w:rPr>
        <w:t xml:space="preserve">pproval </w:t>
      </w:r>
      <w:r w:rsidR="00541269" w:rsidRPr="00864ED2">
        <w:rPr>
          <w:lang w:val="en-GB"/>
        </w:rPr>
        <w:t>P</w:t>
      </w:r>
      <w:r w:rsidRPr="00864ED2">
        <w:rPr>
          <w:lang w:val="en-GB"/>
        </w:rPr>
        <w:t>rocess (TAP) as well as all TSAG reports.</w:t>
      </w:r>
    </w:p>
    <w:p w14:paraId="48E20314" w14:textId="00DAE1AF" w:rsidR="006944F8" w:rsidRPr="004668BC" w:rsidRDefault="006944F8" w:rsidP="002013A1">
      <w:pPr>
        <w:rPr>
          <w:lang w:val="en-GB"/>
        </w:rPr>
      </w:pPr>
      <w:r w:rsidRPr="004668BC">
        <w:rPr>
          <w:lang w:val="en-GB"/>
        </w:rPr>
        <w:t xml:space="preserve">TSB also translated </w:t>
      </w:r>
      <w:r w:rsidR="00CD044C" w:rsidRPr="004668BC">
        <w:rPr>
          <w:lang w:val="en-GB"/>
        </w:rPr>
        <w:t>2</w:t>
      </w:r>
      <w:r w:rsidR="00584816" w:rsidRPr="004668BC">
        <w:rPr>
          <w:lang w:val="en-GB"/>
        </w:rPr>
        <w:t>2</w:t>
      </w:r>
      <w:r w:rsidR="00CD044C" w:rsidRPr="004668BC">
        <w:rPr>
          <w:lang w:val="en-GB"/>
        </w:rPr>
        <w:t xml:space="preserve"> </w:t>
      </w:r>
      <w:r w:rsidRPr="004668BC">
        <w:rPr>
          <w:lang w:val="en-GB"/>
        </w:rPr>
        <w:t>AAP Recommendations</w:t>
      </w:r>
      <w:r w:rsidR="00584816" w:rsidRPr="004668BC">
        <w:rPr>
          <w:lang w:val="en-GB"/>
        </w:rPr>
        <w:t xml:space="preserve"> between </w:t>
      </w:r>
      <w:r w:rsidR="00727E6D" w:rsidRPr="004668BC">
        <w:rPr>
          <w:lang w:val="en-GB"/>
        </w:rPr>
        <w:t>January and November 2019</w:t>
      </w:r>
      <w:r w:rsidRPr="004668BC">
        <w:rPr>
          <w:lang w:val="en-GB"/>
        </w:rPr>
        <w:t xml:space="preserve">, in accordance with requests received from ITU-T </w:t>
      </w:r>
      <w:r w:rsidR="00F1765F">
        <w:rPr>
          <w:lang w:val="en-GB"/>
        </w:rPr>
        <w:t>SG</w:t>
      </w:r>
      <w:r w:rsidRPr="004668BC">
        <w:rPr>
          <w:lang w:val="en-GB"/>
        </w:rPr>
        <w:t>s and linguistic groups.</w:t>
      </w:r>
    </w:p>
    <w:p w14:paraId="219CEEC2" w14:textId="6432B8A0" w:rsidR="006944F8" w:rsidRPr="00F57FAD" w:rsidRDefault="002F0E38" w:rsidP="006944F8">
      <w:pPr>
        <w:pStyle w:val="Heading2"/>
      </w:pPr>
      <w:bookmarkStart w:id="228" w:name="_Toc31967191"/>
      <w:r w:rsidRPr="00F57FAD">
        <w:t>13</w:t>
      </w:r>
      <w:r w:rsidR="006944F8" w:rsidRPr="00F57FAD">
        <w:t>.11</w:t>
      </w:r>
      <w:r w:rsidR="006944F8" w:rsidRPr="00F57FAD">
        <w:tab/>
        <w:t>Workshops and symposia</w:t>
      </w:r>
      <w:bookmarkEnd w:id="228"/>
    </w:p>
    <w:p w14:paraId="1C804FD0" w14:textId="50F37FD3" w:rsidR="006944F8" w:rsidRPr="00F57FAD" w:rsidRDefault="006944F8" w:rsidP="000952E6">
      <w:pPr>
        <w:rPr>
          <w:lang w:val="en-GB"/>
        </w:rPr>
      </w:pPr>
      <w:r w:rsidRPr="00F57FAD">
        <w:rPr>
          <w:lang w:val="en-GB"/>
        </w:rPr>
        <w:t>ITU</w:t>
      </w:r>
      <w:r w:rsidR="007E60A7" w:rsidRPr="00F57FAD">
        <w:rPr>
          <w:lang w:val="en-GB"/>
        </w:rPr>
        <w:t xml:space="preserve"> workshops and symposia</w:t>
      </w:r>
      <w:r w:rsidRPr="00F57FAD">
        <w:rPr>
          <w:lang w:val="en-GB"/>
        </w:rPr>
        <w:t xml:space="preserve"> </w:t>
      </w:r>
      <w:r w:rsidR="007E60A7" w:rsidRPr="00F57FAD">
        <w:rPr>
          <w:lang w:val="en-GB"/>
        </w:rPr>
        <w:t xml:space="preserve">discuss emerging trends in standardization, </w:t>
      </w:r>
      <w:r w:rsidRPr="00F57FAD">
        <w:rPr>
          <w:lang w:val="en-GB"/>
        </w:rPr>
        <w:t xml:space="preserve">increase </w:t>
      </w:r>
      <w:r w:rsidR="007E60A7" w:rsidRPr="00F57FAD">
        <w:rPr>
          <w:lang w:val="en-GB"/>
        </w:rPr>
        <w:t xml:space="preserve">the </w:t>
      </w:r>
      <w:r w:rsidRPr="00F57FAD">
        <w:rPr>
          <w:lang w:val="en-GB"/>
        </w:rPr>
        <w:t xml:space="preserve">visibility </w:t>
      </w:r>
      <w:r w:rsidR="007E60A7" w:rsidRPr="00F57FAD">
        <w:rPr>
          <w:lang w:val="en-GB"/>
        </w:rPr>
        <w:t xml:space="preserve">of ITU-T work, enhance ITU-T collaboration with other bodies, </w:t>
      </w:r>
      <w:r w:rsidR="000952E6" w:rsidRPr="00F57FAD">
        <w:rPr>
          <w:lang w:val="en-GB"/>
        </w:rPr>
        <w:t xml:space="preserve">attract and recruit new ITU-T members, </w:t>
      </w:r>
      <w:r w:rsidR="007E60A7" w:rsidRPr="00F57FAD">
        <w:rPr>
          <w:lang w:val="en-GB"/>
        </w:rPr>
        <w:t>and encourage peer-learning relevant to the development and implementation of international standards.</w:t>
      </w:r>
    </w:p>
    <w:p w14:paraId="01828F0C" w14:textId="611C549F" w:rsidR="006944F8" w:rsidRPr="00656355" w:rsidRDefault="006944F8" w:rsidP="007E60A7">
      <w:pPr>
        <w:rPr>
          <w:highlight w:val="yellow"/>
          <w:lang w:val="en-GB"/>
        </w:rPr>
      </w:pPr>
      <w:r w:rsidRPr="00F57FAD">
        <w:rPr>
          <w:lang w:val="en-GB"/>
        </w:rPr>
        <w:t>The following ITU workshops</w:t>
      </w:r>
      <w:r w:rsidR="007E60A7" w:rsidRPr="00F57FAD">
        <w:rPr>
          <w:lang w:val="en-GB"/>
        </w:rPr>
        <w:t xml:space="preserve"> and </w:t>
      </w:r>
      <w:r w:rsidRPr="00F57FAD">
        <w:rPr>
          <w:lang w:val="en-GB"/>
        </w:rPr>
        <w:t>symposia</w:t>
      </w:r>
      <w:r w:rsidR="007E60A7" w:rsidRPr="00F57FAD">
        <w:rPr>
          <w:lang w:val="en-GB"/>
        </w:rPr>
        <w:t>, arranged by venue,</w:t>
      </w:r>
      <w:r w:rsidRPr="00F57FAD">
        <w:rPr>
          <w:lang w:val="en-GB"/>
        </w:rPr>
        <w:t xml:space="preserve"> were organized </w:t>
      </w:r>
      <w:r w:rsidR="00403A2F" w:rsidRPr="00F57FAD">
        <w:rPr>
          <w:lang w:val="en-GB"/>
        </w:rPr>
        <w:t>by TSB</w:t>
      </w:r>
      <w:r w:rsidR="00135FE4">
        <w:rPr>
          <w:lang w:val="en-GB"/>
        </w:rPr>
        <w:t xml:space="preserve"> from </w:t>
      </w:r>
      <w:r w:rsidR="00F57FAD" w:rsidRPr="00F57FAD">
        <w:rPr>
          <w:lang w:val="en-GB"/>
        </w:rPr>
        <w:t xml:space="preserve">September </w:t>
      </w:r>
      <w:r w:rsidR="00135FE4">
        <w:rPr>
          <w:lang w:val="en-GB"/>
        </w:rPr>
        <w:t xml:space="preserve">to December </w:t>
      </w:r>
      <w:r w:rsidR="00F57FAD" w:rsidRPr="00F57FAD">
        <w:rPr>
          <w:lang w:val="en-GB"/>
        </w:rPr>
        <w:t>2019</w:t>
      </w:r>
      <w:r w:rsidRPr="00F57FAD">
        <w:rPr>
          <w:lang w:val="en-GB"/>
        </w:rPr>
        <w:t>:</w:t>
      </w:r>
    </w:p>
    <w:p w14:paraId="42851A49" w14:textId="2E1EFE2E" w:rsidR="006944F8" w:rsidRPr="00F57FAD" w:rsidRDefault="00A5644E" w:rsidP="006944F8">
      <w:pPr>
        <w:rPr>
          <w:szCs w:val="24"/>
          <w:lang w:val="en-GB"/>
        </w:rPr>
      </w:pPr>
      <w:r w:rsidRPr="00F57FAD">
        <w:rPr>
          <w:b/>
          <w:bCs/>
          <w:szCs w:val="24"/>
          <w:lang w:val="en-GB"/>
        </w:rPr>
        <w:t xml:space="preserve">ITU Headquarters, </w:t>
      </w:r>
      <w:r w:rsidR="006944F8" w:rsidRPr="00F57FAD">
        <w:rPr>
          <w:b/>
          <w:bCs/>
          <w:szCs w:val="24"/>
          <w:lang w:val="en-GB"/>
        </w:rPr>
        <w:t>Geneva:</w:t>
      </w:r>
    </w:p>
    <w:p w14:paraId="63601573" w14:textId="3074AC0C" w:rsidR="00122089" w:rsidRPr="006326CC" w:rsidRDefault="00F60C99" w:rsidP="009363BD">
      <w:pPr>
        <w:numPr>
          <w:ilvl w:val="0"/>
          <w:numId w:val="15"/>
        </w:numPr>
        <w:rPr>
          <w:lang w:val="en-GB"/>
        </w:rPr>
      </w:pPr>
      <w:hyperlink r:id="rId210" w:history="1">
        <w:r w:rsidR="006326CC" w:rsidRPr="006326CC">
          <w:rPr>
            <w:bCs/>
            <w:color w:val="0000FF"/>
            <w:u w:val="single"/>
          </w:rPr>
          <w:t>FIGI Security Clinic: Securing the infrastructure and applications for digital financial services</w:t>
        </w:r>
      </w:hyperlink>
      <w:r w:rsidR="006326CC" w:rsidRPr="006326CC">
        <w:t>, 4-5 December 2019</w:t>
      </w:r>
    </w:p>
    <w:p w14:paraId="67940F6F" w14:textId="16E73593" w:rsidR="00446E13" w:rsidRPr="00122089" w:rsidRDefault="00F60C99" w:rsidP="009363BD">
      <w:pPr>
        <w:numPr>
          <w:ilvl w:val="0"/>
          <w:numId w:val="15"/>
        </w:numPr>
        <w:rPr>
          <w:lang w:val="en-GB"/>
        </w:rPr>
      </w:pPr>
      <w:hyperlink r:id="rId211" w:history="1">
        <w:r w:rsidR="00446E13" w:rsidRPr="00122089">
          <w:rPr>
            <w:bCs/>
            <w:color w:val="0000FF"/>
            <w:u w:val="single"/>
          </w:rPr>
          <w:t>ITU Workshop on “Data Processing and Management for IoT and Smart Cities &amp; Communities”</w:t>
        </w:r>
      </w:hyperlink>
      <w:r w:rsidR="00446E13" w:rsidRPr="00122089">
        <w:t>, 25 November 2019.</w:t>
      </w:r>
    </w:p>
    <w:p w14:paraId="29F5DA1E" w14:textId="302C1E5B" w:rsidR="00122089" w:rsidRPr="00293AF2" w:rsidRDefault="00A412C0" w:rsidP="009363BD">
      <w:pPr>
        <w:numPr>
          <w:ilvl w:val="0"/>
          <w:numId w:val="15"/>
        </w:numPr>
        <w:rPr>
          <w:lang w:val="en-GB"/>
        </w:rPr>
      </w:pPr>
      <w:r w:rsidRPr="00A412C0">
        <w:rPr>
          <w:bCs/>
          <w:color w:val="3333FF"/>
          <w:u w:val="single"/>
        </w:rPr>
        <w:t xml:space="preserve">ITU Brainstorming Session on </w:t>
      </w:r>
      <w:r w:rsidR="007F0299">
        <w:rPr>
          <w:bCs/>
          <w:color w:val="3333FF"/>
          <w:u w:val="single"/>
        </w:rPr>
        <w:t>“</w:t>
      </w:r>
      <w:r w:rsidRPr="00A412C0">
        <w:rPr>
          <w:bCs/>
          <w:color w:val="3333FF"/>
          <w:u w:val="single"/>
        </w:rPr>
        <w:t>SS7 Vulnerabilities and the Impact on Different Industries including Digital Financial Services</w:t>
      </w:r>
      <w:r w:rsidR="007F0299">
        <w:rPr>
          <w:bCs/>
          <w:color w:val="3333FF"/>
          <w:u w:val="single"/>
        </w:rPr>
        <w:t>”</w:t>
      </w:r>
      <w:r w:rsidRPr="00A412C0">
        <w:t>, 22 October 2019.</w:t>
      </w:r>
    </w:p>
    <w:p w14:paraId="2D271EEC" w14:textId="3901C879" w:rsidR="00293AF2" w:rsidRPr="00E20752" w:rsidRDefault="00F60C99" w:rsidP="009363BD">
      <w:pPr>
        <w:numPr>
          <w:ilvl w:val="0"/>
          <w:numId w:val="15"/>
        </w:numPr>
        <w:rPr>
          <w:lang w:val="en-GB"/>
        </w:rPr>
      </w:pPr>
      <w:hyperlink r:id="rId212" w:history="1">
        <w:r w:rsidR="00293AF2" w:rsidRPr="00293AF2">
          <w:rPr>
            <w:bCs/>
            <w:color w:val="0000FF"/>
            <w:u w:val="single"/>
          </w:rPr>
          <w:t xml:space="preserve">ITU Workshop on </w:t>
        </w:r>
        <w:r w:rsidR="007F0299">
          <w:rPr>
            <w:bCs/>
            <w:color w:val="0000FF"/>
            <w:u w:val="single"/>
          </w:rPr>
          <w:t>“</w:t>
        </w:r>
        <w:r w:rsidR="00293AF2" w:rsidRPr="00293AF2">
          <w:rPr>
            <w:bCs/>
            <w:color w:val="0000FF"/>
            <w:u w:val="single"/>
          </w:rPr>
          <w:t>Network 2030</w:t>
        </w:r>
      </w:hyperlink>
      <w:r w:rsidR="007F0299">
        <w:rPr>
          <w:bCs/>
          <w:color w:val="0000FF"/>
          <w:u w:val="single"/>
        </w:rPr>
        <w:t>”</w:t>
      </w:r>
      <w:r w:rsidR="00293AF2" w:rsidRPr="00293AF2">
        <w:t>,</w:t>
      </w:r>
      <w:r w:rsidR="00293AF2">
        <w:t xml:space="preserve"> </w:t>
      </w:r>
      <w:r w:rsidR="00E20752">
        <w:t xml:space="preserve">14-16 </w:t>
      </w:r>
      <w:r w:rsidR="00293AF2" w:rsidRPr="00293AF2">
        <w:t>October 2019</w:t>
      </w:r>
      <w:r w:rsidR="00293AF2">
        <w:t>.</w:t>
      </w:r>
    </w:p>
    <w:p w14:paraId="20F9FC1C" w14:textId="2E145212" w:rsidR="009F6192" w:rsidRPr="00BD3F88" w:rsidRDefault="00F60C99" w:rsidP="009363BD">
      <w:pPr>
        <w:numPr>
          <w:ilvl w:val="0"/>
          <w:numId w:val="15"/>
        </w:numPr>
        <w:rPr>
          <w:lang w:val="en-GB"/>
        </w:rPr>
      </w:pPr>
      <w:hyperlink r:id="rId213" w:history="1">
        <w:r w:rsidR="00E20752" w:rsidRPr="00E20752">
          <w:rPr>
            <w:bCs/>
            <w:color w:val="0000FF"/>
            <w:u w:val="single"/>
          </w:rPr>
          <w:t xml:space="preserve">ITU Workshop on </w:t>
        </w:r>
        <w:r w:rsidR="007F0299">
          <w:rPr>
            <w:bCs/>
            <w:color w:val="0000FF"/>
            <w:u w:val="single"/>
          </w:rPr>
          <w:t>“</w:t>
        </w:r>
        <w:r w:rsidR="00E20752" w:rsidRPr="00E20752">
          <w:rPr>
            <w:bCs/>
            <w:color w:val="0000FF"/>
            <w:u w:val="single"/>
          </w:rPr>
          <w:t>The Future of Media</w:t>
        </w:r>
        <w:r w:rsidR="007F0299">
          <w:rPr>
            <w:bCs/>
            <w:color w:val="0000FF"/>
            <w:u w:val="single"/>
          </w:rPr>
          <w:t>”</w:t>
        </w:r>
      </w:hyperlink>
      <w:r w:rsidR="00E20752">
        <w:t xml:space="preserve">, </w:t>
      </w:r>
      <w:r w:rsidR="00E20752" w:rsidRPr="00E20752">
        <w:t>8</w:t>
      </w:r>
      <w:r w:rsidR="00E20752">
        <w:t xml:space="preserve"> </w:t>
      </w:r>
      <w:r w:rsidR="00E20752" w:rsidRPr="00E20752">
        <w:t>October 2019</w:t>
      </w:r>
      <w:r w:rsidR="00E20752">
        <w:t>.</w:t>
      </w:r>
    </w:p>
    <w:p w14:paraId="3F3A7E43" w14:textId="7C6390F5" w:rsidR="006944F8" w:rsidRPr="00F57FAD" w:rsidRDefault="00A47CEC" w:rsidP="006944F8">
      <w:pPr>
        <w:rPr>
          <w:b/>
          <w:bCs/>
          <w:szCs w:val="24"/>
          <w:lang w:val="en-GB"/>
        </w:rPr>
      </w:pPr>
      <w:r w:rsidRPr="00F57FAD">
        <w:rPr>
          <w:b/>
          <w:bCs/>
          <w:szCs w:val="24"/>
          <w:lang w:val="en-GB"/>
        </w:rPr>
        <w:lastRenderedPageBreak/>
        <w:t xml:space="preserve">Rest of </w:t>
      </w:r>
      <w:r w:rsidR="006944F8" w:rsidRPr="00F57FAD">
        <w:rPr>
          <w:b/>
          <w:bCs/>
          <w:szCs w:val="24"/>
          <w:lang w:val="en-GB"/>
        </w:rPr>
        <w:t>Europe</w:t>
      </w:r>
      <w:r w:rsidRPr="00F57FAD">
        <w:rPr>
          <w:b/>
          <w:bCs/>
          <w:szCs w:val="24"/>
          <w:lang w:val="en-GB"/>
        </w:rPr>
        <w:t xml:space="preserve"> (see above for Geneva)</w:t>
      </w:r>
      <w:r w:rsidR="006944F8" w:rsidRPr="00F57FAD">
        <w:rPr>
          <w:b/>
          <w:bCs/>
          <w:szCs w:val="24"/>
          <w:lang w:val="en-GB"/>
        </w:rPr>
        <w:t>:</w:t>
      </w:r>
    </w:p>
    <w:p w14:paraId="63C096E3" w14:textId="352843D7" w:rsidR="00797393" w:rsidRPr="00797393" w:rsidRDefault="00F60C99" w:rsidP="009363BD">
      <w:pPr>
        <w:numPr>
          <w:ilvl w:val="0"/>
          <w:numId w:val="16"/>
        </w:numPr>
        <w:rPr>
          <w:lang w:val="en-GB"/>
        </w:rPr>
      </w:pPr>
      <w:hyperlink r:id="rId214" w:history="1">
        <w:r w:rsidR="00797393" w:rsidRPr="007F0299">
          <w:rPr>
            <w:rStyle w:val="Hyperlink"/>
            <w:bCs/>
          </w:rPr>
          <w:t xml:space="preserve">Forum on </w:t>
        </w:r>
        <w:r w:rsidR="007F0299" w:rsidRPr="007F0299">
          <w:rPr>
            <w:rStyle w:val="Hyperlink"/>
            <w:bCs/>
          </w:rPr>
          <w:t>“</w:t>
        </w:r>
        <w:r w:rsidR="00797393" w:rsidRPr="007F0299">
          <w:rPr>
            <w:rStyle w:val="Hyperlink"/>
            <w:bCs/>
          </w:rPr>
          <w:t xml:space="preserve">Environmental Efficiency for </w:t>
        </w:r>
        <w:r w:rsidR="00B0424A">
          <w:rPr>
            <w:rStyle w:val="Hyperlink"/>
            <w:bCs/>
          </w:rPr>
          <w:t xml:space="preserve">AI </w:t>
        </w:r>
        <w:r w:rsidR="00797393" w:rsidRPr="007F0299">
          <w:rPr>
            <w:rStyle w:val="Hyperlink"/>
            <w:bCs/>
          </w:rPr>
          <w:t>and other Emerging Technologies</w:t>
        </w:r>
        <w:r w:rsidR="007F0299" w:rsidRPr="007F0299">
          <w:rPr>
            <w:rStyle w:val="Hyperlink"/>
            <w:bCs/>
          </w:rPr>
          <w:t>”</w:t>
        </w:r>
      </w:hyperlink>
      <w:r w:rsidR="007F0299">
        <w:t>, V</w:t>
      </w:r>
      <w:r w:rsidR="00797393">
        <w:t>ienna, Austria</w:t>
      </w:r>
      <w:r w:rsidR="007F0299">
        <w:t>, 11 December 2019.</w:t>
      </w:r>
    </w:p>
    <w:p w14:paraId="0D3B498F" w14:textId="2B5F30A7" w:rsidR="00797393" w:rsidRPr="00797393" w:rsidRDefault="00F60C99" w:rsidP="009363BD">
      <w:pPr>
        <w:numPr>
          <w:ilvl w:val="0"/>
          <w:numId w:val="16"/>
        </w:numPr>
        <w:rPr>
          <w:lang w:val="en-GB"/>
        </w:rPr>
      </w:pPr>
      <w:hyperlink r:id="rId215" w:history="1">
        <w:r w:rsidR="00797393" w:rsidRPr="00797393">
          <w:rPr>
            <w:rStyle w:val="Strong"/>
            <w:b w:val="0"/>
            <w:color w:val="0000FF"/>
            <w:u w:val="single"/>
          </w:rPr>
          <w:t>Meeting of the Thematic Group on the United for Smart Sustainable City Index</w:t>
        </w:r>
      </w:hyperlink>
      <w:r w:rsidR="007F0299">
        <w:rPr>
          <w:rStyle w:val="ms-rtethemeforecolor-2-0"/>
        </w:rPr>
        <w:t xml:space="preserve">, </w:t>
      </w:r>
      <w:r w:rsidR="00797393">
        <w:t>Vienna, Austria</w:t>
      </w:r>
      <w:r w:rsidR="007F0299">
        <w:t>, 13 December 2019.</w:t>
      </w:r>
    </w:p>
    <w:p w14:paraId="5BE69ACD" w14:textId="7817EB3A" w:rsidR="00797393" w:rsidRPr="00E20752" w:rsidRDefault="00F60C99" w:rsidP="009363BD">
      <w:pPr>
        <w:numPr>
          <w:ilvl w:val="0"/>
          <w:numId w:val="16"/>
        </w:numPr>
        <w:rPr>
          <w:b/>
          <w:lang w:val="en-GB"/>
        </w:rPr>
      </w:pPr>
      <w:hyperlink r:id="rId216" w:history="1">
        <w:r w:rsidR="00A412C0" w:rsidRPr="00A412C0">
          <w:rPr>
            <w:bCs/>
            <w:color w:val="0000FF"/>
            <w:u w:val="single"/>
          </w:rPr>
          <w:t>ITU Workshop on "Machine Learning for 5G and Beyond"</w:t>
        </w:r>
      </w:hyperlink>
      <w:r w:rsidR="00A412C0">
        <w:t xml:space="preserve">, </w:t>
      </w:r>
      <w:r w:rsidR="00A412C0" w:rsidRPr="00A412C0">
        <w:t>B</w:t>
      </w:r>
      <w:r w:rsidR="00A412C0">
        <w:t>erlin, Germany, 5 November 2019.</w:t>
      </w:r>
    </w:p>
    <w:p w14:paraId="48A80B1A" w14:textId="31F5C898" w:rsidR="00E20752" w:rsidRPr="00797393" w:rsidRDefault="00F60C99" w:rsidP="009363BD">
      <w:pPr>
        <w:numPr>
          <w:ilvl w:val="0"/>
          <w:numId w:val="16"/>
        </w:numPr>
        <w:rPr>
          <w:b/>
          <w:lang w:val="en-GB"/>
        </w:rPr>
      </w:pPr>
      <w:hyperlink r:id="rId217" w:history="1">
        <w:r w:rsidR="00E20752" w:rsidRPr="00E20752">
          <w:rPr>
            <w:bCs/>
            <w:color w:val="0000FF"/>
            <w:u w:val="single"/>
          </w:rPr>
          <w:t>9th Green Standards Week</w:t>
        </w:r>
      </w:hyperlink>
      <w:r w:rsidR="00E20752">
        <w:t xml:space="preserve">, </w:t>
      </w:r>
      <w:r w:rsidR="00E20752" w:rsidRPr="00E20752">
        <w:t>Valencia, Spain, 1-4 October 2019</w:t>
      </w:r>
      <w:r w:rsidR="00E20752">
        <w:t>.</w:t>
      </w:r>
    </w:p>
    <w:p w14:paraId="63A5FE5B" w14:textId="7DDA3B86" w:rsidR="00797393" w:rsidRPr="0059105D" w:rsidRDefault="00F60C99" w:rsidP="009363BD">
      <w:pPr>
        <w:numPr>
          <w:ilvl w:val="0"/>
          <w:numId w:val="16"/>
        </w:numPr>
        <w:rPr>
          <w:lang w:val="en-GB"/>
        </w:rPr>
      </w:pPr>
      <w:hyperlink r:id="rId218" w:history="1">
        <w:r w:rsidR="007328C1" w:rsidRPr="007328C1">
          <w:rPr>
            <w:bCs/>
            <w:color w:val="0000FF"/>
            <w:u w:val="single"/>
          </w:rPr>
          <w:t xml:space="preserve">ITU Workshop on </w:t>
        </w:r>
        <w:r w:rsidR="007F0299">
          <w:rPr>
            <w:bCs/>
            <w:color w:val="0000FF"/>
            <w:u w:val="single"/>
          </w:rPr>
          <w:t>“T</w:t>
        </w:r>
        <w:r w:rsidR="007328C1" w:rsidRPr="007328C1">
          <w:rPr>
            <w:bCs/>
            <w:color w:val="0000FF"/>
            <w:u w:val="single"/>
          </w:rPr>
          <w:t>he Future of Vehicular Multimedia</w:t>
        </w:r>
      </w:hyperlink>
      <w:r w:rsidR="007F0299">
        <w:rPr>
          <w:bCs/>
          <w:color w:val="0000FF"/>
          <w:u w:val="single"/>
        </w:rPr>
        <w:t>”</w:t>
      </w:r>
      <w:r w:rsidR="007328C1" w:rsidRPr="007328C1">
        <w:t>, Budapest, Hungary, 11 September 2019.</w:t>
      </w:r>
    </w:p>
    <w:p w14:paraId="2CEC4B9A" w14:textId="170D6484" w:rsidR="0059105D" w:rsidRPr="007328C1" w:rsidRDefault="00F60C99" w:rsidP="009363BD">
      <w:pPr>
        <w:numPr>
          <w:ilvl w:val="0"/>
          <w:numId w:val="16"/>
        </w:numPr>
        <w:rPr>
          <w:lang w:val="en-GB"/>
        </w:rPr>
      </w:pPr>
      <w:hyperlink r:id="rId219" w:history="1">
        <w:r w:rsidR="0059105D" w:rsidRPr="0059105D">
          <w:rPr>
            <w:bCs/>
            <w:color w:val="0000FF"/>
            <w:u w:val="single"/>
          </w:rPr>
          <w:t>ITU Workshop on "The Turing Test for Autonomous Driving - A Global Performance Standard for AI on our Roads"</w:t>
        </w:r>
      </w:hyperlink>
      <w:r w:rsidR="0059105D">
        <w:t xml:space="preserve">, </w:t>
      </w:r>
      <w:r w:rsidR="0059105D" w:rsidRPr="0059105D">
        <w:t>Budapest, Hungary, 10 September 2019</w:t>
      </w:r>
      <w:r w:rsidR="0059105D">
        <w:t>.</w:t>
      </w:r>
    </w:p>
    <w:p w14:paraId="5A2CE69C" w14:textId="77777777" w:rsidR="006944F8" w:rsidRPr="00F57FAD" w:rsidRDefault="006944F8" w:rsidP="006944F8">
      <w:pPr>
        <w:rPr>
          <w:b/>
          <w:bCs/>
          <w:szCs w:val="24"/>
          <w:lang w:val="en-GB"/>
        </w:rPr>
      </w:pPr>
      <w:r w:rsidRPr="00F57FAD">
        <w:rPr>
          <w:b/>
          <w:bCs/>
          <w:szCs w:val="24"/>
          <w:lang w:val="en-GB"/>
        </w:rPr>
        <w:t>Africa:</w:t>
      </w:r>
    </w:p>
    <w:p w14:paraId="17D864A3" w14:textId="51A7EBB5" w:rsidR="007328C1" w:rsidRPr="007328C1" w:rsidRDefault="00F60C99" w:rsidP="009363BD">
      <w:pPr>
        <w:numPr>
          <w:ilvl w:val="0"/>
          <w:numId w:val="17"/>
        </w:numPr>
        <w:rPr>
          <w:lang w:val="en-GB"/>
        </w:rPr>
      </w:pPr>
      <w:hyperlink r:id="rId220" w:history="1">
        <w:r w:rsidR="007328C1" w:rsidRPr="007328C1">
          <w:rPr>
            <w:bCs/>
            <w:color w:val="0000FF"/>
            <w:u w:val="single"/>
          </w:rPr>
          <w:t xml:space="preserve">ITU-T </w:t>
        </w:r>
        <w:r w:rsidR="00F1765F">
          <w:rPr>
            <w:bCs/>
            <w:color w:val="0000FF"/>
            <w:u w:val="single"/>
          </w:rPr>
          <w:t>SG</w:t>
        </w:r>
        <w:r w:rsidR="007328C1" w:rsidRPr="007328C1">
          <w:rPr>
            <w:bCs/>
            <w:color w:val="0000FF"/>
            <w:u w:val="single"/>
          </w:rPr>
          <w:t xml:space="preserve"> 11 Regional Workshop for Africa on “Counterfeit ICT Devices, Conformance and Interoperability Testing Challenges in Africa”</w:t>
        </w:r>
      </w:hyperlink>
      <w:r w:rsidR="007328C1" w:rsidRPr="007328C1">
        <w:t xml:space="preserve">, </w:t>
      </w:r>
      <w:r w:rsidR="007328C1">
        <w:t xml:space="preserve">Tunis, Tunisia, </w:t>
      </w:r>
      <w:r w:rsidR="007328C1" w:rsidRPr="007328C1">
        <w:t>30 September 2019.</w:t>
      </w:r>
    </w:p>
    <w:p w14:paraId="00538072" w14:textId="31D73A6B" w:rsidR="00F6763A" w:rsidRPr="00932445" w:rsidRDefault="00F60C99" w:rsidP="009363BD">
      <w:pPr>
        <w:numPr>
          <w:ilvl w:val="0"/>
          <w:numId w:val="17"/>
        </w:numPr>
        <w:rPr>
          <w:lang w:val="en-GB"/>
        </w:rPr>
      </w:pPr>
      <w:hyperlink r:id="rId221" w:history="1">
        <w:r w:rsidR="00F6763A" w:rsidRPr="00F6763A">
          <w:rPr>
            <w:rStyle w:val="Hyperlink"/>
            <w:lang w:val="en-GB"/>
          </w:rPr>
          <w:t>Session on “Smart Sustainable Cities and Communities”</w:t>
        </w:r>
      </w:hyperlink>
      <w:r w:rsidR="00F6763A">
        <w:rPr>
          <w:lang w:val="en-GB"/>
        </w:rPr>
        <w:t>, Addis Ababa, Ethiopia, 5 September 2019</w:t>
      </w:r>
      <w:r w:rsidR="00932445">
        <w:rPr>
          <w:lang w:val="en-GB"/>
        </w:rPr>
        <w:t>.</w:t>
      </w:r>
    </w:p>
    <w:p w14:paraId="4FDA4B05" w14:textId="3D0FDA9C" w:rsidR="007328C1" w:rsidRPr="00BE755B" w:rsidRDefault="00F60C99" w:rsidP="009363BD">
      <w:pPr>
        <w:numPr>
          <w:ilvl w:val="0"/>
          <w:numId w:val="17"/>
        </w:numPr>
        <w:rPr>
          <w:lang w:val="en-GB"/>
        </w:rPr>
      </w:pPr>
      <w:hyperlink r:id="rId222" w:history="1">
        <w:r w:rsidR="007F0299" w:rsidRPr="007F0299">
          <w:rPr>
            <w:rStyle w:val="Hyperlink"/>
          </w:rPr>
          <w:t>ITU/WHO Workshop on “AI for Health”</w:t>
        </w:r>
      </w:hyperlink>
      <w:r w:rsidR="007F0299">
        <w:t xml:space="preserve">, </w:t>
      </w:r>
      <w:r w:rsidR="00BE755B" w:rsidRPr="00BE755B">
        <w:t>Zanzibar, Tanzania, 2 September 2019.</w:t>
      </w:r>
    </w:p>
    <w:p w14:paraId="594400FC" w14:textId="6A00BAC5" w:rsidR="006944F8" w:rsidRPr="00F57FAD" w:rsidRDefault="006944F8" w:rsidP="006944F8">
      <w:pPr>
        <w:rPr>
          <w:b/>
          <w:bCs/>
          <w:szCs w:val="24"/>
          <w:lang w:val="en-GB"/>
        </w:rPr>
      </w:pPr>
      <w:r w:rsidRPr="00F57FAD">
        <w:rPr>
          <w:b/>
          <w:bCs/>
          <w:szCs w:val="24"/>
          <w:lang w:val="en-GB"/>
        </w:rPr>
        <w:t xml:space="preserve">Asia and </w:t>
      </w:r>
      <w:r w:rsidR="00403A2F" w:rsidRPr="00F57FAD">
        <w:rPr>
          <w:b/>
          <w:bCs/>
          <w:szCs w:val="24"/>
          <w:lang w:val="en-GB"/>
        </w:rPr>
        <w:t xml:space="preserve">the </w:t>
      </w:r>
      <w:r w:rsidRPr="00F57FAD">
        <w:rPr>
          <w:b/>
          <w:bCs/>
          <w:szCs w:val="24"/>
          <w:lang w:val="en-GB"/>
        </w:rPr>
        <w:t>Pacific:</w:t>
      </w:r>
    </w:p>
    <w:p w14:paraId="6C805AE0" w14:textId="53D59B4B" w:rsidR="00BB1724" w:rsidRPr="00BB1724" w:rsidRDefault="00F60C99" w:rsidP="009363BD">
      <w:pPr>
        <w:numPr>
          <w:ilvl w:val="0"/>
          <w:numId w:val="18"/>
        </w:numPr>
        <w:rPr>
          <w:lang w:val="en-GB"/>
        </w:rPr>
      </w:pPr>
      <w:hyperlink r:id="rId223" w:history="1">
        <w:r w:rsidR="00BB1724" w:rsidRPr="00BB1724">
          <w:rPr>
            <w:bCs/>
            <w:color w:val="0000FF"/>
            <w:u w:val="single"/>
          </w:rPr>
          <w:t xml:space="preserve">ITU/WHO Workshop on </w:t>
        </w:r>
        <w:r w:rsidR="007F0299">
          <w:rPr>
            <w:bCs/>
            <w:color w:val="0000FF"/>
            <w:u w:val="single"/>
          </w:rPr>
          <w:t>“</w:t>
        </w:r>
        <w:r w:rsidR="00BB1724" w:rsidRPr="00BB1724">
          <w:rPr>
            <w:bCs/>
            <w:color w:val="0000FF"/>
            <w:u w:val="single"/>
          </w:rPr>
          <w:t>A</w:t>
        </w:r>
        <w:r w:rsidR="007F0299">
          <w:rPr>
            <w:bCs/>
            <w:color w:val="0000FF"/>
            <w:u w:val="single"/>
          </w:rPr>
          <w:t>I</w:t>
        </w:r>
        <w:r w:rsidR="00BB1724" w:rsidRPr="00BB1724">
          <w:rPr>
            <w:bCs/>
            <w:color w:val="0000FF"/>
            <w:u w:val="single"/>
          </w:rPr>
          <w:t xml:space="preserve"> for Health</w:t>
        </w:r>
      </w:hyperlink>
      <w:r w:rsidR="007F0299">
        <w:rPr>
          <w:bCs/>
          <w:color w:val="0000FF"/>
          <w:u w:val="single"/>
        </w:rPr>
        <w:t>”</w:t>
      </w:r>
      <w:r w:rsidR="00BB1724" w:rsidRPr="00BB1724">
        <w:t>, New Delhi, India, 12 November 2019.</w:t>
      </w:r>
    </w:p>
    <w:p w14:paraId="179C6780" w14:textId="44B367F5" w:rsidR="00BB1724" w:rsidRPr="00E20752" w:rsidRDefault="00F60C99" w:rsidP="009363BD">
      <w:pPr>
        <w:numPr>
          <w:ilvl w:val="0"/>
          <w:numId w:val="18"/>
        </w:numPr>
        <w:rPr>
          <w:lang w:val="en-GB"/>
        </w:rPr>
      </w:pPr>
      <w:hyperlink r:id="rId224" w:history="1">
        <w:r w:rsidR="00E20752" w:rsidRPr="00E20752">
          <w:rPr>
            <w:bCs/>
            <w:color w:val="0000FF"/>
            <w:u w:val="single"/>
          </w:rPr>
          <w:t>ITU Regional Standardization Forum on “Addressing Competition Issues in ICT Economy”</w:t>
        </w:r>
      </w:hyperlink>
      <w:r w:rsidR="00E20752" w:rsidRPr="00E20752">
        <w:t>, Colombo, Sri Lanka, 1 October 2019</w:t>
      </w:r>
      <w:r w:rsidR="00E20752">
        <w:t>.</w:t>
      </w:r>
    </w:p>
    <w:p w14:paraId="62731F58" w14:textId="54053F19" w:rsidR="009F6192" w:rsidRPr="00423093" w:rsidRDefault="00F60C99" w:rsidP="009363BD">
      <w:pPr>
        <w:numPr>
          <w:ilvl w:val="0"/>
          <w:numId w:val="18"/>
        </w:numPr>
        <w:rPr>
          <w:lang w:val="en-GB"/>
        </w:rPr>
      </w:pPr>
      <w:hyperlink r:id="rId225" w:history="1">
        <w:r w:rsidR="000D453E" w:rsidRPr="000D453E">
          <w:rPr>
            <w:bCs/>
            <w:color w:val="0000FF"/>
            <w:u w:val="single"/>
          </w:rPr>
          <w:t xml:space="preserve">ITU Workshop on </w:t>
        </w:r>
        <w:r w:rsidR="007F0299">
          <w:rPr>
            <w:bCs/>
            <w:color w:val="0000FF"/>
            <w:u w:val="single"/>
          </w:rPr>
          <w:t>“</w:t>
        </w:r>
        <w:r w:rsidR="000D453E" w:rsidRPr="000D453E">
          <w:rPr>
            <w:bCs/>
            <w:color w:val="0000FF"/>
            <w:u w:val="single"/>
          </w:rPr>
          <w:t>The Future of Cable TV for Asia &amp; Pacific</w:t>
        </w:r>
        <w:r w:rsidR="007F0299">
          <w:rPr>
            <w:bCs/>
            <w:color w:val="0000FF"/>
            <w:u w:val="single"/>
          </w:rPr>
          <w:t>”</w:t>
        </w:r>
        <w:r w:rsidR="007F0299" w:rsidRPr="000D453E" w:rsidDel="007F0299">
          <w:rPr>
            <w:bCs/>
            <w:color w:val="0000FF"/>
            <w:u w:val="single"/>
          </w:rPr>
          <w:t xml:space="preserve"> </w:t>
        </w:r>
      </w:hyperlink>
      <w:r w:rsidR="007F0299">
        <w:t xml:space="preserve">, </w:t>
      </w:r>
      <w:r w:rsidR="000D453E" w:rsidRPr="000D453E">
        <w:t>Guangzhou, China, 3 September 2019.</w:t>
      </w:r>
    </w:p>
    <w:p w14:paraId="18944C85" w14:textId="77777777" w:rsidR="006944F8" w:rsidRPr="00F57FAD" w:rsidRDefault="006944F8" w:rsidP="006944F8">
      <w:pPr>
        <w:rPr>
          <w:szCs w:val="24"/>
          <w:lang w:val="en-GB"/>
        </w:rPr>
      </w:pPr>
      <w:r w:rsidRPr="00F57FAD">
        <w:rPr>
          <w:b/>
          <w:bCs/>
          <w:szCs w:val="24"/>
          <w:lang w:val="en-GB"/>
        </w:rPr>
        <w:t>Arab States</w:t>
      </w:r>
      <w:r w:rsidRPr="00F57FAD">
        <w:rPr>
          <w:szCs w:val="24"/>
          <w:lang w:val="en-GB"/>
        </w:rPr>
        <w:t>:</w:t>
      </w:r>
    </w:p>
    <w:p w14:paraId="574005F5" w14:textId="415A2808" w:rsidR="006944F8" w:rsidRPr="00BE755B" w:rsidRDefault="00F60C99" w:rsidP="009363BD">
      <w:pPr>
        <w:numPr>
          <w:ilvl w:val="0"/>
          <w:numId w:val="19"/>
        </w:numPr>
        <w:rPr>
          <w:lang w:val="en-GB"/>
        </w:rPr>
      </w:pPr>
      <w:hyperlink r:id="rId226" w:history="1">
        <w:r w:rsidR="00A412C0" w:rsidRPr="009E5AEF">
          <w:rPr>
            <w:rStyle w:val="Hyperlink"/>
          </w:rPr>
          <w:t>Inter</w:t>
        </w:r>
        <w:r w:rsidR="007F0299">
          <w:rPr>
            <w:rStyle w:val="Hyperlink"/>
          </w:rPr>
          <w:t>-R</w:t>
        </w:r>
        <w:r w:rsidR="00A412C0" w:rsidRPr="009E5AEF">
          <w:rPr>
            <w:rStyle w:val="Hyperlink"/>
          </w:rPr>
          <w:t>egional Standardization Forum on "Operational issues on numbering, emergency service and OTTs"</w:t>
        </w:r>
      </w:hyperlink>
      <w:r w:rsidR="00A412C0" w:rsidRPr="009E5AEF">
        <w:t xml:space="preserve">, </w:t>
      </w:r>
      <w:r w:rsidR="00A412C0" w:rsidRPr="00A412C0">
        <w:t xml:space="preserve">Dubai, </w:t>
      </w:r>
      <w:r w:rsidR="007F0299">
        <w:t>UAE</w:t>
      </w:r>
      <w:r w:rsidR="00A412C0" w:rsidRPr="00A412C0">
        <w:t>, 22 October 2019.</w:t>
      </w:r>
    </w:p>
    <w:p w14:paraId="4E316A4F" w14:textId="10E5A4AF" w:rsidR="006944F8" w:rsidRPr="00F57FAD" w:rsidRDefault="006944F8" w:rsidP="005879E4">
      <w:pPr>
        <w:keepNext/>
        <w:keepLines/>
        <w:rPr>
          <w:b/>
          <w:bCs/>
          <w:szCs w:val="24"/>
          <w:lang w:val="en-GB"/>
        </w:rPr>
      </w:pPr>
      <w:r w:rsidRPr="00F57FAD">
        <w:rPr>
          <w:b/>
          <w:bCs/>
          <w:szCs w:val="24"/>
          <w:lang w:val="en-GB"/>
        </w:rPr>
        <w:t>Americas:</w:t>
      </w:r>
    </w:p>
    <w:p w14:paraId="32C0FC6C" w14:textId="7F32BD03" w:rsidR="006944F8" w:rsidRPr="00932445" w:rsidRDefault="00F60C99" w:rsidP="009363BD">
      <w:pPr>
        <w:numPr>
          <w:ilvl w:val="0"/>
          <w:numId w:val="20"/>
        </w:numPr>
        <w:rPr>
          <w:rStyle w:val="ms-rtethemeforecolor-2-0"/>
          <w:lang w:val="en-GB"/>
        </w:rPr>
      </w:pPr>
      <w:hyperlink r:id="rId227" w:history="1">
        <w:r w:rsidR="00F84A7B" w:rsidRPr="00F84A7B">
          <w:rPr>
            <w:bCs/>
            <w:color w:val="0000FF"/>
            <w:u w:val="single"/>
          </w:rPr>
          <w:t>Kaleidoscope 2019</w:t>
        </w:r>
        <w:r w:rsidR="007F0299">
          <w:rPr>
            <w:bCs/>
            <w:color w:val="0000FF"/>
            <w:u w:val="single"/>
          </w:rPr>
          <w:t>: “</w:t>
        </w:r>
        <w:r w:rsidR="00F84A7B" w:rsidRPr="00F84A7B">
          <w:rPr>
            <w:bCs/>
            <w:color w:val="0000FF"/>
            <w:u w:val="single"/>
          </w:rPr>
          <w:t>ICT for Health: Networks, Standards and Innovation</w:t>
        </w:r>
      </w:hyperlink>
      <w:r w:rsidR="007F0299">
        <w:rPr>
          <w:bCs/>
          <w:color w:val="0000FF"/>
          <w:u w:val="single"/>
        </w:rPr>
        <w:t>”</w:t>
      </w:r>
      <w:r w:rsidR="00F84A7B" w:rsidRPr="00F84A7B">
        <w:t xml:space="preserve">, </w:t>
      </w:r>
      <w:r w:rsidR="00F84A7B">
        <w:rPr>
          <w:rStyle w:val="ms-rtethemeforecolor-2-0"/>
        </w:rPr>
        <w:t>Atlanta,</w:t>
      </w:r>
      <w:r w:rsidR="007F0299">
        <w:rPr>
          <w:rStyle w:val="ms-rtethemeforecolor-2-0"/>
        </w:rPr>
        <w:t xml:space="preserve"> U.S., 4-6 December </w:t>
      </w:r>
      <w:proofErr w:type="gramStart"/>
      <w:r w:rsidR="007F0299">
        <w:rPr>
          <w:rStyle w:val="ms-rtethemeforecolor-2-0"/>
        </w:rPr>
        <w:t>2019,.</w:t>
      </w:r>
      <w:proofErr w:type="gramEnd"/>
    </w:p>
    <w:p w14:paraId="32FC00B9" w14:textId="1F21538B" w:rsidR="00870112" w:rsidRPr="00733A4B" w:rsidRDefault="00F6763A" w:rsidP="009363BD">
      <w:pPr>
        <w:numPr>
          <w:ilvl w:val="0"/>
          <w:numId w:val="20"/>
        </w:numPr>
        <w:rPr>
          <w:b/>
          <w:bCs/>
          <w:szCs w:val="24"/>
          <w:lang w:val="en-GB"/>
        </w:rPr>
      </w:pPr>
      <w:r>
        <w:rPr>
          <w:rStyle w:val="ms-rtethemeforecolor-2-0"/>
        </w:rPr>
        <w:t>World Cities Day</w:t>
      </w:r>
      <w:r w:rsidR="002D1649">
        <w:rPr>
          <w:rStyle w:val="ms-rtethemeforecolor-2-0"/>
        </w:rPr>
        <w:t xml:space="preserve">: </w:t>
      </w:r>
      <w:r w:rsidRPr="00F6763A">
        <w:rPr>
          <w:rStyle w:val="ms-rtethemeforecolor-2-0"/>
        </w:rPr>
        <w:t>Session on "Smart and sustainable cities: Changing the world: innovations and better life for future generations"</w:t>
      </w:r>
      <w:r>
        <w:rPr>
          <w:rStyle w:val="ms-rtethemeforecolor-2-0"/>
        </w:rPr>
        <w:t xml:space="preserve">, </w:t>
      </w:r>
      <w:r w:rsidR="002D1649">
        <w:rPr>
          <w:rStyle w:val="ms-rtethemeforecolor-2-0"/>
        </w:rPr>
        <w:t xml:space="preserve">UN Headquarters, </w:t>
      </w:r>
      <w:r w:rsidRPr="00F6763A">
        <w:rPr>
          <w:rStyle w:val="ms-rtethemeforecolor-2-0"/>
        </w:rPr>
        <w:t xml:space="preserve">New York, </w:t>
      </w:r>
      <w:r w:rsidR="002D1649">
        <w:rPr>
          <w:rStyle w:val="ms-rtethemeforecolor-2-0"/>
        </w:rPr>
        <w:t>U.S., 31 October 2019</w:t>
      </w:r>
      <w:r w:rsidR="00932445">
        <w:rPr>
          <w:rStyle w:val="ms-rtethemeforecolor-2-0"/>
        </w:rPr>
        <w:t>.</w:t>
      </w:r>
    </w:p>
    <w:p w14:paraId="3933C962" w14:textId="7B89BD50" w:rsidR="006944F8" w:rsidRPr="00F57FAD" w:rsidRDefault="002F0E38" w:rsidP="006944F8">
      <w:pPr>
        <w:pStyle w:val="Heading1"/>
      </w:pPr>
      <w:bookmarkStart w:id="229" w:name="_Toc480527880"/>
      <w:bookmarkStart w:id="230" w:name="_Toc31967192"/>
      <w:bookmarkStart w:id="231" w:name="_Toc438554000"/>
      <w:bookmarkStart w:id="232" w:name="_Toc453929122"/>
      <w:bookmarkStart w:id="233" w:name="_Toc453932993"/>
      <w:bookmarkStart w:id="234" w:name="_Toc454295899"/>
      <w:bookmarkStart w:id="235" w:name="_Toc462664286"/>
      <w:r w:rsidRPr="00F57FAD">
        <w:t>14</w:t>
      </w:r>
      <w:r w:rsidR="006944F8" w:rsidRPr="00F57FAD">
        <w:tab/>
        <w:t>Implementation of WTSA Resolutions</w:t>
      </w:r>
      <w:bookmarkEnd w:id="229"/>
      <w:r w:rsidR="00403A2F" w:rsidRPr="00F57FAD">
        <w:t xml:space="preserve"> and A-series ITU-T Recommendations</w:t>
      </w:r>
      <w:bookmarkEnd w:id="230"/>
    </w:p>
    <w:p w14:paraId="28B7B258" w14:textId="3EFA6FAF" w:rsidR="00403A2F" w:rsidRPr="003F3019" w:rsidRDefault="006944F8" w:rsidP="002013A1">
      <w:pPr>
        <w:rPr>
          <w:lang w:val="en-GB"/>
        </w:rPr>
      </w:pPr>
      <w:r w:rsidRPr="003F3019">
        <w:rPr>
          <w:lang w:val="en-GB"/>
        </w:rPr>
        <w:t xml:space="preserve">WTSA Resolution 22 instructs the TSB Director to </w:t>
      </w:r>
      <w:r w:rsidR="00403A2F" w:rsidRPr="003F3019">
        <w:rPr>
          <w:lang w:val="en-GB"/>
        </w:rPr>
        <w:t xml:space="preserve">report to </w:t>
      </w:r>
      <w:r w:rsidRPr="003F3019">
        <w:rPr>
          <w:lang w:val="en-GB"/>
        </w:rPr>
        <w:t xml:space="preserve">TSAG on the implementation of WTSA resolutions and actions to be undertaken pursuant to their operative paragraphs. </w:t>
      </w:r>
      <w:r w:rsidR="00403A2F" w:rsidRPr="003F3019">
        <w:rPr>
          <w:lang w:val="en-GB"/>
        </w:rPr>
        <w:t>WTSA Resolution 22 also instructs the TSB Director to report to TSAG on the implementation of the A-series ITU-T Recommendations.</w:t>
      </w:r>
    </w:p>
    <w:p w14:paraId="5C4CFAED" w14:textId="0856482A" w:rsidR="00403A2F" w:rsidRPr="003F3019" w:rsidRDefault="00403A2F" w:rsidP="002013A1">
      <w:pPr>
        <w:rPr>
          <w:lang w:val="en-GB"/>
        </w:rPr>
      </w:pPr>
      <w:r w:rsidRPr="003F3019">
        <w:rPr>
          <w:lang w:val="en-GB"/>
        </w:rPr>
        <w:t xml:space="preserve">WTSA Resolutions are available at </w:t>
      </w:r>
      <w:hyperlink r:id="rId228" w:history="1">
        <w:r w:rsidRPr="003F3019">
          <w:rPr>
            <w:rStyle w:val="Hyperlink"/>
            <w:rFonts w:asciiTheme="majorBidi" w:hAnsiTheme="majorBidi" w:cstheme="majorBidi"/>
            <w:lang w:val="en-GB"/>
          </w:rPr>
          <w:t>http://www.itu.int/pub/T-RES</w:t>
        </w:r>
      </w:hyperlink>
      <w:r w:rsidR="00A14610" w:rsidRPr="003F3019">
        <w:rPr>
          <w:lang w:val="en-GB"/>
        </w:rPr>
        <w:t>.</w:t>
      </w:r>
    </w:p>
    <w:p w14:paraId="12C17BA3" w14:textId="60B7DBF1" w:rsidR="006944F8" w:rsidRDefault="006944F8" w:rsidP="002013A1">
      <w:pPr>
        <w:rPr>
          <w:lang w:val="en-GB"/>
        </w:rPr>
      </w:pPr>
      <w:r w:rsidRPr="00A97090">
        <w:rPr>
          <w:lang w:val="en-GB"/>
        </w:rPr>
        <w:lastRenderedPageBreak/>
        <w:t xml:space="preserve">The </w:t>
      </w:r>
      <w:r w:rsidR="00A97090">
        <w:rPr>
          <w:lang w:val="en-GB"/>
        </w:rPr>
        <w:t xml:space="preserve">updated </w:t>
      </w:r>
      <w:r w:rsidRPr="00A97090">
        <w:rPr>
          <w:lang w:val="en-GB"/>
        </w:rPr>
        <w:t xml:space="preserve">WTSA-16 Action </w:t>
      </w:r>
      <w:r w:rsidRPr="00A97090">
        <w:rPr>
          <w:szCs w:val="24"/>
          <w:lang w:val="en-GB"/>
        </w:rPr>
        <w:t>Plan (</w:t>
      </w:r>
      <w:hyperlink r:id="rId229" w:history="1">
        <w:r w:rsidR="00A97090" w:rsidRPr="00A97090">
          <w:rPr>
            <w:rStyle w:val="Hyperlink"/>
            <w:szCs w:val="24"/>
          </w:rPr>
          <w:t>TSAG TD657</w:t>
        </w:r>
      </w:hyperlink>
      <w:r w:rsidRPr="00A97090">
        <w:rPr>
          <w:szCs w:val="24"/>
          <w:lang w:val="en-GB"/>
        </w:rPr>
        <w:t>) assigns</w:t>
      </w:r>
      <w:r w:rsidRPr="00A97090">
        <w:rPr>
          <w:lang w:val="en-GB"/>
        </w:rPr>
        <w:t xml:space="preserve"> action items to the operational provisions in the Resolutions and also reports information on the progress of the implementation of those action items.</w:t>
      </w:r>
    </w:p>
    <w:p w14:paraId="48CDE570" w14:textId="697C50E2" w:rsidR="00403A2F" w:rsidRPr="00543C15" w:rsidRDefault="00D22C05" w:rsidP="002013A1">
      <w:pPr>
        <w:rPr>
          <w:lang w:val="en-GB"/>
        </w:rPr>
      </w:pPr>
      <w:r>
        <w:rPr>
          <w:lang w:val="en-GB"/>
        </w:rPr>
        <w:t xml:space="preserve">At the September 2019 TSAG meeting, TSAG approved revisions of ITU-T A.1, A.5, A.13 and A.25. </w:t>
      </w:r>
      <w:r w:rsidR="00403A2F" w:rsidRPr="00543C15">
        <w:rPr>
          <w:lang w:val="en-GB"/>
        </w:rPr>
        <w:t>A-series ITU-T Recommendations are available at</w:t>
      </w:r>
      <w:r w:rsidR="003D479E" w:rsidRPr="00543C15">
        <w:rPr>
          <w:lang w:val="en-GB"/>
        </w:rPr>
        <w:t xml:space="preserve"> </w:t>
      </w:r>
      <w:hyperlink r:id="rId230" w:history="1">
        <w:r w:rsidR="003D479E" w:rsidRPr="00543C15">
          <w:rPr>
            <w:rStyle w:val="Hyperlink"/>
            <w:lang w:val="en-GB"/>
          </w:rPr>
          <w:t>https://itu.int/rec/T-REC-A</w:t>
        </w:r>
      </w:hyperlink>
      <w:r w:rsidR="00403A2F" w:rsidRPr="00543C15">
        <w:rPr>
          <w:lang w:val="en-GB"/>
        </w:rPr>
        <w:t>.</w:t>
      </w:r>
    </w:p>
    <w:p w14:paraId="523BFE0A" w14:textId="0681490E" w:rsidR="006944F8" w:rsidRPr="00F57FAD" w:rsidRDefault="002F0E38" w:rsidP="006944F8">
      <w:pPr>
        <w:pStyle w:val="Heading1"/>
      </w:pPr>
      <w:bookmarkStart w:id="236" w:name="_Toc480527881"/>
      <w:bookmarkStart w:id="237" w:name="_Toc31967193"/>
      <w:r w:rsidRPr="00F57FAD">
        <w:t>15</w:t>
      </w:r>
      <w:r w:rsidR="006944F8" w:rsidRPr="00F57FAD">
        <w:tab/>
        <w:t>ITU-T</w:t>
      </w:r>
      <w:r w:rsidR="00CA2D85" w:rsidRPr="00F57FAD">
        <w:t>'</w:t>
      </w:r>
      <w:r w:rsidR="006944F8" w:rsidRPr="00F57FAD">
        <w:t>s activities in the implementation of WSIS</w:t>
      </w:r>
      <w:bookmarkEnd w:id="231"/>
      <w:bookmarkEnd w:id="232"/>
      <w:bookmarkEnd w:id="233"/>
      <w:bookmarkEnd w:id="234"/>
      <w:bookmarkEnd w:id="235"/>
      <w:r w:rsidR="006944F8" w:rsidRPr="00F57FAD">
        <w:t xml:space="preserve"> and the Sustainable Development Goals</w:t>
      </w:r>
      <w:bookmarkStart w:id="238" w:name="_Toc261186390"/>
      <w:bookmarkStart w:id="239" w:name="_Toc261186391"/>
      <w:bookmarkEnd w:id="236"/>
      <w:bookmarkEnd w:id="237"/>
    </w:p>
    <w:p w14:paraId="51986A1B" w14:textId="298A97F5" w:rsidR="00403A2F" w:rsidRPr="00B2670B" w:rsidRDefault="00403A2F" w:rsidP="002013A1">
      <w:pPr>
        <w:rPr>
          <w:lang w:val="en-GB"/>
        </w:rPr>
      </w:pPr>
      <w:r w:rsidRPr="00B2670B">
        <w:rPr>
          <w:lang w:val="en-GB"/>
        </w:rPr>
        <w:t>ITU-T</w:t>
      </w:r>
      <w:r w:rsidR="00CA2D85" w:rsidRPr="00B2670B">
        <w:rPr>
          <w:lang w:val="en-GB"/>
        </w:rPr>
        <w:t>'</w:t>
      </w:r>
      <w:r w:rsidRPr="00B2670B">
        <w:rPr>
          <w:lang w:val="en-GB"/>
        </w:rPr>
        <w:t>s work contributes to the implementation of the mandates conferred on ITU by the World Summit on the Information Society (WSIS), in particular to Action Lines C2 (Information and communication infrastructure), C5 (Building confidence and security in the use of ICTs) and C7 (e-Environment).</w:t>
      </w:r>
    </w:p>
    <w:p w14:paraId="1C1FC7F7" w14:textId="77777777" w:rsidR="00403A2F" w:rsidRPr="00B2670B" w:rsidRDefault="00403A2F" w:rsidP="002013A1">
      <w:pPr>
        <w:rPr>
          <w:lang w:val="en-GB"/>
        </w:rPr>
      </w:pPr>
      <w:r w:rsidRPr="00B2670B">
        <w:rPr>
          <w:lang w:val="en-GB"/>
        </w:rPr>
        <w:t>ITU-T has undertaken a mapping of its activities to the UN Sustainable Development Goals (SDGs), an action highlighting the ITU-T activities most relevant to the SDGs and proposing actions for ITU-T to expand its contribution to the pursuit of the SDGs.</w:t>
      </w:r>
    </w:p>
    <w:p w14:paraId="27D11BAF" w14:textId="650390B2" w:rsidR="00403A2F" w:rsidRPr="00B2670B" w:rsidRDefault="00403A2F" w:rsidP="002013A1">
      <w:pPr>
        <w:rPr>
          <w:lang w:val="en-GB"/>
        </w:rPr>
      </w:pPr>
      <w:r w:rsidRPr="00B2670B">
        <w:rPr>
          <w:lang w:val="en-GB"/>
        </w:rPr>
        <w:t xml:space="preserve">This mapping of ITU-T work to the SDGs will support the WSIS process in its promotion of efforts to leverage ICTs for sustainable development (see the </w:t>
      </w:r>
      <w:hyperlink r:id="rId231" w:history="1">
        <w:r w:rsidRPr="00B2670B">
          <w:rPr>
            <w:rStyle w:val="Hyperlink"/>
            <w:rFonts w:asciiTheme="majorBidi" w:hAnsiTheme="majorBidi" w:cstheme="majorBidi"/>
            <w:lang w:val="en-GB"/>
          </w:rPr>
          <w:t>WSIS-SDG Matrix</w:t>
        </w:r>
      </w:hyperlink>
      <w:r w:rsidRPr="00B2670B">
        <w:rPr>
          <w:lang w:val="en-GB"/>
        </w:rPr>
        <w:t xml:space="preserve"> linking WSIS Action Lines with the SDGs), highlighting areas where these efforts will receive support from the international standards developed by ITU-T.</w:t>
      </w:r>
    </w:p>
    <w:p w14:paraId="0F6EFEDC" w14:textId="528F7049" w:rsidR="007B5B96" w:rsidRPr="007B5B96" w:rsidRDefault="007B5B96" w:rsidP="002013A1">
      <w:pPr>
        <w:rPr>
          <w:lang w:val="en-GB"/>
        </w:rPr>
      </w:pPr>
      <w:r w:rsidRPr="007B5B96">
        <w:rPr>
          <w:lang w:val="en-GB"/>
        </w:rPr>
        <w:t>TSB continue</w:t>
      </w:r>
      <w:r w:rsidR="00733A4B">
        <w:rPr>
          <w:lang w:val="en-GB"/>
        </w:rPr>
        <w:t>s</w:t>
      </w:r>
      <w:r w:rsidRPr="007B5B96">
        <w:rPr>
          <w:lang w:val="en-GB"/>
        </w:rPr>
        <w:t xml:space="preserve"> to map ITU-T objectives</w:t>
      </w:r>
      <w:r w:rsidR="00733A4B">
        <w:rPr>
          <w:lang w:val="en-GB"/>
        </w:rPr>
        <w:t xml:space="preserve">, outputs </w:t>
      </w:r>
      <w:r w:rsidRPr="007B5B96">
        <w:rPr>
          <w:lang w:val="en-GB"/>
        </w:rPr>
        <w:t>and results to the SDG goals and targets and the WSIS Action Lines.</w:t>
      </w:r>
    </w:p>
    <w:p w14:paraId="4B9A346D" w14:textId="77777777" w:rsidR="006944F8" w:rsidRPr="00656355" w:rsidRDefault="006944F8" w:rsidP="006944F8">
      <w:pPr>
        <w:pStyle w:val="Heading1"/>
        <w:pageBreakBefore/>
        <w:jc w:val="center"/>
      </w:pPr>
      <w:bookmarkStart w:id="240" w:name="_Toc480527885"/>
      <w:bookmarkStart w:id="241" w:name="_Toc31967194"/>
      <w:bookmarkEnd w:id="238"/>
      <w:r w:rsidRPr="00656355">
        <w:lastRenderedPageBreak/>
        <w:t>Appendix I – List of approved Recommendations and other approved texts</w:t>
      </w:r>
      <w:bookmarkEnd w:id="240"/>
      <w:bookmarkEnd w:id="241"/>
    </w:p>
    <w:p w14:paraId="75DA245E" w14:textId="4FFC1A2C" w:rsidR="006944F8" w:rsidRPr="00656355" w:rsidRDefault="001C37A8" w:rsidP="001C37A8">
      <w:pPr>
        <w:pStyle w:val="Note"/>
        <w:rPr>
          <w:lang w:val="en-GB"/>
        </w:rPr>
      </w:pPr>
      <w:r w:rsidRPr="00656355">
        <w:rPr>
          <w:lang w:val="en-GB"/>
        </w:rPr>
        <w:t xml:space="preserve">NOTE </w:t>
      </w:r>
      <w:r w:rsidR="006944F8" w:rsidRPr="00656355">
        <w:rPr>
          <w:lang w:val="en-GB"/>
        </w:rPr>
        <w:t>– Corrigenda are not listed here.</w:t>
      </w:r>
    </w:p>
    <w:p w14:paraId="2D0C8837" w14:textId="77777777" w:rsidR="006B3EA1" w:rsidRPr="006B3EA1" w:rsidRDefault="006B3EA1" w:rsidP="006B3EA1">
      <w:pPr>
        <w:pStyle w:val="Headingb"/>
      </w:pPr>
      <w:bookmarkStart w:id="242" w:name="_Toc480527886"/>
      <w:bookmarkStart w:id="243" w:name="_Toc480527890"/>
      <w:bookmarkEnd w:id="239"/>
      <w:r w:rsidRPr="006B3EA1">
        <w:t>I.</w:t>
      </w:r>
      <w:proofErr w:type="gramStart"/>
      <w:r w:rsidRPr="006B3EA1">
        <w:t>1.1</w:t>
      </w:r>
      <w:r w:rsidRPr="006B3EA1">
        <w:tab/>
      </w:r>
      <w:proofErr w:type="spellStart"/>
      <w:r w:rsidRPr="006B3EA1">
        <w:t>G.fast</w:t>
      </w:r>
      <w:proofErr w:type="spellEnd"/>
      <w:proofErr w:type="gramEnd"/>
      <w:r w:rsidRPr="006B3EA1">
        <w:t xml:space="preserve"> and DSL: Breathing new life into existing copper infrastructure</w:t>
      </w:r>
    </w:p>
    <w:p w14:paraId="54D25EC6" w14:textId="77777777" w:rsidR="006B3EA1" w:rsidRPr="006B3EA1" w:rsidRDefault="00F60C99" w:rsidP="006B3EA1">
      <w:pPr>
        <w:rPr>
          <w:lang w:val="en-GB"/>
        </w:rPr>
      </w:pPr>
      <w:hyperlink r:id="rId232" w:history="1">
        <w:r w:rsidR="006B3EA1" w:rsidRPr="006B3EA1">
          <w:rPr>
            <w:rStyle w:val="Hyperlink"/>
            <w:b/>
            <w:bCs/>
            <w:lang w:val="en-GB"/>
          </w:rPr>
          <w:t>ITU-T G.9701 (2019) Amd.1 "Fast access to subscriber terminals (</w:t>
        </w:r>
        <w:proofErr w:type="spellStart"/>
        <w:proofErr w:type="gramStart"/>
        <w:r w:rsidR="006B3EA1" w:rsidRPr="006B3EA1">
          <w:rPr>
            <w:rStyle w:val="Hyperlink"/>
            <w:b/>
            <w:bCs/>
            <w:lang w:val="en-GB"/>
          </w:rPr>
          <w:t>G.fast</w:t>
        </w:r>
        <w:proofErr w:type="spellEnd"/>
        <w:proofErr w:type="gramEnd"/>
        <w:r w:rsidR="006B3EA1" w:rsidRPr="006B3EA1">
          <w:rPr>
            <w:rStyle w:val="Hyperlink"/>
            <w:b/>
            <w:bCs/>
            <w:lang w:val="en-GB"/>
          </w:rPr>
          <w:t>) – Physical layer specification – Amendment 1"</w:t>
        </w:r>
      </w:hyperlink>
      <w:r w:rsidR="006B3EA1" w:rsidRPr="006B3EA1">
        <w:rPr>
          <w:lang w:val="en-GB"/>
        </w:rPr>
        <w:t xml:space="preserve"> includes enhancements to DTA functionality.</w:t>
      </w:r>
    </w:p>
    <w:p w14:paraId="258AC5FF" w14:textId="77777777" w:rsidR="006B3EA1" w:rsidRPr="006B3EA1" w:rsidRDefault="006B3EA1" w:rsidP="006B3EA1">
      <w:pPr>
        <w:rPr>
          <w:lang w:val="en-GB"/>
        </w:rPr>
      </w:pPr>
      <w:r w:rsidRPr="006B3EA1">
        <w:rPr>
          <w:b/>
          <w:bCs/>
          <w:lang w:val="en-GB"/>
        </w:rPr>
        <w:t>ITU-T G.9710 "Multi-gigabit fast access to subscriber terminals (</w:t>
      </w:r>
      <w:proofErr w:type="spellStart"/>
      <w:r w:rsidRPr="006B3EA1">
        <w:rPr>
          <w:b/>
          <w:bCs/>
          <w:lang w:val="en-GB"/>
        </w:rPr>
        <w:t>MGfast</w:t>
      </w:r>
      <w:proofErr w:type="spellEnd"/>
      <w:r w:rsidRPr="006B3EA1">
        <w:rPr>
          <w:b/>
          <w:bCs/>
          <w:lang w:val="en-GB"/>
        </w:rPr>
        <w:t>) – Power spectral density specification"</w:t>
      </w:r>
      <w:r w:rsidRPr="006B3EA1">
        <w:rPr>
          <w:lang w:val="en-GB"/>
        </w:rPr>
        <w:t xml:space="preserve"> </w:t>
      </w:r>
      <w:r w:rsidRPr="006B3EA1">
        <w:rPr>
          <w:b/>
          <w:lang w:val="en-GB"/>
        </w:rPr>
        <w:t xml:space="preserve">(under approval) </w:t>
      </w:r>
      <w:r w:rsidRPr="006B3EA1">
        <w:rPr>
          <w:lang w:val="en-GB"/>
        </w:rPr>
        <w:t>specifies power spectral density (PSD) mask requirements for Multi-gigabit fast access to subscriber terminals (</w:t>
      </w:r>
      <w:proofErr w:type="spellStart"/>
      <w:r w:rsidRPr="006B3EA1">
        <w:rPr>
          <w:lang w:val="en-GB"/>
        </w:rPr>
        <w:t>MGfast</w:t>
      </w:r>
      <w:proofErr w:type="spellEnd"/>
      <w:r w:rsidRPr="006B3EA1">
        <w:rPr>
          <w:lang w:val="en-GB"/>
        </w:rPr>
        <w:t>), a set of tools to support reduction of the transmit PSD mask, and a methodology for transmit PSD verification. It supports operation over both twisted pair and coaxial cable media.</w:t>
      </w:r>
    </w:p>
    <w:p w14:paraId="57DA88F9" w14:textId="77777777" w:rsidR="006B3EA1" w:rsidRPr="006B3EA1" w:rsidRDefault="006B3EA1" w:rsidP="006B3EA1">
      <w:pPr>
        <w:pStyle w:val="Headingb"/>
      </w:pPr>
      <w:bookmarkStart w:id="244" w:name="_Toc480527892"/>
      <w:r w:rsidRPr="006B3EA1">
        <w:t>I.1.2</w:t>
      </w:r>
      <w:r w:rsidRPr="006B3EA1">
        <w:tab/>
        <w:t>Ultra-high-speed access including NG-PON2</w:t>
      </w:r>
      <w:bookmarkEnd w:id="244"/>
    </w:p>
    <w:p w14:paraId="75C5A147" w14:textId="77777777" w:rsidR="006B3EA1" w:rsidRPr="006B3EA1" w:rsidRDefault="006B3EA1" w:rsidP="006B3EA1">
      <w:pPr>
        <w:pStyle w:val="Headingb"/>
      </w:pPr>
      <w:r w:rsidRPr="006B3EA1">
        <w:t>I.1.3</w:t>
      </w:r>
      <w:r w:rsidRPr="006B3EA1">
        <w:tab/>
        <w:t>Optical fibres</w:t>
      </w:r>
      <w:bookmarkEnd w:id="242"/>
    </w:p>
    <w:p w14:paraId="39C9256B" w14:textId="77777777" w:rsidR="006B3EA1" w:rsidRPr="006B3EA1" w:rsidRDefault="00F60C99" w:rsidP="006B3EA1">
      <w:pPr>
        <w:rPr>
          <w:b/>
          <w:lang w:val="en-GB" w:eastAsia="en-US"/>
        </w:rPr>
      </w:pPr>
      <w:hyperlink r:id="rId233" w:history="1">
        <w:r w:rsidR="006B3EA1" w:rsidRPr="006B3EA1">
          <w:rPr>
            <w:rStyle w:val="Hyperlink"/>
            <w:b/>
            <w:lang w:val="en-GB" w:eastAsia="en-US"/>
          </w:rPr>
          <w:t>ITU-T G.9804.1 "Higher Speed Passive Optical Networks: Requirements</w:t>
        </w:r>
        <w:r w:rsidR="006B3EA1" w:rsidRPr="006B3EA1">
          <w:rPr>
            <w:rStyle w:val="Hyperlink"/>
            <w:lang w:val="en-GB" w:eastAsia="en-US"/>
          </w:rPr>
          <w:t>"</w:t>
        </w:r>
      </w:hyperlink>
      <w:r w:rsidR="006B3EA1" w:rsidRPr="006B3EA1">
        <w:rPr>
          <w:lang w:val="en-GB" w:eastAsia="en-US"/>
        </w:rPr>
        <w:t xml:space="preserve"> serves as a guide to the development of higher speed PON systems, by identifying sets of applications that can be addressed by a particular </w:t>
      </w:r>
      <w:proofErr w:type="gramStart"/>
      <w:r w:rsidR="006B3EA1" w:rsidRPr="006B3EA1">
        <w:rPr>
          <w:lang w:val="en-GB" w:eastAsia="en-US"/>
        </w:rPr>
        <w:t>system, and</w:t>
      </w:r>
      <w:proofErr w:type="gramEnd"/>
      <w:r w:rsidR="006B3EA1" w:rsidRPr="006B3EA1">
        <w:rPr>
          <w:lang w:val="en-GB" w:eastAsia="en-US"/>
        </w:rPr>
        <w:t xml:space="preserve"> defining the requirements for each of those systems. It is anticipated that there may have several distinct systems, such as higher speed single channel (TDMA-PON), higher speed multi-channel (TWDM-PON), and higher speed point to point overlay PONs.</w:t>
      </w:r>
    </w:p>
    <w:p w14:paraId="74AD40D3" w14:textId="77777777" w:rsidR="006B3EA1" w:rsidRPr="006B3EA1" w:rsidRDefault="006B3EA1" w:rsidP="006B3EA1">
      <w:pPr>
        <w:rPr>
          <w:b/>
          <w:sz w:val="22"/>
          <w:szCs w:val="22"/>
          <w:lang w:val="en-GB"/>
        </w:rPr>
      </w:pPr>
      <w:bookmarkStart w:id="245" w:name="_Toc480527891"/>
      <w:r w:rsidRPr="006B3EA1">
        <w:rPr>
          <w:b/>
          <w:sz w:val="22"/>
          <w:szCs w:val="22"/>
          <w:lang w:val="en-GB"/>
        </w:rPr>
        <w:t>I.1.4</w:t>
      </w:r>
      <w:r w:rsidRPr="006B3EA1">
        <w:rPr>
          <w:b/>
          <w:sz w:val="22"/>
          <w:szCs w:val="22"/>
          <w:lang w:val="en-GB"/>
        </w:rPr>
        <w:tab/>
        <w:t>Ultra-high-speed optical core network: OTN beyond 100G</w:t>
      </w:r>
      <w:bookmarkEnd w:id="245"/>
    </w:p>
    <w:p w14:paraId="359CDF61" w14:textId="77777777" w:rsidR="006B3EA1" w:rsidRPr="006B3EA1" w:rsidRDefault="006B3EA1" w:rsidP="006B3EA1">
      <w:pPr>
        <w:pStyle w:val="Headingb"/>
      </w:pPr>
      <w:bookmarkStart w:id="246" w:name="_Toc480527887"/>
      <w:r w:rsidRPr="006B3EA1">
        <w:t>I.1.5</w:t>
      </w:r>
      <w:r w:rsidRPr="006B3EA1">
        <w:tab/>
        <w:t>Optical transmission systems</w:t>
      </w:r>
      <w:bookmarkEnd w:id="246"/>
    </w:p>
    <w:p w14:paraId="5E326879" w14:textId="77777777" w:rsidR="006B3EA1" w:rsidRPr="006B3EA1" w:rsidRDefault="00F60C99" w:rsidP="006B3EA1">
      <w:pPr>
        <w:widowControl w:val="0"/>
        <w:rPr>
          <w:szCs w:val="24"/>
          <w:lang w:val="en-GB"/>
        </w:rPr>
      </w:pPr>
      <w:hyperlink r:id="rId234" w:history="1">
        <w:r w:rsidR="006B3EA1" w:rsidRPr="006B3EA1">
          <w:rPr>
            <w:rStyle w:val="Hyperlink"/>
            <w:b/>
            <w:bCs/>
            <w:szCs w:val="24"/>
            <w:lang w:val="en-GB"/>
          </w:rPr>
          <w:t>ITU-T G.798 (2017) Amd.2 "</w:t>
        </w:r>
        <w:r w:rsidR="006B3EA1" w:rsidRPr="006B3EA1">
          <w:rPr>
            <w:rStyle w:val="Hyperlink"/>
            <w:b/>
            <w:szCs w:val="24"/>
            <w:lang w:val="en-GB"/>
          </w:rPr>
          <w:t>Characteristics of optical transport network hierarchy equipment functional blocks - Amendment 2"</w:t>
        </w:r>
      </w:hyperlink>
      <w:r w:rsidR="006B3EA1" w:rsidRPr="006B3EA1">
        <w:rPr>
          <w:b/>
          <w:szCs w:val="24"/>
          <w:lang w:val="en-GB"/>
        </w:rPr>
        <w:t xml:space="preserve"> </w:t>
      </w:r>
      <w:r w:rsidR="006B3EA1" w:rsidRPr="006B3EA1">
        <w:rPr>
          <w:szCs w:val="24"/>
          <w:lang w:val="en-GB"/>
        </w:rPr>
        <w:t>specifies both the components and the methodology that should be used in order to specify the optical transport network (OTN) functionality of network elements; it does not specify individual optical transport network equipment.</w:t>
      </w:r>
    </w:p>
    <w:p w14:paraId="4EDEDACC" w14:textId="77777777" w:rsidR="006B3EA1" w:rsidRPr="006B3EA1" w:rsidRDefault="006B3EA1" w:rsidP="006B3EA1">
      <w:pPr>
        <w:widowControl w:val="0"/>
        <w:rPr>
          <w:szCs w:val="24"/>
          <w:lang w:val="en-GB"/>
        </w:rPr>
      </w:pPr>
      <w:r w:rsidRPr="006B3EA1">
        <w:rPr>
          <w:szCs w:val="24"/>
          <w:lang w:val="en-GB"/>
        </w:rPr>
        <w:t>Amendment 1 contains text modifications and additions for:</w:t>
      </w:r>
    </w:p>
    <w:p w14:paraId="567CB314"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t xml:space="preserve">moving the </w:t>
      </w:r>
      <w:proofErr w:type="spellStart"/>
      <w:r w:rsidRPr="006B3EA1">
        <w:rPr>
          <w:szCs w:val="24"/>
          <w:lang w:val="en-GB"/>
        </w:rPr>
        <w:t>ODUkP</w:t>
      </w:r>
      <w:proofErr w:type="spellEnd"/>
      <w:r w:rsidRPr="006B3EA1">
        <w:rPr>
          <w:szCs w:val="24"/>
          <w:lang w:val="en-GB"/>
        </w:rPr>
        <w:t xml:space="preserve"> to Ethernet MAC layer and Ethernet Reconciliation sublayer adaptation functions from ITU-T G.8021 to ITU-T G.798.</w:t>
      </w:r>
    </w:p>
    <w:p w14:paraId="08EEE07C"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t xml:space="preserve">supporting the adaptation of </w:t>
      </w:r>
      <w:proofErr w:type="spellStart"/>
      <w:r w:rsidRPr="006B3EA1">
        <w:rPr>
          <w:szCs w:val="24"/>
          <w:lang w:val="en-GB"/>
        </w:rPr>
        <w:t>ODUkP</w:t>
      </w:r>
      <w:proofErr w:type="spellEnd"/>
      <w:r w:rsidRPr="006B3EA1">
        <w:rPr>
          <w:szCs w:val="24"/>
          <w:lang w:val="en-GB"/>
        </w:rPr>
        <w:t xml:space="preserve"> to Ethernet Coding sublayer for 25 Gb/s, 200 Gb/s and 400 Gb/s Ethernet signals.</w:t>
      </w:r>
    </w:p>
    <w:p w14:paraId="4F269CD5"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t>alignment with ITU-T G.8023.</w:t>
      </w:r>
    </w:p>
    <w:p w14:paraId="175B8287"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t>replacing Appendix VIII to align with ITU-T G.872 and ITU-T G.873.1</w:t>
      </w:r>
    </w:p>
    <w:p w14:paraId="2CAB4525" w14:textId="77777777" w:rsidR="006B3EA1" w:rsidRPr="006B3EA1" w:rsidRDefault="006B3EA1" w:rsidP="006B3EA1">
      <w:pPr>
        <w:widowControl w:val="0"/>
        <w:rPr>
          <w:szCs w:val="24"/>
          <w:lang w:val="en-GB"/>
        </w:rPr>
      </w:pPr>
      <w:r w:rsidRPr="006B3EA1">
        <w:rPr>
          <w:szCs w:val="24"/>
          <w:lang w:val="en-GB"/>
        </w:rPr>
        <w:t>Amendment 2 contains text modifications and additions for:</w:t>
      </w:r>
    </w:p>
    <w:p w14:paraId="41885696"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r>
      <w:proofErr w:type="spellStart"/>
      <w:r w:rsidRPr="006B3EA1">
        <w:rPr>
          <w:szCs w:val="24"/>
          <w:lang w:val="en-GB"/>
        </w:rPr>
        <w:t>OTSi</w:t>
      </w:r>
      <w:proofErr w:type="spellEnd"/>
      <w:r w:rsidRPr="006B3EA1">
        <w:rPr>
          <w:szCs w:val="24"/>
          <w:lang w:val="en-GB"/>
        </w:rPr>
        <w:t xml:space="preserve"> to OTU4 adaptation function with SC-FEC.</w:t>
      </w:r>
    </w:p>
    <w:p w14:paraId="266E9089" w14:textId="77777777" w:rsidR="006B3EA1" w:rsidRPr="006B3EA1" w:rsidRDefault="006B3EA1" w:rsidP="006B3EA1">
      <w:pPr>
        <w:widowControl w:val="0"/>
        <w:rPr>
          <w:szCs w:val="24"/>
          <w:lang w:val="en-GB"/>
        </w:rPr>
      </w:pPr>
      <w:r w:rsidRPr="006B3EA1">
        <w:rPr>
          <w:szCs w:val="24"/>
          <w:lang w:val="en-GB"/>
        </w:rPr>
        <w:t>–</w:t>
      </w:r>
      <w:r w:rsidRPr="006B3EA1">
        <w:rPr>
          <w:szCs w:val="24"/>
          <w:lang w:val="en-GB"/>
        </w:rPr>
        <w:tab/>
      </w:r>
      <w:proofErr w:type="spellStart"/>
      <w:r w:rsidRPr="006B3EA1">
        <w:rPr>
          <w:szCs w:val="24"/>
          <w:lang w:val="en-GB"/>
        </w:rPr>
        <w:t>OTSi</w:t>
      </w:r>
      <w:proofErr w:type="spellEnd"/>
      <w:r w:rsidRPr="006B3EA1">
        <w:rPr>
          <w:szCs w:val="24"/>
          <w:lang w:val="en-GB"/>
        </w:rPr>
        <w:t xml:space="preserve"> to FlexO-1-SC adaptation function.</w:t>
      </w:r>
    </w:p>
    <w:p w14:paraId="7AAB9BA7" w14:textId="77777777" w:rsidR="006B3EA1" w:rsidRPr="006B3EA1" w:rsidRDefault="006B3EA1" w:rsidP="006B3EA1">
      <w:pPr>
        <w:rPr>
          <w:szCs w:val="24"/>
          <w:lang w:val="en-GB"/>
        </w:rPr>
      </w:pPr>
      <w:r w:rsidRPr="006B3EA1">
        <w:rPr>
          <w:szCs w:val="24"/>
          <w:lang w:val="en-GB"/>
        </w:rPr>
        <w:t>–</w:t>
      </w:r>
      <w:r w:rsidRPr="006B3EA1">
        <w:rPr>
          <w:szCs w:val="24"/>
          <w:lang w:val="en-GB"/>
        </w:rPr>
        <w:tab/>
        <w:t>alignment with ITU-T G.709.1.</w:t>
      </w:r>
    </w:p>
    <w:p w14:paraId="247F453D" w14:textId="77777777" w:rsidR="006B3EA1" w:rsidRPr="006B3EA1" w:rsidRDefault="006B3EA1" w:rsidP="006B3EA1">
      <w:pPr>
        <w:rPr>
          <w:b/>
          <w:bCs/>
          <w:lang w:val="en-GB"/>
        </w:rPr>
      </w:pPr>
      <w:r w:rsidRPr="006B3EA1">
        <w:rPr>
          <w:b/>
          <w:bCs/>
          <w:lang w:val="en-GB"/>
        </w:rPr>
        <w:t>ITU-T G.807 "Generic functional architecture of the optical media network" (under approval)</w:t>
      </w:r>
      <w:r w:rsidRPr="006B3EA1">
        <w:rPr>
          <w:bCs/>
          <w:szCs w:val="24"/>
          <w:lang w:val="en-GB"/>
        </w:rPr>
        <w:t xml:space="preserve"> describes the generic functional architecture of the optical media network that supports the propagation of signals in the context of a transport network. This description is independent of the client digital information that is being carried by a signal in the media network.</w:t>
      </w:r>
    </w:p>
    <w:p w14:paraId="418FFA78" w14:textId="77777777" w:rsidR="006B3EA1" w:rsidRPr="006B3EA1" w:rsidRDefault="00F60C99" w:rsidP="006B3EA1">
      <w:pPr>
        <w:rPr>
          <w:lang w:val="en-GB"/>
        </w:rPr>
      </w:pPr>
      <w:hyperlink r:id="rId235" w:history="1">
        <w:r w:rsidR="006B3EA1" w:rsidRPr="006B3EA1">
          <w:rPr>
            <w:rStyle w:val="Hyperlink"/>
            <w:b/>
            <w:bCs/>
            <w:lang w:val="en-GB"/>
          </w:rPr>
          <w:t>ITU-T G.872 (revised) "Architecture of optical transport networks (OTN)"</w:t>
        </w:r>
      </w:hyperlink>
      <w:r w:rsidR="006B3EA1" w:rsidRPr="006B3EA1">
        <w:rPr>
          <w:b/>
          <w:bCs/>
          <w:lang w:val="en-GB"/>
        </w:rPr>
        <w:t xml:space="preserve"> </w:t>
      </w:r>
      <w:r w:rsidR="006B3EA1" w:rsidRPr="006B3EA1">
        <w:rPr>
          <w:lang w:val="en-GB"/>
        </w:rPr>
        <w:t xml:space="preserve">describes the functional architecture of the optical transport network (OTN) using the modelling methodology described in Recommendations ITU-T G.800, ITU-T G.805 and ITU-T G.807. </w:t>
      </w:r>
      <w:r w:rsidR="006B3EA1" w:rsidRPr="006B3EA1">
        <w:rPr>
          <w:szCs w:val="24"/>
        </w:rPr>
        <w:t xml:space="preserve">The OTN </w:t>
      </w:r>
      <w:r w:rsidR="006B3EA1" w:rsidRPr="006B3EA1">
        <w:rPr>
          <w:szCs w:val="24"/>
        </w:rPr>
        <w:lastRenderedPageBreak/>
        <w:t xml:space="preserve">functionality is described from a network level viewpoint, </w:t>
      </w:r>
      <w:proofErr w:type="gramStart"/>
      <w:r w:rsidR="006B3EA1" w:rsidRPr="006B3EA1">
        <w:rPr>
          <w:szCs w:val="24"/>
        </w:rPr>
        <w:t>taking into account</w:t>
      </w:r>
      <w:proofErr w:type="gramEnd"/>
      <w:r w:rsidR="006B3EA1" w:rsidRPr="006B3EA1">
        <w:rPr>
          <w:szCs w:val="24"/>
        </w:rPr>
        <w:t>, the characteristic information of clients of OTN, client/server layer associations, networking topology, layer network functionality and optical media network structure, that provide multiplexing, routing and supervision of digital clients</w:t>
      </w:r>
      <w:r w:rsidR="006B3EA1" w:rsidRPr="006B3EA1">
        <w:rPr>
          <w:lang w:val="en-GB"/>
        </w:rPr>
        <w:t>. The media portion of the network is described in terms of media constructs, media elements and optical signal maintenance entities.</w:t>
      </w:r>
    </w:p>
    <w:p w14:paraId="4B88A81B" w14:textId="77777777" w:rsidR="006B3EA1" w:rsidRPr="006B3EA1" w:rsidRDefault="006B3EA1" w:rsidP="006B3EA1">
      <w:pPr>
        <w:pStyle w:val="Headingb"/>
      </w:pPr>
      <w:bookmarkStart w:id="247" w:name="_Toc480527889"/>
      <w:r w:rsidRPr="006B3EA1">
        <w:t>I.1.6</w:t>
      </w:r>
      <w:r w:rsidRPr="006B3EA1">
        <w:tab/>
        <w:t>Transport network control aspects</w:t>
      </w:r>
      <w:bookmarkEnd w:id="247"/>
    </w:p>
    <w:p w14:paraId="54A5FDD5" w14:textId="77777777" w:rsidR="006B3EA1" w:rsidRPr="006B3EA1" w:rsidRDefault="006B3EA1" w:rsidP="006B3EA1">
      <w:pPr>
        <w:pStyle w:val="Headingb"/>
      </w:pPr>
      <w:r w:rsidRPr="006B3EA1">
        <w:t>I.1.7</w:t>
      </w:r>
      <w:r w:rsidRPr="006B3EA1">
        <w:tab/>
        <w:t>Ethernet over transport networks</w:t>
      </w:r>
    </w:p>
    <w:p w14:paraId="7F07AF0A" w14:textId="77777777" w:rsidR="006B3EA1" w:rsidRPr="006B3EA1" w:rsidRDefault="006B3EA1" w:rsidP="006B3EA1">
      <w:pPr>
        <w:pStyle w:val="Headingb"/>
      </w:pPr>
      <w:r w:rsidRPr="006B3EA1">
        <w:t>I.1.8</w:t>
      </w:r>
      <w:r w:rsidRPr="006B3EA1">
        <w:tab/>
        <w:t>MPLS over transport networks</w:t>
      </w:r>
    </w:p>
    <w:p w14:paraId="64D30A97" w14:textId="77777777" w:rsidR="006B3EA1" w:rsidRPr="006B3EA1" w:rsidRDefault="006B3EA1" w:rsidP="006B3EA1">
      <w:pPr>
        <w:pStyle w:val="Headingb"/>
      </w:pPr>
      <w:r w:rsidRPr="006B3EA1">
        <w:t>I.1.9</w:t>
      </w:r>
      <w:r w:rsidRPr="006B3EA1">
        <w:tab/>
        <w:t>Synchronization and timing</w:t>
      </w:r>
    </w:p>
    <w:p w14:paraId="0F4A3BB8" w14:textId="77777777" w:rsidR="006B3EA1" w:rsidRPr="006B3EA1" w:rsidRDefault="006B3EA1" w:rsidP="006B3EA1">
      <w:pPr>
        <w:pStyle w:val="Headingb"/>
      </w:pPr>
      <w:r w:rsidRPr="006B3EA1">
        <w:t>I.1.10</w:t>
      </w:r>
      <w:r w:rsidRPr="006B3EA1">
        <w:tab/>
        <w:t>Cable</w:t>
      </w:r>
      <w:bookmarkEnd w:id="243"/>
    </w:p>
    <w:p w14:paraId="2DE1B4CC" w14:textId="77777777" w:rsidR="006B3EA1" w:rsidRPr="006B3EA1" w:rsidRDefault="00F60C99" w:rsidP="006B3EA1">
      <w:pPr>
        <w:rPr>
          <w:lang w:val="en-GB"/>
        </w:rPr>
      </w:pPr>
      <w:hyperlink r:id="rId236" w:history="1">
        <w:r w:rsidR="006B3EA1" w:rsidRPr="006B3EA1">
          <w:rPr>
            <w:rStyle w:val="Hyperlink"/>
            <w:b/>
            <w:bCs/>
            <w:lang w:val="en-GB"/>
          </w:rPr>
          <w:t>ITU-T J.1600 "Premium Cable Network Platform (PCNP) – Framework"</w:t>
        </w:r>
      </w:hyperlink>
      <w:r w:rsidR="006B3EA1" w:rsidRPr="006B3EA1">
        <w:rPr>
          <w:lang w:val="en-GB"/>
        </w:rPr>
        <w:t xml:space="preserve"> specifies the framework of the Premium Cable Network Platform (PCNP) for the cable TV and broadband network that exploit the cloud based artificial intelligence and network data to optimize the network and TV services, thus enable the high satisfaction of user's experience of perceptual aspects of services.</w:t>
      </w:r>
    </w:p>
    <w:p w14:paraId="46E1BD5E" w14:textId="77777777" w:rsidR="006B3EA1" w:rsidRPr="006B3EA1" w:rsidRDefault="006B3EA1" w:rsidP="006B3EA1">
      <w:pPr>
        <w:pStyle w:val="Headingb"/>
      </w:pPr>
      <w:bookmarkStart w:id="248" w:name="_Toc480527893"/>
      <w:r w:rsidRPr="006B3EA1">
        <w:t>I.2.2</w:t>
      </w:r>
      <w:r w:rsidRPr="006B3EA1">
        <w:tab/>
      </w:r>
      <w:bookmarkEnd w:id="248"/>
      <w:r w:rsidRPr="006B3EA1">
        <w:t>Smart ubiquitous networks, next-generation networks evolution, and future networks</w:t>
      </w:r>
    </w:p>
    <w:p w14:paraId="5D2A8F05" w14:textId="77777777" w:rsidR="006B3EA1" w:rsidRPr="006B3EA1" w:rsidRDefault="00F60C99" w:rsidP="006B3EA1">
      <w:pPr>
        <w:rPr>
          <w:lang w:val="en-GB" w:eastAsia="en-US"/>
        </w:rPr>
      </w:pPr>
      <w:hyperlink r:id="rId237" w:history="1">
        <w:r w:rsidR="006B3EA1" w:rsidRPr="006B3EA1">
          <w:rPr>
            <w:rStyle w:val="Hyperlink"/>
            <w:b/>
            <w:lang w:val="en-GB" w:eastAsia="en-US"/>
          </w:rPr>
          <w:t>ITU-T H.644.2 “Virtual content delivery network: Network virtualization”</w:t>
        </w:r>
      </w:hyperlink>
      <w:r w:rsidR="006B3EA1" w:rsidRPr="006B3EA1">
        <w:rPr>
          <w:lang w:val="en-GB" w:eastAsia="en-US"/>
        </w:rPr>
        <w:t xml:space="preserve"> specifies the functional architecture, its related functions and functional blocks that implement content delivery network (CDN) virtualization by utilizing the networking virtualization technologies. Based on the functional architecture and functions, this Recommendation also introduces the various technical solutions of the CDN nodes virtualization utilizing the current network virtualization technologies, such as network function virtualization and software-defined networks. With this Recommendation, a CDN service provider and manufacturer </w:t>
      </w:r>
      <w:proofErr w:type="gramStart"/>
      <w:r w:rsidR="006B3EA1" w:rsidRPr="006B3EA1">
        <w:rPr>
          <w:lang w:val="en-GB" w:eastAsia="en-US"/>
        </w:rPr>
        <w:t>have the opportunity to</w:t>
      </w:r>
      <w:proofErr w:type="gramEnd"/>
      <w:r w:rsidR="006B3EA1" w:rsidRPr="006B3EA1">
        <w:rPr>
          <w:lang w:val="en-GB" w:eastAsia="en-US"/>
        </w:rPr>
        <w:t xml:space="preserve"> build their CDN nodes and the related services based on a common virtualized infrastructure, which could extend the delivery service with the lower investments. The quality of multimedia service which is relied on the VCDN solutions will be improved as well.</w:t>
      </w:r>
    </w:p>
    <w:p w14:paraId="44BDA4C8" w14:textId="39BD7E41" w:rsidR="006B3EA1" w:rsidRPr="006B3EA1" w:rsidRDefault="00F60C99" w:rsidP="006B3EA1">
      <w:pPr>
        <w:rPr>
          <w:bCs/>
          <w:lang w:val="en-GB" w:eastAsia="en-US"/>
        </w:rPr>
      </w:pPr>
      <w:hyperlink r:id="rId238" w:history="1">
        <w:r w:rsidR="006B3EA1" w:rsidRPr="006B3EA1">
          <w:rPr>
            <w:rStyle w:val="Hyperlink"/>
            <w:b/>
            <w:bCs/>
            <w:lang w:val="en-GB" w:eastAsia="en-US"/>
          </w:rPr>
          <w:t>ITU-T X.609.8 “Managed P2P communications: Management protocol for live data sources”</w:t>
        </w:r>
      </w:hyperlink>
      <w:r w:rsidR="006B3EA1" w:rsidRPr="006B3EA1">
        <w:rPr>
          <w:bCs/>
          <w:lang w:val="en-GB" w:eastAsia="en-US"/>
        </w:rPr>
        <w:t xml:space="preserve"> describes the management protocol for live data sources in MP2P communications which is an overlay protocol runs in application layer to manage a live data from multiple data source. The examples of live data generated from data source include a live sensor data, a live CCTV stream and they can be applicable to disaster recovery, autonomous vehicle, etc. This Recommendation specifies the identification, functions and the procedures of the data sources involved.</w:t>
      </w:r>
    </w:p>
    <w:p w14:paraId="3A677110" w14:textId="77777777" w:rsidR="006B3EA1" w:rsidRPr="006B3EA1" w:rsidRDefault="00F60C99" w:rsidP="006B3EA1">
      <w:pPr>
        <w:rPr>
          <w:lang w:val="en-GB" w:eastAsia="en-US"/>
        </w:rPr>
      </w:pPr>
      <w:hyperlink r:id="rId239" w:history="1">
        <w:r w:rsidR="006B3EA1" w:rsidRPr="006B3EA1">
          <w:rPr>
            <w:rStyle w:val="Hyperlink"/>
            <w:b/>
            <w:lang w:val="en-GB" w:eastAsia="en-US"/>
          </w:rPr>
          <w:t>ITU-T Y.2244 “Service model for the Cultivation Plan Service at the pre-production stage”</w:t>
        </w:r>
      </w:hyperlink>
      <w:r w:rsidR="006B3EA1" w:rsidRPr="006B3EA1">
        <w:rPr>
          <w:b/>
          <w:lang w:val="en-GB" w:eastAsia="en-US"/>
        </w:rPr>
        <w:t>:</w:t>
      </w:r>
      <w:r w:rsidR="006B3EA1" w:rsidRPr="006B3EA1">
        <w:rPr>
          <w:lang w:val="en-GB" w:eastAsia="en-US"/>
        </w:rPr>
        <w:t xml:space="preserve"> The Cultivation Plan Service at the pre-production stage is critical in that it supports agricultural producers’ decision by providing related information such as predicted crop production or expected profits for consulting or other agricultural information when they plan to cultivate. A service model is required to derive necessary service features that support these missions. Therefore, the service model for the Cultivation Plan Service including reference architecture, service requirements, and related capabilities is described in this Recommendation.</w:t>
      </w:r>
    </w:p>
    <w:p w14:paraId="2D693593" w14:textId="77777777" w:rsidR="006B3EA1" w:rsidRPr="006B3EA1" w:rsidRDefault="00F60C99" w:rsidP="006B3EA1">
      <w:pPr>
        <w:rPr>
          <w:bCs/>
          <w:lang w:val="en-GB" w:eastAsia="en-US"/>
        </w:rPr>
      </w:pPr>
      <w:hyperlink r:id="rId240" w:history="1">
        <w:r w:rsidR="006B3EA1" w:rsidRPr="006B3EA1">
          <w:rPr>
            <w:rStyle w:val="Hyperlink"/>
            <w:b/>
            <w:bCs/>
            <w:lang w:val="en-GB" w:eastAsia="en-US"/>
          </w:rPr>
          <w:t xml:space="preserve">ITU-T Y.2324 “Functional architecture of orchestration in </w:t>
        </w:r>
        <w:proofErr w:type="spellStart"/>
        <w:r w:rsidR="006B3EA1" w:rsidRPr="006B3EA1">
          <w:rPr>
            <w:rStyle w:val="Hyperlink"/>
            <w:b/>
            <w:bCs/>
            <w:lang w:val="en-GB" w:eastAsia="en-US"/>
          </w:rPr>
          <w:t>NGNe</w:t>
        </w:r>
        <w:proofErr w:type="spellEnd"/>
        <w:r w:rsidR="006B3EA1" w:rsidRPr="006B3EA1">
          <w:rPr>
            <w:rStyle w:val="Hyperlink"/>
            <w:b/>
            <w:bCs/>
            <w:lang w:val="en-GB" w:eastAsia="en-US"/>
          </w:rPr>
          <w:t>”</w:t>
        </w:r>
      </w:hyperlink>
      <w:r w:rsidR="006B3EA1" w:rsidRPr="006B3EA1">
        <w:rPr>
          <w:b/>
          <w:lang w:val="en-GB" w:eastAsia="en-US"/>
        </w:rPr>
        <w:t>:</w:t>
      </w:r>
      <w:r w:rsidR="006B3EA1" w:rsidRPr="006B3EA1">
        <w:rPr>
          <w:lang w:val="en-GB" w:eastAsia="en-US"/>
        </w:rPr>
        <w:t xml:space="preserve"> </w:t>
      </w:r>
      <w:r w:rsidR="006B3EA1" w:rsidRPr="006B3EA1">
        <w:rPr>
          <w:bCs/>
          <w:lang w:val="en-GB" w:eastAsia="en-US"/>
        </w:rPr>
        <w:t xml:space="preserve">The orchestration in </w:t>
      </w:r>
      <w:proofErr w:type="spellStart"/>
      <w:r w:rsidR="006B3EA1" w:rsidRPr="006B3EA1">
        <w:rPr>
          <w:bCs/>
          <w:lang w:val="en-GB" w:eastAsia="en-US"/>
        </w:rPr>
        <w:t>NGNe</w:t>
      </w:r>
      <w:proofErr w:type="spellEnd"/>
      <w:r w:rsidR="006B3EA1" w:rsidRPr="006B3EA1">
        <w:rPr>
          <w:bCs/>
          <w:lang w:val="en-GB" w:eastAsia="en-US"/>
        </w:rPr>
        <w:t xml:space="preserve"> is of great significance for next generation network evolution, because it takes the coexistence and corporation of traditional network such as NGN and SDN/NFV enabled network into consideration. This draft Recommendation provides the general functional architecture of the orchestration in </w:t>
      </w:r>
      <w:proofErr w:type="spellStart"/>
      <w:r w:rsidR="006B3EA1" w:rsidRPr="006B3EA1">
        <w:rPr>
          <w:bCs/>
          <w:lang w:val="en-GB" w:eastAsia="en-US"/>
        </w:rPr>
        <w:t>NGNe</w:t>
      </w:r>
      <w:proofErr w:type="spellEnd"/>
      <w:r w:rsidR="006B3EA1" w:rsidRPr="006B3EA1">
        <w:rPr>
          <w:bCs/>
          <w:lang w:val="en-GB" w:eastAsia="en-US"/>
        </w:rPr>
        <w:t xml:space="preserve">, specifies its functional entities and defines the functionalities of these functional entities, and provides descriptions of all reference points of orchestration in </w:t>
      </w:r>
      <w:proofErr w:type="spellStart"/>
      <w:r w:rsidR="006B3EA1" w:rsidRPr="006B3EA1">
        <w:rPr>
          <w:bCs/>
          <w:lang w:val="en-GB" w:eastAsia="en-US"/>
        </w:rPr>
        <w:t>NGNe</w:t>
      </w:r>
      <w:proofErr w:type="spellEnd"/>
      <w:r w:rsidR="006B3EA1" w:rsidRPr="006B3EA1">
        <w:rPr>
          <w:bCs/>
          <w:lang w:val="en-GB" w:eastAsia="en-US"/>
        </w:rPr>
        <w:t>.</w:t>
      </w:r>
    </w:p>
    <w:p w14:paraId="38391C2C" w14:textId="77777777" w:rsidR="006B3EA1" w:rsidRPr="006B3EA1" w:rsidRDefault="00F60C99" w:rsidP="006B3EA1">
      <w:pPr>
        <w:rPr>
          <w:bCs/>
          <w:lang w:val="en-GB" w:eastAsia="en-US"/>
        </w:rPr>
      </w:pPr>
      <w:hyperlink r:id="rId241" w:history="1">
        <w:r w:rsidR="006B3EA1" w:rsidRPr="006B3EA1">
          <w:rPr>
            <w:rStyle w:val="Hyperlink"/>
            <w:b/>
            <w:bCs/>
            <w:lang w:val="en-GB" w:eastAsia="en-US"/>
          </w:rPr>
          <w:t>ITU-T Y.2342 “Scenarios and Capability Requirements of Blockchain in Next Generation Network Evolution”</w:t>
        </w:r>
      </w:hyperlink>
      <w:r w:rsidR="006B3EA1" w:rsidRPr="006B3EA1">
        <w:rPr>
          <w:bCs/>
          <w:lang w:val="en-GB" w:eastAsia="en-US"/>
        </w:rPr>
        <w:t xml:space="preserve"> presents an analysis of the motivations and scenarios of blockchain used in the Next Generation Network Evolution (</w:t>
      </w:r>
      <w:proofErr w:type="spellStart"/>
      <w:r w:rsidR="006B3EA1" w:rsidRPr="006B3EA1">
        <w:rPr>
          <w:bCs/>
          <w:lang w:val="en-GB" w:eastAsia="en-US"/>
        </w:rPr>
        <w:t>NGNe</w:t>
      </w:r>
      <w:proofErr w:type="spellEnd"/>
      <w:r w:rsidR="006B3EA1" w:rsidRPr="006B3EA1">
        <w:rPr>
          <w:bCs/>
          <w:lang w:val="en-GB" w:eastAsia="en-US"/>
        </w:rPr>
        <w:t xml:space="preserve">). The general high-level requirements of blockchain in </w:t>
      </w:r>
      <w:proofErr w:type="spellStart"/>
      <w:r w:rsidR="006B3EA1" w:rsidRPr="006B3EA1">
        <w:rPr>
          <w:bCs/>
          <w:lang w:val="en-GB" w:eastAsia="en-US"/>
        </w:rPr>
        <w:t>NGNe</w:t>
      </w:r>
      <w:proofErr w:type="spellEnd"/>
      <w:r w:rsidR="006B3EA1" w:rsidRPr="006B3EA1">
        <w:rPr>
          <w:bCs/>
          <w:lang w:val="en-GB" w:eastAsia="en-US"/>
        </w:rPr>
        <w:t xml:space="preserve"> are put forward. Detailed descriptions of the use cases are listed in the appendix. This Recommendation provides the framework of the blockchain for </w:t>
      </w:r>
      <w:proofErr w:type="spellStart"/>
      <w:r w:rsidR="006B3EA1" w:rsidRPr="006B3EA1">
        <w:rPr>
          <w:bCs/>
          <w:lang w:val="en-GB" w:eastAsia="en-US"/>
        </w:rPr>
        <w:t>NGNe</w:t>
      </w:r>
      <w:proofErr w:type="spellEnd"/>
      <w:r w:rsidR="006B3EA1" w:rsidRPr="006B3EA1">
        <w:rPr>
          <w:bCs/>
          <w:lang w:val="en-GB" w:eastAsia="en-US"/>
        </w:rPr>
        <w:t xml:space="preserve"> and specifies the capability requirements that meet the needs of Next Generation Network (NGN) and the blockchain framework. The framework provided in this Recommendation is intended for </w:t>
      </w:r>
      <w:proofErr w:type="spellStart"/>
      <w:r w:rsidR="006B3EA1" w:rsidRPr="006B3EA1">
        <w:rPr>
          <w:bCs/>
          <w:lang w:val="en-GB" w:eastAsia="en-US"/>
        </w:rPr>
        <w:t>NGNe</w:t>
      </w:r>
      <w:proofErr w:type="spellEnd"/>
      <w:r w:rsidR="006B3EA1" w:rsidRPr="006B3EA1">
        <w:rPr>
          <w:bCs/>
          <w:lang w:val="en-GB" w:eastAsia="en-US"/>
        </w:rPr>
        <w:t xml:space="preserve"> as defined in Recommendation ITU-T Y.2340, however, it could be applied as appropriate to other types of telecom networks (e.g. IMT-2020 and Future Network).</w:t>
      </w:r>
    </w:p>
    <w:p w14:paraId="01FAA0AD" w14:textId="77777777" w:rsidR="006B3EA1" w:rsidRPr="006B3EA1" w:rsidRDefault="006B3EA1" w:rsidP="006B3EA1">
      <w:pPr>
        <w:pStyle w:val="Headingb"/>
      </w:pPr>
      <w:bookmarkStart w:id="249" w:name="_Toc480527894"/>
      <w:r w:rsidRPr="006B3EA1">
        <w:t>I.2.3</w:t>
      </w:r>
      <w:r w:rsidRPr="006B3EA1">
        <w:tab/>
        <w:t>IMT-2020/5G networks</w:t>
      </w:r>
    </w:p>
    <w:p w14:paraId="06F2B46A" w14:textId="588AB868" w:rsidR="006B3EA1" w:rsidRPr="006B3EA1" w:rsidRDefault="00F60C99" w:rsidP="006B3EA1">
      <w:pPr>
        <w:rPr>
          <w:lang w:val="en-GB"/>
        </w:rPr>
      </w:pPr>
      <w:hyperlink r:id="rId242" w:history="1">
        <w:r w:rsidR="006B3EA1" w:rsidRPr="006B3EA1">
          <w:rPr>
            <w:rStyle w:val="Hyperlink"/>
            <w:b/>
            <w:lang w:val="en-GB"/>
          </w:rPr>
          <w:t>ITU-T Y.3108 “Capability exposure function in the IMT-2020 networks”</w:t>
        </w:r>
      </w:hyperlink>
      <w:r w:rsidR="006B3EA1" w:rsidRPr="006B3EA1">
        <w:rPr>
          <w:b/>
          <w:lang w:val="en-GB"/>
        </w:rPr>
        <w:t xml:space="preserve"> </w:t>
      </w:r>
      <w:r w:rsidR="006B3EA1" w:rsidRPr="006B3EA1">
        <w:rPr>
          <w:lang w:val="en-GB"/>
        </w:rPr>
        <w:t xml:space="preserve">specifies design principles, architecture and reference points of the capability exposure function (CEF) in the IMT-2020 networks. Exposed capabilities brought by network </w:t>
      </w:r>
      <w:proofErr w:type="spellStart"/>
      <w:r w:rsidR="006B3EA1" w:rsidRPr="006B3EA1">
        <w:rPr>
          <w:lang w:val="en-GB"/>
        </w:rPr>
        <w:t>softwarization</w:t>
      </w:r>
      <w:proofErr w:type="spellEnd"/>
      <w:r w:rsidR="006B3EA1" w:rsidRPr="006B3EA1">
        <w:rPr>
          <w:lang w:val="en-GB"/>
        </w:rPr>
        <w:t xml:space="preserve"> and the architecture of IMT-2020 and functionalities that support the capability exposure of IMT-2020 are specified in the Recommendation.”</w:t>
      </w:r>
    </w:p>
    <w:p w14:paraId="27FFF664" w14:textId="77777777" w:rsidR="006B3EA1" w:rsidRPr="006B3EA1" w:rsidRDefault="00F60C99" w:rsidP="006B3EA1">
      <w:pPr>
        <w:rPr>
          <w:lang w:val="en-GB"/>
        </w:rPr>
      </w:pPr>
      <w:hyperlink r:id="rId243" w:history="1">
        <w:r w:rsidR="006B3EA1" w:rsidRPr="006B3EA1">
          <w:rPr>
            <w:rStyle w:val="Hyperlink"/>
            <w:b/>
            <w:lang w:val="en-GB"/>
          </w:rPr>
          <w:t>ITU-T Y.3132 “Mobility management for fixed mobile convergence in IMT-2020 networks”</w:t>
        </w:r>
      </w:hyperlink>
      <w:r w:rsidR="006B3EA1" w:rsidRPr="006B3EA1">
        <w:rPr>
          <w:lang w:val="en-GB"/>
        </w:rPr>
        <w:t xml:space="preserve"> presents the scenarios, requirements and design principles of mobility management (MM) for fixed mobile convergence (FMC) in IMT-2020 networks, which supports the network evolution and accommodates convergent services in fixed and mobile networks. This Recommendation presents the mobility management functional architecture for supporting FMC in IMT-2020 networks and information flows of location management, handover control and coordination management in IMT-2020 networks.</w:t>
      </w:r>
    </w:p>
    <w:p w14:paraId="219C276C" w14:textId="77777777" w:rsidR="006B3EA1" w:rsidRPr="006B3EA1" w:rsidRDefault="00F60C99" w:rsidP="006B3EA1">
      <w:pPr>
        <w:rPr>
          <w:lang w:val="en-GB"/>
        </w:rPr>
      </w:pPr>
      <w:hyperlink r:id="rId244" w:history="1">
        <w:r w:rsidR="006B3EA1" w:rsidRPr="006B3EA1">
          <w:rPr>
            <w:rStyle w:val="Hyperlink"/>
            <w:b/>
            <w:lang w:val="en-GB"/>
          </w:rPr>
          <w:t>ITU-T Y.3133 “Capability Exposure enhancement for supporting FMC in IMT-2020 networks”</w:t>
        </w:r>
      </w:hyperlink>
      <w:r w:rsidR="006B3EA1" w:rsidRPr="006B3EA1">
        <w:rPr>
          <w:lang w:val="en-GB"/>
        </w:rPr>
        <w:t xml:space="preserve"> describes the requirements of the capability exposure for supporting FMC in IMT-2020 networks, then defines the functional architecture, the function entities, the procedures and the high level API descriptions for network capabilities exposure for supporting FMC in IMT-2020 networks. In particular, the enhancement capabilities requirements </w:t>
      </w:r>
      <w:proofErr w:type="gramStart"/>
      <w:r w:rsidR="006B3EA1" w:rsidRPr="006B3EA1">
        <w:rPr>
          <w:lang w:val="en-GB"/>
        </w:rPr>
        <w:t>include:</w:t>
      </w:r>
      <w:proofErr w:type="gramEnd"/>
      <w:r w:rsidR="006B3EA1" w:rsidRPr="006B3EA1">
        <w:rPr>
          <w:lang w:val="en-GB"/>
        </w:rPr>
        <w:t xml:space="preserve"> unified authentication, authorization and charging, user’s access type and capability, multi-access edge computing, unified customization of QoS capabilities, FMC network slice control, session management and mobility management, unified user data.</w:t>
      </w:r>
    </w:p>
    <w:p w14:paraId="7EA1214D" w14:textId="081210DD" w:rsidR="006B3EA1" w:rsidRPr="006B3EA1" w:rsidRDefault="00F60C99" w:rsidP="006B3EA1">
      <w:pPr>
        <w:rPr>
          <w:lang w:val="en-GB"/>
        </w:rPr>
      </w:pPr>
      <w:hyperlink r:id="rId245" w:history="1">
        <w:r w:rsidR="006B3EA1" w:rsidRPr="006B3EA1">
          <w:rPr>
            <w:rStyle w:val="Hyperlink"/>
            <w:b/>
            <w:lang w:val="en-GB"/>
          </w:rPr>
          <w:t>ITU-T Y.3153 “Network slice orchestration and management for providing network services to 3rd party in the IMT-2020 network”</w:t>
        </w:r>
      </w:hyperlink>
      <w:r w:rsidR="006B3EA1" w:rsidRPr="006B3EA1">
        <w:rPr>
          <w:lang w:val="en-GB"/>
        </w:rPr>
        <w:t>: The IMT-2020 network in which embedded a capability exposure functionality enables 3rd party to directly use a customised network slice under certain a restriction in order to efficiently provide optimized solutions for different market scenarios which have diverse their own requirements. Automated processes for orchestration and management is also important from the perspective of efficiency. The objective of this Recommendation is to describe the requirements, architecture, key functionalities and typical procedures of network slice orchestration and management for providing network services to 3rd party in the IMT-2020 network.</w:t>
      </w:r>
    </w:p>
    <w:p w14:paraId="06877EF9" w14:textId="77777777" w:rsidR="006B3EA1" w:rsidRPr="006B3EA1" w:rsidRDefault="006B3EA1" w:rsidP="006B3EA1">
      <w:pPr>
        <w:rPr>
          <w:lang w:val="en-GB"/>
        </w:rPr>
      </w:pPr>
      <w:r w:rsidRPr="006B3EA1">
        <w:rPr>
          <w:b/>
          <w:lang w:val="en-GB"/>
        </w:rPr>
        <w:t>ITU-T Y.3173 “Framework for evaluating intelligence level of future networks including IMT-2020” (under approval)</w:t>
      </w:r>
      <w:r w:rsidRPr="006B3EA1">
        <w:rPr>
          <w:lang w:val="en-GB"/>
        </w:rPr>
        <w:t xml:space="preserve"> specifies a framework for evaluating intelligence of future networks including IMT-2020. A method for evaluating intelligence level of future networks including IMT-2020 is introduced. An architecture view for evaluating network intelligence level is also described according to the architectural framework specified in [ITU-T Y.3172]. In addition, the relationship between the framework described in this Recommendation and corresponding work in other standards or industry bodies, as well as the application of the method for evaluating network intelligence level on several representative use cases are also provided.</w:t>
      </w:r>
    </w:p>
    <w:p w14:paraId="171ED939" w14:textId="77777777" w:rsidR="006B3EA1" w:rsidRPr="006B3EA1" w:rsidRDefault="006B3EA1" w:rsidP="006B3EA1">
      <w:pPr>
        <w:rPr>
          <w:lang w:val="en-GB"/>
        </w:rPr>
      </w:pPr>
      <w:r w:rsidRPr="006B3EA1">
        <w:rPr>
          <w:b/>
          <w:lang w:val="en-GB"/>
        </w:rPr>
        <w:t>ITU-T Y.3174 “Framework for data handling to enable machine learning in future networks including IMT-2020”</w:t>
      </w:r>
      <w:r w:rsidRPr="006B3EA1">
        <w:rPr>
          <w:lang w:val="en-GB"/>
        </w:rPr>
        <w:t xml:space="preserve"> </w:t>
      </w:r>
      <w:r w:rsidRPr="006B3EA1">
        <w:rPr>
          <w:b/>
          <w:lang w:val="en-GB"/>
        </w:rPr>
        <w:t>(under approval)</w:t>
      </w:r>
      <w:r w:rsidRPr="006B3EA1">
        <w:rPr>
          <w:lang w:val="en-GB"/>
        </w:rPr>
        <w:t xml:space="preserve">: A framework for data handling to enable machine </w:t>
      </w:r>
      <w:r w:rsidRPr="006B3EA1">
        <w:rPr>
          <w:lang w:val="en-GB"/>
        </w:rPr>
        <w:lastRenderedPageBreak/>
        <w:t>learning in future networks including IMT-2020 is described in this Recommendation. The requirements for data collection and processing mechanisms in various usage scenarios for machine learning in future networks including IMT-2020 are identified along with the requirements for applying machine learning output in the machine learning underlay network. Based on this, a generic framework for data handling and examples of its realization on specific underlying networks are described.</w:t>
      </w:r>
    </w:p>
    <w:p w14:paraId="15800D1E" w14:textId="77777777" w:rsidR="006B3EA1" w:rsidRPr="006B3EA1" w:rsidRDefault="00F60C99" w:rsidP="006B3EA1">
      <w:pPr>
        <w:rPr>
          <w:lang w:val="en-GB" w:eastAsia="en-US"/>
        </w:rPr>
      </w:pPr>
      <w:hyperlink r:id="rId246" w:history="1">
        <w:r w:rsidR="006B3EA1" w:rsidRPr="006B3EA1">
          <w:rPr>
            <w:rStyle w:val="Hyperlink"/>
            <w:b/>
            <w:lang w:val="en-GB" w:eastAsia="en-US"/>
          </w:rPr>
          <w:t>ITU-T Y.Suppl.55 to ITU-T Y.3170-series “Machine learning in future networks including IMT-2020: use cases”</w:t>
        </w:r>
      </w:hyperlink>
      <w:r w:rsidR="006B3EA1" w:rsidRPr="006B3EA1">
        <w:rPr>
          <w:lang w:val="en-GB" w:eastAsia="en-US"/>
        </w:rPr>
        <w:t xml:space="preserve"> describes the use cases of machine learning in future networks including IMT-2020. For each use case description, along with the benefits of the use case, the most relevant possible requirements related to the use case are provided. Classification of the use cases into categories is also provided.</w:t>
      </w:r>
    </w:p>
    <w:p w14:paraId="6C83EE38" w14:textId="77777777" w:rsidR="006B3EA1" w:rsidRPr="006B3EA1" w:rsidRDefault="006B3EA1" w:rsidP="006B3EA1">
      <w:pPr>
        <w:pStyle w:val="Headingb"/>
      </w:pPr>
      <w:r w:rsidRPr="006B3EA1">
        <w:t>I.2.4</w:t>
      </w:r>
      <w:r w:rsidRPr="006B3EA1">
        <w:tab/>
        <w:t>Home networking</w:t>
      </w:r>
    </w:p>
    <w:p w14:paraId="1C56CEA3" w14:textId="77777777" w:rsidR="006B3EA1" w:rsidRPr="006B3EA1" w:rsidRDefault="006B3EA1" w:rsidP="006B3EA1">
      <w:pPr>
        <w:rPr>
          <w:lang w:val="en-GB"/>
        </w:rPr>
      </w:pPr>
      <w:r w:rsidRPr="006B3EA1">
        <w:rPr>
          <w:b/>
          <w:bCs/>
          <w:lang w:val="en-GB"/>
        </w:rPr>
        <w:t xml:space="preserve">ITU-T G.9960 (2018) Amd.1 "Unified high-speed wire-line based home networking transceivers - System architecture and physical layer specification: Amendment 1" (under approval) </w:t>
      </w:r>
      <w:r w:rsidRPr="006B3EA1">
        <w:rPr>
          <w:lang w:val="en-GB"/>
        </w:rPr>
        <w:t xml:space="preserve">belongs to the family of ITU-T G.996x Recommendations. Recommendation ITU-T G.9960 specifies the system architecture and physical (PHY) layer for wireline-based home networking transceivers which </w:t>
      </w:r>
      <w:proofErr w:type="gramStart"/>
      <w:r w:rsidRPr="006B3EA1">
        <w:rPr>
          <w:lang w:val="en-GB"/>
        </w:rPr>
        <w:t>are capable of operating</w:t>
      </w:r>
      <w:proofErr w:type="gramEnd"/>
      <w:r w:rsidRPr="006B3EA1">
        <w:rPr>
          <w:lang w:val="en-GB"/>
        </w:rPr>
        <w:t xml:space="preserve"> over premises' wiring, including inside telephone wiring, coaxial cable, and power-line wiring. It complements the data link layer (DLL) specification in Recommendation ITU-T G.9961, and the power spectral density (PSD) specification in Recommendation ITU-T G.9964. Amendment 1 includes the extension of the Recommendation to operate on an extended bandwidth over coaxial and phoneline mediums.</w:t>
      </w:r>
    </w:p>
    <w:p w14:paraId="4941F318" w14:textId="77777777" w:rsidR="006B3EA1" w:rsidRPr="006B3EA1" w:rsidRDefault="006B3EA1" w:rsidP="006B3EA1">
      <w:pPr>
        <w:rPr>
          <w:b/>
          <w:lang w:val="en-GB"/>
        </w:rPr>
      </w:pPr>
      <w:r w:rsidRPr="006B3EA1">
        <w:rPr>
          <w:b/>
          <w:lang w:val="en-GB"/>
        </w:rPr>
        <w:t>ITU-T G.9961 (2018) Amd.1 "Unified high-speed wireline-based home networking transceivers – Data link layer specification: Amendment 1" (under approval)</w:t>
      </w:r>
      <w:r w:rsidRPr="006B3EA1">
        <w:rPr>
          <w:lang w:val="en-GB"/>
        </w:rPr>
        <w:t xml:space="preserve"> belongs to the family of ITU-T G.996x Recommendations. Recommendation ITU-T G.9961 specifies the data link layer (DLL) for wireline-based home networking transceivers capable of operating over premises wiring including inside telephone wiring, coaxial cable, and power-line wiring. It complements the system architecture and physical (PHY) layer specification in Recommendation ITU-T G.9960, and the power spectral density (PSD) specification in Recommendation ITU-T G.9964. Amendment 1 includes a new physical layer specification. This new physical layer provides new modulation mechanisms (e.g. Multi Level Coding) and Robust Communication Mode (RCM) and allows the system to be operated over an extended bandwidth for coaxial and phoneline mediums.</w:t>
      </w:r>
    </w:p>
    <w:p w14:paraId="0217BC2F" w14:textId="77777777" w:rsidR="006B3EA1" w:rsidRPr="006B3EA1" w:rsidRDefault="006B3EA1" w:rsidP="006B3EA1">
      <w:pPr>
        <w:pStyle w:val="Headingb"/>
      </w:pPr>
      <w:r w:rsidRPr="006B3EA1">
        <w:t>I.2.5</w:t>
      </w:r>
      <w:r w:rsidRPr="006B3EA1">
        <w:tab/>
        <w:t>Smart Grid</w:t>
      </w:r>
    </w:p>
    <w:p w14:paraId="639B1018" w14:textId="77777777" w:rsidR="006B3EA1" w:rsidRPr="006B3EA1" w:rsidRDefault="006B3EA1" w:rsidP="006B3EA1">
      <w:pPr>
        <w:pStyle w:val="Headingb"/>
      </w:pPr>
      <w:r w:rsidRPr="006B3EA1">
        <w:t>I.2.6</w:t>
      </w:r>
      <w:r w:rsidRPr="006B3EA1">
        <w:tab/>
        <w:t>Software-defined networking</w:t>
      </w:r>
      <w:bookmarkEnd w:id="249"/>
    </w:p>
    <w:p w14:paraId="4EC54B53" w14:textId="77777777" w:rsidR="006B3EA1" w:rsidRPr="006B3EA1" w:rsidRDefault="006B3EA1" w:rsidP="006B3EA1">
      <w:pPr>
        <w:pStyle w:val="Headingb"/>
      </w:pPr>
      <w:bookmarkStart w:id="250" w:name="_Toc480527895"/>
      <w:r w:rsidRPr="006B3EA1">
        <w:t>I.2.7</w:t>
      </w:r>
      <w:r w:rsidRPr="006B3EA1">
        <w:tab/>
        <w:t>Cloud computing</w:t>
      </w:r>
      <w:bookmarkEnd w:id="250"/>
    </w:p>
    <w:p w14:paraId="01E7A17F" w14:textId="77777777" w:rsidR="006B3EA1" w:rsidRPr="006B3EA1" w:rsidRDefault="00F60C99" w:rsidP="006B3EA1">
      <w:pPr>
        <w:rPr>
          <w:lang w:val="en-GB"/>
        </w:rPr>
      </w:pPr>
      <w:hyperlink r:id="rId247" w:history="1">
        <w:r w:rsidR="006B3EA1" w:rsidRPr="006B3EA1">
          <w:rPr>
            <w:rStyle w:val="Hyperlink"/>
            <w:b/>
            <w:lang w:val="en-GB"/>
          </w:rPr>
          <w:t>ITU-T Y.3509 “Cloud computing - Functional architecture for data storage federation”</w:t>
        </w:r>
      </w:hyperlink>
      <w:r w:rsidR="006B3EA1" w:rsidRPr="006B3EA1">
        <w:rPr>
          <w:b/>
          <w:lang w:val="en-GB"/>
        </w:rPr>
        <w:t xml:space="preserve"> </w:t>
      </w:r>
      <w:r w:rsidR="006B3EA1" w:rsidRPr="006B3EA1">
        <w:rPr>
          <w:lang w:val="en-GB"/>
        </w:rPr>
        <w:t>specifies the DSF functions based on DSF logical components identified in [ITU-T Y.3505], the DSF functional architecture and its reference points. This Recommendation also provides relationships between the DSF functional architecture and the cloud computing reference architecture defined in [ITU-T Y.3502].</w:t>
      </w:r>
    </w:p>
    <w:p w14:paraId="2E2B3FA8" w14:textId="77777777" w:rsidR="006B3EA1" w:rsidRPr="006B3EA1" w:rsidRDefault="00F60C99" w:rsidP="006B3EA1">
      <w:pPr>
        <w:rPr>
          <w:lang w:val="en-GB"/>
        </w:rPr>
      </w:pPr>
      <w:hyperlink r:id="rId248" w:history="1">
        <w:r w:rsidR="006B3EA1" w:rsidRPr="006B3EA1">
          <w:rPr>
            <w:rStyle w:val="Hyperlink"/>
            <w:b/>
            <w:lang w:val="en-GB"/>
          </w:rPr>
          <w:t>ITU-T Y.3524 “Cloud computing maturity requirements and framework”</w:t>
        </w:r>
      </w:hyperlink>
      <w:r w:rsidR="006B3EA1" w:rsidRPr="006B3EA1">
        <w:rPr>
          <w:lang w:val="en-GB"/>
        </w:rPr>
        <w:t xml:space="preserve"> provides functional framework and requirements for cloud computing maturity. It introduces the overview of cloud computing maturity and identifies the cloud computing maturity model including cloud customer management module, cloud resource management module, cloud service management module and cloud security management module. Additionally, this Recommendation provides cloud computing maturity requirements derived from use cases.</w:t>
      </w:r>
    </w:p>
    <w:p w14:paraId="4C35E48D" w14:textId="77777777" w:rsidR="006B3EA1" w:rsidRPr="006B3EA1" w:rsidRDefault="006B3EA1" w:rsidP="006B3EA1">
      <w:pPr>
        <w:pStyle w:val="Headingb"/>
      </w:pPr>
      <w:r w:rsidRPr="006B3EA1">
        <w:lastRenderedPageBreak/>
        <w:t>I.2.8</w:t>
      </w:r>
      <w:r w:rsidRPr="006B3EA1">
        <w:tab/>
        <w:t>Big data</w:t>
      </w:r>
    </w:p>
    <w:p w14:paraId="4A8DE1DE" w14:textId="77777777" w:rsidR="006B3EA1" w:rsidRPr="006B3EA1" w:rsidRDefault="00F60C99" w:rsidP="006B3EA1">
      <w:pPr>
        <w:rPr>
          <w:lang w:val="en-GB"/>
        </w:rPr>
      </w:pPr>
      <w:hyperlink r:id="rId249" w:history="1">
        <w:r w:rsidR="006B3EA1" w:rsidRPr="006B3EA1">
          <w:rPr>
            <w:rStyle w:val="Hyperlink"/>
            <w:b/>
            <w:lang w:val="en-GB"/>
          </w:rPr>
          <w:t>ITU-T Y.3603 “Big data – Requirements and conceptual model of metadata for data catalogue”</w:t>
        </w:r>
      </w:hyperlink>
      <w:r w:rsidR="006B3EA1" w:rsidRPr="006B3EA1">
        <w:rPr>
          <w:b/>
          <w:lang w:val="en-GB"/>
        </w:rPr>
        <w:t xml:space="preserve"> </w:t>
      </w:r>
      <w:r w:rsidR="006B3EA1" w:rsidRPr="006B3EA1">
        <w:rPr>
          <w:lang w:val="en-GB"/>
        </w:rPr>
        <w:t>describes general concept of metadata and its utilization in a big data ecosystem. Also, this Recommendation provides requirements and a conceptual model of metadata for data catalogue as well as the XML schema of metadata as an example. This metadata supports finding data easier, and is used for exchange, preservation, integration, and provenance of data in a big data ecosystem.</w:t>
      </w:r>
    </w:p>
    <w:p w14:paraId="401EEA06" w14:textId="77777777" w:rsidR="006B3EA1" w:rsidRPr="006B3EA1" w:rsidRDefault="006B3EA1" w:rsidP="006B3EA1">
      <w:pPr>
        <w:rPr>
          <w:lang w:val="en-GB"/>
        </w:rPr>
      </w:pPr>
      <w:r w:rsidRPr="006B3EA1">
        <w:rPr>
          <w:b/>
          <w:lang w:val="en-GB"/>
        </w:rPr>
        <w:t>ITU-T Y.3604 “Big data – Overview and requirements for data preservation”</w:t>
      </w:r>
      <w:r w:rsidRPr="006B3EA1">
        <w:rPr>
          <w:lang w:val="en-GB"/>
        </w:rPr>
        <w:t xml:space="preserve"> </w:t>
      </w:r>
      <w:r w:rsidRPr="006B3EA1">
        <w:rPr>
          <w:b/>
          <w:lang w:val="en-GB"/>
        </w:rPr>
        <w:t>(under approval)</w:t>
      </w:r>
      <w:r w:rsidRPr="006B3EA1">
        <w:rPr>
          <w:lang w:val="en-GB"/>
        </w:rPr>
        <w:t xml:space="preserve"> provides the overview of big data preservation and its requirements which are derived from the corresponding use cases. It addresses the subjects of overview of big data preservation, functional requirements of big data preservation as well as use cases of big data preservation.</w:t>
      </w:r>
    </w:p>
    <w:p w14:paraId="7D04C2FD" w14:textId="77777777" w:rsidR="006B3EA1" w:rsidRPr="006B3EA1" w:rsidRDefault="006B3EA1" w:rsidP="006B3EA1">
      <w:pPr>
        <w:pStyle w:val="Headingb"/>
      </w:pPr>
      <w:r w:rsidRPr="006B3EA1">
        <w:t>I.2.9</w:t>
      </w:r>
      <w:r w:rsidRPr="006B3EA1">
        <w:tab/>
        <w:t>Network Management</w:t>
      </w:r>
    </w:p>
    <w:p w14:paraId="3AB969CF" w14:textId="77777777" w:rsidR="006B3EA1" w:rsidRPr="006B3EA1" w:rsidRDefault="006B3EA1" w:rsidP="006B3EA1">
      <w:pPr>
        <w:rPr>
          <w:lang w:val="en-GB" w:eastAsia="en-US"/>
        </w:rPr>
      </w:pPr>
      <w:r w:rsidRPr="006B3EA1">
        <w:rPr>
          <w:b/>
          <w:lang w:val="en-GB" w:eastAsia="en-US"/>
        </w:rPr>
        <w:t>ITU-T M.3041 “Framework of smart operation, management and maintenance”</w:t>
      </w:r>
      <w:r w:rsidRPr="006B3EA1">
        <w:rPr>
          <w:lang w:val="en-GB" w:eastAsia="en-US"/>
        </w:rPr>
        <w:t xml:space="preserve"> </w:t>
      </w:r>
      <w:r w:rsidRPr="006B3EA1">
        <w:rPr>
          <w:b/>
          <w:lang w:val="en-GB"/>
        </w:rPr>
        <w:t>(under approval)</w:t>
      </w:r>
      <w:r w:rsidRPr="006B3EA1">
        <w:rPr>
          <w:lang w:val="en-GB"/>
        </w:rPr>
        <w:t xml:space="preserve"> </w:t>
      </w:r>
      <w:r w:rsidRPr="006B3EA1">
        <w:rPr>
          <w:lang w:val="en-GB" w:eastAsia="en-US"/>
        </w:rPr>
        <w:t>introduces framework of smart operation, management and maintenance (SOMM). In this Recommendation, characteristics, scenarios and the functional architecture of SOMM are provided to support service operation, network management, and infrastructure maintenance for both traditional non-SDN/NFV and SDN/NFV aware networks. This Recommendation also describes the relationship of the functional architecture of SOMM with logical layered architecture (LLA) of telecommunications management network (TMN).</w:t>
      </w:r>
    </w:p>
    <w:p w14:paraId="761CF473" w14:textId="77777777" w:rsidR="006B3EA1" w:rsidRPr="006B3EA1" w:rsidRDefault="006B3EA1" w:rsidP="006B3EA1">
      <w:pPr>
        <w:rPr>
          <w:lang w:val="en-GB" w:eastAsia="en-US"/>
        </w:rPr>
      </w:pPr>
      <w:r w:rsidRPr="006B3EA1">
        <w:rPr>
          <w:b/>
          <w:lang w:val="en-GB" w:eastAsia="en-US"/>
        </w:rPr>
        <w:t>ITU-T M.3362 “Requirements for Telecommunication anti-Fraud Management in the TMN”</w:t>
      </w:r>
      <w:r w:rsidRPr="006B3EA1">
        <w:rPr>
          <w:lang w:val="en-GB" w:eastAsia="en-US"/>
        </w:rPr>
        <w:t xml:space="preserve"> </w:t>
      </w:r>
      <w:r w:rsidRPr="006B3EA1">
        <w:rPr>
          <w:b/>
          <w:lang w:val="en-GB"/>
        </w:rPr>
        <w:t xml:space="preserve">(under approval) </w:t>
      </w:r>
      <w:r w:rsidRPr="006B3EA1">
        <w:rPr>
          <w:lang w:val="en-GB" w:eastAsia="en-US"/>
        </w:rPr>
        <w:t>describes the requirements for Telecommunication anti-Fraud Management in the TMN, the functional framework for combating telecommunication fraud management and the functional description. The requirements for telecommunication anti-fraud management include fraud detection management, fraud monitoring management, fraud mitigation management and fraud information sharing management. This Recommendation also describes telecommunication fraud scenarios including nuisance calls and spoofing calls.</w:t>
      </w:r>
    </w:p>
    <w:p w14:paraId="4FDAE034" w14:textId="5C80EEA9" w:rsidR="006B3EA1" w:rsidRPr="006B3EA1" w:rsidRDefault="006B3EA1" w:rsidP="006B3EA1">
      <w:pPr>
        <w:rPr>
          <w:lang w:val="en-GB" w:eastAsia="en-US"/>
        </w:rPr>
      </w:pPr>
      <w:r w:rsidRPr="006B3EA1">
        <w:rPr>
          <w:b/>
          <w:lang w:val="en-GB" w:eastAsia="en-US"/>
        </w:rPr>
        <w:t>ITU-T M.3363 “Requirements for data management in the TMN”</w:t>
      </w:r>
      <w:r w:rsidRPr="006B3EA1">
        <w:rPr>
          <w:lang w:val="en-GB" w:eastAsia="en-US"/>
        </w:rPr>
        <w:t xml:space="preserve"> </w:t>
      </w:r>
      <w:r w:rsidRPr="006B3EA1">
        <w:rPr>
          <w:b/>
          <w:lang w:val="en-GB"/>
        </w:rPr>
        <w:t xml:space="preserve">(under approval) </w:t>
      </w:r>
      <w:r w:rsidRPr="006B3EA1">
        <w:rPr>
          <w:lang w:val="en-GB" w:eastAsia="en-US"/>
        </w:rPr>
        <w:t>describes the requirements for data management in the TMN, the functional framework for data management a</w:t>
      </w:r>
      <w:r w:rsidR="00C221B4">
        <w:rPr>
          <w:lang w:val="en-GB" w:eastAsia="en-US"/>
        </w:rPr>
        <w:t xml:space="preserve">nd the functional description. </w:t>
      </w:r>
      <w:r w:rsidRPr="006B3EA1">
        <w:rPr>
          <w:lang w:val="en-GB" w:eastAsia="en-US"/>
        </w:rPr>
        <w:t>The data refers to the different categories of telecommunication data in BSS and OSS. The requirements for data management include metadata management, data lifecycle management, data quality management, data security management, data configuration management, data service management.</w:t>
      </w:r>
    </w:p>
    <w:p w14:paraId="1AD8119F" w14:textId="77777777" w:rsidR="006B3EA1" w:rsidRPr="006B3EA1" w:rsidRDefault="006B3EA1" w:rsidP="006B3EA1">
      <w:pPr>
        <w:rPr>
          <w:lang w:val="en-GB" w:eastAsia="en-US"/>
        </w:rPr>
      </w:pPr>
      <w:r w:rsidRPr="006B3EA1">
        <w:rPr>
          <w:b/>
          <w:lang w:val="en-GB" w:eastAsia="en-US"/>
        </w:rPr>
        <w:t>ITU-T M.3364 “Requirements for on-site telecommunication smart maintenance management function”</w:t>
      </w:r>
      <w:r w:rsidRPr="006B3EA1">
        <w:rPr>
          <w:lang w:val="en-GB" w:eastAsia="en-US"/>
        </w:rPr>
        <w:t xml:space="preserve"> </w:t>
      </w:r>
      <w:r w:rsidRPr="006B3EA1">
        <w:rPr>
          <w:b/>
          <w:lang w:val="en-GB"/>
        </w:rPr>
        <w:t>(under approval)</w:t>
      </w:r>
      <w:r w:rsidRPr="006B3EA1">
        <w:rPr>
          <w:lang w:val="en-GB"/>
        </w:rPr>
        <w:t xml:space="preserve"> </w:t>
      </w:r>
      <w:r w:rsidRPr="006B3EA1">
        <w:rPr>
          <w:lang w:val="en-GB" w:eastAsia="en-US"/>
        </w:rPr>
        <w:t>introduces requirements for on-site telecommunication smart maintenance management function. In this Recommendation, the requirements for telecommunication smart maintenance function are provided, which include on-site patrol, on-site overhaul, on-site troubleshooting, evaluation of maintenance work, management of maintenance knowledge base, management of service activation function, management of network resource, management of SMAT. This Recommendation also provides use cases of SMAT in TSMS.</w:t>
      </w:r>
    </w:p>
    <w:p w14:paraId="6E28B55C" w14:textId="77777777" w:rsidR="006B3EA1" w:rsidRPr="006B3EA1" w:rsidRDefault="006B3EA1" w:rsidP="006B3EA1">
      <w:pPr>
        <w:pStyle w:val="Headingb"/>
      </w:pPr>
      <w:r w:rsidRPr="006B3EA1">
        <w:t>I.3.1</w:t>
      </w:r>
      <w:r w:rsidRPr="006B3EA1">
        <w:tab/>
        <w:t>Video and image coding</w:t>
      </w:r>
    </w:p>
    <w:p w14:paraId="2AC277E5" w14:textId="77777777" w:rsidR="006B3EA1" w:rsidRPr="006B3EA1" w:rsidRDefault="00F60C99" w:rsidP="006B3EA1">
      <w:pPr>
        <w:rPr>
          <w:lang w:val="en-GB"/>
        </w:rPr>
      </w:pPr>
      <w:hyperlink r:id="rId250" w:history="1">
        <w:r w:rsidR="006B3EA1" w:rsidRPr="006B3EA1">
          <w:rPr>
            <w:rStyle w:val="Hyperlink"/>
            <w:b/>
            <w:lang w:val="en-GB"/>
          </w:rPr>
          <w:t>ITU-T H.222.0 (2019) Amd.1 “Information technology - Generic coding of moving pictures and associated audio information: Systems: Carriage of JPEG XS in MPEG-2 TS”</w:t>
        </w:r>
      </w:hyperlink>
      <w:r w:rsidR="006B3EA1" w:rsidRPr="006B3EA1">
        <w:rPr>
          <w:b/>
          <w:lang w:val="en-GB"/>
        </w:rPr>
        <w:t xml:space="preserve"> </w:t>
      </w:r>
      <w:r w:rsidR="006B3EA1" w:rsidRPr="006B3EA1">
        <w:rPr>
          <w:lang w:val="en-GB"/>
        </w:rPr>
        <w:t>adds support for the carriage of data encoded according to ISO/IEC 21122-1, also known as JPEG XS, to Rec. ITU-T H.222.0 (08/2018) | ISO/IEC 13818-1:2019.</w:t>
      </w:r>
    </w:p>
    <w:p w14:paraId="017E4E35" w14:textId="77777777" w:rsidR="006B3EA1" w:rsidRPr="006B3EA1" w:rsidRDefault="00F60C99" w:rsidP="006B3EA1">
      <w:pPr>
        <w:rPr>
          <w:lang w:val="en-GB"/>
        </w:rPr>
      </w:pPr>
      <w:hyperlink r:id="rId251" w:history="1">
        <w:r w:rsidR="006B3EA1" w:rsidRPr="006B3EA1">
          <w:rPr>
            <w:rStyle w:val="Hyperlink"/>
            <w:b/>
            <w:lang w:val="en-GB"/>
          </w:rPr>
          <w:t>ITU-T H.265 (V7) (revised) “High efficiency video coding”</w:t>
        </w:r>
      </w:hyperlink>
      <w:r w:rsidR="006B3EA1" w:rsidRPr="006B3EA1">
        <w:rPr>
          <w:lang w:val="en-GB"/>
        </w:rPr>
        <w:t xml:space="preserve">: This revision adds additional SEI messages for fisheye video information and annotated regions, </w:t>
      </w:r>
      <w:proofErr w:type="gramStart"/>
      <w:r w:rsidR="006B3EA1" w:rsidRPr="006B3EA1">
        <w:rPr>
          <w:lang w:val="en-GB"/>
        </w:rPr>
        <w:t>and also</w:t>
      </w:r>
      <w:proofErr w:type="gramEnd"/>
      <w:r w:rsidR="006B3EA1" w:rsidRPr="006B3EA1">
        <w:rPr>
          <w:lang w:val="en-GB"/>
        </w:rPr>
        <w:t xml:space="preserve"> includes corrections to various minor defects in the prior content of the Specification. This Recommendation was developed jointly with ISO/IEC JTC 1/SC 29/WG 11 (MPEG), and Rec. ITU-T H.265 is maintained as technically aligned twin text with ISO/IEC 23008-2. The technical changes in this </w:t>
      </w:r>
      <w:r w:rsidR="006B3EA1" w:rsidRPr="006B3EA1">
        <w:rPr>
          <w:lang w:val="en-GB"/>
        </w:rPr>
        <w:lastRenderedPageBreak/>
        <w:t>edition were developed in a joint collaborative team with MPEG in technical alignment with a not-yet-published edition of ISO/IEC 23008-2.</w:t>
      </w:r>
    </w:p>
    <w:p w14:paraId="658AFBB4" w14:textId="77777777" w:rsidR="006B3EA1" w:rsidRPr="006B3EA1" w:rsidRDefault="006B3EA1" w:rsidP="006B3EA1">
      <w:pPr>
        <w:pStyle w:val="Headingb"/>
      </w:pPr>
      <w:bookmarkStart w:id="251" w:name="_Toc480527896"/>
      <w:r w:rsidRPr="006B3EA1">
        <w:t>I.3.2</w:t>
      </w:r>
      <w:r w:rsidRPr="006B3EA1">
        <w:tab/>
        <w:t>Intelligent, interoperable visual surveillance systems</w:t>
      </w:r>
      <w:bookmarkEnd w:id="251"/>
    </w:p>
    <w:p w14:paraId="1FE707ED" w14:textId="77777777" w:rsidR="006B3EA1" w:rsidRPr="006B3EA1" w:rsidRDefault="006B3EA1" w:rsidP="006B3EA1">
      <w:pPr>
        <w:pStyle w:val="Headingb"/>
      </w:pPr>
      <w:bookmarkStart w:id="252" w:name="_Toc480527898"/>
      <w:r w:rsidRPr="006B3EA1">
        <w:t>I.3.3</w:t>
      </w:r>
      <w:r w:rsidRPr="006B3EA1">
        <w:tab/>
        <w:t>IPTV and digital signage</w:t>
      </w:r>
      <w:bookmarkEnd w:id="252"/>
    </w:p>
    <w:p w14:paraId="7D27E4BD" w14:textId="77777777" w:rsidR="006B3EA1" w:rsidRPr="006B3EA1" w:rsidRDefault="00F60C99" w:rsidP="006B3EA1">
      <w:pPr>
        <w:rPr>
          <w:lang w:val="en-GB"/>
        </w:rPr>
      </w:pPr>
      <w:hyperlink r:id="rId252" w:history="1">
        <w:r w:rsidR="006B3EA1" w:rsidRPr="006B3EA1">
          <w:rPr>
            <w:rStyle w:val="Hyperlink"/>
            <w:b/>
            <w:lang w:val="en-GB"/>
          </w:rPr>
          <w:t>ITU-T H.753 “Scene-based metadata for IPTV services”</w:t>
        </w:r>
      </w:hyperlink>
      <w:r w:rsidR="006B3EA1" w:rsidRPr="006B3EA1">
        <w:rPr>
          <w:b/>
          <w:lang w:val="en-GB"/>
        </w:rPr>
        <w:t xml:space="preserve">: </w:t>
      </w:r>
      <w:r w:rsidR="006B3EA1" w:rsidRPr="006B3EA1">
        <w:rPr>
          <w:lang w:val="en-GB"/>
        </w:rPr>
        <w:t>Scene-based metadata (SBM) for IPTV services defines the metadata element and format for content distribution over an IPTV terminal device and describes metadata management functions of SBM, which basically supports IPTV multimedia application frameworks in the Recommendation ITU-T H.760 series. This enables various content providers and distribution platforms to use standardized metadata during the process of content distribution and service provision. Therefore, this can maximize metadata generation and distribution efficacy through avoiding unnecessary data conversion and duplication. Moreover, intelligent and personalized smart broadcast service can be generated in convenience with using the metadata. In addition, this standard can be used by not only terrestrial broadcasting service provider and CATV/IPTV broadcasting service provider, but also third-party media providers and end users. As well, this standard can provide smart media application eco-system by applying media commerce, advertisement, education, etc. Scene-based metadata is based on ITU-T IPTV functional architecture and terminal devices defined in the ITU-T H.720-series and service defined in the Recommendation ITU-T H.750. This Recommendation also describes the Web-based functions for scene-based metadata service and the scene-based service workflow.</w:t>
      </w:r>
    </w:p>
    <w:p w14:paraId="7E7F1819" w14:textId="77777777" w:rsidR="006B3EA1" w:rsidRPr="006B3EA1" w:rsidRDefault="00F60C99" w:rsidP="006B3EA1">
      <w:pPr>
        <w:rPr>
          <w:b/>
          <w:lang w:val="en-GB"/>
        </w:rPr>
      </w:pPr>
      <w:hyperlink r:id="rId253" w:history="1">
        <w:r w:rsidR="006B3EA1" w:rsidRPr="006B3EA1">
          <w:rPr>
            <w:rStyle w:val="Hyperlink"/>
            <w:b/>
            <w:lang w:val="en-GB"/>
          </w:rPr>
          <w:t>ITU-T H.764 (V2) (revised) “IPTV services enhanced script language”</w:t>
        </w:r>
      </w:hyperlink>
      <w:r w:rsidR="006B3EA1" w:rsidRPr="006B3EA1">
        <w:rPr>
          <w:b/>
          <w:lang w:val="en-GB"/>
        </w:rPr>
        <w:t xml:space="preserve"> </w:t>
      </w:r>
      <w:r w:rsidR="006B3EA1" w:rsidRPr="006B3EA1">
        <w:rPr>
          <w:lang w:val="en-GB"/>
        </w:rPr>
        <w:t>describes an object-oriented programming language called "Internet protocol television services enhanced script language (IPTV SESL)" as one of multimedia application frameworks for web-based IPTV services. This language is used to perform computations and provide interoperability among multimedia applications within an IPTV terminal device environment. IPTV SESL is classified into "Core script profile" and "Extended script profile" in this Recommendation. The core script profile describes a subset of objects defined in LIME-Script of Recommendation ITU-T H.762. The extended script profile defines the additional objects to perform video and interactivity related computations. This Recommendation describes the requirements of properties, functions and methods of IPTV SESL to be supported by these two profiles. This revision corrects or clarifies the definitions of some properties and methods in extended script profile and makes some editorial modifications.</w:t>
      </w:r>
    </w:p>
    <w:p w14:paraId="6CCC7795" w14:textId="77777777" w:rsidR="006B3EA1" w:rsidRPr="006B3EA1" w:rsidRDefault="006B3EA1" w:rsidP="006B3EA1">
      <w:pPr>
        <w:pStyle w:val="Headingb"/>
      </w:pPr>
      <w:bookmarkStart w:id="253" w:name="_Toc480527900"/>
      <w:r w:rsidRPr="006B3EA1">
        <w:t>I.3.4</w:t>
      </w:r>
      <w:r w:rsidRPr="006B3EA1">
        <w:tab/>
        <w:t>Immersive live experience</w:t>
      </w:r>
    </w:p>
    <w:p w14:paraId="7B147CBF" w14:textId="77777777" w:rsidR="006B3EA1" w:rsidRPr="006B3EA1" w:rsidRDefault="00F60C99" w:rsidP="006B3EA1">
      <w:pPr>
        <w:rPr>
          <w:lang w:val="en-GB" w:eastAsia="en-US"/>
        </w:rPr>
      </w:pPr>
      <w:hyperlink r:id="rId254" w:history="1">
        <w:r w:rsidR="006B3EA1" w:rsidRPr="006B3EA1">
          <w:rPr>
            <w:rStyle w:val="Hyperlink"/>
            <w:b/>
            <w:lang w:val="en-GB" w:eastAsia="en-US"/>
          </w:rPr>
          <w:t>ITU-T H.430.4 “Service configuration, media transport protocols, signalling information of MMT for Immersive Live Experience (ILE) systems”</w:t>
        </w:r>
      </w:hyperlink>
      <w:r w:rsidR="006B3EA1" w:rsidRPr="006B3EA1">
        <w:rPr>
          <w:b/>
          <w:lang w:val="en-GB" w:eastAsia="en-US"/>
        </w:rPr>
        <w:t>:</w:t>
      </w:r>
      <w:r w:rsidR="006B3EA1" w:rsidRPr="006B3EA1">
        <w:rPr>
          <w:lang w:val="en-GB" w:eastAsia="en-US"/>
        </w:rPr>
        <w:t xml:space="preserve"> ILE services are realized by several types of information such as video, audio, lighting and stage effects, and the information should be transferred synchronously from source site to viewing sites. This document identifies service configuration, system structure, media transport protocol and signalling information for Immersive Live Experience (ILE) systems using ISO/IEC 23008-1 (MPEG Media Transport). This specifies constrains to ISO/IEC 23008-1 for ILE systems.</w:t>
      </w:r>
    </w:p>
    <w:p w14:paraId="5C02A1B2" w14:textId="77777777" w:rsidR="006B3EA1" w:rsidRPr="006B3EA1" w:rsidRDefault="00F60C99" w:rsidP="006B3EA1">
      <w:pPr>
        <w:rPr>
          <w:lang w:val="en-GB" w:eastAsia="en-US"/>
        </w:rPr>
      </w:pPr>
      <w:hyperlink r:id="rId255" w:history="1">
        <w:r w:rsidR="006B3EA1" w:rsidRPr="006B3EA1">
          <w:rPr>
            <w:rStyle w:val="Hyperlink"/>
            <w:b/>
            <w:lang w:val="en-GB" w:eastAsia="en-US"/>
          </w:rPr>
          <w:t>ITU-T H.626 (V2) (revised) “Architectural requirements for video surveillance system”</w:t>
        </w:r>
      </w:hyperlink>
      <w:r w:rsidR="006B3EA1" w:rsidRPr="006B3EA1">
        <w:rPr>
          <w:b/>
          <w:lang w:val="en-GB" w:eastAsia="en-US"/>
        </w:rPr>
        <w:t>:</w:t>
      </w:r>
      <w:r w:rsidR="006B3EA1" w:rsidRPr="006B3EA1">
        <w:rPr>
          <w:lang w:val="en-GB" w:eastAsia="en-US"/>
        </w:rPr>
        <w:t xml:space="preserve"> The video surveillance system has the functions of display and storage of the multimedia (such as video, audio and image) captured by multiple remote cameras over an IP network for multiple users, as well as remote control, alarm and linkage actions, recording and playback. Recommendation ITU-T H.626V2 defines the functional architecture for video surveillance system based on IP networks. This Recommendation defines the model, architecture, entities and reference points of the video surveillance system. This Recommendation also defines the hierarchy model for deployment and the interworking between the video surveillance systems and other multimedia systems. This revision updates the title, deletes requirements and service flows, revises the architecture and reference points according to the latest development and changes.</w:t>
      </w:r>
    </w:p>
    <w:p w14:paraId="6C0222AC" w14:textId="77777777" w:rsidR="006B3EA1" w:rsidRPr="006B3EA1" w:rsidRDefault="00F60C99" w:rsidP="006B3EA1">
      <w:pPr>
        <w:rPr>
          <w:lang w:val="en-GB" w:eastAsia="en-US"/>
        </w:rPr>
      </w:pPr>
      <w:hyperlink r:id="rId256" w:history="1">
        <w:r w:rsidR="006B3EA1" w:rsidRPr="006B3EA1">
          <w:rPr>
            <w:rStyle w:val="Hyperlink"/>
            <w:b/>
            <w:lang w:val="en-GB" w:eastAsia="en-US"/>
          </w:rPr>
          <w:t>ITU-T H.629.1 “Scenarios, framework and metadata for digitalized artwork images display system”</w:t>
        </w:r>
      </w:hyperlink>
      <w:r w:rsidR="006B3EA1" w:rsidRPr="006B3EA1">
        <w:rPr>
          <w:lang w:val="en-GB" w:eastAsia="en-US"/>
        </w:rPr>
        <w:t xml:space="preserve"> identifies the typical application scenarios (e.g., museum, art gallery, home, etc.) of digitalized artwork images display system; it identifies metadata for the content provider, the display terminal and the digital artworks in the digitalized artwork images display system; it identifies the specifications of electro-optical for the display terminal in the digitalized artwork images display system; and it provides the measurement methods and evaluation guidance for the electro-optical parameters.</w:t>
      </w:r>
    </w:p>
    <w:p w14:paraId="28F907BD" w14:textId="77777777" w:rsidR="006B3EA1" w:rsidRPr="006B3EA1" w:rsidRDefault="006B3EA1" w:rsidP="006B3EA1">
      <w:pPr>
        <w:pStyle w:val="Headingb"/>
      </w:pPr>
      <w:r w:rsidRPr="006B3EA1">
        <w:t>I.3.5</w:t>
      </w:r>
      <w:r w:rsidRPr="006B3EA1">
        <w:tab/>
        <w:t>Standards to assess quality of video communications and applications</w:t>
      </w:r>
    </w:p>
    <w:p w14:paraId="74AA9CD2" w14:textId="77777777" w:rsidR="006B3EA1" w:rsidRPr="006B3EA1" w:rsidRDefault="00F60C99" w:rsidP="006B3EA1">
      <w:pPr>
        <w:widowControl w:val="0"/>
        <w:rPr>
          <w:bCs/>
          <w:lang w:val="en-GB"/>
        </w:rPr>
      </w:pPr>
      <w:hyperlink r:id="rId257" w:history="1">
        <w:r w:rsidR="006B3EA1" w:rsidRPr="006B3EA1">
          <w:rPr>
            <w:rStyle w:val="Hyperlink"/>
            <w:b/>
            <w:bCs/>
            <w:lang w:val="en-GB"/>
          </w:rPr>
          <w:t xml:space="preserve">ITU-T G.1033 “QoS and </w:t>
        </w:r>
        <w:proofErr w:type="spellStart"/>
        <w:r w:rsidR="006B3EA1" w:rsidRPr="006B3EA1">
          <w:rPr>
            <w:rStyle w:val="Hyperlink"/>
            <w:b/>
            <w:bCs/>
            <w:lang w:val="en-GB"/>
          </w:rPr>
          <w:t>QoE</w:t>
        </w:r>
        <w:proofErr w:type="spellEnd"/>
        <w:r w:rsidR="006B3EA1" w:rsidRPr="006B3EA1">
          <w:rPr>
            <w:rStyle w:val="Hyperlink"/>
            <w:b/>
            <w:bCs/>
            <w:lang w:val="en-GB"/>
          </w:rPr>
          <w:t xml:space="preserve"> aspects of digital financial services”</w:t>
        </w:r>
      </w:hyperlink>
      <w:r w:rsidR="006B3EA1" w:rsidRPr="006B3EA1">
        <w:rPr>
          <w:b/>
          <w:bCs/>
          <w:lang w:val="en-GB"/>
        </w:rPr>
        <w:t xml:space="preserve"> </w:t>
      </w:r>
      <w:r w:rsidR="006B3EA1" w:rsidRPr="006B3EA1">
        <w:rPr>
          <w:bCs/>
          <w:lang w:val="en-GB"/>
        </w:rPr>
        <w:t>highlights important aspects related to Quality of Service (QoS) and Quality of Experience (</w:t>
      </w:r>
      <w:proofErr w:type="spellStart"/>
      <w:r w:rsidR="006B3EA1" w:rsidRPr="006B3EA1">
        <w:rPr>
          <w:bCs/>
          <w:lang w:val="en-GB"/>
        </w:rPr>
        <w:t>QoE</w:t>
      </w:r>
      <w:proofErr w:type="spellEnd"/>
      <w:r w:rsidR="006B3EA1" w:rsidRPr="006B3EA1">
        <w:rPr>
          <w:bCs/>
          <w:lang w:val="en-GB"/>
        </w:rPr>
        <w:t xml:space="preserve">) which shall be considered in the context of Digital Financial Services (DFS). It builds upon the discussions in the (now closed) ITU-T Focus Group Digital Financial Services. The continuation of work on QoS and </w:t>
      </w:r>
      <w:proofErr w:type="spellStart"/>
      <w:r w:rsidR="006B3EA1" w:rsidRPr="006B3EA1">
        <w:rPr>
          <w:bCs/>
          <w:lang w:val="en-GB"/>
        </w:rPr>
        <w:t>QoE</w:t>
      </w:r>
      <w:proofErr w:type="spellEnd"/>
      <w:r w:rsidR="006B3EA1" w:rsidRPr="006B3EA1">
        <w:rPr>
          <w:bCs/>
          <w:lang w:val="en-GB"/>
        </w:rPr>
        <w:t xml:space="preserve"> aspects is undertaken by the Financial Inclusion Global Initiative (FIGI).</w:t>
      </w:r>
    </w:p>
    <w:p w14:paraId="504F2936" w14:textId="77777777" w:rsidR="006B3EA1" w:rsidRPr="006B3EA1" w:rsidRDefault="006B3EA1" w:rsidP="006B3EA1">
      <w:pPr>
        <w:pStyle w:val="Headingb"/>
      </w:pPr>
      <w:r w:rsidRPr="006B3EA1">
        <w:t>I.3.6</w:t>
      </w:r>
      <w:r w:rsidRPr="006B3EA1">
        <w:tab/>
        <w:t>New services and applications</w:t>
      </w:r>
      <w:bookmarkEnd w:id="253"/>
    </w:p>
    <w:p w14:paraId="07ECDF74" w14:textId="77777777" w:rsidR="006B3EA1" w:rsidRPr="006B3EA1" w:rsidRDefault="00F60C99" w:rsidP="006B3EA1">
      <w:pPr>
        <w:rPr>
          <w:lang w:val="en-GB"/>
        </w:rPr>
      </w:pPr>
      <w:hyperlink r:id="rId258" w:history="1">
        <w:r w:rsidR="006B3EA1" w:rsidRPr="006B3EA1">
          <w:rPr>
            <w:rStyle w:val="Hyperlink"/>
            <w:b/>
            <w:lang w:val="en-GB"/>
          </w:rPr>
          <w:t>ITU-T F.740.1 “Requirements for an information service of objects in museums”</w:t>
        </w:r>
      </w:hyperlink>
      <w:r w:rsidR="006B3EA1" w:rsidRPr="006B3EA1">
        <w:rPr>
          <w:lang w:val="en-GB"/>
        </w:rPr>
        <w:t xml:space="preserve"> describes the requirements for an information service of objects in museums (ISOM) and the capabilities of key components of this information service. This information service can improve museum users' experience by collecting information about the exhibits and other related information from different parties and showing all the information in appropriate ways.</w:t>
      </w:r>
    </w:p>
    <w:p w14:paraId="254508A9" w14:textId="77777777" w:rsidR="006B3EA1" w:rsidRPr="006B3EA1" w:rsidRDefault="00F60C99" w:rsidP="006B3EA1">
      <w:pPr>
        <w:rPr>
          <w:lang w:val="en-GB"/>
        </w:rPr>
      </w:pPr>
      <w:hyperlink r:id="rId259" w:history="1">
        <w:r w:rsidR="006B3EA1" w:rsidRPr="006B3EA1">
          <w:rPr>
            <w:rStyle w:val="Hyperlink"/>
            <w:b/>
            <w:lang w:val="en-GB"/>
          </w:rPr>
          <w:t>ITU-T F.743 (revised, V2) “Requirements and service description for video surveillance”</w:t>
        </w:r>
      </w:hyperlink>
      <w:r w:rsidR="006B3EA1" w:rsidRPr="006B3EA1">
        <w:rPr>
          <w:lang w:val="en-GB"/>
        </w:rPr>
        <w:t xml:space="preserve"> defines a video surveillance service based on IP networks. The video surveillance service provides the display and storage of the video captured by multiple remote cameras over an IP network for multiple users. It also provides other functionalities such as remote control and alarming. This Recommendation provides the service description, a brief system model, service scenarios and requirements for the video surveillance service. The requirements for the video surveillance service are derived from the scenarios of different applications that a video surveillance service can support. Therefore, the service requirements meet the needs of different kinds of users and enable interoperability among video surveillance systems of different telecom operators and units of different vendors. This revision updates the title of this Recommendation, some technical content descriptions, and video surveillance system requirements in clause 8.</w:t>
      </w:r>
    </w:p>
    <w:p w14:paraId="6469F29D" w14:textId="77777777" w:rsidR="006B3EA1" w:rsidRPr="006B3EA1" w:rsidRDefault="00F60C99" w:rsidP="006B3EA1">
      <w:pPr>
        <w:rPr>
          <w:lang w:val="en-GB"/>
        </w:rPr>
      </w:pPr>
      <w:hyperlink r:id="rId260" w:history="1">
        <w:r w:rsidR="006B3EA1" w:rsidRPr="006B3EA1">
          <w:rPr>
            <w:rStyle w:val="Hyperlink"/>
            <w:b/>
            <w:lang w:val="en-GB"/>
          </w:rPr>
          <w:t>ITU-T F.743.10 “Requirements for mobile edge computing enabled content delivery networks”</w:t>
        </w:r>
      </w:hyperlink>
      <w:r w:rsidR="006B3EA1" w:rsidRPr="006B3EA1">
        <w:rPr>
          <w:lang w:val="en-GB"/>
        </w:rPr>
        <w:t xml:space="preserve"> specifies the general framework, scenarios and requirements of the mobile edge computing (MEC) enabled content delivery network (CDN). It is also specified the requirements of the MEC functions on which the CDN edge node is relied. The deployment of CDN edge node with MEC system is described in the general framework. Several user cases are introduced in this Recommendation to illustrate the usage of the MEC enabled CDN. This Recommendation provides a new solution to enhance the current CDN service by adopting the MEC technology. MEC enabled CDN, consisting of conventional CDN and mobile edge CDN, is an effective way to reduce latency to improve user experience and save bandwidth for backbone network. In addition, deployment and maintenance costs are reduced.</w:t>
      </w:r>
    </w:p>
    <w:p w14:paraId="4F8D6C37" w14:textId="77777777" w:rsidR="006B3EA1" w:rsidRPr="006B3EA1" w:rsidRDefault="00F60C99" w:rsidP="006B3EA1">
      <w:pPr>
        <w:rPr>
          <w:lang w:val="en-GB"/>
        </w:rPr>
      </w:pPr>
      <w:hyperlink r:id="rId261" w:history="1">
        <w:r w:rsidR="006B3EA1" w:rsidRPr="006B3EA1">
          <w:rPr>
            <w:rStyle w:val="Hyperlink"/>
            <w:b/>
            <w:lang w:val="en-GB"/>
          </w:rPr>
          <w:t>ITU-T F.749.11 “Requirements of civilian unmanned aerial vehicles enabled mobile edge computing”</w:t>
        </w:r>
      </w:hyperlink>
      <w:r w:rsidR="006B3EA1" w:rsidRPr="006B3EA1">
        <w:rPr>
          <w:b/>
          <w:lang w:val="en-GB"/>
        </w:rPr>
        <w:t>:</w:t>
      </w:r>
      <w:r w:rsidR="006B3EA1" w:rsidRPr="006B3EA1">
        <w:rPr>
          <w:lang w:val="en-GB"/>
        </w:rPr>
        <w:t xml:space="preserve"> Civilian unmanned aerial vehicles (CUAV) enabled mobile edge computing (MEC) utilizes CUAV as mobile edge computing platform to realize a flexible, efficient and on-demand computing service which can be rapidly deployed and move according to the practical service needs of devices. This Recommendation describes the framework and specifies the requirements of CUAV-MEC system, including functional requirements, service requirements and security requirements. This Recommendation also provides a comprehensive framework of the MEC service through CUAV. CUAV-MEC can provide fast, dynamic, effective edge service for devices in </w:t>
      </w:r>
      <w:r w:rsidR="006B3EA1" w:rsidRPr="006B3EA1">
        <w:rPr>
          <w:lang w:val="en-GB"/>
        </w:rPr>
        <w:lastRenderedPageBreak/>
        <w:t>hotspot and disaster scenarios, etc. Benefitting from the characteristics of flexible accessibility and on-demand services, CUAV-MEC can reduce the computation delay and improve service quality.</w:t>
      </w:r>
    </w:p>
    <w:p w14:paraId="7F7D6B7E" w14:textId="77777777" w:rsidR="006B3EA1" w:rsidRPr="006B3EA1" w:rsidRDefault="006B3EA1" w:rsidP="006B3EA1">
      <w:pPr>
        <w:pStyle w:val="Headingb"/>
      </w:pPr>
      <w:r w:rsidRPr="006B3EA1">
        <w:t>I.4.1</w:t>
      </w:r>
      <w:r w:rsidRPr="006B3EA1">
        <w:tab/>
        <w:t>Internet of Things and Smart City</w:t>
      </w:r>
    </w:p>
    <w:p w14:paraId="0991C819" w14:textId="77777777" w:rsidR="006B3EA1" w:rsidRPr="006B3EA1" w:rsidRDefault="00F60C99" w:rsidP="006B3EA1">
      <w:pPr>
        <w:rPr>
          <w:bCs/>
          <w:lang w:val="en-GB"/>
        </w:rPr>
      </w:pPr>
      <w:hyperlink r:id="rId262" w:history="1">
        <w:r w:rsidR="006B3EA1" w:rsidRPr="006B3EA1">
          <w:rPr>
            <w:rStyle w:val="Hyperlink"/>
            <w:b/>
          </w:rPr>
          <w:t>ITU-T Y.4208 “</w:t>
        </w:r>
        <w:r w:rsidR="006B3EA1" w:rsidRPr="006B3EA1">
          <w:rPr>
            <w:rStyle w:val="Hyperlink"/>
            <w:b/>
            <w:lang w:val="en-GB"/>
          </w:rPr>
          <w:t>IoT requirements for support of edge computing”</w:t>
        </w:r>
      </w:hyperlink>
      <w:r w:rsidR="006B3EA1" w:rsidRPr="006B3EA1">
        <w:rPr>
          <w:b/>
          <w:lang w:val="en-GB"/>
        </w:rPr>
        <w:t xml:space="preserve">: </w:t>
      </w:r>
      <w:r w:rsidR="006B3EA1" w:rsidRPr="006B3EA1">
        <w:rPr>
          <w:bCs/>
          <w:lang w:val="en-GB"/>
        </w:rPr>
        <w:t>Some of the capabilities offered by the IoT, e.g., capabilities for computing, storage and analytics, are evolving in closer proximity to the IoT data sources. This Recommendation provides an overview on related challenges faced by the IoT and describes how the IoT supporting edge computing may address these challenges. From the edge computing deployment perspective, service requirements for support of edge computing capabilities in the IoT are identified as well as related functional requirements. As example, scenarios of edge computing deployment in different application domains, edge computing scenarios for Vehicle-to-Everything and for smart manufacturing are provided in Appendix I.</w:t>
      </w:r>
    </w:p>
    <w:p w14:paraId="38B61C5B" w14:textId="77777777" w:rsidR="006B3EA1" w:rsidRPr="006B3EA1" w:rsidRDefault="006B3EA1" w:rsidP="006B3EA1">
      <w:pPr>
        <w:rPr>
          <w:b/>
        </w:rPr>
      </w:pPr>
      <w:r w:rsidRPr="006B3EA1">
        <w:rPr>
          <w:b/>
        </w:rPr>
        <w:t>ITU-T Y.4209 “</w:t>
      </w:r>
      <w:r w:rsidRPr="006B3EA1">
        <w:rPr>
          <w:b/>
          <w:lang w:val="en-GB"/>
        </w:rPr>
        <w:t>Requirements for interoperation of the smart port with the smart city” (under approval)</w:t>
      </w:r>
      <w:r w:rsidRPr="006B3EA1">
        <w:rPr>
          <w:b/>
        </w:rPr>
        <w:t xml:space="preserve"> </w:t>
      </w:r>
      <w:r w:rsidRPr="006B3EA1">
        <w:rPr>
          <w:bCs/>
          <w:lang w:val="en-GB"/>
        </w:rPr>
        <w:t>provides the requirements for Smart Port interoperation with Smart Cities and other smart elements. Additionally, these requirements are the foundation that enables the provision of enhanced smart services by the Smart Port (which may also benefit Smart Cities), also described in this Recommendation.</w:t>
      </w:r>
    </w:p>
    <w:p w14:paraId="3D6AAE85" w14:textId="77777777" w:rsidR="006B3EA1" w:rsidRPr="006B3EA1" w:rsidRDefault="00F60C99" w:rsidP="006B3EA1">
      <w:pPr>
        <w:rPr>
          <w:lang w:val="en-GB"/>
        </w:rPr>
      </w:pPr>
      <w:hyperlink r:id="rId263" w:history="1">
        <w:r w:rsidR="006B3EA1" w:rsidRPr="006B3EA1">
          <w:rPr>
            <w:rStyle w:val="Hyperlink"/>
            <w:b/>
            <w:lang w:val="en-GB"/>
          </w:rPr>
          <w:t>ITU-T Y.4459 "Digital entity architecture for IoT interoperability"</w:t>
        </w:r>
      </w:hyperlink>
      <w:r w:rsidR="006B3EA1" w:rsidRPr="006B3EA1">
        <w:rPr>
          <w:lang w:val="en-GB"/>
        </w:rPr>
        <w:t xml:space="preserve"> introduces the digital entity architecture and its prospective in addressing interoperability and security among IoT applications.</w:t>
      </w:r>
    </w:p>
    <w:p w14:paraId="40B5E787" w14:textId="77777777" w:rsidR="006B3EA1" w:rsidRPr="006B3EA1" w:rsidRDefault="006B3EA1" w:rsidP="006B3EA1">
      <w:pPr>
        <w:rPr>
          <w:lang w:val="en-GB"/>
        </w:rPr>
      </w:pPr>
      <w:r w:rsidRPr="006B3EA1">
        <w:rPr>
          <w:lang w:val="en-GB"/>
        </w:rPr>
        <w:t>This Recommendation defines an architecture framework for information-oriented services that makes use of existing infrastructures, including the Internet infrastructure, to enhance secure and managed information sharing over a distributed networking environment. It defines an architecture framework for information management based on the use of digital entity, and a common set of secure services that will help the registration, discovery, resolution, and dissemination of such digital entities. The set of services is designed to facilitate sharing across any storage boundaries, any heterogeneous application boundaries, and any organization boundaries.</w:t>
      </w:r>
    </w:p>
    <w:p w14:paraId="1D7FFD43" w14:textId="77777777" w:rsidR="006B3EA1" w:rsidRPr="006B3EA1" w:rsidRDefault="006B3EA1" w:rsidP="006B3EA1">
      <w:pPr>
        <w:rPr>
          <w:lang w:val="en-GB"/>
        </w:rPr>
      </w:pPr>
      <w:r w:rsidRPr="006B3EA1">
        <w:rPr>
          <w:lang w:val="en-GB"/>
        </w:rPr>
        <w:t>Digital entity architecture defines a minimum set of needed architectural components, and services to provide a generic information and service interoperability. It will facilitate the interoperability of identification, description, representation, access, storage and security of IoT devices. This architecture framework encourages a common security and management interface across different IoT applications.</w:t>
      </w:r>
    </w:p>
    <w:p w14:paraId="5223B74D" w14:textId="77777777" w:rsidR="006B3EA1" w:rsidRPr="006B3EA1" w:rsidRDefault="006B3EA1" w:rsidP="006B3EA1">
      <w:pPr>
        <w:rPr>
          <w:lang w:val="en-GB"/>
        </w:rPr>
      </w:pPr>
      <w:r w:rsidRPr="006B3EA1">
        <w:rPr>
          <w:lang w:val="en-GB"/>
        </w:rPr>
        <w:t>Under a digital entity architecture, information represented in digital form is structured as digital entity, each of which has an associated unique persistent identifier. However, metadata contained in the digital entities (e.g. location of the object) could be updated without changing its identifier.</w:t>
      </w:r>
    </w:p>
    <w:p w14:paraId="3F3BD525" w14:textId="77777777" w:rsidR="006B3EA1" w:rsidRPr="006B3EA1" w:rsidRDefault="006B3EA1" w:rsidP="006B3EA1">
      <w:pPr>
        <w:rPr>
          <w:lang w:val="en-GB"/>
        </w:rPr>
      </w:pPr>
      <w:r w:rsidRPr="006B3EA1">
        <w:rPr>
          <w:lang w:val="en-GB"/>
        </w:rPr>
        <w:t xml:space="preserve">The identifier allows the digital entities to be identified and discovered, regardless where they are located or stored. Digital entities are not confined within any </w:t>
      </w:r>
      <w:proofErr w:type="gramStart"/>
      <w:r w:rsidRPr="006B3EA1">
        <w:rPr>
          <w:lang w:val="en-GB"/>
        </w:rPr>
        <w:t>particular application</w:t>
      </w:r>
      <w:proofErr w:type="gramEnd"/>
      <w:r w:rsidRPr="006B3EA1">
        <w:rPr>
          <w:lang w:val="en-GB"/>
        </w:rPr>
        <w:t xml:space="preserve"> boundary and may be moved from host to host, accessed from application to application, shared from organization to organization, without losing its ownership or management control, in order to enhance interoperability. The digital entity’s data model allows ownership and access control information to be defined by data owners independently of any specific applications.</w:t>
      </w:r>
    </w:p>
    <w:p w14:paraId="756CD3EA" w14:textId="77777777" w:rsidR="006B3EA1" w:rsidRPr="006B3EA1" w:rsidRDefault="006B3EA1" w:rsidP="006B3EA1">
      <w:pPr>
        <w:rPr>
          <w:lang w:val="en-GB"/>
        </w:rPr>
      </w:pPr>
      <w:r w:rsidRPr="006B3EA1">
        <w:rPr>
          <w:lang w:val="en-GB"/>
        </w:rPr>
        <w:t xml:space="preserve">This Recommendation can be used with different identification and addressing protocols (e.g. IP and/or </w:t>
      </w:r>
      <w:proofErr w:type="gramStart"/>
      <w:r w:rsidRPr="006B3EA1">
        <w:rPr>
          <w:lang w:val="en-GB"/>
        </w:rPr>
        <w:t>non IP</w:t>
      </w:r>
      <w:proofErr w:type="gramEnd"/>
      <w:r w:rsidRPr="006B3EA1">
        <w:rPr>
          <w:lang w:val="en-GB"/>
        </w:rPr>
        <w:t xml:space="preserve"> based networks).</w:t>
      </w:r>
    </w:p>
    <w:p w14:paraId="6B0AB24A" w14:textId="77777777" w:rsidR="006B3EA1" w:rsidRPr="006B3EA1" w:rsidRDefault="006B3EA1" w:rsidP="006B3EA1">
      <w:pPr>
        <w:rPr>
          <w:lang w:val="en-GB"/>
        </w:rPr>
      </w:pPr>
      <w:r w:rsidRPr="006B3EA1">
        <w:rPr>
          <w:b/>
          <w:bCs/>
          <w:lang w:val="en-GB"/>
        </w:rPr>
        <w:t xml:space="preserve">ITU-T Y.4461 “Framework of open data in smart cities” (under approval) </w:t>
      </w:r>
      <w:r w:rsidRPr="006B3EA1">
        <w:rPr>
          <w:lang w:val="en-GB"/>
        </w:rPr>
        <w:t>defines a framework of open data in smart cities. It clarifies the concept of open data in smart cities, analyses the benefits of open data in smart cities, identifies the key phases, key roles and activities of open data in smart cities and describes the framework and general requirements of open data in smart cities. The use cases are also provided in an informative appendix.</w:t>
      </w:r>
    </w:p>
    <w:p w14:paraId="1466AB82" w14:textId="77777777" w:rsidR="006B3EA1" w:rsidRPr="006B3EA1" w:rsidRDefault="00F60C99" w:rsidP="006B3EA1">
      <w:pPr>
        <w:rPr>
          <w:lang w:val="en-GB"/>
        </w:rPr>
      </w:pPr>
      <w:hyperlink r:id="rId264" w:history="1">
        <w:r w:rsidR="006B3EA1" w:rsidRPr="006B3EA1">
          <w:rPr>
            <w:rStyle w:val="Hyperlink"/>
            <w:b/>
            <w:bCs/>
          </w:rPr>
          <w:t>ITU-T Y.4462 “</w:t>
        </w:r>
        <w:r w:rsidR="006B3EA1" w:rsidRPr="006B3EA1">
          <w:rPr>
            <w:rStyle w:val="Hyperlink"/>
            <w:b/>
            <w:bCs/>
            <w:lang w:val="en-GB"/>
          </w:rPr>
          <w:t>Requirements and functional architecture of open IoT identity correlation service”</w:t>
        </w:r>
      </w:hyperlink>
      <w:r w:rsidR="006B3EA1" w:rsidRPr="006B3EA1">
        <w:rPr>
          <w:b/>
          <w:bCs/>
          <w:lang w:val="en-GB"/>
        </w:rPr>
        <w:t xml:space="preserve">: </w:t>
      </w:r>
      <w:r w:rsidR="006B3EA1" w:rsidRPr="006B3EA1">
        <w:rPr>
          <w:lang w:val="en-GB"/>
        </w:rPr>
        <w:t xml:space="preserve">Open IoT identity correlation service, or open IoT ICS, is a service to map identities among devices, third party services, and transactions. Recommendation ITU-T </w:t>
      </w:r>
      <w:proofErr w:type="spellStart"/>
      <w:proofErr w:type="gramStart"/>
      <w:r w:rsidR="006B3EA1" w:rsidRPr="006B3EA1">
        <w:rPr>
          <w:lang w:val="en-GB"/>
        </w:rPr>
        <w:t>Y.IoT</w:t>
      </w:r>
      <w:proofErr w:type="gramEnd"/>
      <w:r w:rsidR="006B3EA1" w:rsidRPr="006B3EA1">
        <w:rPr>
          <w:lang w:val="en-GB"/>
        </w:rPr>
        <w:t>-ics</w:t>
      </w:r>
      <w:proofErr w:type="spellEnd"/>
      <w:r w:rsidR="006B3EA1" w:rsidRPr="006B3EA1">
        <w:rPr>
          <w:lang w:val="en-GB"/>
        </w:rPr>
        <w:t xml:space="preserve"> specifies the reference architecture of open IoT ICS which supports Internet of things (IoT) devices to access multiple third party service providers. This Recommendation clarifies the concept of the open IoT ICS, identifies its basic capabilities, common requirements </w:t>
      </w:r>
      <w:proofErr w:type="gramStart"/>
      <w:r w:rsidR="006B3EA1" w:rsidRPr="006B3EA1">
        <w:rPr>
          <w:lang w:val="en-GB"/>
        </w:rPr>
        <w:t>and also</w:t>
      </w:r>
      <w:proofErr w:type="gramEnd"/>
      <w:r w:rsidR="006B3EA1" w:rsidRPr="006B3EA1">
        <w:rPr>
          <w:lang w:val="en-GB"/>
        </w:rPr>
        <w:t xml:space="preserve"> provides the reference architecture and relevant high-level common procedures for open IoT ICS.</w:t>
      </w:r>
    </w:p>
    <w:p w14:paraId="41CE5FFC" w14:textId="77777777" w:rsidR="006B3EA1" w:rsidRPr="006B3EA1" w:rsidRDefault="00F60C99" w:rsidP="006B3EA1">
      <w:pPr>
        <w:rPr>
          <w:lang w:val="en-GB"/>
        </w:rPr>
      </w:pPr>
      <w:hyperlink r:id="rId265" w:history="1">
        <w:r w:rsidR="006B3EA1" w:rsidRPr="006B3EA1">
          <w:rPr>
            <w:rStyle w:val="Hyperlink"/>
            <w:b/>
            <w:bCs/>
          </w:rPr>
          <w:t>ITU-T Y.4463 “</w:t>
        </w:r>
        <w:r w:rsidR="006B3EA1" w:rsidRPr="006B3EA1">
          <w:rPr>
            <w:rStyle w:val="Hyperlink"/>
            <w:b/>
            <w:bCs/>
            <w:lang w:val="en-GB"/>
          </w:rPr>
          <w:t>Framework of delegation service for IoT devices”</w:t>
        </w:r>
      </w:hyperlink>
      <w:r w:rsidR="006B3EA1" w:rsidRPr="006B3EA1">
        <w:rPr>
          <w:lang w:val="en-GB"/>
        </w:rPr>
        <w:t xml:space="preserve"> is a framework of the delegation service for transferring ownership (i.e., access rights to the IoT devices) among authorized IoT devices. This Recommendation describes overview and types of the delegation service in IoT environment. It also describes the requirements and architectural models of the delegation service.</w:t>
      </w:r>
    </w:p>
    <w:p w14:paraId="25452482" w14:textId="77777777" w:rsidR="006B3EA1" w:rsidRPr="006B3EA1" w:rsidRDefault="00F60C99" w:rsidP="006B3EA1">
      <w:pPr>
        <w:rPr>
          <w:lang w:val="en-GB"/>
        </w:rPr>
      </w:pPr>
      <w:hyperlink r:id="rId266" w:history="1">
        <w:r w:rsidR="006B3EA1" w:rsidRPr="006B3EA1">
          <w:rPr>
            <w:rStyle w:val="Hyperlink"/>
            <w:b/>
            <w:bCs/>
          </w:rPr>
          <w:t>ITU-T Y.4464 “</w:t>
        </w:r>
        <w:r w:rsidR="006B3EA1" w:rsidRPr="006B3EA1">
          <w:rPr>
            <w:rStyle w:val="Hyperlink"/>
            <w:b/>
            <w:bCs/>
            <w:lang w:val="en-GB"/>
          </w:rPr>
          <w:t>Framework of blockchain of things as decentralized service platform”</w:t>
        </w:r>
      </w:hyperlink>
      <w:r w:rsidR="006B3EA1" w:rsidRPr="006B3EA1">
        <w:rPr>
          <w:b/>
          <w:bCs/>
          <w:lang w:val="en-GB"/>
        </w:rPr>
        <w:t xml:space="preserve"> </w:t>
      </w:r>
      <w:r w:rsidR="006B3EA1" w:rsidRPr="006B3EA1">
        <w:rPr>
          <w:lang w:val="en-GB"/>
        </w:rPr>
        <w:t>introduces a decentralized IoT service platform, blockchain of things (</w:t>
      </w:r>
      <w:proofErr w:type="spellStart"/>
      <w:r w:rsidR="006B3EA1" w:rsidRPr="006B3EA1">
        <w:rPr>
          <w:lang w:val="en-GB"/>
        </w:rPr>
        <w:t>BoT</w:t>
      </w:r>
      <w:proofErr w:type="spellEnd"/>
      <w:r w:rsidR="006B3EA1" w:rsidRPr="006B3EA1">
        <w:rPr>
          <w:lang w:val="en-GB"/>
        </w:rPr>
        <w:t xml:space="preserve">), which is enabled by blockchain-related technologies. This Recommendation analyses the concept, common characteristics and high-level requirements of </w:t>
      </w:r>
      <w:proofErr w:type="spellStart"/>
      <w:r w:rsidR="006B3EA1" w:rsidRPr="006B3EA1">
        <w:rPr>
          <w:lang w:val="en-GB"/>
        </w:rPr>
        <w:t>BoT</w:t>
      </w:r>
      <w:proofErr w:type="spellEnd"/>
      <w:r w:rsidR="006B3EA1" w:rsidRPr="006B3EA1">
        <w:rPr>
          <w:lang w:val="en-GB"/>
        </w:rPr>
        <w:t xml:space="preserve">, and provides common capabilities and functionalities, general procedures, and relevant use cases for </w:t>
      </w:r>
      <w:proofErr w:type="spellStart"/>
      <w:r w:rsidR="006B3EA1" w:rsidRPr="006B3EA1">
        <w:rPr>
          <w:lang w:val="en-GB"/>
        </w:rPr>
        <w:t>BoT.</w:t>
      </w:r>
      <w:proofErr w:type="spellEnd"/>
      <w:r w:rsidR="006B3EA1" w:rsidRPr="006B3EA1">
        <w:rPr>
          <w:lang w:val="en-GB"/>
        </w:rPr>
        <w:t xml:space="preserve"> </w:t>
      </w:r>
      <w:proofErr w:type="spellStart"/>
      <w:proofErr w:type="gramStart"/>
      <w:r w:rsidR="006B3EA1" w:rsidRPr="006B3EA1">
        <w:rPr>
          <w:lang w:val="en-GB"/>
        </w:rPr>
        <w:t>BoT</w:t>
      </w:r>
      <w:proofErr w:type="spellEnd"/>
      <w:r w:rsidR="006B3EA1" w:rsidRPr="006B3EA1">
        <w:rPr>
          <w:lang w:val="en-GB"/>
        </w:rPr>
        <w:t>,</w:t>
      </w:r>
      <w:proofErr w:type="gramEnd"/>
      <w:r w:rsidR="006B3EA1" w:rsidRPr="006B3EA1">
        <w:rPr>
          <w:lang w:val="en-GB"/>
        </w:rPr>
        <w:t xml:space="preserve"> works in a decentralized service mode and is capable of enhancing many aspects of IoT. It has the advantages of blockchain-related technologies, especially for building decentralized data storage and management, crowding decision-making and automatic interactions.</w:t>
      </w:r>
    </w:p>
    <w:p w14:paraId="68966086" w14:textId="77777777" w:rsidR="006B3EA1" w:rsidRPr="006B3EA1" w:rsidRDefault="00F60C99" w:rsidP="006B3EA1">
      <w:pPr>
        <w:rPr>
          <w:lang w:val="en-GB"/>
        </w:rPr>
      </w:pPr>
      <w:hyperlink r:id="rId267" w:history="1">
        <w:r w:rsidR="006B3EA1" w:rsidRPr="006B3EA1">
          <w:rPr>
            <w:rStyle w:val="Hyperlink"/>
            <w:b/>
            <w:bCs/>
          </w:rPr>
          <w:t>ITU-T Y.4465 “</w:t>
        </w:r>
        <w:r w:rsidR="006B3EA1" w:rsidRPr="006B3EA1">
          <w:rPr>
            <w:rStyle w:val="Hyperlink"/>
            <w:b/>
            <w:bCs/>
            <w:lang w:val="en-GB"/>
          </w:rPr>
          <w:t>Framework of IoT Services based on Visible Light Communications”</w:t>
        </w:r>
      </w:hyperlink>
      <w:r w:rsidR="006B3EA1" w:rsidRPr="006B3EA1">
        <w:rPr>
          <w:b/>
          <w:bCs/>
          <w:lang w:val="en-GB"/>
        </w:rPr>
        <w:t xml:space="preserve"> </w:t>
      </w:r>
      <w:r w:rsidR="006B3EA1" w:rsidRPr="006B3EA1">
        <w:rPr>
          <w:lang w:val="en-GB"/>
        </w:rPr>
        <w:t>describes a framework of Internet-of-Things (IoT) services based on Visible Light Communications (VLC). After describing the technical overview of VLC and the concepts of IoT services based on VLC, this Recommendation describes requirements and a reference model.</w:t>
      </w:r>
    </w:p>
    <w:p w14:paraId="6C01D197" w14:textId="77777777" w:rsidR="006B3EA1" w:rsidRPr="006B3EA1" w:rsidRDefault="00F60C99" w:rsidP="006B3EA1">
      <w:pPr>
        <w:rPr>
          <w:lang w:val="en-GB"/>
        </w:rPr>
      </w:pPr>
      <w:hyperlink r:id="rId268" w:history="1">
        <w:r w:rsidR="006B3EA1" w:rsidRPr="006B3EA1">
          <w:rPr>
            <w:rStyle w:val="Hyperlink"/>
            <w:b/>
            <w:bCs/>
            <w:lang w:val="en-GB"/>
          </w:rPr>
          <w:t>ITU-T Y.4466 “Framework of smart greenhouse service”</w:t>
        </w:r>
      </w:hyperlink>
      <w:r w:rsidR="006B3EA1" w:rsidRPr="006B3EA1">
        <w:rPr>
          <w:b/>
          <w:bCs/>
          <w:lang w:val="en-GB"/>
        </w:rPr>
        <w:t>:</w:t>
      </w:r>
      <w:r w:rsidR="006B3EA1" w:rsidRPr="006B3EA1">
        <w:rPr>
          <w:lang w:val="en-GB"/>
        </w:rPr>
        <w:t xml:space="preserve"> A smart greenhouse service enables precision farming with help of IoT devices (such as sensors and actuators) installed in a smart greenhouse. A smart greenhouse service collects information about both environment and crop-growth status, and then analyses the information to produce an optimal growth model for each crop. With the optimal growth model, a smart greenhouse service can maximize agricultural productivity and improve crop quality. In addition, it can enhance user convenience. To describe a smart greenhouse service framework, this Recommendation specifies requirements, a reference model, a functional architecture and interfaces for a smart greenhouse service.</w:t>
      </w:r>
    </w:p>
    <w:p w14:paraId="1CD270B0" w14:textId="77777777" w:rsidR="006B3EA1" w:rsidRPr="006B3EA1" w:rsidRDefault="00F60C99" w:rsidP="006B3EA1">
      <w:pPr>
        <w:rPr>
          <w:lang w:val="en-GB"/>
        </w:rPr>
      </w:pPr>
      <w:hyperlink r:id="rId269" w:history="1">
        <w:r w:rsidR="006B3EA1" w:rsidRPr="006B3EA1">
          <w:rPr>
            <w:rStyle w:val="Hyperlink"/>
            <w:b/>
            <w:bCs/>
          </w:rPr>
          <w:t>ITU-T Y.4467 “</w:t>
        </w:r>
        <w:r w:rsidR="006B3EA1" w:rsidRPr="006B3EA1">
          <w:rPr>
            <w:rStyle w:val="Hyperlink"/>
            <w:b/>
            <w:bCs/>
            <w:lang w:val="en-GB"/>
          </w:rPr>
          <w:t>Minimum set of data structure for automotive emergency response system”</w:t>
        </w:r>
      </w:hyperlink>
      <w:r w:rsidR="006B3EA1" w:rsidRPr="006B3EA1">
        <w:rPr>
          <w:b/>
          <w:bCs/>
          <w:lang w:val="en-GB"/>
        </w:rPr>
        <w:t>:</w:t>
      </w:r>
      <w:r w:rsidR="006B3EA1" w:rsidRPr="006B3EA1">
        <w:rPr>
          <w:lang w:val="en-GB"/>
        </w:rPr>
        <w:t xml:space="preserve"> An automotive emergency response system (AERS) for aftermarket devices defined in the Recommendation ITU-T Y.4119 is designed to bring rapid assistance to driver and/or passengers involved in accidents. For a normal operation purpose of the AERS, an accident related data (so-called minimum set of data, MSD) needs to be sent from an automotive emergency detection device (AEDD) to an automotive emergency response </w:t>
      </w:r>
      <w:proofErr w:type="spellStart"/>
      <w:r w:rsidR="006B3EA1" w:rsidRPr="006B3EA1">
        <w:rPr>
          <w:lang w:val="en-GB"/>
        </w:rPr>
        <w:t>center</w:t>
      </w:r>
      <w:proofErr w:type="spellEnd"/>
      <w:r w:rsidR="006B3EA1" w:rsidRPr="006B3EA1">
        <w:rPr>
          <w:lang w:val="en-GB"/>
        </w:rPr>
        <w:t xml:space="preserve"> (AERC). An MSD includes mandatory information and optional information. Mandatory information of an MSD is a set of information that shall be included in an MSD when an AEDD performs normal operation. Optional information of an MSD is a set of information on an accident that can be additionally included to give more information to AERC. This Recommendation specifies an MSD structure and encoding rule for an AERS.</w:t>
      </w:r>
    </w:p>
    <w:p w14:paraId="5039D9E4" w14:textId="77777777" w:rsidR="006B3EA1" w:rsidRPr="006B3EA1" w:rsidRDefault="00F60C99" w:rsidP="006B3EA1">
      <w:pPr>
        <w:rPr>
          <w:lang w:val="en-GB"/>
        </w:rPr>
      </w:pPr>
      <w:hyperlink r:id="rId270" w:history="1">
        <w:r w:rsidR="006B3EA1" w:rsidRPr="006B3EA1">
          <w:rPr>
            <w:rStyle w:val="Hyperlink"/>
            <w:b/>
            <w:bCs/>
          </w:rPr>
          <w:t>ITU-T Y.4468 “</w:t>
        </w:r>
        <w:r w:rsidR="006B3EA1" w:rsidRPr="006B3EA1">
          <w:rPr>
            <w:rStyle w:val="Hyperlink"/>
            <w:b/>
            <w:bCs/>
            <w:lang w:val="en-GB"/>
          </w:rPr>
          <w:t>Minimum set of data transfer protocol for automotive emergency response system”</w:t>
        </w:r>
      </w:hyperlink>
      <w:r w:rsidR="006B3EA1" w:rsidRPr="006B3EA1">
        <w:rPr>
          <w:b/>
          <w:bCs/>
          <w:lang w:val="en-GB"/>
        </w:rPr>
        <w:t>:</w:t>
      </w:r>
      <w:r w:rsidR="006B3EA1" w:rsidRPr="006B3EA1">
        <w:rPr>
          <w:lang w:val="en-GB"/>
        </w:rPr>
        <w:t xml:space="preserve"> An automotive emergency response system (AERS) for aftermarket devices defined in the Recommendation ITU-T Y.4119 is designed to bring rapid assistance to driver and/or passengers involved in accidents. For a normal operation purpose of the AERS, an accident related data (so-called minimum set of data, MSD) needs to be sent from an automotive emergency detection device (AEDD) to an automotive emergency response </w:t>
      </w:r>
      <w:proofErr w:type="spellStart"/>
      <w:r w:rsidR="006B3EA1" w:rsidRPr="006B3EA1">
        <w:rPr>
          <w:lang w:val="en-GB"/>
        </w:rPr>
        <w:t>center</w:t>
      </w:r>
      <w:proofErr w:type="spellEnd"/>
      <w:r w:rsidR="006B3EA1" w:rsidRPr="006B3EA1">
        <w:rPr>
          <w:lang w:val="en-GB"/>
        </w:rPr>
        <w:t xml:space="preserve"> (AERC). This Recommendation specifies an </w:t>
      </w:r>
      <w:r w:rsidR="006B3EA1" w:rsidRPr="006B3EA1">
        <w:rPr>
          <w:lang w:val="en-GB"/>
        </w:rPr>
        <w:lastRenderedPageBreak/>
        <w:t>MSD transfer protocol to provide the rules of an MSD transfer operations between an AEDD and an AERC in an AERS.</w:t>
      </w:r>
    </w:p>
    <w:p w14:paraId="5668E461" w14:textId="77777777" w:rsidR="006B3EA1" w:rsidRPr="006B3EA1" w:rsidRDefault="00F60C99" w:rsidP="006B3EA1">
      <w:pPr>
        <w:rPr>
          <w:lang w:val="en-GB"/>
        </w:rPr>
      </w:pPr>
      <w:hyperlink r:id="rId271" w:history="1">
        <w:r w:rsidR="006B3EA1" w:rsidRPr="006B3EA1">
          <w:rPr>
            <w:rStyle w:val="Hyperlink"/>
            <w:b/>
            <w:bCs/>
            <w:lang w:val="en-GB"/>
          </w:rPr>
          <w:t>ITU-T Y.4556 "Requirements and functional architecture of smart residential community"</w:t>
        </w:r>
      </w:hyperlink>
      <w:r w:rsidR="006B3EA1" w:rsidRPr="006B3EA1">
        <w:rPr>
          <w:lang w:val="en-GB"/>
        </w:rPr>
        <w:t xml:space="preserve"> presents the key components and specifies requirements and the functional architecture of smart residential community (SRC).</w:t>
      </w:r>
    </w:p>
    <w:p w14:paraId="110E544D" w14:textId="77777777" w:rsidR="006B3EA1" w:rsidRPr="006B3EA1" w:rsidRDefault="00F60C99" w:rsidP="006B3EA1">
      <w:pPr>
        <w:rPr>
          <w:lang w:val="en-GB"/>
        </w:rPr>
      </w:pPr>
      <w:hyperlink r:id="rId272" w:history="1">
        <w:r w:rsidR="006B3EA1" w:rsidRPr="006B3EA1">
          <w:rPr>
            <w:rStyle w:val="Hyperlink"/>
            <w:b/>
            <w:bCs/>
            <w:lang w:val="en-GB"/>
          </w:rPr>
          <w:t>ITU-T Y.4807 “Agility by design for Telecommunications/ICT Systems Security used in the Internet of Things”</w:t>
        </w:r>
      </w:hyperlink>
      <w:r w:rsidR="006B3EA1" w:rsidRPr="006B3EA1">
        <w:rPr>
          <w:lang w:val="en-GB"/>
        </w:rPr>
        <w:t xml:space="preserve"> addresses possible improvement of security and stability of the Internet of Things by ensuring the supporting Telecommunications/ICT systems and related infrastructure — protocols, standards, etc. — have the flexibility to keep up with advances in Telecommunications/ICT security and cryptography. This document intentionally does not provide guidance on specific cryptosystems, standards or algorithms.</w:t>
      </w:r>
    </w:p>
    <w:p w14:paraId="6DC4D97F" w14:textId="77777777" w:rsidR="006B3EA1" w:rsidRPr="006B3EA1" w:rsidRDefault="006B3EA1" w:rsidP="006B3EA1">
      <w:pPr>
        <w:rPr>
          <w:lang w:val="en-GB"/>
        </w:rPr>
      </w:pPr>
      <w:r w:rsidRPr="006B3EA1">
        <w:rPr>
          <w:b/>
          <w:bCs/>
        </w:rPr>
        <w:t>ITU-T Y.4903/L.1603 (revised) “</w:t>
      </w:r>
      <w:r w:rsidRPr="006B3EA1">
        <w:rPr>
          <w:b/>
          <w:bCs/>
          <w:lang w:val="en-GB"/>
        </w:rPr>
        <w:t>Key performance indicators for smart sustainable cities to assess the achievement of sustainable development goals” (under approval)</w:t>
      </w:r>
      <w:r w:rsidRPr="006B3EA1">
        <w:rPr>
          <w:lang w:val="en-GB"/>
        </w:rPr>
        <w:t xml:space="preserve"> gives general guidance to cities and provides key performance indicators (KPIs) for smart sustainable cities (SSCs) to help cities achieve sustainable development goals (SDGs). This document provides the most effective means to benchmarking and disseminating best practices in utilizing ICTs and other technologies to enhance cities’ sustainability and connect their smart strategies to the SDGs through an inclusive process. These KPIs are designed to evaluate the role and performance of Information Communication Technologies (ICTs) in the three key dimensions of a city: Economics, Environment, and Society and Culture. The Indicators are uniquely coordinated to allow cities to measure their progress on reaching the ambitious targets set by the SDGs.</w:t>
      </w:r>
    </w:p>
    <w:p w14:paraId="33D8E0F0" w14:textId="77777777" w:rsidR="006B3EA1" w:rsidRPr="006B3EA1" w:rsidRDefault="00F60C99" w:rsidP="006B3EA1">
      <w:pPr>
        <w:rPr>
          <w:lang w:val="en-GB"/>
        </w:rPr>
      </w:pPr>
      <w:hyperlink r:id="rId273" w:history="1">
        <w:r w:rsidR="006B3EA1" w:rsidRPr="006B3EA1">
          <w:rPr>
            <w:rStyle w:val="Hyperlink"/>
            <w:b/>
            <w:bCs/>
            <w:lang w:val="en-GB"/>
          </w:rPr>
          <w:t>ITU-T Y.4904 "Smart sustainable cities maturity model"</w:t>
        </w:r>
      </w:hyperlink>
      <w:r w:rsidR="006B3EA1" w:rsidRPr="006B3EA1">
        <w:rPr>
          <w:lang w:val="en-GB"/>
        </w:rPr>
        <w:t xml:space="preserve"> contains a maturity model for smart sustainable cities. This maturity model helps identify the goals, levels and key measures that are recommended for cities to effectively examine their current situation and determine critical capabilities needed to progress toward the long-term goal of becoming SSCs.</w:t>
      </w:r>
    </w:p>
    <w:p w14:paraId="223A1E26" w14:textId="77777777" w:rsidR="006B3EA1" w:rsidRPr="006B3EA1" w:rsidRDefault="00F60C99" w:rsidP="006B3EA1">
      <w:pPr>
        <w:rPr>
          <w:lang w:val="en-GB"/>
        </w:rPr>
      </w:pPr>
      <w:hyperlink r:id="rId274" w:history="1">
        <w:r w:rsidR="006B3EA1" w:rsidRPr="006B3EA1">
          <w:rPr>
            <w:rStyle w:val="Hyperlink"/>
            <w:b/>
            <w:lang w:val="en-GB"/>
          </w:rPr>
          <w:t>ITU-T Y.Suppl.56 “Use cases of smart cities and communities”</w:t>
        </w:r>
      </w:hyperlink>
      <w:r w:rsidR="006B3EA1" w:rsidRPr="006B3EA1">
        <w:rPr>
          <w:b/>
          <w:lang w:val="en-GB"/>
        </w:rPr>
        <w:t xml:space="preserve"> </w:t>
      </w:r>
      <w:r w:rsidR="006B3EA1" w:rsidRPr="006B3EA1">
        <w:rPr>
          <w:lang w:val="en-GB"/>
        </w:rPr>
        <w:t xml:space="preserve">provides a set of use cases related to Smart Cities and Communities (SC&amp;C). The SC&amp;C use cases described in this Supplement are in pilot or commercial phase. The use case collection is expected to provide useful information for the definition of common requirements of SC&amp;C and for other future studies on SC&amp;C. It is also expected this information will benefit the study of the relationship between city scales and SC&amp;C </w:t>
      </w:r>
      <w:proofErr w:type="gramStart"/>
      <w:r w:rsidR="006B3EA1" w:rsidRPr="006B3EA1">
        <w:rPr>
          <w:lang w:val="en-GB"/>
        </w:rPr>
        <w:t>solutions, and</w:t>
      </w:r>
      <w:proofErr w:type="gramEnd"/>
      <w:r w:rsidR="006B3EA1" w:rsidRPr="006B3EA1">
        <w:rPr>
          <w:lang w:val="en-GB"/>
        </w:rPr>
        <w:t xml:space="preserve"> will provide examples of the social and economic benefits. The use cases in this Supplement may also help to plan the deployment of similar smart city solutions in other cities.</w:t>
      </w:r>
    </w:p>
    <w:p w14:paraId="2AA34BCE" w14:textId="77777777" w:rsidR="006B3EA1" w:rsidRPr="006B3EA1" w:rsidRDefault="00F60C99" w:rsidP="006B3EA1">
      <w:pPr>
        <w:rPr>
          <w:lang w:val="en-GB"/>
        </w:rPr>
      </w:pPr>
      <w:hyperlink r:id="rId275" w:history="1">
        <w:r w:rsidR="006B3EA1" w:rsidRPr="006B3EA1">
          <w:rPr>
            <w:rStyle w:val="Hyperlink"/>
            <w:b/>
            <w:lang w:val="en-GB"/>
          </w:rPr>
          <w:t>ITU-T Y.Suppl.57 to ITU-T Y.4409 “Implementation Guidelines to Recommendation ITU-T Y.4409”</w:t>
        </w:r>
      </w:hyperlink>
      <w:r w:rsidR="006B3EA1" w:rsidRPr="006B3EA1">
        <w:rPr>
          <w:b/>
          <w:lang w:val="en-GB"/>
        </w:rPr>
        <w:t xml:space="preserve"> </w:t>
      </w:r>
      <w:r w:rsidR="006B3EA1" w:rsidRPr="006B3EA1">
        <w:rPr>
          <w:lang w:val="en-GB"/>
        </w:rPr>
        <w:t>provides the implementation guidelines to [ITU-T Y.4409]. This Supplement describes implementation based on the functional architecture for the home energy management system (HEMS) and home network services specified in [ITU-T Y.4409] with regards to the information models for the devices connected to the home network, the communications protocols and the management for the home network. This Supplement also describes implementation of connecting devices with corresponding information models.</w:t>
      </w:r>
    </w:p>
    <w:p w14:paraId="559FF9EC" w14:textId="77777777" w:rsidR="006B3EA1" w:rsidRPr="006B3EA1" w:rsidRDefault="00F60C99" w:rsidP="006B3EA1">
      <w:pPr>
        <w:rPr>
          <w:b/>
          <w:lang w:val="en-GB"/>
        </w:rPr>
      </w:pPr>
      <w:hyperlink r:id="rId276" w:history="1">
        <w:r w:rsidR="006B3EA1" w:rsidRPr="006B3EA1">
          <w:rPr>
            <w:rStyle w:val="Hyperlink"/>
            <w:b/>
            <w:lang w:val="en-GB"/>
          </w:rPr>
          <w:t>ITU-T Y.Supp.58 “Internet of Things and smart cities and communities standards roadmap”</w:t>
        </w:r>
      </w:hyperlink>
      <w:r w:rsidR="006B3EA1" w:rsidRPr="006B3EA1">
        <w:rPr>
          <w:lang w:val="en-GB"/>
        </w:rPr>
        <w:t xml:space="preserve"> presents the Joint Coordination Activity on Internet of Things and Smart Cities and Communities (JCA-IoT and SC&amp;C) roadmap which contains a collection of standards and ITU-T Recommendations related to Internet of Things (IoT), smart cities and communities (SC&amp;C), network aspects of identification systems, including RFID (NID) and ubiquitous sensor networks (USN).</w:t>
      </w:r>
    </w:p>
    <w:p w14:paraId="7543B5A3" w14:textId="77777777" w:rsidR="006B3EA1" w:rsidRPr="006B3EA1" w:rsidRDefault="006B3EA1" w:rsidP="006B3EA1">
      <w:pPr>
        <w:pStyle w:val="Headingb"/>
      </w:pPr>
      <w:bookmarkStart w:id="254" w:name="_Toc480527902"/>
      <w:r w:rsidRPr="006B3EA1">
        <w:lastRenderedPageBreak/>
        <w:t>I.4.4</w:t>
      </w:r>
      <w:r w:rsidRPr="006B3EA1">
        <w:tab/>
        <w:t>Connected vehicles, automated driving and intelligent transport systems</w:t>
      </w:r>
      <w:bookmarkEnd w:id="254"/>
    </w:p>
    <w:p w14:paraId="419C256D" w14:textId="77777777" w:rsidR="006B3EA1" w:rsidRPr="006B3EA1" w:rsidRDefault="006B3EA1" w:rsidP="006B3EA1">
      <w:pPr>
        <w:pStyle w:val="Headingb"/>
      </w:pPr>
      <w:r w:rsidRPr="006B3EA1">
        <w:t>I.4.5</w:t>
      </w:r>
      <w:r w:rsidRPr="006B3EA1">
        <w:tab/>
        <w:t>Connected health: e-Health</w:t>
      </w:r>
    </w:p>
    <w:p w14:paraId="1E54A024" w14:textId="77777777" w:rsidR="006B3EA1" w:rsidRPr="006B3EA1" w:rsidRDefault="00F60C99" w:rsidP="006B3EA1">
      <w:pPr>
        <w:rPr>
          <w:lang w:val="en-GB"/>
        </w:rPr>
      </w:pPr>
      <w:hyperlink r:id="rId277" w:history="1">
        <w:r w:rsidR="006B3EA1" w:rsidRPr="006B3EA1">
          <w:rPr>
            <w:rStyle w:val="Hyperlink"/>
            <w:b/>
            <w:lang w:val="en-GB"/>
          </w:rPr>
          <w:t>ITU-T H.810 (revised) “Interoperability design guidelines for personal connected health systems: Introduction”</w:t>
        </w:r>
      </w:hyperlink>
      <w:r w:rsidR="006B3EA1" w:rsidRPr="006B3EA1">
        <w:rPr>
          <w:b/>
          <w:lang w:val="en-GB"/>
        </w:rPr>
        <w:t>:</w:t>
      </w:r>
      <w:r w:rsidR="006B3EA1" w:rsidRPr="006B3EA1">
        <w:rPr>
          <w:lang w:val="en-GB"/>
        </w:rPr>
        <w:t xml:space="preserve"> The Continua Design Guidelines (CDG) defines a framework of underlying standards and criteria required to ensure the interoperability of devices and data used for personal connected health. It also contains design guidelines (DGs) that further clarify the underlying standards or specifications by reducing options or by adding a missing feature to improve interoperability. These guidelines focus on the following interfaces:</w:t>
      </w:r>
    </w:p>
    <w:p w14:paraId="2F903AE1" w14:textId="77777777" w:rsidR="006B3EA1" w:rsidRPr="006B3EA1" w:rsidRDefault="006B3EA1" w:rsidP="006B3EA1">
      <w:pPr>
        <w:rPr>
          <w:lang w:val="en-GB"/>
        </w:rPr>
      </w:pPr>
      <w:r w:rsidRPr="006B3EA1">
        <w:rPr>
          <w:lang w:val="en-GB"/>
        </w:rPr>
        <w:t>–</w:t>
      </w:r>
      <w:r w:rsidRPr="006B3EA1">
        <w:rPr>
          <w:lang w:val="en-GB"/>
        </w:rPr>
        <w:tab/>
        <w:t>Personal Health Devices (PHD) interface – Interface between a Personal Health Device (PHD) and a Personal Health Gateway (PHG).</w:t>
      </w:r>
    </w:p>
    <w:p w14:paraId="4B2F8D40" w14:textId="77777777" w:rsidR="006B3EA1" w:rsidRPr="006B3EA1" w:rsidRDefault="006B3EA1" w:rsidP="006B3EA1">
      <w:pPr>
        <w:rPr>
          <w:lang w:val="en-GB"/>
        </w:rPr>
      </w:pPr>
      <w:r w:rsidRPr="006B3EA1">
        <w:rPr>
          <w:lang w:val="en-GB"/>
        </w:rPr>
        <w:t>–</w:t>
      </w:r>
      <w:r w:rsidRPr="006B3EA1">
        <w:rPr>
          <w:lang w:val="en-GB"/>
        </w:rPr>
        <w:tab/>
        <w:t>Services interface – Interface between a Personal Health Gateway (PHG) and the Health &amp; Fitness Service (HFS).</w:t>
      </w:r>
    </w:p>
    <w:p w14:paraId="7A4A9CF9" w14:textId="77777777" w:rsidR="006B3EA1" w:rsidRPr="006B3EA1" w:rsidRDefault="006B3EA1" w:rsidP="006B3EA1">
      <w:pPr>
        <w:rPr>
          <w:lang w:val="en-GB"/>
        </w:rPr>
      </w:pPr>
      <w:r w:rsidRPr="006B3EA1">
        <w:rPr>
          <w:lang w:val="en-GB"/>
        </w:rPr>
        <w:t>–</w:t>
      </w:r>
      <w:r w:rsidRPr="006B3EA1">
        <w:rPr>
          <w:lang w:val="en-GB"/>
        </w:rPr>
        <w:tab/>
        <w:t>Healthcare Information System (HIS) interface – Interface between the HFS and the Healthcare Information System (HIS).</w:t>
      </w:r>
    </w:p>
    <w:p w14:paraId="1B74FCA9" w14:textId="77777777" w:rsidR="006B3EA1" w:rsidRPr="006B3EA1" w:rsidRDefault="00F60C99" w:rsidP="006B3EA1">
      <w:pPr>
        <w:rPr>
          <w:lang w:val="en-GB"/>
        </w:rPr>
      </w:pPr>
      <w:hyperlink r:id="rId278" w:history="1">
        <w:r w:rsidR="006B3EA1" w:rsidRPr="006B3EA1">
          <w:rPr>
            <w:rStyle w:val="Hyperlink"/>
            <w:b/>
            <w:lang w:val="en-GB"/>
          </w:rPr>
          <w:t>ITU-T H.813 (revised) “Interoperability design guidelines for personal connected health systems: Healthcare Information System interface”</w:t>
        </w:r>
      </w:hyperlink>
      <w:r w:rsidR="006B3EA1" w:rsidRPr="006B3EA1">
        <w:rPr>
          <w:b/>
          <w:lang w:val="en-GB"/>
        </w:rPr>
        <w:t>:</w:t>
      </w:r>
      <w:r w:rsidR="006B3EA1" w:rsidRPr="006B3EA1">
        <w:rPr>
          <w:lang w:val="en-GB"/>
        </w:rPr>
        <w:t xml:space="preserve"> The Continua Design Guidelines (CDG) defines a framework of underlying standards and criteria that ensure the interoperability of devices and data used for personal connected health services. The Continua Design Guidelines also contains design guidelines (DGs) that further clarify underlying standards or specifications by reducing options or by adding missing features to improve interoperability. ITU-T H.813 focuses on the following interface:</w:t>
      </w:r>
    </w:p>
    <w:p w14:paraId="720DB123" w14:textId="77777777" w:rsidR="006B3EA1" w:rsidRPr="006B3EA1" w:rsidRDefault="006B3EA1" w:rsidP="006B3EA1">
      <w:pPr>
        <w:rPr>
          <w:lang w:val="en-GB"/>
        </w:rPr>
      </w:pPr>
      <w:r w:rsidRPr="006B3EA1">
        <w:rPr>
          <w:lang w:val="en-GB"/>
        </w:rPr>
        <w:t>–</w:t>
      </w:r>
      <w:r w:rsidRPr="006B3EA1">
        <w:rPr>
          <w:lang w:val="en-GB"/>
        </w:rPr>
        <w:tab/>
        <w:t>HIS-IF – Interface between Health &amp; Fitness services (HFS) and the Healthcare Information System (HIS).</w:t>
      </w:r>
    </w:p>
    <w:p w14:paraId="12519270" w14:textId="77777777" w:rsidR="006B3EA1" w:rsidRPr="006B3EA1" w:rsidRDefault="00F60C99" w:rsidP="006B3EA1">
      <w:pPr>
        <w:rPr>
          <w:lang w:val="en-GB"/>
        </w:rPr>
      </w:pPr>
      <w:hyperlink r:id="rId279" w:history="1">
        <w:r w:rsidR="006B3EA1" w:rsidRPr="006B3EA1">
          <w:rPr>
            <w:rStyle w:val="Hyperlink"/>
            <w:b/>
            <w:lang w:val="en-GB"/>
          </w:rPr>
          <w:t>ITU-T H.830.15 (revised) ”Conformance of ITU-T H.810 personal health system: Services interface Part 15: FHIR Observation Upload: Health &amp; Fitness Service sender”</w:t>
        </w:r>
      </w:hyperlink>
      <w:r w:rsidR="006B3EA1" w:rsidRPr="006B3EA1">
        <w:rPr>
          <w:lang w:val="en-GB"/>
        </w:rPr>
        <w:t xml:space="preserve"> provides a test suite structure (TSS) and the test purposes (TPs) for fast healthcare interoperability resource (FHIR) Observation Upload through the Health &amp; Fitness Service (HFS) sender in the Services interface, based on the requirements defined in the Recommendations of the ITU-T H.810 sub-series, of which Recommendation ITU T H.810 (2017) is the base Recommendation. The objective of this test specification is to provide a high probability of interoperability at this interface.</w:t>
      </w:r>
    </w:p>
    <w:p w14:paraId="5E6B9CF1" w14:textId="77777777" w:rsidR="006B3EA1" w:rsidRPr="006B3EA1" w:rsidRDefault="006B3EA1" w:rsidP="006B3EA1">
      <w:pPr>
        <w:rPr>
          <w:lang w:val="en-GB"/>
        </w:rPr>
      </w:pPr>
      <w:r w:rsidRPr="006B3EA1">
        <w:rPr>
          <w:lang w:val="en-GB"/>
        </w:rPr>
        <w:t>Recommendation ITU-T H.830.15 includes an electronic attachment with the protocol implementation conformance statements (PICSs) and the protocol implementation extra information for testing (PIXIT) required for the implementation of Annex A.</w:t>
      </w:r>
    </w:p>
    <w:p w14:paraId="6170A39D" w14:textId="77777777" w:rsidR="006B3EA1" w:rsidRPr="006B3EA1" w:rsidRDefault="00F60C99" w:rsidP="006B3EA1">
      <w:pPr>
        <w:rPr>
          <w:lang w:val="en-GB"/>
        </w:rPr>
      </w:pPr>
      <w:hyperlink r:id="rId280" w:history="1">
        <w:r w:rsidR="006B3EA1" w:rsidRPr="006B3EA1">
          <w:rPr>
            <w:rStyle w:val="Hyperlink"/>
            <w:b/>
            <w:lang w:val="en-GB"/>
          </w:rPr>
          <w:t>ITU-T H.842 (revised) “Conformance of ITU-T H.810 personal health system: Personal Health Devices interface Part 2: Optimized Exchange Protocol: Personal Health Gateway”</w:t>
        </w:r>
      </w:hyperlink>
      <w:r w:rsidR="006B3EA1" w:rsidRPr="006B3EA1">
        <w:rPr>
          <w:lang w:val="en-GB"/>
        </w:rPr>
        <w:t xml:space="preserve"> provides a test suite structure (TSS) and the test purposes (TPs) for personal health gateways (PHGs) using the IEEE 11073-20601 optimized exchange protocol in the Personal Health Devices (PHD) interface, based on the requirements defined in the Recommendations of the ITU-T H.810 sub-series, of which Recommendation ITU T H.810 (2017) is the base Recommendation. The objective of this test specification is to provide a high probability of interoperability at this interface. Recommendation ITU-T H.842 is a transposition of Continua Test Tool DG2016, Test Suite Structure &amp; Test Purposes, Personal Health Devices Interface; Part 2: Optimized Exchange Protocol: Personal Health Gateway (Version 1.8, 2017-03-14), that was developed by the Personal Connected Health Alliance. </w:t>
      </w:r>
      <w:proofErr w:type="gramStart"/>
      <w:r w:rsidR="006B3EA1" w:rsidRPr="006B3EA1">
        <w:rPr>
          <w:lang w:val="en-GB"/>
        </w:rPr>
        <w:t>A number of</w:t>
      </w:r>
      <w:proofErr w:type="gramEnd"/>
      <w:r w:rsidR="006B3EA1" w:rsidRPr="006B3EA1">
        <w:rPr>
          <w:lang w:val="en-GB"/>
        </w:rPr>
        <w:t xml:space="preserve"> versions of this specification existed before transposition. This Recommendation includes an electronic attachment with the protocol implementation conformance statements (PICS) and the protocol implementation extra information for testing (PIXIT) required for the implementation of Annex A.</w:t>
      </w:r>
    </w:p>
    <w:p w14:paraId="3941A49D" w14:textId="77777777" w:rsidR="006B3EA1" w:rsidRPr="006B3EA1" w:rsidRDefault="00F60C99" w:rsidP="006B3EA1">
      <w:pPr>
        <w:rPr>
          <w:lang w:val="en-GB"/>
        </w:rPr>
      </w:pPr>
      <w:hyperlink r:id="rId281" w:history="1">
        <w:r w:rsidR="006B3EA1" w:rsidRPr="006B3EA1">
          <w:rPr>
            <w:rStyle w:val="Hyperlink"/>
            <w:b/>
            <w:lang w:val="en-GB"/>
          </w:rPr>
          <w:t>ITU-T H.844 (revised) “Conformance of ITU-T H.810 personal health system: Personal Health Devices interface Part 4: Continua Design Guidelines: Personal Health Gateway”</w:t>
        </w:r>
      </w:hyperlink>
      <w:r w:rsidR="006B3EA1" w:rsidRPr="006B3EA1">
        <w:rPr>
          <w:lang w:val="en-GB"/>
        </w:rPr>
        <w:t xml:space="preserve"> provides a test suite structure (TSS) and the test purposes (TP) for Personal Health Gateways (PHGs) in the Personal Health Devices (PHD) interface, based on the requirements defined in the Recommendations of the ITU-T H.810 sub-series, of which Recommendation ITU T H.810 (2017) is the base Recommendation. The objective of this test specification is to provide a high probability of interoperability at this interface. Recommendation ITU-T H.844 is a transposition of Continua Test Tool DG2016, Test Suite Structure &amp; Test Purposes, Personal Health Devices Interface; Part 4: Continua Design Guidelines. Personal Health Gateway (Version 1.8, 2016-09-20), that was developed by the Personal Connected Health Alliance. </w:t>
      </w:r>
      <w:proofErr w:type="gramStart"/>
      <w:r w:rsidR="006B3EA1" w:rsidRPr="006B3EA1">
        <w:rPr>
          <w:lang w:val="en-GB"/>
        </w:rPr>
        <w:t>A number of</w:t>
      </w:r>
      <w:proofErr w:type="gramEnd"/>
      <w:r w:rsidR="006B3EA1" w:rsidRPr="006B3EA1">
        <w:rPr>
          <w:lang w:val="en-GB"/>
        </w:rPr>
        <w:t xml:space="preserve"> versions of this specification existed before transposition. This Recommendation includes an electronic attachment with the protocol implementation conformance statements (PICS) and the protocol implementation extra information for testing (PIXIT) required for the implementation of Annex A.</w:t>
      </w:r>
    </w:p>
    <w:p w14:paraId="2654E810" w14:textId="77777777" w:rsidR="006B3EA1" w:rsidRPr="006B3EA1" w:rsidRDefault="00F60C99" w:rsidP="006B3EA1">
      <w:pPr>
        <w:rPr>
          <w:lang w:val="en-GB"/>
        </w:rPr>
      </w:pPr>
      <w:hyperlink r:id="rId282" w:history="1">
        <w:r w:rsidR="006B3EA1" w:rsidRPr="006B3EA1">
          <w:rPr>
            <w:rStyle w:val="Hyperlink"/>
            <w:b/>
            <w:lang w:val="en-GB"/>
          </w:rPr>
          <w:t>ITU-T H.845.17 (revised) “Conformance of ITU-T H.810 personal health system: Personal Health Devices interface Part 5Q: Power status monitor”</w:t>
        </w:r>
      </w:hyperlink>
      <w:r w:rsidR="006B3EA1" w:rsidRPr="006B3EA1">
        <w:rPr>
          <w:lang w:val="en-GB"/>
        </w:rPr>
        <w:t xml:space="preserve"> provides a test suite structure (TSS) and the test purposes (TPs) for the power status monitor (PSM) of personal health devices in the Personal Health Device (PHD) interface, based on the requirements defined in the Recommendations of the ITU-T H.810 sub series, of which Recommendation ITU T H.810 (2017) is the base Recommendation. The objective of this test specification is to provide a high probability of interoperability at this interface. This Recommendation includes an electronic attachment with the protocol implementation conformance statements (PICS) and the protocol implementation extra information for testing (PIXIT) required for the implementation of Annex A.</w:t>
      </w:r>
    </w:p>
    <w:p w14:paraId="22577D2A" w14:textId="77777777" w:rsidR="006B3EA1" w:rsidRPr="006B3EA1" w:rsidRDefault="00F60C99" w:rsidP="006B3EA1">
      <w:pPr>
        <w:rPr>
          <w:lang w:val="en-GB"/>
        </w:rPr>
      </w:pPr>
      <w:hyperlink r:id="rId283" w:history="1">
        <w:r w:rsidR="006B3EA1" w:rsidRPr="006B3EA1">
          <w:rPr>
            <w:rStyle w:val="Hyperlink"/>
            <w:b/>
            <w:bCs/>
            <w:lang w:val="en-GB"/>
          </w:rPr>
          <w:t>ITU-T H.846 (revised) "Conformance of ITU-T H.810 personal health system: Personal Health Devices interface Part 6: Device specializations: Personal Health Gateway"</w:t>
        </w:r>
      </w:hyperlink>
      <w:r w:rsidR="006B3EA1" w:rsidRPr="006B3EA1">
        <w:rPr>
          <w:lang w:val="en-GB"/>
        </w:rPr>
        <w:t xml:space="preserve"> provides a test suite structure (TSS) and the test purposes (TP) for Personal Health Gateways in the Personal Health Devices (PHD) interface, based on the requirements defined in the Recommendations of the ITU-T H.810 sub-series, of which Recommendation ITU T H.810 (2017) is the base Recommendation. The objective of this test specification is to provide a high probability of interoperability at this interface. Recommendation ITU-T H.846 is a transposition of Continua Test Tool DG2016, Test Suite Structure &amp; Test Purposes, Personal Health Devices Interface; Part 6: Device Specializations. Personal Health Gateway (Version 1.9, 2016-09-20), that was developed by the Personal Connected Health Alliance. </w:t>
      </w:r>
      <w:proofErr w:type="gramStart"/>
      <w:r w:rsidR="006B3EA1" w:rsidRPr="006B3EA1">
        <w:rPr>
          <w:lang w:val="en-GB"/>
        </w:rPr>
        <w:t>A number of</w:t>
      </w:r>
      <w:proofErr w:type="gramEnd"/>
      <w:r w:rsidR="006B3EA1" w:rsidRPr="006B3EA1">
        <w:rPr>
          <w:lang w:val="en-GB"/>
        </w:rPr>
        <w:t xml:space="preserve"> versions of this specification existed before transposition. This Recommendation includes an electronic attachment with the protocol implementation conformance statements (PICS) and the protocol implementation extra information for testing (PIXIT) required for the implementation of Annex A. This 2019 revision includes the power status monitor of Personal Health Devices device specialization (ISO/IEEE 11073-10427:2018) test cases as well as minor corrections.</w:t>
      </w:r>
    </w:p>
    <w:bookmarkStart w:id="255" w:name="H871"/>
    <w:p w14:paraId="11697573" w14:textId="77777777" w:rsidR="006B3EA1" w:rsidRPr="006B3EA1" w:rsidRDefault="006B3EA1" w:rsidP="006B3EA1">
      <w:pPr>
        <w:rPr>
          <w:bCs/>
          <w:lang w:val="en-GB"/>
        </w:rPr>
      </w:pPr>
      <w:r w:rsidRPr="006B3EA1">
        <w:rPr>
          <w:b/>
          <w:bCs/>
          <w:lang w:val="en-GB"/>
        </w:rPr>
        <w:fldChar w:fldCharType="begin"/>
      </w:r>
      <w:r w:rsidRPr="006B3EA1">
        <w:rPr>
          <w:b/>
          <w:bCs/>
          <w:lang w:val="en-GB"/>
        </w:rPr>
        <w:instrText xml:space="preserve"> HYPERLINK "https://www.itu.int/ITU-T/recommendations/rec.aspx?id=14120" </w:instrText>
      </w:r>
      <w:r w:rsidRPr="006B3EA1">
        <w:rPr>
          <w:b/>
          <w:bCs/>
          <w:lang w:val="en-GB"/>
        </w:rPr>
        <w:fldChar w:fldCharType="separate"/>
      </w:r>
      <w:r w:rsidRPr="006B3EA1">
        <w:rPr>
          <w:rStyle w:val="Hyperlink"/>
          <w:b/>
          <w:bCs/>
          <w:lang w:val="en-GB"/>
        </w:rPr>
        <w:t>ITU-T H.850 (revised) “Conformance of ITU-T H.810 personal health system: Personal Health Devices interface Part 10: Transcoding for Bluetooth Low Energy: Personal Health Gateway - General requirements”</w:t>
      </w:r>
      <w:r w:rsidRPr="006B3EA1">
        <w:rPr>
          <w:b/>
          <w:bCs/>
          <w:lang w:val="en-GB"/>
        </w:rPr>
        <w:fldChar w:fldCharType="end"/>
      </w:r>
      <w:r w:rsidRPr="006B3EA1">
        <w:rPr>
          <w:b/>
          <w:bCs/>
          <w:lang w:val="en-GB"/>
        </w:rPr>
        <w:t xml:space="preserve"> </w:t>
      </w:r>
      <w:r w:rsidRPr="006B3EA1">
        <w:rPr>
          <w:bCs/>
          <w:lang w:val="en-GB"/>
        </w:rPr>
        <w:t xml:space="preserve">provides a test suite structure (TSS) and the test purposes (TP) for the general requirements when transcoding by personal health gateways in the Personal Health Devices (PHD) interface of application-level data between the Bluetooth Low Energy Bluetooth Generic Attribute Profile (GATT) format and the IEEE 11073-20601 data format, of which Recommendation ITU T H.810 (2016) is the base Recommendation. The objective of this test specification is to provide a high probability of interoperability at this interface. Recommendation ITU-T H.850 is a transposition of clause 3.2 of Continua Test Tool DG2016, Test Suite Structure &amp; Test Purposes, Personal Health Devices Interface; Part 10: PHD Transcoding Whitepaper. Personal Health Gateway (Version 1.7, 2017-07-18), that was developed by the Personal Connected Health Alliance. </w:t>
      </w:r>
      <w:proofErr w:type="gramStart"/>
      <w:r w:rsidRPr="006B3EA1">
        <w:rPr>
          <w:bCs/>
          <w:lang w:val="en-GB"/>
        </w:rPr>
        <w:t>A number of</w:t>
      </w:r>
      <w:proofErr w:type="gramEnd"/>
      <w:r w:rsidRPr="006B3EA1">
        <w:rPr>
          <w:bCs/>
          <w:lang w:val="en-GB"/>
        </w:rPr>
        <w:t xml:space="preserve"> versions of this specification existed before transposition. This Recommendation includes an electronic attachment with the protocol implementation conformance </w:t>
      </w:r>
      <w:r w:rsidRPr="006B3EA1">
        <w:rPr>
          <w:bCs/>
          <w:lang w:val="en-GB"/>
        </w:rPr>
        <w:lastRenderedPageBreak/>
        <w:t>statements (PICS) and the protocol implementation extra information for testing (PIXIT) required for the implementation of Annex A.</w:t>
      </w:r>
    </w:p>
    <w:p w14:paraId="15CB714E" w14:textId="77777777" w:rsidR="006B3EA1" w:rsidRPr="006B3EA1" w:rsidRDefault="006B3EA1" w:rsidP="006B3EA1">
      <w:pPr>
        <w:rPr>
          <w:bCs/>
          <w:lang w:val="en-GB"/>
        </w:rPr>
      </w:pPr>
      <w:r w:rsidRPr="006B3EA1">
        <w:rPr>
          <w:bCs/>
          <w:lang w:val="en-GB"/>
        </w:rPr>
        <w:t>This Recommendation was originally approved as a single part, but due to its large size it was split at publication time into eight sub-parts for easier use, maintenance and expandability:</w:t>
      </w:r>
    </w:p>
    <w:p w14:paraId="38C67D7A" w14:textId="77777777" w:rsidR="006B3EA1" w:rsidRPr="006B3EA1" w:rsidRDefault="006B3EA1" w:rsidP="006B3EA1">
      <w:pPr>
        <w:rPr>
          <w:bCs/>
          <w:lang w:val="en-GB"/>
        </w:rPr>
      </w:pPr>
      <w:r w:rsidRPr="006B3EA1">
        <w:rPr>
          <w:bCs/>
          <w:lang w:val="en-GB"/>
        </w:rPr>
        <w:t>–</w:t>
      </w:r>
      <w:r w:rsidRPr="006B3EA1">
        <w:rPr>
          <w:bCs/>
          <w:lang w:val="en-GB"/>
        </w:rPr>
        <w:tab/>
        <w:t>ITU-T H.850 with the general requirements;</w:t>
      </w:r>
    </w:p>
    <w:p w14:paraId="31C87761" w14:textId="77777777" w:rsidR="006B3EA1" w:rsidRPr="006B3EA1" w:rsidRDefault="006B3EA1" w:rsidP="006B3EA1">
      <w:pPr>
        <w:rPr>
          <w:bCs/>
          <w:lang w:val="en-GB"/>
        </w:rPr>
      </w:pPr>
      <w:r w:rsidRPr="006B3EA1">
        <w:rPr>
          <w:bCs/>
          <w:lang w:val="en-GB"/>
        </w:rPr>
        <w:t>–</w:t>
      </w:r>
      <w:r w:rsidRPr="006B3EA1">
        <w:rPr>
          <w:bCs/>
          <w:lang w:val="en-GB"/>
        </w:rPr>
        <w:tab/>
        <w:t>ITU-T H.850.1 with thermometer PHD requirements;</w:t>
      </w:r>
    </w:p>
    <w:p w14:paraId="729897B5" w14:textId="77777777" w:rsidR="006B3EA1" w:rsidRPr="006B3EA1" w:rsidRDefault="006B3EA1" w:rsidP="006B3EA1">
      <w:pPr>
        <w:rPr>
          <w:bCs/>
          <w:lang w:val="en-GB"/>
        </w:rPr>
      </w:pPr>
      <w:r w:rsidRPr="006B3EA1">
        <w:rPr>
          <w:bCs/>
          <w:lang w:val="en-GB"/>
        </w:rPr>
        <w:t>–</w:t>
      </w:r>
      <w:r w:rsidRPr="006B3EA1">
        <w:rPr>
          <w:bCs/>
          <w:lang w:val="en-GB"/>
        </w:rPr>
        <w:tab/>
        <w:t>ITU-T H.850.2 with blood pressure PHD requirements;</w:t>
      </w:r>
    </w:p>
    <w:p w14:paraId="6300E1EE" w14:textId="77777777" w:rsidR="006B3EA1" w:rsidRPr="006B3EA1" w:rsidRDefault="006B3EA1" w:rsidP="006B3EA1">
      <w:pPr>
        <w:rPr>
          <w:bCs/>
          <w:lang w:val="en-GB"/>
        </w:rPr>
      </w:pPr>
      <w:r w:rsidRPr="006B3EA1">
        <w:rPr>
          <w:bCs/>
          <w:lang w:val="en-GB"/>
        </w:rPr>
        <w:t>–</w:t>
      </w:r>
      <w:r w:rsidRPr="006B3EA1">
        <w:rPr>
          <w:bCs/>
          <w:lang w:val="en-GB"/>
        </w:rPr>
        <w:tab/>
        <w:t>ITU-T H.850.3 with heart rate PHD requirements;</w:t>
      </w:r>
    </w:p>
    <w:p w14:paraId="33E845F2" w14:textId="77777777" w:rsidR="006B3EA1" w:rsidRPr="006B3EA1" w:rsidRDefault="006B3EA1" w:rsidP="006B3EA1">
      <w:pPr>
        <w:rPr>
          <w:bCs/>
          <w:lang w:val="en-GB"/>
        </w:rPr>
      </w:pPr>
      <w:r w:rsidRPr="006B3EA1">
        <w:rPr>
          <w:bCs/>
          <w:lang w:val="en-GB"/>
        </w:rPr>
        <w:t>–</w:t>
      </w:r>
      <w:r w:rsidRPr="006B3EA1">
        <w:rPr>
          <w:bCs/>
          <w:lang w:val="en-GB"/>
        </w:rPr>
        <w:tab/>
        <w:t>ITU-T H.850.4 with glucose meter PHD requirements;</w:t>
      </w:r>
    </w:p>
    <w:p w14:paraId="70D030A0" w14:textId="77777777" w:rsidR="006B3EA1" w:rsidRPr="006B3EA1" w:rsidRDefault="006B3EA1" w:rsidP="006B3EA1">
      <w:pPr>
        <w:rPr>
          <w:bCs/>
          <w:lang w:val="en-GB"/>
        </w:rPr>
      </w:pPr>
      <w:r w:rsidRPr="006B3EA1">
        <w:rPr>
          <w:bCs/>
          <w:lang w:val="en-GB"/>
        </w:rPr>
        <w:t>–</w:t>
      </w:r>
      <w:r w:rsidRPr="006B3EA1">
        <w:rPr>
          <w:bCs/>
          <w:lang w:val="en-GB"/>
        </w:rPr>
        <w:tab/>
        <w:t>ITU-T H.850.5 with weighing scales PHD requirements;</w:t>
      </w:r>
    </w:p>
    <w:p w14:paraId="7DE6508C" w14:textId="77777777" w:rsidR="006B3EA1" w:rsidRPr="006B3EA1" w:rsidRDefault="006B3EA1" w:rsidP="006B3EA1">
      <w:pPr>
        <w:rPr>
          <w:bCs/>
          <w:lang w:val="en-GB"/>
        </w:rPr>
      </w:pPr>
      <w:r w:rsidRPr="006B3EA1">
        <w:rPr>
          <w:bCs/>
          <w:lang w:val="en-GB"/>
        </w:rPr>
        <w:t>–</w:t>
      </w:r>
      <w:r w:rsidRPr="006B3EA1">
        <w:rPr>
          <w:bCs/>
          <w:lang w:val="en-GB"/>
        </w:rPr>
        <w:tab/>
        <w:t>ITU-T H.850.6 with pulse oximeter PHD requirements;</w:t>
      </w:r>
    </w:p>
    <w:p w14:paraId="07AD16C1" w14:textId="77777777" w:rsidR="006B3EA1" w:rsidRPr="006B3EA1" w:rsidRDefault="006B3EA1" w:rsidP="006B3EA1">
      <w:pPr>
        <w:rPr>
          <w:bCs/>
          <w:lang w:val="en-GB"/>
        </w:rPr>
      </w:pPr>
      <w:r w:rsidRPr="006B3EA1">
        <w:rPr>
          <w:bCs/>
          <w:lang w:val="en-GB"/>
        </w:rPr>
        <w:t>–</w:t>
      </w:r>
      <w:r w:rsidRPr="006B3EA1">
        <w:rPr>
          <w:bCs/>
          <w:lang w:val="en-GB"/>
        </w:rPr>
        <w:tab/>
        <w:t>ITU-T H.850.7 with continuous glucose monitoring PHD requirements.</w:t>
      </w:r>
    </w:p>
    <w:p w14:paraId="164EA263" w14:textId="77777777" w:rsidR="006B3EA1" w:rsidRPr="006B3EA1" w:rsidRDefault="00F60C99" w:rsidP="006B3EA1">
      <w:pPr>
        <w:rPr>
          <w:bCs/>
          <w:lang w:val="en-GB"/>
        </w:rPr>
      </w:pPr>
      <w:hyperlink r:id="rId284" w:history="1">
        <w:r w:rsidR="006B3EA1" w:rsidRPr="006B3EA1">
          <w:rPr>
            <w:rStyle w:val="Hyperlink"/>
            <w:b/>
            <w:bCs/>
            <w:lang w:val="en-GB"/>
          </w:rPr>
          <w:t>ITU-T H.850.6 (revised) “Conformance of ITU-T H.810 personal health system: Personal Health Devices interface Part 10F: Transcoding for Bluetooth Low Energy: Personal Health Gateway - Pulse oximeter”</w:t>
        </w:r>
      </w:hyperlink>
      <w:r w:rsidR="006B3EA1" w:rsidRPr="006B3EA1">
        <w:rPr>
          <w:bCs/>
          <w:lang w:val="en-GB"/>
        </w:rPr>
        <w:t xml:space="preserve"> provides a test suite structure (TSS) and the test purposes (TP) for the transcoding of pulse oximeter data by personal health gateways in the Personal Health Devices (PHD) interface of application-level data between the Bluetooth Low Energy Bluetooth Generic Attribute Profile (GATT) format and the IEEE 11073-20601 data format, of which Recommendation ITU T H.810 (2016) is the base Recommendation. The objective of this test specification is to provide a high probability of interoperability at this interface. Recommendation ITU-T H.850.6 is a transposition of clause 3.8 of Continua Test Tool DG2016, Test Suite Structure &amp; Test Purposes, Personal Health Devices Interface; Part 10: PHD Transcoding Whitepaper. Personal Health Gateway (Version 1.7, 2017-07-18), that was developed by the Personal Connected Health Alliance. </w:t>
      </w:r>
      <w:proofErr w:type="gramStart"/>
      <w:r w:rsidR="006B3EA1" w:rsidRPr="006B3EA1">
        <w:rPr>
          <w:bCs/>
          <w:lang w:val="en-GB"/>
        </w:rPr>
        <w:t>A number of</w:t>
      </w:r>
      <w:proofErr w:type="gramEnd"/>
      <w:r w:rsidR="006B3EA1" w:rsidRPr="006B3EA1">
        <w:rPr>
          <w:bCs/>
          <w:lang w:val="en-GB"/>
        </w:rPr>
        <w:t xml:space="preserve"> versions of this specification existed before transposition. This Recommendation includes an electronic attachment with the protocol implementation conformance statements (PICS) and the protocol implementation extra information for testing (PIXIT) required for the implementation of Annex A.</w:t>
      </w:r>
    </w:p>
    <w:p w14:paraId="61B87340" w14:textId="77777777" w:rsidR="006B3EA1" w:rsidRPr="006B3EA1" w:rsidRDefault="00F60C99" w:rsidP="006B3EA1">
      <w:pPr>
        <w:rPr>
          <w:bCs/>
          <w:lang w:val="en-GB"/>
        </w:rPr>
      </w:pPr>
      <w:hyperlink r:id="rId285" w:history="1">
        <w:r w:rsidR="006B3EA1" w:rsidRPr="006B3EA1">
          <w:rPr>
            <w:rStyle w:val="Hyperlink"/>
            <w:b/>
            <w:bCs/>
            <w:lang w:val="en-GB"/>
          </w:rPr>
          <w:t>ITU-T H.850.7 (revised) “Conformance of ITU-T H.810 personal health system: Personal Health Devices interface Part 10G: Transcoding for Bluetooth Low Energy: Personal Health Gateway - Continuous glucose monitoring”</w:t>
        </w:r>
      </w:hyperlink>
      <w:r w:rsidR="006B3EA1" w:rsidRPr="006B3EA1">
        <w:rPr>
          <w:bCs/>
          <w:lang w:val="en-GB"/>
        </w:rPr>
        <w:t xml:space="preserve"> provides a test suite structure (TSS) and the test purposes (TP) for the transcoding of continuous glucose monitoring data by personal health gateways (PHGs) in the Personal Health Devices (PHD) interface of application-level data between the Bluetooth Low Energy Bluetooth Generic Attribute Profile (GATT) format and the IEEE 11073-20601 data format, of which Recommendation ITU T H.810 (2016) is the base Recommendation. The objective of this test specification is to provide a high probability of interoperability at this interface. Recommendation ITU-T H.850.7 is a transposition of clause 3.9 of Continua Test Tool DG2016, Test Suite Structure &amp; Test Purposes, Personal Health Devices Interface; Part 10: PHD Transcoding Whitepaper. Personal Health Gateway (Version 1.7, 2017-07-18), that was developed by the Personal Connected Health Alliance. </w:t>
      </w:r>
      <w:proofErr w:type="gramStart"/>
      <w:r w:rsidR="006B3EA1" w:rsidRPr="006B3EA1">
        <w:rPr>
          <w:bCs/>
          <w:lang w:val="en-GB"/>
        </w:rPr>
        <w:t>A number of</w:t>
      </w:r>
      <w:proofErr w:type="gramEnd"/>
      <w:r w:rsidR="006B3EA1" w:rsidRPr="006B3EA1">
        <w:rPr>
          <w:bCs/>
          <w:lang w:val="en-GB"/>
        </w:rPr>
        <w:t xml:space="preserve"> versions of this specification existed before transposition. This Recommendation includes an electronic attachment with the protocol implementation conformance statements (PICS) and the protocol implementation extra information for testing (PIXIT) required for the implementation of Annex A.</w:t>
      </w:r>
    </w:p>
    <w:p w14:paraId="7C2A3C6E" w14:textId="77777777" w:rsidR="006B3EA1" w:rsidRPr="006B3EA1" w:rsidRDefault="00F60C99" w:rsidP="006B3EA1">
      <w:pPr>
        <w:rPr>
          <w:bCs/>
          <w:lang w:val="en-GB"/>
        </w:rPr>
      </w:pPr>
      <w:hyperlink r:id="rId286" w:history="1">
        <w:r w:rsidR="006B3EA1" w:rsidRPr="006B3EA1">
          <w:rPr>
            <w:rStyle w:val="Hyperlink"/>
            <w:b/>
            <w:bCs/>
            <w:lang w:val="en-GB"/>
          </w:rPr>
          <w:t>ITU-T H.862.0 “Requirements and framework for ICT sleep management service models”</w:t>
        </w:r>
      </w:hyperlink>
      <w:r w:rsidR="006B3EA1" w:rsidRPr="006B3EA1">
        <w:rPr>
          <w:b/>
          <w:bCs/>
          <w:lang w:val="en-GB"/>
        </w:rPr>
        <w:t>:</w:t>
      </w:r>
      <w:r w:rsidR="006B3EA1" w:rsidRPr="006B3EA1">
        <w:rPr>
          <w:bCs/>
          <w:lang w:val="en-GB"/>
        </w:rPr>
        <w:t xml:space="preserve"> Sleep could affect labour productivity, healthcare in many fields of human factors. While previous sleep management markets focused on furniture including bedding and medical sleep management, current trends include a new form of sleep management technology, including a convergence of existing sleep management methodology and ICT. The purpose of this Recommendation is to define </w:t>
      </w:r>
      <w:r w:rsidR="006B3EA1" w:rsidRPr="006B3EA1">
        <w:rPr>
          <w:bCs/>
          <w:lang w:val="en-GB"/>
        </w:rPr>
        <w:lastRenderedPageBreak/>
        <w:t>requirements and framework for ICT sleep management services. The scope of this Recommendation is focused on the reference model of the sleep management service and introduces sleep safety services and sleep quality improvement services. Solutions exist for sleep monitoring and sleep status check services that use a variety of sensors and technologies. While they lead to quantitative expansion of sleep management services, they are difficult to integrate into one service due to the different sleep visualization methods that vary across different service devices. To address these challenges, the task will propose approaches to ensure interoperability by expressing various types of sleep data in an integrated process. This Recommendation defines a service model and requirements concerning sleep monitoring and sleep status check services to ensure interoperability of sleep management services.</w:t>
      </w:r>
    </w:p>
    <w:p w14:paraId="7B5D5486" w14:textId="77777777" w:rsidR="006B3EA1" w:rsidRPr="006B3EA1" w:rsidRDefault="006B3EA1" w:rsidP="006B3EA1">
      <w:pPr>
        <w:pStyle w:val="Headingb"/>
      </w:pPr>
      <w:bookmarkStart w:id="256" w:name="_Toc480527903"/>
      <w:bookmarkEnd w:id="255"/>
      <w:r w:rsidRPr="006B3EA1">
        <w:t>I.5.1</w:t>
      </w:r>
      <w:r w:rsidRPr="006B3EA1">
        <w:tab/>
        <w:t>New security standards</w:t>
      </w:r>
      <w:bookmarkEnd w:id="256"/>
    </w:p>
    <w:p w14:paraId="46808F97" w14:textId="77777777" w:rsidR="006B3EA1" w:rsidRPr="006B3EA1" w:rsidRDefault="00F60C99" w:rsidP="006B3EA1">
      <w:pPr>
        <w:rPr>
          <w:bCs/>
          <w:lang w:val="en-GB"/>
        </w:rPr>
      </w:pPr>
      <w:hyperlink r:id="rId287" w:history="1">
        <w:r w:rsidR="006B3EA1" w:rsidRPr="006B3EA1">
          <w:rPr>
            <w:rStyle w:val="Hyperlink"/>
            <w:b/>
            <w:bCs/>
            <w:lang w:val="en-GB"/>
          </w:rPr>
          <w:t>ITU-T X.500 (revised) “Edition 9 of Rec. ITU-T X.500 | ISO/IEC 9594-1 Information technology - Open Systems Interconnection - The Directory: Overview of concepts, models and services”</w:t>
        </w:r>
      </w:hyperlink>
      <w:r w:rsidR="006B3EA1" w:rsidRPr="006B3EA1">
        <w:rPr>
          <w:b/>
          <w:bCs/>
          <w:lang w:val="en-GB"/>
        </w:rPr>
        <w:t xml:space="preserve"> </w:t>
      </w:r>
      <w:r w:rsidR="006B3EA1" w:rsidRPr="006B3EA1">
        <w:rPr>
          <w:bCs/>
          <w:lang w:val="en-GB"/>
        </w:rPr>
        <w:t>introduces the concepts of the Directory and the DIB (Directory Information Base) and overviews the services and capabilities which they provide.</w:t>
      </w:r>
    </w:p>
    <w:p w14:paraId="4D1177E2" w14:textId="2A34DDDB" w:rsidR="006B3EA1" w:rsidRPr="006B3EA1" w:rsidRDefault="00F60C99" w:rsidP="006B3EA1">
      <w:pPr>
        <w:rPr>
          <w:bCs/>
          <w:lang w:val="en-GB"/>
        </w:rPr>
      </w:pPr>
      <w:hyperlink r:id="rId288" w:history="1">
        <w:r w:rsidR="006B3EA1" w:rsidRPr="006B3EA1">
          <w:rPr>
            <w:rStyle w:val="Hyperlink"/>
            <w:b/>
            <w:bCs/>
            <w:lang w:val="en-GB"/>
          </w:rPr>
          <w:t>ITU-T X.501 (revised) “Edition 9 of Rec. ITU-T X.501 | ISO/IEC 9594-2 Information technology - Open Systems Interconnection - The Directory: Models”</w:t>
        </w:r>
      </w:hyperlink>
      <w:r w:rsidR="006B3EA1" w:rsidRPr="006B3EA1">
        <w:rPr>
          <w:bCs/>
          <w:lang w:val="en-GB"/>
        </w:rPr>
        <w:t xml:space="preserve"> provides a number of different models for the Directory as a framework for the other Recommendations in the ITU-T X.500-series. The models are the overall (functional) model, the administrative authority model, generic Directory Information models providing Directory User and Administrative User views on Directory information, generic Directory System Agent (DSA) and DSA information models and operational framework,</w:t>
      </w:r>
      <w:r w:rsidR="004E49CB">
        <w:rPr>
          <w:bCs/>
          <w:lang w:val="en-GB"/>
        </w:rPr>
        <w:t xml:space="preserve"> and a security model.</w:t>
      </w:r>
    </w:p>
    <w:p w14:paraId="323105C0" w14:textId="77777777" w:rsidR="006B3EA1" w:rsidRPr="006B3EA1" w:rsidRDefault="00F60C99" w:rsidP="006B3EA1">
      <w:pPr>
        <w:rPr>
          <w:bCs/>
          <w:lang w:val="en-GB"/>
        </w:rPr>
      </w:pPr>
      <w:hyperlink r:id="rId289" w:history="1">
        <w:r w:rsidR="006B3EA1" w:rsidRPr="006B3EA1">
          <w:rPr>
            <w:rStyle w:val="Hyperlink"/>
            <w:b/>
            <w:bCs/>
            <w:lang w:val="en-GB"/>
          </w:rPr>
          <w:t>ITU-T X.509 (revised) “Edition 9 of Rec. ITU-T X.509 | ISO/IEC 9594-8 Information technology - Open Systems Interconnection - The Directory: Public-key and attribute certificate frameworks”</w:t>
        </w:r>
      </w:hyperlink>
      <w:r w:rsidR="006B3EA1" w:rsidRPr="006B3EA1">
        <w:rPr>
          <w:bCs/>
          <w:lang w:val="en-GB"/>
        </w:rPr>
        <w:t xml:space="preserve"> defines frameworks for public-key infrastructure (PKI) and privilege management infrastructure (PMI). It introduces the basic concept of asymmetric cryptographic techniques. It specifies the following data types: public-key certificate, attribute certificate, certificate revocation list (CRL) and attribute certificate revocation list (ACRL). It also defines several certificates and CRL extensions, and it defines directory schema information allowing PKI and PMI related data to be stored in a directory. In addition, it defines entity types, such as certification authority (CA), attribute authority (AA), relying party, privilege verifier, trust broker and trust anchor. It specifies the principles for certificate validation, validation path, certificate policy etc. It includes a specification for authorization validation lists that allow for fast validation and restrictions on communications.</w:t>
      </w:r>
    </w:p>
    <w:p w14:paraId="1DB658C4" w14:textId="77777777" w:rsidR="006B3EA1" w:rsidRPr="006B3EA1" w:rsidRDefault="00F60C99" w:rsidP="006B3EA1">
      <w:pPr>
        <w:rPr>
          <w:bCs/>
          <w:lang w:val="en-GB"/>
        </w:rPr>
      </w:pPr>
      <w:hyperlink r:id="rId290" w:history="1">
        <w:r w:rsidR="006B3EA1" w:rsidRPr="006B3EA1">
          <w:rPr>
            <w:rStyle w:val="Hyperlink"/>
            <w:b/>
            <w:bCs/>
            <w:lang w:val="en-GB"/>
          </w:rPr>
          <w:t>ITU-T X.511 (revised) “Edition 9 of Rec. ITU-T X.511 | ISO/IEC 9594-3 Information technology - Open Systems Interconnection - The Directory: Abstract service definition”</w:t>
        </w:r>
      </w:hyperlink>
      <w:r w:rsidR="006B3EA1" w:rsidRPr="006B3EA1">
        <w:rPr>
          <w:bCs/>
          <w:lang w:val="en-GB"/>
        </w:rPr>
        <w:t xml:space="preserve"> defines in an abstract way the externally visible services provided by the Directory, including bind and unbind operations, read operations, search operations, modify operations, operations to support password policies and operations to support interworking with LDAP. It also defines errors.</w:t>
      </w:r>
    </w:p>
    <w:p w14:paraId="77780BA6" w14:textId="77777777" w:rsidR="006B3EA1" w:rsidRPr="006B3EA1" w:rsidRDefault="00F60C99" w:rsidP="006B3EA1">
      <w:pPr>
        <w:rPr>
          <w:bCs/>
          <w:lang w:val="en-GB"/>
        </w:rPr>
      </w:pPr>
      <w:hyperlink r:id="rId291" w:history="1">
        <w:r w:rsidR="006B3EA1" w:rsidRPr="006B3EA1">
          <w:rPr>
            <w:rStyle w:val="Hyperlink"/>
            <w:b/>
            <w:bCs/>
            <w:lang w:val="en-GB"/>
          </w:rPr>
          <w:t>ITU-T X.518 (revised) “Edition 9 of Rec. ITU-T X.518 | ISO/IEC 9594-4 Information technology - Open Systems Interconnection - The Directory: Procedures for distributed operation”</w:t>
        </w:r>
      </w:hyperlink>
      <w:r w:rsidR="006B3EA1" w:rsidRPr="006B3EA1">
        <w:rPr>
          <w:bCs/>
          <w:lang w:val="en-GB"/>
        </w:rPr>
        <w:t xml:space="preserve"> specifies the procedures required for a distributed directory consisting of a mix of Directory System Agents (DSAs) and lightweight directory access protocol (LDAP) servers acting together to provide a consistent service to its users, independent of the point of access. It also describes procedures for protocol conversion between the directory access protocol/directory system protocol (DAP/DSP) protocols and the LDAP protocol.</w:t>
      </w:r>
    </w:p>
    <w:p w14:paraId="5363E533" w14:textId="77777777" w:rsidR="006B3EA1" w:rsidRPr="006B3EA1" w:rsidRDefault="00F60C99" w:rsidP="006B3EA1">
      <w:pPr>
        <w:rPr>
          <w:bCs/>
          <w:lang w:val="en-GB"/>
        </w:rPr>
      </w:pPr>
      <w:hyperlink r:id="rId292" w:history="1">
        <w:r w:rsidR="006B3EA1" w:rsidRPr="006B3EA1">
          <w:rPr>
            <w:rStyle w:val="Hyperlink"/>
            <w:b/>
            <w:bCs/>
            <w:lang w:val="en-GB"/>
          </w:rPr>
          <w:t>ITU-T X.519 (revised) “Edition 9 of Rec. ITU-T X.519 | ISO/IEC 9594-5 Information technology - Open Systems Interconnection - The Directory: Protocol specifications”</w:t>
        </w:r>
      </w:hyperlink>
      <w:r w:rsidR="006B3EA1" w:rsidRPr="006B3EA1">
        <w:rPr>
          <w:bCs/>
          <w:lang w:val="en-GB"/>
        </w:rPr>
        <w:t xml:space="preserve"> specifies the Directory Access Protocol, the Directory System Protocol, the Directory Information </w:t>
      </w:r>
      <w:r w:rsidR="006B3EA1" w:rsidRPr="006B3EA1">
        <w:rPr>
          <w:bCs/>
          <w:lang w:val="en-GB"/>
        </w:rPr>
        <w:lastRenderedPageBreak/>
        <w:t xml:space="preserve">Shadowing Protocol and the Directory Operational Binding Management Protocol which fulfil the abstract services specified in Recommendation ITU-T X.501 | ISO/IEC 9594-2, Recommendation ITU-T X.511 | ISO/IEC 9594-3, Recommendation ITU-T X.518 | ISO/IEC 9594-4 and Recommendation ITU-T X.525 | ISO/IEC 9594-9. It includes specifications for supporting underlying protocols to reduce the dependency on external specifications. The protocols may be encoded using all standard ASN.1 encoding </w:t>
      </w:r>
      <w:proofErr w:type="gramStart"/>
      <w:r w:rsidR="006B3EA1" w:rsidRPr="006B3EA1">
        <w:rPr>
          <w:bCs/>
          <w:lang w:val="en-GB"/>
        </w:rPr>
        <w:t>rules</w:t>
      </w:r>
      <w:proofErr w:type="gramEnd"/>
      <w:r w:rsidR="006B3EA1" w:rsidRPr="006B3EA1">
        <w:rPr>
          <w:bCs/>
          <w:lang w:val="en-GB"/>
        </w:rPr>
        <w:t>.</w:t>
      </w:r>
    </w:p>
    <w:p w14:paraId="3A5CC625" w14:textId="77777777" w:rsidR="006B3EA1" w:rsidRPr="006B3EA1" w:rsidRDefault="00F60C99" w:rsidP="006B3EA1">
      <w:pPr>
        <w:rPr>
          <w:bCs/>
          <w:lang w:val="en-GB"/>
        </w:rPr>
      </w:pPr>
      <w:hyperlink r:id="rId293" w:history="1">
        <w:r w:rsidR="006B3EA1" w:rsidRPr="006B3EA1">
          <w:rPr>
            <w:rStyle w:val="Hyperlink"/>
            <w:b/>
            <w:bCs/>
            <w:lang w:val="en-GB"/>
          </w:rPr>
          <w:t>ITU-T X.520 (revised) “Edition 9 of Rec. ITU-T X.520 | ISO/IEC 9594-6 Information technology - Open Systems Interconnection - The Directory: Selected attribute types”</w:t>
        </w:r>
      </w:hyperlink>
      <w:r w:rsidR="006B3EA1" w:rsidRPr="006B3EA1">
        <w:rPr>
          <w:bCs/>
          <w:lang w:val="en-GB"/>
        </w:rPr>
        <w:t xml:space="preserve"> defines a number of attribute types and matching rules which may be found useful across a range of applications of the Directory. One particular use for many of the attributes defined is in the formation of names, particularly for the classes of objects defined in Rec. ITU-T X.521 | ISO/IEC 9594-7. Other attributes types, called notification attributes, provide diagnostic information. This Recommendation | International Standard defines context types which supply characteristics associated with attribute values. It also includes definitions for LDAP syntaxes relevant for attribute types and matching rules.</w:t>
      </w:r>
    </w:p>
    <w:p w14:paraId="142A5382" w14:textId="77777777" w:rsidR="006B3EA1" w:rsidRPr="006B3EA1" w:rsidRDefault="00F60C99" w:rsidP="006B3EA1">
      <w:pPr>
        <w:rPr>
          <w:bCs/>
          <w:lang w:val="en-GB"/>
        </w:rPr>
      </w:pPr>
      <w:hyperlink r:id="rId294" w:history="1">
        <w:r w:rsidR="006B3EA1" w:rsidRPr="006B3EA1">
          <w:rPr>
            <w:rStyle w:val="Hyperlink"/>
            <w:b/>
            <w:bCs/>
            <w:lang w:val="en-GB"/>
          </w:rPr>
          <w:t>ITU-T X.521 (revised) “Edition 9 of Rec. ITU-T X.521 | ISO/IEC 9594-7 Information technology - Open Systems Interconnection - The Directory: Selected object classes”</w:t>
        </w:r>
      </w:hyperlink>
      <w:r w:rsidR="006B3EA1" w:rsidRPr="006B3EA1">
        <w:rPr>
          <w:bCs/>
          <w:lang w:val="en-GB"/>
        </w:rPr>
        <w:t xml:space="preserve"> defines a number of selected object classes and name forms which may be found useful across a range of applications of the Directory. An object class definition specifies the attribute types which are relevant to the objects of that class. A name form definition specifies the attributes to be used in forming names for the objects of a given class.</w:t>
      </w:r>
    </w:p>
    <w:p w14:paraId="36D26271" w14:textId="77777777" w:rsidR="006B3EA1" w:rsidRPr="006B3EA1" w:rsidRDefault="00F60C99" w:rsidP="006B3EA1">
      <w:pPr>
        <w:rPr>
          <w:bCs/>
          <w:lang w:val="en-GB"/>
        </w:rPr>
      </w:pPr>
      <w:hyperlink r:id="rId295" w:history="1">
        <w:r w:rsidR="006B3EA1" w:rsidRPr="006B3EA1">
          <w:rPr>
            <w:rStyle w:val="Hyperlink"/>
            <w:b/>
            <w:bCs/>
            <w:lang w:val="en-GB"/>
          </w:rPr>
          <w:t>ITU-T X.525 (revised) “Edition 9 of Rec. ITU-T X.525 | ISO/IEC 9594-9 Information technology - Open Systems Interconnection - The Directory: Replication”</w:t>
        </w:r>
      </w:hyperlink>
      <w:r w:rsidR="006B3EA1" w:rsidRPr="006B3EA1">
        <w:rPr>
          <w:b/>
          <w:bCs/>
          <w:lang w:val="en-GB"/>
        </w:rPr>
        <w:t xml:space="preserve"> </w:t>
      </w:r>
      <w:r w:rsidR="006B3EA1" w:rsidRPr="006B3EA1">
        <w:rPr>
          <w:bCs/>
          <w:lang w:val="en-GB"/>
        </w:rPr>
        <w:t xml:space="preserve">specifies a shadow service which Directory system agents (DSAs) may use to replicate Directory information. The service allows Directory information to be replicated among DSAs to improve service to Directory </w:t>
      </w:r>
      <w:proofErr w:type="gramStart"/>
      <w:r w:rsidR="006B3EA1" w:rsidRPr="006B3EA1">
        <w:rPr>
          <w:bCs/>
          <w:lang w:val="en-GB"/>
        </w:rPr>
        <w:t>users, and</w:t>
      </w:r>
      <w:proofErr w:type="gramEnd"/>
      <w:r w:rsidR="006B3EA1" w:rsidRPr="006B3EA1">
        <w:rPr>
          <w:bCs/>
          <w:lang w:val="en-GB"/>
        </w:rPr>
        <w:t xml:space="preserve"> provides for the automatic updating of this information.</w:t>
      </w:r>
    </w:p>
    <w:p w14:paraId="40175614" w14:textId="77777777" w:rsidR="006B3EA1" w:rsidRPr="006B3EA1" w:rsidRDefault="006B3EA1" w:rsidP="006B3EA1">
      <w:pPr>
        <w:rPr>
          <w:lang w:val="en-GB"/>
        </w:rPr>
      </w:pPr>
      <w:r w:rsidRPr="006B3EA1">
        <w:rPr>
          <w:b/>
          <w:lang w:val="en-GB"/>
        </w:rPr>
        <w:t xml:space="preserve">ITU-T X.677 “Identification mechanism for unmanned aerial vehicles using object identifiers” (under approval) </w:t>
      </w:r>
      <w:r w:rsidRPr="006B3EA1">
        <w:rPr>
          <w:lang w:val="en-GB"/>
        </w:rPr>
        <w:t>analyses requirements for full life-cycle management and operating identity recognition of unmanned aerial vehicles (UAVs) with security considerations and specifies an identification mechanism for UAVs using object identifiers (OIDs), including detailed specifications of assignment rules and registration procedures of OIDs used for UAVs.</w:t>
      </w:r>
    </w:p>
    <w:p w14:paraId="5A4E0C9D" w14:textId="77777777" w:rsidR="006B3EA1" w:rsidRPr="006B3EA1" w:rsidRDefault="00F60C99" w:rsidP="006B3EA1">
      <w:pPr>
        <w:rPr>
          <w:lang w:val="en-GB"/>
        </w:rPr>
      </w:pPr>
      <w:hyperlink r:id="rId296" w:history="1">
        <w:r w:rsidR="006B3EA1" w:rsidRPr="006B3EA1">
          <w:rPr>
            <w:rStyle w:val="Hyperlink"/>
            <w:b/>
            <w:lang w:val="en-GB"/>
          </w:rPr>
          <w:t>ITU-T X.1044 “Security requirements of network virtualization”</w:t>
        </w:r>
      </w:hyperlink>
      <w:r w:rsidR="006B3EA1" w:rsidRPr="006B3EA1">
        <w:rPr>
          <w:lang w:val="en-GB"/>
        </w:rPr>
        <w:t xml:space="preserve"> analyses security challenges and threats to network virtualization (NV), and specifies security requirements for the physical resources layer, virtual resources layer and logically isolated network partition (LINP) layer in NV.</w:t>
      </w:r>
    </w:p>
    <w:p w14:paraId="7F46CA95" w14:textId="77777777" w:rsidR="006B3EA1" w:rsidRPr="006B3EA1" w:rsidRDefault="00F60C99" w:rsidP="006B3EA1">
      <w:pPr>
        <w:rPr>
          <w:lang w:val="en-GB"/>
        </w:rPr>
      </w:pPr>
      <w:hyperlink r:id="rId297" w:history="1">
        <w:r w:rsidR="006B3EA1" w:rsidRPr="006B3EA1">
          <w:rPr>
            <w:rStyle w:val="Hyperlink"/>
            <w:b/>
            <w:lang w:val="en-GB"/>
          </w:rPr>
          <w:t>ITU-T X.1045 “Security service chain architecture for networks and applications”</w:t>
        </w:r>
      </w:hyperlink>
      <w:r w:rsidR="006B3EA1" w:rsidRPr="006B3EA1">
        <w:rPr>
          <w:lang w:val="en-GB"/>
        </w:rPr>
        <w:t xml:space="preserve"> supports provision of customized dynamic and adaptive security services for networks and applications. This Recommendation defines the security service chain and an architecture design for the security service chain. This Recommendation applies the security service chain to networks and applications. This Recommendation also enables tracing network attacks to their resources in a service function chain (SFC) overlay network with high performance and the mitigating/preventing of those attacks automatically.</w:t>
      </w:r>
    </w:p>
    <w:p w14:paraId="59D6B761" w14:textId="77777777" w:rsidR="006B3EA1" w:rsidRPr="006B3EA1" w:rsidRDefault="00F60C99" w:rsidP="006B3EA1">
      <w:pPr>
        <w:rPr>
          <w:lang w:val="en-GB"/>
        </w:rPr>
      </w:pPr>
      <w:hyperlink r:id="rId298" w:history="1">
        <w:r w:rsidR="006B3EA1" w:rsidRPr="006B3EA1">
          <w:rPr>
            <w:rStyle w:val="Hyperlink"/>
            <w:b/>
            <w:lang w:val="en-GB"/>
          </w:rPr>
          <w:t>ITU-T X.1059 “Implementation guidance for telecommunications organizations on risk management of their assets globally accessible in IP-based networks”</w:t>
        </w:r>
      </w:hyperlink>
      <w:r w:rsidR="006B3EA1" w:rsidRPr="006B3EA1">
        <w:rPr>
          <w:lang w:val="en-GB"/>
        </w:rPr>
        <w:t xml:space="preserve"> provides guidance for telecommunications organizations on risk management of their assets globally accessible in IP-based networks, the assets of which are exposed directly to hackers and attackers. These assets may also be connected to the traditional (and even old) assets of legacy telecommunication networks, which might have some design level vulnerabilities that could be difficult to fix. Therefore, it would be practical to consider all the assets globally accessible in IP-based networks (AGIT) of a telecommunication organization as a whole, and to introduce some specific security controls to </w:t>
      </w:r>
      <w:r w:rsidR="006B3EA1" w:rsidRPr="006B3EA1">
        <w:rPr>
          <w:lang w:val="en-GB"/>
        </w:rPr>
        <w:lastRenderedPageBreak/>
        <w:t>continuously reduce the overall risks and strengthen the overall security of telecommunication services and networks. It is suggested that the assets globally accessible in IP-based networks have a high priority to adopt these proposed controls, which might also be applicable to other assets.</w:t>
      </w:r>
    </w:p>
    <w:p w14:paraId="1D45EAD1" w14:textId="77777777" w:rsidR="006B3EA1" w:rsidRPr="006B3EA1" w:rsidRDefault="00F60C99" w:rsidP="006B3EA1">
      <w:pPr>
        <w:rPr>
          <w:bCs/>
          <w:lang w:val="en-GB"/>
        </w:rPr>
      </w:pPr>
      <w:hyperlink r:id="rId299" w:history="1">
        <w:r w:rsidR="006B3EA1" w:rsidRPr="006B3EA1">
          <w:rPr>
            <w:rStyle w:val="Hyperlink"/>
            <w:b/>
            <w:bCs/>
            <w:lang w:val="en-GB"/>
          </w:rPr>
          <w:t>ITU-T X.1232 “Technical framework for countering advertising spam in user generated information”</w:t>
        </w:r>
      </w:hyperlink>
      <w:r w:rsidR="006B3EA1" w:rsidRPr="006B3EA1">
        <w:rPr>
          <w:b/>
          <w:bCs/>
          <w:lang w:val="en-GB"/>
        </w:rPr>
        <w:t xml:space="preserve"> </w:t>
      </w:r>
      <w:r w:rsidR="006B3EA1" w:rsidRPr="006B3EA1">
        <w:rPr>
          <w:bCs/>
          <w:lang w:val="en-GB"/>
        </w:rPr>
        <w:t xml:space="preserve">analyses scenarios and characteristics of advertising </w:t>
      </w:r>
      <w:proofErr w:type="gramStart"/>
      <w:r w:rsidR="006B3EA1" w:rsidRPr="006B3EA1">
        <w:rPr>
          <w:bCs/>
          <w:lang w:val="en-GB"/>
        </w:rPr>
        <w:t>spam, and</w:t>
      </w:r>
      <w:proofErr w:type="gramEnd"/>
      <w:r w:rsidR="006B3EA1" w:rsidRPr="006B3EA1">
        <w:rPr>
          <w:bCs/>
          <w:lang w:val="en-GB"/>
        </w:rPr>
        <w:t xml:space="preserve"> specifies a reference framework and process flows to help Internet service providers to counter advertising spam. It specifies a framework for reducing advertising spam, improving the user experience.</w:t>
      </w:r>
    </w:p>
    <w:p w14:paraId="1E4E20F4" w14:textId="77777777" w:rsidR="006B3EA1" w:rsidRPr="006B3EA1" w:rsidRDefault="00F60C99" w:rsidP="006B3EA1">
      <w:pPr>
        <w:rPr>
          <w:lang w:val="en-GB"/>
        </w:rPr>
      </w:pPr>
      <w:hyperlink r:id="rId300" w:history="1">
        <w:r w:rsidR="006B3EA1" w:rsidRPr="006B3EA1">
          <w:rPr>
            <w:rStyle w:val="Hyperlink"/>
            <w:b/>
            <w:lang w:val="en-GB"/>
          </w:rPr>
          <w:t>ITU-T X.1401 “Security threats of distributed ledger technology”</w:t>
        </w:r>
      </w:hyperlink>
      <w:r w:rsidR="006B3EA1" w:rsidRPr="006B3EA1">
        <w:rPr>
          <w:b/>
          <w:lang w:val="en-GB"/>
        </w:rPr>
        <w:t>:</w:t>
      </w:r>
      <w:r w:rsidR="006B3EA1" w:rsidRPr="006B3EA1">
        <w:rPr>
          <w:lang w:val="en-GB"/>
        </w:rPr>
        <w:t xml:space="preserve"> Distributed Ledger Technology (DLT) provides a technical mechanism for achieving verifiable trust through consensus and collective decision-making. DLT also involves maintaining ledgers in a decentralized way and using </w:t>
      </w:r>
      <w:proofErr w:type="gramStart"/>
      <w:r w:rsidR="006B3EA1" w:rsidRPr="006B3EA1">
        <w:rPr>
          <w:lang w:val="en-GB"/>
        </w:rPr>
        <w:t>crypto-mechanisms</w:t>
      </w:r>
      <w:proofErr w:type="gramEnd"/>
      <w:r w:rsidR="006B3EA1" w:rsidRPr="006B3EA1">
        <w:rPr>
          <w:lang w:val="en-GB"/>
        </w:rPr>
        <w:t xml:space="preserve"> that can deliver some intrinsic security features. However, a distributed ledger system still has security limitations, for example, confidentiality must be added depending on use case, data sensitivity and applicable data privacy regulations. Recommendation ITU-T X.1401 provides a structured and systematic threat analysis method to design, implement, operate a distributed ledger system and to evaluate its security.</w:t>
      </w:r>
    </w:p>
    <w:p w14:paraId="3652FFFE" w14:textId="77777777" w:rsidR="006B3EA1" w:rsidRPr="006B3EA1" w:rsidRDefault="00F60C99" w:rsidP="006B3EA1">
      <w:pPr>
        <w:rPr>
          <w:lang w:val="en-GB"/>
        </w:rPr>
      </w:pPr>
      <w:hyperlink r:id="rId301" w:history="1">
        <w:r w:rsidR="006B3EA1" w:rsidRPr="006B3EA1">
          <w:rPr>
            <w:rStyle w:val="Hyperlink"/>
            <w:b/>
            <w:lang w:val="en-GB"/>
          </w:rPr>
          <w:t>ITU-T X.1702 “Quantum noise random number generator architecture”</w:t>
        </w:r>
      </w:hyperlink>
      <w:r w:rsidR="006B3EA1" w:rsidRPr="006B3EA1">
        <w:rPr>
          <w:lang w:val="en-GB"/>
        </w:rPr>
        <w:t xml:space="preserve"> defines a generic functional architecture of a quantum entropy source, a common method to estimate and validate the entropy of a noise source under evaluation, and a common method to specify randomness extractors when they are part of the implemented system. In contrast to the causal nature of classical physics, the inherently probabilistic nature of quantum physics is particularly suited to implement noise sources with an entropy that can be estimated based on information theory. However, there are not yet any existing standards that explicitly distinguish between noise sources based on quantum physics and classical physics. This Recommendation is an add-on to existing noise or entropy source standards that allow specification of whether the noise source under evaluation is based on quantum physics or not.</w:t>
      </w:r>
    </w:p>
    <w:p w14:paraId="29337476" w14:textId="77777777" w:rsidR="006B3EA1" w:rsidRPr="006B3EA1" w:rsidRDefault="00F60C99" w:rsidP="006B3EA1">
      <w:pPr>
        <w:tabs>
          <w:tab w:val="left" w:pos="284"/>
          <w:tab w:val="left" w:pos="567"/>
          <w:tab w:val="left" w:pos="851"/>
          <w:tab w:val="left" w:pos="1418"/>
          <w:tab w:val="left" w:pos="1701"/>
          <w:tab w:val="left" w:pos="2552"/>
          <w:tab w:val="left" w:pos="2835"/>
          <w:tab w:val="left" w:pos="3119"/>
          <w:tab w:val="left" w:pos="3402"/>
          <w:tab w:val="left" w:pos="3686"/>
          <w:tab w:val="left" w:pos="3969"/>
        </w:tabs>
        <w:rPr>
          <w:bCs/>
          <w:lang w:val="en-GB"/>
        </w:rPr>
      </w:pPr>
      <w:hyperlink r:id="rId302" w:history="1">
        <w:r w:rsidR="006B3EA1" w:rsidRPr="006B3EA1">
          <w:rPr>
            <w:rStyle w:val="Hyperlink"/>
            <w:b/>
            <w:bCs/>
            <w:lang w:val="en-GB"/>
          </w:rPr>
          <w:t>ITU-T Y.3800 "Overview on networks supporting quantum key distribution”</w:t>
        </w:r>
      </w:hyperlink>
      <w:r w:rsidR="006B3EA1" w:rsidRPr="006B3EA1">
        <w:rPr>
          <w:b/>
          <w:bCs/>
          <w:lang w:val="en-GB"/>
        </w:rPr>
        <w:t xml:space="preserve"> </w:t>
      </w:r>
      <w:r w:rsidR="006B3EA1" w:rsidRPr="006B3EA1">
        <w:rPr>
          <w:bCs/>
          <w:lang w:val="en-GB"/>
        </w:rPr>
        <w:t>specifies an overview on networks supporting quantum key distribution (QKD). This Recommendation aims to provide support for design, deployment, operation and maintenance to implement QKD networks (QKDNs) in terms of standardized technologies. The relevant network aspects for conceptual structure, layered model and basic functions are within the scope of the Recommendation to support its implementation.</w:t>
      </w:r>
    </w:p>
    <w:p w14:paraId="3607ADC2" w14:textId="77777777" w:rsidR="006B3EA1" w:rsidRPr="006B3EA1" w:rsidRDefault="006B3EA1" w:rsidP="006B3EA1">
      <w:pPr>
        <w:pStyle w:val="Headingb"/>
      </w:pPr>
      <w:r w:rsidRPr="006B3EA1">
        <w:t>I.5.2</w:t>
      </w:r>
      <w:r w:rsidRPr="006B3EA1">
        <w:tab/>
        <w:t>Trust</w:t>
      </w:r>
    </w:p>
    <w:p w14:paraId="5FA1AB9D" w14:textId="77777777" w:rsidR="006B3EA1" w:rsidRPr="006B3EA1" w:rsidRDefault="006B3EA1" w:rsidP="006B3EA1">
      <w:pPr>
        <w:pStyle w:val="Headingb"/>
      </w:pPr>
      <w:bookmarkStart w:id="257" w:name="_Toc480527904"/>
      <w:r w:rsidRPr="006B3EA1">
        <w:t>I.6.1</w:t>
      </w:r>
      <w:r w:rsidRPr="006B3EA1">
        <w:tab/>
        <w:t>Green ICT standards</w:t>
      </w:r>
      <w:bookmarkEnd w:id="257"/>
    </w:p>
    <w:p w14:paraId="58419275" w14:textId="77777777" w:rsidR="006B3EA1" w:rsidRPr="006B3EA1" w:rsidRDefault="00F60C99" w:rsidP="006B3EA1">
      <w:pPr>
        <w:rPr>
          <w:lang w:val="en-GB"/>
        </w:rPr>
      </w:pPr>
      <w:hyperlink r:id="rId303" w:history="1">
        <w:r w:rsidR="006B3EA1" w:rsidRPr="006B3EA1">
          <w:rPr>
            <w:rStyle w:val="Hyperlink"/>
            <w:b/>
            <w:lang w:val="en-GB"/>
          </w:rPr>
          <w:t>ITU-T L.1210 “Sustainable power-feeding solutions for 5G networks”</w:t>
        </w:r>
      </w:hyperlink>
      <w:r w:rsidR="006B3EA1" w:rsidRPr="006B3EA1">
        <w:rPr>
          <w:b/>
          <w:lang w:val="en-GB"/>
        </w:rPr>
        <w:t xml:space="preserve"> </w:t>
      </w:r>
      <w:r w:rsidR="006B3EA1" w:rsidRPr="006B3EA1">
        <w:rPr>
          <w:lang w:val="en-GB"/>
        </w:rPr>
        <w:t xml:space="preserve">defines power-feeding solutions for 5G, converged wireless and wireline access equipment and networks, taking into consideration their enhanced requirements on service availability and reliability, new deployment scenarios, along with the environmental impact of the proposed solutions. The minimum requirements of different solutions, including power-feeding structures, components, backup, safety requirements and environmental conditions, are also defined. This Recommendation is applicable to the powering of both mobile and fixed access network elements, </w:t>
      </w:r>
      <w:proofErr w:type="gramStart"/>
      <w:r w:rsidR="006B3EA1" w:rsidRPr="006B3EA1">
        <w:rPr>
          <w:lang w:val="en-GB"/>
        </w:rPr>
        <w:t>in particular equipment</w:t>
      </w:r>
      <w:proofErr w:type="gramEnd"/>
      <w:r w:rsidR="006B3EA1" w:rsidRPr="006B3EA1">
        <w:rPr>
          <w:lang w:val="en-GB"/>
        </w:rPr>
        <w:t xml:space="preserve"> that have similar configurations and needs.</w:t>
      </w:r>
    </w:p>
    <w:p w14:paraId="669C65F9" w14:textId="77777777" w:rsidR="006B3EA1" w:rsidRPr="006B3EA1" w:rsidRDefault="00F60C99" w:rsidP="006B3EA1">
      <w:pPr>
        <w:rPr>
          <w:lang w:val="en-GB"/>
        </w:rPr>
      </w:pPr>
      <w:hyperlink r:id="rId304" w:history="1">
        <w:r w:rsidR="006B3EA1" w:rsidRPr="006B3EA1">
          <w:rPr>
            <w:rStyle w:val="Hyperlink"/>
            <w:b/>
            <w:lang w:val="en-GB"/>
          </w:rPr>
          <w:t>ITU-T L.1022 "Circular Economy: Definitions and concepts for material efficiency for Information and Communication Technology"</w:t>
        </w:r>
      </w:hyperlink>
      <w:r w:rsidR="006B3EA1" w:rsidRPr="006B3EA1">
        <w:rPr>
          <w:b/>
          <w:lang w:val="en-GB"/>
        </w:rPr>
        <w:t xml:space="preserve"> </w:t>
      </w:r>
      <w:r w:rsidR="006B3EA1" w:rsidRPr="006B3EA1">
        <w:rPr>
          <w:lang w:val="en-GB"/>
        </w:rPr>
        <w:t xml:space="preserve">contains a guide to circular economy (CE) aspects, parameters, metrics, indicators for information and communication technology (ICT) based on current approaches, concepts and metrics of the CE as defined in existing standards, while considering their applicability for ICT. In this Recommendation ICT is defined as based on OECD [b-ISIC]. This Recommendation discusses the special considerations and challenges in a broader and more </w:t>
      </w:r>
      <w:proofErr w:type="gramStart"/>
      <w:r w:rsidR="006B3EA1" w:rsidRPr="006B3EA1">
        <w:rPr>
          <w:lang w:val="en-GB"/>
        </w:rPr>
        <w:t>in depth</w:t>
      </w:r>
      <w:proofErr w:type="gramEnd"/>
      <w:r w:rsidR="006B3EA1" w:rsidRPr="006B3EA1">
        <w:rPr>
          <w:lang w:val="en-GB"/>
        </w:rPr>
        <w:t xml:space="preserve"> context for all ICT defining parameters, metrics, and indicators with the intention to guide the vertical standardization of the material efficiency for ICT. The guideline aims to </w:t>
      </w:r>
      <w:r w:rsidR="006B3EA1" w:rsidRPr="006B3EA1">
        <w:rPr>
          <w:lang w:val="en-GB"/>
        </w:rPr>
        <w:lastRenderedPageBreak/>
        <w:t>examine the kinds of standards that are available and to assess their relevance for ICT product groups citing examples of interrelated relevance throughout the text of the Recommendation.</w:t>
      </w:r>
    </w:p>
    <w:p w14:paraId="1900E8A3" w14:textId="77777777" w:rsidR="006B3EA1" w:rsidRPr="006B3EA1" w:rsidRDefault="00F60C99" w:rsidP="006B3EA1">
      <w:pPr>
        <w:rPr>
          <w:lang w:val="en-GB"/>
        </w:rPr>
      </w:pPr>
      <w:hyperlink r:id="rId305" w:history="1">
        <w:r w:rsidR="006B3EA1" w:rsidRPr="006B3EA1">
          <w:rPr>
            <w:rStyle w:val="Hyperlink"/>
            <w:b/>
            <w:lang w:val="en-GB"/>
          </w:rPr>
          <w:t>ITU-T L.1305 “Data centre infrastructure management system based on big data and artificial intelligence technology”</w:t>
        </w:r>
      </w:hyperlink>
      <w:r w:rsidR="006B3EA1" w:rsidRPr="006B3EA1">
        <w:rPr>
          <w:lang w:val="en-GB"/>
        </w:rPr>
        <w:t xml:space="preserve"> contains technical specifications of data centre infrastructure management (DCIM) system, with the following aspects being covered: principles, management objects, management system schemes, data collection function requirements, operational function requirements, energy saving management, capacity management for information and communication technology (ICT) and facilities, other operational function requirements and intelligent controlling on systems to maximize green energy use. Other items such as: maintenance function requirements, early alarm and protection based on big data analysis and intelligent controlling on systems to decrease the cost for maintenance are also considered.</w:t>
      </w:r>
    </w:p>
    <w:p w14:paraId="52E96D43" w14:textId="77777777" w:rsidR="006B3EA1" w:rsidRPr="006B3EA1" w:rsidRDefault="00F60C99" w:rsidP="006B3EA1">
      <w:pPr>
        <w:rPr>
          <w:lang w:val="en-GB"/>
        </w:rPr>
      </w:pPr>
      <w:hyperlink r:id="rId306" w:history="1">
        <w:r w:rsidR="006B3EA1" w:rsidRPr="006B3EA1">
          <w:rPr>
            <w:rStyle w:val="Hyperlink"/>
            <w:b/>
            <w:lang w:val="en-GB"/>
          </w:rPr>
          <w:t>ITU-T L.1316 “Energy efficiency framework”</w:t>
        </w:r>
      </w:hyperlink>
      <w:r w:rsidR="006B3EA1" w:rsidRPr="006B3EA1">
        <w:rPr>
          <w:lang w:val="en-GB"/>
        </w:rPr>
        <w:t xml:space="preserve"> contains a framework of documents for collecting standards on energy efficiency metrics/key performance indicators (KPIs), measurement methodologies and energy management solutions for information and communication technology (ICT) equipment. The Recommendation suggests the selection of the appropriate document to reference when determining energy efficiency.</w:t>
      </w:r>
    </w:p>
    <w:p w14:paraId="60117815" w14:textId="77777777" w:rsidR="006B3EA1" w:rsidRPr="006B3EA1" w:rsidRDefault="00F60C99" w:rsidP="006B3EA1">
      <w:pPr>
        <w:rPr>
          <w:lang w:val="en-GB"/>
        </w:rPr>
      </w:pPr>
      <w:hyperlink r:id="rId307" w:history="1">
        <w:r w:rsidR="006B3EA1" w:rsidRPr="006B3EA1">
          <w:rPr>
            <w:rStyle w:val="Hyperlink"/>
            <w:b/>
            <w:lang w:val="en-GB"/>
          </w:rPr>
          <w:t>ITU-T L.1380 “Smart energy solution for telecom sites”</w:t>
        </w:r>
      </w:hyperlink>
      <w:r w:rsidR="006B3EA1" w:rsidRPr="006B3EA1">
        <w:rPr>
          <w:lang w:val="en-GB"/>
        </w:rPr>
        <w:t xml:space="preserve"> focuses on smart energy solutions for telecom sites, mainly on the performance, safety, energy efficiency and environmental impact, when the system is fed by various types of energy such as photovoltaic (PV) energy, wind energy, fuel cells and the grid. The Recommendation also considers smart energy control. For example, if the grid is off, how can the energy flows be managed to achieve higher energy efficiency, get more green energy, etc.</w:t>
      </w:r>
    </w:p>
    <w:p w14:paraId="1938A82E" w14:textId="77777777" w:rsidR="006B3EA1" w:rsidRPr="006B3EA1" w:rsidRDefault="00F60C99" w:rsidP="006B3EA1">
      <w:pPr>
        <w:rPr>
          <w:lang w:val="en-GB"/>
        </w:rPr>
      </w:pPr>
      <w:hyperlink r:id="rId308" w:history="1">
        <w:r w:rsidR="006B3EA1" w:rsidRPr="006B3EA1">
          <w:rPr>
            <w:rStyle w:val="Hyperlink"/>
            <w:b/>
            <w:lang w:val="en-GB"/>
          </w:rPr>
          <w:t>ITU-T L.1451 “Methodology for assessing the aggregated positive sector-level impacts of ICT in other sectors”</w:t>
        </w:r>
      </w:hyperlink>
      <w:r w:rsidR="006B3EA1" w:rsidRPr="006B3EA1">
        <w:rPr>
          <w:b/>
          <w:lang w:val="en-GB"/>
        </w:rPr>
        <w:t>:</w:t>
      </w:r>
      <w:r w:rsidR="006B3EA1" w:rsidRPr="006B3EA1">
        <w:rPr>
          <w:lang w:val="en-GB"/>
        </w:rPr>
        <w:t xml:space="preserve"> To date no international comprehensive methodology exists to assess the environmental impact of information and communication technology (ICT) at sector level, or to assess the aggregated positive effects of the ICT sector on other sectors of the economy. Without a standard methodology evaluating the positive impacts of ICT, the role of ICTs in the fight against global warming will be only partially perceived. Recommendation ITU-T L.1451 addresses the need to contribute to achieve the targets and goals of the 2030 Agenda for Sustainable Development and specially its Sustainable Development Goal 13 (SDG13), the Connect 2030 Agenda and the Paris Agreement from a global perspective. This Recommendation addresses the opportunity to use a computable general equilibrium (CGE) model as a possible methodology for simultaneously assessing the environmental and economic impacts of ICTs at sectoral level.</w:t>
      </w:r>
    </w:p>
    <w:p w14:paraId="2D98AB6D" w14:textId="77777777" w:rsidR="006B3EA1" w:rsidRPr="006B3EA1" w:rsidRDefault="00F60C99" w:rsidP="006B3EA1">
      <w:pPr>
        <w:rPr>
          <w:lang w:val="en-GB"/>
        </w:rPr>
      </w:pPr>
      <w:hyperlink r:id="rId309" w:history="1">
        <w:r w:rsidR="006B3EA1" w:rsidRPr="006B3EA1">
          <w:rPr>
            <w:rStyle w:val="Hyperlink"/>
            <w:b/>
            <w:lang w:val="en-GB"/>
          </w:rPr>
          <w:t>ITU-T L.1470 “GHG emissions trajectories for the ICT sector compatible with the UNFCCC Paris Agreement”</w:t>
        </w:r>
      </w:hyperlink>
      <w:r w:rsidR="006B3EA1" w:rsidRPr="006B3EA1">
        <w:rPr>
          <w:b/>
          <w:lang w:val="en-GB"/>
        </w:rPr>
        <w:t xml:space="preserve"> </w:t>
      </w:r>
      <w:r w:rsidR="006B3EA1" w:rsidRPr="006B3EA1">
        <w:rPr>
          <w:lang w:val="en-GB"/>
        </w:rPr>
        <w:t xml:space="preserve">provides detailed trajectories of GHG emissions for the global ICT sector and sub-sectors which are quantified for the year 2015 and estimated for 2020, 2025 and 2030. In addition, it defines a long-term ambition for 2050. The trajectories, the long-term ambition and the 2015 baseline have been derived in accordance with ITU-T L.1450 and through complementing methods in support of the 1.5oC objective described by the IPCC in its Special Report on 1.5 </w:t>
      </w:r>
      <w:proofErr w:type="spellStart"/>
      <w:r w:rsidR="006B3EA1" w:rsidRPr="006B3EA1">
        <w:rPr>
          <w:lang w:val="en-GB"/>
        </w:rPr>
        <w:t>oC</w:t>
      </w:r>
      <w:proofErr w:type="spellEnd"/>
      <w:r w:rsidR="006B3EA1" w:rsidRPr="006B3EA1">
        <w:rPr>
          <w:lang w:val="en-GB"/>
        </w:rPr>
        <w:t xml:space="preserve"> [b-IPCC 1.5] and in support of Science-based Targets initiative (</w:t>
      </w:r>
      <w:proofErr w:type="spellStart"/>
      <w:r w:rsidR="006B3EA1" w:rsidRPr="006B3EA1">
        <w:rPr>
          <w:lang w:val="en-GB"/>
        </w:rPr>
        <w:t>SBTi</w:t>
      </w:r>
      <w:proofErr w:type="spellEnd"/>
      <w:r w:rsidR="006B3EA1" w:rsidRPr="006B3EA1">
        <w:rPr>
          <w:lang w:val="en-GB"/>
        </w:rPr>
        <w:t>).</w:t>
      </w:r>
    </w:p>
    <w:p w14:paraId="54F54FB6" w14:textId="77777777" w:rsidR="006B3EA1" w:rsidRPr="006B3EA1" w:rsidRDefault="006B3EA1" w:rsidP="006B3EA1">
      <w:pPr>
        <w:pStyle w:val="Headingb"/>
      </w:pPr>
      <w:bookmarkStart w:id="258" w:name="_Toc480527905"/>
      <w:r w:rsidRPr="006B3EA1">
        <w:t>I.6.2</w:t>
      </w:r>
      <w:r w:rsidRPr="006B3EA1">
        <w:tab/>
        <w:t>Electromagnetic fields</w:t>
      </w:r>
      <w:bookmarkEnd w:id="258"/>
    </w:p>
    <w:p w14:paraId="61FFCE29" w14:textId="77777777" w:rsidR="006B3EA1" w:rsidRPr="006B3EA1" w:rsidRDefault="00F60C99" w:rsidP="006B3EA1">
      <w:pPr>
        <w:rPr>
          <w:lang w:val="en-GB"/>
        </w:rPr>
      </w:pPr>
      <w:hyperlink r:id="rId310" w:history="1">
        <w:r w:rsidR="006B3EA1" w:rsidRPr="006B3EA1">
          <w:rPr>
            <w:rStyle w:val="Hyperlink"/>
            <w:b/>
            <w:bCs/>
            <w:lang w:val="en-GB"/>
          </w:rPr>
          <w:t xml:space="preserve">ITU-T K.20 (revised) "Resistibility of telecommunication equipment installed in a telecommunication centre to </w:t>
        </w:r>
        <w:proofErr w:type="spellStart"/>
        <w:r w:rsidR="006B3EA1" w:rsidRPr="006B3EA1">
          <w:rPr>
            <w:rStyle w:val="Hyperlink"/>
            <w:b/>
            <w:bCs/>
            <w:lang w:val="en-GB"/>
          </w:rPr>
          <w:t>overvoltages</w:t>
        </w:r>
        <w:proofErr w:type="spellEnd"/>
        <w:r w:rsidR="006B3EA1" w:rsidRPr="006B3EA1">
          <w:rPr>
            <w:rStyle w:val="Hyperlink"/>
            <w:b/>
            <w:bCs/>
            <w:lang w:val="en-GB"/>
          </w:rPr>
          <w:t xml:space="preserve"> and </w:t>
        </w:r>
        <w:proofErr w:type="spellStart"/>
        <w:r w:rsidR="006B3EA1" w:rsidRPr="006B3EA1">
          <w:rPr>
            <w:rStyle w:val="Hyperlink"/>
            <w:b/>
            <w:bCs/>
            <w:lang w:val="en-GB"/>
          </w:rPr>
          <w:t>overcurrents</w:t>
        </w:r>
        <w:proofErr w:type="spellEnd"/>
        <w:r w:rsidR="006B3EA1" w:rsidRPr="006B3EA1">
          <w:rPr>
            <w:rStyle w:val="Hyperlink"/>
            <w:b/>
            <w:bCs/>
            <w:lang w:val="en-GB"/>
          </w:rPr>
          <w:t>"</w:t>
        </w:r>
      </w:hyperlink>
      <w:r w:rsidR="006B3EA1" w:rsidRPr="006B3EA1">
        <w:rPr>
          <w:lang w:val="en-GB"/>
        </w:rPr>
        <w:t xml:space="preserve"> specifies resistibility requirements and test procedures for telecommunication equipment that is attached to or installed within a telecommunication centre. </w:t>
      </w:r>
      <w:proofErr w:type="spellStart"/>
      <w:r w:rsidR="006B3EA1" w:rsidRPr="006B3EA1">
        <w:rPr>
          <w:lang w:val="en-GB"/>
        </w:rPr>
        <w:t>Overvoltages</w:t>
      </w:r>
      <w:proofErr w:type="spellEnd"/>
      <w:r w:rsidR="006B3EA1" w:rsidRPr="006B3EA1">
        <w:rPr>
          <w:lang w:val="en-GB"/>
        </w:rPr>
        <w:t xml:space="preserve"> and </w:t>
      </w:r>
      <w:proofErr w:type="spellStart"/>
      <w:r w:rsidR="006B3EA1" w:rsidRPr="006B3EA1">
        <w:rPr>
          <w:lang w:val="en-GB"/>
        </w:rPr>
        <w:t>overcurrents</w:t>
      </w:r>
      <w:proofErr w:type="spellEnd"/>
      <w:r w:rsidR="006B3EA1" w:rsidRPr="006B3EA1">
        <w:rPr>
          <w:lang w:val="en-GB"/>
        </w:rPr>
        <w:t xml:space="preserve"> covered by this Recommendation include surges due to lightning on or near the line plant, short term induction from adjacent </w:t>
      </w:r>
      <w:proofErr w:type="spellStart"/>
      <w:r w:rsidR="006B3EA1" w:rsidRPr="006B3EA1">
        <w:rPr>
          <w:lang w:val="en-GB"/>
        </w:rPr>
        <w:t>a.c</w:t>
      </w:r>
      <w:proofErr w:type="spellEnd"/>
      <w:r w:rsidR="006B3EA1" w:rsidRPr="006B3EA1">
        <w:rPr>
          <w:lang w:val="en-GB"/>
        </w:rPr>
        <w:t xml:space="preserve">. power lines or railway systems, earth potential rise due to power faults, direct contact between telecommunication lines and power lines, and electrostatic discharges (ESDs). The sources for </w:t>
      </w:r>
      <w:proofErr w:type="spellStart"/>
      <w:r w:rsidR="006B3EA1" w:rsidRPr="006B3EA1">
        <w:rPr>
          <w:lang w:val="en-GB"/>
        </w:rPr>
        <w:t>overvoltages</w:t>
      </w:r>
      <w:proofErr w:type="spellEnd"/>
      <w:r w:rsidR="006B3EA1" w:rsidRPr="006B3EA1">
        <w:rPr>
          <w:lang w:val="en-GB"/>
        </w:rPr>
        <w:t xml:space="preserve"> in internal lines, between equipment or racks, are mainly inductive coupling caused by </w:t>
      </w:r>
      <w:r w:rsidR="006B3EA1" w:rsidRPr="006B3EA1">
        <w:rPr>
          <w:lang w:val="en-GB"/>
        </w:rPr>
        <w:lastRenderedPageBreak/>
        <w:t>lightning currents being conducted in nearby lightning strikes or lightning currents being conducted in nearby conductors.</w:t>
      </w:r>
    </w:p>
    <w:p w14:paraId="2D94DAF4" w14:textId="77777777" w:rsidR="006B3EA1" w:rsidRPr="006B3EA1" w:rsidRDefault="006B3EA1" w:rsidP="006B3EA1">
      <w:pPr>
        <w:rPr>
          <w:lang w:val="en-GB"/>
        </w:rPr>
      </w:pPr>
      <w:r w:rsidRPr="006B3EA1">
        <w:rPr>
          <w:lang w:val="en-GB"/>
        </w:rPr>
        <w:t>Major changes compared with Recommendation ITU-T K.20 (2017) include:</w:t>
      </w:r>
    </w:p>
    <w:p w14:paraId="42A0973C" w14:textId="77777777" w:rsidR="006B3EA1" w:rsidRPr="006B3EA1" w:rsidRDefault="006B3EA1" w:rsidP="006B3EA1">
      <w:pPr>
        <w:rPr>
          <w:lang w:val="en-GB"/>
        </w:rPr>
      </w:pPr>
      <w:r w:rsidRPr="006B3EA1">
        <w:rPr>
          <w:lang w:val="en-GB"/>
        </w:rPr>
        <w:t>–</w:t>
      </w:r>
      <w:r w:rsidRPr="006B3EA1">
        <w:rPr>
          <w:lang w:val="en-GB"/>
        </w:rPr>
        <w:tab/>
        <w:t>DC insulation resistance test;</w:t>
      </w:r>
    </w:p>
    <w:p w14:paraId="25D6B569" w14:textId="77777777" w:rsidR="006B3EA1" w:rsidRPr="006B3EA1" w:rsidRDefault="006B3EA1" w:rsidP="006B3EA1">
      <w:pPr>
        <w:rPr>
          <w:lang w:val="en-GB"/>
        </w:rPr>
      </w:pPr>
      <w:r w:rsidRPr="006B3EA1">
        <w:rPr>
          <w:lang w:val="en-GB"/>
        </w:rPr>
        <w:t>–</w:t>
      </w:r>
      <w:r w:rsidRPr="006B3EA1">
        <w:rPr>
          <w:lang w:val="en-GB"/>
        </w:rPr>
        <w:tab/>
        <w:t>revised test exemption for internal short cables;</w:t>
      </w:r>
    </w:p>
    <w:p w14:paraId="38FA441A" w14:textId="77777777" w:rsidR="006B3EA1" w:rsidRPr="006B3EA1" w:rsidRDefault="006B3EA1" w:rsidP="006B3EA1">
      <w:pPr>
        <w:rPr>
          <w:lang w:val="en-GB"/>
        </w:rPr>
      </w:pPr>
      <w:r w:rsidRPr="006B3EA1">
        <w:rPr>
          <w:lang w:val="en-GB"/>
        </w:rPr>
        <w:t>–</w:t>
      </w:r>
      <w:r w:rsidRPr="006B3EA1">
        <w:rPr>
          <w:lang w:val="en-GB"/>
        </w:rPr>
        <w:tab/>
        <w:t>renaming of some test titles for clarity;</w:t>
      </w:r>
    </w:p>
    <w:p w14:paraId="741373CE" w14:textId="77777777" w:rsidR="006B3EA1" w:rsidRPr="006B3EA1" w:rsidRDefault="006B3EA1" w:rsidP="006B3EA1">
      <w:pPr>
        <w:rPr>
          <w:lang w:val="en-GB"/>
        </w:rPr>
      </w:pPr>
      <w:r w:rsidRPr="006B3EA1">
        <w:rPr>
          <w:lang w:val="en-GB"/>
        </w:rPr>
        <w:t>–</w:t>
      </w:r>
      <w:r w:rsidRPr="006B3EA1">
        <w:rPr>
          <w:lang w:val="en-GB"/>
        </w:rPr>
        <w:tab/>
        <w:t>screened cable exemptions;</w:t>
      </w:r>
    </w:p>
    <w:p w14:paraId="294EA84A" w14:textId="77777777" w:rsidR="006B3EA1" w:rsidRPr="006B3EA1" w:rsidRDefault="006B3EA1" w:rsidP="006B3EA1">
      <w:pPr>
        <w:rPr>
          <w:szCs w:val="22"/>
          <w:lang w:val="en-GB"/>
        </w:rPr>
      </w:pPr>
      <w:r w:rsidRPr="006B3EA1">
        <w:rPr>
          <w:lang w:val="en-GB"/>
        </w:rPr>
        <w:t>–</w:t>
      </w:r>
      <w:r w:rsidRPr="006B3EA1">
        <w:rPr>
          <w:lang w:val="en-GB"/>
        </w:rPr>
        <w:tab/>
        <w:t>addition of Test 7.10, a twisted pair port transverse/differential test, to Table 7.</w:t>
      </w:r>
    </w:p>
    <w:p w14:paraId="499ADB80" w14:textId="77777777" w:rsidR="006B3EA1" w:rsidRPr="006B3EA1" w:rsidRDefault="00F60C99" w:rsidP="006B3EA1">
      <w:pPr>
        <w:rPr>
          <w:bCs/>
          <w:lang w:val="en-GB"/>
        </w:rPr>
      </w:pPr>
      <w:hyperlink r:id="rId311" w:history="1">
        <w:r w:rsidR="006B3EA1" w:rsidRPr="006B3EA1">
          <w:rPr>
            <w:rStyle w:val="Hyperlink"/>
            <w:b/>
            <w:bCs/>
            <w:lang w:val="en-GB"/>
          </w:rPr>
          <w:t>ITU-T K.39 (revised) “Risk assessment of damages to telecommunication sites due to lightning discharges”</w:t>
        </w:r>
      </w:hyperlink>
      <w:r w:rsidR="006B3EA1" w:rsidRPr="006B3EA1">
        <w:rPr>
          <w:b/>
          <w:bCs/>
          <w:lang w:val="en-GB"/>
        </w:rPr>
        <w:t xml:space="preserve">: </w:t>
      </w:r>
      <w:r w:rsidR="006B3EA1" w:rsidRPr="006B3EA1">
        <w:rPr>
          <w:bCs/>
          <w:lang w:val="en-GB"/>
        </w:rPr>
        <w:t xml:space="preserve">Protective measures against a randomly occurring overvoltage phenomenon like lightning discharges have to a great extent been empirically based. Modern equipment has shown to be more prone to damages compared with older ones. Serious consequences in complexed communication systems may also occur in built-up areas, earlier classified as unexposed. The widespread use of radio stations with high antenna masts for wireless telecommunication has significantly increased the risk for damages due to direct lightning strikes to the site. The need for protection should be based on a risk assessment considering the cost and importance of the system, the electromagnetic environment at the </w:t>
      </w:r>
      <w:proofErr w:type="gramStart"/>
      <w:r w:rsidR="006B3EA1" w:rsidRPr="006B3EA1">
        <w:rPr>
          <w:bCs/>
          <w:lang w:val="en-GB"/>
        </w:rPr>
        <w:t>particular site</w:t>
      </w:r>
      <w:proofErr w:type="gramEnd"/>
      <w:r w:rsidR="006B3EA1" w:rsidRPr="006B3EA1">
        <w:rPr>
          <w:bCs/>
          <w:lang w:val="en-GB"/>
        </w:rPr>
        <w:t xml:space="preserve"> and the probability of damages. The protection levels and the type of protective methods should also be chosen regarding the costs of installation and maintenance of protective devices. An assessment of the probability of overvoltage occurrences and the sensitivity of the existing telecommunication installation shall give a possibility to attain a well-balanced protection of the whole system. Protective measures to eliminate severe injuries to people during thunderstorms are especially important at exposed sites that are permanently or temporarily manned.</w:t>
      </w:r>
    </w:p>
    <w:p w14:paraId="54E39551" w14:textId="77777777" w:rsidR="006B3EA1" w:rsidRPr="006B3EA1" w:rsidRDefault="00F60C99" w:rsidP="006B3EA1">
      <w:pPr>
        <w:rPr>
          <w:bCs/>
          <w:lang w:val="en-GB"/>
        </w:rPr>
      </w:pPr>
      <w:hyperlink r:id="rId312" w:history="1">
        <w:r w:rsidR="006B3EA1" w:rsidRPr="006B3EA1">
          <w:rPr>
            <w:rStyle w:val="Hyperlink"/>
            <w:b/>
            <w:bCs/>
            <w:lang w:val="en-GB"/>
          </w:rPr>
          <w:t>ITU-T K.40 (revised) “Protection against lightning electromagnetic pulses in telecommunication centres”</w:t>
        </w:r>
      </w:hyperlink>
      <w:r w:rsidR="006B3EA1" w:rsidRPr="006B3EA1">
        <w:rPr>
          <w:b/>
          <w:bCs/>
          <w:lang w:val="en-GB"/>
        </w:rPr>
        <w:t>:</w:t>
      </w:r>
      <w:r w:rsidR="006B3EA1" w:rsidRPr="006B3EA1">
        <w:rPr>
          <w:bCs/>
          <w:lang w:val="en-GB"/>
        </w:rPr>
        <w:t xml:space="preserve"> Guidelines for the design of an effective protective system for a telecommunication structure against lightning electromagnetic pulse (LEMP) are proposed. The concept of lightning protection zones is introduced as a framework where specific protective measures are merged: earthing, bonding, cable routing, shielding, coordinated SPD system and isolating interfaces. Information about simulating the LEMP effects and a shopping list for the protective measures in existing and new buildings are also given.</w:t>
      </w:r>
    </w:p>
    <w:p w14:paraId="39E419C5" w14:textId="77777777" w:rsidR="006B3EA1" w:rsidRPr="006B3EA1" w:rsidRDefault="00F60C99" w:rsidP="006B3EA1">
      <w:pPr>
        <w:jc w:val="both"/>
        <w:rPr>
          <w:lang w:eastAsia="en-US"/>
        </w:rPr>
      </w:pPr>
      <w:hyperlink r:id="rId313" w:history="1">
        <w:r w:rsidR="006B3EA1" w:rsidRPr="006B3EA1">
          <w:rPr>
            <w:rStyle w:val="Hyperlink"/>
            <w:b/>
            <w:bCs/>
            <w:lang w:val="en-GB"/>
          </w:rPr>
          <w:t xml:space="preserve">ITU-T K.44 (revised) "Resistibility tests for telecommunication equipment exposed to </w:t>
        </w:r>
        <w:proofErr w:type="spellStart"/>
        <w:r w:rsidR="006B3EA1" w:rsidRPr="006B3EA1">
          <w:rPr>
            <w:rStyle w:val="Hyperlink"/>
            <w:b/>
            <w:bCs/>
            <w:lang w:val="en-GB"/>
          </w:rPr>
          <w:t>overvoltages</w:t>
        </w:r>
        <w:proofErr w:type="spellEnd"/>
        <w:r w:rsidR="006B3EA1" w:rsidRPr="006B3EA1">
          <w:rPr>
            <w:rStyle w:val="Hyperlink"/>
            <w:b/>
            <w:bCs/>
            <w:lang w:val="en-GB"/>
          </w:rPr>
          <w:t xml:space="preserve"> and </w:t>
        </w:r>
        <w:proofErr w:type="spellStart"/>
        <w:r w:rsidR="006B3EA1" w:rsidRPr="006B3EA1">
          <w:rPr>
            <w:rStyle w:val="Hyperlink"/>
            <w:b/>
            <w:bCs/>
            <w:lang w:val="en-GB"/>
          </w:rPr>
          <w:t>overcurrents</w:t>
        </w:r>
        <w:proofErr w:type="spellEnd"/>
        <w:r w:rsidR="006B3EA1" w:rsidRPr="006B3EA1">
          <w:rPr>
            <w:rStyle w:val="Hyperlink"/>
            <w:b/>
            <w:bCs/>
            <w:lang w:val="en-GB"/>
          </w:rPr>
          <w:t xml:space="preserve"> – Basic Recommendation"</w:t>
        </w:r>
      </w:hyperlink>
      <w:r w:rsidR="006B3EA1" w:rsidRPr="006B3EA1">
        <w:rPr>
          <w:lang w:val="en-GB"/>
        </w:rPr>
        <w:t xml:space="preserve"> </w:t>
      </w:r>
      <w:r w:rsidR="006B3EA1" w:rsidRPr="006B3EA1">
        <w:rPr>
          <w:lang w:eastAsia="en-US"/>
        </w:rPr>
        <w:t xml:space="preserve">seeks to establish fundamental test methods and criteria for the resistibility of telecommunication equipment to </w:t>
      </w:r>
      <w:proofErr w:type="spellStart"/>
      <w:r w:rsidR="006B3EA1" w:rsidRPr="006B3EA1">
        <w:rPr>
          <w:lang w:eastAsia="en-US"/>
        </w:rPr>
        <w:t>overvoltages</w:t>
      </w:r>
      <w:proofErr w:type="spellEnd"/>
      <w:r w:rsidR="006B3EA1" w:rsidRPr="006B3EA1">
        <w:rPr>
          <w:lang w:eastAsia="en-US"/>
        </w:rPr>
        <w:t xml:space="preserve"> and </w:t>
      </w:r>
      <w:proofErr w:type="spellStart"/>
      <w:r w:rsidR="006B3EA1" w:rsidRPr="006B3EA1">
        <w:rPr>
          <w:lang w:eastAsia="en-US"/>
        </w:rPr>
        <w:t>overcurrents</w:t>
      </w:r>
      <w:proofErr w:type="spellEnd"/>
      <w:r w:rsidR="006B3EA1" w:rsidRPr="006B3EA1">
        <w:rPr>
          <w:lang w:eastAsia="en-US"/>
        </w:rPr>
        <w:t xml:space="preserve">. </w:t>
      </w:r>
      <w:proofErr w:type="spellStart"/>
      <w:r w:rsidR="006B3EA1" w:rsidRPr="006B3EA1">
        <w:rPr>
          <w:lang w:eastAsia="en-US"/>
        </w:rPr>
        <w:t>Overvoltages</w:t>
      </w:r>
      <w:proofErr w:type="spellEnd"/>
      <w:r w:rsidR="006B3EA1" w:rsidRPr="006B3EA1">
        <w:rPr>
          <w:lang w:eastAsia="en-US"/>
        </w:rPr>
        <w:t xml:space="preserve"> or </w:t>
      </w:r>
      <w:proofErr w:type="spellStart"/>
      <w:r w:rsidR="006B3EA1" w:rsidRPr="006B3EA1">
        <w:rPr>
          <w:lang w:eastAsia="en-US"/>
        </w:rPr>
        <w:t>overcurrents</w:t>
      </w:r>
      <w:proofErr w:type="spellEnd"/>
      <w:r w:rsidR="006B3EA1" w:rsidRPr="006B3EA1">
        <w:rPr>
          <w:lang w:eastAsia="en-US"/>
        </w:rPr>
        <w:t xml:space="preserve"> covered by this Recommendation include surges due to lightning on or near the line plant, short-term induction of alternating voltages from adjacent electric power lines or electrified railway systems, earth potential rise due to power faults and direct contacts between telecommunication lines and power lines.</w:t>
      </w:r>
    </w:p>
    <w:p w14:paraId="7EBD7022" w14:textId="77777777" w:rsidR="006B3EA1" w:rsidRPr="006B3EA1" w:rsidRDefault="006B3EA1" w:rsidP="006B3EA1">
      <w:pPr>
        <w:jc w:val="both"/>
        <w:rPr>
          <w:lang w:eastAsia="en-US"/>
        </w:rPr>
      </w:pPr>
      <w:r w:rsidRPr="006B3EA1">
        <w:rPr>
          <w:lang w:eastAsia="en-US"/>
        </w:rPr>
        <w:t>Major changes compared with the 2018 version of this Recommendation include:</w:t>
      </w:r>
    </w:p>
    <w:p w14:paraId="4483B2D3" w14:textId="77777777" w:rsidR="006B3EA1" w:rsidRPr="006B3EA1" w:rsidRDefault="006B3EA1" w:rsidP="006B3EA1">
      <w:pPr>
        <w:spacing w:before="80"/>
        <w:ind w:left="794" w:hanging="794"/>
        <w:jc w:val="both"/>
        <w:rPr>
          <w:lang w:eastAsia="en-US"/>
        </w:rPr>
      </w:pPr>
      <w:r w:rsidRPr="006B3EA1">
        <w:rPr>
          <w:lang w:eastAsia="en-US"/>
        </w:rPr>
        <w:t>–</w:t>
      </w:r>
      <w:r w:rsidRPr="006B3EA1">
        <w:rPr>
          <w:lang w:eastAsia="en-US"/>
        </w:rPr>
        <w:tab/>
        <w:t>Appendices I and II removed and made into K.44 Supplements;</w:t>
      </w:r>
    </w:p>
    <w:p w14:paraId="0B7026D7" w14:textId="77777777" w:rsidR="006B3EA1" w:rsidRPr="006B3EA1" w:rsidRDefault="006B3EA1" w:rsidP="006B3EA1">
      <w:pPr>
        <w:spacing w:before="80"/>
        <w:ind w:left="794" w:hanging="794"/>
        <w:jc w:val="both"/>
        <w:rPr>
          <w:lang w:eastAsia="en-US"/>
        </w:rPr>
      </w:pPr>
      <w:r w:rsidRPr="006B3EA1">
        <w:rPr>
          <w:lang w:eastAsia="en-US"/>
        </w:rPr>
        <w:t>–</w:t>
      </w:r>
      <w:r w:rsidRPr="006B3EA1">
        <w:rPr>
          <w:lang w:eastAsia="en-US"/>
        </w:rPr>
        <w:tab/>
        <w:t>New twisted pair transverse/differential surge test circuit;</w:t>
      </w:r>
    </w:p>
    <w:p w14:paraId="688EC5F1" w14:textId="77777777" w:rsidR="006B3EA1" w:rsidRPr="006B3EA1" w:rsidRDefault="006B3EA1" w:rsidP="006B3EA1">
      <w:pPr>
        <w:spacing w:before="80"/>
        <w:ind w:left="794" w:hanging="794"/>
        <w:jc w:val="both"/>
        <w:rPr>
          <w:lang w:eastAsia="en-US"/>
        </w:rPr>
      </w:pPr>
      <w:r w:rsidRPr="006B3EA1">
        <w:rPr>
          <w:lang w:eastAsia="en-US"/>
        </w:rPr>
        <w:t>–</w:t>
      </w:r>
      <w:r w:rsidRPr="006B3EA1">
        <w:rPr>
          <w:lang w:eastAsia="en-US"/>
        </w:rPr>
        <w:tab/>
        <w:t>added Ethernet insulation resistance test to avoid port power cross test;</w:t>
      </w:r>
    </w:p>
    <w:p w14:paraId="484CA576" w14:textId="77777777" w:rsidR="006B3EA1" w:rsidRPr="006B3EA1" w:rsidRDefault="006B3EA1" w:rsidP="006B3EA1">
      <w:pPr>
        <w:spacing w:before="80"/>
        <w:ind w:left="794" w:hanging="794"/>
        <w:jc w:val="both"/>
        <w:rPr>
          <w:lang w:eastAsia="en-US"/>
        </w:rPr>
      </w:pPr>
      <w:r w:rsidRPr="006B3EA1">
        <w:rPr>
          <w:lang w:eastAsia="en-US"/>
        </w:rPr>
        <w:t>–</w:t>
      </w:r>
      <w:r w:rsidRPr="006B3EA1">
        <w:rPr>
          <w:lang w:eastAsia="en-US"/>
        </w:rPr>
        <w:tab/>
        <w:t>revision of the test schematics to improve clarity.</w:t>
      </w:r>
    </w:p>
    <w:p w14:paraId="3F7483D2" w14:textId="77777777" w:rsidR="006B3EA1" w:rsidRPr="006B3EA1" w:rsidRDefault="00F60C99" w:rsidP="006B3EA1">
      <w:pPr>
        <w:rPr>
          <w:szCs w:val="24"/>
          <w:lang w:val="en-GB"/>
        </w:rPr>
      </w:pPr>
      <w:hyperlink r:id="rId314" w:history="1">
        <w:r w:rsidR="006B3EA1" w:rsidRPr="006B3EA1">
          <w:rPr>
            <w:rStyle w:val="Hyperlink"/>
            <w:b/>
            <w:bCs/>
            <w:lang w:val="en-GB"/>
          </w:rPr>
          <w:t xml:space="preserve">ITU-T K.45 (revised) "Resistibility of telecommunication equipment installed in the access and trunk networks to </w:t>
        </w:r>
        <w:proofErr w:type="spellStart"/>
        <w:r w:rsidR="006B3EA1" w:rsidRPr="006B3EA1">
          <w:rPr>
            <w:rStyle w:val="Hyperlink"/>
            <w:b/>
            <w:bCs/>
            <w:lang w:val="en-GB"/>
          </w:rPr>
          <w:t>overvoltages</w:t>
        </w:r>
        <w:proofErr w:type="spellEnd"/>
        <w:r w:rsidR="006B3EA1" w:rsidRPr="006B3EA1">
          <w:rPr>
            <w:rStyle w:val="Hyperlink"/>
            <w:b/>
            <w:bCs/>
            <w:lang w:val="en-GB"/>
          </w:rPr>
          <w:t xml:space="preserve"> and </w:t>
        </w:r>
        <w:proofErr w:type="spellStart"/>
        <w:r w:rsidR="006B3EA1" w:rsidRPr="006B3EA1">
          <w:rPr>
            <w:rStyle w:val="Hyperlink"/>
            <w:b/>
            <w:bCs/>
            <w:lang w:val="en-GB"/>
          </w:rPr>
          <w:t>overcurrents</w:t>
        </w:r>
        <w:proofErr w:type="spellEnd"/>
        <w:r w:rsidR="006B3EA1" w:rsidRPr="006B3EA1">
          <w:rPr>
            <w:rStyle w:val="Hyperlink"/>
            <w:b/>
            <w:bCs/>
            <w:lang w:val="en-GB"/>
          </w:rPr>
          <w:t>"</w:t>
        </w:r>
      </w:hyperlink>
      <w:r w:rsidR="006B3EA1" w:rsidRPr="006B3EA1">
        <w:rPr>
          <w:lang w:val="en-GB"/>
        </w:rPr>
        <w:t xml:space="preserve"> </w:t>
      </w:r>
      <w:r w:rsidR="006B3EA1" w:rsidRPr="006B3EA1">
        <w:rPr>
          <w:szCs w:val="24"/>
          <w:lang w:val="en-GB"/>
        </w:rPr>
        <w:t xml:space="preserve">specifies resistibility requirements and test procedures for telecommunication equipment installed between telecommunication centres and between a telecommunication centre and the customer's premises. </w:t>
      </w:r>
      <w:proofErr w:type="spellStart"/>
      <w:r w:rsidR="006B3EA1" w:rsidRPr="006B3EA1">
        <w:rPr>
          <w:szCs w:val="24"/>
          <w:lang w:val="en-GB"/>
        </w:rPr>
        <w:t>Overvoltages</w:t>
      </w:r>
      <w:proofErr w:type="spellEnd"/>
      <w:r w:rsidR="006B3EA1" w:rsidRPr="006B3EA1">
        <w:rPr>
          <w:szCs w:val="24"/>
          <w:lang w:val="en-GB"/>
        </w:rPr>
        <w:t xml:space="preserve"> or </w:t>
      </w:r>
      <w:proofErr w:type="spellStart"/>
      <w:r w:rsidR="006B3EA1" w:rsidRPr="006B3EA1">
        <w:rPr>
          <w:szCs w:val="24"/>
          <w:lang w:val="en-GB"/>
        </w:rPr>
        <w:t>overcurrents</w:t>
      </w:r>
      <w:proofErr w:type="spellEnd"/>
      <w:r w:rsidR="006B3EA1" w:rsidRPr="006B3EA1">
        <w:rPr>
          <w:szCs w:val="24"/>
          <w:lang w:val="en-GB"/>
        </w:rPr>
        <w:t xml:space="preserve"> </w:t>
      </w:r>
      <w:r w:rsidR="006B3EA1" w:rsidRPr="006B3EA1">
        <w:rPr>
          <w:szCs w:val="24"/>
          <w:lang w:val="en-GB"/>
        </w:rPr>
        <w:lastRenderedPageBreak/>
        <w:t>covered by this Recommendation include surges due to lightning on or near the line plant, short-term induction from adjacent AC power lines or railway systems, earth potential rise due to power faults, direct contact between telecommunication lines and power lines and electrostatic discharges.</w:t>
      </w:r>
    </w:p>
    <w:p w14:paraId="73F1F4F7" w14:textId="77777777" w:rsidR="006B3EA1" w:rsidRPr="006B3EA1" w:rsidRDefault="006B3EA1" w:rsidP="006B3EA1">
      <w:pPr>
        <w:rPr>
          <w:szCs w:val="24"/>
          <w:lang w:val="en-GB"/>
        </w:rPr>
      </w:pPr>
      <w:r w:rsidRPr="006B3EA1">
        <w:rPr>
          <w:szCs w:val="24"/>
          <w:lang w:val="en-GB"/>
        </w:rPr>
        <w:t>Changes compared with Recommendation ITU-T K.45 (2018) include:</w:t>
      </w:r>
    </w:p>
    <w:p w14:paraId="244F943B" w14:textId="77777777" w:rsidR="006B3EA1" w:rsidRPr="006B3EA1" w:rsidRDefault="006B3EA1" w:rsidP="006B3EA1">
      <w:pPr>
        <w:rPr>
          <w:szCs w:val="24"/>
          <w:lang w:val="en-GB"/>
        </w:rPr>
      </w:pPr>
      <w:r w:rsidRPr="006B3EA1">
        <w:rPr>
          <w:szCs w:val="24"/>
          <w:lang w:val="en-GB"/>
        </w:rPr>
        <w:t>•</w:t>
      </w:r>
      <w:r w:rsidRPr="006B3EA1">
        <w:rPr>
          <w:szCs w:val="24"/>
          <w:lang w:val="en-GB"/>
        </w:rPr>
        <w:tab/>
        <w:t>DC insulation resistance test;</w:t>
      </w:r>
    </w:p>
    <w:p w14:paraId="1BF64F83" w14:textId="77777777" w:rsidR="006B3EA1" w:rsidRPr="006B3EA1" w:rsidRDefault="006B3EA1" w:rsidP="006B3EA1">
      <w:pPr>
        <w:rPr>
          <w:szCs w:val="24"/>
          <w:lang w:val="en-GB"/>
        </w:rPr>
      </w:pPr>
      <w:r w:rsidRPr="006B3EA1">
        <w:rPr>
          <w:szCs w:val="24"/>
          <w:lang w:val="en-GB"/>
        </w:rPr>
        <w:t>•</w:t>
      </w:r>
      <w:r w:rsidRPr="006B3EA1">
        <w:rPr>
          <w:szCs w:val="24"/>
          <w:lang w:val="en-GB"/>
        </w:rPr>
        <w:tab/>
        <w:t>Special requirements Annex.</w:t>
      </w:r>
    </w:p>
    <w:p w14:paraId="53551148" w14:textId="77777777" w:rsidR="006B3EA1" w:rsidRPr="006B3EA1" w:rsidRDefault="00F60C99" w:rsidP="006B3EA1">
      <w:pPr>
        <w:rPr>
          <w:bCs/>
          <w:lang w:val="en-GB"/>
        </w:rPr>
      </w:pPr>
      <w:hyperlink r:id="rId315" w:history="1">
        <w:r w:rsidR="006B3EA1" w:rsidRPr="006B3EA1">
          <w:rPr>
            <w:rStyle w:val="Hyperlink"/>
            <w:b/>
            <w:bCs/>
            <w:lang w:val="en-GB"/>
          </w:rPr>
          <w:t>ITU-T K.66 (revised</w:t>
        </w:r>
        <w:proofErr w:type="gramStart"/>
        <w:r w:rsidR="006B3EA1" w:rsidRPr="006B3EA1">
          <w:rPr>
            <w:rStyle w:val="Hyperlink"/>
            <w:b/>
            <w:bCs/>
            <w:lang w:val="en-GB"/>
          </w:rPr>
          <w:t>)”Protection</w:t>
        </w:r>
        <w:proofErr w:type="gramEnd"/>
        <w:r w:rsidR="006B3EA1" w:rsidRPr="006B3EA1">
          <w:rPr>
            <w:rStyle w:val="Hyperlink"/>
            <w:b/>
            <w:bCs/>
            <w:lang w:val="en-GB"/>
          </w:rPr>
          <w:t xml:space="preserve"> of customer premises from </w:t>
        </w:r>
        <w:proofErr w:type="spellStart"/>
        <w:r w:rsidR="006B3EA1" w:rsidRPr="006B3EA1">
          <w:rPr>
            <w:rStyle w:val="Hyperlink"/>
            <w:b/>
            <w:bCs/>
            <w:lang w:val="en-GB"/>
          </w:rPr>
          <w:t>overvoltages</w:t>
        </w:r>
        <w:proofErr w:type="spellEnd"/>
        <w:r w:rsidR="006B3EA1" w:rsidRPr="006B3EA1">
          <w:rPr>
            <w:rStyle w:val="Hyperlink"/>
            <w:b/>
            <w:bCs/>
            <w:lang w:val="en-GB"/>
          </w:rPr>
          <w:t>”</w:t>
        </w:r>
      </w:hyperlink>
      <w:r w:rsidR="006B3EA1" w:rsidRPr="006B3EA1">
        <w:rPr>
          <w:bCs/>
          <w:lang w:val="en-GB"/>
        </w:rPr>
        <w:t xml:space="preserve"> provides Recommendations for bonding and earthing of telecommunication equipment in residential and commercial customer premises;</w:t>
      </w:r>
    </w:p>
    <w:p w14:paraId="0184D5F2" w14:textId="77777777" w:rsidR="006B3EA1" w:rsidRPr="006B3EA1" w:rsidRDefault="006B3EA1" w:rsidP="006B3EA1">
      <w:pPr>
        <w:rPr>
          <w:bCs/>
          <w:lang w:val="en-GB"/>
        </w:rPr>
      </w:pPr>
      <w:r w:rsidRPr="006B3EA1">
        <w:rPr>
          <w:bCs/>
          <w:lang w:val="en-GB"/>
        </w:rPr>
        <w:t>•</w:t>
      </w:r>
      <w:r w:rsidRPr="006B3EA1">
        <w:rPr>
          <w:bCs/>
          <w:lang w:val="en-GB"/>
        </w:rPr>
        <w:tab/>
        <w:t>refers to Recommendation ITU-T K.21 (2008) for equipment resistibility requirements;</w:t>
      </w:r>
    </w:p>
    <w:p w14:paraId="60104FC5" w14:textId="77777777" w:rsidR="006B3EA1" w:rsidRPr="006B3EA1" w:rsidRDefault="006B3EA1" w:rsidP="006B3EA1">
      <w:pPr>
        <w:rPr>
          <w:bCs/>
          <w:lang w:val="en-GB"/>
        </w:rPr>
      </w:pPr>
      <w:r w:rsidRPr="006B3EA1">
        <w:rPr>
          <w:bCs/>
          <w:lang w:val="en-GB"/>
        </w:rPr>
        <w:t>•</w:t>
      </w:r>
      <w:r w:rsidRPr="006B3EA1">
        <w:rPr>
          <w:bCs/>
          <w:lang w:val="en-GB"/>
        </w:rPr>
        <w:tab/>
        <w:t>recommends earthing and bonding requirements to coordinate with the resistibility requirements of Recommendation ITU-T K.21 (2008) and the safety requirements of IEC 60950-1 and IEC 62368;</w:t>
      </w:r>
    </w:p>
    <w:p w14:paraId="6CD134DF" w14:textId="77777777" w:rsidR="006B3EA1" w:rsidRPr="006B3EA1" w:rsidRDefault="006B3EA1" w:rsidP="006B3EA1">
      <w:pPr>
        <w:rPr>
          <w:bCs/>
          <w:lang w:val="en-GB"/>
        </w:rPr>
      </w:pPr>
      <w:r w:rsidRPr="006B3EA1">
        <w:rPr>
          <w:bCs/>
          <w:lang w:val="en-GB"/>
        </w:rPr>
        <w:t>•</w:t>
      </w:r>
      <w:r w:rsidRPr="006B3EA1">
        <w:rPr>
          <w:bCs/>
          <w:lang w:val="en-GB"/>
        </w:rPr>
        <w:tab/>
        <w:t>recommends the installation practices for bonding of all services and the installation of surge protective devices (SPDs);</w:t>
      </w:r>
    </w:p>
    <w:p w14:paraId="30E6416E" w14:textId="77777777" w:rsidR="006B3EA1" w:rsidRPr="006B3EA1" w:rsidRDefault="006B3EA1" w:rsidP="006B3EA1">
      <w:pPr>
        <w:rPr>
          <w:bCs/>
          <w:lang w:val="en-GB"/>
        </w:rPr>
      </w:pPr>
      <w:r w:rsidRPr="006B3EA1">
        <w:rPr>
          <w:bCs/>
          <w:lang w:val="en-GB"/>
        </w:rPr>
        <w:t>•</w:t>
      </w:r>
      <w:r w:rsidRPr="006B3EA1">
        <w:rPr>
          <w:bCs/>
          <w:lang w:val="en-GB"/>
        </w:rPr>
        <w:tab/>
        <w:t>illustrates problems associated with earthing and bonding and provides solutions for these earthing and bonding problems. These include:</w:t>
      </w:r>
    </w:p>
    <w:p w14:paraId="0C68DA87" w14:textId="77777777" w:rsidR="006B3EA1" w:rsidRPr="006B3EA1" w:rsidRDefault="006B3EA1" w:rsidP="006B3EA1">
      <w:pPr>
        <w:rPr>
          <w:bCs/>
          <w:lang w:val="en-GB"/>
        </w:rPr>
      </w:pPr>
      <w:r w:rsidRPr="006B3EA1">
        <w:rPr>
          <w:bCs/>
          <w:lang w:val="en-GB"/>
        </w:rPr>
        <w:t>1)</w:t>
      </w:r>
      <w:r w:rsidRPr="006B3EA1">
        <w:rPr>
          <w:bCs/>
          <w:lang w:val="en-GB"/>
        </w:rPr>
        <w:tab/>
        <w:t>methods to improve the earthing and bonding;</w:t>
      </w:r>
    </w:p>
    <w:p w14:paraId="2D941E0C" w14:textId="77777777" w:rsidR="006B3EA1" w:rsidRPr="006B3EA1" w:rsidRDefault="006B3EA1" w:rsidP="006B3EA1">
      <w:pPr>
        <w:rPr>
          <w:bCs/>
          <w:lang w:val="en-GB"/>
        </w:rPr>
      </w:pPr>
      <w:r w:rsidRPr="006B3EA1">
        <w:rPr>
          <w:bCs/>
          <w:lang w:val="en-GB"/>
        </w:rPr>
        <w:t>2)</w:t>
      </w:r>
      <w:r w:rsidRPr="006B3EA1">
        <w:rPr>
          <w:bCs/>
          <w:lang w:val="en-GB"/>
        </w:rPr>
        <w:tab/>
        <w:t>methods of providing additional protection external to the equipment;</w:t>
      </w:r>
    </w:p>
    <w:p w14:paraId="26518442" w14:textId="77777777" w:rsidR="006B3EA1" w:rsidRPr="006B3EA1" w:rsidRDefault="006B3EA1" w:rsidP="006B3EA1">
      <w:pPr>
        <w:rPr>
          <w:bCs/>
          <w:lang w:val="en-GB"/>
        </w:rPr>
      </w:pPr>
      <w:r w:rsidRPr="006B3EA1">
        <w:rPr>
          <w:bCs/>
          <w:lang w:val="en-GB"/>
        </w:rPr>
        <w:t>3)</w:t>
      </w:r>
      <w:r w:rsidRPr="006B3EA1">
        <w:rPr>
          <w:bCs/>
          <w:lang w:val="en-GB"/>
        </w:rPr>
        <w:tab/>
        <w:t>special resistibility and safety requirements;</w:t>
      </w:r>
    </w:p>
    <w:p w14:paraId="204B9FE9" w14:textId="77777777" w:rsidR="006B3EA1" w:rsidRPr="006B3EA1" w:rsidRDefault="006B3EA1" w:rsidP="006B3EA1">
      <w:pPr>
        <w:rPr>
          <w:bCs/>
          <w:lang w:val="en-GB"/>
        </w:rPr>
      </w:pPr>
      <w:r w:rsidRPr="006B3EA1">
        <w:rPr>
          <w:bCs/>
          <w:lang w:val="en-GB"/>
        </w:rPr>
        <w:t>•</w:t>
      </w:r>
      <w:r w:rsidRPr="006B3EA1">
        <w:rPr>
          <w:bCs/>
          <w:lang w:val="en-GB"/>
        </w:rPr>
        <w:tab/>
        <w:t>recommends responsibilities for protection at customer premises;</w:t>
      </w:r>
    </w:p>
    <w:p w14:paraId="10426F82" w14:textId="77777777" w:rsidR="006B3EA1" w:rsidRPr="006B3EA1" w:rsidRDefault="006B3EA1" w:rsidP="006B3EA1">
      <w:pPr>
        <w:rPr>
          <w:bCs/>
          <w:lang w:val="en-GB"/>
        </w:rPr>
      </w:pPr>
      <w:r w:rsidRPr="006B3EA1">
        <w:rPr>
          <w:bCs/>
          <w:lang w:val="en-GB"/>
        </w:rPr>
        <w:t>•</w:t>
      </w:r>
      <w:r w:rsidRPr="006B3EA1">
        <w:rPr>
          <w:bCs/>
          <w:lang w:val="en-GB"/>
        </w:rPr>
        <w:tab/>
        <w:t>refers to IEC 62305-3 for protection against direct lightning.</w:t>
      </w:r>
    </w:p>
    <w:p w14:paraId="5FBC9B1A" w14:textId="77777777" w:rsidR="006B3EA1" w:rsidRPr="006B3EA1" w:rsidRDefault="006B3EA1" w:rsidP="006B3EA1">
      <w:pPr>
        <w:rPr>
          <w:bCs/>
          <w:lang w:val="en-GB"/>
        </w:rPr>
      </w:pPr>
      <w:r w:rsidRPr="006B3EA1">
        <w:rPr>
          <w:bCs/>
          <w:lang w:val="en-GB"/>
        </w:rPr>
        <w:t>This revision of Recommendation ITU-T K.66 includes an update of the references and a revision of clause 6.3 to include more information on preventing equipment damage. Appendix IV, containing information on special resistibility requirements has been deleted; the reader is directed to Recommendation ITU T K.44 (2008).</w:t>
      </w:r>
    </w:p>
    <w:p w14:paraId="61971C38" w14:textId="77777777" w:rsidR="006B3EA1" w:rsidRPr="006B3EA1" w:rsidRDefault="00F60C99" w:rsidP="006B3EA1">
      <w:pPr>
        <w:rPr>
          <w:bCs/>
          <w:lang w:val="en-GB"/>
        </w:rPr>
      </w:pPr>
      <w:hyperlink r:id="rId316" w:history="1">
        <w:r w:rsidR="006B3EA1" w:rsidRPr="006B3EA1">
          <w:rPr>
            <w:rStyle w:val="Hyperlink"/>
            <w:b/>
            <w:bCs/>
            <w:lang w:val="en-GB"/>
          </w:rPr>
          <w:t>ITU-T K.73 (revised) “Shielding and bonding for cables between buildings”</w:t>
        </w:r>
      </w:hyperlink>
      <w:r w:rsidR="006B3EA1" w:rsidRPr="006B3EA1">
        <w:rPr>
          <w:bCs/>
          <w:lang w:val="en-GB"/>
        </w:rPr>
        <w:t xml:space="preserve">: Bonding and earthing of telecommunication installations is done for reliability and personnel safety reasons. The evolution of the power architecture of telecommunication systems has created new installation conditions for equipment. To cover these situations, bonding and earthing configurations need to be defined to ensure that adequate reliability and safety are maintained. Recommendation ITU-T K.73 analyses the situation in which equipment, </w:t>
      </w:r>
      <w:proofErr w:type="gramStart"/>
      <w:r w:rsidR="006B3EA1" w:rsidRPr="006B3EA1">
        <w:rPr>
          <w:bCs/>
          <w:lang w:val="en-GB"/>
        </w:rPr>
        <w:t>connected together</w:t>
      </w:r>
      <w:proofErr w:type="gramEnd"/>
      <w:r w:rsidR="006B3EA1" w:rsidRPr="006B3EA1">
        <w:rPr>
          <w:bCs/>
          <w:lang w:val="en-GB"/>
        </w:rPr>
        <w:t>, is installed in different buildings with different earthing and power feeding conditions. This Recommendation also includes installation requirements for equipment located in different buildings, having the same earthing and feeding power conditions, to improve the shielding and bonding of telecommunication and power cable between buildings.</w:t>
      </w:r>
    </w:p>
    <w:p w14:paraId="7D228022" w14:textId="77777777" w:rsidR="006B3EA1" w:rsidRPr="006B3EA1" w:rsidRDefault="006B3EA1" w:rsidP="006B3EA1">
      <w:pPr>
        <w:rPr>
          <w:bCs/>
          <w:lang w:val="en-GB"/>
        </w:rPr>
      </w:pPr>
      <w:r w:rsidRPr="006B3EA1">
        <w:rPr>
          <w:bCs/>
          <w:lang w:val="en-GB"/>
        </w:rPr>
        <w:t xml:space="preserve">Other Recommendations dealing with bonding and earthing are Recommendation ITU-T K.27, Bonding configurations and earthing inside a telecommunication building, Recommendation ITU T K.35, Bonding configurations and earthing at remote electronic sites and Recommendation ITU T K.66, Protection of customer premises from </w:t>
      </w:r>
      <w:proofErr w:type="spellStart"/>
      <w:r w:rsidRPr="006B3EA1">
        <w:rPr>
          <w:bCs/>
          <w:lang w:val="en-GB"/>
        </w:rPr>
        <w:t>overvoltages</w:t>
      </w:r>
      <w:proofErr w:type="spellEnd"/>
      <w:r w:rsidRPr="006B3EA1">
        <w:rPr>
          <w:bCs/>
          <w:lang w:val="en-GB"/>
        </w:rPr>
        <w:t>. These Recommendations do not cover how equipment installed in these different environments can be interconnected.</w:t>
      </w:r>
    </w:p>
    <w:p w14:paraId="2F9A98DB" w14:textId="77777777" w:rsidR="006B3EA1" w:rsidRPr="006B3EA1" w:rsidRDefault="00F60C99" w:rsidP="006B3EA1">
      <w:pPr>
        <w:rPr>
          <w:bCs/>
          <w:lang w:val="en-GB"/>
        </w:rPr>
      </w:pPr>
      <w:hyperlink r:id="rId317" w:history="1">
        <w:r w:rsidR="006B3EA1" w:rsidRPr="006B3EA1">
          <w:rPr>
            <w:rStyle w:val="Hyperlink"/>
            <w:b/>
            <w:bCs/>
            <w:lang w:val="en-GB"/>
          </w:rPr>
          <w:t>ITU-T K.91 (revised) “Guidance for assessment, evaluation and monitoring of human exposure to radio frequency electromagnetic fields”</w:t>
        </w:r>
      </w:hyperlink>
      <w:r w:rsidR="006B3EA1" w:rsidRPr="006B3EA1">
        <w:rPr>
          <w:bCs/>
          <w:lang w:val="en-GB"/>
        </w:rPr>
        <w:t xml:space="preserve">: There are many possible methods of exposure assessment and each of them has its own advantages and disadvantages. Recommendation ITU-T K.91 gives guidance on how to assess and monitor human exposure to radio frequency (RF) </w:t>
      </w:r>
      <w:r w:rsidR="006B3EA1" w:rsidRPr="006B3EA1">
        <w:rPr>
          <w:bCs/>
          <w:lang w:val="en-GB"/>
        </w:rPr>
        <w:lastRenderedPageBreak/>
        <w:t>electromagnetic fields (EMF) in areas with surrounding radiocommunication installations based on existing exposure and compliance standards in the frequency range of 9 kHz to 300 GHz. This includes procedures of evaluating exposure and how to show compliance with exposure limits with reference to existing standards. Recommendation ITU-T K.91 is oriented to the examination of the area accessible to people in the real environment of currently operated services with many different sources of RF EMF, but also gives references to standards and Recommendations related to EMF compliance of products. This Recommendation includes an electronic attachment containing an uncertainty calculator and the Watt Guard modules.</w:t>
      </w:r>
    </w:p>
    <w:p w14:paraId="58E6D0D0" w14:textId="77777777" w:rsidR="006B3EA1" w:rsidRPr="006B3EA1" w:rsidRDefault="00F60C99" w:rsidP="006B3EA1">
      <w:pPr>
        <w:rPr>
          <w:rFonts w:eastAsia="MS Mincho"/>
          <w:lang w:val="en-GB"/>
        </w:rPr>
      </w:pPr>
      <w:hyperlink r:id="rId318" w:history="1">
        <w:r w:rsidR="006B3EA1" w:rsidRPr="006B3EA1">
          <w:rPr>
            <w:rStyle w:val="Hyperlink"/>
            <w:rFonts w:eastAsia="MS Mincho"/>
            <w:b/>
            <w:lang w:val="en-GB"/>
          </w:rPr>
          <w:t>ITU-T K.142 “Lightning protection and earthing of video surveillance system”</w:t>
        </w:r>
      </w:hyperlink>
      <w:r w:rsidR="006B3EA1" w:rsidRPr="006B3EA1">
        <w:rPr>
          <w:rFonts w:eastAsia="MS Mincho"/>
          <w:lang w:val="en-GB"/>
        </w:rPr>
        <w:t xml:space="preserve"> provides a set of practical procedures related to the lightning protection, earthing and bonding of a Video Surveillance System (VSS). The main objective of this Recommendation is to reduce risk of damage to VSS due to lightning flashes, which will improve the safety and reliability of the VSS itself and its related equipment. This Recommendation also provides the configuration and rating of protection modules required to protect VSS against lightning surges. Usually Video Surveillance System can be used to remotely capture multimedia (such as audio, video, image, alarm signal, etc.) and present them to the end user in a user-friendly manner, based on a managed broadband network with ensured quality, security and reliability. According the type of signal transmitted, the system can be divided into three kinds: analogue; Semi digital-semi analogue; full digital video surveillance system (also be called IP based system); because IP based system are more complicated for lightning protection, IP-Camera systems are not included in this Recommendation. The related scope can be referred to ITU-T K.45.</w:t>
      </w:r>
    </w:p>
    <w:p w14:paraId="29E5B1CD" w14:textId="77777777" w:rsidR="006B3EA1" w:rsidRPr="006B3EA1" w:rsidRDefault="006B3EA1" w:rsidP="006B3EA1">
      <w:pPr>
        <w:rPr>
          <w:rFonts w:eastAsia="MS Mincho"/>
          <w:lang w:val="en-GB"/>
        </w:rPr>
      </w:pPr>
      <w:r w:rsidRPr="006B3EA1">
        <w:rPr>
          <w:rFonts w:eastAsia="MS Mincho"/>
          <w:lang w:val="en-GB"/>
        </w:rPr>
        <w:t>Annex A presents classification of Video Surveillance System, whereas Appendix I presents an overview of practical procedures of earthing for VSS’s front-end equipment.</w:t>
      </w:r>
    </w:p>
    <w:p w14:paraId="6BE2D113" w14:textId="77777777" w:rsidR="006B3EA1" w:rsidRPr="006B3EA1" w:rsidRDefault="006B3EA1" w:rsidP="006B3EA1">
      <w:pPr>
        <w:rPr>
          <w:rFonts w:eastAsia="MS Mincho"/>
          <w:lang w:val="en-GB"/>
        </w:rPr>
      </w:pPr>
      <w:r w:rsidRPr="006B3EA1">
        <w:rPr>
          <w:rFonts w:eastAsia="MS Mincho"/>
          <w:lang w:val="en-GB"/>
        </w:rPr>
        <w:t>Related technical requirements have been adopted in many surveillance products, effectively improved the lightning protection ability and usage of related products, guaranteed network operate normally.</w:t>
      </w:r>
    </w:p>
    <w:p w14:paraId="777BAA4E" w14:textId="77777777" w:rsidR="006B3EA1" w:rsidRPr="006B3EA1" w:rsidRDefault="00F60C99" w:rsidP="006B3EA1">
      <w:pPr>
        <w:rPr>
          <w:rFonts w:eastAsia="MS Mincho"/>
          <w:lang w:val="en-GB"/>
        </w:rPr>
      </w:pPr>
      <w:hyperlink r:id="rId319" w:history="1">
        <w:r w:rsidR="006B3EA1" w:rsidRPr="006B3EA1">
          <w:rPr>
            <w:rStyle w:val="Hyperlink"/>
            <w:rFonts w:eastAsia="MS Mincho"/>
            <w:b/>
            <w:lang w:val="en-GB"/>
          </w:rPr>
          <w:t>ITU-T K.143 “Guidance on safety relating to the use of surge protective devices and surge protective components in telecommunication terminal equipment”</w:t>
        </w:r>
      </w:hyperlink>
      <w:r w:rsidR="006B3EA1" w:rsidRPr="006B3EA1">
        <w:rPr>
          <w:rFonts w:eastAsia="MS Mincho"/>
          <w:b/>
          <w:lang w:val="en-GB"/>
        </w:rPr>
        <w:t>:</w:t>
      </w:r>
      <w:r w:rsidR="006B3EA1" w:rsidRPr="006B3EA1">
        <w:rPr>
          <w:rFonts w:eastAsia="MS Mincho"/>
          <w:lang w:val="en-GB"/>
        </w:rPr>
        <w:t xml:space="preserve"> Requirement on bridging between primary circuit and protective earth by SPD in equipment is described in clause 5.5.7 of [IEC 62368-1]. However the standard does not take into consideration the lightning voltage which is larger than that appears in the conditions considered in overvoltage category II, and it does not provide the requirements necessary for lightning protection of class II equipment without earthing in which bridging by SPD/SPCs is usually applied. It is necessary to clarify the electrical requirements for SPDs/SPCs in order to realize both resistibility and safety of telecommunication systems. This Recommendation analyses the influence on human safety of lightning measures bridging across insulation by SPDs. This Recommendation provides guidance for design of lightning protection and requirements of SPDs from the human safety standpoint. The requirements on SPDs/SPCs in MSPD (multi-service SPD) external to the equipment and SPDs installed on lines in a building are not within the scope of this Recommendation.</w:t>
      </w:r>
    </w:p>
    <w:p w14:paraId="5E415B75" w14:textId="77777777" w:rsidR="006B3EA1" w:rsidRPr="006B3EA1" w:rsidRDefault="00F60C99" w:rsidP="006B3EA1">
      <w:pPr>
        <w:rPr>
          <w:rFonts w:eastAsia="MS Mincho"/>
          <w:lang w:val="en-GB"/>
        </w:rPr>
      </w:pPr>
      <w:hyperlink r:id="rId320" w:history="1">
        <w:r w:rsidR="006B3EA1" w:rsidRPr="006B3EA1">
          <w:rPr>
            <w:rStyle w:val="Hyperlink"/>
            <w:rFonts w:eastAsia="MS Mincho"/>
            <w:b/>
            <w:lang w:val="en-GB"/>
          </w:rPr>
          <w:t>ITU-T K.144 “Surge protective component application guide - Self-restoring thermally activated overcurrent protectors”</w:t>
        </w:r>
      </w:hyperlink>
      <w:r w:rsidR="006B3EA1" w:rsidRPr="006B3EA1">
        <w:rPr>
          <w:rFonts w:eastAsia="MS Mincho"/>
          <w:lang w:val="en-GB"/>
        </w:rPr>
        <w:t xml:space="preserve">: Unlike fuses and heat coils, which break the circuit, these series connected self-restoring thermally activated overcurrent protectors (OCPs) automatically reset when the electrical event causing the overcurrent stops, without the need for manual intervention. Self-restoring thermally activated overcurrent protector (OCP) components operate by the increasing in resistance value, which reduces the circuit current when the overcurrent exceeds a given value for a </w:t>
      </w:r>
      <w:proofErr w:type="gramStart"/>
      <w:r w:rsidR="006B3EA1" w:rsidRPr="006B3EA1">
        <w:rPr>
          <w:rFonts w:eastAsia="MS Mincho"/>
          <w:lang w:val="en-GB"/>
        </w:rPr>
        <w:t>sufficient</w:t>
      </w:r>
      <w:proofErr w:type="gramEnd"/>
      <w:r w:rsidR="006B3EA1" w:rsidRPr="006B3EA1">
        <w:rPr>
          <w:rFonts w:eastAsia="MS Mincho"/>
          <w:lang w:val="en-GB"/>
        </w:rPr>
        <w:t xml:space="preserve"> time. The resistance transition is caused by the component body reaching a critical temperature caused by the i2R heating of the overcurrent flowing through the component. The generic name for components with this type of action is positive temperature coefficient (PTC) thermistors. Being thermally operated, these PTC thermistors generally do not operate for short duration electrical transients, such as coupled lightning currents, but will operate </w:t>
      </w:r>
      <w:r w:rsidR="006B3EA1" w:rsidRPr="006B3EA1">
        <w:rPr>
          <w:rFonts w:eastAsia="MS Mincho"/>
          <w:lang w:val="en-GB"/>
        </w:rPr>
        <w:lastRenderedPageBreak/>
        <w:t xml:space="preserve">for longer term AC and DC </w:t>
      </w:r>
      <w:proofErr w:type="spellStart"/>
      <w:r w:rsidR="006B3EA1" w:rsidRPr="006B3EA1">
        <w:rPr>
          <w:rFonts w:eastAsia="MS Mincho"/>
          <w:lang w:val="en-GB"/>
        </w:rPr>
        <w:t>overcurrents</w:t>
      </w:r>
      <w:proofErr w:type="spellEnd"/>
      <w:r w:rsidR="006B3EA1" w:rsidRPr="006B3EA1">
        <w:rPr>
          <w:rFonts w:eastAsia="MS Mincho"/>
          <w:lang w:val="en-GB"/>
        </w:rPr>
        <w:t>. There are two types of material used to make PTC thermistors; ceramic and polymer. Many of the component parameters apply to the both types of material. Some parameters are specific to the material used and these differences are explained. This Recommendation describes PTC thermistor construction, operation, production, ratings, characteristics and gives application examples.</w:t>
      </w:r>
    </w:p>
    <w:p w14:paraId="0C5E91B7" w14:textId="77777777" w:rsidR="006B3EA1" w:rsidRPr="006B3EA1" w:rsidRDefault="00F60C99" w:rsidP="006B3EA1">
      <w:pPr>
        <w:rPr>
          <w:rFonts w:eastAsiaTheme="minorEastAsia"/>
          <w:color w:val="000000" w:themeColor="text1"/>
          <w:lang w:val="en-GB"/>
        </w:rPr>
      </w:pPr>
      <w:hyperlink r:id="rId321" w:history="1">
        <w:r w:rsidR="006B3EA1" w:rsidRPr="006B3EA1">
          <w:rPr>
            <w:rStyle w:val="Hyperlink"/>
            <w:rFonts w:eastAsia="MS Mincho"/>
            <w:b/>
            <w:lang w:val="en-GB"/>
          </w:rPr>
          <w:t>ITU-T K.145 “Assessment and management of compliance with RF EMF exposure limits for workers at radiocommunication sites and facilities”</w:t>
        </w:r>
      </w:hyperlink>
      <w:r w:rsidR="006B3EA1" w:rsidRPr="006B3EA1">
        <w:rPr>
          <w:rFonts w:eastAsia="MS Mincho"/>
          <w:lang w:val="en-GB"/>
        </w:rPr>
        <w:t xml:space="preserve"> includes guidance on the protection of workers against radio frequency electromagnetic fields (RF-EMF) exposure in their working environment. RF workers range from installation engineers and tower climbers to R&amp;D personnel and laboratory testing engineers. All of them are exposed to stronger RF-EMF fields than the general public. There also RF informed workers who have been provided with information on RF-EMF safe working practices for a site and all other workers who are regarded as members of the public for the purposes on RF-EMF exposure limits. In this Recommendation there is created minimum common safety guidance for telecommunication RF workers around the world.</w:t>
      </w:r>
    </w:p>
    <w:p w14:paraId="2308D6C6" w14:textId="77777777" w:rsidR="006B3EA1" w:rsidRPr="006B3EA1" w:rsidRDefault="006B3EA1" w:rsidP="006B3EA1">
      <w:pPr>
        <w:pStyle w:val="Headingb"/>
      </w:pPr>
      <w:bookmarkStart w:id="259" w:name="_Toc480527906"/>
      <w:r w:rsidRPr="006B3EA1">
        <w:t>I.6.4</w:t>
      </w:r>
      <w:r w:rsidRPr="006B3EA1">
        <w:tab/>
        <w:t>Emergency communication &amp; disaster relief</w:t>
      </w:r>
      <w:bookmarkEnd w:id="259"/>
    </w:p>
    <w:p w14:paraId="252433BC" w14:textId="77777777" w:rsidR="006B3EA1" w:rsidRPr="006B3EA1" w:rsidRDefault="00F60C99" w:rsidP="006B3EA1">
      <w:pPr>
        <w:pStyle w:val="Headingb"/>
        <w:rPr>
          <w:b w:val="0"/>
        </w:rPr>
      </w:pPr>
      <w:hyperlink r:id="rId322" w:history="1">
        <w:r w:rsidR="006B3EA1" w:rsidRPr="006B3EA1">
          <w:rPr>
            <w:rStyle w:val="Hyperlink"/>
          </w:rPr>
          <w:t>ITU-T E.102 “Terms and definitions for disaster relief systems, network resilience and recovery”</w:t>
        </w:r>
      </w:hyperlink>
      <w:r w:rsidR="006B3EA1" w:rsidRPr="006B3EA1">
        <w:rPr>
          <w:b w:val="0"/>
        </w:rPr>
        <w:t xml:space="preserve"> applies to disaster relief systems, network resilience and recovery. This Recommendation provides definitions of terms relevant to disaster relief systems, network resilience and recovery, including terms relevant to network architecture, functional elements and interfaces, application level aspects and power supply. Appendix I contains excerpts of the terminology defined by the United Nations International Strategy for Disaster Reduction (UNISDR). Appendix II shows the category classification of terms defined in this Recommendation.</w:t>
      </w:r>
    </w:p>
    <w:p w14:paraId="78E189E9" w14:textId="77777777" w:rsidR="006B3EA1" w:rsidRPr="006B3EA1" w:rsidRDefault="006B3EA1" w:rsidP="006B3EA1">
      <w:pPr>
        <w:pStyle w:val="Headingb"/>
      </w:pPr>
      <w:r w:rsidRPr="006B3EA1">
        <w:t>I.6.5</w:t>
      </w:r>
      <w:r w:rsidRPr="006B3EA1">
        <w:tab/>
        <w:t>Naming, numbering, addressing and identification</w:t>
      </w:r>
    </w:p>
    <w:p w14:paraId="7F74AEF2" w14:textId="77777777" w:rsidR="006B3EA1" w:rsidRPr="006B3EA1" w:rsidRDefault="006B3EA1" w:rsidP="006B3EA1">
      <w:pPr>
        <w:pStyle w:val="Headingb"/>
        <w:keepNext w:val="0"/>
        <w:rPr>
          <w:b w:val="0"/>
        </w:rPr>
      </w:pPr>
      <w:r w:rsidRPr="006B3EA1">
        <w:t>ITU-T E.156 (revised) “Guidelines for ITU-T action on reported misuse of E.164 number resources” (under approval)</w:t>
      </w:r>
      <w:r w:rsidRPr="006B3EA1">
        <w:rPr>
          <w:b w:val="0"/>
        </w:rPr>
        <w:t xml:space="preserve"> outlines the procedures for reporting and </w:t>
      </w:r>
      <w:proofErr w:type="gramStart"/>
      <w:r w:rsidRPr="006B3EA1">
        <w:rPr>
          <w:b w:val="0"/>
        </w:rPr>
        <w:t>taking action</w:t>
      </w:r>
      <w:proofErr w:type="gramEnd"/>
      <w:r w:rsidRPr="006B3EA1">
        <w:rPr>
          <w:b w:val="0"/>
        </w:rPr>
        <w:t xml:space="preserve"> regarding alleged misuse of numbers. It also outlines the procedures that the TSB Director should undertake when he has received reports of alleged misuse from members, including methods to address and counter any alleged misuse when such reports are brought to his attention.</w:t>
      </w:r>
    </w:p>
    <w:p w14:paraId="3A686B22" w14:textId="3A2FE29A" w:rsidR="006B3EA1" w:rsidRPr="006B3EA1" w:rsidRDefault="006B3EA1" w:rsidP="006B3EA1">
      <w:pPr>
        <w:pStyle w:val="Headingb"/>
        <w:keepNext w:val="0"/>
        <w:rPr>
          <w:b w:val="0"/>
        </w:rPr>
      </w:pPr>
      <w:r w:rsidRPr="006B3EA1">
        <w:t>ITU-T E.164.2 (revised) “E.164 numbering resources for trials”</w:t>
      </w:r>
      <w:r w:rsidRPr="006B3EA1">
        <w:rPr>
          <w:b w:val="0"/>
        </w:rPr>
        <w:t xml:space="preserve"> </w:t>
      </w:r>
      <w:r w:rsidRPr="006B3EA1">
        <w:t>(under approval)</w:t>
      </w:r>
      <w:r w:rsidRPr="006B3EA1">
        <w:rPr>
          <w:b w:val="0"/>
        </w:rPr>
        <w:t xml:space="preserve"> contains the criteria and procedures for an applicant to be temporarily assigned a three-digit identification code within the shared E.164 country code 991 for the purpose of conducting an international non-commercial trial. The purpose of the trial will be to determine the viability of a proposed new international public correspondence service.</w:t>
      </w:r>
    </w:p>
    <w:p w14:paraId="52E2BC82" w14:textId="77777777" w:rsidR="006B3EA1" w:rsidRPr="006B3EA1" w:rsidRDefault="006B3EA1" w:rsidP="006B3EA1">
      <w:pPr>
        <w:pStyle w:val="Headingb"/>
        <w:keepNext w:val="0"/>
        <w:rPr>
          <w:b w:val="0"/>
        </w:rPr>
      </w:pPr>
      <w:r w:rsidRPr="006B3EA1">
        <w:t>ITU-T E.212 Annex X “The international identification plan for public networks and subscriptions- Annex X: Assignment of shared E.212 mobile country codes (MCC) for trials”</w:t>
      </w:r>
      <w:r w:rsidRPr="006B3EA1">
        <w:rPr>
          <w:b w:val="0"/>
        </w:rPr>
        <w:t xml:space="preserve"> </w:t>
      </w:r>
      <w:r w:rsidRPr="006B3EA1">
        <w:t>(under approval)</w:t>
      </w:r>
      <w:r w:rsidRPr="006B3EA1">
        <w:rPr>
          <w:b w:val="0"/>
        </w:rPr>
        <w:t xml:space="preserve"> contains the criteria and procedures for an applicant to be temporarily assigned a two digit MNC within the shared E.212 mobile country code 991 for the purpose of conducting an international non-commercial trial. The purpose of the trial will be to determine the viability of a proposed new international telecommunication service.</w:t>
      </w:r>
    </w:p>
    <w:p w14:paraId="5F66BA2A" w14:textId="77777777" w:rsidR="006B3EA1" w:rsidRPr="006B3EA1" w:rsidRDefault="006B3EA1" w:rsidP="006B3EA1">
      <w:pPr>
        <w:pStyle w:val="Headingb"/>
        <w:keepNext w:val="0"/>
      </w:pPr>
      <w:r w:rsidRPr="006B3EA1">
        <w:t>ITU-T E.218 Annex A “Management of the allocation of terrestrial trunk radio Mobile Country Codes – Annex A: Criteria and procedures for the assignment and reclamation of shared ITU-T E.218 terrestrial trunk radio access mobile country codes ((T)MCC) for networks and their respective terrestrial trunk radio access mobile network codes ((T)MNCs)”</w:t>
      </w:r>
      <w:r w:rsidRPr="006B3EA1">
        <w:rPr>
          <w:b w:val="0"/>
        </w:rPr>
        <w:t xml:space="preserve"> </w:t>
      </w:r>
      <w:r w:rsidRPr="006B3EA1">
        <w:t>(under approval)</w:t>
      </w:r>
      <w:r w:rsidRPr="006B3EA1">
        <w:rPr>
          <w:b w:val="0"/>
        </w:rPr>
        <w:t xml:space="preserve"> is intended to provide advice to the Director of TSB on how to assign (T)MNCs under shared (T)MCCs for networks. It describes the procedures and criteria to be utilized by the Director of TSB for the assignment and reclamation of mobile network codes ((T)MNCs) associated with shared (T)MCCs for networks.</w:t>
      </w:r>
    </w:p>
    <w:p w14:paraId="0300CF87" w14:textId="77777777" w:rsidR="006B3EA1" w:rsidRPr="006B3EA1" w:rsidRDefault="006B3EA1" w:rsidP="006B3EA1">
      <w:pPr>
        <w:pStyle w:val="Headingb"/>
      </w:pPr>
      <w:bookmarkStart w:id="260" w:name="_Toc480527908"/>
      <w:r w:rsidRPr="006B3EA1">
        <w:lastRenderedPageBreak/>
        <w:t>I.7</w:t>
      </w:r>
      <w:r w:rsidRPr="006B3EA1">
        <w:tab/>
        <w:t>Tariff and accounting principles and international telecommunication/ICT economic and policy issues</w:t>
      </w:r>
    </w:p>
    <w:p w14:paraId="51262198" w14:textId="77777777" w:rsidR="006B3EA1" w:rsidRPr="006B3EA1" w:rsidRDefault="006B3EA1" w:rsidP="006B3EA1">
      <w:pPr>
        <w:pStyle w:val="Headingb"/>
      </w:pPr>
      <w:r w:rsidRPr="006B3EA1">
        <w:t>I.7.1</w:t>
      </w:r>
      <w:r w:rsidRPr="006B3EA1">
        <w:tab/>
        <w:t>Economic impact of IXP, Universal service, NGN, Mobile Roaming and SMPOTT and Valuation of spectrum</w:t>
      </w:r>
    </w:p>
    <w:p w14:paraId="3EE39CDD" w14:textId="77777777" w:rsidR="006B3EA1" w:rsidRPr="006B3EA1" w:rsidRDefault="006B3EA1" w:rsidP="006B3EA1">
      <w:pPr>
        <w:rPr>
          <w:lang w:val="en-GB"/>
        </w:rPr>
      </w:pPr>
      <w:r w:rsidRPr="006B3EA1">
        <w:rPr>
          <w:b/>
          <w:lang w:val="en-GB"/>
        </w:rPr>
        <w:t xml:space="preserve">ITU-T D.264 "Shared use of spectrum and telecommunication infrastructure as possible methods for enhancing the efficiency of telecommunications" (under approval) </w:t>
      </w:r>
      <w:r w:rsidRPr="006B3EA1">
        <w:rPr>
          <w:lang w:val="en-GB"/>
        </w:rPr>
        <w:t>proposes a set of possible methods to help telecommunication providers save costs and enhance efficiency through the shared use of spectrum and telecommunication infrastructure, including passive infrastructure sharing, active infrastructure sharing and spectrum sharing in the active infrastructure sharing.</w:t>
      </w:r>
    </w:p>
    <w:p w14:paraId="3D059032" w14:textId="77777777" w:rsidR="006B3EA1" w:rsidRPr="006B3EA1" w:rsidRDefault="006B3EA1" w:rsidP="006B3EA1">
      <w:pPr>
        <w:pStyle w:val="Headingb"/>
      </w:pPr>
      <w:r w:rsidRPr="006B3EA1">
        <w:t>I.8</w:t>
      </w:r>
      <w:r w:rsidRPr="006B3EA1">
        <w:tab/>
        <w:t>Quality of service and experience, and network performance</w:t>
      </w:r>
      <w:bookmarkEnd w:id="260"/>
    </w:p>
    <w:p w14:paraId="197993B3" w14:textId="6B91856C" w:rsidR="006B3EA1" w:rsidRPr="006B3EA1" w:rsidRDefault="00F60C99" w:rsidP="006B3EA1">
      <w:pPr>
        <w:widowControl w:val="0"/>
        <w:rPr>
          <w:bCs/>
          <w:lang w:val="en-GB"/>
        </w:rPr>
      </w:pPr>
      <w:hyperlink r:id="rId323" w:history="1">
        <w:r w:rsidR="006B3EA1" w:rsidRPr="006B3EA1">
          <w:rPr>
            <w:rStyle w:val="Hyperlink"/>
            <w:b/>
            <w:bCs/>
            <w:lang w:val="en-GB"/>
          </w:rPr>
          <w:t>ITU-T E.475 “Guidelines for Intelligent Network Analytics and Diagnostics”</w:t>
        </w:r>
      </w:hyperlink>
      <w:r w:rsidR="006B3EA1" w:rsidRPr="006B3EA1">
        <w:rPr>
          <w:b/>
          <w:bCs/>
          <w:lang w:val="en-GB"/>
        </w:rPr>
        <w:t xml:space="preserve"> </w:t>
      </w:r>
      <w:r w:rsidR="006B3EA1" w:rsidRPr="006B3EA1">
        <w:rPr>
          <w:bCs/>
          <w:lang w:val="en-GB"/>
        </w:rPr>
        <w:t xml:space="preserve">specifies guidelines for intelligent network analytics and diagnostics for managing and troubleshooting networks. The Intelligent Network Analytics and Diagnostics (INAD) function is responsible for aggregating network data and setting up automatic tasks for network maintenance, providing the assurance of appropriate network performance, locating the service degradation area and service channels with poor performance, finding root causes of the detected network faults, probing network status, and predicting the possible network performance degradation at an early stage. Specifically, this Recommendation describes the design considerations, functional architecture, network anomaly analysis models for network analytics and diagnostics. The network anomaly analysis model can be used to assess network anomaly degree, network performance, risk degree, to </w:t>
      </w:r>
      <w:proofErr w:type="spellStart"/>
      <w:r w:rsidR="006B3EA1" w:rsidRPr="006B3EA1">
        <w:rPr>
          <w:bCs/>
          <w:lang w:val="en-GB"/>
        </w:rPr>
        <w:t>analyze</w:t>
      </w:r>
      <w:proofErr w:type="spellEnd"/>
      <w:r w:rsidR="006B3EA1" w:rsidRPr="006B3EA1">
        <w:rPr>
          <w:bCs/>
          <w:lang w:val="en-GB"/>
        </w:rPr>
        <w:t xml:space="preserve"> the location and time of the network impairment and further to determine the root causes of the network impairments and to allow increased network visibility and network fault management automation. This Recommendation also presents the concept of Network Health Indicator (NHI) which provides a numerical indication of the network anomaly degree based on Big Data Analytics. The NHI is not focused on specific multimedia application rating (e.g., rating of specific audio application, video conferencing application) and application layer monitoring. Instead, it aims at network monitoring and evaluation of specific networks (e.g., LAN, WAN, Storage Network, Data Centre Network) and further triggers Network Diagnosis using Big Data based fault diagnosis algorithms and determine the root causes of the network anomaly events.</w:t>
      </w:r>
    </w:p>
    <w:p w14:paraId="68240315" w14:textId="77777777" w:rsidR="006B3EA1" w:rsidRPr="006B3EA1" w:rsidRDefault="00F60C99" w:rsidP="006B3EA1">
      <w:pPr>
        <w:widowControl w:val="0"/>
        <w:rPr>
          <w:lang w:val="en-GB"/>
        </w:rPr>
      </w:pPr>
      <w:hyperlink r:id="rId324" w:history="1">
        <w:r w:rsidR="006B3EA1" w:rsidRPr="006B3EA1">
          <w:rPr>
            <w:rStyle w:val="Hyperlink"/>
            <w:b/>
            <w:bCs/>
            <w:lang w:val="en-GB"/>
          </w:rPr>
          <w:t>ITU-T E.805 "Strategies to establish quality regulatory frameworks"</w:t>
        </w:r>
      </w:hyperlink>
      <w:r w:rsidR="006B3EA1" w:rsidRPr="006B3EA1">
        <w:rPr>
          <w:b/>
          <w:bCs/>
          <w:lang w:val="en-GB"/>
        </w:rPr>
        <w:t xml:space="preserve"> </w:t>
      </w:r>
      <w:r w:rsidR="006B3EA1" w:rsidRPr="006B3EA1">
        <w:rPr>
          <w:lang w:val="en-GB"/>
        </w:rPr>
        <w:t>provides guidance to regulators aiming to establish national or regional regulatory frameworks to monitor and measure quality of service (QoS) and quality of experience (</w:t>
      </w:r>
      <w:proofErr w:type="spellStart"/>
      <w:r w:rsidR="006B3EA1" w:rsidRPr="006B3EA1">
        <w:rPr>
          <w:lang w:val="en-GB"/>
        </w:rPr>
        <w:t>QoE</w:t>
      </w:r>
      <w:proofErr w:type="spellEnd"/>
      <w:r w:rsidR="006B3EA1" w:rsidRPr="006B3EA1">
        <w:rPr>
          <w:lang w:val="en-GB"/>
        </w:rPr>
        <w:t>).</w:t>
      </w:r>
    </w:p>
    <w:p w14:paraId="48971A4A" w14:textId="77777777" w:rsidR="006B3EA1" w:rsidRPr="006B3EA1" w:rsidRDefault="00F60C99" w:rsidP="006B3EA1">
      <w:pPr>
        <w:widowControl w:val="0"/>
        <w:rPr>
          <w:lang w:val="en-GB"/>
        </w:rPr>
      </w:pPr>
      <w:hyperlink r:id="rId325" w:history="1">
        <w:r w:rsidR="006B3EA1" w:rsidRPr="006B3EA1">
          <w:rPr>
            <w:rStyle w:val="Hyperlink"/>
            <w:b/>
            <w:lang w:val="en-GB"/>
          </w:rPr>
          <w:t>ITU-T G.1034 “</w:t>
        </w:r>
        <w:proofErr w:type="spellStart"/>
        <w:r w:rsidR="006B3EA1" w:rsidRPr="006B3EA1">
          <w:rPr>
            <w:rStyle w:val="Hyperlink"/>
            <w:b/>
            <w:lang w:val="en-GB"/>
          </w:rPr>
          <w:t>QoE</w:t>
        </w:r>
        <w:proofErr w:type="spellEnd"/>
        <w:r w:rsidR="006B3EA1" w:rsidRPr="006B3EA1">
          <w:rPr>
            <w:rStyle w:val="Hyperlink"/>
            <w:b/>
            <w:lang w:val="en-GB"/>
          </w:rPr>
          <w:t xml:space="preserve"> metrics for mobile telephony communication during rail travel”</w:t>
        </w:r>
      </w:hyperlink>
      <w:r w:rsidR="006B3EA1" w:rsidRPr="006B3EA1">
        <w:rPr>
          <w:b/>
          <w:bCs/>
          <w:lang w:val="en-GB"/>
        </w:rPr>
        <w:t xml:space="preserve"> </w:t>
      </w:r>
      <w:r w:rsidR="006B3EA1" w:rsidRPr="006B3EA1">
        <w:rPr>
          <w:lang w:val="en-GB"/>
        </w:rPr>
        <w:t xml:space="preserve">presents a novel high-level end-to-end KPI for telephony intended to be used in rail and street-bound public transport scenarios where movement is a constituting factor. The methodologies and metrics described in this Recommendation will allow to generate a holistic view of the end-user experience and solid predictions for a wide range of use case parameters based on measurement data, while at the same reducing resources and efforts needed to collect this measurement data. It will extend the existing range of QoS metrics by leveraging the </w:t>
      </w:r>
      <w:proofErr w:type="gramStart"/>
      <w:r w:rsidR="006B3EA1" w:rsidRPr="006B3EA1">
        <w:rPr>
          <w:lang w:val="en-GB"/>
        </w:rPr>
        <w:t>particular properties</w:t>
      </w:r>
      <w:proofErr w:type="gramEnd"/>
      <w:r w:rsidR="006B3EA1" w:rsidRPr="006B3EA1">
        <w:rPr>
          <w:lang w:val="en-GB"/>
        </w:rPr>
        <w:t xml:space="preserve"> of public transport scenarios that are defined by repeatability and reproducibility. While the described methodology focuses on telephony, it is easily possible to extend it to cover other types of service tests. This Recommendation will benefit all stakeholders in public transport: rail passengers who will encounter a high </w:t>
      </w:r>
      <w:proofErr w:type="spellStart"/>
      <w:r w:rsidR="006B3EA1" w:rsidRPr="006B3EA1">
        <w:rPr>
          <w:lang w:val="en-GB"/>
        </w:rPr>
        <w:t>QoE</w:t>
      </w:r>
      <w:proofErr w:type="spellEnd"/>
      <w:r w:rsidR="006B3EA1" w:rsidRPr="006B3EA1">
        <w:rPr>
          <w:lang w:val="en-GB"/>
        </w:rPr>
        <w:t>, railway operators who will be enabled to provide competitive and attractive services and last but least the network operators, who will be able to optimize their efforts and resources.</w:t>
      </w:r>
    </w:p>
    <w:p w14:paraId="67D864AB" w14:textId="77777777" w:rsidR="006B3EA1" w:rsidRPr="006B3EA1" w:rsidRDefault="00F60C99" w:rsidP="006B3EA1">
      <w:pPr>
        <w:widowControl w:val="0"/>
        <w:rPr>
          <w:lang w:val="en-GB"/>
        </w:rPr>
      </w:pPr>
      <w:hyperlink r:id="rId326" w:history="1">
        <w:r w:rsidR="006B3EA1" w:rsidRPr="006B3EA1">
          <w:rPr>
            <w:rStyle w:val="Hyperlink"/>
            <w:b/>
            <w:lang w:val="en-GB"/>
          </w:rPr>
          <w:t xml:space="preserve">ITU-T G.1072 “Opinion Model Predicting Gaming </w:t>
        </w:r>
        <w:proofErr w:type="spellStart"/>
        <w:r w:rsidR="006B3EA1" w:rsidRPr="006B3EA1">
          <w:rPr>
            <w:rStyle w:val="Hyperlink"/>
            <w:b/>
            <w:lang w:val="en-GB"/>
          </w:rPr>
          <w:t>QoE</w:t>
        </w:r>
        <w:proofErr w:type="spellEnd"/>
        <w:r w:rsidR="006B3EA1" w:rsidRPr="006B3EA1">
          <w:rPr>
            <w:rStyle w:val="Hyperlink"/>
            <w:b/>
            <w:lang w:val="en-GB"/>
          </w:rPr>
          <w:t xml:space="preserve"> for Cloud Gaming Services”</w:t>
        </w:r>
      </w:hyperlink>
      <w:r w:rsidR="006B3EA1" w:rsidRPr="006B3EA1">
        <w:rPr>
          <w:b/>
          <w:bCs/>
          <w:lang w:val="en-GB"/>
        </w:rPr>
        <w:t xml:space="preserve"> </w:t>
      </w:r>
      <w:r w:rsidR="006B3EA1" w:rsidRPr="006B3EA1">
        <w:rPr>
          <w:lang w:val="en-GB"/>
        </w:rPr>
        <w:t>presents an opinion model that predicts the overall gaming Quality of Experience (</w:t>
      </w:r>
      <w:proofErr w:type="spellStart"/>
      <w:r w:rsidR="006B3EA1" w:rsidRPr="006B3EA1">
        <w:rPr>
          <w:lang w:val="en-GB"/>
        </w:rPr>
        <w:t>QoE</w:t>
      </w:r>
      <w:proofErr w:type="spellEnd"/>
      <w:r w:rsidR="006B3EA1" w:rsidRPr="006B3EA1">
        <w:rPr>
          <w:lang w:val="en-GB"/>
        </w:rPr>
        <w:t xml:space="preserve">) of non-expert gamers for cloud gaming services. The model uses an impairment factor approach in which the impact of typical IP network parameters and video encoding parameters on the video and input </w:t>
      </w:r>
      <w:r w:rsidR="006B3EA1" w:rsidRPr="006B3EA1">
        <w:rPr>
          <w:lang w:val="en-GB"/>
        </w:rPr>
        <w:lastRenderedPageBreak/>
        <w:t xml:space="preserve">quality is estimated. The knowledge summarized in ITU-T G.1032 and ITU-T P.809 serves as a basis for the development of the model. The model is a network planning tool which can be used by stakeholders to manage resource allocation and to configure IP-network transmission settings such as the selection of encoding framerates, resolutions, and bitrates, under the assumption that the network is prone to packet loss and latency. Depending on whether the respective stakeholder has a priori knowledge of the type of game being offered through the cloud gaming service, either a default mode, which assumes the game to be highly sensitive towards delays and frame losses as well as highly encoding complex, or an extended mode, which uses adjusted model </w:t>
      </w:r>
      <w:proofErr w:type="spellStart"/>
      <w:r w:rsidR="006B3EA1" w:rsidRPr="006B3EA1">
        <w:rPr>
          <w:lang w:val="en-GB"/>
        </w:rPr>
        <w:t>coeffiecient</w:t>
      </w:r>
      <w:proofErr w:type="spellEnd"/>
      <w:r w:rsidR="006B3EA1" w:rsidRPr="006B3EA1">
        <w:rPr>
          <w:lang w:val="en-GB"/>
        </w:rPr>
        <w:t xml:space="preserve"> to increase the prediction accuracy, can be used.</w:t>
      </w:r>
    </w:p>
    <w:p w14:paraId="739AE183" w14:textId="538F5540" w:rsidR="006B3EA1" w:rsidRPr="006B3EA1" w:rsidRDefault="00F60C99" w:rsidP="006B3EA1">
      <w:pPr>
        <w:widowControl w:val="0"/>
        <w:rPr>
          <w:lang w:val="en-GB"/>
        </w:rPr>
      </w:pPr>
      <w:hyperlink r:id="rId327" w:history="1">
        <w:r w:rsidR="006B3EA1" w:rsidRPr="006B3EA1">
          <w:rPr>
            <w:rStyle w:val="Hyperlink"/>
            <w:b/>
            <w:lang w:val="en-GB"/>
          </w:rPr>
          <w:t xml:space="preserve">ITU-T P.565 “Framework for creation and performance testing of machine learning based models for the assessment of transmission network impact on speech quality for mobile packet-switched voice </w:t>
        </w:r>
        <w:proofErr w:type="spellStart"/>
        <w:r w:rsidR="006B3EA1" w:rsidRPr="006B3EA1">
          <w:rPr>
            <w:rStyle w:val="Hyperlink"/>
            <w:b/>
            <w:lang w:val="en-GB"/>
          </w:rPr>
          <w:t>services”</w:t>
        </w:r>
      </w:hyperlink>
      <w:r w:rsidR="006B3EA1" w:rsidRPr="006B3EA1">
        <w:rPr>
          <w:b/>
          <w:lang w:val="en-GB"/>
        </w:rPr>
        <w:t>:</w:t>
      </w:r>
      <w:r w:rsidR="006B3EA1" w:rsidRPr="006B3EA1">
        <w:rPr>
          <w:lang w:val="en-GB"/>
        </w:rPr>
        <w:t>The</w:t>
      </w:r>
      <w:proofErr w:type="spellEnd"/>
      <w:r w:rsidR="006B3EA1" w:rsidRPr="006B3EA1">
        <w:rPr>
          <w:lang w:val="en-GB"/>
        </w:rPr>
        <w:t xml:space="preserve"> output of the framework is a machine learning based speech quality prediction model, which predicts the impact on the speech quality from the IP transport and underlying transport, as well as the jitter buffer in the end client; thus providing a network centric view on the speech quality service delivered on mobile packet switched networks. This is expressed in terms of a MOS-LQO under the assumption of an otherwise clean transmission, without background noise, automatic gain control, voice enhancement devices, transcoding, bridging, frequency response, clock drift or any other impairment not caused by the IP transport and underlying transport. The models according to this framework use information on the temporal structure of the reference signal to identify the importance of individual sections of the bitstream </w:t>
      </w:r>
      <w:proofErr w:type="gramStart"/>
      <w:r w:rsidR="006B3EA1" w:rsidRPr="006B3EA1">
        <w:rPr>
          <w:lang w:val="en-GB"/>
        </w:rPr>
        <w:t>with regard to</w:t>
      </w:r>
      <w:proofErr w:type="gramEnd"/>
      <w:r w:rsidR="006B3EA1" w:rsidRPr="006B3EA1">
        <w:rPr>
          <w:lang w:val="en-GB"/>
        </w:rPr>
        <w:t xml:space="preserve"> speech quality. These models do not perform any perceptual analysis of the recorded speech signal. The framework specifies three modules required for the development of these kinds of metrics: the databases generator module, the machine learning module, and the validation</w:t>
      </w:r>
      <w:r w:rsidR="00C221B4">
        <w:rPr>
          <w:lang w:val="en-GB"/>
        </w:rPr>
        <w:t xml:space="preserve"> module for the trained model. </w:t>
      </w:r>
      <w:r w:rsidR="006B3EA1" w:rsidRPr="006B3EA1">
        <w:rPr>
          <w:lang w:val="en-GB"/>
        </w:rPr>
        <w:t>In addition, database content and the features used by the machine learning algorithm are described. The framework also provides a large set of test vectors, in the form of error (jitter and packet loss) patterns files for learning and validation. The recommendation specifies minimum required performance, as well as conditions and requirements for an independent additional validation for models developed based on the framework. The recommendation also specifies implementation requirements. The models developed based on the framework enable the assessment of transmission network impact on speech quality for mobile packet-switched voice services, and therefore benefit operators and regulators alike with a fast and easy speech quality trend monitoring / ben</w:t>
      </w:r>
      <w:r w:rsidR="00C221B4">
        <w:rPr>
          <w:lang w:val="en-GB"/>
        </w:rPr>
        <w:t xml:space="preserve">chmarking and troubleshooting. </w:t>
      </w:r>
      <w:r w:rsidR="006B3EA1" w:rsidRPr="006B3EA1">
        <w:rPr>
          <w:lang w:val="en-GB"/>
        </w:rPr>
        <w:t>In addition, if predictors according to this framework are used together with perceptual speech quality metrics like P.863, it is possible to identify if the source of problems resides inside or outside the transport network observed by the predictor according to this framework and thus a more detailed analysis of the situation c</w:t>
      </w:r>
      <w:r w:rsidR="00C221B4">
        <w:rPr>
          <w:lang w:val="en-GB"/>
        </w:rPr>
        <w:t>an be achieved and consequently</w:t>
      </w:r>
      <w:r w:rsidR="006B3EA1" w:rsidRPr="006B3EA1">
        <w:rPr>
          <w:lang w:val="en-GB"/>
        </w:rPr>
        <w:t xml:space="preserve"> troubleshooting of less obvious degradations such as the ones occurring outside of the transport network (e.g. emerged from automatic gain control, voice enhancement devices, transcoding or </w:t>
      </w:r>
      <w:proofErr w:type="spellStart"/>
      <w:r w:rsidR="006B3EA1" w:rsidRPr="006B3EA1">
        <w:rPr>
          <w:lang w:val="en-GB"/>
        </w:rPr>
        <w:t>analog</w:t>
      </w:r>
      <w:proofErr w:type="spellEnd"/>
      <w:r w:rsidR="006B3EA1" w:rsidRPr="006B3EA1">
        <w:rPr>
          <w:lang w:val="en-GB"/>
        </w:rPr>
        <w:t xml:space="preserve"> processing) is enabled.</w:t>
      </w:r>
    </w:p>
    <w:p w14:paraId="17CA664A" w14:textId="77777777" w:rsidR="006B3EA1" w:rsidRPr="006B3EA1" w:rsidRDefault="00F60C99" w:rsidP="006B3EA1">
      <w:pPr>
        <w:widowControl w:val="0"/>
        <w:rPr>
          <w:lang w:val="en-GB"/>
        </w:rPr>
      </w:pPr>
      <w:hyperlink r:id="rId328" w:history="1">
        <w:r w:rsidR="006B3EA1" w:rsidRPr="006B3EA1">
          <w:rPr>
            <w:rStyle w:val="Hyperlink"/>
            <w:b/>
            <w:lang w:val="en-GB"/>
          </w:rPr>
          <w:t>ITU-T P.918 “Dimension-based Subjective Quality Evaluation for Video Content”</w:t>
        </w:r>
      </w:hyperlink>
      <w:r w:rsidR="006B3EA1" w:rsidRPr="006B3EA1">
        <w:rPr>
          <w:lang w:val="en-GB"/>
        </w:rPr>
        <w:t xml:space="preserve"> presents guidelines for the conduction of subjective experiments for the Quality of Experience (</w:t>
      </w:r>
      <w:proofErr w:type="spellStart"/>
      <w:r w:rsidR="006B3EA1" w:rsidRPr="006B3EA1">
        <w:rPr>
          <w:lang w:val="en-GB"/>
        </w:rPr>
        <w:t>QoE</w:t>
      </w:r>
      <w:proofErr w:type="spellEnd"/>
      <w:r w:rsidR="006B3EA1" w:rsidRPr="006B3EA1">
        <w:rPr>
          <w:lang w:val="en-GB"/>
        </w:rPr>
        <w:t>) assessment of perceptual video quality dimensions. In addition to scores for the overall video quality, the methodology yields scores for five perceptual dimensions. Each perceptual dimension scores are based on ratings of the amount of degradation present in one system/test condition. The method is designed to be used with naïve subjects. The dimension scores can be used to provide diagnostic information on what may cause the degradation. The perceptual dimensions are described in this document as well as the method to conduct a subjective experiment. Furthermore, we give information about possible test environment and setup, participant instructions, and test material.</w:t>
      </w:r>
    </w:p>
    <w:p w14:paraId="4AC2D68F" w14:textId="77777777" w:rsidR="006B3EA1" w:rsidRPr="006B3EA1" w:rsidRDefault="00F60C99" w:rsidP="006B3EA1">
      <w:pPr>
        <w:widowControl w:val="0"/>
        <w:rPr>
          <w:lang w:val="en-GB"/>
        </w:rPr>
      </w:pPr>
      <w:hyperlink r:id="rId329" w:history="1">
        <w:r w:rsidR="006B3EA1" w:rsidRPr="006B3EA1">
          <w:rPr>
            <w:rStyle w:val="Hyperlink"/>
            <w:b/>
            <w:lang w:val="en-GB"/>
          </w:rPr>
          <w:t>ITU-T P.1150 “In-Car Communication Audio Specification”</w:t>
        </w:r>
      </w:hyperlink>
      <w:r w:rsidR="006B3EA1" w:rsidRPr="006B3EA1">
        <w:rPr>
          <w:lang w:val="en-GB"/>
        </w:rPr>
        <w:t xml:space="preserve"> includes communication requirements for in-car communication (ICC). The aim of this Recommendation is to set a base level of function and quality. This Recommendation is aimed at providing an improved </w:t>
      </w:r>
      <w:r w:rsidR="006B3EA1" w:rsidRPr="006B3EA1">
        <w:rPr>
          <w:lang w:val="en-GB"/>
        </w:rPr>
        <w:lastRenderedPageBreak/>
        <w:t>communication between all occupants in a motor vehicle. Furthermore, it will ensure the ICC operates to a quality such that the motor vehicle driver does not feel it necessary to turn their head to amplify their voice when talking to other passengers and thus ICC can aid in preventing driver distraction. ICC will utilize integrated microphones and speakers in the motor vehicle cabin to amplify conversation. To meet these requirements, the use of audio zones within a motor vehicle cabin for speech communications between audio zones, and tests to ensure good speech intelligibility and quality between those zones are defined. This Recommendation covers requirements and test methods for:</w:t>
      </w:r>
    </w:p>
    <w:p w14:paraId="2FAE1633" w14:textId="77777777" w:rsidR="006B3EA1" w:rsidRPr="006B3EA1" w:rsidRDefault="006B3EA1" w:rsidP="006B3EA1">
      <w:pPr>
        <w:widowControl w:val="0"/>
        <w:rPr>
          <w:lang w:val="en-GB"/>
        </w:rPr>
      </w:pPr>
      <w:r w:rsidRPr="006B3EA1">
        <w:rPr>
          <w:lang w:val="en-GB"/>
        </w:rPr>
        <w:t>1.</w:t>
      </w:r>
      <w:r w:rsidRPr="006B3EA1">
        <w:rPr>
          <w:lang w:val="en-GB"/>
        </w:rPr>
        <w:tab/>
        <w:t xml:space="preserve">system stability </w:t>
      </w:r>
    </w:p>
    <w:p w14:paraId="44966BBB" w14:textId="77777777" w:rsidR="006B3EA1" w:rsidRPr="006B3EA1" w:rsidRDefault="006B3EA1" w:rsidP="006B3EA1">
      <w:pPr>
        <w:widowControl w:val="0"/>
        <w:rPr>
          <w:lang w:val="en-GB"/>
        </w:rPr>
      </w:pPr>
      <w:r w:rsidRPr="006B3EA1">
        <w:rPr>
          <w:lang w:val="en-GB"/>
        </w:rPr>
        <w:t>2.</w:t>
      </w:r>
      <w:r w:rsidRPr="006B3EA1">
        <w:rPr>
          <w:lang w:val="en-GB"/>
        </w:rPr>
        <w:tab/>
        <w:t>speech intelligibility</w:t>
      </w:r>
    </w:p>
    <w:p w14:paraId="59AFD088" w14:textId="77777777" w:rsidR="006B3EA1" w:rsidRPr="006B3EA1" w:rsidRDefault="006B3EA1" w:rsidP="006B3EA1">
      <w:pPr>
        <w:widowControl w:val="0"/>
        <w:rPr>
          <w:lang w:val="en-GB"/>
        </w:rPr>
      </w:pPr>
      <w:r w:rsidRPr="006B3EA1">
        <w:rPr>
          <w:lang w:val="en-GB"/>
        </w:rPr>
        <w:t>3.</w:t>
      </w:r>
      <w:r w:rsidRPr="006B3EA1">
        <w:rPr>
          <w:lang w:val="en-GB"/>
        </w:rPr>
        <w:tab/>
        <w:t>speech quality</w:t>
      </w:r>
    </w:p>
    <w:p w14:paraId="48DFC4F3" w14:textId="77777777" w:rsidR="006B3EA1" w:rsidRPr="006B3EA1" w:rsidRDefault="006B3EA1" w:rsidP="006B3EA1">
      <w:pPr>
        <w:widowControl w:val="0"/>
        <w:rPr>
          <w:lang w:val="en-GB"/>
        </w:rPr>
      </w:pPr>
      <w:r w:rsidRPr="006B3EA1">
        <w:rPr>
          <w:lang w:val="en-GB"/>
        </w:rPr>
        <w:t>4.</w:t>
      </w:r>
      <w:r w:rsidRPr="006B3EA1">
        <w:rPr>
          <w:lang w:val="en-GB"/>
        </w:rPr>
        <w:tab/>
        <w:t>talker localization accuracy</w:t>
      </w:r>
    </w:p>
    <w:p w14:paraId="4B938C6C" w14:textId="77777777" w:rsidR="006B3EA1" w:rsidRPr="006B3EA1" w:rsidRDefault="006B3EA1" w:rsidP="006B3EA1">
      <w:pPr>
        <w:widowControl w:val="0"/>
        <w:rPr>
          <w:lang w:val="en-GB"/>
        </w:rPr>
      </w:pPr>
      <w:r w:rsidRPr="006B3EA1">
        <w:rPr>
          <w:lang w:val="en-GB"/>
        </w:rPr>
        <w:t>The use of wearable headphones (</w:t>
      </w:r>
      <w:proofErr w:type="spellStart"/>
      <w:r w:rsidRPr="006B3EA1">
        <w:rPr>
          <w:lang w:val="en-GB"/>
        </w:rPr>
        <w:t>audiophones</w:t>
      </w:r>
      <w:proofErr w:type="spellEnd"/>
      <w:r w:rsidRPr="006B3EA1">
        <w:rPr>
          <w:lang w:val="en-GB"/>
        </w:rPr>
        <w:t>) by driver or passengers is outside the scope of this Recommendation.</w:t>
      </w:r>
    </w:p>
    <w:p w14:paraId="767EE585" w14:textId="77777777" w:rsidR="006B3EA1" w:rsidRPr="006B3EA1" w:rsidRDefault="00F60C99" w:rsidP="006B3EA1">
      <w:pPr>
        <w:widowControl w:val="0"/>
        <w:rPr>
          <w:lang w:val="en-GB"/>
        </w:rPr>
      </w:pPr>
      <w:hyperlink r:id="rId330" w:history="1">
        <w:r w:rsidR="006B3EA1" w:rsidRPr="006B3EA1">
          <w:rPr>
            <w:rStyle w:val="Hyperlink"/>
            <w:b/>
            <w:lang w:val="en-GB"/>
          </w:rPr>
          <w:t>ITU-T P.1204 “Video quality assessment of streaming services over reliable transport for resolutions up to 4K”</w:t>
        </w:r>
      </w:hyperlink>
      <w:r w:rsidR="006B3EA1" w:rsidRPr="006B3EA1">
        <w:rPr>
          <w:lang w:val="en-GB"/>
        </w:rPr>
        <w:t xml:space="preserve"> provides the introductory document for a set of documents that describe model algorithms for monitoring the video quality for streaming using reliable transport (e.g. HTTP-based adaptive streaming over TCP, QUIC). The standard comprises different variants of models for sequence-related (between 5 and 10 sec.) and per-1-second video-quality estimation. The variants differ in the type of input information they use: Bitstream-based, pixel-based, and hybrid (using both bitstream and pixel information). In principle, the per-1-second outputs of these video-quality models can be used together with an audio-quality model for integration into </w:t>
      </w:r>
      <w:proofErr w:type="spellStart"/>
      <w:r w:rsidR="006B3EA1" w:rsidRPr="006B3EA1">
        <w:rPr>
          <w:lang w:val="en-GB"/>
        </w:rPr>
        <w:t>audiovisual</w:t>
      </w:r>
      <w:proofErr w:type="spellEnd"/>
      <w:r w:rsidR="006B3EA1" w:rsidRPr="006B3EA1">
        <w:rPr>
          <w:lang w:val="en-GB"/>
        </w:rPr>
        <w:t xml:space="preserve"> quality and, together with information about initial loading delay and media playout stalling events, further into a final per-session model output, an estimate of integral per-session quality (see e.g. ITU-T Recs. P.1203, P.1203.2, P.1203.3). The respective ITU-T work item has formerly been referred to as “</w:t>
      </w:r>
      <w:proofErr w:type="gramStart"/>
      <w:r w:rsidR="006B3EA1" w:rsidRPr="006B3EA1">
        <w:rPr>
          <w:lang w:val="en-GB"/>
        </w:rPr>
        <w:t>P.NATS</w:t>
      </w:r>
      <w:proofErr w:type="gramEnd"/>
      <w:r w:rsidR="006B3EA1" w:rsidRPr="006B3EA1">
        <w:rPr>
          <w:lang w:val="en-GB"/>
        </w:rPr>
        <w:t xml:space="preserve"> Phase 2”, and was conducted in collaboration between ITU-T Study Group 12 and the Video Quality Experts Group (VQEG).</w:t>
      </w:r>
    </w:p>
    <w:p w14:paraId="7D381ACB" w14:textId="77777777" w:rsidR="006B3EA1" w:rsidRPr="006B3EA1" w:rsidRDefault="006B3EA1" w:rsidP="006B3EA1">
      <w:pPr>
        <w:widowControl w:val="0"/>
        <w:rPr>
          <w:lang w:val="en-GB"/>
        </w:rPr>
      </w:pPr>
      <w:r w:rsidRPr="006B3EA1">
        <w:rPr>
          <w:lang w:val="en-GB"/>
        </w:rPr>
        <w:t>The structure of the set of recommendations reflects the different functionality of modules described in each document:</w:t>
      </w:r>
    </w:p>
    <w:p w14:paraId="6C68EB22" w14:textId="77777777" w:rsidR="006B3EA1" w:rsidRPr="006B3EA1" w:rsidRDefault="006B3EA1" w:rsidP="006B3EA1">
      <w:pPr>
        <w:widowControl w:val="0"/>
        <w:rPr>
          <w:lang w:val="en-GB"/>
        </w:rPr>
      </w:pPr>
      <w:r w:rsidRPr="006B3EA1">
        <w:rPr>
          <w:lang w:val="en-GB"/>
        </w:rPr>
        <w:t>–</w:t>
      </w:r>
      <w:r w:rsidRPr="006B3EA1">
        <w:rPr>
          <w:lang w:val="en-GB"/>
        </w:rPr>
        <w:tab/>
        <w:t>ITU-T P.1204: Introductory document (this Recommendation)</w:t>
      </w:r>
    </w:p>
    <w:p w14:paraId="10116E44" w14:textId="77777777" w:rsidR="006B3EA1" w:rsidRPr="006B3EA1" w:rsidRDefault="006B3EA1" w:rsidP="006B3EA1">
      <w:pPr>
        <w:widowControl w:val="0"/>
        <w:rPr>
          <w:lang w:val="en-GB"/>
        </w:rPr>
      </w:pPr>
      <w:r w:rsidRPr="006B3EA1">
        <w:rPr>
          <w:lang w:val="en-GB"/>
        </w:rPr>
        <w:t>–</w:t>
      </w:r>
      <w:r w:rsidRPr="006B3EA1">
        <w:rPr>
          <w:lang w:val="en-GB"/>
        </w:rPr>
        <w:tab/>
        <w:t>DRAFT P.1204.1: Video quality assessment of streaming services over reliable transport for resolutions up to 4K with access to transport information (under development)</w:t>
      </w:r>
    </w:p>
    <w:p w14:paraId="07BFE45F" w14:textId="77777777" w:rsidR="006B3EA1" w:rsidRPr="006B3EA1" w:rsidRDefault="006B3EA1" w:rsidP="006B3EA1">
      <w:pPr>
        <w:widowControl w:val="0"/>
        <w:rPr>
          <w:lang w:val="en-GB"/>
        </w:rPr>
      </w:pPr>
      <w:r w:rsidRPr="006B3EA1">
        <w:rPr>
          <w:lang w:val="en-GB"/>
        </w:rPr>
        <w:t>–</w:t>
      </w:r>
      <w:r w:rsidRPr="006B3EA1">
        <w:rPr>
          <w:lang w:val="en-GB"/>
        </w:rPr>
        <w:tab/>
        <w:t>DRAFT P.1204.2: Video quality assessment of streaming services over reliable transport for resolutions up to 4K with access to video frame information (under development)</w:t>
      </w:r>
    </w:p>
    <w:p w14:paraId="67A8D6CB" w14:textId="77777777" w:rsidR="006B3EA1" w:rsidRPr="006B3EA1" w:rsidRDefault="006B3EA1" w:rsidP="006B3EA1">
      <w:pPr>
        <w:widowControl w:val="0"/>
        <w:rPr>
          <w:lang w:val="en-GB"/>
        </w:rPr>
      </w:pPr>
      <w:r w:rsidRPr="006B3EA1">
        <w:rPr>
          <w:lang w:val="en-GB"/>
        </w:rPr>
        <w:t>–</w:t>
      </w:r>
      <w:r w:rsidRPr="006B3EA1">
        <w:rPr>
          <w:lang w:val="en-GB"/>
        </w:rPr>
        <w:tab/>
        <w:t>ITU-T P.1204.3: Video quality assessment of streaming services over reliable transport for resolutions up to 4K with access to full bitstream information</w:t>
      </w:r>
    </w:p>
    <w:p w14:paraId="5345121F" w14:textId="77777777" w:rsidR="006B3EA1" w:rsidRPr="006B3EA1" w:rsidRDefault="006B3EA1" w:rsidP="006B3EA1">
      <w:pPr>
        <w:widowControl w:val="0"/>
        <w:rPr>
          <w:lang w:val="en-GB"/>
        </w:rPr>
      </w:pPr>
      <w:r w:rsidRPr="006B3EA1">
        <w:rPr>
          <w:lang w:val="en-GB"/>
        </w:rPr>
        <w:t>–</w:t>
      </w:r>
      <w:r w:rsidRPr="006B3EA1">
        <w:rPr>
          <w:lang w:val="en-GB"/>
        </w:rPr>
        <w:tab/>
        <w:t>ITU-T P.1204.4: Video quality assessment of streaming services over reliable transport for resolutions up to 4K with access to full and reduced reference pixel information</w:t>
      </w:r>
    </w:p>
    <w:p w14:paraId="1BD50A14" w14:textId="77777777" w:rsidR="006B3EA1" w:rsidRPr="006B3EA1" w:rsidRDefault="006B3EA1" w:rsidP="006B3EA1">
      <w:pPr>
        <w:widowControl w:val="0"/>
        <w:rPr>
          <w:lang w:val="en-GB"/>
        </w:rPr>
      </w:pPr>
      <w:r w:rsidRPr="006B3EA1">
        <w:rPr>
          <w:lang w:val="en-GB"/>
        </w:rPr>
        <w:t>–</w:t>
      </w:r>
      <w:r w:rsidRPr="006B3EA1">
        <w:rPr>
          <w:lang w:val="en-GB"/>
        </w:rPr>
        <w:tab/>
        <w:t>ITU-T P.1204.5: Video quality assessment of streaming services over reliable transport for resolutions up to 4K with access to transport and received pixel information.</w:t>
      </w:r>
    </w:p>
    <w:p w14:paraId="56F05A6F" w14:textId="77777777" w:rsidR="006B3EA1" w:rsidRPr="006B3EA1" w:rsidRDefault="00F60C99" w:rsidP="006B3EA1">
      <w:pPr>
        <w:widowControl w:val="0"/>
        <w:rPr>
          <w:lang w:val="en-GB"/>
        </w:rPr>
      </w:pPr>
      <w:hyperlink r:id="rId331" w:history="1">
        <w:r w:rsidR="006B3EA1" w:rsidRPr="006B3EA1">
          <w:rPr>
            <w:rStyle w:val="Hyperlink"/>
            <w:b/>
            <w:lang w:val="en-GB"/>
          </w:rPr>
          <w:t>ITU-T P.1204.3 “Video quality assessment of streaming services over reliable transport for resolutions up to 4K with access to full bitstream information”</w:t>
        </w:r>
      </w:hyperlink>
      <w:r w:rsidR="006B3EA1" w:rsidRPr="006B3EA1">
        <w:rPr>
          <w:b/>
          <w:lang w:val="en-GB"/>
        </w:rPr>
        <w:t xml:space="preserve"> </w:t>
      </w:r>
      <w:r w:rsidR="006B3EA1" w:rsidRPr="006B3EA1">
        <w:rPr>
          <w:lang w:val="en-GB"/>
        </w:rPr>
        <w:t xml:space="preserve">describes a bitstream-based mode 3 video quality model for monitoring the video quality for streaming using reliable transport (e.g. HTTP-based adaptive streaming over TCP, QUIC). The estimate is validated for videos encoded with H.264, H.265 or VP9 codecs at any resolution up to 4K/UHD resolution for PC monitors and TV and up to QHD (2560x1440) for Smartphone and Tablet displays. The standard </w:t>
      </w:r>
      <w:r w:rsidR="006B3EA1" w:rsidRPr="006B3EA1">
        <w:rPr>
          <w:lang w:val="en-GB"/>
        </w:rPr>
        <w:lastRenderedPageBreak/>
        <w:t xml:space="preserve">provides sequence-related (between 5 to 10 sec.) and per-1-second video-quality estimation. In principle, the per-one-second outputs of this video-quality model can be used together with an audio model for integration into </w:t>
      </w:r>
      <w:proofErr w:type="spellStart"/>
      <w:r w:rsidR="006B3EA1" w:rsidRPr="006B3EA1">
        <w:rPr>
          <w:lang w:val="en-GB"/>
        </w:rPr>
        <w:t>audiovisual</w:t>
      </w:r>
      <w:proofErr w:type="spellEnd"/>
      <w:r w:rsidR="006B3EA1" w:rsidRPr="006B3EA1">
        <w:rPr>
          <w:lang w:val="en-GB"/>
        </w:rPr>
        <w:t xml:space="preserve"> quality and, together with information about initial loading delay and media playout stalling events, further into a final per-session model output, an estimate of integral per-session quality (see e.g. ITU-T Recs. P.1203, P.1203.2, P.1203.3). The respective ITU-T work item has formerly been referred to as “</w:t>
      </w:r>
      <w:proofErr w:type="gramStart"/>
      <w:r w:rsidR="006B3EA1" w:rsidRPr="006B3EA1">
        <w:rPr>
          <w:lang w:val="en-GB"/>
        </w:rPr>
        <w:t>P.NATS</w:t>
      </w:r>
      <w:proofErr w:type="gramEnd"/>
      <w:r w:rsidR="006B3EA1" w:rsidRPr="006B3EA1">
        <w:rPr>
          <w:lang w:val="en-GB"/>
        </w:rPr>
        <w:t xml:space="preserve"> Phase 2”, and was conducted in collaboration between ITU-T Study Group 12 and the Video Quality Experts Group (VQEG).</w:t>
      </w:r>
    </w:p>
    <w:p w14:paraId="5DCA44DD" w14:textId="77777777" w:rsidR="006B3EA1" w:rsidRPr="006B3EA1" w:rsidRDefault="006B3EA1" w:rsidP="006B3EA1">
      <w:pPr>
        <w:widowControl w:val="0"/>
        <w:rPr>
          <w:lang w:val="en-GB"/>
        </w:rPr>
      </w:pPr>
      <w:r w:rsidRPr="006B3EA1">
        <w:rPr>
          <w:lang w:val="en-GB"/>
        </w:rPr>
        <w:t>The ITU-T P.1204.3 Recommendation addresses three application areas:</w:t>
      </w:r>
    </w:p>
    <w:p w14:paraId="33C0CBBF" w14:textId="77777777" w:rsidR="006B3EA1" w:rsidRPr="006B3EA1" w:rsidRDefault="006B3EA1" w:rsidP="006B3EA1">
      <w:pPr>
        <w:widowControl w:val="0"/>
        <w:rPr>
          <w:lang w:val="en-GB"/>
        </w:rPr>
      </w:pPr>
      <w:r w:rsidRPr="006B3EA1">
        <w:rPr>
          <w:lang w:val="en-GB"/>
        </w:rPr>
        <w:t>–</w:t>
      </w:r>
      <w:r w:rsidRPr="006B3EA1">
        <w:rPr>
          <w:lang w:val="en-GB"/>
        </w:rPr>
        <w:tab/>
        <w:t>Large-screen presentation as with fixed-network video streaming</w:t>
      </w:r>
    </w:p>
    <w:p w14:paraId="065522BA" w14:textId="77777777" w:rsidR="006B3EA1" w:rsidRPr="006B3EA1" w:rsidRDefault="006B3EA1" w:rsidP="006B3EA1">
      <w:pPr>
        <w:widowControl w:val="0"/>
        <w:rPr>
          <w:lang w:val="en-GB"/>
        </w:rPr>
      </w:pPr>
      <w:r w:rsidRPr="006B3EA1">
        <w:rPr>
          <w:lang w:val="en-GB"/>
        </w:rPr>
        <w:t>–</w:t>
      </w:r>
      <w:r w:rsidRPr="006B3EA1">
        <w:rPr>
          <w:lang w:val="en-GB"/>
        </w:rPr>
        <w:tab/>
        <w:t>Mobile streaming on handheld devices such as smartphones</w:t>
      </w:r>
    </w:p>
    <w:p w14:paraId="0B21DFDD" w14:textId="77777777" w:rsidR="006B3EA1" w:rsidRPr="006B3EA1" w:rsidRDefault="006B3EA1" w:rsidP="006B3EA1">
      <w:pPr>
        <w:widowControl w:val="0"/>
        <w:rPr>
          <w:lang w:val="en-GB"/>
        </w:rPr>
      </w:pPr>
      <w:r w:rsidRPr="006B3EA1">
        <w:rPr>
          <w:lang w:val="en-GB"/>
        </w:rPr>
        <w:t>–</w:t>
      </w:r>
      <w:r w:rsidRPr="006B3EA1">
        <w:rPr>
          <w:lang w:val="en-GB"/>
        </w:rPr>
        <w:tab/>
        <w:t>Presentation on tablet-type devices.</w:t>
      </w:r>
    </w:p>
    <w:p w14:paraId="2D95CDCB" w14:textId="77777777" w:rsidR="006B3EA1" w:rsidRPr="006B3EA1" w:rsidRDefault="00F60C99" w:rsidP="006B3EA1">
      <w:pPr>
        <w:widowControl w:val="0"/>
        <w:rPr>
          <w:lang w:val="en-GB"/>
        </w:rPr>
      </w:pPr>
      <w:hyperlink r:id="rId332" w:history="1">
        <w:r w:rsidR="006B3EA1" w:rsidRPr="006B3EA1">
          <w:rPr>
            <w:rStyle w:val="Hyperlink"/>
            <w:b/>
            <w:lang w:val="en-GB"/>
          </w:rPr>
          <w:t>ITU-T P.1204.4 “Video quality assessment of streaming services over reliable transport for resolutions up to 4K with access to full and reduced reference pixel information”</w:t>
        </w:r>
      </w:hyperlink>
      <w:r w:rsidR="006B3EA1" w:rsidRPr="006B3EA1">
        <w:rPr>
          <w:lang w:val="en-GB"/>
        </w:rPr>
        <w:t xml:space="preserve"> describes the reduced-reference/full-reference video quality estimation model for P.1204 for monitoring the video quality for streaming using reliable transport (e.g. HTTP-based adaptive streaming over TCP, QUIC). The estimate is validated for video encoded with H.264, H.265 or VP9 codecs at any resolution up to 4K/UHD (3840x2160) resolution for PC monitor and TV and up to QHD (2560x1440) for Smartphone and Tablet displays. The standard provides sequence-related (between 5 to 10 sec.) and per-1-second video-quality estimation. In principle, the per-one-second outputs of these video-quality models can be used together with an audio model for integration into </w:t>
      </w:r>
      <w:proofErr w:type="spellStart"/>
      <w:r w:rsidR="006B3EA1" w:rsidRPr="006B3EA1">
        <w:rPr>
          <w:lang w:val="en-GB"/>
        </w:rPr>
        <w:t>audiovisual</w:t>
      </w:r>
      <w:proofErr w:type="spellEnd"/>
      <w:r w:rsidR="006B3EA1" w:rsidRPr="006B3EA1">
        <w:rPr>
          <w:lang w:val="en-GB"/>
        </w:rPr>
        <w:t xml:space="preserve"> quality and, together with information about initial loading delay and media playout stalling events, further into a final per-session model output, an estimate of integral per-session quality (see e.g. ITU-T Recs. P.1203, P.1203.2, P.1203.3). The respective ITU-T work item has formerly been referred to as “</w:t>
      </w:r>
      <w:proofErr w:type="gramStart"/>
      <w:r w:rsidR="006B3EA1" w:rsidRPr="006B3EA1">
        <w:rPr>
          <w:lang w:val="en-GB"/>
        </w:rPr>
        <w:t>P.NATS</w:t>
      </w:r>
      <w:proofErr w:type="gramEnd"/>
      <w:r w:rsidR="006B3EA1" w:rsidRPr="006B3EA1">
        <w:rPr>
          <w:lang w:val="en-GB"/>
        </w:rPr>
        <w:t xml:space="preserve"> Phase 2”, and was conducted in collaboration between ITU-T Study Group 12 and the Video Quality Experts Group (VQEG).</w:t>
      </w:r>
    </w:p>
    <w:p w14:paraId="6704BA89" w14:textId="77777777" w:rsidR="006B3EA1" w:rsidRPr="006B3EA1" w:rsidRDefault="006B3EA1" w:rsidP="006B3EA1">
      <w:pPr>
        <w:widowControl w:val="0"/>
        <w:rPr>
          <w:lang w:val="en-GB"/>
        </w:rPr>
      </w:pPr>
      <w:r w:rsidRPr="006B3EA1">
        <w:rPr>
          <w:lang w:val="en-GB"/>
        </w:rPr>
        <w:t>The ITU-T P.1204.4 Recommendation addresses three application areas:</w:t>
      </w:r>
    </w:p>
    <w:p w14:paraId="3B751926" w14:textId="77777777" w:rsidR="006B3EA1" w:rsidRPr="006B3EA1" w:rsidRDefault="006B3EA1" w:rsidP="006B3EA1">
      <w:pPr>
        <w:widowControl w:val="0"/>
        <w:rPr>
          <w:lang w:val="en-GB"/>
        </w:rPr>
      </w:pPr>
      <w:r w:rsidRPr="006B3EA1">
        <w:rPr>
          <w:lang w:val="en-GB"/>
        </w:rPr>
        <w:t>–</w:t>
      </w:r>
      <w:r w:rsidRPr="006B3EA1">
        <w:rPr>
          <w:lang w:val="en-GB"/>
        </w:rPr>
        <w:tab/>
        <w:t>Large-screen presentation as with fixed-network video streaming</w:t>
      </w:r>
    </w:p>
    <w:p w14:paraId="1652988E" w14:textId="77777777" w:rsidR="006B3EA1" w:rsidRPr="006B3EA1" w:rsidRDefault="006B3EA1" w:rsidP="006B3EA1">
      <w:pPr>
        <w:widowControl w:val="0"/>
        <w:rPr>
          <w:lang w:val="en-GB"/>
        </w:rPr>
      </w:pPr>
      <w:r w:rsidRPr="006B3EA1">
        <w:rPr>
          <w:lang w:val="en-GB"/>
        </w:rPr>
        <w:t>–</w:t>
      </w:r>
      <w:r w:rsidRPr="006B3EA1">
        <w:rPr>
          <w:lang w:val="en-GB"/>
        </w:rPr>
        <w:tab/>
        <w:t>Mobile streaming on handheld devices such as smartphones</w:t>
      </w:r>
    </w:p>
    <w:p w14:paraId="79B33994" w14:textId="77777777" w:rsidR="006B3EA1" w:rsidRPr="006B3EA1" w:rsidRDefault="006B3EA1" w:rsidP="006B3EA1">
      <w:pPr>
        <w:widowControl w:val="0"/>
        <w:rPr>
          <w:lang w:val="en-GB"/>
        </w:rPr>
      </w:pPr>
      <w:r w:rsidRPr="006B3EA1">
        <w:rPr>
          <w:lang w:val="en-GB"/>
        </w:rPr>
        <w:t>–</w:t>
      </w:r>
      <w:r w:rsidRPr="006B3EA1">
        <w:rPr>
          <w:lang w:val="en-GB"/>
        </w:rPr>
        <w:tab/>
        <w:t>Presentation on tablet-type devices.</w:t>
      </w:r>
    </w:p>
    <w:p w14:paraId="6BB4D33B" w14:textId="77777777" w:rsidR="006B3EA1" w:rsidRPr="006B3EA1" w:rsidRDefault="00F60C99" w:rsidP="006B3EA1">
      <w:pPr>
        <w:widowControl w:val="0"/>
        <w:rPr>
          <w:lang w:val="en-GB"/>
        </w:rPr>
      </w:pPr>
      <w:hyperlink r:id="rId333" w:history="1">
        <w:r w:rsidR="006B3EA1" w:rsidRPr="006B3EA1">
          <w:rPr>
            <w:rStyle w:val="Hyperlink"/>
            <w:b/>
            <w:lang w:val="en-GB"/>
          </w:rPr>
          <w:t>ITU-T P.1204.5 “Video quality assessment of streaming services over reliable transport for resolutions up to 4K with access to transport and received pixel information”</w:t>
        </w:r>
      </w:hyperlink>
      <w:r w:rsidR="006B3EA1" w:rsidRPr="006B3EA1">
        <w:rPr>
          <w:lang w:val="en-GB"/>
        </w:rPr>
        <w:t xml:space="preserve"> describes the Hybrid no-reference video quality estimation model for P.1204 for monitoring the video quality for streaming using reliable transport (e.g. HTTP-based adaptive streaming over TCP, QUIC). The estimate is validated for videos encoded with H.264, H.265 or VP9 codecs at any resolution up to 4K/UHD-1 resolution for PC monitors and TV and up to QHD (2560x1440) for Smartphone and Tablet displays. The standard provides sequence-related (between 5 to 10 sec.) and per-1-second video-quality estimation. In principle, the per-one-second outputs of these video-quality models can be used together with an audio model for integration into </w:t>
      </w:r>
      <w:proofErr w:type="spellStart"/>
      <w:r w:rsidR="006B3EA1" w:rsidRPr="006B3EA1">
        <w:rPr>
          <w:lang w:val="en-GB"/>
        </w:rPr>
        <w:t>audiovisual</w:t>
      </w:r>
      <w:proofErr w:type="spellEnd"/>
      <w:r w:rsidR="006B3EA1" w:rsidRPr="006B3EA1">
        <w:rPr>
          <w:lang w:val="en-GB"/>
        </w:rPr>
        <w:t xml:space="preserve"> quality and, together with information about initial loading delay and media playout stalling events, further into a final per-session model output, an estimate of integral per-session quality (see e.g. ITU-T Recs. P.1203, P.1203.2, P.1203.3). The respective ITU-T work item has formerly been referred to as “</w:t>
      </w:r>
      <w:proofErr w:type="gramStart"/>
      <w:r w:rsidR="006B3EA1" w:rsidRPr="006B3EA1">
        <w:rPr>
          <w:lang w:val="en-GB"/>
        </w:rPr>
        <w:t>P.NATS</w:t>
      </w:r>
      <w:proofErr w:type="gramEnd"/>
      <w:r w:rsidR="006B3EA1" w:rsidRPr="006B3EA1">
        <w:rPr>
          <w:lang w:val="en-GB"/>
        </w:rPr>
        <w:t xml:space="preserve"> Phase 2”, and was conducted in collaboration between ITU-T Study Group 12 and the Video Quality Experts Group (VQEG).</w:t>
      </w:r>
    </w:p>
    <w:p w14:paraId="13187101" w14:textId="77777777" w:rsidR="006B3EA1" w:rsidRPr="006B3EA1" w:rsidRDefault="006B3EA1" w:rsidP="006B3EA1">
      <w:pPr>
        <w:widowControl w:val="0"/>
        <w:rPr>
          <w:lang w:val="en-GB"/>
        </w:rPr>
      </w:pPr>
      <w:r w:rsidRPr="006B3EA1">
        <w:rPr>
          <w:lang w:val="en-GB"/>
        </w:rPr>
        <w:t>The ITU-T P.1204-series of Recommendations addresses three application areas:</w:t>
      </w:r>
    </w:p>
    <w:p w14:paraId="2BB3DC80" w14:textId="77777777" w:rsidR="006B3EA1" w:rsidRPr="006B3EA1" w:rsidRDefault="006B3EA1" w:rsidP="006B3EA1">
      <w:pPr>
        <w:widowControl w:val="0"/>
        <w:rPr>
          <w:lang w:val="en-GB"/>
        </w:rPr>
      </w:pPr>
      <w:r w:rsidRPr="006B3EA1">
        <w:rPr>
          <w:lang w:val="en-GB"/>
        </w:rPr>
        <w:t>–</w:t>
      </w:r>
      <w:r w:rsidRPr="006B3EA1">
        <w:rPr>
          <w:lang w:val="en-GB"/>
        </w:rPr>
        <w:tab/>
        <w:t>Large-screen presentation as with fixed-network video streaming</w:t>
      </w:r>
    </w:p>
    <w:p w14:paraId="2E1EE9A0" w14:textId="77777777" w:rsidR="006B3EA1" w:rsidRPr="006B3EA1" w:rsidRDefault="006B3EA1" w:rsidP="006B3EA1">
      <w:pPr>
        <w:widowControl w:val="0"/>
        <w:rPr>
          <w:lang w:val="en-GB"/>
        </w:rPr>
      </w:pPr>
      <w:r w:rsidRPr="006B3EA1">
        <w:rPr>
          <w:lang w:val="en-GB"/>
        </w:rPr>
        <w:t>–</w:t>
      </w:r>
      <w:r w:rsidRPr="006B3EA1">
        <w:rPr>
          <w:lang w:val="en-GB"/>
        </w:rPr>
        <w:tab/>
        <w:t>Mobile streaming on handheld devices such as smartphones</w:t>
      </w:r>
    </w:p>
    <w:p w14:paraId="72F571C5" w14:textId="77777777" w:rsidR="006B3EA1" w:rsidRPr="006B3EA1" w:rsidRDefault="006B3EA1" w:rsidP="006B3EA1">
      <w:pPr>
        <w:widowControl w:val="0"/>
        <w:rPr>
          <w:lang w:val="en-GB"/>
        </w:rPr>
      </w:pPr>
      <w:r w:rsidRPr="006B3EA1">
        <w:rPr>
          <w:lang w:val="en-GB"/>
        </w:rPr>
        <w:lastRenderedPageBreak/>
        <w:t>–</w:t>
      </w:r>
      <w:r w:rsidRPr="006B3EA1">
        <w:rPr>
          <w:lang w:val="en-GB"/>
        </w:rPr>
        <w:tab/>
        <w:t>Presentation on tablet-type devices.</w:t>
      </w:r>
    </w:p>
    <w:p w14:paraId="4D1A79D1" w14:textId="77777777" w:rsidR="006B3EA1" w:rsidRPr="006B3EA1" w:rsidRDefault="00F60C99" w:rsidP="006B3EA1">
      <w:pPr>
        <w:widowControl w:val="0"/>
        <w:rPr>
          <w:lang w:val="en-GB"/>
        </w:rPr>
      </w:pPr>
      <w:hyperlink r:id="rId334" w:history="1">
        <w:r w:rsidR="006B3EA1" w:rsidRPr="006B3EA1">
          <w:rPr>
            <w:rStyle w:val="Hyperlink"/>
            <w:b/>
            <w:lang w:val="en-GB"/>
          </w:rPr>
          <w:t>ITU-T P.1401 (revised) “Methods, metrics and procedures for statistical evaluation, qualification and comparison of objective quality prediction models”</w:t>
        </w:r>
      </w:hyperlink>
      <w:r w:rsidR="006B3EA1" w:rsidRPr="006B3EA1">
        <w:rPr>
          <w:b/>
          <w:lang w:val="en-GB"/>
        </w:rPr>
        <w:t xml:space="preserve">: </w:t>
      </w:r>
      <w:r w:rsidR="006B3EA1" w:rsidRPr="006B3EA1">
        <w:rPr>
          <w:lang w:val="en-GB"/>
        </w:rPr>
        <w:t>A stable and self-sustained statistical evaluation procedure is required in the development of objective quality algorithms. This is required regardless of whether the algorithms will be used for estimating subscriber perception of voice, video, audio or multimedia quality. Recommendation ITU-T P.1401 presents a framework for the statistical evaluation of objective quality algorithms regardless of the assessed media type.</w:t>
      </w:r>
    </w:p>
    <w:p w14:paraId="0BC02C75" w14:textId="77777777" w:rsidR="006B3EA1" w:rsidRPr="006B3EA1" w:rsidRDefault="00F60C99" w:rsidP="006B3EA1">
      <w:pPr>
        <w:widowControl w:val="0"/>
        <w:rPr>
          <w:lang w:val="en-GB"/>
        </w:rPr>
      </w:pPr>
      <w:hyperlink r:id="rId335" w:history="1">
        <w:r w:rsidR="006B3EA1" w:rsidRPr="006B3EA1">
          <w:rPr>
            <w:rStyle w:val="Hyperlink"/>
            <w:b/>
            <w:lang w:val="en-GB"/>
          </w:rPr>
          <w:t xml:space="preserve">ITU-T P.1502 “Methodology for </w:t>
        </w:r>
        <w:proofErr w:type="spellStart"/>
        <w:r w:rsidR="006B3EA1" w:rsidRPr="006B3EA1">
          <w:rPr>
            <w:rStyle w:val="Hyperlink"/>
            <w:b/>
            <w:lang w:val="en-GB"/>
          </w:rPr>
          <w:t>QoE</w:t>
        </w:r>
        <w:proofErr w:type="spellEnd"/>
        <w:r w:rsidR="006B3EA1" w:rsidRPr="006B3EA1">
          <w:rPr>
            <w:rStyle w:val="Hyperlink"/>
            <w:b/>
            <w:lang w:val="en-GB"/>
          </w:rPr>
          <w:t xml:space="preserve"> testing of digital financial services”</w:t>
        </w:r>
      </w:hyperlink>
      <w:r w:rsidR="006B3EA1" w:rsidRPr="006B3EA1">
        <w:rPr>
          <w:lang w:val="en-GB"/>
        </w:rPr>
        <w:t xml:space="preserve"> is based on the end-to-end QoS KPI definitions first published in [b-DFS TR]. It details the methodology and connects to a field test using this methodology, which has been conducted in Ghana in the first half of 2018. Money transfer from end user’s devices to other devices or to other entities has become an important element of everyday life in many countries. This service, however, relies on the functionality of mobile networks. Therefore, a connection exists between the functioning, QoS and </w:t>
      </w:r>
      <w:proofErr w:type="spellStart"/>
      <w:r w:rsidR="006B3EA1" w:rsidRPr="006B3EA1">
        <w:rPr>
          <w:lang w:val="en-GB"/>
        </w:rPr>
        <w:t>QoE</w:t>
      </w:r>
      <w:proofErr w:type="spellEnd"/>
      <w:r w:rsidR="006B3EA1" w:rsidRPr="006B3EA1">
        <w:rPr>
          <w:lang w:val="en-GB"/>
        </w:rPr>
        <w:t xml:space="preserve"> of money transfer services, and the QoS and proper functioning of those mobile networks, and respective quality metrics and testing methodologies need to be defined. The main part of the present Recommendation describes the testing methodology.</w:t>
      </w:r>
    </w:p>
    <w:p w14:paraId="66763CB3" w14:textId="2451A772" w:rsidR="006B3EA1" w:rsidRPr="006B3EA1" w:rsidRDefault="00F60C99" w:rsidP="006B3EA1">
      <w:pPr>
        <w:widowControl w:val="0"/>
        <w:rPr>
          <w:lang w:val="en-GB"/>
        </w:rPr>
      </w:pPr>
      <w:hyperlink r:id="rId336" w:history="1">
        <w:r w:rsidR="006B3EA1" w:rsidRPr="006B3EA1">
          <w:rPr>
            <w:rStyle w:val="Hyperlink"/>
            <w:b/>
            <w:lang w:val="en-GB"/>
          </w:rPr>
          <w:t>ITU-T Y.1540 (revised) “Internet protocol data communication service - IP packet transfer and availability performance parameters”</w:t>
        </w:r>
      </w:hyperlink>
      <w:r w:rsidR="006B3EA1" w:rsidRPr="006B3EA1">
        <w:rPr>
          <w:lang w:val="en-GB"/>
        </w:rPr>
        <w:t xml:space="preserve"> defines parameters that may be used in specifying and assessing the performance of speed, accuracy, dependability and availability of IP packet transfer of regional and international Internet protocol (IP) data communication services. The defined parameters apply to end-to-end, point-to-point IP service and to the network portions that provide, or contribute to the provision of, such service in accordance with the normative references specified in clause 2. Connectionless transport is a distinguishing aspect of the IP service that is considered in this Recommendation. Following over 20 years as an in-force Recommendation, the 2019 Edition recognizes many changes in the design of IP services and in the protocols employed by end-users. It introduces the new Annex A that defines IP Capacity parameters in ways that cater toward </w:t>
      </w:r>
      <w:proofErr w:type="gramStart"/>
      <w:r w:rsidR="006B3EA1" w:rsidRPr="006B3EA1">
        <w:rPr>
          <w:lang w:val="en-GB"/>
        </w:rPr>
        <w:t>assessment, and</w:t>
      </w:r>
      <w:proofErr w:type="gramEnd"/>
      <w:r w:rsidR="006B3EA1" w:rsidRPr="006B3EA1">
        <w:rPr>
          <w:lang w:val="en-GB"/>
        </w:rPr>
        <w:t xml:space="preserve"> provides requirements for methods of measurement of IP Capacity. This new Annex is the result of years of study, and application of ITU-T Study Group 12 principles of accurately evaluating performance parameters and methods of measurement against a “ground truth” reference in laboratory and field measurements.</w:t>
      </w:r>
    </w:p>
    <w:p w14:paraId="610381B5" w14:textId="77777777" w:rsidR="006B3EA1" w:rsidRPr="006B3EA1" w:rsidRDefault="006B3EA1" w:rsidP="006B3EA1">
      <w:pPr>
        <w:widowControl w:val="0"/>
        <w:rPr>
          <w:lang w:val="en-GB"/>
        </w:rPr>
      </w:pPr>
      <w:r w:rsidRPr="006B3EA1">
        <w:rPr>
          <w:b/>
          <w:lang w:val="en-GB"/>
        </w:rPr>
        <w:t>ITU-T Y.1540 Amd.1 “Internet protocol data communication service - IP packet transfer and availability performance parameters - Amendment 1 - Amendment 1: New Annex B – Additional search algorithm for IP-based capacity parameters and methods of measurement”</w:t>
      </w:r>
      <w:r w:rsidRPr="006B3EA1">
        <w:rPr>
          <w:lang w:val="en-GB"/>
        </w:rPr>
        <w:t xml:space="preserve"> </w:t>
      </w:r>
      <w:r w:rsidRPr="006B3EA1">
        <w:rPr>
          <w:b/>
          <w:lang w:val="en-GB"/>
        </w:rPr>
        <w:t>(under approval)</w:t>
      </w:r>
      <w:r w:rsidRPr="006B3EA1">
        <w:rPr>
          <w:lang w:val="en-GB"/>
        </w:rPr>
        <w:t>: The latest Edition of Recommendation ITU-T Y.1540 incorporates many updates based on the plan to qualify and compare access measurement metrics, methods, models, and tools in a stable and repeatable laboratory environment. Amendment 1 introduces Annex B, which provides a second, more capable search algorithm for the IP capacity method of measurement defined in Annex A.</w:t>
      </w:r>
    </w:p>
    <w:p w14:paraId="5E93DF0F" w14:textId="77777777" w:rsidR="006B3EA1" w:rsidRPr="006B3EA1" w:rsidRDefault="006B3EA1" w:rsidP="006B3EA1">
      <w:pPr>
        <w:widowControl w:val="0"/>
        <w:rPr>
          <w:lang w:val="en-GB"/>
        </w:rPr>
      </w:pPr>
      <w:r w:rsidRPr="006B3EA1">
        <w:rPr>
          <w:b/>
          <w:lang w:val="en-GB"/>
        </w:rPr>
        <w:t xml:space="preserve">ITU-T Technical Report PSTR-PXNR “No-reference pixel-based video quality estimation algorithm” (under publication) </w:t>
      </w:r>
      <w:r w:rsidRPr="006B3EA1">
        <w:rPr>
          <w:lang w:val="en-GB"/>
        </w:rPr>
        <w:t xml:space="preserve">describes the best submission to the P.NATS phase 2 competition for a no-reference pixel-based video quality estimation module, where the winning contributions are intended to be included in the P.1200-series. The ITU-T P.1203-series of Recommendations specifies modules for a set of model algorithms for monitoring the integral media session quality for transport control protocol (TCP) type video streaming. The use case for the module included in this contribution is </w:t>
      </w:r>
      <w:proofErr w:type="gramStart"/>
      <w:r w:rsidRPr="006B3EA1">
        <w:rPr>
          <w:lang w:val="en-GB"/>
        </w:rPr>
        <w:t>similar to</w:t>
      </w:r>
      <w:proofErr w:type="gramEnd"/>
      <w:r w:rsidRPr="006B3EA1">
        <w:rPr>
          <w:lang w:val="en-GB"/>
        </w:rPr>
        <w:t xml:space="preserve"> that of the P.1203.1 modules, estimating the short-term subjective video quality. During the selection process the module presented herein was the best performing in its group (no-reference pixel-based MOS estimators). However, it is not included in the final Recommendation since the performance was lower than what had been a-priori decided by the group as a minimum-performance criterion. The algorithm and resulting performance numbers are </w:t>
      </w:r>
      <w:r w:rsidRPr="006B3EA1">
        <w:rPr>
          <w:lang w:val="en-GB"/>
        </w:rPr>
        <w:lastRenderedPageBreak/>
        <w:t>instead published as an open ITU-T Technical Report so future modelling work can build on the results from this project. Also, a more appropriate minimum performance criteria can be based on this report, instead of using something more ill-fitting for a purely pixel-based use case, such as encoded bit rate. A Python implementation of the module has been included in an Appendix for reference.</w:t>
      </w:r>
    </w:p>
    <w:p w14:paraId="69E12846" w14:textId="77777777" w:rsidR="006B3EA1" w:rsidRPr="006B3EA1" w:rsidRDefault="006B3EA1" w:rsidP="006B3EA1">
      <w:pPr>
        <w:pStyle w:val="Headingb"/>
      </w:pPr>
      <w:bookmarkStart w:id="261" w:name="_Toc480527909"/>
      <w:r w:rsidRPr="006B3EA1">
        <w:t>I.9</w:t>
      </w:r>
      <w:r w:rsidRPr="006B3EA1">
        <w:tab/>
        <w:t>Conformity, interoperability and testing</w:t>
      </w:r>
      <w:bookmarkEnd w:id="261"/>
    </w:p>
    <w:p w14:paraId="7DD2FFDC" w14:textId="77777777" w:rsidR="006B3EA1" w:rsidRPr="006B3EA1" w:rsidRDefault="006B3EA1" w:rsidP="006B3EA1">
      <w:pPr>
        <w:pStyle w:val="Headingb"/>
      </w:pPr>
      <w:r w:rsidRPr="006B3EA1">
        <w:t>I.9.3</w:t>
      </w:r>
      <w:r w:rsidRPr="006B3EA1">
        <w:tab/>
        <w:t>SIP-IMS conformity assessment and interconnection testing</w:t>
      </w:r>
    </w:p>
    <w:p w14:paraId="22AE937C" w14:textId="77777777" w:rsidR="006B3EA1" w:rsidRPr="006B3EA1" w:rsidRDefault="00F60C99" w:rsidP="006B3EA1">
      <w:pPr>
        <w:rPr>
          <w:szCs w:val="24"/>
          <w:lang w:val="en-GB"/>
        </w:rPr>
      </w:pPr>
      <w:hyperlink r:id="rId337" w:history="1">
        <w:r w:rsidR="006B3EA1" w:rsidRPr="006B3EA1">
          <w:rPr>
            <w:rStyle w:val="Hyperlink"/>
            <w:b/>
            <w:szCs w:val="24"/>
            <w:lang w:val="en-GB"/>
          </w:rPr>
          <w:t>ITU-T Q.Suppl.71 “Testing methodologies of Internet related performance measurements including e2e bit rate within the fixed and mobile operator’s networks”</w:t>
        </w:r>
      </w:hyperlink>
      <w:r w:rsidR="006B3EA1" w:rsidRPr="006B3EA1">
        <w:rPr>
          <w:szCs w:val="24"/>
          <w:lang w:val="en-GB"/>
        </w:rPr>
        <w:t xml:space="preserve"> describes the testing procedures of data transmission speed within the fixed and mobile operator’s networks which can be established at the national or international level, providing customers of the existing public telecom networks the possibility to estimate the access related performance. The proposed methodology is based on the concept of the ITU-T Q.3960 “Framework of Internet related performance measurements” (2016)</w:t>
      </w:r>
    </w:p>
    <w:p w14:paraId="1E5CB991" w14:textId="77777777" w:rsidR="006B3EA1" w:rsidRPr="006B3EA1" w:rsidRDefault="006B3EA1" w:rsidP="006B3EA1">
      <w:pPr>
        <w:rPr>
          <w:szCs w:val="24"/>
          <w:lang w:val="en-GB"/>
        </w:rPr>
      </w:pPr>
      <w:r w:rsidRPr="006B3EA1">
        <w:rPr>
          <w:b/>
          <w:szCs w:val="24"/>
          <w:lang w:val="en-GB"/>
        </w:rPr>
        <w:t>ITU-T Technical Paper TP-TEST-UE-MS</w:t>
      </w:r>
      <w:r w:rsidRPr="006B3EA1" w:rsidDel="00A17597">
        <w:rPr>
          <w:b/>
          <w:szCs w:val="24"/>
          <w:lang w:val="en-GB"/>
        </w:rPr>
        <w:t xml:space="preserve"> </w:t>
      </w:r>
      <w:r w:rsidRPr="006B3EA1">
        <w:rPr>
          <w:b/>
          <w:szCs w:val="24"/>
          <w:lang w:val="en-GB"/>
        </w:rPr>
        <w:t xml:space="preserve">“Guideline for general test procedure and specification for measurements of the LTE, 3G/2G user Equipment/mobile stations (UE/MS) for over-the-air performance testing” (under publication), </w:t>
      </w:r>
      <w:r w:rsidRPr="006B3EA1">
        <w:rPr>
          <w:szCs w:val="24"/>
          <w:lang w:val="en-GB"/>
        </w:rPr>
        <w:t>which gives an analysis of the work in relevant standardisation organisations (SDOs) and a survey of the requirements, and then describes a common testing methodology for LTE, 3G/2G User Equipment/Mobile Stations (UE/MS) for over-the air (OTA) performance testing.</w:t>
      </w:r>
    </w:p>
    <w:p w14:paraId="6647A805" w14:textId="129467AD" w:rsidR="006B3EA1" w:rsidRPr="006B3EA1" w:rsidRDefault="00F60C99" w:rsidP="006B3EA1">
      <w:pPr>
        <w:rPr>
          <w:lang w:eastAsia="en-GB"/>
        </w:rPr>
      </w:pPr>
      <w:hyperlink r:id="rId338" w:history="1">
        <w:r w:rsidR="006B3EA1" w:rsidRPr="006B3EA1">
          <w:rPr>
            <w:rStyle w:val="Hyperlink"/>
            <w:b/>
            <w:lang w:eastAsia="en-GB"/>
          </w:rPr>
          <w:t>ITU-T Guideline on “ITU-T CASC procedure to appoint ITU-T technical experts”</w:t>
        </w:r>
      </w:hyperlink>
      <w:r w:rsidR="006B3EA1" w:rsidRPr="006B3EA1">
        <w:rPr>
          <w:b/>
          <w:lang w:eastAsia="en-GB"/>
        </w:rPr>
        <w:t xml:space="preserve"> (revised) </w:t>
      </w:r>
      <w:r w:rsidR="006B3EA1" w:rsidRPr="006B3EA1">
        <w:rPr>
          <w:lang w:eastAsia="en-GB"/>
        </w:rPr>
        <w:t xml:space="preserve">describes the procedures to appoint an ITU-T technical expert to be involved in the TL assessment teams of existing conformity assessment </w:t>
      </w:r>
      <w:proofErr w:type="spellStart"/>
      <w:r w:rsidR="006B3EA1" w:rsidRPr="006B3EA1">
        <w:rPr>
          <w:lang w:eastAsia="en-GB"/>
        </w:rPr>
        <w:t>programmes</w:t>
      </w:r>
      <w:proofErr w:type="spellEnd"/>
      <w:r w:rsidR="006B3EA1" w:rsidRPr="006B3EA1">
        <w:rPr>
          <w:lang w:eastAsia="en-GB"/>
        </w:rPr>
        <w:t xml:space="preserve"> (e.g. ILAC, IECEE, etc.), for assessing /checking the competence of Testing Laboratories which requested such recognition against one or a set of ITU-T Recommendation(s).</w:t>
      </w:r>
    </w:p>
    <w:p w14:paraId="6605B86E" w14:textId="77777777" w:rsidR="006B3EA1" w:rsidRPr="006B3EA1" w:rsidRDefault="006B3EA1" w:rsidP="006B3EA1">
      <w:pPr>
        <w:pStyle w:val="Headingb"/>
      </w:pPr>
      <w:r w:rsidRPr="006B3EA1">
        <w:t>I.9.8</w:t>
      </w:r>
      <w:r w:rsidRPr="006B3EA1">
        <w:tab/>
        <w:t>Testing Internet of things</w:t>
      </w:r>
    </w:p>
    <w:p w14:paraId="04815464" w14:textId="77777777" w:rsidR="006B3EA1" w:rsidRPr="006B3EA1" w:rsidRDefault="006B3EA1" w:rsidP="006B3EA1">
      <w:pPr>
        <w:pStyle w:val="Headingb"/>
      </w:pPr>
      <w:r w:rsidRPr="006B3EA1">
        <w:t>I.9.9</w:t>
      </w:r>
      <w:r w:rsidRPr="006B3EA1">
        <w:tab/>
        <w:t>Testing energy efficiency of base stations</w:t>
      </w:r>
    </w:p>
    <w:p w14:paraId="708F408A" w14:textId="77777777" w:rsidR="006B3EA1" w:rsidRPr="006B3EA1" w:rsidRDefault="006B3EA1" w:rsidP="006B3EA1">
      <w:pPr>
        <w:pStyle w:val="Headingb"/>
      </w:pPr>
      <w:r w:rsidRPr="006B3EA1">
        <w:t>I.9.10</w:t>
      </w:r>
      <w:r w:rsidRPr="006B3EA1">
        <w:tab/>
        <w:t>Testing cloud computing</w:t>
      </w:r>
    </w:p>
    <w:p w14:paraId="42ABE186" w14:textId="77777777" w:rsidR="006B3EA1" w:rsidRPr="006B3EA1" w:rsidRDefault="006B3EA1" w:rsidP="006B3EA1">
      <w:pPr>
        <w:pStyle w:val="Headingb"/>
      </w:pPr>
      <w:r w:rsidRPr="006B3EA1">
        <w:t>I.9.11</w:t>
      </w:r>
      <w:r w:rsidRPr="006B3EA1">
        <w:tab/>
        <w:t>Testing SDN</w:t>
      </w:r>
    </w:p>
    <w:p w14:paraId="56F7A107" w14:textId="77777777" w:rsidR="006B3EA1" w:rsidRPr="006B3EA1" w:rsidRDefault="006B3EA1" w:rsidP="006B3EA1">
      <w:pPr>
        <w:pStyle w:val="Headingb"/>
      </w:pPr>
      <w:r w:rsidRPr="006B3EA1">
        <w:t>I.10</w:t>
      </w:r>
      <w:r w:rsidRPr="006B3EA1">
        <w:tab/>
        <w:t>Mainstreaming accessibility in ICTs</w:t>
      </w:r>
    </w:p>
    <w:p w14:paraId="74E97117" w14:textId="77777777" w:rsidR="006B3EA1" w:rsidRPr="006B3EA1" w:rsidRDefault="006B3EA1" w:rsidP="006B3EA1">
      <w:pPr>
        <w:pStyle w:val="Headingb"/>
      </w:pPr>
      <w:r w:rsidRPr="006B3EA1">
        <w:t>I.11</w:t>
      </w:r>
      <w:r w:rsidRPr="006B3EA1">
        <w:tab/>
        <w:t>Combating Counterfeiting</w:t>
      </w:r>
    </w:p>
    <w:p w14:paraId="3AA4809C" w14:textId="77777777" w:rsidR="006B3EA1" w:rsidRPr="006B3EA1" w:rsidRDefault="006B3EA1" w:rsidP="006B3EA1">
      <w:pPr>
        <w:rPr>
          <w:lang w:val="en-GB" w:eastAsia="en-US"/>
        </w:rPr>
      </w:pPr>
      <w:r w:rsidRPr="006B3EA1">
        <w:rPr>
          <w:b/>
          <w:lang w:val="en-GB" w:eastAsia="en-US"/>
        </w:rPr>
        <w:t>ITU-T Q.5051 “Framework for combating the use of stolen mobile devices” (under approval)</w:t>
      </w:r>
      <w:r w:rsidRPr="006B3EA1">
        <w:rPr>
          <w:lang w:val="en-GB" w:eastAsia="en-US"/>
        </w:rPr>
        <w:t>: With the increased functions and capabilities available on mobile devices, the importance and usage of these devices in people’s daily lives have been growing in recent years. As a side effect, we also observe the rise, in some countries, of actions aimed to steal these devices and generate profit, not only by selling the equipment itself but also by illegally using the information contained on it.</w:t>
      </w:r>
    </w:p>
    <w:p w14:paraId="53E6A0E2" w14:textId="77777777" w:rsidR="006B3EA1" w:rsidRPr="006B3EA1" w:rsidRDefault="006B3EA1" w:rsidP="006B3EA1">
      <w:pPr>
        <w:rPr>
          <w:lang w:val="en-GB" w:eastAsia="en-US"/>
        </w:rPr>
      </w:pPr>
      <w:r w:rsidRPr="006B3EA1">
        <w:rPr>
          <w:lang w:val="en-GB" w:eastAsia="en-US"/>
        </w:rPr>
        <w:t>As a response, initiatives are needed to deter the theft and reuse of stolen mobile devices and to protect the consumer data stored on these devices against illegal use. Besides, since it is common to have devices stolen in one country, that may have deployed solutions to mitigate the use of stolen devices, sold into other countries or even regions where similar mitigation measures may not have been taken, it is critical to the success of such initiatives to have coordination and information sharing between the governments and operators from different countries that aims to combat the theft and reuse of stolen mobile devices in a global environment. Otherwise, there is a risk that the illegal trade of stolen devices across borders.</w:t>
      </w:r>
    </w:p>
    <w:p w14:paraId="51B6F17E" w14:textId="77777777" w:rsidR="006B3EA1" w:rsidRPr="006B3EA1" w:rsidRDefault="006B3EA1" w:rsidP="006B3EA1">
      <w:pPr>
        <w:rPr>
          <w:lang w:val="en-GB" w:eastAsia="en-US"/>
        </w:rPr>
      </w:pPr>
      <w:r w:rsidRPr="006B3EA1">
        <w:rPr>
          <w:lang w:val="en-GB" w:eastAsia="en-US"/>
        </w:rPr>
        <w:lastRenderedPageBreak/>
        <w:t>It is important to note that, since most solutions deployed today to deter the device theft and reuse problem rely on unique identifier lists, a common action taken by the traffickers to bypass these actions is to tamper with the device to alter its unique identifier, sometimes choosing an identifier already in use by a legitimate device, to allow the equipment to return to the market and to connect to mobile networks.</w:t>
      </w:r>
    </w:p>
    <w:p w14:paraId="725B3E1F" w14:textId="77777777" w:rsidR="006B3EA1" w:rsidRPr="006B3EA1" w:rsidRDefault="006B3EA1" w:rsidP="006B3EA1">
      <w:pPr>
        <w:rPr>
          <w:lang w:val="en-GB" w:eastAsia="en-US"/>
        </w:rPr>
      </w:pPr>
      <w:r w:rsidRPr="006B3EA1">
        <w:rPr>
          <w:lang w:val="en-GB" w:eastAsia="en-US"/>
        </w:rPr>
        <w:t>In response to this scenario, many countries around the world are engaged not only in combating the use of stolen mobile devices, but also in preventing the devices with unauthorized reprogrammed unique identifiers, commonly described as tampered identifiers, from returning to the network. Meanwhile governments in other countries are challenged and unclear on the best strategies to adopt, mainly due to a lack of knowledge or expertise to understand the issue and the possible solutions, and to make informed choices to deploy solutions, tailored for their individual countries, that could be effective. In this sense, guidelines are necessary to address this challenge, as indicated on the WTSA Resolution 97 (</w:t>
      </w:r>
      <w:proofErr w:type="spellStart"/>
      <w:r w:rsidRPr="006B3EA1">
        <w:rPr>
          <w:lang w:val="en-GB" w:eastAsia="en-US"/>
        </w:rPr>
        <w:t>Hammamet</w:t>
      </w:r>
      <w:proofErr w:type="spellEnd"/>
      <w:r w:rsidRPr="006B3EA1">
        <w:rPr>
          <w:lang w:val="en-GB" w:eastAsia="en-US"/>
        </w:rPr>
        <w:t>, 2016).</w:t>
      </w:r>
    </w:p>
    <w:p w14:paraId="316B12D0" w14:textId="77777777" w:rsidR="006B3EA1" w:rsidRPr="006B3EA1" w:rsidRDefault="006B3EA1" w:rsidP="006B3EA1">
      <w:pPr>
        <w:rPr>
          <w:lang w:val="en-GB" w:eastAsia="en-US"/>
        </w:rPr>
      </w:pPr>
      <w:r w:rsidRPr="006B3EA1">
        <w:rPr>
          <w:lang w:val="en-GB" w:eastAsia="en-US"/>
        </w:rPr>
        <w:t>For all the above, the present recommendation proposes a framework composed of requirements and a broad range of comprehensive and recommended measures that can be taken and applied to combat the theft and reuse of stolen mobile devices.</w:t>
      </w:r>
    </w:p>
    <w:p w14:paraId="73BD9099" w14:textId="77777777" w:rsidR="006B3EA1" w:rsidRPr="006B3EA1" w:rsidRDefault="006B3EA1" w:rsidP="006B3EA1">
      <w:pPr>
        <w:pStyle w:val="Headingb"/>
      </w:pPr>
      <w:r w:rsidRPr="006B3EA1">
        <w:t>I.12</w:t>
      </w:r>
      <w:r w:rsidRPr="006B3EA1">
        <w:tab/>
        <w:t>Signalling Protocols</w:t>
      </w:r>
    </w:p>
    <w:p w14:paraId="4A613205" w14:textId="77777777" w:rsidR="006B3EA1" w:rsidRPr="006B3EA1" w:rsidRDefault="00F60C99" w:rsidP="006B3EA1">
      <w:pPr>
        <w:rPr>
          <w:szCs w:val="24"/>
          <w:lang w:val="en-GB"/>
        </w:rPr>
      </w:pPr>
      <w:hyperlink r:id="rId339" w:history="1">
        <w:r w:rsidR="006B3EA1" w:rsidRPr="006B3EA1">
          <w:rPr>
            <w:rStyle w:val="Hyperlink"/>
            <w:b/>
            <w:szCs w:val="24"/>
            <w:lang w:val="en-GB"/>
          </w:rPr>
          <w:t>ITU-T Q.3055 “Signalling protocol for Heterogeneous IoT gateways”</w:t>
        </w:r>
      </w:hyperlink>
      <w:r w:rsidR="006B3EA1" w:rsidRPr="006B3EA1">
        <w:rPr>
          <w:szCs w:val="24"/>
          <w:lang w:val="en-GB"/>
        </w:rPr>
        <w:t xml:space="preserve"> describes the signalling protocol for heterogeneous IoT gateways.</w:t>
      </w:r>
    </w:p>
    <w:p w14:paraId="0DC8CE26" w14:textId="77777777" w:rsidR="006B3EA1" w:rsidRPr="006B3EA1" w:rsidRDefault="00F60C99" w:rsidP="006B3EA1">
      <w:pPr>
        <w:rPr>
          <w:szCs w:val="24"/>
          <w:lang w:val="en-GB"/>
        </w:rPr>
      </w:pPr>
      <w:hyperlink r:id="rId340" w:history="1">
        <w:r w:rsidR="006B3EA1" w:rsidRPr="006B3EA1">
          <w:rPr>
            <w:rStyle w:val="Hyperlink"/>
            <w:b/>
            <w:szCs w:val="24"/>
            <w:lang w:val="en-GB"/>
          </w:rPr>
          <w:t>ITU-T Q.3056 “Signalling procedures of the probes to be used for remote testing of network parameters”</w:t>
        </w:r>
      </w:hyperlink>
      <w:r w:rsidR="006B3EA1" w:rsidRPr="006B3EA1">
        <w:rPr>
          <w:szCs w:val="24"/>
          <w:lang w:val="en-GB"/>
        </w:rPr>
        <w:t xml:space="preserve"> describes architecture and </w:t>
      </w:r>
      <w:proofErr w:type="spellStart"/>
      <w:r w:rsidR="006B3EA1" w:rsidRPr="006B3EA1">
        <w:rPr>
          <w:szCs w:val="24"/>
          <w:lang w:val="en-GB"/>
        </w:rPr>
        <w:t>signaling</w:t>
      </w:r>
      <w:proofErr w:type="spellEnd"/>
      <w:r w:rsidR="006B3EA1" w:rsidRPr="006B3EA1">
        <w:rPr>
          <w:szCs w:val="24"/>
          <w:lang w:val="en-GB"/>
        </w:rPr>
        <w:t xml:space="preserve"> procedures to be used for remote testing of network parameters utilizing probes. These procedures include the execution of testing, testing profile templates, storing of measurement results, and authorized access for users to test results. These procedures enable a probe to function as a “black box” recording all events on the subscriber side, and suitable for a trusted system in resolving disputes between various ICT stakeholders.</w:t>
      </w:r>
    </w:p>
    <w:p w14:paraId="6B994398" w14:textId="3FCED342" w:rsidR="006B3EA1" w:rsidRPr="006B3EA1" w:rsidRDefault="00F60C99" w:rsidP="006B3EA1">
      <w:pPr>
        <w:rPr>
          <w:szCs w:val="24"/>
          <w:lang w:val="en-GB"/>
        </w:rPr>
      </w:pPr>
      <w:hyperlink r:id="rId341" w:history="1">
        <w:r w:rsidR="006B3EA1" w:rsidRPr="006B3EA1">
          <w:rPr>
            <w:rStyle w:val="Hyperlink"/>
            <w:b/>
            <w:szCs w:val="24"/>
            <w:lang w:val="en-GB"/>
          </w:rPr>
          <w:t>ITU-T Q.3644 “Requirements for signalling network analyses and optimization in VoLTE”</w:t>
        </w:r>
      </w:hyperlink>
      <w:r w:rsidR="006B3EA1" w:rsidRPr="006B3EA1">
        <w:rPr>
          <w:szCs w:val="24"/>
          <w:lang w:val="en-GB"/>
        </w:rPr>
        <w:t xml:space="preserve"> specifies the requirements for signalling network analyses and optimization in Voice over LTE (VoLTE) in which the signalling network refers to the network entities and the signalling exchange which are related to telecommunications services. This Recommendation covers the aspects of overview on signalling network, requirements for signalling collecting, requirements for signalling network analyses, requirements for signalling network optimization and general security considerations in VoLTE.</w:t>
      </w:r>
    </w:p>
    <w:p w14:paraId="71C31C78" w14:textId="77777777" w:rsidR="006B3EA1" w:rsidRPr="006B3EA1" w:rsidRDefault="00F60C99" w:rsidP="006B3EA1">
      <w:pPr>
        <w:rPr>
          <w:szCs w:val="24"/>
          <w:lang w:val="en-GB"/>
        </w:rPr>
      </w:pPr>
      <w:hyperlink r:id="rId342" w:history="1">
        <w:r w:rsidR="006B3EA1" w:rsidRPr="006B3EA1">
          <w:rPr>
            <w:rStyle w:val="Hyperlink"/>
            <w:b/>
            <w:szCs w:val="24"/>
            <w:lang w:val="en-GB"/>
          </w:rPr>
          <w:t xml:space="preserve">ITU-T Q.3719 “Signalling requirements for the separation of control plane and user plane in </w:t>
        </w:r>
        <w:proofErr w:type="spellStart"/>
        <w:r w:rsidR="006B3EA1" w:rsidRPr="006B3EA1">
          <w:rPr>
            <w:rStyle w:val="Hyperlink"/>
            <w:b/>
            <w:szCs w:val="24"/>
            <w:lang w:val="en-GB"/>
          </w:rPr>
          <w:t>vBNG</w:t>
        </w:r>
        <w:proofErr w:type="spellEnd"/>
        <w:r w:rsidR="006B3EA1" w:rsidRPr="006B3EA1">
          <w:rPr>
            <w:rStyle w:val="Hyperlink"/>
            <w:b/>
            <w:szCs w:val="24"/>
            <w:lang w:val="en-GB"/>
          </w:rPr>
          <w:t xml:space="preserve"> (Broadband Network Gateway)”</w:t>
        </w:r>
      </w:hyperlink>
      <w:r w:rsidR="006B3EA1" w:rsidRPr="006B3EA1">
        <w:rPr>
          <w:b/>
          <w:szCs w:val="24"/>
          <w:lang w:val="en-GB"/>
        </w:rPr>
        <w:t xml:space="preserve"> </w:t>
      </w:r>
      <w:r w:rsidR="006B3EA1" w:rsidRPr="006B3EA1">
        <w:rPr>
          <w:szCs w:val="24"/>
          <w:lang w:val="en-GB"/>
        </w:rPr>
        <w:t xml:space="preserve">specifies architecture, signalling requirements and information flows for the separation of control plane and user plane in </w:t>
      </w:r>
      <w:proofErr w:type="spellStart"/>
      <w:r w:rsidR="006B3EA1" w:rsidRPr="006B3EA1">
        <w:rPr>
          <w:szCs w:val="24"/>
          <w:lang w:val="en-GB"/>
        </w:rPr>
        <w:t>vBNG</w:t>
      </w:r>
      <w:proofErr w:type="spellEnd"/>
      <w:r w:rsidR="006B3EA1" w:rsidRPr="006B3EA1">
        <w:rPr>
          <w:szCs w:val="24"/>
          <w:lang w:val="en-GB"/>
        </w:rPr>
        <w:t xml:space="preserve"> (Broadband Network Gateway).</w:t>
      </w:r>
    </w:p>
    <w:p w14:paraId="65282A57" w14:textId="77777777" w:rsidR="006B3EA1" w:rsidRPr="006B3EA1" w:rsidRDefault="00F60C99" w:rsidP="006B3EA1">
      <w:pPr>
        <w:rPr>
          <w:szCs w:val="24"/>
          <w:lang w:val="en-GB"/>
        </w:rPr>
      </w:pPr>
      <w:hyperlink r:id="rId343" w:history="1">
        <w:r w:rsidR="006B3EA1" w:rsidRPr="006B3EA1">
          <w:rPr>
            <w:rStyle w:val="Hyperlink"/>
            <w:b/>
            <w:szCs w:val="24"/>
            <w:lang w:val="en-GB"/>
          </w:rPr>
          <w:t>ITU-T Q.3916 “Signalling requirements and architecture for the Internet service quality monitoring system”</w:t>
        </w:r>
      </w:hyperlink>
      <w:r w:rsidR="006B3EA1" w:rsidRPr="006B3EA1">
        <w:rPr>
          <w:b/>
          <w:szCs w:val="24"/>
          <w:lang w:val="en-GB"/>
        </w:rPr>
        <w:t>:</w:t>
      </w:r>
      <w:r w:rsidR="006B3EA1" w:rsidRPr="006B3EA1">
        <w:rPr>
          <w:szCs w:val="24"/>
          <w:lang w:val="en-GB"/>
        </w:rPr>
        <w:t xml:space="preserve"> Quality of Service (QoS) of Internet services (e.g., web and OTT video) has been attracting attentions of the Internet Service Provider (ISP) and the Internet Content Provider (ICP). To evaluate the above QoS, this Recommendation defines the architecture and signalling requirements of the Internet Service Quality Monitoring (SQM) system. Components, interfaces and interactions among components of the SQM system are described in detail in this Recommendation.</w:t>
      </w:r>
    </w:p>
    <w:p w14:paraId="50ED4A75" w14:textId="77777777" w:rsidR="006B3EA1" w:rsidRPr="006B3EA1" w:rsidRDefault="00F60C99" w:rsidP="006B3EA1">
      <w:pPr>
        <w:rPr>
          <w:szCs w:val="24"/>
          <w:lang w:val="en-GB"/>
        </w:rPr>
      </w:pPr>
      <w:hyperlink r:id="rId344" w:history="1">
        <w:r w:rsidR="006B3EA1" w:rsidRPr="006B3EA1">
          <w:rPr>
            <w:rStyle w:val="Hyperlink"/>
            <w:b/>
            <w:szCs w:val="24"/>
            <w:lang w:val="en-GB"/>
          </w:rPr>
          <w:t>ITU-T Q.5002 “Signalling requirement and architecture for media service entity attachment”</w:t>
        </w:r>
      </w:hyperlink>
      <w:r w:rsidR="006B3EA1" w:rsidRPr="006B3EA1">
        <w:rPr>
          <w:b/>
          <w:szCs w:val="24"/>
          <w:lang w:val="en-GB"/>
        </w:rPr>
        <w:t>:</w:t>
      </w:r>
      <w:r w:rsidR="006B3EA1" w:rsidRPr="006B3EA1">
        <w:rPr>
          <w:szCs w:val="24"/>
          <w:lang w:val="en-GB"/>
        </w:rPr>
        <w:t xml:space="preserve"> Media service providers for different service technologies have always been developing independently in order to satisfy the requirements of their platform and become different verticals, which leads to significant drawbacks and inefficiencies in terms of development. Media service providers using cloud capability </w:t>
      </w:r>
      <w:proofErr w:type="gramStart"/>
      <w:r w:rsidR="006B3EA1" w:rsidRPr="006B3EA1">
        <w:rPr>
          <w:szCs w:val="24"/>
          <w:lang w:val="en-GB"/>
        </w:rPr>
        <w:t>have to</w:t>
      </w:r>
      <w:proofErr w:type="gramEnd"/>
      <w:r w:rsidR="006B3EA1" w:rsidRPr="006B3EA1">
        <w:rPr>
          <w:szCs w:val="24"/>
          <w:lang w:val="en-GB"/>
        </w:rPr>
        <w:t xml:space="preserve"> deal with specific signalling flows for </w:t>
      </w:r>
      <w:r w:rsidR="006B3EA1" w:rsidRPr="006B3EA1">
        <w:rPr>
          <w:szCs w:val="24"/>
          <w:lang w:val="en-GB"/>
        </w:rPr>
        <w:lastRenderedPageBreak/>
        <w:t>providing media service using an interface, which significantly will increase the complexity for the provider to use different cloud infra providers. Therefore, there is a strong necessary to requirement and architecture for a standard signalling convergence of different cloud infra providers in future media service. This Recommendation specifies the signalling requirement and architecture for media service entity attachment. This Recommendation mainly describes high level signalling requirements and specific requirements for media infra layer, media service layer, API layer and orchestration layer.</w:t>
      </w:r>
    </w:p>
    <w:p w14:paraId="3A4E5833" w14:textId="77777777" w:rsidR="006B3EA1" w:rsidRPr="006B3EA1" w:rsidRDefault="006B3EA1" w:rsidP="006B3EA1">
      <w:pPr>
        <w:rPr>
          <w:szCs w:val="24"/>
          <w:lang w:val="en-GB"/>
        </w:rPr>
      </w:pPr>
      <w:r w:rsidRPr="006B3EA1">
        <w:rPr>
          <w:b/>
          <w:szCs w:val="24"/>
          <w:lang w:val="en-GB"/>
        </w:rPr>
        <w:t>ITU-T Technical Report TR-SS7-DFS “SS7 vulnerabilities and mitigation measures for digital financial services transactions” (under publication),</w:t>
      </w:r>
      <w:r w:rsidRPr="006B3EA1">
        <w:rPr>
          <w:szCs w:val="24"/>
          <w:lang w:val="en-GB"/>
        </w:rPr>
        <w:t xml:space="preserve"> which contains a result of the Financial Inclusion Global Initiative (FIGI) Security Infrastructure workstream research into SS7 vulnerabilities and their effect on Digital Financial Services (DFS) in the developing world. It describes the researched vulnerabilities, mitigation measures for operators and for DFS providers (which are not operators). This technical report is the baseline for a SG11 work items on improving the security posture of SS7 towards financial services and other public interest OTT services offered over the telecom infrastructure.</w:t>
      </w:r>
    </w:p>
    <w:p w14:paraId="6A9A735E" w14:textId="77777777" w:rsidR="006B3EA1" w:rsidRPr="006B3EA1" w:rsidRDefault="006B3EA1" w:rsidP="006B3EA1">
      <w:pPr>
        <w:pStyle w:val="Headingb"/>
      </w:pPr>
      <w:r w:rsidRPr="006B3EA1">
        <w:t>I.13</w:t>
      </w:r>
      <w:r w:rsidRPr="006B3EA1">
        <w:tab/>
        <w:t>Formal Languages and Identification</w:t>
      </w:r>
    </w:p>
    <w:p w14:paraId="4248CAFE" w14:textId="77777777" w:rsidR="006B3EA1" w:rsidRPr="006B3EA1" w:rsidRDefault="00F60C99" w:rsidP="006B3EA1">
      <w:pPr>
        <w:rPr>
          <w:lang w:val="en-GB"/>
        </w:rPr>
      </w:pPr>
      <w:hyperlink r:id="rId345" w:history="1">
        <w:r w:rsidR="006B3EA1" w:rsidRPr="006B3EA1">
          <w:rPr>
            <w:rStyle w:val="Hyperlink"/>
            <w:b/>
            <w:lang w:val="en-GB"/>
          </w:rPr>
          <w:t>ITU-T Z.100 (revised) “Specification and Description Language - Overview of SDL-2010”</w:t>
        </w:r>
      </w:hyperlink>
      <w:r w:rsidR="006B3EA1" w:rsidRPr="006B3EA1">
        <w:rPr>
          <w:b/>
          <w:lang w:val="en-GB"/>
        </w:rPr>
        <w:t xml:space="preserve"> </w:t>
      </w:r>
      <w:r w:rsidR="006B3EA1" w:rsidRPr="006B3EA1">
        <w:rPr>
          <w:lang w:val="en-GB"/>
        </w:rPr>
        <w:t>introduces the Specification and Description Language, intended for unambiguous specification and description of telecommunication systems. The scope of the Specification and Description Language is elaborated in clause 1. The ITU-T Z.100 series for SDL-2010 together form a reference manual for the language. The objective of this Recommendation is to provide an introductory overview to the language and the rest of the reference manual contained in the ITU-T Z.100 series for SDL-2010. The language introduced in this document is more fully defined in other Recommendations in the ITU-T Z.100 series for SDL-2010.</w:t>
      </w:r>
    </w:p>
    <w:p w14:paraId="7DA0570C" w14:textId="77777777" w:rsidR="006B3EA1" w:rsidRPr="006B3EA1" w:rsidRDefault="00F60C99" w:rsidP="006B3EA1">
      <w:pPr>
        <w:rPr>
          <w:lang w:val="en-GB"/>
        </w:rPr>
      </w:pPr>
      <w:hyperlink r:id="rId346" w:history="1">
        <w:r w:rsidR="006B3EA1" w:rsidRPr="006B3EA1">
          <w:rPr>
            <w:rStyle w:val="Hyperlink"/>
            <w:b/>
            <w:bCs/>
            <w:lang w:val="en-GB"/>
          </w:rPr>
          <w:t>ITU-T Z.100 Annex F1 (revised) "Specification and Description Language - Overview of SDL-2010 - Annex F1: SDL-2010 formal definition: General overview"</w:t>
        </w:r>
      </w:hyperlink>
      <w:r w:rsidR="006B3EA1" w:rsidRPr="006B3EA1">
        <w:rPr>
          <w:lang w:val="en-GB"/>
        </w:rPr>
        <w:t xml:space="preserve"> provides the motivation for and the main objectives of a formal semantics definition for SDL-2010. It gives an overview of the structure of the formal semantics, and it also contains an introduction to the Abstract State Machine (ASM) formalism, which is used to define the SDL-2010 semantics.</w:t>
      </w:r>
    </w:p>
    <w:p w14:paraId="0B387354" w14:textId="77777777" w:rsidR="006B3EA1" w:rsidRPr="006B3EA1" w:rsidRDefault="00F60C99" w:rsidP="006B3EA1">
      <w:pPr>
        <w:rPr>
          <w:lang w:val="en-GB"/>
        </w:rPr>
      </w:pPr>
      <w:hyperlink r:id="rId347" w:history="1">
        <w:r w:rsidR="006B3EA1" w:rsidRPr="006B3EA1">
          <w:rPr>
            <w:rStyle w:val="Hyperlink"/>
            <w:b/>
            <w:bCs/>
            <w:lang w:val="en-GB"/>
          </w:rPr>
          <w:t>ITU-T Z.100 Annex F2 (revised) "Specification and Description Language – Overview of SDL 2010 - Annex F2: SDL 2010 formal definition: Static semantics"</w:t>
        </w:r>
      </w:hyperlink>
      <w:r w:rsidR="006B3EA1" w:rsidRPr="006B3EA1">
        <w:rPr>
          <w:lang w:val="en-GB"/>
        </w:rPr>
        <w:t xml:space="preserve"> describes the static semantic constraints of SDL-2010, the mapping to the abstract grammar and the transformations identified by the 'Model' clauses of Recommendations ITU-T Z.101, Z.102, Z.103, Z.104, Z.105 and Z.107, that are included by reference in Recommendation ITU-T Z.100.</w:t>
      </w:r>
    </w:p>
    <w:p w14:paraId="0FAD1CAF" w14:textId="77777777" w:rsidR="006B3EA1" w:rsidRPr="006B3EA1" w:rsidRDefault="00F60C99" w:rsidP="006B3EA1">
      <w:pPr>
        <w:rPr>
          <w:lang w:val="en-GB"/>
        </w:rPr>
      </w:pPr>
      <w:hyperlink r:id="rId348" w:history="1">
        <w:r w:rsidR="006B3EA1" w:rsidRPr="006B3EA1">
          <w:rPr>
            <w:rStyle w:val="Hyperlink"/>
            <w:b/>
            <w:bCs/>
            <w:lang w:val="en-GB"/>
          </w:rPr>
          <w:t>ITU-T Z.100 Annex F3 (revised) "Specification and Description Language – Overview of SDL 2010 - Annex F3: SDL 2010 formal definition: Dynamic semantics"</w:t>
        </w:r>
      </w:hyperlink>
      <w:r w:rsidR="006B3EA1" w:rsidRPr="006B3EA1">
        <w:rPr>
          <w:lang w:val="en-GB"/>
        </w:rPr>
        <w:t xml:space="preserve"> defines the SDL 2010 dynamic semantics.</w:t>
      </w:r>
    </w:p>
    <w:p w14:paraId="7F321DC4" w14:textId="77777777" w:rsidR="006B3EA1" w:rsidRPr="006B3EA1" w:rsidRDefault="00F60C99" w:rsidP="006B3EA1">
      <w:pPr>
        <w:rPr>
          <w:lang w:val="en-GB"/>
        </w:rPr>
      </w:pPr>
      <w:hyperlink r:id="rId349" w:history="1">
        <w:r w:rsidR="006B3EA1" w:rsidRPr="006B3EA1">
          <w:rPr>
            <w:rStyle w:val="Hyperlink"/>
            <w:b/>
            <w:lang w:val="en-GB"/>
          </w:rPr>
          <w:t>ITU-T Z.101 (revised) “Specification and Description Language - Basic SDL-2010”</w:t>
        </w:r>
      </w:hyperlink>
      <w:r w:rsidR="006B3EA1" w:rsidRPr="006B3EA1">
        <w:rPr>
          <w:lang w:val="en-GB"/>
        </w:rPr>
        <w:t xml:space="preserve"> defines the basic features of the Specification and Description Language. Together with Recommendations ITU-T Z.100, ITU-T Z.102, ITU-T Z.103, ITU-T Z.104, ITU-T Z.105, ITU-T Z.106 and ITU-T Z.107, this Recommendation is part of a reference manual for the language. The language defined in this document covers the essential features of the language, which is further defined in other Recommendations in the ITU-T Z.100 series.</w:t>
      </w:r>
    </w:p>
    <w:p w14:paraId="40ACF13F" w14:textId="77777777" w:rsidR="006B3EA1" w:rsidRPr="006B3EA1" w:rsidRDefault="00F60C99" w:rsidP="006B3EA1">
      <w:pPr>
        <w:rPr>
          <w:lang w:val="en-GB"/>
        </w:rPr>
      </w:pPr>
      <w:hyperlink r:id="rId350" w:history="1">
        <w:r w:rsidR="006B3EA1" w:rsidRPr="006B3EA1">
          <w:rPr>
            <w:rStyle w:val="Hyperlink"/>
            <w:b/>
            <w:lang w:val="en-GB"/>
          </w:rPr>
          <w:t>ITU-T Z.102 (revised) “Specification and Description Language - Comprehensive SDL-2010”</w:t>
        </w:r>
      </w:hyperlink>
      <w:r w:rsidR="006B3EA1" w:rsidRPr="006B3EA1">
        <w:rPr>
          <w:lang w:val="en-GB"/>
        </w:rPr>
        <w:t xml:space="preserve"> defines the comprehensive features of the Specification and Description Language. Together with Recommendations ITU-T Z.100, ITU-T Z.101, ITU-T Z.103, ITU-T Z.104, ITU-T Z.105, ITU-T Z.106 and ITU-T Z.107, this Recommendation is part of a reference manual for the language. The language defined in this document covers features of the language not included in Basic SDL-2010 in Recommendation ITU-T Z.101. These features provide comprehensive coverage of abstract </w:t>
      </w:r>
      <w:r w:rsidR="006B3EA1" w:rsidRPr="006B3EA1">
        <w:rPr>
          <w:lang w:val="en-GB"/>
        </w:rPr>
        <w:lastRenderedPageBreak/>
        <w:t>grammar of the language except some data features covered in ITU-T Z.104 (and ITU-T Z.107 for object-oriented data).</w:t>
      </w:r>
    </w:p>
    <w:p w14:paraId="45AFE044" w14:textId="77777777" w:rsidR="006B3EA1" w:rsidRPr="006B3EA1" w:rsidRDefault="00F60C99" w:rsidP="006B3EA1">
      <w:pPr>
        <w:rPr>
          <w:lang w:val="en-GB"/>
        </w:rPr>
      </w:pPr>
      <w:hyperlink r:id="rId351" w:history="1">
        <w:r w:rsidR="006B3EA1" w:rsidRPr="006B3EA1">
          <w:rPr>
            <w:rStyle w:val="Hyperlink"/>
            <w:b/>
            <w:lang w:val="en-GB"/>
          </w:rPr>
          <w:t>ITU-T Z.103 (revised) “Specification and Description Language - Shorthand notation and annotation in SDL-2010”</w:t>
        </w:r>
      </w:hyperlink>
      <w:r w:rsidR="006B3EA1" w:rsidRPr="006B3EA1">
        <w:rPr>
          <w:lang w:val="en-GB"/>
        </w:rPr>
        <w:t xml:space="preserve"> defines the shorthand and annotation features of the Specification and Description Language. Together with Recommendations ITU-T Z.100, ITU-T Z.101, ITU-T Z.102, ITU-T Z.104, ITU-T Z.105, ITU T Z.106 and ITU-T Z.107, this Recommendation is part of a reference manual for the language. The language defined in this document covers features of the language not included in Basic SDL 2010 in Recommendation ITU-T Z.101 or Comprehensive SDL 2010 in Recommendation ITU-T Z.102. Features defined in this Recommendation either do not have their own abstract grammar and are transformed to concrete grammar defined by Recommendations ITU T Z.101, ITU T Z.102 and ITU-T Z.104 (and ITU-T Z.107 for object oriented data), or are annotations with no formal meaning.</w:t>
      </w:r>
    </w:p>
    <w:p w14:paraId="073B7D81" w14:textId="77777777" w:rsidR="006B3EA1" w:rsidRPr="006B3EA1" w:rsidRDefault="00F60C99" w:rsidP="006B3EA1">
      <w:pPr>
        <w:rPr>
          <w:lang w:val="en-GB"/>
        </w:rPr>
      </w:pPr>
      <w:hyperlink r:id="rId352" w:history="1">
        <w:r w:rsidR="006B3EA1" w:rsidRPr="006B3EA1">
          <w:rPr>
            <w:rStyle w:val="Hyperlink"/>
            <w:b/>
            <w:lang w:val="en-GB"/>
          </w:rPr>
          <w:t>ITU-T Z.104 (revised) “Specification and Description Language - Data and action language in SDL-2010”</w:t>
        </w:r>
      </w:hyperlink>
      <w:r w:rsidR="006B3EA1" w:rsidRPr="006B3EA1">
        <w:rPr>
          <w:lang w:val="en-GB"/>
        </w:rPr>
        <w:t xml:space="preserve"> defines the data features of the Specification and Description Language so that data definitions and expressions are well defined. Together with Recommendations ITU-T Z.100, ITU-T Z.101, ITU-T Z.102, ITU-T Z.103, ITU-T Z.105, ITU-T Z.106 and ITU-T Z.107, this Recommendation is part of a reference manual for the language. The language defined in this Recommendation partially overlaps features of the language included in Basic SDL-2010 in Recommendation ITU-T Z.101 and used in Comprehensive SDL-2010 in Recommendation ITU-T Z.102 and the features of Recommendation ITU-T Z.103.</w:t>
      </w:r>
    </w:p>
    <w:p w14:paraId="104A6774" w14:textId="77777777" w:rsidR="006B3EA1" w:rsidRPr="006B3EA1" w:rsidRDefault="00F60C99" w:rsidP="006B3EA1">
      <w:pPr>
        <w:rPr>
          <w:lang w:val="en-GB"/>
        </w:rPr>
      </w:pPr>
      <w:hyperlink r:id="rId353" w:history="1">
        <w:r w:rsidR="006B3EA1" w:rsidRPr="006B3EA1">
          <w:rPr>
            <w:rStyle w:val="Hyperlink"/>
            <w:b/>
            <w:lang w:val="en-GB"/>
          </w:rPr>
          <w:t xml:space="preserve">ITU-T Z.105 (revised) “Specification and Description Language - SDL-2010 combined with ASN.1 </w:t>
        </w:r>
        <w:proofErr w:type="gramStart"/>
        <w:r w:rsidR="006B3EA1" w:rsidRPr="006B3EA1">
          <w:rPr>
            <w:rStyle w:val="Hyperlink"/>
            <w:b/>
            <w:lang w:val="en-GB"/>
          </w:rPr>
          <w:t>modules</w:t>
        </w:r>
        <w:proofErr w:type="gramEnd"/>
        <w:r w:rsidR="006B3EA1" w:rsidRPr="006B3EA1">
          <w:rPr>
            <w:rStyle w:val="Hyperlink"/>
            <w:b/>
            <w:lang w:val="en-GB"/>
          </w:rPr>
          <w:t>”</w:t>
        </w:r>
      </w:hyperlink>
      <w:r w:rsidR="006B3EA1" w:rsidRPr="006B3EA1">
        <w:rPr>
          <w:lang w:val="en-GB"/>
        </w:rPr>
        <w:t xml:space="preserve"> defines how Abstract Syntax Notation One (ASN.1) modules are usable in combination with Specification and Description Language 2010 (SDL-2010). This text replaces Recommendation ITU-T Z.105 (2003) to align with Recommendations ITU-T Z.100, ITU-T Z.101, ITU-T Z.102, ITU-T Z.103, ITU-T Z.104, ITU-T Z.106 and ITU-T Z.107 for SDL-2010. Recommendation ITU-T Z.105 (2003) replaced the semantic mappings from ASN.1 to SDL-2000 defined in Recommendation ITU-T Z.105 (1999). The use of ASN.1 notation embedded in the Specification and Description Language previously defined in Recommendation ITU-T Z.107 (1999) is not defined by this Recommendation. The main area of application of this Recommendation is the specification of telecommunication systems. The combined use of SDL-2010 and ASN.1 permits a coherent way to specify the structure and behaviour of telecommunication systems, together with data, messages and encoding of messages that these systems use.</w:t>
      </w:r>
    </w:p>
    <w:p w14:paraId="116F795A" w14:textId="77777777" w:rsidR="006B3EA1" w:rsidRPr="006B3EA1" w:rsidRDefault="006B3EA1" w:rsidP="006B3EA1">
      <w:pPr>
        <w:rPr>
          <w:lang w:val="en-GB"/>
        </w:rPr>
      </w:pPr>
      <w:r w:rsidRPr="006B3EA1">
        <w:rPr>
          <w:lang w:val="en-GB"/>
        </w:rPr>
        <w:t xml:space="preserve">This version of Recommendation ITU-T Z.105 includes necessary alignments with ASN.1:2002 Recommendations, mapping of XML values, improved mapping of bit string values and mapping of relevant ASN.1 </w:t>
      </w:r>
      <w:proofErr w:type="gramStart"/>
      <w:r w:rsidRPr="006B3EA1">
        <w:rPr>
          <w:lang w:val="en-GB"/>
        </w:rPr>
        <w:t>constructs</w:t>
      </w:r>
      <w:proofErr w:type="gramEnd"/>
      <w:r w:rsidRPr="006B3EA1">
        <w:rPr>
          <w:lang w:val="en-GB"/>
        </w:rPr>
        <w:t xml:space="preserve"> for extensions.</w:t>
      </w:r>
    </w:p>
    <w:p w14:paraId="7C8F2B9D" w14:textId="77777777" w:rsidR="006B3EA1" w:rsidRPr="006B3EA1" w:rsidRDefault="00F60C99" w:rsidP="006B3EA1">
      <w:pPr>
        <w:rPr>
          <w:lang w:val="en-GB"/>
        </w:rPr>
      </w:pPr>
      <w:hyperlink r:id="rId354" w:history="1">
        <w:r w:rsidR="006B3EA1" w:rsidRPr="006B3EA1">
          <w:rPr>
            <w:rStyle w:val="Hyperlink"/>
            <w:b/>
            <w:lang w:val="en-GB"/>
          </w:rPr>
          <w:t>ITU-T Z.106 (revised) “Specification and Description Language - Common interchange format for SDL-2010”</w:t>
        </w:r>
      </w:hyperlink>
      <w:r w:rsidR="006B3EA1" w:rsidRPr="006B3EA1">
        <w:rPr>
          <w:lang w:val="en-GB"/>
        </w:rPr>
        <w:t xml:space="preserve"> defines the common interchange format of Specification and Description Language (SDL-CIF). The SDL-CIF is intended for the interchange of graphical SDL-2010 specifications (SDL-GR) made on different tools that do not use the same storage format. Prior to the definition of SDL-CIF, the textual phrase representation of SDL-2010 (SDL-PR) was used to interchange specifications with the disadvantage that all graphical information was lost, making the same specifications often look very dissimilar in different environments. With the SDL-CIF, this disadvantage is reduced to a minimum, as it contains most of the graphical information. The SDL-CIF improves the independence from specific tool vendors and allows standards bodies to accept specifications in SDL-CIF irrespective of the tool they use for their internal work. This also improves productivity by allowing specifications to be made on the accustomed tool. All SDL-2010 tool vendors are encouraged to provide facilities for importing and exporting SDL-CIF.</w:t>
      </w:r>
    </w:p>
    <w:p w14:paraId="1B890F89" w14:textId="77777777" w:rsidR="006B3EA1" w:rsidRPr="006B3EA1" w:rsidRDefault="006B3EA1" w:rsidP="006B3EA1">
      <w:pPr>
        <w:rPr>
          <w:lang w:val="en-GB"/>
        </w:rPr>
      </w:pPr>
      <w:r w:rsidRPr="006B3EA1">
        <w:rPr>
          <w:lang w:val="en-GB"/>
        </w:rPr>
        <w:t xml:space="preserve">This Recommendation defines how SDL-2010 descriptions are stored in order to be interchanged between tools coming from different vendors. It does not </w:t>
      </w:r>
      <w:proofErr w:type="gramStart"/>
      <w:r w:rsidRPr="006B3EA1">
        <w:rPr>
          <w:lang w:val="en-GB"/>
        </w:rPr>
        <w:t>take into account</w:t>
      </w:r>
      <w:proofErr w:type="gramEnd"/>
      <w:r w:rsidRPr="006B3EA1">
        <w:rPr>
          <w:lang w:val="en-GB"/>
        </w:rPr>
        <w:t xml:space="preserve"> the message sequence </w:t>
      </w:r>
      <w:r w:rsidRPr="006B3EA1">
        <w:rPr>
          <w:lang w:val="en-GB"/>
        </w:rPr>
        <w:lastRenderedPageBreak/>
        <w:t xml:space="preserve">chart (MSC) notation. SDL-CIF is an optional part of SDL-2010. SDL-CIF is based on the SDL-PR syntax, the textual phrase representation of SDL-2010 also defined in this Recommendation. SDL-CIF is readable and written by tools as well as users. All the constructs available in SDL-2010 </w:t>
      </w:r>
      <w:proofErr w:type="gramStart"/>
      <w:r w:rsidRPr="006B3EA1">
        <w:rPr>
          <w:lang w:val="en-GB"/>
        </w:rPr>
        <w:t>are able to</w:t>
      </w:r>
      <w:proofErr w:type="gramEnd"/>
      <w:r w:rsidRPr="006B3EA1">
        <w:rPr>
          <w:lang w:val="en-GB"/>
        </w:rPr>
        <w:t xml:space="preserve"> be expressed in graphical form or in the purely textual SDL-PR form. Constraints on graphical presentation are expressed in SDL-CIF by adding specific annotations to SDL-PR. As a result, most SDL-PR descriptions are legal SDL-CIF descriptions. SDL-CIF is an open storage format as it includes a mechanism of tool-specific directives. This mechanism allows an SDL-CIF-compliant tool to extend the format by adding specific information. SDL-CIF is also easily implemented and provides tool vendors with two levels of tool conformance and concepts of mandatory and optional directives.</w:t>
      </w:r>
    </w:p>
    <w:p w14:paraId="7425CB04" w14:textId="77777777" w:rsidR="006B3EA1" w:rsidRPr="006B3EA1" w:rsidRDefault="006B3EA1" w:rsidP="006B3EA1">
      <w:pPr>
        <w:rPr>
          <w:lang w:val="en-GB"/>
        </w:rPr>
      </w:pPr>
      <w:r w:rsidRPr="006B3EA1">
        <w:rPr>
          <w:lang w:val="en-GB"/>
        </w:rPr>
        <w:t>SDL-PR is an alternative text-only syntax for the Specification and Description Language. Before 2002, SDL-PR was published as part of ITU-T Z.100, but as the main use of this notation is for communication within and between tools the definition has been moved to this Recommendation. SDL-PR is Level 0 SDL-CIF and allows the interchange of syntactically complete SDL-2010 descriptions, usually as a single file per system. Conformance to SDL-PR requires the model to conform to the corresponding semantics defined in Recommendations ITU-T Z.101, ITU-T Z.102, ITU-T Z.103, ITU-T Z.104, ITU-T Z.105 and ITU-T Z.107.</w:t>
      </w:r>
    </w:p>
    <w:p w14:paraId="68EA46E5" w14:textId="77777777" w:rsidR="006B3EA1" w:rsidRPr="006B3EA1" w:rsidRDefault="006B3EA1" w:rsidP="006B3EA1">
      <w:pPr>
        <w:rPr>
          <w:lang w:val="en-GB"/>
        </w:rPr>
      </w:pPr>
      <w:r w:rsidRPr="006B3EA1">
        <w:rPr>
          <w:lang w:val="en-GB"/>
        </w:rPr>
        <w:t>This Recommendation introduces two further levels of SDL-CIF. Two further conformance levels are defined, one at a more liberal SDL-PR level and the second including graphical information. The complete grammar is described with the related semantics. Mandatory and optional directives are described, as well as the format for tool-specific directives. Current tool-specific directives are described in Appendix I.</w:t>
      </w:r>
    </w:p>
    <w:p w14:paraId="7EAEB580" w14:textId="77777777" w:rsidR="006B3EA1" w:rsidRPr="006B3EA1" w:rsidRDefault="006B3EA1" w:rsidP="006B3EA1">
      <w:pPr>
        <w:rPr>
          <w:lang w:val="en-GB"/>
        </w:rPr>
      </w:pPr>
      <w:r w:rsidRPr="006B3EA1">
        <w:rPr>
          <w:lang w:val="en-GB"/>
        </w:rPr>
        <w:t xml:space="preserve">Two levels of SDL-CIF conformance are defined as level 1 and level 2. Level 1 is very close to SDL-PR, but it supports incomplete descriptions in SDL-2010. Level 2 includes level 1 and </w:t>
      </w:r>
      <w:proofErr w:type="gramStart"/>
      <w:r w:rsidRPr="006B3EA1">
        <w:rPr>
          <w:lang w:val="en-GB"/>
        </w:rPr>
        <w:t>is able to</w:t>
      </w:r>
      <w:proofErr w:type="gramEnd"/>
      <w:r w:rsidRPr="006B3EA1">
        <w:rPr>
          <w:lang w:val="en-GB"/>
        </w:rPr>
        <w:t xml:space="preserve"> capture most of the graphical information of SDL-GR diagrams. An SDL-CIF specification shall identify which of these two levels it complies with. Similarly, tool vendors that use the SDL-CIF should also identify the SDL-CIF level they comply with for their import and export functions.</w:t>
      </w:r>
    </w:p>
    <w:p w14:paraId="0F75E870" w14:textId="77777777" w:rsidR="006B3EA1" w:rsidRPr="006B3EA1" w:rsidRDefault="00F60C99" w:rsidP="006B3EA1">
      <w:pPr>
        <w:rPr>
          <w:lang w:val="en-GB"/>
        </w:rPr>
      </w:pPr>
      <w:hyperlink r:id="rId355" w:history="1">
        <w:r w:rsidR="006B3EA1" w:rsidRPr="006B3EA1">
          <w:rPr>
            <w:rStyle w:val="Hyperlink"/>
            <w:b/>
            <w:lang w:val="en-GB"/>
          </w:rPr>
          <w:t>ITU-T Z.107 (revised) “Specification and Description Language - Object-oriented data in SDL-2010”</w:t>
        </w:r>
      </w:hyperlink>
      <w:r w:rsidR="006B3EA1" w:rsidRPr="006B3EA1">
        <w:rPr>
          <w:lang w:val="en-GB"/>
        </w:rPr>
        <w:t xml:space="preserve"> defines the object-oriented data features of the Specification and Description Language building on the foundation of the data definitions and expressions defined in Recommendation ITU-T Z.104. Together with Recommendations ITU-T Z.100, ITU-T Z.101, ITU-T Z.102, ITU-T Z.103, ITU-T Z.104, ITU-T Z.105 and ITU-T Z.106, this Recommendation is part of a reference manual for the language. The language defined in this Recommendation partially overlaps features of the language included in Basic SDL-2010 in Recommendation ITU-T Z.101 and used in Comprehensive SDL-2010 in Recommendation ITU-T Z.102, and the features of Recommendations ITU-T Z.103 and ITU-T Z.104.</w:t>
      </w:r>
    </w:p>
    <w:p w14:paraId="3962CAC2" w14:textId="77777777" w:rsidR="006B3EA1" w:rsidRPr="006B3EA1" w:rsidRDefault="00F60C99" w:rsidP="006B3EA1">
      <w:pPr>
        <w:rPr>
          <w:lang w:val="en-GB"/>
        </w:rPr>
      </w:pPr>
      <w:hyperlink r:id="rId356" w:history="1">
        <w:r w:rsidR="006B3EA1" w:rsidRPr="006B3EA1">
          <w:rPr>
            <w:rStyle w:val="Hyperlink"/>
            <w:b/>
            <w:bCs/>
            <w:lang w:val="en-GB"/>
          </w:rPr>
          <w:t>ITU-T Z.161 (revised) "Testing and Test Control Notation version 3: TTCN-3 core language"</w:t>
        </w:r>
      </w:hyperlink>
      <w:r w:rsidR="006B3EA1" w:rsidRPr="006B3EA1">
        <w:rPr>
          <w:lang w:val="en-GB"/>
        </w:rPr>
        <w:t xml:space="preserve"> defines Testing and Test Control Notation 3 (TTCN-3) intended for specification of test suites that are independent of platforms, test methods, protocol layers and protocols. TTCN-3 can be used for specification of all types of reactive system tests over a variety of communication ports. Typical areas of application are protocol testing (including mobile and Internet protocols), service testing (including supplementary services), module testing, testing of Common Object Request Broker Architecture (CORBA) based platforms and application programming interfaces (APIs). The specification of test suites for physical layer protocols is outside the scope of this Recommendation.</w:t>
      </w:r>
    </w:p>
    <w:p w14:paraId="1E09458D" w14:textId="77777777" w:rsidR="006B3EA1" w:rsidRPr="006B3EA1" w:rsidRDefault="006B3EA1" w:rsidP="006B3EA1">
      <w:pPr>
        <w:rPr>
          <w:lang w:val="en-GB"/>
        </w:rPr>
      </w:pPr>
      <w:r w:rsidRPr="006B3EA1">
        <w:rPr>
          <w:lang w:val="en-GB"/>
        </w:rPr>
        <w:t>The core language of TTCN-3 can be expressed in a variety of presentation formats. While this Recommendation defines the core language, Recommendation ITU-T Z.162 defines the tabular format for TTCN (TFT) and Recommendation ITU-T Z.163 defines the graphical format for TTCN (GFT). The specification of these formats is outside the scope of this Recommendation. The core language serves the following three purposes:</w:t>
      </w:r>
    </w:p>
    <w:p w14:paraId="64BDFA3A" w14:textId="77777777" w:rsidR="006B3EA1" w:rsidRPr="006B3EA1" w:rsidRDefault="006B3EA1" w:rsidP="006B3EA1">
      <w:pPr>
        <w:rPr>
          <w:lang w:val="en-GB"/>
        </w:rPr>
      </w:pPr>
      <w:r w:rsidRPr="006B3EA1">
        <w:rPr>
          <w:lang w:val="en-GB"/>
        </w:rPr>
        <w:lastRenderedPageBreak/>
        <w:t>a)</w:t>
      </w:r>
      <w:r w:rsidRPr="006B3EA1">
        <w:rPr>
          <w:lang w:val="en-GB"/>
        </w:rPr>
        <w:tab/>
        <w:t>as a generalized text-based test language;</w:t>
      </w:r>
    </w:p>
    <w:p w14:paraId="67357243" w14:textId="77777777" w:rsidR="006B3EA1" w:rsidRPr="006B3EA1" w:rsidRDefault="006B3EA1" w:rsidP="006B3EA1">
      <w:pPr>
        <w:rPr>
          <w:lang w:val="en-GB"/>
        </w:rPr>
      </w:pPr>
      <w:r w:rsidRPr="006B3EA1">
        <w:rPr>
          <w:lang w:val="en-GB"/>
        </w:rPr>
        <w:t>b)</w:t>
      </w:r>
      <w:r w:rsidRPr="006B3EA1">
        <w:rPr>
          <w:lang w:val="en-GB"/>
        </w:rPr>
        <w:tab/>
        <w:t>as a standardized interchange format of TTCN test suites between TTCN tools;</w:t>
      </w:r>
    </w:p>
    <w:p w14:paraId="086D6376" w14:textId="77777777" w:rsidR="006B3EA1" w:rsidRPr="006B3EA1" w:rsidRDefault="006B3EA1" w:rsidP="006B3EA1">
      <w:pPr>
        <w:rPr>
          <w:lang w:val="en-GB"/>
        </w:rPr>
      </w:pPr>
      <w:r w:rsidRPr="006B3EA1">
        <w:rPr>
          <w:lang w:val="en-GB"/>
        </w:rPr>
        <w:t>c)</w:t>
      </w:r>
      <w:r w:rsidRPr="006B3EA1">
        <w:rPr>
          <w:lang w:val="en-GB"/>
        </w:rPr>
        <w:tab/>
        <w:t>as the semantic basis (and where relevant, the syntactical basis) for the various presentation formats.</w:t>
      </w:r>
    </w:p>
    <w:p w14:paraId="678D67A7" w14:textId="77777777" w:rsidR="006B3EA1" w:rsidRPr="006B3EA1" w:rsidRDefault="006B3EA1" w:rsidP="006B3EA1">
      <w:pPr>
        <w:rPr>
          <w:lang w:val="en-GB"/>
        </w:rPr>
      </w:pPr>
      <w:r w:rsidRPr="006B3EA1">
        <w:rPr>
          <w:lang w:val="en-GB"/>
        </w:rPr>
        <w:t xml:space="preserve">The core language may be used independently of the presentation formats. However, neither the tabular format nor the graphical format can be used without the core language. Use and implementation of these presentation formats shall be done </w:t>
      </w:r>
      <w:proofErr w:type="gramStart"/>
      <w:r w:rsidRPr="006B3EA1">
        <w:rPr>
          <w:lang w:val="en-GB"/>
        </w:rPr>
        <w:t>on the basis of</w:t>
      </w:r>
      <w:proofErr w:type="gramEnd"/>
      <w:r w:rsidRPr="006B3EA1">
        <w:rPr>
          <w:lang w:val="en-GB"/>
        </w:rPr>
        <w:t xml:space="preserve"> the core language.</w:t>
      </w:r>
    </w:p>
    <w:p w14:paraId="36CE5DF1" w14:textId="77777777" w:rsidR="006B3EA1" w:rsidRPr="006B3EA1" w:rsidRDefault="006B3EA1" w:rsidP="006B3EA1">
      <w:pPr>
        <w:rPr>
          <w:lang w:val="en-GB"/>
        </w:rPr>
      </w:pPr>
      <w:r w:rsidRPr="006B3EA1">
        <w:rPr>
          <w:lang w:val="en-GB"/>
        </w:rPr>
        <w:t>This revision of the Recommendation contains amendments, clarifications, corrigenda and editorial corrections.</w:t>
      </w:r>
    </w:p>
    <w:p w14:paraId="25F6AC16" w14:textId="77777777" w:rsidR="006B3EA1" w:rsidRPr="006B3EA1" w:rsidRDefault="00F60C99" w:rsidP="006B3EA1">
      <w:pPr>
        <w:rPr>
          <w:lang w:val="en-GB"/>
        </w:rPr>
      </w:pPr>
      <w:hyperlink r:id="rId357" w:history="1">
        <w:r w:rsidR="006B3EA1" w:rsidRPr="006B3EA1">
          <w:rPr>
            <w:rStyle w:val="Hyperlink"/>
            <w:b/>
            <w:bCs/>
            <w:lang w:val="en-GB"/>
          </w:rPr>
          <w:t>ITU-T Z.161.2 (revised) "Testing and Test Control Notation version 3: TTCN-3 language extensions: Configuration and deployment support"</w:t>
        </w:r>
      </w:hyperlink>
      <w:r w:rsidR="006B3EA1" w:rsidRPr="006B3EA1">
        <w:rPr>
          <w:lang w:val="en-GB"/>
        </w:rPr>
        <w:t xml:space="preserve"> defines the configuration and deployment support package of TTCN-3. TTCN-3 can be used for the specification of all types of reactive system tests over a variety of communication ports. Typical areas of application are protocol testing (including mobile and Internet protocols), service testing (including supplementary services), module testing, testing of Common Object Request Broker Architecture (CORBA) based platforms, application programming interfaces (APIs), etc. TTCN-3 is not restricted to conformance testing and can be used for many other kinds of testing including interoperability, robustness, regression, system and integration testing. The specification of test suites for physical layer protocols is outside the scope of this Recommendation.</w:t>
      </w:r>
    </w:p>
    <w:p w14:paraId="0334910D" w14:textId="77777777" w:rsidR="006B3EA1" w:rsidRPr="006B3EA1" w:rsidRDefault="00F60C99" w:rsidP="006B3EA1">
      <w:pPr>
        <w:rPr>
          <w:lang w:val="en-GB"/>
        </w:rPr>
      </w:pPr>
      <w:hyperlink r:id="rId358" w:history="1">
        <w:r w:rsidR="006B3EA1" w:rsidRPr="006B3EA1">
          <w:rPr>
            <w:rStyle w:val="Hyperlink"/>
            <w:b/>
            <w:bCs/>
            <w:lang w:val="en-GB"/>
          </w:rPr>
          <w:t>ITU-T Z.161.6 (revised) "Testing and Test Control Notation version 3: TTCN-3 language extensions: Advanced matching"</w:t>
        </w:r>
      </w:hyperlink>
      <w:r w:rsidR="006B3EA1" w:rsidRPr="006B3EA1">
        <w:rPr>
          <w:lang w:val="en-GB"/>
        </w:rPr>
        <w:t xml:space="preserve"> defines the support of advance matching of TTCN-3. TTCN-3 can be used for the specification of all types of reactive system tests over a variety of communication ports. Typical areas of application are protocol testing (including mobile and Internet protocols), service testing (including supplementary services), module testing, testing of OMG CORBA based platforms, APIs, etc. TTCN-3 is not restricted to conformance testing and can be used for many other kinds of testing including interoperability, robustness, regression, system and integration testing. The specification of test suites for physical layer protocols is outside the scope of the present document. TTCN-3 packages are intended to define additional TTCN-3 concepts, which are not mandatory as concepts in the TTCN-3 core language, but which are optional as part of a package which is suited for dedicated applications and/or usages of TTCN-3. While the design of TTCN-3 package has </w:t>
      </w:r>
      <w:proofErr w:type="gramStart"/>
      <w:r w:rsidR="006B3EA1" w:rsidRPr="006B3EA1">
        <w:rPr>
          <w:lang w:val="en-GB"/>
        </w:rPr>
        <w:t>taken into account</w:t>
      </w:r>
      <w:proofErr w:type="gramEnd"/>
      <w:r w:rsidR="006B3EA1" w:rsidRPr="006B3EA1">
        <w:rPr>
          <w:lang w:val="en-GB"/>
        </w:rPr>
        <w:t xml:space="preserve"> the consistency of a combined usage of the core language with a number of packages, the concrete usages of and guidelines for this package in combination with other packages is outside the scope of the present document.</w:t>
      </w:r>
    </w:p>
    <w:p w14:paraId="12AD5706" w14:textId="77777777" w:rsidR="006B3EA1" w:rsidRPr="006B3EA1" w:rsidRDefault="00F60C99" w:rsidP="006B3EA1">
      <w:pPr>
        <w:rPr>
          <w:bCs/>
          <w:lang w:val="en-GB"/>
        </w:rPr>
      </w:pPr>
      <w:hyperlink r:id="rId359" w:history="1">
        <w:r w:rsidR="006B3EA1" w:rsidRPr="006B3EA1">
          <w:rPr>
            <w:rStyle w:val="Hyperlink"/>
            <w:b/>
            <w:bCs/>
            <w:lang w:val="en-GB"/>
          </w:rPr>
          <w:t>ITU-T Z.161.7 “Testing and Test Control Notation version 3: TTCN-3 Language Extensions: Object-Oriented Features”</w:t>
        </w:r>
      </w:hyperlink>
      <w:r w:rsidR="006B3EA1" w:rsidRPr="006B3EA1">
        <w:rPr>
          <w:b/>
          <w:bCs/>
          <w:lang w:val="en-GB"/>
        </w:rPr>
        <w:t xml:space="preserve"> </w:t>
      </w:r>
      <w:r w:rsidR="006B3EA1" w:rsidRPr="006B3EA1">
        <w:rPr>
          <w:bCs/>
          <w:lang w:val="en-GB"/>
        </w:rPr>
        <w:t>defines the support for object-oriented features in TTCN-3. TTCN-3 can be used for the specification of all types of reactive system tests over a variety of communication ports. Typical areas of application are protocol testing (including mobile and Internet protocols), service testing (including supplementary services), module testing, testing of OMG CORBA based platforms, APIs, etc. TTCN-3 is not restricted to conformance testing and can be used for many other kinds of testing including interoperability, robustness, regression, system and integration testing. The specification of test suites for physical layer protocols is outside the scope of the present document.</w:t>
      </w:r>
    </w:p>
    <w:p w14:paraId="1EF0369C" w14:textId="77777777" w:rsidR="006B3EA1" w:rsidRPr="006B3EA1" w:rsidRDefault="00F60C99" w:rsidP="006B3EA1">
      <w:pPr>
        <w:rPr>
          <w:lang w:val="en-GB"/>
        </w:rPr>
      </w:pPr>
      <w:hyperlink r:id="rId360" w:history="1">
        <w:r w:rsidR="006B3EA1" w:rsidRPr="006B3EA1">
          <w:rPr>
            <w:rStyle w:val="Hyperlink"/>
            <w:b/>
            <w:bCs/>
            <w:lang w:val="en-GB"/>
          </w:rPr>
          <w:t>ITU-T Z.166 (revised) "Testing and Test Control Notation version 3: TTCN-3 control interface (TCI)"</w:t>
        </w:r>
      </w:hyperlink>
      <w:r w:rsidR="006B3EA1" w:rsidRPr="006B3EA1">
        <w:rPr>
          <w:lang w:val="en-GB"/>
        </w:rPr>
        <w:t xml:space="preserve"> specifies the control interfaces for Testing and Test Control Notation 3 (TTCN-3) test system implementations. The TTCN-3 control interfaces (TCIs) provide a standardized adaptation for management, test component handling and encoding/decoding of a test system to a </w:t>
      </w:r>
      <w:proofErr w:type="gramStart"/>
      <w:r w:rsidR="006B3EA1" w:rsidRPr="006B3EA1">
        <w:rPr>
          <w:lang w:val="en-GB"/>
        </w:rPr>
        <w:t>particular test</w:t>
      </w:r>
      <w:proofErr w:type="gramEnd"/>
      <w:r w:rsidR="006B3EA1" w:rsidRPr="006B3EA1">
        <w:rPr>
          <w:lang w:val="en-GB"/>
        </w:rPr>
        <w:t xml:space="preserve"> platform. This Recommendation defines the interfaces as a set of operations independent of a target language. The interfaces are defined to be compatible with the TTCN-3 standards (see clause 2 of ETSI ES 201 873-6 V4.11.1). The interface definition uses the Common </w:t>
      </w:r>
      <w:r w:rsidR="006B3EA1" w:rsidRPr="006B3EA1">
        <w:rPr>
          <w:lang w:val="en-GB"/>
        </w:rPr>
        <w:lastRenderedPageBreak/>
        <w:t>Object Request Broker Architecture (CORBA) Interface Definition Language (IDL) to specify the TCI completely. Clauses 8, 9 and 9.7 of ETSI ES 201 873-6 V4.11.1 present language mappings for this abstract specification to the target languages Java and ANSI C.</w:t>
      </w:r>
    </w:p>
    <w:p w14:paraId="006BB659" w14:textId="77777777" w:rsidR="006B3EA1" w:rsidRPr="006B3EA1" w:rsidRDefault="006B3EA1" w:rsidP="006B3EA1">
      <w:pPr>
        <w:rPr>
          <w:lang w:val="en-GB"/>
        </w:rPr>
      </w:pPr>
      <w:r w:rsidRPr="006B3EA1">
        <w:rPr>
          <w:lang w:val="en-GB"/>
        </w:rPr>
        <w:t>This revision of the Recommendation contains amendments, clarifications, corrigenda and editorial corrections.</w:t>
      </w:r>
    </w:p>
    <w:p w14:paraId="3F3F263C" w14:textId="77777777" w:rsidR="006B3EA1" w:rsidRPr="006B3EA1" w:rsidRDefault="00F60C99" w:rsidP="006B3EA1">
      <w:pPr>
        <w:rPr>
          <w:lang w:val="en-GB"/>
        </w:rPr>
      </w:pPr>
      <w:hyperlink r:id="rId361" w:history="1">
        <w:r w:rsidR="006B3EA1" w:rsidRPr="006B3EA1">
          <w:rPr>
            <w:rStyle w:val="Hyperlink"/>
            <w:b/>
            <w:bCs/>
            <w:lang w:val="en-GB"/>
          </w:rPr>
          <w:t>ITU-T Z.169 (revised) "Testing and Test Control Notation version 3: Using XML schema with TTCN-3"</w:t>
        </w:r>
      </w:hyperlink>
      <w:r w:rsidR="006B3EA1" w:rsidRPr="006B3EA1">
        <w:rPr>
          <w:lang w:val="en-GB"/>
        </w:rPr>
        <w:t xml:space="preserve"> defines the mapping rules for the world wide web consortium (W3C) schema to Testing and Test Control Notation 3 (TTCN-3) to enable testing of XML-based systems, interfaces and protocols.</w:t>
      </w:r>
    </w:p>
    <w:p w14:paraId="74AAA496" w14:textId="77777777" w:rsidR="006B3EA1" w:rsidRPr="006B3EA1" w:rsidRDefault="006B3EA1" w:rsidP="006B3EA1">
      <w:pPr>
        <w:rPr>
          <w:lang w:val="en-GB"/>
        </w:rPr>
      </w:pPr>
      <w:r w:rsidRPr="006B3EA1">
        <w:rPr>
          <w:lang w:val="en-GB"/>
        </w:rPr>
        <w:t>This revision of the Recommendation contains amendments, clarifications, corrigenda and editorial corrections.</w:t>
      </w:r>
    </w:p>
    <w:p w14:paraId="5178FD29" w14:textId="77777777" w:rsidR="006B3EA1" w:rsidRPr="006B3EA1" w:rsidRDefault="006B3EA1" w:rsidP="006B3EA1">
      <w:pPr>
        <w:pStyle w:val="Headingb"/>
      </w:pPr>
      <w:r w:rsidRPr="006B3EA1">
        <w:t>I.14</w:t>
      </w:r>
      <w:r w:rsidRPr="006B3EA1">
        <w:tab/>
        <w:t>Rules and Procedures</w:t>
      </w:r>
    </w:p>
    <w:p w14:paraId="2994F2AD" w14:textId="77777777" w:rsidR="006B3EA1" w:rsidRPr="006B3EA1" w:rsidRDefault="00F60C99" w:rsidP="006B3EA1">
      <w:pPr>
        <w:rPr>
          <w:szCs w:val="24"/>
        </w:rPr>
      </w:pPr>
      <w:hyperlink r:id="rId362" w:history="1">
        <w:r w:rsidR="006B3EA1" w:rsidRPr="006B3EA1">
          <w:rPr>
            <w:rStyle w:val="Hyperlink"/>
            <w:rFonts w:asciiTheme="majorBidi" w:hAnsiTheme="majorBidi" w:cstheme="majorBidi"/>
            <w:b/>
            <w:bCs/>
          </w:rPr>
          <w:t>ITU-T A.1 “</w:t>
        </w:r>
        <w:r w:rsidR="006B3EA1" w:rsidRPr="006B3EA1">
          <w:rPr>
            <w:rStyle w:val="Hyperlink"/>
            <w:b/>
          </w:rPr>
          <w:t>Working methods for study groups of the ITU Telecommunication Standardization Sector</w:t>
        </w:r>
        <w:r w:rsidR="006B3EA1" w:rsidRPr="006B3EA1">
          <w:rPr>
            <w:rStyle w:val="Hyperlink"/>
            <w:rFonts w:asciiTheme="majorBidi" w:hAnsiTheme="majorBidi" w:cstheme="majorBidi"/>
            <w:b/>
            <w:bCs/>
          </w:rPr>
          <w:t>”</w:t>
        </w:r>
      </w:hyperlink>
      <w:r w:rsidR="006B3EA1" w:rsidRPr="006B3EA1">
        <w:rPr>
          <w:szCs w:val="24"/>
        </w:rPr>
        <w:t xml:space="preserve"> describes general work methods for ITU</w:t>
      </w:r>
      <w:r w:rsidR="006B3EA1" w:rsidRPr="006B3EA1">
        <w:rPr>
          <w:szCs w:val="24"/>
        </w:rPr>
        <w:noBreakHyphen/>
        <w:t>T study groups. It provides guidelines related to work methods, such as the conduct of meetings, preparation of studies, management of study groups, joint coordination groups, the role of rapporteurs and the processing of ITU</w:t>
      </w:r>
      <w:r w:rsidR="006B3EA1" w:rsidRPr="006B3EA1">
        <w:rPr>
          <w:szCs w:val="24"/>
        </w:rPr>
        <w:noBreakHyphen/>
        <w:t>T contributions and TDs.</w:t>
      </w:r>
    </w:p>
    <w:p w14:paraId="522E9616" w14:textId="77777777" w:rsidR="006B3EA1" w:rsidRPr="006B3EA1" w:rsidRDefault="00F60C99" w:rsidP="006B3EA1">
      <w:hyperlink r:id="rId363" w:history="1">
        <w:r w:rsidR="006B3EA1" w:rsidRPr="006B3EA1">
          <w:rPr>
            <w:rStyle w:val="Hyperlink"/>
            <w:rFonts w:asciiTheme="majorBidi" w:hAnsiTheme="majorBidi" w:cstheme="majorBidi"/>
            <w:b/>
            <w:bCs/>
          </w:rPr>
          <w:t>ITU-T A.5</w:t>
        </w:r>
        <w:r w:rsidR="006B3EA1" w:rsidRPr="006B3EA1">
          <w:rPr>
            <w:rStyle w:val="Hyperlink"/>
          </w:rPr>
          <w:t xml:space="preserve"> “</w:t>
        </w:r>
        <w:r w:rsidR="006B3EA1" w:rsidRPr="006B3EA1">
          <w:rPr>
            <w:rStyle w:val="Hyperlink"/>
            <w:b/>
          </w:rPr>
          <w:t>Generic procedures for including references to documents of other organizations in ITU-T Recommendations”</w:t>
        </w:r>
      </w:hyperlink>
      <w:r w:rsidR="006B3EA1" w:rsidRPr="006B3EA1">
        <w:t xml:space="preserve"> provides generic procedures for normatively referencing documents of other organizations in ITU-T Recommendations.</w:t>
      </w:r>
    </w:p>
    <w:p w14:paraId="6040AF85" w14:textId="77777777" w:rsidR="006B3EA1" w:rsidRPr="006B3EA1" w:rsidRDefault="00F60C99" w:rsidP="006B3EA1">
      <w:pPr>
        <w:rPr>
          <w:rFonts w:asciiTheme="majorBidi" w:hAnsiTheme="majorBidi" w:cstheme="majorBidi"/>
          <w:b/>
          <w:bCs/>
        </w:rPr>
      </w:pPr>
      <w:hyperlink r:id="rId364" w:history="1">
        <w:r w:rsidR="006B3EA1" w:rsidRPr="006B3EA1">
          <w:rPr>
            <w:rStyle w:val="Hyperlink"/>
            <w:rFonts w:asciiTheme="majorBidi" w:hAnsiTheme="majorBidi" w:cstheme="majorBidi"/>
            <w:b/>
            <w:bCs/>
          </w:rPr>
          <w:t>ITU-T A.13</w:t>
        </w:r>
        <w:r w:rsidR="006B3EA1" w:rsidRPr="006B3EA1">
          <w:rPr>
            <w:rStyle w:val="Hyperlink"/>
            <w:rFonts w:asciiTheme="majorBidi" w:hAnsiTheme="majorBidi" w:cstheme="majorBidi"/>
            <w:bCs/>
          </w:rPr>
          <w:t xml:space="preserve"> </w:t>
        </w:r>
        <w:r w:rsidR="006B3EA1" w:rsidRPr="006B3EA1">
          <w:rPr>
            <w:rStyle w:val="Hyperlink"/>
            <w:rFonts w:asciiTheme="majorBidi" w:hAnsiTheme="majorBidi" w:cstheme="majorBidi"/>
            <w:b/>
            <w:bCs/>
          </w:rPr>
          <w:t>“</w:t>
        </w:r>
        <w:r w:rsidR="006B3EA1" w:rsidRPr="006B3EA1">
          <w:rPr>
            <w:rStyle w:val="Hyperlink"/>
            <w:b/>
          </w:rPr>
          <w:t>Non-normative ITU-T publications, including Supplements to ITU-T Recommendations</w:t>
        </w:r>
        <w:r w:rsidR="006B3EA1" w:rsidRPr="006B3EA1">
          <w:rPr>
            <w:rStyle w:val="Hyperlink"/>
            <w:rFonts w:asciiTheme="majorBidi" w:hAnsiTheme="majorBidi" w:cstheme="majorBidi"/>
            <w:b/>
            <w:bCs/>
          </w:rPr>
          <w:t>”</w:t>
        </w:r>
      </w:hyperlink>
      <w:r w:rsidR="006B3EA1" w:rsidRPr="006B3EA1">
        <w:t xml:space="preserve"> describes the process used by ITU-T study groups and the Telecommunication Standardization Advisory Group (TSAG) to develop and agree to publication of informative (non-Recommendation) texts published by ITU-T. The documents using this process include Supplements to ITU-T Recommendations.</w:t>
      </w:r>
    </w:p>
    <w:p w14:paraId="2C9A5FE1" w14:textId="77777777" w:rsidR="006B3EA1" w:rsidRDefault="00F60C99" w:rsidP="006B3EA1">
      <w:pPr>
        <w:rPr>
          <w:iCs/>
        </w:rPr>
      </w:pPr>
      <w:hyperlink r:id="rId365" w:history="1">
        <w:r w:rsidR="006B3EA1" w:rsidRPr="006B3EA1">
          <w:rPr>
            <w:rStyle w:val="Hyperlink"/>
            <w:rFonts w:asciiTheme="majorBidi" w:hAnsiTheme="majorBidi" w:cstheme="majorBidi"/>
            <w:b/>
            <w:bCs/>
          </w:rPr>
          <w:t>ITU-T A.25</w:t>
        </w:r>
        <w:r w:rsidR="006B3EA1" w:rsidRPr="006B3EA1">
          <w:rPr>
            <w:rStyle w:val="Hyperlink"/>
            <w:rFonts w:asciiTheme="majorBidi" w:hAnsiTheme="majorBidi" w:cstheme="majorBidi"/>
            <w:bCs/>
          </w:rPr>
          <w:t xml:space="preserve"> </w:t>
        </w:r>
        <w:r w:rsidR="006B3EA1" w:rsidRPr="006B3EA1">
          <w:rPr>
            <w:rStyle w:val="Hyperlink"/>
            <w:rFonts w:asciiTheme="majorBidi" w:hAnsiTheme="majorBidi" w:cstheme="majorBidi"/>
            <w:b/>
            <w:bCs/>
          </w:rPr>
          <w:t>“</w:t>
        </w:r>
        <w:r w:rsidR="006B3EA1" w:rsidRPr="006B3EA1">
          <w:rPr>
            <w:rStyle w:val="Hyperlink"/>
            <w:b/>
          </w:rPr>
          <w:t>Generic procedures for incorporating text between ITU-T and other organizations</w:t>
        </w:r>
        <w:r w:rsidR="006B3EA1" w:rsidRPr="006B3EA1">
          <w:rPr>
            <w:rStyle w:val="Hyperlink"/>
            <w:rFonts w:asciiTheme="majorBidi" w:hAnsiTheme="majorBidi" w:cstheme="majorBidi"/>
            <w:b/>
            <w:bCs/>
          </w:rPr>
          <w:t>”</w:t>
        </w:r>
      </w:hyperlink>
      <w:r w:rsidR="006B3EA1" w:rsidRPr="006B3EA1">
        <w:rPr>
          <w:rFonts w:asciiTheme="majorBidi" w:hAnsiTheme="majorBidi" w:cstheme="majorBidi"/>
          <w:bCs/>
        </w:rPr>
        <w:t xml:space="preserve"> </w:t>
      </w:r>
      <w:r w:rsidR="006B3EA1" w:rsidRPr="006B3EA1">
        <w:t xml:space="preserve">addresses the process of incorporating text (in whole or in part, with or without modification) of documents from another organization into an ITU-T Recommendation (or another ITU-T document). </w:t>
      </w:r>
      <w:r w:rsidR="006B3EA1" w:rsidRPr="006B3EA1">
        <w:rPr>
          <w:iCs/>
        </w:rPr>
        <w:t xml:space="preserve">Similarly, guidance is provided for </w:t>
      </w:r>
      <w:r w:rsidR="006B3EA1" w:rsidRPr="006B3EA1">
        <w:t>other organizations</w:t>
      </w:r>
      <w:r w:rsidR="006B3EA1" w:rsidRPr="006B3EA1">
        <w:rPr>
          <w:iCs/>
        </w:rPr>
        <w:t xml:space="preserve"> incorporating text </w:t>
      </w:r>
      <w:r w:rsidR="006B3EA1" w:rsidRPr="006B3EA1">
        <w:t xml:space="preserve">(in whole or in part, with or without modification) </w:t>
      </w:r>
      <w:r w:rsidR="006B3EA1" w:rsidRPr="006B3EA1">
        <w:rPr>
          <w:iCs/>
        </w:rPr>
        <w:t>from ITU</w:t>
      </w:r>
      <w:r w:rsidR="006B3EA1" w:rsidRPr="006B3EA1">
        <w:rPr>
          <w:iCs/>
        </w:rPr>
        <w:noBreakHyphen/>
        <w:t>T Recommendations (or other ITU</w:t>
      </w:r>
      <w:r w:rsidR="006B3EA1" w:rsidRPr="006B3EA1">
        <w:rPr>
          <w:iCs/>
        </w:rPr>
        <w:noBreakHyphen/>
        <w:t>T documents) in their documents.</w:t>
      </w:r>
    </w:p>
    <w:p w14:paraId="16AB967C" w14:textId="3522421B" w:rsidR="00373D43" w:rsidRPr="00180522" w:rsidRDefault="001968B7" w:rsidP="001968B7">
      <w:pPr>
        <w:jc w:val="center"/>
        <w:rPr>
          <w:lang w:val="en-GB"/>
        </w:rPr>
      </w:pPr>
      <w:r>
        <w:rPr>
          <w:lang w:val="en-GB"/>
        </w:rPr>
        <w:t>_______</w:t>
      </w:r>
      <w:r w:rsidR="00951AEB">
        <w:rPr>
          <w:lang w:val="en-GB"/>
        </w:rPr>
        <w:t>___________</w:t>
      </w:r>
    </w:p>
    <w:sectPr w:rsidR="00373D43" w:rsidRPr="00180522">
      <w:headerReference w:type="default" r:id="rId366"/>
      <w:footerReference w:type="first" r:id="rId367"/>
      <w:pgSz w:w="11907" w:h="16840"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DA56B" w14:textId="77777777" w:rsidR="00CE6458" w:rsidRDefault="00CE6458">
      <w:r>
        <w:separator/>
      </w:r>
    </w:p>
  </w:endnote>
  <w:endnote w:type="continuationSeparator" w:id="0">
    <w:p w14:paraId="01467D80" w14:textId="77777777" w:rsidR="00CE6458" w:rsidRDefault="00CE6458">
      <w:r>
        <w:continuationSeparator/>
      </w:r>
    </w:p>
  </w:endnote>
  <w:endnote w:type="continuationNotice" w:id="1">
    <w:p w14:paraId="7E4FB02E" w14:textId="77777777" w:rsidR="00CE6458" w:rsidRDefault="00CE645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8C156" w14:textId="3FC6D342" w:rsidR="00425D3B" w:rsidRPr="00F67D36" w:rsidRDefault="00425D3B" w:rsidP="00F67D36">
    <w:pPr>
      <w:pStyle w:val="Footer"/>
    </w:pPr>
    <w:bookmarkStart w:id="262" w:name="_GoBack"/>
    <w:bookmarkEnd w:id="26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E2290" w14:textId="77777777" w:rsidR="00CE6458" w:rsidRDefault="00CE6458">
      <w:r>
        <w:separator/>
      </w:r>
    </w:p>
  </w:footnote>
  <w:footnote w:type="continuationSeparator" w:id="0">
    <w:p w14:paraId="2C81072E" w14:textId="77777777" w:rsidR="00CE6458" w:rsidRDefault="00CE6458">
      <w:r>
        <w:continuationSeparator/>
      </w:r>
    </w:p>
  </w:footnote>
  <w:footnote w:type="continuationNotice" w:id="1">
    <w:p w14:paraId="4A54EAE8" w14:textId="77777777" w:rsidR="00CE6458" w:rsidRDefault="00CE6458">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9920B" w14:textId="05F57FB6" w:rsidR="00CE6458" w:rsidRDefault="00CE6458" w:rsidP="006F110A">
    <w:pPr>
      <w:pStyle w:val="Header"/>
      <w:rPr>
        <w:lang w:val="pt-BR"/>
      </w:rPr>
    </w:pPr>
    <w:r>
      <w:t xml:space="preserve">- </w:t>
    </w:r>
    <w:r>
      <w:fldChar w:fldCharType="begin"/>
    </w:r>
    <w:r>
      <w:instrText xml:space="preserve"> PAGE  \* MERGEFORMAT </w:instrText>
    </w:r>
    <w:r>
      <w:fldChar w:fldCharType="separate"/>
    </w:r>
    <w:r>
      <w:rPr>
        <w:noProof/>
      </w:rPr>
      <w:t>29</w:t>
    </w:r>
    <w:r>
      <w:rPr>
        <w:noProof/>
      </w:rPr>
      <w:fldChar w:fldCharType="end"/>
    </w:r>
    <w:r>
      <w:rPr>
        <w:lang w:val="pt-BR"/>
      </w:rPr>
      <w:t xml:space="preserve"> </w:t>
    </w:r>
    <w:r>
      <w:rPr>
        <w:lang w:val="pt-BR"/>
      </w:rPr>
      <w:t>-</w:t>
    </w:r>
  </w:p>
  <w:p w14:paraId="1874A81C" w14:textId="3FCA9CEE" w:rsidR="00CE6458" w:rsidRPr="006F110A" w:rsidRDefault="00CE6458" w:rsidP="006F110A">
    <w:pPr>
      <w:pStyle w:val="Header"/>
    </w:pPr>
    <w:r w:rsidRPr="006F110A">
      <w:rPr>
        <w:noProof/>
      </w:rPr>
      <w:fldChar w:fldCharType="begin"/>
    </w:r>
    <w:r w:rsidRPr="006F110A">
      <w:rPr>
        <w:noProof/>
      </w:rPr>
      <w:instrText xml:space="preserve"> STYLEREF  Docnumber  \* MERGEFORMAT </w:instrText>
    </w:r>
    <w:r w:rsidRPr="006F110A">
      <w:rPr>
        <w:noProof/>
      </w:rPr>
      <w:fldChar w:fldCharType="separate"/>
    </w:r>
    <w:r w:rsidR="00F60C99">
      <w:rPr>
        <w:noProof/>
      </w:rPr>
      <w:t>TSAG-TD656-F</w:t>
    </w:r>
    <w:r w:rsidRPr="006F110A">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2A49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88E4852"/>
    <w:lvl w:ilvl="0">
      <w:start w:val="1"/>
      <w:numFmt w:val="decimal"/>
      <w:pStyle w:val="ListNumber4"/>
      <w:lvlText w:val="%1."/>
      <w:lvlJc w:val="left"/>
      <w:pPr>
        <w:tabs>
          <w:tab w:val="num" w:pos="1440"/>
        </w:tabs>
        <w:ind w:left="1440" w:hanging="360"/>
      </w:pPr>
    </w:lvl>
  </w:abstractNum>
  <w:abstractNum w:abstractNumId="2" w15:restartNumberingAfterBreak="0">
    <w:nsid w:val="FFFFFF7F"/>
    <w:multiLevelType w:val="singleLevel"/>
    <w:tmpl w:val="71846262"/>
    <w:lvl w:ilvl="0">
      <w:start w:val="1"/>
      <w:numFmt w:val="decimal"/>
      <w:pStyle w:val="BodyText3"/>
      <w:lvlText w:val="%1."/>
      <w:lvlJc w:val="left"/>
      <w:pPr>
        <w:tabs>
          <w:tab w:val="num" w:pos="643"/>
        </w:tabs>
        <w:ind w:left="643" w:hanging="360"/>
      </w:pPr>
      <w:rPr>
        <w:rFonts w:cs="Times New Roman" w:hint="default"/>
      </w:rPr>
    </w:lvl>
  </w:abstractNum>
  <w:abstractNum w:abstractNumId="3" w15:restartNumberingAfterBreak="0">
    <w:nsid w:val="FFFFFF80"/>
    <w:multiLevelType w:val="singleLevel"/>
    <w:tmpl w:val="7724422E"/>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7C123098"/>
    <w:lvl w:ilvl="0">
      <w:start w:val="1"/>
      <w:numFmt w:val="bullet"/>
      <w:pStyle w:val="TABLE"/>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582B2F2"/>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9"/>
    <w:multiLevelType w:val="singleLevel"/>
    <w:tmpl w:val="906A9A38"/>
    <w:lvl w:ilvl="0">
      <w:start w:val="1"/>
      <w:numFmt w:val="bullet"/>
      <w:pStyle w:val="Annexref"/>
      <w:lvlText w:val=""/>
      <w:lvlJc w:val="left"/>
      <w:pPr>
        <w:tabs>
          <w:tab w:val="num" w:pos="360"/>
        </w:tabs>
        <w:ind w:left="360" w:hanging="360"/>
      </w:pPr>
      <w:rPr>
        <w:rFonts w:ascii="Symbol" w:hAnsi="Symbol" w:hint="default"/>
      </w:rPr>
    </w:lvl>
  </w:abstractNum>
  <w:abstractNum w:abstractNumId="7" w15:restartNumberingAfterBreak="0">
    <w:nsid w:val="01F411B7"/>
    <w:multiLevelType w:val="hybridMultilevel"/>
    <w:tmpl w:val="17603D6C"/>
    <w:lvl w:ilvl="0" w:tplc="E6C84972">
      <w:start w:val="1"/>
      <w:numFmt w:val="decimal"/>
      <w:pStyle w:val="Numerowanie"/>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3C37CFD"/>
    <w:multiLevelType w:val="hybridMultilevel"/>
    <w:tmpl w:val="9314FEA2"/>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295F30"/>
    <w:multiLevelType w:val="hybridMultilevel"/>
    <w:tmpl w:val="E834B34A"/>
    <w:lvl w:ilvl="0" w:tplc="731455E2">
      <w:start w:val="1"/>
      <w:numFmt w:val="bullet"/>
      <w:lvlText w:val="–"/>
      <w:lvlJc w:val="left"/>
      <w:pPr>
        <w:ind w:left="720" w:hanging="360"/>
      </w:pPr>
      <w:rPr>
        <w:rFonts w:ascii="Times New Roman" w:hAnsi="Times New Roman" w:cs="Times New Roman"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521B8D"/>
    <w:multiLevelType w:val="hybridMultilevel"/>
    <w:tmpl w:val="40A2FACE"/>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26A07"/>
    <w:multiLevelType w:val="hybridMultilevel"/>
    <w:tmpl w:val="DD7EB726"/>
    <w:lvl w:ilvl="0" w:tplc="731455E2">
      <w:start w:val="1"/>
      <w:numFmt w:val="bullet"/>
      <w:lvlText w:val="–"/>
      <w:lvlJc w:val="left"/>
      <w:pPr>
        <w:ind w:left="720" w:hanging="360"/>
      </w:pPr>
      <w:rPr>
        <w:rFonts w:ascii="Times New Roman" w:hAnsi="Times New Roman" w:cs="Times New Roman" w:hint="default"/>
      </w:rPr>
    </w:lvl>
    <w:lvl w:ilvl="1" w:tplc="6BFE5608">
      <w:numFmt w:val="bullet"/>
      <w:lvlText w:val="•"/>
      <w:lvlJc w:val="left"/>
      <w:pPr>
        <w:ind w:left="1650" w:hanging="570"/>
      </w:pPr>
      <w:rPr>
        <w:rFonts w:ascii="Times New Roman" w:eastAsia="Gulim" w:hAnsi="Times New Roman" w:cs="Times New Roman" w:hint="default"/>
      </w:rPr>
    </w:lvl>
    <w:lvl w:ilvl="2" w:tplc="731455E2">
      <w:start w:val="1"/>
      <w:numFmt w:val="bullet"/>
      <w:lvlText w:val="–"/>
      <w:lvlJc w:val="left"/>
      <w:pPr>
        <w:ind w:left="2595" w:hanging="795"/>
      </w:pPr>
      <w:rPr>
        <w:rFonts w:ascii="Times New Roma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AA5AE4"/>
    <w:multiLevelType w:val="hybridMultilevel"/>
    <w:tmpl w:val="4B9E5A62"/>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92897"/>
    <w:multiLevelType w:val="hybridMultilevel"/>
    <w:tmpl w:val="0BAE901A"/>
    <w:lvl w:ilvl="0" w:tplc="0809000F">
      <w:start w:val="1"/>
      <w:numFmt w:val="decimal"/>
      <w:lvlText w:val="%1."/>
      <w:lvlJc w:val="left"/>
      <w:pPr>
        <w:ind w:left="1494" w:hanging="360"/>
      </w:pPr>
    </w:lvl>
    <w:lvl w:ilvl="1" w:tplc="5D1EE4F4">
      <w:start w:val="1"/>
      <w:numFmt w:val="decimal"/>
      <w:lvlText w:val="%2)"/>
      <w:lvlJc w:val="left"/>
      <w:pPr>
        <w:ind w:left="2649" w:hanging="795"/>
      </w:pPr>
      <w:rPr>
        <w:rFonts w:hint="default"/>
      </w:rPr>
    </w:lvl>
    <w:lvl w:ilvl="2" w:tplc="97EA7DB0">
      <w:start w:val="1"/>
      <w:numFmt w:val="decimal"/>
      <w:lvlText w:val="%3"/>
      <w:lvlJc w:val="left"/>
      <w:pPr>
        <w:ind w:left="3549" w:hanging="795"/>
      </w:pPr>
      <w:rPr>
        <w:rFonts w:hint="default"/>
      </w:r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2A874136"/>
    <w:multiLevelType w:val="hybridMultilevel"/>
    <w:tmpl w:val="D95E62E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5" w15:restartNumberingAfterBreak="0">
    <w:nsid w:val="2D0E3561"/>
    <w:multiLevelType w:val="hybridMultilevel"/>
    <w:tmpl w:val="916202DE"/>
    <w:lvl w:ilvl="0" w:tplc="261676D0">
      <w:start w:val="1"/>
      <w:numFmt w:val="decimal"/>
      <w:pStyle w:val="normalWSIS"/>
      <w:lvlText w:val="%1."/>
      <w:lvlJc w:val="left"/>
      <w:pPr>
        <w:ind w:left="360" w:hanging="360"/>
      </w:pPr>
      <w:rPr>
        <w:rFonts w:asciiTheme="majorBidi" w:hAnsiTheme="majorBidi" w:cstheme="majorBidi" w:hint="default"/>
        <w:b w:val="0"/>
        <w:bCs w:val="0"/>
        <w:i w:val="0"/>
        <w:iCs w:val="0"/>
        <w:color w:val="auto"/>
        <w:sz w:val="22"/>
        <w:szCs w:val="22"/>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CF6AB378">
      <w:start w:val="10"/>
      <w:numFmt w:val="bullet"/>
      <w:lvlText w:val="–"/>
      <w:lvlJc w:val="left"/>
      <w:pPr>
        <w:ind w:left="888" w:hanging="435"/>
      </w:pPr>
      <w:rPr>
        <w:rFonts w:ascii="Times New Roman" w:eastAsia="Batang" w:hAnsi="Times New Roman" w:cs="Times New Roman" w:hint="default"/>
        <w:color w:val="92D050"/>
      </w:rPr>
    </w:lvl>
    <w:lvl w:ilvl="6" w:tplc="0409000F">
      <w:start w:val="1"/>
      <w:numFmt w:val="decimal"/>
      <w:lvlText w:val="%7."/>
      <w:lvlJc w:val="left"/>
      <w:pPr>
        <w:ind w:left="1353" w:hanging="360"/>
      </w:pPr>
    </w:lvl>
    <w:lvl w:ilvl="7" w:tplc="04090019" w:tentative="1">
      <w:start w:val="1"/>
      <w:numFmt w:val="lowerLetter"/>
      <w:lvlText w:val="%8."/>
      <w:lvlJc w:val="left"/>
      <w:pPr>
        <w:ind w:left="2073" w:hanging="360"/>
      </w:pPr>
    </w:lvl>
    <w:lvl w:ilvl="8" w:tplc="0409001B" w:tentative="1">
      <w:start w:val="1"/>
      <w:numFmt w:val="lowerRoman"/>
      <w:lvlText w:val="%9."/>
      <w:lvlJc w:val="right"/>
      <w:pPr>
        <w:ind w:left="2793" w:hanging="180"/>
      </w:pPr>
    </w:lvl>
  </w:abstractNum>
  <w:abstractNum w:abstractNumId="16" w15:restartNumberingAfterBreak="0">
    <w:nsid w:val="38AD77E9"/>
    <w:multiLevelType w:val="hybridMultilevel"/>
    <w:tmpl w:val="0A62A884"/>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008AB"/>
    <w:multiLevelType w:val="hybridMultilevel"/>
    <w:tmpl w:val="5B809D74"/>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400B01"/>
    <w:multiLevelType w:val="hybridMultilevel"/>
    <w:tmpl w:val="3F6A406E"/>
    <w:lvl w:ilvl="0" w:tplc="731455E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B65E5"/>
    <w:multiLevelType w:val="hybridMultilevel"/>
    <w:tmpl w:val="2026A0AE"/>
    <w:lvl w:ilvl="0" w:tplc="D6446A48">
      <w:start w:val="1"/>
      <w:numFmt w:val="decimal"/>
      <w:pStyle w:val="SectionHeader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D42A8"/>
    <w:multiLevelType w:val="hybridMultilevel"/>
    <w:tmpl w:val="C7688132"/>
    <w:lvl w:ilvl="0" w:tplc="BBF6815E">
      <w:start w:val="1"/>
      <w:numFmt w:val="bullet"/>
      <w:lvlText w:val=""/>
      <w:lvlJc w:val="left"/>
      <w:pPr>
        <w:ind w:left="726" w:hanging="363"/>
      </w:pPr>
      <w:rPr>
        <w:rFonts w:ascii="Symbol" w:hAnsi="Symbol" w:hint="default"/>
      </w:rPr>
    </w:lvl>
    <w:lvl w:ilvl="1" w:tplc="04090003">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1" w15:restartNumberingAfterBreak="0">
    <w:nsid w:val="4F177B81"/>
    <w:multiLevelType w:val="hybridMultilevel"/>
    <w:tmpl w:val="CA6C26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5363ED"/>
    <w:multiLevelType w:val="hybridMultilevel"/>
    <w:tmpl w:val="6BA4CE88"/>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513" w:hanging="360"/>
      </w:pPr>
      <w:rPr>
        <w:rFonts w:ascii="Courier New" w:hAnsi="Courier New" w:cs="Courier New" w:hint="default"/>
      </w:rPr>
    </w:lvl>
    <w:lvl w:ilvl="2" w:tplc="08090005" w:tentative="1">
      <w:start w:val="1"/>
      <w:numFmt w:val="bullet"/>
      <w:lvlText w:val=""/>
      <w:lvlJc w:val="left"/>
      <w:pPr>
        <w:ind w:left="1233" w:hanging="360"/>
      </w:pPr>
      <w:rPr>
        <w:rFonts w:ascii="Wingdings" w:hAnsi="Wingdings" w:hint="default"/>
      </w:rPr>
    </w:lvl>
    <w:lvl w:ilvl="3" w:tplc="08090001" w:tentative="1">
      <w:start w:val="1"/>
      <w:numFmt w:val="bullet"/>
      <w:lvlText w:val=""/>
      <w:lvlJc w:val="left"/>
      <w:pPr>
        <w:ind w:left="1953" w:hanging="360"/>
      </w:pPr>
      <w:rPr>
        <w:rFonts w:ascii="Symbol" w:hAnsi="Symbol" w:hint="default"/>
      </w:rPr>
    </w:lvl>
    <w:lvl w:ilvl="4" w:tplc="08090003" w:tentative="1">
      <w:start w:val="1"/>
      <w:numFmt w:val="bullet"/>
      <w:lvlText w:val="o"/>
      <w:lvlJc w:val="left"/>
      <w:pPr>
        <w:ind w:left="2673" w:hanging="360"/>
      </w:pPr>
      <w:rPr>
        <w:rFonts w:ascii="Courier New" w:hAnsi="Courier New" w:cs="Courier New" w:hint="default"/>
      </w:rPr>
    </w:lvl>
    <w:lvl w:ilvl="5" w:tplc="08090005" w:tentative="1">
      <w:start w:val="1"/>
      <w:numFmt w:val="bullet"/>
      <w:lvlText w:val=""/>
      <w:lvlJc w:val="left"/>
      <w:pPr>
        <w:ind w:left="3393" w:hanging="360"/>
      </w:pPr>
      <w:rPr>
        <w:rFonts w:ascii="Wingdings" w:hAnsi="Wingdings" w:hint="default"/>
      </w:rPr>
    </w:lvl>
    <w:lvl w:ilvl="6" w:tplc="08090001" w:tentative="1">
      <w:start w:val="1"/>
      <w:numFmt w:val="bullet"/>
      <w:lvlText w:val=""/>
      <w:lvlJc w:val="left"/>
      <w:pPr>
        <w:ind w:left="4113" w:hanging="360"/>
      </w:pPr>
      <w:rPr>
        <w:rFonts w:ascii="Symbol" w:hAnsi="Symbol" w:hint="default"/>
      </w:rPr>
    </w:lvl>
    <w:lvl w:ilvl="7" w:tplc="08090003" w:tentative="1">
      <w:start w:val="1"/>
      <w:numFmt w:val="bullet"/>
      <w:lvlText w:val="o"/>
      <w:lvlJc w:val="left"/>
      <w:pPr>
        <w:ind w:left="4833" w:hanging="360"/>
      </w:pPr>
      <w:rPr>
        <w:rFonts w:ascii="Courier New" w:hAnsi="Courier New" w:cs="Courier New" w:hint="default"/>
      </w:rPr>
    </w:lvl>
    <w:lvl w:ilvl="8" w:tplc="08090005" w:tentative="1">
      <w:start w:val="1"/>
      <w:numFmt w:val="bullet"/>
      <w:lvlText w:val=""/>
      <w:lvlJc w:val="left"/>
      <w:pPr>
        <w:ind w:left="5553" w:hanging="360"/>
      </w:pPr>
      <w:rPr>
        <w:rFonts w:ascii="Wingdings" w:hAnsi="Wingdings" w:hint="default"/>
      </w:rPr>
    </w:lvl>
  </w:abstractNum>
  <w:abstractNum w:abstractNumId="23" w15:restartNumberingAfterBreak="0">
    <w:nsid w:val="54284A28"/>
    <w:multiLevelType w:val="hybridMultilevel"/>
    <w:tmpl w:val="5588DD8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557774BD"/>
    <w:multiLevelType w:val="hybridMultilevel"/>
    <w:tmpl w:val="4E929CA0"/>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933C19"/>
    <w:multiLevelType w:val="hybridMultilevel"/>
    <w:tmpl w:val="BCCA2182"/>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19066F"/>
    <w:multiLevelType w:val="hybridMultilevel"/>
    <w:tmpl w:val="0818E1EC"/>
    <w:lvl w:ilvl="0" w:tplc="731455E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C7844"/>
    <w:multiLevelType w:val="hybridMultilevel"/>
    <w:tmpl w:val="42BC9068"/>
    <w:lvl w:ilvl="0" w:tplc="04090003">
      <w:start w:val="1"/>
      <w:numFmt w:val="bullet"/>
      <w:lvlText w:val="o"/>
      <w:lvlJc w:val="left"/>
      <w:pPr>
        <w:ind w:left="1494" w:hanging="360"/>
      </w:pPr>
      <w:rPr>
        <w:rFonts w:ascii="Courier New" w:hAnsi="Courier New" w:cs="Courier New"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5E761CBE"/>
    <w:multiLevelType w:val="hybridMultilevel"/>
    <w:tmpl w:val="5B0AFE78"/>
    <w:lvl w:ilvl="0" w:tplc="E22E8A1E">
      <w:start w:val="1"/>
      <w:numFmt w:val="bullet"/>
      <w:pStyle w:val="el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15:restartNumberingAfterBreak="0">
    <w:nsid w:val="638957FF"/>
    <w:multiLevelType w:val="hybridMultilevel"/>
    <w:tmpl w:val="3B4E7B36"/>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9547D1"/>
    <w:multiLevelType w:val="hybridMultilevel"/>
    <w:tmpl w:val="DCF8BE30"/>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CF48CD"/>
    <w:multiLevelType w:val="hybridMultilevel"/>
    <w:tmpl w:val="350C66BE"/>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FF3DC2"/>
    <w:multiLevelType w:val="hybridMultilevel"/>
    <w:tmpl w:val="0B98376C"/>
    <w:lvl w:ilvl="0" w:tplc="BBF681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4578E2"/>
    <w:multiLevelType w:val="hybridMultilevel"/>
    <w:tmpl w:val="7A22C732"/>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F6AB4"/>
    <w:multiLevelType w:val="hybridMultilevel"/>
    <w:tmpl w:val="7CE622F8"/>
    <w:lvl w:ilvl="0" w:tplc="731455E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B3DCE"/>
    <w:multiLevelType w:val="hybridMultilevel"/>
    <w:tmpl w:val="A286557E"/>
    <w:lvl w:ilvl="0" w:tplc="0EDED95A">
      <w:start w:val="1"/>
      <w:numFmt w:val="decimal"/>
      <w:pStyle w:val="hstyle0"/>
      <w:lvlText w:val="[%1]"/>
      <w:lvlJc w:val="left"/>
      <w:pPr>
        <w:tabs>
          <w:tab w:val="num" w:pos="624"/>
        </w:tabs>
        <w:ind w:left="624" w:hanging="524"/>
      </w:pPr>
      <w:rPr>
        <w:rFonts w:ascii="Times New Roman" w:hAnsi="Times New Roman" w:cs="Times New Roman" w:hint="default"/>
        <w:b w:val="0"/>
        <w:i w:val="0"/>
        <w:sz w:val="24"/>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6" w15:restartNumberingAfterBreak="0">
    <w:nsid w:val="7B931992"/>
    <w:multiLevelType w:val="hybridMultilevel"/>
    <w:tmpl w:val="7A46435A"/>
    <w:lvl w:ilvl="0" w:tplc="731455E2">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9F36F8"/>
    <w:multiLevelType w:val="hybridMultilevel"/>
    <w:tmpl w:val="1A64E8F4"/>
    <w:lvl w:ilvl="0" w:tplc="D4ECF3F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4"/>
  </w:num>
  <w:num w:numId="5">
    <w:abstractNumId w:val="35"/>
  </w:num>
  <w:num w:numId="6">
    <w:abstractNumId w:val="19"/>
  </w:num>
  <w:num w:numId="7">
    <w:abstractNumId w:val="28"/>
  </w:num>
  <w:num w:numId="8">
    <w:abstractNumId w:val="15"/>
  </w:num>
  <w:num w:numId="9">
    <w:abstractNumId w:val="20"/>
  </w:num>
  <w:num w:numId="10">
    <w:abstractNumId w:val="37"/>
  </w:num>
  <w:num w:numId="11">
    <w:abstractNumId w:val="22"/>
  </w:num>
  <w:num w:numId="12">
    <w:abstractNumId w:val="27"/>
  </w:num>
  <w:num w:numId="13">
    <w:abstractNumId w:val="26"/>
  </w:num>
  <w:num w:numId="14">
    <w:abstractNumId w:val="36"/>
  </w:num>
  <w:num w:numId="15">
    <w:abstractNumId w:val="33"/>
  </w:num>
  <w:num w:numId="16">
    <w:abstractNumId w:val="10"/>
  </w:num>
  <w:num w:numId="17">
    <w:abstractNumId w:val="34"/>
  </w:num>
  <w:num w:numId="18">
    <w:abstractNumId w:val="31"/>
  </w:num>
  <w:num w:numId="19">
    <w:abstractNumId w:val="17"/>
  </w:num>
  <w:num w:numId="20">
    <w:abstractNumId w:val="11"/>
  </w:num>
  <w:num w:numId="21">
    <w:abstractNumId w:val="5"/>
  </w:num>
  <w:num w:numId="22">
    <w:abstractNumId w:val="3"/>
  </w:num>
  <w:num w:numId="23">
    <w:abstractNumId w:val="1"/>
  </w:num>
  <w:num w:numId="24">
    <w:abstractNumId w:val="0"/>
  </w:num>
  <w:num w:numId="25">
    <w:abstractNumId w:val="30"/>
  </w:num>
  <w:num w:numId="26">
    <w:abstractNumId w:val="24"/>
  </w:num>
  <w:num w:numId="27">
    <w:abstractNumId w:val="25"/>
  </w:num>
  <w:num w:numId="28">
    <w:abstractNumId w:val="18"/>
  </w:num>
  <w:num w:numId="29">
    <w:abstractNumId w:val="9"/>
  </w:num>
  <w:num w:numId="30">
    <w:abstractNumId w:val="13"/>
  </w:num>
  <w:num w:numId="31">
    <w:abstractNumId w:val="14"/>
  </w:num>
  <w:num w:numId="32">
    <w:abstractNumId w:val="16"/>
  </w:num>
  <w:num w:numId="33">
    <w:abstractNumId w:val="21"/>
  </w:num>
  <w:num w:numId="34">
    <w:abstractNumId w:val="12"/>
  </w:num>
  <w:num w:numId="35">
    <w:abstractNumId w:val="8"/>
  </w:num>
  <w:num w:numId="36">
    <w:abstractNumId w:val="23"/>
  </w:num>
  <w:num w:numId="37">
    <w:abstractNumId w:val="32"/>
  </w:num>
  <w:num w:numId="38">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fr-FR" w:vendorID="64" w:dllVersion="6" w:nlCheck="1" w:checkStyle="0"/>
  <w:activeWritingStyle w:appName="MSWord" w:lang="fr-FR" w:vendorID="64" w:dllVersion="0" w:nlCheck="1" w:checkStyle="0"/>
  <w:activeWritingStyle w:appName="MSWord" w:lang="es-CO" w:vendorID="64" w:dllVersion="0" w:nlCheck="1" w:checkStyle="0"/>
  <w:activeWritingStyle w:appName="MSWord" w:lang="fr-CH" w:vendorID="64" w:dllVersion="0" w:nlCheck="1" w:checkStyle="0"/>
  <w:activeWritingStyle w:appName="MSWord" w:lang="es-E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D43"/>
    <w:rsid w:val="0000140C"/>
    <w:rsid w:val="0000163C"/>
    <w:rsid w:val="0000169F"/>
    <w:rsid w:val="00002222"/>
    <w:rsid w:val="0000222C"/>
    <w:rsid w:val="00002505"/>
    <w:rsid w:val="00003923"/>
    <w:rsid w:val="00003FF1"/>
    <w:rsid w:val="00004872"/>
    <w:rsid w:val="00004E60"/>
    <w:rsid w:val="0000626E"/>
    <w:rsid w:val="000078F8"/>
    <w:rsid w:val="00007FD3"/>
    <w:rsid w:val="0001057B"/>
    <w:rsid w:val="000105C5"/>
    <w:rsid w:val="00010805"/>
    <w:rsid w:val="00010878"/>
    <w:rsid w:val="00011A8E"/>
    <w:rsid w:val="000122F9"/>
    <w:rsid w:val="00012B63"/>
    <w:rsid w:val="00013F5C"/>
    <w:rsid w:val="00014568"/>
    <w:rsid w:val="00014788"/>
    <w:rsid w:val="0001521C"/>
    <w:rsid w:val="00015831"/>
    <w:rsid w:val="00015A33"/>
    <w:rsid w:val="00015DF0"/>
    <w:rsid w:val="00016BA5"/>
    <w:rsid w:val="0002156B"/>
    <w:rsid w:val="00021CC6"/>
    <w:rsid w:val="0002397B"/>
    <w:rsid w:val="00023D1E"/>
    <w:rsid w:val="00024164"/>
    <w:rsid w:val="000245ED"/>
    <w:rsid w:val="000246D1"/>
    <w:rsid w:val="00024ED3"/>
    <w:rsid w:val="0002651A"/>
    <w:rsid w:val="000267E4"/>
    <w:rsid w:val="00026FA5"/>
    <w:rsid w:val="00027C0F"/>
    <w:rsid w:val="00032542"/>
    <w:rsid w:val="0003278E"/>
    <w:rsid w:val="00032EB9"/>
    <w:rsid w:val="000333AA"/>
    <w:rsid w:val="0003375C"/>
    <w:rsid w:val="00033CFF"/>
    <w:rsid w:val="00034364"/>
    <w:rsid w:val="00034683"/>
    <w:rsid w:val="00034BF6"/>
    <w:rsid w:val="0003707F"/>
    <w:rsid w:val="0003723C"/>
    <w:rsid w:val="000373F0"/>
    <w:rsid w:val="000374CE"/>
    <w:rsid w:val="00037943"/>
    <w:rsid w:val="00037A63"/>
    <w:rsid w:val="000401E9"/>
    <w:rsid w:val="00040344"/>
    <w:rsid w:val="00040AAC"/>
    <w:rsid w:val="00041507"/>
    <w:rsid w:val="00042EAA"/>
    <w:rsid w:val="00043327"/>
    <w:rsid w:val="000437EC"/>
    <w:rsid w:val="0004394F"/>
    <w:rsid w:val="00044D72"/>
    <w:rsid w:val="0004535C"/>
    <w:rsid w:val="000453B4"/>
    <w:rsid w:val="00045486"/>
    <w:rsid w:val="00045736"/>
    <w:rsid w:val="000460EB"/>
    <w:rsid w:val="000464F4"/>
    <w:rsid w:val="00047CEE"/>
    <w:rsid w:val="00047EE0"/>
    <w:rsid w:val="00047F89"/>
    <w:rsid w:val="00050612"/>
    <w:rsid w:val="00051696"/>
    <w:rsid w:val="00051E89"/>
    <w:rsid w:val="00052C1C"/>
    <w:rsid w:val="000533A3"/>
    <w:rsid w:val="00054F52"/>
    <w:rsid w:val="000554B1"/>
    <w:rsid w:val="000555E9"/>
    <w:rsid w:val="00055D32"/>
    <w:rsid w:val="000563B5"/>
    <w:rsid w:val="000568BC"/>
    <w:rsid w:val="00057DFA"/>
    <w:rsid w:val="00057EFE"/>
    <w:rsid w:val="000606B4"/>
    <w:rsid w:val="00061D49"/>
    <w:rsid w:val="00061FA4"/>
    <w:rsid w:val="00062219"/>
    <w:rsid w:val="00062C3F"/>
    <w:rsid w:val="000648C6"/>
    <w:rsid w:val="00064D0D"/>
    <w:rsid w:val="00065304"/>
    <w:rsid w:val="00065D24"/>
    <w:rsid w:val="000664C2"/>
    <w:rsid w:val="00067B13"/>
    <w:rsid w:val="00067E2F"/>
    <w:rsid w:val="0007021C"/>
    <w:rsid w:val="000711B0"/>
    <w:rsid w:val="00071381"/>
    <w:rsid w:val="00071495"/>
    <w:rsid w:val="00072261"/>
    <w:rsid w:val="0007275C"/>
    <w:rsid w:val="00072995"/>
    <w:rsid w:val="00072A51"/>
    <w:rsid w:val="00072D0D"/>
    <w:rsid w:val="00073014"/>
    <w:rsid w:val="000731A4"/>
    <w:rsid w:val="000736A9"/>
    <w:rsid w:val="0007694B"/>
    <w:rsid w:val="00076D20"/>
    <w:rsid w:val="000779EA"/>
    <w:rsid w:val="0008023C"/>
    <w:rsid w:val="0008240C"/>
    <w:rsid w:val="000827A3"/>
    <w:rsid w:val="00082A3A"/>
    <w:rsid w:val="00082CC2"/>
    <w:rsid w:val="000831F6"/>
    <w:rsid w:val="00083925"/>
    <w:rsid w:val="00083BF0"/>
    <w:rsid w:val="00083CD9"/>
    <w:rsid w:val="00083D88"/>
    <w:rsid w:val="000847C0"/>
    <w:rsid w:val="00084A4D"/>
    <w:rsid w:val="00084C58"/>
    <w:rsid w:val="0008527A"/>
    <w:rsid w:val="0008639B"/>
    <w:rsid w:val="00086951"/>
    <w:rsid w:val="00086D3D"/>
    <w:rsid w:val="00086DCD"/>
    <w:rsid w:val="00086F81"/>
    <w:rsid w:val="00087F02"/>
    <w:rsid w:val="00090E04"/>
    <w:rsid w:val="00091DA8"/>
    <w:rsid w:val="00092091"/>
    <w:rsid w:val="00092E6D"/>
    <w:rsid w:val="00093086"/>
    <w:rsid w:val="0009412C"/>
    <w:rsid w:val="000942DC"/>
    <w:rsid w:val="000945E5"/>
    <w:rsid w:val="00094A93"/>
    <w:rsid w:val="00095083"/>
    <w:rsid w:val="000950E0"/>
    <w:rsid w:val="0009510C"/>
    <w:rsid w:val="000952E6"/>
    <w:rsid w:val="00095961"/>
    <w:rsid w:val="00096128"/>
    <w:rsid w:val="00096A69"/>
    <w:rsid w:val="00097A36"/>
    <w:rsid w:val="000A0427"/>
    <w:rsid w:val="000A0CD5"/>
    <w:rsid w:val="000A0D69"/>
    <w:rsid w:val="000A21D7"/>
    <w:rsid w:val="000A2874"/>
    <w:rsid w:val="000A4189"/>
    <w:rsid w:val="000A4884"/>
    <w:rsid w:val="000A593C"/>
    <w:rsid w:val="000A5F8C"/>
    <w:rsid w:val="000A60E3"/>
    <w:rsid w:val="000A77DC"/>
    <w:rsid w:val="000B0056"/>
    <w:rsid w:val="000B140F"/>
    <w:rsid w:val="000B1B66"/>
    <w:rsid w:val="000B365B"/>
    <w:rsid w:val="000B3827"/>
    <w:rsid w:val="000B5709"/>
    <w:rsid w:val="000B6626"/>
    <w:rsid w:val="000B6C31"/>
    <w:rsid w:val="000C01CD"/>
    <w:rsid w:val="000C0361"/>
    <w:rsid w:val="000C06D0"/>
    <w:rsid w:val="000C109A"/>
    <w:rsid w:val="000C1112"/>
    <w:rsid w:val="000C1419"/>
    <w:rsid w:val="000C1773"/>
    <w:rsid w:val="000C19AB"/>
    <w:rsid w:val="000C2528"/>
    <w:rsid w:val="000C2F70"/>
    <w:rsid w:val="000C399B"/>
    <w:rsid w:val="000C5287"/>
    <w:rsid w:val="000C556D"/>
    <w:rsid w:val="000C6CAA"/>
    <w:rsid w:val="000C764B"/>
    <w:rsid w:val="000C77D4"/>
    <w:rsid w:val="000C77FD"/>
    <w:rsid w:val="000C7C43"/>
    <w:rsid w:val="000D066D"/>
    <w:rsid w:val="000D1229"/>
    <w:rsid w:val="000D1479"/>
    <w:rsid w:val="000D2454"/>
    <w:rsid w:val="000D2E99"/>
    <w:rsid w:val="000D33D2"/>
    <w:rsid w:val="000D36E0"/>
    <w:rsid w:val="000D3D47"/>
    <w:rsid w:val="000D4317"/>
    <w:rsid w:val="000D453E"/>
    <w:rsid w:val="000D4FC5"/>
    <w:rsid w:val="000D5420"/>
    <w:rsid w:val="000D5BC7"/>
    <w:rsid w:val="000D71AF"/>
    <w:rsid w:val="000D77AD"/>
    <w:rsid w:val="000E0047"/>
    <w:rsid w:val="000E04E3"/>
    <w:rsid w:val="000E0512"/>
    <w:rsid w:val="000E1490"/>
    <w:rsid w:val="000E1850"/>
    <w:rsid w:val="000E19D9"/>
    <w:rsid w:val="000E1A14"/>
    <w:rsid w:val="000E23F6"/>
    <w:rsid w:val="000E3F38"/>
    <w:rsid w:val="000E4054"/>
    <w:rsid w:val="000E50BF"/>
    <w:rsid w:val="000E5559"/>
    <w:rsid w:val="000E5D75"/>
    <w:rsid w:val="000E605B"/>
    <w:rsid w:val="000E6653"/>
    <w:rsid w:val="000E6BBA"/>
    <w:rsid w:val="000E7076"/>
    <w:rsid w:val="000E7D2E"/>
    <w:rsid w:val="000F08C3"/>
    <w:rsid w:val="000F09F4"/>
    <w:rsid w:val="000F0DEF"/>
    <w:rsid w:val="000F10CE"/>
    <w:rsid w:val="000F11C0"/>
    <w:rsid w:val="000F12E7"/>
    <w:rsid w:val="000F1696"/>
    <w:rsid w:val="000F233C"/>
    <w:rsid w:val="000F2B43"/>
    <w:rsid w:val="000F360D"/>
    <w:rsid w:val="000F474A"/>
    <w:rsid w:val="000F4E2A"/>
    <w:rsid w:val="000F5DC9"/>
    <w:rsid w:val="000F5F87"/>
    <w:rsid w:val="000F62F1"/>
    <w:rsid w:val="000F68DB"/>
    <w:rsid w:val="000F6D6F"/>
    <w:rsid w:val="000F7F84"/>
    <w:rsid w:val="00101071"/>
    <w:rsid w:val="001015DF"/>
    <w:rsid w:val="001016AE"/>
    <w:rsid w:val="00103072"/>
    <w:rsid w:val="001043CE"/>
    <w:rsid w:val="001046DF"/>
    <w:rsid w:val="00105CFB"/>
    <w:rsid w:val="00106569"/>
    <w:rsid w:val="001067CB"/>
    <w:rsid w:val="00107B8C"/>
    <w:rsid w:val="00107F05"/>
    <w:rsid w:val="00111469"/>
    <w:rsid w:val="001114FA"/>
    <w:rsid w:val="00111D4E"/>
    <w:rsid w:val="001122D5"/>
    <w:rsid w:val="00112B50"/>
    <w:rsid w:val="00113B8D"/>
    <w:rsid w:val="00113FD1"/>
    <w:rsid w:val="00114BA3"/>
    <w:rsid w:val="00115B7A"/>
    <w:rsid w:val="00115FC4"/>
    <w:rsid w:val="001167EC"/>
    <w:rsid w:val="00116DC8"/>
    <w:rsid w:val="00116DF7"/>
    <w:rsid w:val="00117FCB"/>
    <w:rsid w:val="00120328"/>
    <w:rsid w:val="00121202"/>
    <w:rsid w:val="001216FB"/>
    <w:rsid w:val="00122089"/>
    <w:rsid w:val="00123385"/>
    <w:rsid w:val="0012386D"/>
    <w:rsid w:val="00123CE5"/>
    <w:rsid w:val="00124430"/>
    <w:rsid w:val="00124651"/>
    <w:rsid w:val="00125298"/>
    <w:rsid w:val="00125A17"/>
    <w:rsid w:val="001262A0"/>
    <w:rsid w:val="00127A50"/>
    <w:rsid w:val="001300E9"/>
    <w:rsid w:val="001308AA"/>
    <w:rsid w:val="00134499"/>
    <w:rsid w:val="00135FE4"/>
    <w:rsid w:val="00136907"/>
    <w:rsid w:val="00136A56"/>
    <w:rsid w:val="00136EF1"/>
    <w:rsid w:val="00140FEE"/>
    <w:rsid w:val="00142431"/>
    <w:rsid w:val="00142F3D"/>
    <w:rsid w:val="00143477"/>
    <w:rsid w:val="001434ED"/>
    <w:rsid w:val="00143866"/>
    <w:rsid w:val="00143869"/>
    <w:rsid w:val="00143E7D"/>
    <w:rsid w:val="0014406E"/>
    <w:rsid w:val="00144799"/>
    <w:rsid w:val="00144A71"/>
    <w:rsid w:val="001452D7"/>
    <w:rsid w:val="001457DC"/>
    <w:rsid w:val="00146099"/>
    <w:rsid w:val="001463D7"/>
    <w:rsid w:val="001473BF"/>
    <w:rsid w:val="00150C92"/>
    <w:rsid w:val="00151E55"/>
    <w:rsid w:val="001536FC"/>
    <w:rsid w:val="0015539B"/>
    <w:rsid w:val="00155970"/>
    <w:rsid w:val="00155AC4"/>
    <w:rsid w:val="00155D1C"/>
    <w:rsid w:val="00155D7A"/>
    <w:rsid w:val="00155E34"/>
    <w:rsid w:val="00156000"/>
    <w:rsid w:val="001577E3"/>
    <w:rsid w:val="00160718"/>
    <w:rsid w:val="00160A54"/>
    <w:rsid w:val="00160CB7"/>
    <w:rsid w:val="001615CC"/>
    <w:rsid w:val="00161735"/>
    <w:rsid w:val="00165580"/>
    <w:rsid w:val="0016563F"/>
    <w:rsid w:val="001659E1"/>
    <w:rsid w:val="00165A85"/>
    <w:rsid w:val="001663B8"/>
    <w:rsid w:val="001673AB"/>
    <w:rsid w:val="001673DC"/>
    <w:rsid w:val="00167DBE"/>
    <w:rsid w:val="00167F84"/>
    <w:rsid w:val="001702DE"/>
    <w:rsid w:val="001703C7"/>
    <w:rsid w:val="0017094D"/>
    <w:rsid w:val="00171DA1"/>
    <w:rsid w:val="00172091"/>
    <w:rsid w:val="00173E95"/>
    <w:rsid w:val="00173FDF"/>
    <w:rsid w:val="00174276"/>
    <w:rsid w:val="001758DE"/>
    <w:rsid w:val="001759E6"/>
    <w:rsid w:val="00175B58"/>
    <w:rsid w:val="00175E09"/>
    <w:rsid w:val="00177A35"/>
    <w:rsid w:val="001800D1"/>
    <w:rsid w:val="001803D3"/>
    <w:rsid w:val="00180522"/>
    <w:rsid w:val="00180FE0"/>
    <w:rsid w:val="00181442"/>
    <w:rsid w:val="00181523"/>
    <w:rsid w:val="00182FBD"/>
    <w:rsid w:val="001834A0"/>
    <w:rsid w:val="00183E89"/>
    <w:rsid w:val="0018413B"/>
    <w:rsid w:val="00184198"/>
    <w:rsid w:val="00184AE6"/>
    <w:rsid w:val="00186680"/>
    <w:rsid w:val="0018708F"/>
    <w:rsid w:val="00191B1A"/>
    <w:rsid w:val="00192CD9"/>
    <w:rsid w:val="00194D44"/>
    <w:rsid w:val="00194F77"/>
    <w:rsid w:val="001951B6"/>
    <w:rsid w:val="00195340"/>
    <w:rsid w:val="001954C9"/>
    <w:rsid w:val="0019565B"/>
    <w:rsid w:val="00195688"/>
    <w:rsid w:val="001958EF"/>
    <w:rsid w:val="00195C0A"/>
    <w:rsid w:val="0019679D"/>
    <w:rsid w:val="001968B7"/>
    <w:rsid w:val="00196B8F"/>
    <w:rsid w:val="0019797F"/>
    <w:rsid w:val="001A14F3"/>
    <w:rsid w:val="001A16EB"/>
    <w:rsid w:val="001A1C05"/>
    <w:rsid w:val="001A2158"/>
    <w:rsid w:val="001A2829"/>
    <w:rsid w:val="001A37C8"/>
    <w:rsid w:val="001A3EF0"/>
    <w:rsid w:val="001A4357"/>
    <w:rsid w:val="001A5106"/>
    <w:rsid w:val="001A5609"/>
    <w:rsid w:val="001A5838"/>
    <w:rsid w:val="001A5D0C"/>
    <w:rsid w:val="001A6808"/>
    <w:rsid w:val="001A6D43"/>
    <w:rsid w:val="001A6DB6"/>
    <w:rsid w:val="001A74C0"/>
    <w:rsid w:val="001A7970"/>
    <w:rsid w:val="001B00EC"/>
    <w:rsid w:val="001B0878"/>
    <w:rsid w:val="001B0C01"/>
    <w:rsid w:val="001B0D76"/>
    <w:rsid w:val="001B2774"/>
    <w:rsid w:val="001B28E4"/>
    <w:rsid w:val="001B31AB"/>
    <w:rsid w:val="001B3932"/>
    <w:rsid w:val="001B3E90"/>
    <w:rsid w:val="001B4F89"/>
    <w:rsid w:val="001B6021"/>
    <w:rsid w:val="001B6973"/>
    <w:rsid w:val="001B71D4"/>
    <w:rsid w:val="001B720F"/>
    <w:rsid w:val="001B7C5B"/>
    <w:rsid w:val="001C0D8C"/>
    <w:rsid w:val="001C275C"/>
    <w:rsid w:val="001C28BB"/>
    <w:rsid w:val="001C30EF"/>
    <w:rsid w:val="001C37A8"/>
    <w:rsid w:val="001C46B6"/>
    <w:rsid w:val="001C494F"/>
    <w:rsid w:val="001C5654"/>
    <w:rsid w:val="001C5889"/>
    <w:rsid w:val="001C6A23"/>
    <w:rsid w:val="001C7173"/>
    <w:rsid w:val="001D0080"/>
    <w:rsid w:val="001D0300"/>
    <w:rsid w:val="001D1129"/>
    <w:rsid w:val="001D1654"/>
    <w:rsid w:val="001D1817"/>
    <w:rsid w:val="001D26FA"/>
    <w:rsid w:val="001D2CD9"/>
    <w:rsid w:val="001D54AD"/>
    <w:rsid w:val="001D573C"/>
    <w:rsid w:val="001D5B6B"/>
    <w:rsid w:val="001D6D2D"/>
    <w:rsid w:val="001D7155"/>
    <w:rsid w:val="001D7B96"/>
    <w:rsid w:val="001E0661"/>
    <w:rsid w:val="001E0F6F"/>
    <w:rsid w:val="001E1147"/>
    <w:rsid w:val="001E122D"/>
    <w:rsid w:val="001E2644"/>
    <w:rsid w:val="001E2DAD"/>
    <w:rsid w:val="001E4EDB"/>
    <w:rsid w:val="001E5368"/>
    <w:rsid w:val="001E5397"/>
    <w:rsid w:val="001E5B77"/>
    <w:rsid w:val="001E5EB0"/>
    <w:rsid w:val="001E6AEA"/>
    <w:rsid w:val="001E6E8F"/>
    <w:rsid w:val="001E777C"/>
    <w:rsid w:val="001F0198"/>
    <w:rsid w:val="001F01C3"/>
    <w:rsid w:val="001F0830"/>
    <w:rsid w:val="001F08FB"/>
    <w:rsid w:val="001F0C31"/>
    <w:rsid w:val="001F11AD"/>
    <w:rsid w:val="001F2C82"/>
    <w:rsid w:val="001F2D5C"/>
    <w:rsid w:val="001F30DE"/>
    <w:rsid w:val="001F3576"/>
    <w:rsid w:val="001F36B9"/>
    <w:rsid w:val="001F375B"/>
    <w:rsid w:val="001F49C8"/>
    <w:rsid w:val="001F55D3"/>
    <w:rsid w:val="001F5E41"/>
    <w:rsid w:val="001F5ED2"/>
    <w:rsid w:val="001F61DC"/>
    <w:rsid w:val="001F6CAC"/>
    <w:rsid w:val="001F724D"/>
    <w:rsid w:val="001F7D83"/>
    <w:rsid w:val="00200DE6"/>
    <w:rsid w:val="002013A1"/>
    <w:rsid w:val="002026E9"/>
    <w:rsid w:val="00203D88"/>
    <w:rsid w:val="00204616"/>
    <w:rsid w:val="00204F07"/>
    <w:rsid w:val="0020702B"/>
    <w:rsid w:val="0020768A"/>
    <w:rsid w:val="002078CC"/>
    <w:rsid w:val="00210B79"/>
    <w:rsid w:val="00210CA6"/>
    <w:rsid w:val="002125CD"/>
    <w:rsid w:val="00212B30"/>
    <w:rsid w:val="0021319C"/>
    <w:rsid w:val="002136F6"/>
    <w:rsid w:val="00213AB9"/>
    <w:rsid w:val="0021417E"/>
    <w:rsid w:val="00214AE3"/>
    <w:rsid w:val="002162C3"/>
    <w:rsid w:val="0021687B"/>
    <w:rsid w:val="00217462"/>
    <w:rsid w:val="002175D1"/>
    <w:rsid w:val="00220082"/>
    <w:rsid w:val="00220CF1"/>
    <w:rsid w:val="00221F95"/>
    <w:rsid w:val="00222C54"/>
    <w:rsid w:val="002236A2"/>
    <w:rsid w:val="002244F3"/>
    <w:rsid w:val="002258B4"/>
    <w:rsid w:val="0022716D"/>
    <w:rsid w:val="002276B8"/>
    <w:rsid w:val="00232FAA"/>
    <w:rsid w:val="00233149"/>
    <w:rsid w:val="00235677"/>
    <w:rsid w:val="00235718"/>
    <w:rsid w:val="0023573D"/>
    <w:rsid w:val="00235C12"/>
    <w:rsid w:val="002360F7"/>
    <w:rsid w:val="00236ABD"/>
    <w:rsid w:val="002379CF"/>
    <w:rsid w:val="002409C6"/>
    <w:rsid w:val="00240BDA"/>
    <w:rsid w:val="00241277"/>
    <w:rsid w:val="00242317"/>
    <w:rsid w:val="002431CD"/>
    <w:rsid w:val="0024371B"/>
    <w:rsid w:val="002437E2"/>
    <w:rsid w:val="00243B9F"/>
    <w:rsid w:val="00244089"/>
    <w:rsid w:val="0024588E"/>
    <w:rsid w:val="00246F84"/>
    <w:rsid w:val="00247421"/>
    <w:rsid w:val="00247F5B"/>
    <w:rsid w:val="00250939"/>
    <w:rsid w:val="0025167A"/>
    <w:rsid w:val="002519AF"/>
    <w:rsid w:val="002522DA"/>
    <w:rsid w:val="0025261A"/>
    <w:rsid w:val="00252B83"/>
    <w:rsid w:val="00253402"/>
    <w:rsid w:val="002534EE"/>
    <w:rsid w:val="002541BC"/>
    <w:rsid w:val="00254A00"/>
    <w:rsid w:val="00255214"/>
    <w:rsid w:val="00256C4B"/>
    <w:rsid w:val="002571C0"/>
    <w:rsid w:val="002606A3"/>
    <w:rsid w:val="00261062"/>
    <w:rsid w:val="00261881"/>
    <w:rsid w:val="0026190E"/>
    <w:rsid w:val="00261F00"/>
    <w:rsid w:val="00262800"/>
    <w:rsid w:val="0026285A"/>
    <w:rsid w:val="0026678E"/>
    <w:rsid w:val="00266CB1"/>
    <w:rsid w:val="002672A2"/>
    <w:rsid w:val="00267E96"/>
    <w:rsid w:val="00267FAE"/>
    <w:rsid w:val="00270B63"/>
    <w:rsid w:val="00271814"/>
    <w:rsid w:val="00272844"/>
    <w:rsid w:val="00272C70"/>
    <w:rsid w:val="00273213"/>
    <w:rsid w:val="0027342E"/>
    <w:rsid w:val="00273549"/>
    <w:rsid w:val="00273608"/>
    <w:rsid w:val="0027396C"/>
    <w:rsid w:val="00273A00"/>
    <w:rsid w:val="00273BA9"/>
    <w:rsid w:val="0027401E"/>
    <w:rsid w:val="00277665"/>
    <w:rsid w:val="00277B72"/>
    <w:rsid w:val="00280D12"/>
    <w:rsid w:val="002811F6"/>
    <w:rsid w:val="00282672"/>
    <w:rsid w:val="00282D0E"/>
    <w:rsid w:val="00282EDF"/>
    <w:rsid w:val="0028435B"/>
    <w:rsid w:val="00284EE7"/>
    <w:rsid w:val="002857E4"/>
    <w:rsid w:val="00285A20"/>
    <w:rsid w:val="00286D30"/>
    <w:rsid w:val="00287077"/>
    <w:rsid w:val="00287743"/>
    <w:rsid w:val="00290069"/>
    <w:rsid w:val="00292415"/>
    <w:rsid w:val="002932E3"/>
    <w:rsid w:val="00293AF2"/>
    <w:rsid w:val="00293B8F"/>
    <w:rsid w:val="00294F3D"/>
    <w:rsid w:val="00295B59"/>
    <w:rsid w:val="00296074"/>
    <w:rsid w:val="00297061"/>
    <w:rsid w:val="00297A9C"/>
    <w:rsid w:val="002A1103"/>
    <w:rsid w:val="002A1BB9"/>
    <w:rsid w:val="002A2966"/>
    <w:rsid w:val="002A34E6"/>
    <w:rsid w:val="002A4FEE"/>
    <w:rsid w:val="002A6A93"/>
    <w:rsid w:val="002B19CF"/>
    <w:rsid w:val="002B2111"/>
    <w:rsid w:val="002B2851"/>
    <w:rsid w:val="002B3667"/>
    <w:rsid w:val="002B3A3A"/>
    <w:rsid w:val="002B4310"/>
    <w:rsid w:val="002B5172"/>
    <w:rsid w:val="002B52EC"/>
    <w:rsid w:val="002B5979"/>
    <w:rsid w:val="002B60E2"/>
    <w:rsid w:val="002B652E"/>
    <w:rsid w:val="002B67D0"/>
    <w:rsid w:val="002B73CF"/>
    <w:rsid w:val="002B7F8C"/>
    <w:rsid w:val="002C0BD1"/>
    <w:rsid w:val="002C20D2"/>
    <w:rsid w:val="002C2866"/>
    <w:rsid w:val="002C2D31"/>
    <w:rsid w:val="002C3B16"/>
    <w:rsid w:val="002C3BB2"/>
    <w:rsid w:val="002C4E5B"/>
    <w:rsid w:val="002C580F"/>
    <w:rsid w:val="002C5E71"/>
    <w:rsid w:val="002C618D"/>
    <w:rsid w:val="002C6C9E"/>
    <w:rsid w:val="002C79B0"/>
    <w:rsid w:val="002D082E"/>
    <w:rsid w:val="002D119C"/>
    <w:rsid w:val="002D1649"/>
    <w:rsid w:val="002D17D9"/>
    <w:rsid w:val="002D18EC"/>
    <w:rsid w:val="002D2F33"/>
    <w:rsid w:val="002D3EFA"/>
    <w:rsid w:val="002D43AF"/>
    <w:rsid w:val="002D463F"/>
    <w:rsid w:val="002D47C8"/>
    <w:rsid w:val="002D4FC8"/>
    <w:rsid w:val="002D5CEC"/>
    <w:rsid w:val="002D5E76"/>
    <w:rsid w:val="002D633F"/>
    <w:rsid w:val="002D6531"/>
    <w:rsid w:val="002D673D"/>
    <w:rsid w:val="002D6EF4"/>
    <w:rsid w:val="002E2A0B"/>
    <w:rsid w:val="002E4C70"/>
    <w:rsid w:val="002E5784"/>
    <w:rsid w:val="002E658E"/>
    <w:rsid w:val="002E6839"/>
    <w:rsid w:val="002E68A9"/>
    <w:rsid w:val="002F01BD"/>
    <w:rsid w:val="002F0DD6"/>
    <w:rsid w:val="002F0E38"/>
    <w:rsid w:val="002F15C4"/>
    <w:rsid w:val="002F15C8"/>
    <w:rsid w:val="002F1CBD"/>
    <w:rsid w:val="002F225B"/>
    <w:rsid w:val="002F23F8"/>
    <w:rsid w:val="002F336E"/>
    <w:rsid w:val="002F37E4"/>
    <w:rsid w:val="002F3F17"/>
    <w:rsid w:val="002F40C6"/>
    <w:rsid w:val="002F500B"/>
    <w:rsid w:val="002F62A6"/>
    <w:rsid w:val="002F6519"/>
    <w:rsid w:val="002F702B"/>
    <w:rsid w:val="002F74D4"/>
    <w:rsid w:val="002F7611"/>
    <w:rsid w:val="00300CBA"/>
    <w:rsid w:val="00302657"/>
    <w:rsid w:val="003032F1"/>
    <w:rsid w:val="003040F1"/>
    <w:rsid w:val="003046CE"/>
    <w:rsid w:val="00306326"/>
    <w:rsid w:val="0030657A"/>
    <w:rsid w:val="00310F18"/>
    <w:rsid w:val="00311216"/>
    <w:rsid w:val="0031157E"/>
    <w:rsid w:val="00311B9B"/>
    <w:rsid w:val="00312158"/>
    <w:rsid w:val="003132DD"/>
    <w:rsid w:val="00313560"/>
    <w:rsid w:val="00313DE1"/>
    <w:rsid w:val="0031468E"/>
    <w:rsid w:val="00314E2C"/>
    <w:rsid w:val="00315436"/>
    <w:rsid w:val="0031655F"/>
    <w:rsid w:val="00317140"/>
    <w:rsid w:val="00317329"/>
    <w:rsid w:val="00317510"/>
    <w:rsid w:val="003207E7"/>
    <w:rsid w:val="00321BAB"/>
    <w:rsid w:val="00321DC4"/>
    <w:rsid w:val="00321E20"/>
    <w:rsid w:val="00323060"/>
    <w:rsid w:val="003232FD"/>
    <w:rsid w:val="00323751"/>
    <w:rsid w:val="003239D7"/>
    <w:rsid w:val="003239FD"/>
    <w:rsid w:val="00324425"/>
    <w:rsid w:val="003252C7"/>
    <w:rsid w:val="00325808"/>
    <w:rsid w:val="00325BAA"/>
    <w:rsid w:val="00325C05"/>
    <w:rsid w:val="00327C00"/>
    <w:rsid w:val="00330325"/>
    <w:rsid w:val="0033037C"/>
    <w:rsid w:val="00330508"/>
    <w:rsid w:val="003313FE"/>
    <w:rsid w:val="0033393D"/>
    <w:rsid w:val="00333E5A"/>
    <w:rsid w:val="0033412F"/>
    <w:rsid w:val="0033447D"/>
    <w:rsid w:val="003351C3"/>
    <w:rsid w:val="003351EF"/>
    <w:rsid w:val="00335443"/>
    <w:rsid w:val="003358E6"/>
    <w:rsid w:val="00335B85"/>
    <w:rsid w:val="00335E62"/>
    <w:rsid w:val="0033606E"/>
    <w:rsid w:val="00337136"/>
    <w:rsid w:val="00337A18"/>
    <w:rsid w:val="00337FC8"/>
    <w:rsid w:val="003400E1"/>
    <w:rsid w:val="0034036E"/>
    <w:rsid w:val="00341832"/>
    <w:rsid w:val="003419BA"/>
    <w:rsid w:val="00342279"/>
    <w:rsid w:val="00344CDC"/>
    <w:rsid w:val="00344F18"/>
    <w:rsid w:val="00344F32"/>
    <w:rsid w:val="003450A7"/>
    <w:rsid w:val="00345610"/>
    <w:rsid w:val="00345CCB"/>
    <w:rsid w:val="00346220"/>
    <w:rsid w:val="00346DF0"/>
    <w:rsid w:val="00346F99"/>
    <w:rsid w:val="00350248"/>
    <w:rsid w:val="003506F3"/>
    <w:rsid w:val="00351083"/>
    <w:rsid w:val="003510CE"/>
    <w:rsid w:val="00352249"/>
    <w:rsid w:val="003547B9"/>
    <w:rsid w:val="003560E6"/>
    <w:rsid w:val="003603C7"/>
    <w:rsid w:val="003610E2"/>
    <w:rsid w:val="00361B19"/>
    <w:rsid w:val="00362C55"/>
    <w:rsid w:val="003641D1"/>
    <w:rsid w:val="00364FAD"/>
    <w:rsid w:val="0036507E"/>
    <w:rsid w:val="00365D2A"/>
    <w:rsid w:val="00366F98"/>
    <w:rsid w:val="003671DA"/>
    <w:rsid w:val="00367749"/>
    <w:rsid w:val="00367984"/>
    <w:rsid w:val="00367E40"/>
    <w:rsid w:val="003707FE"/>
    <w:rsid w:val="00370BFD"/>
    <w:rsid w:val="003718AC"/>
    <w:rsid w:val="00371B60"/>
    <w:rsid w:val="003738A6"/>
    <w:rsid w:val="00373D43"/>
    <w:rsid w:val="00374019"/>
    <w:rsid w:val="00374D62"/>
    <w:rsid w:val="00375537"/>
    <w:rsid w:val="0037553F"/>
    <w:rsid w:val="00376554"/>
    <w:rsid w:val="00377347"/>
    <w:rsid w:val="0037763C"/>
    <w:rsid w:val="00377867"/>
    <w:rsid w:val="003779BB"/>
    <w:rsid w:val="003810C5"/>
    <w:rsid w:val="00381697"/>
    <w:rsid w:val="00381E67"/>
    <w:rsid w:val="00382610"/>
    <w:rsid w:val="00383506"/>
    <w:rsid w:val="00383C4C"/>
    <w:rsid w:val="003849B9"/>
    <w:rsid w:val="00385A6D"/>
    <w:rsid w:val="00386B08"/>
    <w:rsid w:val="00387161"/>
    <w:rsid w:val="003908F6"/>
    <w:rsid w:val="0039134D"/>
    <w:rsid w:val="0039175E"/>
    <w:rsid w:val="003919C6"/>
    <w:rsid w:val="00392C04"/>
    <w:rsid w:val="00392C57"/>
    <w:rsid w:val="0039300F"/>
    <w:rsid w:val="0039331F"/>
    <w:rsid w:val="00393440"/>
    <w:rsid w:val="00393834"/>
    <w:rsid w:val="00393AE8"/>
    <w:rsid w:val="003943D7"/>
    <w:rsid w:val="00394B6C"/>
    <w:rsid w:val="003958DA"/>
    <w:rsid w:val="003959D8"/>
    <w:rsid w:val="00395C7F"/>
    <w:rsid w:val="0039641C"/>
    <w:rsid w:val="003972E5"/>
    <w:rsid w:val="003A001F"/>
    <w:rsid w:val="003A0D11"/>
    <w:rsid w:val="003A13FC"/>
    <w:rsid w:val="003A20C3"/>
    <w:rsid w:val="003A2714"/>
    <w:rsid w:val="003A3D45"/>
    <w:rsid w:val="003A4212"/>
    <w:rsid w:val="003A5986"/>
    <w:rsid w:val="003A6833"/>
    <w:rsid w:val="003A7DFD"/>
    <w:rsid w:val="003A7E77"/>
    <w:rsid w:val="003B1824"/>
    <w:rsid w:val="003B22A3"/>
    <w:rsid w:val="003B22B6"/>
    <w:rsid w:val="003B22EC"/>
    <w:rsid w:val="003B2306"/>
    <w:rsid w:val="003B2AD1"/>
    <w:rsid w:val="003B3075"/>
    <w:rsid w:val="003B37DB"/>
    <w:rsid w:val="003B4C77"/>
    <w:rsid w:val="003B56F6"/>
    <w:rsid w:val="003B577A"/>
    <w:rsid w:val="003B6C24"/>
    <w:rsid w:val="003B7051"/>
    <w:rsid w:val="003B7325"/>
    <w:rsid w:val="003B7BA9"/>
    <w:rsid w:val="003C0BD5"/>
    <w:rsid w:val="003C1080"/>
    <w:rsid w:val="003C1FE2"/>
    <w:rsid w:val="003C3100"/>
    <w:rsid w:val="003C3CA8"/>
    <w:rsid w:val="003C42E5"/>
    <w:rsid w:val="003C44C9"/>
    <w:rsid w:val="003C4902"/>
    <w:rsid w:val="003C4BC5"/>
    <w:rsid w:val="003C5177"/>
    <w:rsid w:val="003C7372"/>
    <w:rsid w:val="003D04D2"/>
    <w:rsid w:val="003D0D76"/>
    <w:rsid w:val="003D14F9"/>
    <w:rsid w:val="003D33A9"/>
    <w:rsid w:val="003D4120"/>
    <w:rsid w:val="003D479E"/>
    <w:rsid w:val="003D4F6B"/>
    <w:rsid w:val="003D603F"/>
    <w:rsid w:val="003D731A"/>
    <w:rsid w:val="003D7773"/>
    <w:rsid w:val="003E00DF"/>
    <w:rsid w:val="003E0D98"/>
    <w:rsid w:val="003E1500"/>
    <w:rsid w:val="003E1574"/>
    <w:rsid w:val="003E1D04"/>
    <w:rsid w:val="003E1E37"/>
    <w:rsid w:val="003E2374"/>
    <w:rsid w:val="003E2490"/>
    <w:rsid w:val="003E296E"/>
    <w:rsid w:val="003E30E6"/>
    <w:rsid w:val="003E45AF"/>
    <w:rsid w:val="003E4E71"/>
    <w:rsid w:val="003E5599"/>
    <w:rsid w:val="003E633C"/>
    <w:rsid w:val="003F02CD"/>
    <w:rsid w:val="003F1AF5"/>
    <w:rsid w:val="003F2708"/>
    <w:rsid w:val="003F28D7"/>
    <w:rsid w:val="003F2924"/>
    <w:rsid w:val="003F3019"/>
    <w:rsid w:val="003F36F7"/>
    <w:rsid w:val="003F40B4"/>
    <w:rsid w:val="003F4FC4"/>
    <w:rsid w:val="003F58B9"/>
    <w:rsid w:val="003F677C"/>
    <w:rsid w:val="003F6E61"/>
    <w:rsid w:val="003F7912"/>
    <w:rsid w:val="003F7D47"/>
    <w:rsid w:val="00401B95"/>
    <w:rsid w:val="00403A2F"/>
    <w:rsid w:val="00403A96"/>
    <w:rsid w:val="00403EC2"/>
    <w:rsid w:val="00404AD8"/>
    <w:rsid w:val="0040651F"/>
    <w:rsid w:val="0040738A"/>
    <w:rsid w:val="004079CB"/>
    <w:rsid w:val="00407A50"/>
    <w:rsid w:val="00407C81"/>
    <w:rsid w:val="00407CBD"/>
    <w:rsid w:val="00410010"/>
    <w:rsid w:val="00410E97"/>
    <w:rsid w:val="004115D6"/>
    <w:rsid w:val="00411861"/>
    <w:rsid w:val="00411880"/>
    <w:rsid w:val="00411F63"/>
    <w:rsid w:val="00412E28"/>
    <w:rsid w:val="00413321"/>
    <w:rsid w:val="00413834"/>
    <w:rsid w:val="0041487A"/>
    <w:rsid w:val="00415A05"/>
    <w:rsid w:val="00415C79"/>
    <w:rsid w:val="0041610D"/>
    <w:rsid w:val="00416693"/>
    <w:rsid w:val="004178F8"/>
    <w:rsid w:val="0042082E"/>
    <w:rsid w:val="004209FC"/>
    <w:rsid w:val="00420ED1"/>
    <w:rsid w:val="00421E69"/>
    <w:rsid w:val="00422088"/>
    <w:rsid w:val="0042281A"/>
    <w:rsid w:val="00423093"/>
    <w:rsid w:val="00423426"/>
    <w:rsid w:val="004240FA"/>
    <w:rsid w:val="004244D4"/>
    <w:rsid w:val="0042455A"/>
    <w:rsid w:val="0042516D"/>
    <w:rsid w:val="004254AB"/>
    <w:rsid w:val="004258B1"/>
    <w:rsid w:val="00425D3B"/>
    <w:rsid w:val="00426673"/>
    <w:rsid w:val="004269DE"/>
    <w:rsid w:val="004271EF"/>
    <w:rsid w:val="0042733D"/>
    <w:rsid w:val="004277FB"/>
    <w:rsid w:val="004278A8"/>
    <w:rsid w:val="00427B15"/>
    <w:rsid w:val="00431173"/>
    <w:rsid w:val="0043208E"/>
    <w:rsid w:val="004337D4"/>
    <w:rsid w:val="004347E4"/>
    <w:rsid w:val="00434809"/>
    <w:rsid w:val="004349D9"/>
    <w:rsid w:val="004349FA"/>
    <w:rsid w:val="00434A8E"/>
    <w:rsid w:val="00434EEB"/>
    <w:rsid w:val="00435186"/>
    <w:rsid w:val="00436746"/>
    <w:rsid w:val="004369C7"/>
    <w:rsid w:val="004373E4"/>
    <w:rsid w:val="00440657"/>
    <w:rsid w:val="004406DA"/>
    <w:rsid w:val="00440EA1"/>
    <w:rsid w:val="004421E8"/>
    <w:rsid w:val="004427AC"/>
    <w:rsid w:val="00442997"/>
    <w:rsid w:val="00442A14"/>
    <w:rsid w:val="00443B02"/>
    <w:rsid w:val="00443DF0"/>
    <w:rsid w:val="0044461C"/>
    <w:rsid w:val="00444D95"/>
    <w:rsid w:val="0044529F"/>
    <w:rsid w:val="004467E5"/>
    <w:rsid w:val="00446E13"/>
    <w:rsid w:val="004501D5"/>
    <w:rsid w:val="00450233"/>
    <w:rsid w:val="0045124B"/>
    <w:rsid w:val="00451C6D"/>
    <w:rsid w:val="00451EBF"/>
    <w:rsid w:val="004521C5"/>
    <w:rsid w:val="0045255F"/>
    <w:rsid w:val="004528C5"/>
    <w:rsid w:val="00453010"/>
    <w:rsid w:val="00453196"/>
    <w:rsid w:val="00453258"/>
    <w:rsid w:val="00453759"/>
    <w:rsid w:val="00454EC6"/>
    <w:rsid w:val="004551B0"/>
    <w:rsid w:val="00455358"/>
    <w:rsid w:val="004565CD"/>
    <w:rsid w:val="0045687F"/>
    <w:rsid w:val="004572BB"/>
    <w:rsid w:val="00457E37"/>
    <w:rsid w:val="00460909"/>
    <w:rsid w:val="00461144"/>
    <w:rsid w:val="004615BE"/>
    <w:rsid w:val="00461720"/>
    <w:rsid w:val="004627C0"/>
    <w:rsid w:val="00463B40"/>
    <w:rsid w:val="0046404B"/>
    <w:rsid w:val="00464221"/>
    <w:rsid w:val="00466315"/>
    <w:rsid w:val="004664AD"/>
    <w:rsid w:val="004668BC"/>
    <w:rsid w:val="004668E2"/>
    <w:rsid w:val="00470641"/>
    <w:rsid w:val="0047095D"/>
    <w:rsid w:val="00472548"/>
    <w:rsid w:val="0047288C"/>
    <w:rsid w:val="00472B84"/>
    <w:rsid w:val="00472CFA"/>
    <w:rsid w:val="00472D44"/>
    <w:rsid w:val="00474B7D"/>
    <w:rsid w:val="0047677A"/>
    <w:rsid w:val="00477A8D"/>
    <w:rsid w:val="00480360"/>
    <w:rsid w:val="004823F8"/>
    <w:rsid w:val="00484652"/>
    <w:rsid w:val="004848DD"/>
    <w:rsid w:val="00484D60"/>
    <w:rsid w:val="00485518"/>
    <w:rsid w:val="004862E6"/>
    <w:rsid w:val="004872B7"/>
    <w:rsid w:val="00487781"/>
    <w:rsid w:val="004878AC"/>
    <w:rsid w:val="0048792D"/>
    <w:rsid w:val="004917E7"/>
    <w:rsid w:val="00492790"/>
    <w:rsid w:val="00492BC7"/>
    <w:rsid w:val="00493424"/>
    <w:rsid w:val="0049370F"/>
    <w:rsid w:val="00493815"/>
    <w:rsid w:val="00494504"/>
    <w:rsid w:val="00494877"/>
    <w:rsid w:val="0049568B"/>
    <w:rsid w:val="00495869"/>
    <w:rsid w:val="00495D51"/>
    <w:rsid w:val="004965DC"/>
    <w:rsid w:val="0049751F"/>
    <w:rsid w:val="004977AC"/>
    <w:rsid w:val="00497BC0"/>
    <w:rsid w:val="004A0177"/>
    <w:rsid w:val="004A0676"/>
    <w:rsid w:val="004A069D"/>
    <w:rsid w:val="004A0BAC"/>
    <w:rsid w:val="004A0CFF"/>
    <w:rsid w:val="004A0E99"/>
    <w:rsid w:val="004A0F54"/>
    <w:rsid w:val="004A101A"/>
    <w:rsid w:val="004A117E"/>
    <w:rsid w:val="004A2AA8"/>
    <w:rsid w:val="004A2BC2"/>
    <w:rsid w:val="004A4879"/>
    <w:rsid w:val="004A4D9F"/>
    <w:rsid w:val="004A6A76"/>
    <w:rsid w:val="004A6D8E"/>
    <w:rsid w:val="004A709C"/>
    <w:rsid w:val="004A7229"/>
    <w:rsid w:val="004A7FDA"/>
    <w:rsid w:val="004B01C8"/>
    <w:rsid w:val="004B05E1"/>
    <w:rsid w:val="004B06C6"/>
    <w:rsid w:val="004B19DD"/>
    <w:rsid w:val="004B1A6A"/>
    <w:rsid w:val="004B2159"/>
    <w:rsid w:val="004B2D43"/>
    <w:rsid w:val="004B3680"/>
    <w:rsid w:val="004B389F"/>
    <w:rsid w:val="004B4D80"/>
    <w:rsid w:val="004B556A"/>
    <w:rsid w:val="004B5943"/>
    <w:rsid w:val="004B5B41"/>
    <w:rsid w:val="004B5DCF"/>
    <w:rsid w:val="004B5ED2"/>
    <w:rsid w:val="004B615C"/>
    <w:rsid w:val="004B6640"/>
    <w:rsid w:val="004B67C7"/>
    <w:rsid w:val="004B68C1"/>
    <w:rsid w:val="004B6D09"/>
    <w:rsid w:val="004C00E8"/>
    <w:rsid w:val="004C0A18"/>
    <w:rsid w:val="004C0F06"/>
    <w:rsid w:val="004C1D67"/>
    <w:rsid w:val="004C20A0"/>
    <w:rsid w:val="004C2993"/>
    <w:rsid w:val="004C2B37"/>
    <w:rsid w:val="004C40AC"/>
    <w:rsid w:val="004C4AE8"/>
    <w:rsid w:val="004C543D"/>
    <w:rsid w:val="004C56AD"/>
    <w:rsid w:val="004C5850"/>
    <w:rsid w:val="004C59EB"/>
    <w:rsid w:val="004C7176"/>
    <w:rsid w:val="004C7FD8"/>
    <w:rsid w:val="004D057F"/>
    <w:rsid w:val="004D07B4"/>
    <w:rsid w:val="004D1112"/>
    <w:rsid w:val="004D1332"/>
    <w:rsid w:val="004D18F0"/>
    <w:rsid w:val="004D1E20"/>
    <w:rsid w:val="004D275F"/>
    <w:rsid w:val="004D2924"/>
    <w:rsid w:val="004D2E89"/>
    <w:rsid w:val="004D3969"/>
    <w:rsid w:val="004D532C"/>
    <w:rsid w:val="004D6383"/>
    <w:rsid w:val="004D66B8"/>
    <w:rsid w:val="004D6E25"/>
    <w:rsid w:val="004D7447"/>
    <w:rsid w:val="004D7AB4"/>
    <w:rsid w:val="004E1933"/>
    <w:rsid w:val="004E1CA9"/>
    <w:rsid w:val="004E49CB"/>
    <w:rsid w:val="004E531D"/>
    <w:rsid w:val="004E568B"/>
    <w:rsid w:val="004E5E2B"/>
    <w:rsid w:val="004E5F09"/>
    <w:rsid w:val="004E688E"/>
    <w:rsid w:val="004E6F00"/>
    <w:rsid w:val="004E744E"/>
    <w:rsid w:val="004E7F49"/>
    <w:rsid w:val="004F0C57"/>
    <w:rsid w:val="004F0F96"/>
    <w:rsid w:val="004F10D8"/>
    <w:rsid w:val="004F17B4"/>
    <w:rsid w:val="004F1A0F"/>
    <w:rsid w:val="004F1D31"/>
    <w:rsid w:val="004F3194"/>
    <w:rsid w:val="004F38F9"/>
    <w:rsid w:val="004F45A7"/>
    <w:rsid w:val="004F45CB"/>
    <w:rsid w:val="004F5520"/>
    <w:rsid w:val="004F5C84"/>
    <w:rsid w:val="004F69F0"/>
    <w:rsid w:val="004F7120"/>
    <w:rsid w:val="004F7513"/>
    <w:rsid w:val="004F7902"/>
    <w:rsid w:val="00501387"/>
    <w:rsid w:val="00502738"/>
    <w:rsid w:val="00502758"/>
    <w:rsid w:val="00502FC4"/>
    <w:rsid w:val="005039F4"/>
    <w:rsid w:val="0050662C"/>
    <w:rsid w:val="00506C9C"/>
    <w:rsid w:val="005072F0"/>
    <w:rsid w:val="00507DB2"/>
    <w:rsid w:val="0051029C"/>
    <w:rsid w:val="005104AE"/>
    <w:rsid w:val="00510575"/>
    <w:rsid w:val="00511627"/>
    <w:rsid w:val="0051205A"/>
    <w:rsid w:val="005127C4"/>
    <w:rsid w:val="00512900"/>
    <w:rsid w:val="00512956"/>
    <w:rsid w:val="00512FDC"/>
    <w:rsid w:val="00513EF2"/>
    <w:rsid w:val="005142DD"/>
    <w:rsid w:val="005146B5"/>
    <w:rsid w:val="00514BC1"/>
    <w:rsid w:val="00514E0B"/>
    <w:rsid w:val="00515A4B"/>
    <w:rsid w:val="00516CA9"/>
    <w:rsid w:val="005204C5"/>
    <w:rsid w:val="005209AE"/>
    <w:rsid w:val="00521110"/>
    <w:rsid w:val="00522778"/>
    <w:rsid w:val="00522D28"/>
    <w:rsid w:val="0052305E"/>
    <w:rsid w:val="0052414C"/>
    <w:rsid w:val="00525566"/>
    <w:rsid w:val="00525AB9"/>
    <w:rsid w:val="00525F17"/>
    <w:rsid w:val="00526467"/>
    <w:rsid w:val="00526510"/>
    <w:rsid w:val="00527FC5"/>
    <w:rsid w:val="0053002B"/>
    <w:rsid w:val="00530CFA"/>
    <w:rsid w:val="0053136A"/>
    <w:rsid w:val="00531584"/>
    <w:rsid w:val="00531E39"/>
    <w:rsid w:val="0053250D"/>
    <w:rsid w:val="00532D61"/>
    <w:rsid w:val="00532E37"/>
    <w:rsid w:val="00534084"/>
    <w:rsid w:val="00534298"/>
    <w:rsid w:val="005345D4"/>
    <w:rsid w:val="005352F4"/>
    <w:rsid w:val="00536036"/>
    <w:rsid w:val="005368BA"/>
    <w:rsid w:val="00536CB7"/>
    <w:rsid w:val="005377E4"/>
    <w:rsid w:val="00537E68"/>
    <w:rsid w:val="00540CAD"/>
    <w:rsid w:val="00541269"/>
    <w:rsid w:val="00541355"/>
    <w:rsid w:val="005413BB"/>
    <w:rsid w:val="005421AE"/>
    <w:rsid w:val="00543C15"/>
    <w:rsid w:val="00544BB1"/>
    <w:rsid w:val="00545A32"/>
    <w:rsid w:val="00545DAC"/>
    <w:rsid w:val="00545F8F"/>
    <w:rsid w:val="005460B9"/>
    <w:rsid w:val="0054620B"/>
    <w:rsid w:val="005465EF"/>
    <w:rsid w:val="00546B79"/>
    <w:rsid w:val="0054718A"/>
    <w:rsid w:val="00550422"/>
    <w:rsid w:val="0055118F"/>
    <w:rsid w:val="005511CC"/>
    <w:rsid w:val="00551632"/>
    <w:rsid w:val="00551783"/>
    <w:rsid w:val="005519D3"/>
    <w:rsid w:val="005533F3"/>
    <w:rsid w:val="0055355E"/>
    <w:rsid w:val="005537EC"/>
    <w:rsid w:val="00556A5C"/>
    <w:rsid w:val="00557EBA"/>
    <w:rsid w:val="0056047D"/>
    <w:rsid w:val="005606A7"/>
    <w:rsid w:val="00560A35"/>
    <w:rsid w:val="00560CD7"/>
    <w:rsid w:val="00560F58"/>
    <w:rsid w:val="00561A87"/>
    <w:rsid w:val="00561B39"/>
    <w:rsid w:val="00561D21"/>
    <w:rsid w:val="005621F3"/>
    <w:rsid w:val="00562B40"/>
    <w:rsid w:val="005641EC"/>
    <w:rsid w:val="00564AF9"/>
    <w:rsid w:val="00564FEE"/>
    <w:rsid w:val="0056676B"/>
    <w:rsid w:val="0056771D"/>
    <w:rsid w:val="0056785A"/>
    <w:rsid w:val="00567B70"/>
    <w:rsid w:val="00567CBC"/>
    <w:rsid w:val="00570310"/>
    <w:rsid w:val="00570990"/>
    <w:rsid w:val="00570FBB"/>
    <w:rsid w:val="005711FE"/>
    <w:rsid w:val="00571280"/>
    <w:rsid w:val="00572648"/>
    <w:rsid w:val="00572694"/>
    <w:rsid w:val="0057292E"/>
    <w:rsid w:val="00573A21"/>
    <w:rsid w:val="00573BB8"/>
    <w:rsid w:val="00573E90"/>
    <w:rsid w:val="00574A30"/>
    <w:rsid w:val="00574C98"/>
    <w:rsid w:val="00575262"/>
    <w:rsid w:val="005752F9"/>
    <w:rsid w:val="00575375"/>
    <w:rsid w:val="005762AE"/>
    <w:rsid w:val="005769CF"/>
    <w:rsid w:val="00576C09"/>
    <w:rsid w:val="00580017"/>
    <w:rsid w:val="00580341"/>
    <w:rsid w:val="00581B53"/>
    <w:rsid w:val="00581D53"/>
    <w:rsid w:val="005821A2"/>
    <w:rsid w:val="00582EFF"/>
    <w:rsid w:val="005837E2"/>
    <w:rsid w:val="0058394D"/>
    <w:rsid w:val="00584816"/>
    <w:rsid w:val="00584885"/>
    <w:rsid w:val="00584FD7"/>
    <w:rsid w:val="00585012"/>
    <w:rsid w:val="00585277"/>
    <w:rsid w:val="005858C6"/>
    <w:rsid w:val="00585C20"/>
    <w:rsid w:val="00585CBC"/>
    <w:rsid w:val="0058617C"/>
    <w:rsid w:val="00586719"/>
    <w:rsid w:val="005879E4"/>
    <w:rsid w:val="00590617"/>
    <w:rsid w:val="0059090A"/>
    <w:rsid w:val="0059105D"/>
    <w:rsid w:val="0059207D"/>
    <w:rsid w:val="005927AA"/>
    <w:rsid w:val="005937C6"/>
    <w:rsid w:val="00593C53"/>
    <w:rsid w:val="00593F7D"/>
    <w:rsid w:val="0059552A"/>
    <w:rsid w:val="00596E18"/>
    <w:rsid w:val="005A0875"/>
    <w:rsid w:val="005A0E8C"/>
    <w:rsid w:val="005A1BB9"/>
    <w:rsid w:val="005A2319"/>
    <w:rsid w:val="005A2938"/>
    <w:rsid w:val="005A371A"/>
    <w:rsid w:val="005A3FD3"/>
    <w:rsid w:val="005A41C5"/>
    <w:rsid w:val="005A5686"/>
    <w:rsid w:val="005A65A8"/>
    <w:rsid w:val="005A6621"/>
    <w:rsid w:val="005A6B40"/>
    <w:rsid w:val="005A7197"/>
    <w:rsid w:val="005A71DA"/>
    <w:rsid w:val="005A72C9"/>
    <w:rsid w:val="005A7E21"/>
    <w:rsid w:val="005B00D7"/>
    <w:rsid w:val="005B089C"/>
    <w:rsid w:val="005B0DE1"/>
    <w:rsid w:val="005B0FB7"/>
    <w:rsid w:val="005B1112"/>
    <w:rsid w:val="005B1C0A"/>
    <w:rsid w:val="005B1CBB"/>
    <w:rsid w:val="005B27A8"/>
    <w:rsid w:val="005B41DE"/>
    <w:rsid w:val="005B4703"/>
    <w:rsid w:val="005B4D1F"/>
    <w:rsid w:val="005B53B4"/>
    <w:rsid w:val="005B6827"/>
    <w:rsid w:val="005B771C"/>
    <w:rsid w:val="005B7EE5"/>
    <w:rsid w:val="005C04E3"/>
    <w:rsid w:val="005C0549"/>
    <w:rsid w:val="005C06EB"/>
    <w:rsid w:val="005C0984"/>
    <w:rsid w:val="005C0D53"/>
    <w:rsid w:val="005C0F58"/>
    <w:rsid w:val="005C0FBC"/>
    <w:rsid w:val="005C111D"/>
    <w:rsid w:val="005C1FE3"/>
    <w:rsid w:val="005C2AA4"/>
    <w:rsid w:val="005C3985"/>
    <w:rsid w:val="005C4ABC"/>
    <w:rsid w:val="005C4E50"/>
    <w:rsid w:val="005C5B47"/>
    <w:rsid w:val="005C5DB4"/>
    <w:rsid w:val="005C772E"/>
    <w:rsid w:val="005C7DEF"/>
    <w:rsid w:val="005D01C6"/>
    <w:rsid w:val="005D0E4B"/>
    <w:rsid w:val="005D182C"/>
    <w:rsid w:val="005D1A66"/>
    <w:rsid w:val="005D1DAE"/>
    <w:rsid w:val="005D1F98"/>
    <w:rsid w:val="005D27CA"/>
    <w:rsid w:val="005D281C"/>
    <w:rsid w:val="005D29B5"/>
    <w:rsid w:val="005D38E7"/>
    <w:rsid w:val="005D3FA7"/>
    <w:rsid w:val="005D4263"/>
    <w:rsid w:val="005D4C64"/>
    <w:rsid w:val="005D59CC"/>
    <w:rsid w:val="005D7504"/>
    <w:rsid w:val="005E08E7"/>
    <w:rsid w:val="005E1251"/>
    <w:rsid w:val="005E1DB4"/>
    <w:rsid w:val="005E2B39"/>
    <w:rsid w:val="005E3F30"/>
    <w:rsid w:val="005E445F"/>
    <w:rsid w:val="005E48C7"/>
    <w:rsid w:val="005E4CE7"/>
    <w:rsid w:val="005E4FD3"/>
    <w:rsid w:val="005E533F"/>
    <w:rsid w:val="005E5484"/>
    <w:rsid w:val="005F2082"/>
    <w:rsid w:val="005F4CF1"/>
    <w:rsid w:val="005F563A"/>
    <w:rsid w:val="005F635C"/>
    <w:rsid w:val="005F7DA6"/>
    <w:rsid w:val="006008F3"/>
    <w:rsid w:val="00600D6B"/>
    <w:rsid w:val="00600E6D"/>
    <w:rsid w:val="00600F37"/>
    <w:rsid w:val="006025E0"/>
    <w:rsid w:val="0060285D"/>
    <w:rsid w:val="00602980"/>
    <w:rsid w:val="006048A6"/>
    <w:rsid w:val="00604BF3"/>
    <w:rsid w:val="006056B8"/>
    <w:rsid w:val="00606970"/>
    <w:rsid w:val="00606A86"/>
    <w:rsid w:val="00611778"/>
    <w:rsid w:val="00611AFD"/>
    <w:rsid w:val="00611B6B"/>
    <w:rsid w:val="00611C38"/>
    <w:rsid w:val="0061278C"/>
    <w:rsid w:val="00613E4E"/>
    <w:rsid w:val="006140A9"/>
    <w:rsid w:val="00614951"/>
    <w:rsid w:val="00616633"/>
    <w:rsid w:val="006169A2"/>
    <w:rsid w:val="0061725D"/>
    <w:rsid w:val="006175CC"/>
    <w:rsid w:val="006200F1"/>
    <w:rsid w:val="0062086A"/>
    <w:rsid w:val="00620BB4"/>
    <w:rsid w:val="00621D2B"/>
    <w:rsid w:val="00622014"/>
    <w:rsid w:val="00622566"/>
    <w:rsid w:val="00622B92"/>
    <w:rsid w:val="00622DEC"/>
    <w:rsid w:val="00622F37"/>
    <w:rsid w:val="0062333D"/>
    <w:rsid w:val="00623A56"/>
    <w:rsid w:val="006241AB"/>
    <w:rsid w:val="006242A0"/>
    <w:rsid w:val="00624446"/>
    <w:rsid w:val="006258EA"/>
    <w:rsid w:val="00625D58"/>
    <w:rsid w:val="0062634D"/>
    <w:rsid w:val="0062676F"/>
    <w:rsid w:val="00626C57"/>
    <w:rsid w:val="006278C2"/>
    <w:rsid w:val="00627EFD"/>
    <w:rsid w:val="00630820"/>
    <w:rsid w:val="00631502"/>
    <w:rsid w:val="00631707"/>
    <w:rsid w:val="006326CC"/>
    <w:rsid w:val="00632908"/>
    <w:rsid w:val="00632EF3"/>
    <w:rsid w:val="0063300D"/>
    <w:rsid w:val="006331D6"/>
    <w:rsid w:val="00634016"/>
    <w:rsid w:val="00634097"/>
    <w:rsid w:val="006340DE"/>
    <w:rsid w:val="00635B7B"/>
    <w:rsid w:val="00635E20"/>
    <w:rsid w:val="00636073"/>
    <w:rsid w:val="006360A7"/>
    <w:rsid w:val="00636703"/>
    <w:rsid w:val="00636AF0"/>
    <w:rsid w:val="00636BA2"/>
    <w:rsid w:val="00637336"/>
    <w:rsid w:val="00637E34"/>
    <w:rsid w:val="006421CD"/>
    <w:rsid w:val="00642554"/>
    <w:rsid w:val="006425C8"/>
    <w:rsid w:val="006433A7"/>
    <w:rsid w:val="006433DC"/>
    <w:rsid w:val="00643A50"/>
    <w:rsid w:val="00643F00"/>
    <w:rsid w:val="00643F30"/>
    <w:rsid w:val="00644206"/>
    <w:rsid w:val="006443D7"/>
    <w:rsid w:val="00645410"/>
    <w:rsid w:val="006465C8"/>
    <w:rsid w:val="00647A98"/>
    <w:rsid w:val="00647D76"/>
    <w:rsid w:val="006504D4"/>
    <w:rsid w:val="006534DC"/>
    <w:rsid w:val="00653C5B"/>
    <w:rsid w:val="00654A4A"/>
    <w:rsid w:val="00654A98"/>
    <w:rsid w:val="00654EF9"/>
    <w:rsid w:val="00655325"/>
    <w:rsid w:val="006553CE"/>
    <w:rsid w:val="00655A34"/>
    <w:rsid w:val="00656355"/>
    <w:rsid w:val="006564FA"/>
    <w:rsid w:val="006567C6"/>
    <w:rsid w:val="00657C98"/>
    <w:rsid w:val="00660B1C"/>
    <w:rsid w:val="00660B23"/>
    <w:rsid w:val="00660CDF"/>
    <w:rsid w:val="006610D6"/>
    <w:rsid w:val="006618E5"/>
    <w:rsid w:val="00662764"/>
    <w:rsid w:val="00663255"/>
    <w:rsid w:val="006653E5"/>
    <w:rsid w:val="006660F8"/>
    <w:rsid w:val="006661C7"/>
    <w:rsid w:val="00666B39"/>
    <w:rsid w:val="00666F7F"/>
    <w:rsid w:val="00667216"/>
    <w:rsid w:val="006678AD"/>
    <w:rsid w:val="0067057F"/>
    <w:rsid w:val="00671717"/>
    <w:rsid w:val="006725AB"/>
    <w:rsid w:val="006742D3"/>
    <w:rsid w:val="006744D0"/>
    <w:rsid w:val="00675EE7"/>
    <w:rsid w:val="00676053"/>
    <w:rsid w:val="0067619F"/>
    <w:rsid w:val="00676525"/>
    <w:rsid w:val="0067658F"/>
    <w:rsid w:val="006767D9"/>
    <w:rsid w:val="00676BDE"/>
    <w:rsid w:val="00677947"/>
    <w:rsid w:val="0068078A"/>
    <w:rsid w:val="00680C92"/>
    <w:rsid w:val="006816D0"/>
    <w:rsid w:val="00682C4B"/>
    <w:rsid w:val="00682CE0"/>
    <w:rsid w:val="00683032"/>
    <w:rsid w:val="006838A9"/>
    <w:rsid w:val="00684442"/>
    <w:rsid w:val="00684F73"/>
    <w:rsid w:val="00686A64"/>
    <w:rsid w:val="00686DD3"/>
    <w:rsid w:val="006879A8"/>
    <w:rsid w:val="00690DCA"/>
    <w:rsid w:val="0069160C"/>
    <w:rsid w:val="00691998"/>
    <w:rsid w:val="00692387"/>
    <w:rsid w:val="006937F2"/>
    <w:rsid w:val="006937F8"/>
    <w:rsid w:val="00693847"/>
    <w:rsid w:val="006944F8"/>
    <w:rsid w:val="006949A8"/>
    <w:rsid w:val="00695AFD"/>
    <w:rsid w:val="00695C49"/>
    <w:rsid w:val="006965BB"/>
    <w:rsid w:val="0069690C"/>
    <w:rsid w:val="00696C5F"/>
    <w:rsid w:val="00697967"/>
    <w:rsid w:val="006A0A81"/>
    <w:rsid w:val="006A13AE"/>
    <w:rsid w:val="006A1DDE"/>
    <w:rsid w:val="006A3CC5"/>
    <w:rsid w:val="006A4036"/>
    <w:rsid w:val="006A44B1"/>
    <w:rsid w:val="006A4584"/>
    <w:rsid w:val="006A46AE"/>
    <w:rsid w:val="006A55B8"/>
    <w:rsid w:val="006A5893"/>
    <w:rsid w:val="006A70E6"/>
    <w:rsid w:val="006A73F5"/>
    <w:rsid w:val="006A7765"/>
    <w:rsid w:val="006B0B5C"/>
    <w:rsid w:val="006B0D93"/>
    <w:rsid w:val="006B0DC0"/>
    <w:rsid w:val="006B2182"/>
    <w:rsid w:val="006B228B"/>
    <w:rsid w:val="006B2BB8"/>
    <w:rsid w:val="006B2E90"/>
    <w:rsid w:val="006B310E"/>
    <w:rsid w:val="006B3EA1"/>
    <w:rsid w:val="006B3FB3"/>
    <w:rsid w:val="006B45A3"/>
    <w:rsid w:val="006B4FEB"/>
    <w:rsid w:val="006B55F5"/>
    <w:rsid w:val="006B5907"/>
    <w:rsid w:val="006B5A79"/>
    <w:rsid w:val="006B5CA4"/>
    <w:rsid w:val="006B5F3A"/>
    <w:rsid w:val="006B5F4A"/>
    <w:rsid w:val="006B6376"/>
    <w:rsid w:val="006B6C5C"/>
    <w:rsid w:val="006B6D63"/>
    <w:rsid w:val="006B7780"/>
    <w:rsid w:val="006B787B"/>
    <w:rsid w:val="006B7DA9"/>
    <w:rsid w:val="006C01FB"/>
    <w:rsid w:val="006C1CAD"/>
    <w:rsid w:val="006C1FF4"/>
    <w:rsid w:val="006C2522"/>
    <w:rsid w:val="006C2A12"/>
    <w:rsid w:val="006C3052"/>
    <w:rsid w:val="006C3BC5"/>
    <w:rsid w:val="006C4B94"/>
    <w:rsid w:val="006C537C"/>
    <w:rsid w:val="006C547C"/>
    <w:rsid w:val="006C57C4"/>
    <w:rsid w:val="006C5DC0"/>
    <w:rsid w:val="006C68BA"/>
    <w:rsid w:val="006D02A2"/>
    <w:rsid w:val="006D0AB1"/>
    <w:rsid w:val="006D0FC9"/>
    <w:rsid w:val="006D1662"/>
    <w:rsid w:val="006D37AF"/>
    <w:rsid w:val="006D40DB"/>
    <w:rsid w:val="006D4D11"/>
    <w:rsid w:val="006D520D"/>
    <w:rsid w:val="006D5602"/>
    <w:rsid w:val="006D7EE6"/>
    <w:rsid w:val="006E0365"/>
    <w:rsid w:val="006E06DE"/>
    <w:rsid w:val="006E0A53"/>
    <w:rsid w:val="006E19AC"/>
    <w:rsid w:val="006E22EF"/>
    <w:rsid w:val="006E29F8"/>
    <w:rsid w:val="006E439B"/>
    <w:rsid w:val="006E5D42"/>
    <w:rsid w:val="006E5FC2"/>
    <w:rsid w:val="006E6A13"/>
    <w:rsid w:val="006E6B4E"/>
    <w:rsid w:val="006E6B6E"/>
    <w:rsid w:val="006E706E"/>
    <w:rsid w:val="006E7FED"/>
    <w:rsid w:val="006F0045"/>
    <w:rsid w:val="006F07A4"/>
    <w:rsid w:val="006F0872"/>
    <w:rsid w:val="006F110A"/>
    <w:rsid w:val="006F198B"/>
    <w:rsid w:val="006F2221"/>
    <w:rsid w:val="006F2D93"/>
    <w:rsid w:val="006F3156"/>
    <w:rsid w:val="006F3963"/>
    <w:rsid w:val="006F517F"/>
    <w:rsid w:val="006F6AC2"/>
    <w:rsid w:val="006F79DF"/>
    <w:rsid w:val="007021E8"/>
    <w:rsid w:val="00702BFE"/>
    <w:rsid w:val="00704D89"/>
    <w:rsid w:val="00705376"/>
    <w:rsid w:val="007061AB"/>
    <w:rsid w:val="007064AE"/>
    <w:rsid w:val="00706AA4"/>
    <w:rsid w:val="0070713F"/>
    <w:rsid w:val="007078E8"/>
    <w:rsid w:val="00710F19"/>
    <w:rsid w:val="0071159C"/>
    <w:rsid w:val="0071264F"/>
    <w:rsid w:val="00713380"/>
    <w:rsid w:val="00713E4F"/>
    <w:rsid w:val="00714A0C"/>
    <w:rsid w:val="0071560B"/>
    <w:rsid w:val="007159D9"/>
    <w:rsid w:val="00715DA1"/>
    <w:rsid w:val="00716078"/>
    <w:rsid w:val="00716AAA"/>
    <w:rsid w:val="007171BD"/>
    <w:rsid w:val="00720F28"/>
    <w:rsid w:val="0072130B"/>
    <w:rsid w:val="00721A9D"/>
    <w:rsid w:val="00722D82"/>
    <w:rsid w:val="00724047"/>
    <w:rsid w:val="0072496D"/>
    <w:rsid w:val="00725DFD"/>
    <w:rsid w:val="007265D1"/>
    <w:rsid w:val="0072672B"/>
    <w:rsid w:val="00726B0E"/>
    <w:rsid w:val="0072758D"/>
    <w:rsid w:val="007275D5"/>
    <w:rsid w:val="00727E6D"/>
    <w:rsid w:val="007307D2"/>
    <w:rsid w:val="00730CCA"/>
    <w:rsid w:val="007328C1"/>
    <w:rsid w:val="007331A7"/>
    <w:rsid w:val="007339CE"/>
    <w:rsid w:val="00733A4B"/>
    <w:rsid w:val="00734B03"/>
    <w:rsid w:val="00734B6A"/>
    <w:rsid w:val="0073692F"/>
    <w:rsid w:val="007379A3"/>
    <w:rsid w:val="00740378"/>
    <w:rsid w:val="007408F8"/>
    <w:rsid w:val="007424D3"/>
    <w:rsid w:val="00742D4E"/>
    <w:rsid w:val="00743F9E"/>
    <w:rsid w:val="00744365"/>
    <w:rsid w:val="00744E86"/>
    <w:rsid w:val="007459F9"/>
    <w:rsid w:val="00745CD8"/>
    <w:rsid w:val="00746359"/>
    <w:rsid w:val="00746A79"/>
    <w:rsid w:val="00746E92"/>
    <w:rsid w:val="00750D11"/>
    <w:rsid w:val="00750ED7"/>
    <w:rsid w:val="00753428"/>
    <w:rsid w:val="00753A00"/>
    <w:rsid w:val="00753F42"/>
    <w:rsid w:val="00754131"/>
    <w:rsid w:val="00754978"/>
    <w:rsid w:val="00754A74"/>
    <w:rsid w:val="00754A77"/>
    <w:rsid w:val="00754B21"/>
    <w:rsid w:val="007550B0"/>
    <w:rsid w:val="007552E9"/>
    <w:rsid w:val="00755C00"/>
    <w:rsid w:val="00756723"/>
    <w:rsid w:val="0075753F"/>
    <w:rsid w:val="007577A9"/>
    <w:rsid w:val="0075799C"/>
    <w:rsid w:val="007601DA"/>
    <w:rsid w:val="00763062"/>
    <w:rsid w:val="00764B16"/>
    <w:rsid w:val="00765D16"/>
    <w:rsid w:val="00767949"/>
    <w:rsid w:val="007679AB"/>
    <w:rsid w:val="007679EC"/>
    <w:rsid w:val="00770478"/>
    <w:rsid w:val="00770665"/>
    <w:rsid w:val="007706CC"/>
    <w:rsid w:val="00770B10"/>
    <w:rsid w:val="0077116C"/>
    <w:rsid w:val="00771890"/>
    <w:rsid w:val="00771C0E"/>
    <w:rsid w:val="00772877"/>
    <w:rsid w:val="0077339C"/>
    <w:rsid w:val="00773E7D"/>
    <w:rsid w:val="00773F0D"/>
    <w:rsid w:val="0077525E"/>
    <w:rsid w:val="00775734"/>
    <w:rsid w:val="00775824"/>
    <w:rsid w:val="00775841"/>
    <w:rsid w:val="0077658C"/>
    <w:rsid w:val="007770FC"/>
    <w:rsid w:val="00777148"/>
    <w:rsid w:val="0077757C"/>
    <w:rsid w:val="00777CB4"/>
    <w:rsid w:val="007807D7"/>
    <w:rsid w:val="00780E85"/>
    <w:rsid w:val="00781AF1"/>
    <w:rsid w:val="007820D4"/>
    <w:rsid w:val="00783514"/>
    <w:rsid w:val="00784D05"/>
    <w:rsid w:val="00785270"/>
    <w:rsid w:val="007855E7"/>
    <w:rsid w:val="007856B2"/>
    <w:rsid w:val="007856C3"/>
    <w:rsid w:val="00786847"/>
    <w:rsid w:val="00787ADE"/>
    <w:rsid w:val="007910E5"/>
    <w:rsid w:val="00791B91"/>
    <w:rsid w:val="00792DA3"/>
    <w:rsid w:val="00793710"/>
    <w:rsid w:val="0079375E"/>
    <w:rsid w:val="00793CC1"/>
    <w:rsid w:val="00795547"/>
    <w:rsid w:val="00795735"/>
    <w:rsid w:val="00795E43"/>
    <w:rsid w:val="00796386"/>
    <w:rsid w:val="007963F7"/>
    <w:rsid w:val="00797116"/>
    <w:rsid w:val="00797171"/>
    <w:rsid w:val="00797393"/>
    <w:rsid w:val="007A04C2"/>
    <w:rsid w:val="007A1CC7"/>
    <w:rsid w:val="007A20DA"/>
    <w:rsid w:val="007A2420"/>
    <w:rsid w:val="007A431F"/>
    <w:rsid w:val="007A45C4"/>
    <w:rsid w:val="007A4854"/>
    <w:rsid w:val="007A4BDE"/>
    <w:rsid w:val="007A556F"/>
    <w:rsid w:val="007A6263"/>
    <w:rsid w:val="007A6268"/>
    <w:rsid w:val="007A678E"/>
    <w:rsid w:val="007A778B"/>
    <w:rsid w:val="007B01BA"/>
    <w:rsid w:val="007B078B"/>
    <w:rsid w:val="007B0B08"/>
    <w:rsid w:val="007B0C38"/>
    <w:rsid w:val="007B10E5"/>
    <w:rsid w:val="007B185C"/>
    <w:rsid w:val="007B1C76"/>
    <w:rsid w:val="007B1E3A"/>
    <w:rsid w:val="007B1FAD"/>
    <w:rsid w:val="007B2629"/>
    <w:rsid w:val="007B2B0A"/>
    <w:rsid w:val="007B2BB6"/>
    <w:rsid w:val="007B3840"/>
    <w:rsid w:val="007B45F8"/>
    <w:rsid w:val="007B54A2"/>
    <w:rsid w:val="007B5B96"/>
    <w:rsid w:val="007B5C7E"/>
    <w:rsid w:val="007B5D7E"/>
    <w:rsid w:val="007B6F4C"/>
    <w:rsid w:val="007B7393"/>
    <w:rsid w:val="007B77BE"/>
    <w:rsid w:val="007B7C75"/>
    <w:rsid w:val="007C0180"/>
    <w:rsid w:val="007C0A96"/>
    <w:rsid w:val="007C1711"/>
    <w:rsid w:val="007C1BD8"/>
    <w:rsid w:val="007C211E"/>
    <w:rsid w:val="007C213D"/>
    <w:rsid w:val="007C2832"/>
    <w:rsid w:val="007C44F7"/>
    <w:rsid w:val="007C48D8"/>
    <w:rsid w:val="007C519F"/>
    <w:rsid w:val="007C6883"/>
    <w:rsid w:val="007C7076"/>
    <w:rsid w:val="007C7DE0"/>
    <w:rsid w:val="007D053E"/>
    <w:rsid w:val="007D068B"/>
    <w:rsid w:val="007D0860"/>
    <w:rsid w:val="007D13F5"/>
    <w:rsid w:val="007D24D0"/>
    <w:rsid w:val="007D2724"/>
    <w:rsid w:val="007D3859"/>
    <w:rsid w:val="007D4449"/>
    <w:rsid w:val="007D4EAE"/>
    <w:rsid w:val="007D5F1E"/>
    <w:rsid w:val="007D61AB"/>
    <w:rsid w:val="007D6346"/>
    <w:rsid w:val="007D64F1"/>
    <w:rsid w:val="007D74A5"/>
    <w:rsid w:val="007D7C35"/>
    <w:rsid w:val="007E07EF"/>
    <w:rsid w:val="007E1042"/>
    <w:rsid w:val="007E1B44"/>
    <w:rsid w:val="007E230A"/>
    <w:rsid w:val="007E34AE"/>
    <w:rsid w:val="007E3D24"/>
    <w:rsid w:val="007E4DA4"/>
    <w:rsid w:val="007E4E15"/>
    <w:rsid w:val="007E60A7"/>
    <w:rsid w:val="007E7339"/>
    <w:rsid w:val="007E745D"/>
    <w:rsid w:val="007E7802"/>
    <w:rsid w:val="007E7AF6"/>
    <w:rsid w:val="007F0299"/>
    <w:rsid w:val="007F09E6"/>
    <w:rsid w:val="007F121B"/>
    <w:rsid w:val="007F1385"/>
    <w:rsid w:val="007F1EA9"/>
    <w:rsid w:val="007F20DF"/>
    <w:rsid w:val="007F2294"/>
    <w:rsid w:val="007F23CB"/>
    <w:rsid w:val="007F3B85"/>
    <w:rsid w:val="007F4255"/>
    <w:rsid w:val="007F551F"/>
    <w:rsid w:val="007F5C4A"/>
    <w:rsid w:val="007F67EA"/>
    <w:rsid w:val="007F6DBC"/>
    <w:rsid w:val="007F781C"/>
    <w:rsid w:val="007F7A05"/>
    <w:rsid w:val="00800A22"/>
    <w:rsid w:val="00800F4F"/>
    <w:rsid w:val="008011D6"/>
    <w:rsid w:val="0080160A"/>
    <w:rsid w:val="00801BF9"/>
    <w:rsid w:val="00801D05"/>
    <w:rsid w:val="00802F60"/>
    <w:rsid w:val="0080365F"/>
    <w:rsid w:val="00804A63"/>
    <w:rsid w:val="00804DDD"/>
    <w:rsid w:val="0080562D"/>
    <w:rsid w:val="00805D3C"/>
    <w:rsid w:val="00806473"/>
    <w:rsid w:val="00806935"/>
    <w:rsid w:val="00806950"/>
    <w:rsid w:val="00806C0F"/>
    <w:rsid w:val="00806C70"/>
    <w:rsid w:val="0080776F"/>
    <w:rsid w:val="008077A1"/>
    <w:rsid w:val="00807C49"/>
    <w:rsid w:val="00810294"/>
    <w:rsid w:val="008115FF"/>
    <w:rsid w:val="008117D3"/>
    <w:rsid w:val="008123C5"/>
    <w:rsid w:val="008124AD"/>
    <w:rsid w:val="00812988"/>
    <w:rsid w:val="00814C18"/>
    <w:rsid w:val="00814DDA"/>
    <w:rsid w:val="00816BAD"/>
    <w:rsid w:val="00820747"/>
    <w:rsid w:val="0082079C"/>
    <w:rsid w:val="00820B04"/>
    <w:rsid w:val="008213D2"/>
    <w:rsid w:val="008214AE"/>
    <w:rsid w:val="008223F6"/>
    <w:rsid w:val="00822948"/>
    <w:rsid w:val="00823C08"/>
    <w:rsid w:val="00825559"/>
    <w:rsid w:val="00826009"/>
    <w:rsid w:val="00826C76"/>
    <w:rsid w:val="00826CE6"/>
    <w:rsid w:val="008277BB"/>
    <w:rsid w:val="00827DF6"/>
    <w:rsid w:val="0083217B"/>
    <w:rsid w:val="00834621"/>
    <w:rsid w:val="00834C4C"/>
    <w:rsid w:val="008352BD"/>
    <w:rsid w:val="008353DF"/>
    <w:rsid w:val="00835DFD"/>
    <w:rsid w:val="00837742"/>
    <w:rsid w:val="008402B2"/>
    <w:rsid w:val="008425E2"/>
    <w:rsid w:val="00842CC6"/>
    <w:rsid w:val="00843696"/>
    <w:rsid w:val="00843826"/>
    <w:rsid w:val="00843F6D"/>
    <w:rsid w:val="00844423"/>
    <w:rsid w:val="0084477D"/>
    <w:rsid w:val="00845819"/>
    <w:rsid w:val="00845DB8"/>
    <w:rsid w:val="008460C7"/>
    <w:rsid w:val="008468F7"/>
    <w:rsid w:val="00846F89"/>
    <w:rsid w:val="008474EA"/>
    <w:rsid w:val="0084775E"/>
    <w:rsid w:val="00847763"/>
    <w:rsid w:val="0085032F"/>
    <w:rsid w:val="00850BEE"/>
    <w:rsid w:val="00850C7A"/>
    <w:rsid w:val="00851647"/>
    <w:rsid w:val="00851651"/>
    <w:rsid w:val="00851767"/>
    <w:rsid w:val="008517FB"/>
    <w:rsid w:val="00851D80"/>
    <w:rsid w:val="0085295A"/>
    <w:rsid w:val="0085412F"/>
    <w:rsid w:val="008542E8"/>
    <w:rsid w:val="00854405"/>
    <w:rsid w:val="00854698"/>
    <w:rsid w:val="008549FE"/>
    <w:rsid w:val="0085517A"/>
    <w:rsid w:val="0085613A"/>
    <w:rsid w:val="008569B7"/>
    <w:rsid w:val="00857D24"/>
    <w:rsid w:val="0086052A"/>
    <w:rsid w:val="008610A7"/>
    <w:rsid w:val="00861539"/>
    <w:rsid w:val="00861C2C"/>
    <w:rsid w:val="00861C4F"/>
    <w:rsid w:val="00862C34"/>
    <w:rsid w:val="00863791"/>
    <w:rsid w:val="0086381B"/>
    <w:rsid w:val="00864261"/>
    <w:rsid w:val="00864ED2"/>
    <w:rsid w:val="00866A7D"/>
    <w:rsid w:val="00867BB7"/>
    <w:rsid w:val="00870112"/>
    <w:rsid w:val="00870678"/>
    <w:rsid w:val="00871C68"/>
    <w:rsid w:val="008747E9"/>
    <w:rsid w:val="00874E95"/>
    <w:rsid w:val="00875964"/>
    <w:rsid w:val="00875BDD"/>
    <w:rsid w:val="0087612B"/>
    <w:rsid w:val="00877DC4"/>
    <w:rsid w:val="00880A69"/>
    <w:rsid w:val="008821A1"/>
    <w:rsid w:val="0088224D"/>
    <w:rsid w:val="00882451"/>
    <w:rsid w:val="008828FB"/>
    <w:rsid w:val="00882CE0"/>
    <w:rsid w:val="00883A4E"/>
    <w:rsid w:val="00883ECC"/>
    <w:rsid w:val="0088470A"/>
    <w:rsid w:val="00885431"/>
    <w:rsid w:val="00886599"/>
    <w:rsid w:val="0088660A"/>
    <w:rsid w:val="008869D8"/>
    <w:rsid w:val="00886A2B"/>
    <w:rsid w:val="00886B15"/>
    <w:rsid w:val="00886DAC"/>
    <w:rsid w:val="008870EA"/>
    <w:rsid w:val="00887552"/>
    <w:rsid w:val="00887CF1"/>
    <w:rsid w:val="008901B9"/>
    <w:rsid w:val="00890F3E"/>
    <w:rsid w:val="0089106F"/>
    <w:rsid w:val="008916F1"/>
    <w:rsid w:val="00891BD5"/>
    <w:rsid w:val="00892257"/>
    <w:rsid w:val="008925CE"/>
    <w:rsid w:val="0089265C"/>
    <w:rsid w:val="008929DA"/>
    <w:rsid w:val="00893D84"/>
    <w:rsid w:val="0089421A"/>
    <w:rsid w:val="0089517D"/>
    <w:rsid w:val="008955B9"/>
    <w:rsid w:val="00895B87"/>
    <w:rsid w:val="00896A8D"/>
    <w:rsid w:val="00896E82"/>
    <w:rsid w:val="00897D8D"/>
    <w:rsid w:val="008A0ADF"/>
    <w:rsid w:val="008A1214"/>
    <w:rsid w:val="008A1533"/>
    <w:rsid w:val="008A1A1A"/>
    <w:rsid w:val="008A2AD4"/>
    <w:rsid w:val="008A2C01"/>
    <w:rsid w:val="008A2C0B"/>
    <w:rsid w:val="008A2C3A"/>
    <w:rsid w:val="008A2F29"/>
    <w:rsid w:val="008A3843"/>
    <w:rsid w:val="008A41D8"/>
    <w:rsid w:val="008A65DD"/>
    <w:rsid w:val="008A6810"/>
    <w:rsid w:val="008A7219"/>
    <w:rsid w:val="008A7741"/>
    <w:rsid w:val="008B1830"/>
    <w:rsid w:val="008B1EC2"/>
    <w:rsid w:val="008B2715"/>
    <w:rsid w:val="008B3698"/>
    <w:rsid w:val="008B451B"/>
    <w:rsid w:val="008B45AA"/>
    <w:rsid w:val="008B4CCA"/>
    <w:rsid w:val="008B4D94"/>
    <w:rsid w:val="008B6085"/>
    <w:rsid w:val="008B60D1"/>
    <w:rsid w:val="008B6265"/>
    <w:rsid w:val="008B7852"/>
    <w:rsid w:val="008C0BEB"/>
    <w:rsid w:val="008C0E49"/>
    <w:rsid w:val="008C1380"/>
    <w:rsid w:val="008C2133"/>
    <w:rsid w:val="008C302E"/>
    <w:rsid w:val="008C30E3"/>
    <w:rsid w:val="008C50B7"/>
    <w:rsid w:val="008C631F"/>
    <w:rsid w:val="008C69E3"/>
    <w:rsid w:val="008C7191"/>
    <w:rsid w:val="008D0026"/>
    <w:rsid w:val="008D0158"/>
    <w:rsid w:val="008D184E"/>
    <w:rsid w:val="008D22B5"/>
    <w:rsid w:val="008D28D9"/>
    <w:rsid w:val="008D39EF"/>
    <w:rsid w:val="008D3B69"/>
    <w:rsid w:val="008D43BB"/>
    <w:rsid w:val="008D4CAB"/>
    <w:rsid w:val="008D53FE"/>
    <w:rsid w:val="008D620F"/>
    <w:rsid w:val="008D73E7"/>
    <w:rsid w:val="008E0C09"/>
    <w:rsid w:val="008E120F"/>
    <w:rsid w:val="008E2556"/>
    <w:rsid w:val="008E379F"/>
    <w:rsid w:val="008E436E"/>
    <w:rsid w:val="008E45F5"/>
    <w:rsid w:val="008E4E12"/>
    <w:rsid w:val="008E6048"/>
    <w:rsid w:val="008F00FD"/>
    <w:rsid w:val="008F0A10"/>
    <w:rsid w:val="008F1189"/>
    <w:rsid w:val="008F1548"/>
    <w:rsid w:val="008F1676"/>
    <w:rsid w:val="008F1E49"/>
    <w:rsid w:val="008F25D2"/>
    <w:rsid w:val="008F2698"/>
    <w:rsid w:val="008F30AA"/>
    <w:rsid w:val="008F380F"/>
    <w:rsid w:val="008F3E59"/>
    <w:rsid w:val="008F3EE2"/>
    <w:rsid w:val="008F4752"/>
    <w:rsid w:val="008F4E44"/>
    <w:rsid w:val="008F5426"/>
    <w:rsid w:val="008F58C7"/>
    <w:rsid w:val="008F5A9E"/>
    <w:rsid w:val="008F6308"/>
    <w:rsid w:val="008F64A2"/>
    <w:rsid w:val="008F686B"/>
    <w:rsid w:val="008F6BAC"/>
    <w:rsid w:val="008F6F0D"/>
    <w:rsid w:val="008F7E93"/>
    <w:rsid w:val="00900720"/>
    <w:rsid w:val="00900B56"/>
    <w:rsid w:val="00901034"/>
    <w:rsid w:val="00901CF2"/>
    <w:rsid w:val="0090212C"/>
    <w:rsid w:val="00902297"/>
    <w:rsid w:val="009051AA"/>
    <w:rsid w:val="009057D4"/>
    <w:rsid w:val="0090595D"/>
    <w:rsid w:val="00910EB6"/>
    <w:rsid w:val="00911699"/>
    <w:rsid w:val="00911C3F"/>
    <w:rsid w:val="00911D23"/>
    <w:rsid w:val="00913FBB"/>
    <w:rsid w:val="00914696"/>
    <w:rsid w:val="009150F2"/>
    <w:rsid w:val="00915EBC"/>
    <w:rsid w:val="00916254"/>
    <w:rsid w:val="00917351"/>
    <w:rsid w:val="00917C60"/>
    <w:rsid w:val="00920085"/>
    <w:rsid w:val="009201EC"/>
    <w:rsid w:val="00920827"/>
    <w:rsid w:val="00920B4F"/>
    <w:rsid w:val="00921B57"/>
    <w:rsid w:val="0092254A"/>
    <w:rsid w:val="00923325"/>
    <w:rsid w:val="00923384"/>
    <w:rsid w:val="00924976"/>
    <w:rsid w:val="00925B72"/>
    <w:rsid w:val="009261B2"/>
    <w:rsid w:val="00926458"/>
    <w:rsid w:val="00927739"/>
    <w:rsid w:val="00930669"/>
    <w:rsid w:val="00930961"/>
    <w:rsid w:val="00931CDE"/>
    <w:rsid w:val="00931D3F"/>
    <w:rsid w:val="00932425"/>
    <w:rsid w:val="00932445"/>
    <w:rsid w:val="009324E0"/>
    <w:rsid w:val="00932CB6"/>
    <w:rsid w:val="00933791"/>
    <w:rsid w:val="009338F2"/>
    <w:rsid w:val="00933FAF"/>
    <w:rsid w:val="0093401C"/>
    <w:rsid w:val="00934302"/>
    <w:rsid w:val="00934C1B"/>
    <w:rsid w:val="00934CBB"/>
    <w:rsid w:val="00934DFD"/>
    <w:rsid w:val="009363BD"/>
    <w:rsid w:val="00937399"/>
    <w:rsid w:val="00940359"/>
    <w:rsid w:val="00940F51"/>
    <w:rsid w:val="00941777"/>
    <w:rsid w:val="00941AC2"/>
    <w:rsid w:val="00942844"/>
    <w:rsid w:val="00943B4C"/>
    <w:rsid w:val="00943ED0"/>
    <w:rsid w:val="0094405B"/>
    <w:rsid w:val="009444BA"/>
    <w:rsid w:val="0094519B"/>
    <w:rsid w:val="0094538E"/>
    <w:rsid w:val="00945998"/>
    <w:rsid w:val="00945E33"/>
    <w:rsid w:val="00950992"/>
    <w:rsid w:val="0095120C"/>
    <w:rsid w:val="00951681"/>
    <w:rsid w:val="00951AEB"/>
    <w:rsid w:val="009528B8"/>
    <w:rsid w:val="00952F38"/>
    <w:rsid w:val="00952FC0"/>
    <w:rsid w:val="00953233"/>
    <w:rsid w:val="009548E4"/>
    <w:rsid w:val="0095581C"/>
    <w:rsid w:val="00955DF9"/>
    <w:rsid w:val="009567EE"/>
    <w:rsid w:val="00957819"/>
    <w:rsid w:val="00960686"/>
    <w:rsid w:val="009606DA"/>
    <w:rsid w:val="0096094E"/>
    <w:rsid w:val="00960A39"/>
    <w:rsid w:val="00960E98"/>
    <w:rsid w:val="009616CF"/>
    <w:rsid w:val="00961EE2"/>
    <w:rsid w:val="009623D3"/>
    <w:rsid w:val="009633C3"/>
    <w:rsid w:val="00963CD6"/>
    <w:rsid w:val="00963FBC"/>
    <w:rsid w:val="009640C6"/>
    <w:rsid w:val="00964D6B"/>
    <w:rsid w:val="00964E1F"/>
    <w:rsid w:val="00965157"/>
    <w:rsid w:val="0096555C"/>
    <w:rsid w:val="009656B4"/>
    <w:rsid w:val="00965E0D"/>
    <w:rsid w:val="00966747"/>
    <w:rsid w:val="009669F6"/>
    <w:rsid w:val="009673A2"/>
    <w:rsid w:val="00970D9F"/>
    <w:rsid w:val="009723D4"/>
    <w:rsid w:val="009724AC"/>
    <w:rsid w:val="009741CE"/>
    <w:rsid w:val="009752A3"/>
    <w:rsid w:val="009753A8"/>
    <w:rsid w:val="00976ADB"/>
    <w:rsid w:val="00976DA8"/>
    <w:rsid w:val="00976DB6"/>
    <w:rsid w:val="00977936"/>
    <w:rsid w:val="00977BFB"/>
    <w:rsid w:val="00980D04"/>
    <w:rsid w:val="00981737"/>
    <w:rsid w:val="00981FB1"/>
    <w:rsid w:val="00983282"/>
    <w:rsid w:val="0098455E"/>
    <w:rsid w:val="00984A80"/>
    <w:rsid w:val="00984B5B"/>
    <w:rsid w:val="0098557B"/>
    <w:rsid w:val="00986AFD"/>
    <w:rsid w:val="00986C2A"/>
    <w:rsid w:val="0098729F"/>
    <w:rsid w:val="009872CC"/>
    <w:rsid w:val="00987BE3"/>
    <w:rsid w:val="00991D83"/>
    <w:rsid w:val="00992A05"/>
    <w:rsid w:val="00992E72"/>
    <w:rsid w:val="00992E78"/>
    <w:rsid w:val="009931E3"/>
    <w:rsid w:val="00993523"/>
    <w:rsid w:val="009945BE"/>
    <w:rsid w:val="00994D6D"/>
    <w:rsid w:val="00994E85"/>
    <w:rsid w:val="00995271"/>
    <w:rsid w:val="009953BB"/>
    <w:rsid w:val="00995FF9"/>
    <w:rsid w:val="00996552"/>
    <w:rsid w:val="009A0673"/>
    <w:rsid w:val="009A0820"/>
    <w:rsid w:val="009A0EC0"/>
    <w:rsid w:val="009A1576"/>
    <w:rsid w:val="009A1B90"/>
    <w:rsid w:val="009A3338"/>
    <w:rsid w:val="009A397F"/>
    <w:rsid w:val="009A39BE"/>
    <w:rsid w:val="009A3D34"/>
    <w:rsid w:val="009A45FB"/>
    <w:rsid w:val="009A4E2D"/>
    <w:rsid w:val="009A65C2"/>
    <w:rsid w:val="009A7B35"/>
    <w:rsid w:val="009B0A69"/>
    <w:rsid w:val="009B21F5"/>
    <w:rsid w:val="009B306E"/>
    <w:rsid w:val="009B3209"/>
    <w:rsid w:val="009B396B"/>
    <w:rsid w:val="009B3D3B"/>
    <w:rsid w:val="009B4136"/>
    <w:rsid w:val="009B4ECA"/>
    <w:rsid w:val="009B63F1"/>
    <w:rsid w:val="009B6989"/>
    <w:rsid w:val="009B6DCF"/>
    <w:rsid w:val="009B7CFE"/>
    <w:rsid w:val="009C20D9"/>
    <w:rsid w:val="009C2639"/>
    <w:rsid w:val="009C28C5"/>
    <w:rsid w:val="009C2F17"/>
    <w:rsid w:val="009C34B1"/>
    <w:rsid w:val="009C3766"/>
    <w:rsid w:val="009C4D1A"/>
    <w:rsid w:val="009C51A9"/>
    <w:rsid w:val="009C5DE5"/>
    <w:rsid w:val="009C627C"/>
    <w:rsid w:val="009C6603"/>
    <w:rsid w:val="009C6D4A"/>
    <w:rsid w:val="009D06C4"/>
    <w:rsid w:val="009D090E"/>
    <w:rsid w:val="009D1171"/>
    <w:rsid w:val="009D1383"/>
    <w:rsid w:val="009D1DC2"/>
    <w:rsid w:val="009D2918"/>
    <w:rsid w:val="009D2AC6"/>
    <w:rsid w:val="009D2CA5"/>
    <w:rsid w:val="009D3823"/>
    <w:rsid w:val="009D4009"/>
    <w:rsid w:val="009D4512"/>
    <w:rsid w:val="009D48CF"/>
    <w:rsid w:val="009D4FF6"/>
    <w:rsid w:val="009D55A2"/>
    <w:rsid w:val="009D5BAB"/>
    <w:rsid w:val="009E0267"/>
    <w:rsid w:val="009E2037"/>
    <w:rsid w:val="009E20CF"/>
    <w:rsid w:val="009E2219"/>
    <w:rsid w:val="009E2F11"/>
    <w:rsid w:val="009E3B46"/>
    <w:rsid w:val="009E4020"/>
    <w:rsid w:val="009E4AAC"/>
    <w:rsid w:val="009E535A"/>
    <w:rsid w:val="009E5AEF"/>
    <w:rsid w:val="009E5FFA"/>
    <w:rsid w:val="009E6FD5"/>
    <w:rsid w:val="009F0181"/>
    <w:rsid w:val="009F0835"/>
    <w:rsid w:val="009F0C2E"/>
    <w:rsid w:val="009F0D52"/>
    <w:rsid w:val="009F0E31"/>
    <w:rsid w:val="009F1F1B"/>
    <w:rsid w:val="009F223B"/>
    <w:rsid w:val="009F2A67"/>
    <w:rsid w:val="009F320A"/>
    <w:rsid w:val="009F3401"/>
    <w:rsid w:val="009F3E6B"/>
    <w:rsid w:val="009F47A6"/>
    <w:rsid w:val="009F4F07"/>
    <w:rsid w:val="009F5A85"/>
    <w:rsid w:val="009F5C35"/>
    <w:rsid w:val="009F6178"/>
    <w:rsid w:val="009F6192"/>
    <w:rsid w:val="009F6317"/>
    <w:rsid w:val="009F6D5D"/>
    <w:rsid w:val="009F7404"/>
    <w:rsid w:val="009F78FB"/>
    <w:rsid w:val="00A003DC"/>
    <w:rsid w:val="00A0069D"/>
    <w:rsid w:val="00A01038"/>
    <w:rsid w:val="00A012B5"/>
    <w:rsid w:val="00A025A4"/>
    <w:rsid w:val="00A03811"/>
    <w:rsid w:val="00A0385C"/>
    <w:rsid w:val="00A03894"/>
    <w:rsid w:val="00A05011"/>
    <w:rsid w:val="00A0596D"/>
    <w:rsid w:val="00A05F66"/>
    <w:rsid w:val="00A060FA"/>
    <w:rsid w:val="00A0629B"/>
    <w:rsid w:val="00A06947"/>
    <w:rsid w:val="00A07B1B"/>
    <w:rsid w:val="00A1011D"/>
    <w:rsid w:val="00A10357"/>
    <w:rsid w:val="00A10CFE"/>
    <w:rsid w:val="00A12D4A"/>
    <w:rsid w:val="00A13366"/>
    <w:rsid w:val="00A14388"/>
    <w:rsid w:val="00A14610"/>
    <w:rsid w:val="00A14658"/>
    <w:rsid w:val="00A14B4A"/>
    <w:rsid w:val="00A14E24"/>
    <w:rsid w:val="00A15A61"/>
    <w:rsid w:val="00A15ADE"/>
    <w:rsid w:val="00A160F2"/>
    <w:rsid w:val="00A16F2F"/>
    <w:rsid w:val="00A17597"/>
    <w:rsid w:val="00A1772B"/>
    <w:rsid w:val="00A1791C"/>
    <w:rsid w:val="00A1797A"/>
    <w:rsid w:val="00A20192"/>
    <w:rsid w:val="00A205C0"/>
    <w:rsid w:val="00A20BA8"/>
    <w:rsid w:val="00A21C39"/>
    <w:rsid w:val="00A2205E"/>
    <w:rsid w:val="00A2313B"/>
    <w:rsid w:val="00A23389"/>
    <w:rsid w:val="00A23EE2"/>
    <w:rsid w:val="00A2413A"/>
    <w:rsid w:val="00A24FAD"/>
    <w:rsid w:val="00A25958"/>
    <w:rsid w:val="00A25F49"/>
    <w:rsid w:val="00A260FA"/>
    <w:rsid w:val="00A266E1"/>
    <w:rsid w:val="00A26840"/>
    <w:rsid w:val="00A26B87"/>
    <w:rsid w:val="00A2760E"/>
    <w:rsid w:val="00A27B69"/>
    <w:rsid w:val="00A300A3"/>
    <w:rsid w:val="00A31A1D"/>
    <w:rsid w:val="00A31C67"/>
    <w:rsid w:val="00A31C8C"/>
    <w:rsid w:val="00A3281D"/>
    <w:rsid w:val="00A33B4C"/>
    <w:rsid w:val="00A34125"/>
    <w:rsid w:val="00A35319"/>
    <w:rsid w:val="00A360A2"/>
    <w:rsid w:val="00A366AA"/>
    <w:rsid w:val="00A37273"/>
    <w:rsid w:val="00A37EB4"/>
    <w:rsid w:val="00A400FC"/>
    <w:rsid w:val="00A40650"/>
    <w:rsid w:val="00A412C0"/>
    <w:rsid w:val="00A41766"/>
    <w:rsid w:val="00A4200D"/>
    <w:rsid w:val="00A4215B"/>
    <w:rsid w:val="00A42763"/>
    <w:rsid w:val="00A4278A"/>
    <w:rsid w:val="00A4291F"/>
    <w:rsid w:val="00A435C2"/>
    <w:rsid w:val="00A43AC1"/>
    <w:rsid w:val="00A43B61"/>
    <w:rsid w:val="00A43E95"/>
    <w:rsid w:val="00A445DB"/>
    <w:rsid w:val="00A4470F"/>
    <w:rsid w:val="00A448E9"/>
    <w:rsid w:val="00A44BC5"/>
    <w:rsid w:val="00A455A0"/>
    <w:rsid w:val="00A46090"/>
    <w:rsid w:val="00A46E92"/>
    <w:rsid w:val="00A47662"/>
    <w:rsid w:val="00A477B7"/>
    <w:rsid w:val="00A47A10"/>
    <w:rsid w:val="00A47A54"/>
    <w:rsid w:val="00A47CEC"/>
    <w:rsid w:val="00A47D62"/>
    <w:rsid w:val="00A5095F"/>
    <w:rsid w:val="00A50B80"/>
    <w:rsid w:val="00A51743"/>
    <w:rsid w:val="00A51B29"/>
    <w:rsid w:val="00A51CCB"/>
    <w:rsid w:val="00A521A0"/>
    <w:rsid w:val="00A53497"/>
    <w:rsid w:val="00A5355A"/>
    <w:rsid w:val="00A53E3B"/>
    <w:rsid w:val="00A54301"/>
    <w:rsid w:val="00A54975"/>
    <w:rsid w:val="00A54A3C"/>
    <w:rsid w:val="00A54D80"/>
    <w:rsid w:val="00A54E94"/>
    <w:rsid w:val="00A55ED4"/>
    <w:rsid w:val="00A5644E"/>
    <w:rsid w:val="00A56883"/>
    <w:rsid w:val="00A569A6"/>
    <w:rsid w:val="00A56D97"/>
    <w:rsid w:val="00A57051"/>
    <w:rsid w:val="00A57768"/>
    <w:rsid w:val="00A578F9"/>
    <w:rsid w:val="00A57D5B"/>
    <w:rsid w:val="00A6117A"/>
    <w:rsid w:val="00A6136B"/>
    <w:rsid w:val="00A61689"/>
    <w:rsid w:val="00A61A7E"/>
    <w:rsid w:val="00A61D1C"/>
    <w:rsid w:val="00A62007"/>
    <w:rsid w:val="00A626D7"/>
    <w:rsid w:val="00A62C88"/>
    <w:rsid w:val="00A645E4"/>
    <w:rsid w:val="00A648DA"/>
    <w:rsid w:val="00A64ABF"/>
    <w:rsid w:val="00A66D3C"/>
    <w:rsid w:val="00A672AC"/>
    <w:rsid w:val="00A703AD"/>
    <w:rsid w:val="00A709E6"/>
    <w:rsid w:val="00A70F1A"/>
    <w:rsid w:val="00A71393"/>
    <w:rsid w:val="00A71CF9"/>
    <w:rsid w:val="00A73071"/>
    <w:rsid w:val="00A74E8B"/>
    <w:rsid w:val="00A7540B"/>
    <w:rsid w:val="00A75F13"/>
    <w:rsid w:val="00A80DE5"/>
    <w:rsid w:val="00A8125A"/>
    <w:rsid w:val="00A820D0"/>
    <w:rsid w:val="00A8229B"/>
    <w:rsid w:val="00A82551"/>
    <w:rsid w:val="00A830AE"/>
    <w:rsid w:val="00A842AB"/>
    <w:rsid w:val="00A84A17"/>
    <w:rsid w:val="00A84ECA"/>
    <w:rsid w:val="00A86184"/>
    <w:rsid w:val="00A8643D"/>
    <w:rsid w:val="00A867D3"/>
    <w:rsid w:val="00A869DB"/>
    <w:rsid w:val="00A869E3"/>
    <w:rsid w:val="00A87283"/>
    <w:rsid w:val="00A87668"/>
    <w:rsid w:val="00A907D8"/>
    <w:rsid w:val="00A90BC1"/>
    <w:rsid w:val="00A90CB6"/>
    <w:rsid w:val="00A915D2"/>
    <w:rsid w:val="00A91632"/>
    <w:rsid w:val="00A9378E"/>
    <w:rsid w:val="00A94875"/>
    <w:rsid w:val="00A94EFB"/>
    <w:rsid w:val="00A954B1"/>
    <w:rsid w:val="00A95631"/>
    <w:rsid w:val="00A95EE7"/>
    <w:rsid w:val="00A96A69"/>
    <w:rsid w:val="00A96F57"/>
    <w:rsid w:val="00A97090"/>
    <w:rsid w:val="00A97E3F"/>
    <w:rsid w:val="00AA06E0"/>
    <w:rsid w:val="00AA0929"/>
    <w:rsid w:val="00AA0BF1"/>
    <w:rsid w:val="00AA29D3"/>
    <w:rsid w:val="00AA3546"/>
    <w:rsid w:val="00AA3856"/>
    <w:rsid w:val="00AA40A9"/>
    <w:rsid w:val="00AA6C75"/>
    <w:rsid w:val="00AB1714"/>
    <w:rsid w:val="00AB288B"/>
    <w:rsid w:val="00AB4006"/>
    <w:rsid w:val="00AB44A5"/>
    <w:rsid w:val="00AB50A6"/>
    <w:rsid w:val="00AB521E"/>
    <w:rsid w:val="00AB567D"/>
    <w:rsid w:val="00AB73D3"/>
    <w:rsid w:val="00AC19CB"/>
    <w:rsid w:val="00AC1A58"/>
    <w:rsid w:val="00AC1DA1"/>
    <w:rsid w:val="00AC1DC5"/>
    <w:rsid w:val="00AC210A"/>
    <w:rsid w:val="00AC3158"/>
    <w:rsid w:val="00AC3FB7"/>
    <w:rsid w:val="00AC4B35"/>
    <w:rsid w:val="00AC4C00"/>
    <w:rsid w:val="00AC50DE"/>
    <w:rsid w:val="00AC542A"/>
    <w:rsid w:val="00AC5EF0"/>
    <w:rsid w:val="00AC6B11"/>
    <w:rsid w:val="00AC7010"/>
    <w:rsid w:val="00AC7F70"/>
    <w:rsid w:val="00AD0B14"/>
    <w:rsid w:val="00AD26A7"/>
    <w:rsid w:val="00AD30A7"/>
    <w:rsid w:val="00AD3A64"/>
    <w:rsid w:val="00AD3A79"/>
    <w:rsid w:val="00AD42F9"/>
    <w:rsid w:val="00AD440F"/>
    <w:rsid w:val="00AD490C"/>
    <w:rsid w:val="00AD4B55"/>
    <w:rsid w:val="00AD4D3F"/>
    <w:rsid w:val="00AD5110"/>
    <w:rsid w:val="00AD5B20"/>
    <w:rsid w:val="00AD5B9B"/>
    <w:rsid w:val="00AD5BD0"/>
    <w:rsid w:val="00AD63FC"/>
    <w:rsid w:val="00AD6561"/>
    <w:rsid w:val="00AE04A9"/>
    <w:rsid w:val="00AE106F"/>
    <w:rsid w:val="00AE16FE"/>
    <w:rsid w:val="00AE1F0A"/>
    <w:rsid w:val="00AE2055"/>
    <w:rsid w:val="00AE21AD"/>
    <w:rsid w:val="00AE2CAA"/>
    <w:rsid w:val="00AE3383"/>
    <w:rsid w:val="00AE4627"/>
    <w:rsid w:val="00AE494C"/>
    <w:rsid w:val="00AE55D9"/>
    <w:rsid w:val="00AE684B"/>
    <w:rsid w:val="00AE6B51"/>
    <w:rsid w:val="00AE6C76"/>
    <w:rsid w:val="00AF01F0"/>
    <w:rsid w:val="00AF29B6"/>
    <w:rsid w:val="00AF29CF"/>
    <w:rsid w:val="00AF35D9"/>
    <w:rsid w:val="00AF3F5C"/>
    <w:rsid w:val="00AF401D"/>
    <w:rsid w:val="00AF6AAA"/>
    <w:rsid w:val="00AF76C1"/>
    <w:rsid w:val="00AF76DA"/>
    <w:rsid w:val="00AF7743"/>
    <w:rsid w:val="00AF78B4"/>
    <w:rsid w:val="00B00643"/>
    <w:rsid w:val="00B00975"/>
    <w:rsid w:val="00B01193"/>
    <w:rsid w:val="00B018B9"/>
    <w:rsid w:val="00B01E21"/>
    <w:rsid w:val="00B028E5"/>
    <w:rsid w:val="00B03B9F"/>
    <w:rsid w:val="00B0424A"/>
    <w:rsid w:val="00B0441E"/>
    <w:rsid w:val="00B052EE"/>
    <w:rsid w:val="00B0550E"/>
    <w:rsid w:val="00B05739"/>
    <w:rsid w:val="00B05BBD"/>
    <w:rsid w:val="00B05D9E"/>
    <w:rsid w:val="00B05F29"/>
    <w:rsid w:val="00B06D0A"/>
    <w:rsid w:val="00B11AF4"/>
    <w:rsid w:val="00B12641"/>
    <w:rsid w:val="00B12C75"/>
    <w:rsid w:val="00B12D78"/>
    <w:rsid w:val="00B1396D"/>
    <w:rsid w:val="00B14982"/>
    <w:rsid w:val="00B157C8"/>
    <w:rsid w:val="00B16F5C"/>
    <w:rsid w:val="00B17FAF"/>
    <w:rsid w:val="00B20920"/>
    <w:rsid w:val="00B21378"/>
    <w:rsid w:val="00B21741"/>
    <w:rsid w:val="00B225E8"/>
    <w:rsid w:val="00B22E04"/>
    <w:rsid w:val="00B23862"/>
    <w:rsid w:val="00B251C0"/>
    <w:rsid w:val="00B25E89"/>
    <w:rsid w:val="00B2670B"/>
    <w:rsid w:val="00B26AB5"/>
    <w:rsid w:val="00B27359"/>
    <w:rsid w:val="00B27A22"/>
    <w:rsid w:val="00B300C1"/>
    <w:rsid w:val="00B302F7"/>
    <w:rsid w:val="00B31949"/>
    <w:rsid w:val="00B33533"/>
    <w:rsid w:val="00B33BBA"/>
    <w:rsid w:val="00B3453C"/>
    <w:rsid w:val="00B34CEA"/>
    <w:rsid w:val="00B352A9"/>
    <w:rsid w:val="00B35D78"/>
    <w:rsid w:val="00B36C93"/>
    <w:rsid w:val="00B36E65"/>
    <w:rsid w:val="00B3716A"/>
    <w:rsid w:val="00B37743"/>
    <w:rsid w:val="00B411FB"/>
    <w:rsid w:val="00B4140F"/>
    <w:rsid w:val="00B427A8"/>
    <w:rsid w:val="00B44BFF"/>
    <w:rsid w:val="00B46B7F"/>
    <w:rsid w:val="00B47CFF"/>
    <w:rsid w:val="00B50D2B"/>
    <w:rsid w:val="00B50EE3"/>
    <w:rsid w:val="00B51623"/>
    <w:rsid w:val="00B51BE4"/>
    <w:rsid w:val="00B51E44"/>
    <w:rsid w:val="00B52B82"/>
    <w:rsid w:val="00B53714"/>
    <w:rsid w:val="00B53EA4"/>
    <w:rsid w:val="00B547D0"/>
    <w:rsid w:val="00B54C7D"/>
    <w:rsid w:val="00B55D28"/>
    <w:rsid w:val="00B5682F"/>
    <w:rsid w:val="00B60A2E"/>
    <w:rsid w:val="00B6121C"/>
    <w:rsid w:val="00B61A21"/>
    <w:rsid w:val="00B61BA2"/>
    <w:rsid w:val="00B61E8A"/>
    <w:rsid w:val="00B6252A"/>
    <w:rsid w:val="00B638C4"/>
    <w:rsid w:val="00B63D4F"/>
    <w:rsid w:val="00B64705"/>
    <w:rsid w:val="00B652FB"/>
    <w:rsid w:val="00B65B2B"/>
    <w:rsid w:val="00B70497"/>
    <w:rsid w:val="00B70C68"/>
    <w:rsid w:val="00B71658"/>
    <w:rsid w:val="00B71CDE"/>
    <w:rsid w:val="00B72A2A"/>
    <w:rsid w:val="00B731CD"/>
    <w:rsid w:val="00B73200"/>
    <w:rsid w:val="00B7322F"/>
    <w:rsid w:val="00B7325D"/>
    <w:rsid w:val="00B73413"/>
    <w:rsid w:val="00B736D0"/>
    <w:rsid w:val="00B74075"/>
    <w:rsid w:val="00B744CF"/>
    <w:rsid w:val="00B75B8F"/>
    <w:rsid w:val="00B75D52"/>
    <w:rsid w:val="00B76116"/>
    <w:rsid w:val="00B762A9"/>
    <w:rsid w:val="00B76AB0"/>
    <w:rsid w:val="00B77154"/>
    <w:rsid w:val="00B778E1"/>
    <w:rsid w:val="00B803A5"/>
    <w:rsid w:val="00B80B86"/>
    <w:rsid w:val="00B80C45"/>
    <w:rsid w:val="00B815EF"/>
    <w:rsid w:val="00B81821"/>
    <w:rsid w:val="00B8195E"/>
    <w:rsid w:val="00B81E87"/>
    <w:rsid w:val="00B828D2"/>
    <w:rsid w:val="00B8319A"/>
    <w:rsid w:val="00B83230"/>
    <w:rsid w:val="00B83F5E"/>
    <w:rsid w:val="00B84EE8"/>
    <w:rsid w:val="00B8567E"/>
    <w:rsid w:val="00B85847"/>
    <w:rsid w:val="00B866E6"/>
    <w:rsid w:val="00B8675E"/>
    <w:rsid w:val="00B86F74"/>
    <w:rsid w:val="00B87178"/>
    <w:rsid w:val="00B877B2"/>
    <w:rsid w:val="00B87F55"/>
    <w:rsid w:val="00B901CC"/>
    <w:rsid w:val="00B90BF4"/>
    <w:rsid w:val="00B90D9A"/>
    <w:rsid w:val="00B94769"/>
    <w:rsid w:val="00B9496F"/>
    <w:rsid w:val="00B953CF"/>
    <w:rsid w:val="00B95657"/>
    <w:rsid w:val="00B95C32"/>
    <w:rsid w:val="00B96146"/>
    <w:rsid w:val="00B962CC"/>
    <w:rsid w:val="00B96370"/>
    <w:rsid w:val="00B96A73"/>
    <w:rsid w:val="00B9731D"/>
    <w:rsid w:val="00B9768B"/>
    <w:rsid w:val="00B979C9"/>
    <w:rsid w:val="00B97EAB"/>
    <w:rsid w:val="00BA02B2"/>
    <w:rsid w:val="00BA08AF"/>
    <w:rsid w:val="00BA096E"/>
    <w:rsid w:val="00BA0994"/>
    <w:rsid w:val="00BA09B0"/>
    <w:rsid w:val="00BA0BE0"/>
    <w:rsid w:val="00BA0DBF"/>
    <w:rsid w:val="00BA0F4D"/>
    <w:rsid w:val="00BA2A86"/>
    <w:rsid w:val="00BA330C"/>
    <w:rsid w:val="00BA38EC"/>
    <w:rsid w:val="00BA3C09"/>
    <w:rsid w:val="00BA4ECC"/>
    <w:rsid w:val="00BA5CF2"/>
    <w:rsid w:val="00BA61AB"/>
    <w:rsid w:val="00BA713C"/>
    <w:rsid w:val="00BA72B6"/>
    <w:rsid w:val="00BA786B"/>
    <w:rsid w:val="00BB1608"/>
    <w:rsid w:val="00BB161C"/>
    <w:rsid w:val="00BB1673"/>
    <w:rsid w:val="00BB1724"/>
    <w:rsid w:val="00BB1A24"/>
    <w:rsid w:val="00BB20F7"/>
    <w:rsid w:val="00BB2216"/>
    <w:rsid w:val="00BB2441"/>
    <w:rsid w:val="00BB26E3"/>
    <w:rsid w:val="00BB27C2"/>
    <w:rsid w:val="00BB27CA"/>
    <w:rsid w:val="00BB4C2B"/>
    <w:rsid w:val="00BB507A"/>
    <w:rsid w:val="00BB5C05"/>
    <w:rsid w:val="00BB609D"/>
    <w:rsid w:val="00BB6561"/>
    <w:rsid w:val="00BB7866"/>
    <w:rsid w:val="00BB7C7A"/>
    <w:rsid w:val="00BC0A08"/>
    <w:rsid w:val="00BC0EFD"/>
    <w:rsid w:val="00BC10FA"/>
    <w:rsid w:val="00BC12EB"/>
    <w:rsid w:val="00BC1FB1"/>
    <w:rsid w:val="00BC20DF"/>
    <w:rsid w:val="00BC2835"/>
    <w:rsid w:val="00BC2B73"/>
    <w:rsid w:val="00BC3EAD"/>
    <w:rsid w:val="00BC5767"/>
    <w:rsid w:val="00BC58A6"/>
    <w:rsid w:val="00BC5DFC"/>
    <w:rsid w:val="00BC5F1B"/>
    <w:rsid w:val="00BC63A8"/>
    <w:rsid w:val="00BC6C2F"/>
    <w:rsid w:val="00BC79A8"/>
    <w:rsid w:val="00BC7FDB"/>
    <w:rsid w:val="00BD0B83"/>
    <w:rsid w:val="00BD1378"/>
    <w:rsid w:val="00BD28EC"/>
    <w:rsid w:val="00BD323F"/>
    <w:rsid w:val="00BD37F2"/>
    <w:rsid w:val="00BD3BD1"/>
    <w:rsid w:val="00BD3F88"/>
    <w:rsid w:val="00BD67D4"/>
    <w:rsid w:val="00BD7126"/>
    <w:rsid w:val="00BD7E1A"/>
    <w:rsid w:val="00BE0148"/>
    <w:rsid w:val="00BE0E1C"/>
    <w:rsid w:val="00BE1751"/>
    <w:rsid w:val="00BE2644"/>
    <w:rsid w:val="00BE2BBB"/>
    <w:rsid w:val="00BE2F68"/>
    <w:rsid w:val="00BE3030"/>
    <w:rsid w:val="00BE36D2"/>
    <w:rsid w:val="00BE5DB8"/>
    <w:rsid w:val="00BE755B"/>
    <w:rsid w:val="00BE7988"/>
    <w:rsid w:val="00BE7AC1"/>
    <w:rsid w:val="00BE7E0A"/>
    <w:rsid w:val="00BF013F"/>
    <w:rsid w:val="00BF030E"/>
    <w:rsid w:val="00BF08DF"/>
    <w:rsid w:val="00BF0DA0"/>
    <w:rsid w:val="00BF1067"/>
    <w:rsid w:val="00BF1C84"/>
    <w:rsid w:val="00BF3632"/>
    <w:rsid w:val="00BF382B"/>
    <w:rsid w:val="00BF4201"/>
    <w:rsid w:val="00BF4969"/>
    <w:rsid w:val="00BF54CA"/>
    <w:rsid w:val="00BF60F4"/>
    <w:rsid w:val="00BF6AEF"/>
    <w:rsid w:val="00BF7779"/>
    <w:rsid w:val="00BF78E5"/>
    <w:rsid w:val="00BF79C7"/>
    <w:rsid w:val="00BF79E2"/>
    <w:rsid w:val="00BF7BCB"/>
    <w:rsid w:val="00C01047"/>
    <w:rsid w:val="00C010A9"/>
    <w:rsid w:val="00C017E7"/>
    <w:rsid w:val="00C01815"/>
    <w:rsid w:val="00C01ED8"/>
    <w:rsid w:val="00C02718"/>
    <w:rsid w:val="00C029AD"/>
    <w:rsid w:val="00C02FCB"/>
    <w:rsid w:val="00C040AD"/>
    <w:rsid w:val="00C04492"/>
    <w:rsid w:val="00C046A8"/>
    <w:rsid w:val="00C04790"/>
    <w:rsid w:val="00C049BA"/>
    <w:rsid w:val="00C04AD1"/>
    <w:rsid w:val="00C04E79"/>
    <w:rsid w:val="00C07490"/>
    <w:rsid w:val="00C07A04"/>
    <w:rsid w:val="00C10335"/>
    <w:rsid w:val="00C107C2"/>
    <w:rsid w:val="00C119C5"/>
    <w:rsid w:val="00C120F5"/>
    <w:rsid w:val="00C12136"/>
    <w:rsid w:val="00C12AF0"/>
    <w:rsid w:val="00C13E08"/>
    <w:rsid w:val="00C1421E"/>
    <w:rsid w:val="00C14AE8"/>
    <w:rsid w:val="00C15190"/>
    <w:rsid w:val="00C1522F"/>
    <w:rsid w:val="00C15288"/>
    <w:rsid w:val="00C1541A"/>
    <w:rsid w:val="00C171F9"/>
    <w:rsid w:val="00C17ECA"/>
    <w:rsid w:val="00C20319"/>
    <w:rsid w:val="00C20637"/>
    <w:rsid w:val="00C20CC2"/>
    <w:rsid w:val="00C221B4"/>
    <w:rsid w:val="00C22237"/>
    <w:rsid w:val="00C22354"/>
    <w:rsid w:val="00C2256E"/>
    <w:rsid w:val="00C22837"/>
    <w:rsid w:val="00C23391"/>
    <w:rsid w:val="00C23E3F"/>
    <w:rsid w:val="00C249A3"/>
    <w:rsid w:val="00C25AD0"/>
    <w:rsid w:val="00C26218"/>
    <w:rsid w:val="00C27CDF"/>
    <w:rsid w:val="00C312FB"/>
    <w:rsid w:val="00C31E51"/>
    <w:rsid w:val="00C338E3"/>
    <w:rsid w:val="00C33A40"/>
    <w:rsid w:val="00C33C5C"/>
    <w:rsid w:val="00C34975"/>
    <w:rsid w:val="00C35E81"/>
    <w:rsid w:val="00C36096"/>
    <w:rsid w:val="00C36322"/>
    <w:rsid w:val="00C36A54"/>
    <w:rsid w:val="00C37105"/>
    <w:rsid w:val="00C40067"/>
    <w:rsid w:val="00C40175"/>
    <w:rsid w:val="00C408E6"/>
    <w:rsid w:val="00C409B7"/>
    <w:rsid w:val="00C413A4"/>
    <w:rsid w:val="00C41433"/>
    <w:rsid w:val="00C418E5"/>
    <w:rsid w:val="00C443B5"/>
    <w:rsid w:val="00C45FF5"/>
    <w:rsid w:val="00C46AD5"/>
    <w:rsid w:val="00C46E14"/>
    <w:rsid w:val="00C47E64"/>
    <w:rsid w:val="00C5075C"/>
    <w:rsid w:val="00C512BC"/>
    <w:rsid w:val="00C51A67"/>
    <w:rsid w:val="00C52670"/>
    <w:rsid w:val="00C52F6B"/>
    <w:rsid w:val="00C535A5"/>
    <w:rsid w:val="00C558BC"/>
    <w:rsid w:val="00C55A9C"/>
    <w:rsid w:val="00C55B77"/>
    <w:rsid w:val="00C563E3"/>
    <w:rsid w:val="00C56C6B"/>
    <w:rsid w:val="00C5766E"/>
    <w:rsid w:val="00C57970"/>
    <w:rsid w:val="00C57A53"/>
    <w:rsid w:val="00C57D78"/>
    <w:rsid w:val="00C60CFC"/>
    <w:rsid w:val="00C61ED3"/>
    <w:rsid w:val="00C62EEB"/>
    <w:rsid w:val="00C634F2"/>
    <w:rsid w:val="00C63B63"/>
    <w:rsid w:val="00C63DA9"/>
    <w:rsid w:val="00C64BDE"/>
    <w:rsid w:val="00C65C25"/>
    <w:rsid w:val="00C666C1"/>
    <w:rsid w:val="00C700C9"/>
    <w:rsid w:val="00C7058D"/>
    <w:rsid w:val="00C70AB5"/>
    <w:rsid w:val="00C70AF3"/>
    <w:rsid w:val="00C70B52"/>
    <w:rsid w:val="00C70FEC"/>
    <w:rsid w:val="00C71184"/>
    <w:rsid w:val="00C72357"/>
    <w:rsid w:val="00C72643"/>
    <w:rsid w:val="00C73844"/>
    <w:rsid w:val="00C742AE"/>
    <w:rsid w:val="00C7503F"/>
    <w:rsid w:val="00C7614B"/>
    <w:rsid w:val="00C76337"/>
    <w:rsid w:val="00C7693A"/>
    <w:rsid w:val="00C76D03"/>
    <w:rsid w:val="00C77427"/>
    <w:rsid w:val="00C77769"/>
    <w:rsid w:val="00C807F0"/>
    <w:rsid w:val="00C8080B"/>
    <w:rsid w:val="00C80914"/>
    <w:rsid w:val="00C81B63"/>
    <w:rsid w:val="00C82DE5"/>
    <w:rsid w:val="00C856A6"/>
    <w:rsid w:val="00C857A7"/>
    <w:rsid w:val="00C85F5B"/>
    <w:rsid w:val="00C8696B"/>
    <w:rsid w:val="00C86F1B"/>
    <w:rsid w:val="00C87F20"/>
    <w:rsid w:val="00C92043"/>
    <w:rsid w:val="00C93347"/>
    <w:rsid w:val="00C94061"/>
    <w:rsid w:val="00C95497"/>
    <w:rsid w:val="00C957E4"/>
    <w:rsid w:val="00C9637F"/>
    <w:rsid w:val="00C97A1E"/>
    <w:rsid w:val="00CA180E"/>
    <w:rsid w:val="00CA1931"/>
    <w:rsid w:val="00CA1C31"/>
    <w:rsid w:val="00CA298F"/>
    <w:rsid w:val="00CA2B16"/>
    <w:rsid w:val="00CA2D85"/>
    <w:rsid w:val="00CA2FD2"/>
    <w:rsid w:val="00CA45D7"/>
    <w:rsid w:val="00CA518F"/>
    <w:rsid w:val="00CA5A57"/>
    <w:rsid w:val="00CA5CBF"/>
    <w:rsid w:val="00CA5D94"/>
    <w:rsid w:val="00CA5E9A"/>
    <w:rsid w:val="00CB05D7"/>
    <w:rsid w:val="00CB0D5B"/>
    <w:rsid w:val="00CB0DC0"/>
    <w:rsid w:val="00CB14DA"/>
    <w:rsid w:val="00CB353C"/>
    <w:rsid w:val="00CB3871"/>
    <w:rsid w:val="00CB3D15"/>
    <w:rsid w:val="00CB4D7D"/>
    <w:rsid w:val="00CB53E1"/>
    <w:rsid w:val="00CB5887"/>
    <w:rsid w:val="00CB632D"/>
    <w:rsid w:val="00CB6946"/>
    <w:rsid w:val="00CB6CB5"/>
    <w:rsid w:val="00CB7773"/>
    <w:rsid w:val="00CC08C3"/>
    <w:rsid w:val="00CC0BC7"/>
    <w:rsid w:val="00CC1532"/>
    <w:rsid w:val="00CC199C"/>
    <w:rsid w:val="00CC1E30"/>
    <w:rsid w:val="00CC20C0"/>
    <w:rsid w:val="00CC2D79"/>
    <w:rsid w:val="00CC4757"/>
    <w:rsid w:val="00CC4C3D"/>
    <w:rsid w:val="00CC7A3F"/>
    <w:rsid w:val="00CC7D95"/>
    <w:rsid w:val="00CD000E"/>
    <w:rsid w:val="00CD044C"/>
    <w:rsid w:val="00CD0B78"/>
    <w:rsid w:val="00CD267A"/>
    <w:rsid w:val="00CD2E73"/>
    <w:rsid w:val="00CD2F5A"/>
    <w:rsid w:val="00CD347E"/>
    <w:rsid w:val="00CD457B"/>
    <w:rsid w:val="00CD460D"/>
    <w:rsid w:val="00CD6B9C"/>
    <w:rsid w:val="00CE1118"/>
    <w:rsid w:val="00CE2E7C"/>
    <w:rsid w:val="00CE3E09"/>
    <w:rsid w:val="00CE412D"/>
    <w:rsid w:val="00CE6458"/>
    <w:rsid w:val="00CE720B"/>
    <w:rsid w:val="00CE7B20"/>
    <w:rsid w:val="00CF01E4"/>
    <w:rsid w:val="00CF05A5"/>
    <w:rsid w:val="00CF30D6"/>
    <w:rsid w:val="00CF372A"/>
    <w:rsid w:val="00CF4005"/>
    <w:rsid w:val="00CF419F"/>
    <w:rsid w:val="00CF4455"/>
    <w:rsid w:val="00CF55D8"/>
    <w:rsid w:val="00CF5750"/>
    <w:rsid w:val="00CF5A8A"/>
    <w:rsid w:val="00CF5A91"/>
    <w:rsid w:val="00CF5F15"/>
    <w:rsid w:val="00CF6822"/>
    <w:rsid w:val="00CF7490"/>
    <w:rsid w:val="00CF7D1D"/>
    <w:rsid w:val="00D006F1"/>
    <w:rsid w:val="00D015B4"/>
    <w:rsid w:val="00D029A4"/>
    <w:rsid w:val="00D02C78"/>
    <w:rsid w:val="00D02E97"/>
    <w:rsid w:val="00D0343C"/>
    <w:rsid w:val="00D03795"/>
    <w:rsid w:val="00D03C38"/>
    <w:rsid w:val="00D03CA9"/>
    <w:rsid w:val="00D040E6"/>
    <w:rsid w:val="00D05450"/>
    <w:rsid w:val="00D05D5F"/>
    <w:rsid w:val="00D07289"/>
    <w:rsid w:val="00D078A1"/>
    <w:rsid w:val="00D10319"/>
    <w:rsid w:val="00D10514"/>
    <w:rsid w:val="00D107C4"/>
    <w:rsid w:val="00D11110"/>
    <w:rsid w:val="00D118FF"/>
    <w:rsid w:val="00D119F7"/>
    <w:rsid w:val="00D125BE"/>
    <w:rsid w:val="00D140F1"/>
    <w:rsid w:val="00D14AC3"/>
    <w:rsid w:val="00D1518F"/>
    <w:rsid w:val="00D155EE"/>
    <w:rsid w:val="00D15F27"/>
    <w:rsid w:val="00D1642F"/>
    <w:rsid w:val="00D17102"/>
    <w:rsid w:val="00D17736"/>
    <w:rsid w:val="00D2003F"/>
    <w:rsid w:val="00D20522"/>
    <w:rsid w:val="00D2270B"/>
    <w:rsid w:val="00D229C9"/>
    <w:rsid w:val="00D22C05"/>
    <w:rsid w:val="00D22FEA"/>
    <w:rsid w:val="00D23277"/>
    <w:rsid w:val="00D236B5"/>
    <w:rsid w:val="00D241F7"/>
    <w:rsid w:val="00D2451B"/>
    <w:rsid w:val="00D2452E"/>
    <w:rsid w:val="00D25134"/>
    <w:rsid w:val="00D2597B"/>
    <w:rsid w:val="00D26313"/>
    <w:rsid w:val="00D26562"/>
    <w:rsid w:val="00D27B40"/>
    <w:rsid w:val="00D30378"/>
    <w:rsid w:val="00D30448"/>
    <w:rsid w:val="00D30DEC"/>
    <w:rsid w:val="00D31207"/>
    <w:rsid w:val="00D3197C"/>
    <w:rsid w:val="00D3248B"/>
    <w:rsid w:val="00D32FC7"/>
    <w:rsid w:val="00D336DC"/>
    <w:rsid w:val="00D3423D"/>
    <w:rsid w:val="00D3433D"/>
    <w:rsid w:val="00D354F0"/>
    <w:rsid w:val="00D35D15"/>
    <w:rsid w:val="00D37044"/>
    <w:rsid w:val="00D37069"/>
    <w:rsid w:val="00D370D2"/>
    <w:rsid w:val="00D371E9"/>
    <w:rsid w:val="00D37B4F"/>
    <w:rsid w:val="00D4143F"/>
    <w:rsid w:val="00D41BA8"/>
    <w:rsid w:val="00D42726"/>
    <w:rsid w:val="00D42EC0"/>
    <w:rsid w:val="00D43929"/>
    <w:rsid w:val="00D45F32"/>
    <w:rsid w:val="00D45FE5"/>
    <w:rsid w:val="00D462E4"/>
    <w:rsid w:val="00D474D8"/>
    <w:rsid w:val="00D51233"/>
    <w:rsid w:val="00D5232B"/>
    <w:rsid w:val="00D52711"/>
    <w:rsid w:val="00D53255"/>
    <w:rsid w:val="00D5367B"/>
    <w:rsid w:val="00D53C1F"/>
    <w:rsid w:val="00D53F4E"/>
    <w:rsid w:val="00D54872"/>
    <w:rsid w:val="00D54CD2"/>
    <w:rsid w:val="00D54EE1"/>
    <w:rsid w:val="00D55D68"/>
    <w:rsid w:val="00D560F5"/>
    <w:rsid w:val="00D568EF"/>
    <w:rsid w:val="00D5692A"/>
    <w:rsid w:val="00D57997"/>
    <w:rsid w:val="00D6126C"/>
    <w:rsid w:val="00D61D0F"/>
    <w:rsid w:val="00D62A0F"/>
    <w:rsid w:val="00D62F3D"/>
    <w:rsid w:val="00D63642"/>
    <w:rsid w:val="00D63841"/>
    <w:rsid w:val="00D6394A"/>
    <w:rsid w:val="00D63A0A"/>
    <w:rsid w:val="00D64365"/>
    <w:rsid w:val="00D64AF8"/>
    <w:rsid w:val="00D65593"/>
    <w:rsid w:val="00D65D7D"/>
    <w:rsid w:val="00D66513"/>
    <w:rsid w:val="00D669E5"/>
    <w:rsid w:val="00D66BCF"/>
    <w:rsid w:val="00D66D11"/>
    <w:rsid w:val="00D67334"/>
    <w:rsid w:val="00D67E99"/>
    <w:rsid w:val="00D71351"/>
    <w:rsid w:val="00D725CB"/>
    <w:rsid w:val="00D72D68"/>
    <w:rsid w:val="00D73BD9"/>
    <w:rsid w:val="00D74068"/>
    <w:rsid w:val="00D7420C"/>
    <w:rsid w:val="00D74A35"/>
    <w:rsid w:val="00D766FE"/>
    <w:rsid w:val="00D76E7A"/>
    <w:rsid w:val="00D80220"/>
    <w:rsid w:val="00D8205A"/>
    <w:rsid w:val="00D827D3"/>
    <w:rsid w:val="00D8413E"/>
    <w:rsid w:val="00D84DFB"/>
    <w:rsid w:val="00D856CC"/>
    <w:rsid w:val="00D85739"/>
    <w:rsid w:val="00D85AB0"/>
    <w:rsid w:val="00D85AD4"/>
    <w:rsid w:val="00D85B8F"/>
    <w:rsid w:val="00D85F92"/>
    <w:rsid w:val="00D8661F"/>
    <w:rsid w:val="00D86676"/>
    <w:rsid w:val="00D86DFB"/>
    <w:rsid w:val="00D875EB"/>
    <w:rsid w:val="00D87AB7"/>
    <w:rsid w:val="00D87B39"/>
    <w:rsid w:val="00D90309"/>
    <w:rsid w:val="00D90334"/>
    <w:rsid w:val="00D903E6"/>
    <w:rsid w:val="00D90561"/>
    <w:rsid w:val="00D91AEF"/>
    <w:rsid w:val="00D926DB"/>
    <w:rsid w:val="00D93B9E"/>
    <w:rsid w:val="00D94C24"/>
    <w:rsid w:val="00D94CEB"/>
    <w:rsid w:val="00D95DE4"/>
    <w:rsid w:val="00D965F8"/>
    <w:rsid w:val="00D977B5"/>
    <w:rsid w:val="00D9794B"/>
    <w:rsid w:val="00D979D8"/>
    <w:rsid w:val="00D97A42"/>
    <w:rsid w:val="00DA072C"/>
    <w:rsid w:val="00DA1512"/>
    <w:rsid w:val="00DA257C"/>
    <w:rsid w:val="00DA2A28"/>
    <w:rsid w:val="00DA3AD5"/>
    <w:rsid w:val="00DA71AC"/>
    <w:rsid w:val="00DA734C"/>
    <w:rsid w:val="00DA77C5"/>
    <w:rsid w:val="00DB0331"/>
    <w:rsid w:val="00DB0471"/>
    <w:rsid w:val="00DB05EB"/>
    <w:rsid w:val="00DB0F3F"/>
    <w:rsid w:val="00DB179D"/>
    <w:rsid w:val="00DB1C61"/>
    <w:rsid w:val="00DB2A6D"/>
    <w:rsid w:val="00DB2F21"/>
    <w:rsid w:val="00DB3512"/>
    <w:rsid w:val="00DB3514"/>
    <w:rsid w:val="00DB3F38"/>
    <w:rsid w:val="00DB44BD"/>
    <w:rsid w:val="00DB4628"/>
    <w:rsid w:val="00DB514B"/>
    <w:rsid w:val="00DB5251"/>
    <w:rsid w:val="00DB5315"/>
    <w:rsid w:val="00DB540E"/>
    <w:rsid w:val="00DB7D11"/>
    <w:rsid w:val="00DC0357"/>
    <w:rsid w:val="00DC0691"/>
    <w:rsid w:val="00DC06A0"/>
    <w:rsid w:val="00DC162C"/>
    <w:rsid w:val="00DC1B4A"/>
    <w:rsid w:val="00DC27BF"/>
    <w:rsid w:val="00DC42C1"/>
    <w:rsid w:val="00DC4B14"/>
    <w:rsid w:val="00DC55F1"/>
    <w:rsid w:val="00DC5D77"/>
    <w:rsid w:val="00DC6E58"/>
    <w:rsid w:val="00DC7056"/>
    <w:rsid w:val="00DC7D39"/>
    <w:rsid w:val="00DD016B"/>
    <w:rsid w:val="00DD0517"/>
    <w:rsid w:val="00DD1183"/>
    <w:rsid w:val="00DD1238"/>
    <w:rsid w:val="00DD1CC4"/>
    <w:rsid w:val="00DD2729"/>
    <w:rsid w:val="00DD288D"/>
    <w:rsid w:val="00DD2C29"/>
    <w:rsid w:val="00DD4A6A"/>
    <w:rsid w:val="00DD4A6F"/>
    <w:rsid w:val="00DD4ADB"/>
    <w:rsid w:val="00DD545C"/>
    <w:rsid w:val="00DD7C59"/>
    <w:rsid w:val="00DE0F37"/>
    <w:rsid w:val="00DE10D4"/>
    <w:rsid w:val="00DE1505"/>
    <w:rsid w:val="00DE18B3"/>
    <w:rsid w:val="00DE2218"/>
    <w:rsid w:val="00DE2520"/>
    <w:rsid w:val="00DE292C"/>
    <w:rsid w:val="00DE3568"/>
    <w:rsid w:val="00DE35ED"/>
    <w:rsid w:val="00DE3762"/>
    <w:rsid w:val="00DE46B6"/>
    <w:rsid w:val="00DE504F"/>
    <w:rsid w:val="00DE5117"/>
    <w:rsid w:val="00DE5545"/>
    <w:rsid w:val="00DE671C"/>
    <w:rsid w:val="00DE6902"/>
    <w:rsid w:val="00DE6F8D"/>
    <w:rsid w:val="00DE77E2"/>
    <w:rsid w:val="00DF06DC"/>
    <w:rsid w:val="00DF154A"/>
    <w:rsid w:val="00DF1CBB"/>
    <w:rsid w:val="00DF393E"/>
    <w:rsid w:val="00DF3B32"/>
    <w:rsid w:val="00DF42F0"/>
    <w:rsid w:val="00DF4C2B"/>
    <w:rsid w:val="00DF57F3"/>
    <w:rsid w:val="00DF5B88"/>
    <w:rsid w:val="00DF5E3C"/>
    <w:rsid w:val="00DF6111"/>
    <w:rsid w:val="00DF74E5"/>
    <w:rsid w:val="00DF7952"/>
    <w:rsid w:val="00DF7EA6"/>
    <w:rsid w:val="00E001D8"/>
    <w:rsid w:val="00E003F7"/>
    <w:rsid w:val="00E01027"/>
    <w:rsid w:val="00E01671"/>
    <w:rsid w:val="00E0216E"/>
    <w:rsid w:val="00E04195"/>
    <w:rsid w:val="00E04799"/>
    <w:rsid w:val="00E05461"/>
    <w:rsid w:val="00E0547F"/>
    <w:rsid w:val="00E05D7B"/>
    <w:rsid w:val="00E06348"/>
    <w:rsid w:val="00E100E1"/>
    <w:rsid w:val="00E101CE"/>
    <w:rsid w:val="00E12728"/>
    <w:rsid w:val="00E1272A"/>
    <w:rsid w:val="00E16149"/>
    <w:rsid w:val="00E16F98"/>
    <w:rsid w:val="00E17086"/>
    <w:rsid w:val="00E17277"/>
    <w:rsid w:val="00E1748D"/>
    <w:rsid w:val="00E17628"/>
    <w:rsid w:val="00E20204"/>
    <w:rsid w:val="00E20752"/>
    <w:rsid w:val="00E20A21"/>
    <w:rsid w:val="00E22949"/>
    <w:rsid w:val="00E248E4"/>
    <w:rsid w:val="00E24A6A"/>
    <w:rsid w:val="00E24BFF"/>
    <w:rsid w:val="00E25B68"/>
    <w:rsid w:val="00E25B85"/>
    <w:rsid w:val="00E263C2"/>
    <w:rsid w:val="00E2729E"/>
    <w:rsid w:val="00E30C94"/>
    <w:rsid w:val="00E31940"/>
    <w:rsid w:val="00E32660"/>
    <w:rsid w:val="00E32AC2"/>
    <w:rsid w:val="00E32D58"/>
    <w:rsid w:val="00E338FB"/>
    <w:rsid w:val="00E33E33"/>
    <w:rsid w:val="00E34854"/>
    <w:rsid w:val="00E34BE7"/>
    <w:rsid w:val="00E37269"/>
    <w:rsid w:val="00E37523"/>
    <w:rsid w:val="00E37E02"/>
    <w:rsid w:val="00E37E0D"/>
    <w:rsid w:val="00E37EC1"/>
    <w:rsid w:val="00E40483"/>
    <w:rsid w:val="00E406EE"/>
    <w:rsid w:val="00E42FD9"/>
    <w:rsid w:val="00E430C5"/>
    <w:rsid w:val="00E43F50"/>
    <w:rsid w:val="00E452F5"/>
    <w:rsid w:val="00E4565A"/>
    <w:rsid w:val="00E45C2B"/>
    <w:rsid w:val="00E46028"/>
    <w:rsid w:val="00E46E70"/>
    <w:rsid w:val="00E46F6D"/>
    <w:rsid w:val="00E47AAB"/>
    <w:rsid w:val="00E47D84"/>
    <w:rsid w:val="00E50A91"/>
    <w:rsid w:val="00E51075"/>
    <w:rsid w:val="00E5115C"/>
    <w:rsid w:val="00E512E1"/>
    <w:rsid w:val="00E5269B"/>
    <w:rsid w:val="00E52FA6"/>
    <w:rsid w:val="00E54A34"/>
    <w:rsid w:val="00E552A8"/>
    <w:rsid w:val="00E55643"/>
    <w:rsid w:val="00E55A82"/>
    <w:rsid w:val="00E55CA8"/>
    <w:rsid w:val="00E566D6"/>
    <w:rsid w:val="00E567D9"/>
    <w:rsid w:val="00E570C4"/>
    <w:rsid w:val="00E573F1"/>
    <w:rsid w:val="00E575B4"/>
    <w:rsid w:val="00E57D8F"/>
    <w:rsid w:val="00E619A9"/>
    <w:rsid w:val="00E6409E"/>
    <w:rsid w:val="00E64351"/>
    <w:rsid w:val="00E643C8"/>
    <w:rsid w:val="00E643EA"/>
    <w:rsid w:val="00E64B4A"/>
    <w:rsid w:val="00E64F0B"/>
    <w:rsid w:val="00E6704A"/>
    <w:rsid w:val="00E67FBF"/>
    <w:rsid w:val="00E71D76"/>
    <w:rsid w:val="00E738E0"/>
    <w:rsid w:val="00E74675"/>
    <w:rsid w:val="00E758A5"/>
    <w:rsid w:val="00E75D38"/>
    <w:rsid w:val="00E776EC"/>
    <w:rsid w:val="00E7798C"/>
    <w:rsid w:val="00E8083C"/>
    <w:rsid w:val="00E80E7E"/>
    <w:rsid w:val="00E8148B"/>
    <w:rsid w:val="00E81B1B"/>
    <w:rsid w:val="00E81B76"/>
    <w:rsid w:val="00E81BEB"/>
    <w:rsid w:val="00E82A97"/>
    <w:rsid w:val="00E836AF"/>
    <w:rsid w:val="00E84024"/>
    <w:rsid w:val="00E855AE"/>
    <w:rsid w:val="00E8713F"/>
    <w:rsid w:val="00E87671"/>
    <w:rsid w:val="00E87F2F"/>
    <w:rsid w:val="00E95699"/>
    <w:rsid w:val="00E95C06"/>
    <w:rsid w:val="00E95CBD"/>
    <w:rsid w:val="00E95E52"/>
    <w:rsid w:val="00E967D2"/>
    <w:rsid w:val="00E96B1E"/>
    <w:rsid w:val="00E9702D"/>
    <w:rsid w:val="00E976AE"/>
    <w:rsid w:val="00EA0C1F"/>
    <w:rsid w:val="00EA1C03"/>
    <w:rsid w:val="00EA1CF6"/>
    <w:rsid w:val="00EA1EB3"/>
    <w:rsid w:val="00EA1F4C"/>
    <w:rsid w:val="00EA21CF"/>
    <w:rsid w:val="00EA233B"/>
    <w:rsid w:val="00EA2701"/>
    <w:rsid w:val="00EA2C0D"/>
    <w:rsid w:val="00EA3188"/>
    <w:rsid w:val="00EA43A0"/>
    <w:rsid w:val="00EA53F4"/>
    <w:rsid w:val="00EA59FD"/>
    <w:rsid w:val="00EA5F1F"/>
    <w:rsid w:val="00EA6A9A"/>
    <w:rsid w:val="00EA76E4"/>
    <w:rsid w:val="00EA790C"/>
    <w:rsid w:val="00EB068D"/>
    <w:rsid w:val="00EB19F8"/>
    <w:rsid w:val="00EB1EBF"/>
    <w:rsid w:val="00EB1FD0"/>
    <w:rsid w:val="00EB40D5"/>
    <w:rsid w:val="00EB49EF"/>
    <w:rsid w:val="00EB50C0"/>
    <w:rsid w:val="00EB6F61"/>
    <w:rsid w:val="00EB78C3"/>
    <w:rsid w:val="00EC0A78"/>
    <w:rsid w:val="00EC0E38"/>
    <w:rsid w:val="00EC10D3"/>
    <w:rsid w:val="00EC208D"/>
    <w:rsid w:val="00EC2236"/>
    <w:rsid w:val="00EC25FA"/>
    <w:rsid w:val="00EC3154"/>
    <w:rsid w:val="00EC3BE0"/>
    <w:rsid w:val="00EC5391"/>
    <w:rsid w:val="00EC606C"/>
    <w:rsid w:val="00EC611A"/>
    <w:rsid w:val="00EC620B"/>
    <w:rsid w:val="00EC6228"/>
    <w:rsid w:val="00EC6E6F"/>
    <w:rsid w:val="00ED0011"/>
    <w:rsid w:val="00ED02CC"/>
    <w:rsid w:val="00ED0923"/>
    <w:rsid w:val="00ED15F7"/>
    <w:rsid w:val="00ED22F7"/>
    <w:rsid w:val="00ED2359"/>
    <w:rsid w:val="00ED26C1"/>
    <w:rsid w:val="00ED2CF2"/>
    <w:rsid w:val="00ED3418"/>
    <w:rsid w:val="00ED445F"/>
    <w:rsid w:val="00ED465D"/>
    <w:rsid w:val="00ED5CBD"/>
    <w:rsid w:val="00ED6EB7"/>
    <w:rsid w:val="00EE0C15"/>
    <w:rsid w:val="00EE0C1F"/>
    <w:rsid w:val="00EE1349"/>
    <w:rsid w:val="00EE18FE"/>
    <w:rsid w:val="00EE25C4"/>
    <w:rsid w:val="00EE2DC8"/>
    <w:rsid w:val="00EE348C"/>
    <w:rsid w:val="00EE360C"/>
    <w:rsid w:val="00EE4719"/>
    <w:rsid w:val="00EE4A2D"/>
    <w:rsid w:val="00EE4C1F"/>
    <w:rsid w:val="00EE4F94"/>
    <w:rsid w:val="00EE5C81"/>
    <w:rsid w:val="00EE6C22"/>
    <w:rsid w:val="00EE7485"/>
    <w:rsid w:val="00EE7EE4"/>
    <w:rsid w:val="00EF080A"/>
    <w:rsid w:val="00EF1001"/>
    <w:rsid w:val="00EF1657"/>
    <w:rsid w:val="00EF2934"/>
    <w:rsid w:val="00EF2D00"/>
    <w:rsid w:val="00EF3143"/>
    <w:rsid w:val="00EF345E"/>
    <w:rsid w:val="00EF351F"/>
    <w:rsid w:val="00EF3930"/>
    <w:rsid w:val="00EF39BA"/>
    <w:rsid w:val="00EF4259"/>
    <w:rsid w:val="00EF506B"/>
    <w:rsid w:val="00EF667A"/>
    <w:rsid w:val="00EF6D28"/>
    <w:rsid w:val="00EF7C7B"/>
    <w:rsid w:val="00EF7E83"/>
    <w:rsid w:val="00F00D09"/>
    <w:rsid w:val="00F00F46"/>
    <w:rsid w:val="00F01177"/>
    <w:rsid w:val="00F015B5"/>
    <w:rsid w:val="00F022D2"/>
    <w:rsid w:val="00F0230A"/>
    <w:rsid w:val="00F02E16"/>
    <w:rsid w:val="00F04E3B"/>
    <w:rsid w:val="00F053CB"/>
    <w:rsid w:val="00F0619C"/>
    <w:rsid w:val="00F07BB5"/>
    <w:rsid w:val="00F07E4E"/>
    <w:rsid w:val="00F11093"/>
    <w:rsid w:val="00F11642"/>
    <w:rsid w:val="00F1168C"/>
    <w:rsid w:val="00F14345"/>
    <w:rsid w:val="00F143E0"/>
    <w:rsid w:val="00F14C8E"/>
    <w:rsid w:val="00F14CDD"/>
    <w:rsid w:val="00F14F5B"/>
    <w:rsid w:val="00F1511A"/>
    <w:rsid w:val="00F15725"/>
    <w:rsid w:val="00F15AD3"/>
    <w:rsid w:val="00F1675B"/>
    <w:rsid w:val="00F1765F"/>
    <w:rsid w:val="00F209F1"/>
    <w:rsid w:val="00F22078"/>
    <w:rsid w:val="00F22694"/>
    <w:rsid w:val="00F22E15"/>
    <w:rsid w:val="00F2368B"/>
    <w:rsid w:val="00F23E03"/>
    <w:rsid w:val="00F25424"/>
    <w:rsid w:val="00F258BB"/>
    <w:rsid w:val="00F26DE9"/>
    <w:rsid w:val="00F30C83"/>
    <w:rsid w:val="00F30E46"/>
    <w:rsid w:val="00F313E0"/>
    <w:rsid w:val="00F31B1E"/>
    <w:rsid w:val="00F327D9"/>
    <w:rsid w:val="00F3330F"/>
    <w:rsid w:val="00F3474A"/>
    <w:rsid w:val="00F35A9A"/>
    <w:rsid w:val="00F35CF6"/>
    <w:rsid w:val="00F35E23"/>
    <w:rsid w:val="00F366A0"/>
    <w:rsid w:val="00F37E86"/>
    <w:rsid w:val="00F4004F"/>
    <w:rsid w:val="00F41AE2"/>
    <w:rsid w:val="00F42857"/>
    <w:rsid w:val="00F4338D"/>
    <w:rsid w:val="00F438C3"/>
    <w:rsid w:val="00F4453F"/>
    <w:rsid w:val="00F454A4"/>
    <w:rsid w:val="00F45D58"/>
    <w:rsid w:val="00F468A4"/>
    <w:rsid w:val="00F47F0E"/>
    <w:rsid w:val="00F510CA"/>
    <w:rsid w:val="00F51161"/>
    <w:rsid w:val="00F51383"/>
    <w:rsid w:val="00F526F7"/>
    <w:rsid w:val="00F54071"/>
    <w:rsid w:val="00F54089"/>
    <w:rsid w:val="00F540E0"/>
    <w:rsid w:val="00F549B0"/>
    <w:rsid w:val="00F54D07"/>
    <w:rsid w:val="00F55790"/>
    <w:rsid w:val="00F55B73"/>
    <w:rsid w:val="00F567E1"/>
    <w:rsid w:val="00F573BE"/>
    <w:rsid w:val="00F577EB"/>
    <w:rsid w:val="00F577F7"/>
    <w:rsid w:val="00F57959"/>
    <w:rsid w:val="00F57FAD"/>
    <w:rsid w:val="00F6083A"/>
    <w:rsid w:val="00F60C99"/>
    <w:rsid w:val="00F61A94"/>
    <w:rsid w:val="00F6230B"/>
    <w:rsid w:val="00F625F3"/>
    <w:rsid w:val="00F63215"/>
    <w:rsid w:val="00F64A6B"/>
    <w:rsid w:val="00F65E46"/>
    <w:rsid w:val="00F66615"/>
    <w:rsid w:val="00F67038"/>
    <w:rsid w:val="00F6763A"/>
    <w:rsid w:val="00F67D36"/>
    <w:rsid w:val="00F70854"/>
    <w:rsid w:val="00F72880"/>
    <w:rsid w:val="00F72B2E"/>
    <w:rsid w:val="00F72F3D"/>
    <w:rsid w:val="00F73E14"/>
    <w:rsid w:val="00F73FC0"/>
    <w:rsid w:val="00F73FEA"/>
    <w:rsid w:val="00F74C33"/>
    <w:rsid w:val="00F74C6C"/>
    <w:rsid w:val="00F7656D"/>
    <w:rsid w:val="00F76949"/>
    <w:rsid w:val="00F81569"/>
    <w:rsid w:val="00F81632"/>
    <w:rsid w:val="00F82608"/>
    <w:rsid w:val="00F82873"/>
    <w:rsid w:val="00F829FC"/>
    <w:rsid w:val="00F8374F"/>
    <w:rsid w:val="00F840F9"/>
    <w:rsid w:val="00F84A7B"/>
    <w:rsid w:val="00F851C7"/>
    <w:rsid w:val="00F86875"/>
    <w:rsid w:val="00F869C6"/>
    <w:rsid w:val="00F919F8"/>
    <w:rsid w:val="00F91B67"/>
    <w:rsid w:val="00F93328"/>
    <w:rsid w:val="00F93825"/>
    <w:rsid w:val="00F93B44"/>
    <w:rsid w:val="00F93D5E"/>
    <w:rsid w:val="00F93F91"/>
    <w:rsid w:val="00F94471"/>
    <w:rsid w:val="00F96480"/>
    <w:rsid w:val="00F96569"/>
    <w:rsid w:val="00F97473"/>
    <w:rsid w:val="00F97EC2"/>
    <w:rsid w:val="00FA014C"/>
    <w:rsid w:val="00FA2418"/>
    <w:rsid w:val="00FA3206"/>
    <w:rsid w:val="00FA354A"/>
    <w:rsid w:val="00FA5911"/>
    <w:rsid w:val="00FA64C8"/>
    <w:rsid w:val="00FA6D8B"/>
    <w:rsid w:val="00FA75CC"/>
    <w:rsid w:val="00FA7BBE"/>
    <w:rsid w:val="00FB008B"/>
    <w:rsid w:val="00FB00CE"/>
    <w:rsid w:val="00FB22CC"/>
    <w:rsid w:val="00FB24ED"/>
    <w:rsid w:val="00FB262E"/>
    <w:rsid w:val="00FB3DAB"/>
    <w:rsid w:val="00FB4454"/>
    <w:rsid w:val="00FB481F"/>
    <w:rsid w:val="00FB5061"/>
    <w:rsid w:val="00FB587D"/>
    <w:rsid w:val="00FB5BA9"/>
    <w:rsid w:val="00FB64D7"/>
    <w:rsid w:val="00FB75DD"/>
    <w:rsid w:val="00FB7CDF"/>
    <w:rsid w:val="00FC0854"/>
    <w:rsid w:val="00FC10AF"/>
    <w:rsid w:val="00FC13B1"/>
    <w:rsid w:val="00FC2EE6"/>
    <w:rsid w:val="00FC3350"/>
    <w:rsid w:val="00FC36D0"/>
    <w:rsid w:val="00FC43FA"/>
    <w:rsid w:val="00FC4617"/>
    <w:rsid w:val="00FC4796"/>
    <w:rsid w:val="00FC4F8E"/>
    <w:rsid w:val="00FC4F90"/>
    <w:rsid w:val="00FC5599"/>
    <w:rsid w:val="00FC7295"/>
    <w:rsid w:val="00FD02B1"/>
    <w:rsid w:val="00FD11C7"/>
    <w:rsid w:val="00FD14DB"/>
    <w:rsid w:val="00FD14FB"/>
    <w:rsid w:val="00FD241D"/>
    <w:rsid w:val="00FD2435"/>
    <w:rsid w:val="00FD3134"/>
    <w:rsid w:val="00FD48D7"/>
    <w:rsid w:val="00FD4AFB"/>
    <w:rsid w:val="00FD52E6"/>
    <w:rsid w:val="00FD5944"/>
    <w:rsid w:val="00FD5BF7"/>
    <w:rsid w:val="00FD7C67"/>
    <w:rsid w:val="00FE04CE"/>
    <w:rsid w:val="00FE09A3"/>
    <w:rsid w:val="00FE0A07"/>
    <w:rsid w:val="00FE0E2E"/>
    <w:rsid w:val="00FE2DD1"/>
    <w:rsid w:val="00FE388C"/>
    <w:rsid w:val="00FE4DDF"/>
    <w:rsid w:val="00FE4F27"/>
    <w:rsid w:val="00FE5F71"/>
    <w:rsid w:val="00FE6830"/>
    <w:rsid w:val="00FF004D"/>
    <w:rsid w:val="00FF03F8"/>
    <w:rsid w:val="00FF15E6"/>
    <w:rsid w:val="00FF1ABD"/>
    <w:rsid w:val="00FF20AB"/>
    <w:rsid w:val="00FF243B"/>
    <w:rsid w:val="00FF26DF"/>
    <w:rsid w:val="00FF283E"/>
    <w:rsid w:val="00FF2CBE"/>
    <w:rsid w:val="00FF3E41"/>
    <w:rsid w:val="00FF3E95"/>
    <w:rsid w:val="00FF604A"/>
    <w:rsid w:val="00FF61CE"/>
    <w:rsid w:val="00FF64D4"/>
    <w:rsid w:val="00FF6B3F"/>
    <w:rsid w:val="00FF6B47"/>
    <w:rsid w:val="00FF6E99"/>
    <w:rsid w:val="00FF71CF"/>
    <w:rsid w:val="00FF78C5"/>
    <w:rsid w:val="00FF796B"/>
    <w:rsid w:val="00FF7F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AB8FD9"/>
  <w15:docId w15:val="{940406F9-3A96-4E3B-9971-B84F928F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locked="1" w:uiPriority="0"/>
    <w:lsdException w:name="heading 1" w:locked="1" w:uiPriority="0"/>
    <w:lsdException w:name="heading 2" w:locked="1" w:uiPriority="0"/>
    <w:lsdException w:name="heading 3" w:locked="1" w:uiPriority="0"/>
    <w:lsdException w:name="heading 4" w:locked="1" w:uiPriority="0" w:qFormat="1"/>
    <w:lsdException w:name="heading 5" w:locked="1" w:uiPriority="0" w:qFormat="1"/>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iPriority="0" w:unhideWhenUsed="1"/>
    <w:lsdException w:name="caption" w:locked="1" w:semiHidden="1" w:uiPriority="35" w:unhideWhenUsed="1"/>
    <w:lsdException w:name="table of figures" w:locked="1"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semiHidden="1" w:unhideWhenUsed="1"/>
    <w:lsdException w:name="List Bullet 4" w:locked="1" w:semiHidden="1" w:unhideWhenUsed="1"/>
    <w:lsdException w:name="List Bullet 5" w:semiHidden="1" w:unhideWhenUsed="1"/>
    <w:lsdException w:name="List Number 2" w:locked="1" w:semiHidden="1" w:unhideWhenUsed="1"/>
    <w:lsdException w:name="List Number 3" w:locked="1"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Salutation" w:semiHidden="1" w:unhideWhenUsed="1"/>
    <w:lsdException w:name="Date" w:semiHidden="1" w:uiPriority="0"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87AB7"/>
    <w:p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Heading1">
    <w:name w:val="heading 1"/>
    <w:basedOn w:val="Normal"/>
    <w:next w:val="Normal"/>
    <w:link w:val="Heading1Char"/>
    <w:rsid w:val="00C1421E"/>
    <w:pPr>
      <w:keepNext/>
      <w:keepLines/>
      <w:spacing w:before="360"/>
      <w:ind w:left="794" w:hanging="794"/>
      <w:outlineLvl w:val="0"/>
    </w:pPr>
    <w:rPr>
      <w:b/>
      <w:lang w:val="en-GB" w:eastAsia="en-US"/>
    </w:rPr>
  </w:style>
  <w:style w:type="paragraph" w:styleId="Heading2">
    <w:name w:val="heading 2"/>
    <w:basedOn w:val="Heading1"/>
    <w:next w:val="Normal"/>
    <w:link w:val="Heading2Char"/>
    <w:rsid w:val="00C1421E"/>
    <w:pPr>
      <w:spacing w:before="240"/>
      <w:outlineLvl w:val="1"/>
    </w:pPr>
  </w:style>
  <w:style w:type="paragraph" w:styleId="Heading3">
    <w:name w:val="heading 3"/>
    <w:basedOn w:val="Heading1"/>
    <w:next w:val="Normal"/>
    <w:link w:val="Heading3Char"/>
    <w:rsid w:val="00C1421E"/>
    <w:pPr>
      <w:spacing w:before="160"/>
      <w:outlineLvl w:val="2"/>
    </w:pPr>
  </w:style>
  <w:style w:type="paragraph" w:styleId="Heading4">
    <w:name w:val="heading 4"/>
    <w:basedOn w:val="Heading3"/>
    <w:next w:val="Normal"/>
    <w:link w:val="Heading4Char"/>
    <w:qFormat/>
    <w:rsid w:val="00C1421E"/>
    <w:pPr>
      <w:tabs>
        <w:tab w:val="clear" w:pos="794"/>
        <w:tab w:val="left" w:pos="1021"/>
      </w:tabs>
      <w:ind w:left="1021" w:hanging="1021"/>
      <w:outlineLvl w:val="3"/>
    </w:pPr>
  </w:style>
  <w:style w:type="paragraph" w:styleId="Heading5">
    <w:name w:val="heading 5"/>
    <w:basedOn w:val="Heading4"/>
    <w:next w:val="Normal"/>
    <w:link w:val="Heading5Char"/>
    <w:qFormat/>
    <w:rsid w:val="00C1421E"/>
    <w:pPr>
      <w:outlineLvl w:val="4"/>
    </w:pPr>
  </w:style>
  <w:style w:type="paragraph" w:styleId="Heading6">
    <w:name w:val="heading 6"/>
    <w:basedOn w:val="Heading4"/>
    <w:next w:val="Normal"/>
    <w:link w:val="Heading6Char"/>
    <w:rsid w:val="00C1421E"/>
    <w:pPr>
      <w:tabs>
        <w:tab w:val="clear" w:pos="1021"/>
        <w:tab w:val="clear" w:pos="1191"/>
      </w:tabs>
      <w:ind w:left="1588" w:hanging="1588"/>
      <w:outlineLvl w:val="5"/>
    </w:pPr>
  </w:style>
  <w:style w:type="paragraph" w:styleId="Heading7">
    <w:name w:val="heading 7"/>
    <w:basedOn w:val="Heading6"/>
    <w:next w:val="Normal"/>
    <w:link w:val="Heading7Char"/>
    <w:rsid w:val="00C1421E"/>
    <w:pPr>
      <w:outlineLvl w:val="6"/>
    </w:pPr>
  </w:style>
  <w:style w:type="paragraph" w:styleId="Heading8">
    <w:name w:val="heading 8"/>
    <w:basedOn w:val="Heading6"/>
    <w:next w:val="Normal"/>
    <w:link w:val="Heading8Char"/>
    <w:rsid w:val="00C1421E"/>
    <w:pPr>
      <w:outlineLvl w:val="7"/>
    </w:pPr>
  </w:style>
  <w:style w:type="paragraph" w:styleId="Heading9">
    <w:name w:val="heading 9"/>
    <w:basedOn w:val="Heading6"/>
    <w:next w:val="Normal"/>
    <w:link w:val="Heading9Char"/>
    <w:rsid w:val="00C1421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z w:val="24"/>
      <w:lang w:val="en-GB" w:eastAsia="en-US"/>
    </w:rPr>
  </w:style>
  <w:style w:type="character" w:customStyle="1" w:styleId="Heading2Char">
    <w:name w:val="Heading 2 Char"/>
    <w:basedOn w:val="DefaultParagraphFont"/>
    <w:link w:val="Heading2"/>
    <w:locked/>
    <w:rPr>
      <w:b/>
      <w:sz w:val="24"/>
      <w:lang w:val="en-GB" w:eastAsia="en-US"/>
    </w:rPr>
  </w:style>
  <w:style w:type="character" w:customStyle="1" w:styleId="Heading3Char">
    <w:name w:val="Heading 3 Char"/>
    <w:basedOn w:val="DefaultParagraphFont"/>
    <w:link w:val="Heading3"/>
    <w:locked/>
    <w:rsid w:val="001C37A8"/>
    <w:rPr>
      <w:rFonts w:cs="Times New Roman"/>
      <w:b/>
      <w:sz w:val="24"/>
      <w:lang w:val="en-GB" w:eastAsia="en-US" w:bidi="ar-SA"/>
    </w:rPr>
  </w:style>
  <w:style w:type="character" w:customStyle="1" w:styleId="Heading4Char">
    <w:name w:val="Heading 4 Char"/>
    <w:basedOn w:val="DefaultParagraphFont"/>
    <w:link w:val="Heading4"/>
    <w:locked/>
    <w:rPr>
      <w:b/>
      <w:sz w:val="24"/>
      <w:lang w:val="en-GB" w:eastAsia="en-US"/>
    </w:rPr>
  </w:style>
  <w:style w:type="character" w:customStyle="1" w:styleId="Heading5Char">
    <w:name w:val="Heading 5 Char"/>
    <w:basedOn w:val="DefaultParagraphFont"/>
    <w:link w:val="Heading5"/>
    <w:locked/>
    <w:rPr>
      <w:b/>
      <w:sz w:val="24"/>
      <w:lang w:val="en-GB" w:eastAsia="en-US"/>
    </w:rPr>
  </w:style>
  <w:style w:type="character" w:customStyle="1" w:styleId="Heading6Char">
    <w:name w:val="Heading 6 Char"/>
    <w:basedOn w:val="DefaultParagraphFont"/>
    <w:link w:val="Heading6"/>
    <w:locked/>
    <w:rPr>
      <w:b/>
      <w:sz w:val="24"/>
      <w:lang w:val="en-GB" w:eastAsia="en-US"/>
    </w:rPr>
  </w:style>
  <w:style w:type="character" w:customStyle="1" w:styleId="Heading7Char">
    <w:name w:val="Heading 7 Char"/>
    <w:basedOn w:val="DefaultParagraphFont"/>
    <w:link w:val="Heading7"/>
    <w:locked/>
    <w:rPr>
      <w:b/>
      <w:sz w:val="24"/>
      <w:lang w:val="en-GB" w:eastAsia="en-US"/>
    </w:rPr>
  </w:style>
  <w:style w:type="character" w:customStyle="1" w:styleId="Heading8Char">
    <w:name w:val="Heading 8 Char"/>
    <w:basedOn w:val="DefaultParagraphFont"/>
    <w:link w:val="Heading8"/>
    <w:locked/>
    <w:rPr>
      <w:b/>
      <w:sz w:val="24"/>
      <w:lang w:val="en-GB" w:eastAsia="en-US"/>
    </w:rPr>
  </w:style>
  <w:style w:type="character" w:customStyle="1" w:styleId="Heading9Char">
    <w:name w:val="Heading 9 Char"/>
    <w:basedOn w:val="DefaultParagraphFont"/>
    <w:link w:val="Heading9"/>
    <w:locked/>
    <w:rPr>
      <w:b/>
      <w:sz w:val="24"/>
      <w:lang w:val="en-GB" w:eastAsia="en-US"/>
    </w:rPr>
  </w:style>
  <w:style w:type="paragraph" w:customStyle="1" w:styleId="AnnexNotitle">
    <w:name w:val="Annex_No &amp; title"/>
    <w:basedOn w:val="Normal"/>
    <w:next w:val="Normal"/>
    <w:link w:val="AnnexNotitleChar"/>
    <w:pPr>
      <w:keepNext/>
      <w:keepLines/>
      <w:pageBreakBefore/>
      <w:spacing w:before="480"/>
      <w:jc w:val="center"/>
    </w:pPr>
    <w:rPr>
      <w:b/>
      <w:sz w:val="28"/>
    </w:rPr>
  </w:style>
  <w:style w:type="character" w:customStyle="1" w:styleId="AnnexNotitleChar">
    <w:name w:val="Annex_No &amp; title Char"/>
    <w:basedOn w:val="DefaultParagraphFont"/>
    <w:link w:val="AnnexNotitle"/>
    <w:locked/>
    <w:rPr>
      <w:b/>
      <w:sz w:val="28"/>
    </w:rPr>
  </w:style>
  <w:style w:type="character" w:customStyle="1" w:styleId="Appdef">
    <w:name w:val="App_def"/>
    <w:basedOn w:val="DefaultParagraphFont"/>
    <w:rPr>
      <w:rFonts w:ascii="Times New Roman" w:hAnsi="Times New Roman" w:cs="Times New Roman"/>
      <w:b/>
    </w:rPr>
  </w:style>
  <w:style w:type="character" w:customStyle="1" w:styleId="Appref">
    <w:name w:val="App_ref"/>
    <w:basedOn w:val="DefaultParagraphFont"/>
    <w:rPr>
      <w:rFonts w:cs="Times New Roman"/>
    </w:rPr>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cs="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rPr>
      <w:rFonts w:cs="Times New Roman"/>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link w:val="ASN1Car"/>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SN1Car">
    <w:name w:val="ASN.1 Car"/>
    <w:basedOn w:val="DefaultParagraphFont"/>
    <w:link w:val="ASN1"/>
    <w:locked/>
    <w:rPr>
      <w:rFonts w:ascii="Courier New" w:hAnsi="Courier New" w:cs="Times New Roman"/>
      <w:b/>
      <w:noProof/>
      <w:lang w:val="en-GB" w:eastAsia="en-US" w:bidi="ar-SA"/>
    </w:rPr>
  </w:style>
  <w:style w:type="paragraph" w:customStyle="1" w:styleId="Call">
    <w:name w:val="Call"/>
    <w:basedOn w:val="Normal"/>
    <w:next w:val="Normal"/>
    <w:link w:val="CallChar"/>
    <w:pPr>
      <w:keepNext/>
      <w:keepLines/>
      <w:spacing w:before="160"/>
      <w:ind w:left="794"/>
    </w:pPr>
    <w:rPr>
      <w:i/>
    </w:rPr>
  </w:style>
  <w:style w:type="character" w:customStyle="1" w:styleId="CallChar">
    <w:name w:val="Call Char"/>
    <w:basedOn w:val="DefaultParagraphFont"/>
    <w:link w:val="Call"/>
    <w:locked/>
    <w:rPr>
      <w:i/>
      <w:sz w:val="24"/>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rPr>
      <w:rFonts w:cs="Times New Roman"/>
      <w:vertAlign w:val="superscript"/>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basedOn w:val="DefaultParagraphFont"/>
    <w:link w:val="enumlev1"/>
    <w:locked/>
    <w:rPr>
      <w:sz w:val="24"/>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qFormat/>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noProof/>
      <w:sz w:val="16"/>
      <w:lang w:val="en-GB" w:eastAsia="en-US"/>
    </w:rPr>
  </w:style>
  <w:style w:type="character" w:customStyle="1" w:styleId="FooterChar">
    <w:name w:val="Footer Char"/>
    <w:basedOn w:val="DefaultParagraphFont"/>
    <w:link w:val="Footer"/>
    <w:uiPriority w:val="99"/>
    <w:locked/>
    <w:rPr>
      <w:rFonts w:cs="Times New Roman"/>
      <w:caps/>
      <w:noProof/>
      <w:sz w:val="16"/>
      <w:lang w:val="en-GB"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basedOn w:val="DefaultParagraphFont"/>
    <w:rPr>
      <w:rFonts w:cs="Times New Roman"/>
      <w:position w:val="6"/>
      <w:sz w:val="18"/>
    </w:rPr>
  </w:style>
  <w:style w:type="paragraph" w:customStyle="1" w:styleId="Note">
    <w:name w:val="Note"/>
    <w:basedOn w:val="Normal"/>
    <w:pPr>
      <w:spacing w:before="80"/>
    </w:pPr>
  </w:style>
  <w:style w:type="paragraph" w:styleId="FootnoteText">
    <w:name w:val="footnote text"/>
    <w:basedOn w:val="Note"/>
    <w:link w:val="FootnoteTextChar"/>
    <w:pPr>
      <w:keepLines/>
      <w:tabs>
        <w:tab w:val="left" w:pos="255"/>
      </w:tabs>
      <w:ind w:left="255" w:hanging="255"/>
    </w:pPr>
    <w:rPr>
      <w:lang w:val="en-GB" w:eastAsia="en-US"/>
    </w:rPr>
  </w:style>
  <w:style w:type="character" w:customStyle="1" w:styleId="FootnoteTextChar">
    <w:name w:val="Footnote Text Char"/>
    <w:basedOn w:val="DefaultParagraphFont"/>
    <w:link w:val="FootnoteText"/>
    <w:locked/>
    <w:rPr>
      <w:rFonts w:cs="Times New Roman"/>
      <w:sz w:val="24"/>
      <w:lang w:val="en-GB" w:eastAsia="en-US"/>
    </w:rPr>
  </w:style>
  <w:style w:type="paragraph" w:customStyle="1" w:styleId="Formal">
    <w:name w:val="Formal"/>
    <w:basedOn w:val="ASN1"/>
    <w:rPr>
      <w:b w:val="0"/>
    </w:rPr>
  </w:style>
  <w:style w:type="paragraph" w:styleId="Header">
    <w:name w:val="header"/>
    <w:basedOn w:val="Normal"/>
    <w:link w:val="HeaderChar"/>
    <w:pPr>
      <w:tabs>
        <w:tab w:val="clear" w:pos="794"/>
        <w:tab w:val="clear" w:pos="1191"/>
        <w:tab w:val="clear" w:pos="1588"/>
        <w:tab w:val="clear" w:pos="1985"/>
      </w:tabs>
      <w:spacing w:before="0"/>
      <w:jc w:val="center"/>
    </w:pPr>
    <w:rPr>
      <w:sz w:val="18"/>
      <w:lang w:val="en-GB" w:eastAsia="en-US"/>
    </w:rPr>
  </w:style>
  <w:style w:type="character" w:customStyle="1" w:styleId="HeaderChar">
    <w:name w:val="Header Char"/>
    <w:basedOn w:val="DefaultParagraphFont"/>
    <w:link w:val="Header"/>
    <w:locked/>
    <w:rPr>
      <w:rFonts w:cs="Times New Roman"/>
      <w:sz w:val="18"/>
      <w:lang w:val="en-GB" w:eastAsia="en-US" w:bidi="ar-SA"/>
    </w:rPr>
  </w:style>
  <w:style w:type="character" w:customStyle="1" w:styleId="CommentSubjectChar">
    <w:name w:val="Comment Subject Char"/>
    <w:basedOn w:val="DefaultParagraphFont"/>
    <w:link w:val="CommentSubject"/>
    <w:locked/>
    <w:rPr>
      <w:rFonts w:cs="Times New Roman"/>
      <w:sz w:val="18"/>
      <w:lang w:val="en-GB" w:eastAsia="en-US" w:bidi="ar-SA"/>
    </w:rPr>
  </w:style>
  <w:style w:type="paragraph" w:styleId="CommentSubject">
    <w:name w:val="annotation subject"/>
    <w:basedOn w:val="CommentText"/>
    <w:next w:val="CommentText"/>
    <w:link w:val="CommentSubjectChar"/>
    <w:rPr>
      <w:rFonts w:eastAsia="Times New Roman"/>
      <w:sz w:val="18"/>
    </w:rPr>
  </w:style>
  <w:style w:type="paragraph" w:styleId="CommentText">
    <w:name w:val="annotation text"/>
    <w:basedOn w:val="Normal"/>
    <w:link w:val="CommentTextChar"/>
    <w:rPr>
      <w:rFonts w:eastAsia="SimSun"/>
    </w:rPr>
  </w:style>
  <w:style w:type="character" w:customStyle="1" w:styleId="CommentTextChar">
    <w:name w:val="Comment Text Char"/>
    <w:basedOn w:val="DefaultParagraphFont"/>
    <w:link w:val="CommentText"/>
    <w:locked/>
    <w:rPr>
      <w:rFonts w:eastAsia="SimSun" w:cs="Times New Roman"/>
      <w:sz w:val="24"/>
      <w:lang w:val="en-GB" w:eastAsia="en-US" w:bidi="ar-SA"/>
    </w:rPr>
  </w:style>
  <w:style w:type="character" w:customStyle="1" w:styleId="CommentSubjectChar1">
    <w:name w:val="Comment Subject Char1"/>
    <w:basedOn w:val="DefaultParagraphFont"/>
    <w:uiPriority w:val="99"/>
    <w:rsid w:val="00C95497"/>
    <w:rPr>
      <w:rFonts w:cs="Times New Roman"/>
      <w:b/>
      <w:bCs/>
      <w:lang w:val="en-GB"/>
    </w:rPr>
  </w:style>
  <w:style w:type="paragraph" w:customStyle="1" w:styleId="Headingb">
    <w:name w:val="Heading_b"/>
    <w:basedOn w:val="Normal"/>
    <w:next w:val="Normal"/>
    <w:qFormat/>
    <w:rsid w:val="00C1421E"/>
    <w:pPr>
      <w:keepNext/>
      <w:spacing w:before="160"/>
    </w:pPr>
    <w:rPr>
      <w:b/>
      <w:lang w:val="en-GB" w:eastAsia="en-US"/>
    </w:rPr>
  </w:style>
  <w:style w:type="paragraph" w:customStyle="1" w:styleId="Headingi">
    <w:name w:val="Heading_i"/>
    <w:basedOn w:val="Normal"/>
    <w:next w:val="Normal"/>
    <w:rsid w:val="00C1421E"/>
    <w:pPr>
      <w:keepNext/>
      <w:spacing w:before="160"/>
    </w:pPr>
    <w:rPr>
      <w:i/>
      <w:lang w:val="en-GB" w:eastAsia="en-US"/>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uiPriority w:val="99"/>
    <w:pPr>
      <w:spacing w:before="360"/>
    </w:pPr>
  </w:style>
  <w:style w:type="character" w:styleId="PageNumber">
    <w:name w:val="page number"/>
    <w:basedOn w:val="DefaultParagraphFont"/>
    <w:rPr>
      <w:rFonts w:cs="Times New Roman"/>
    </w:rPr>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uiPriority w:val="99"/>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rFonts w:cs="Times New Roman"/>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cs="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rFonts w:cs="Times New Roman"/>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qFormat/>
    <w:pPr>
      <w:keepNext/>
      <w:keepLines/>
      <w:spacing w:before="360" w:after="120"/>
      <w:jc w:val="center"/>
    </w:pPr>
    <w:rPr>
      <w:b/>
    </w:rPr>
  </w:style>
  <w:style w:type="character" w:customStyle="1" w:styleId="TableNotitleChar">
    <w:name w:val="Table_No &amp; title Char"/>
    <w:basedOn w:val="DefaultParagraphFont"/>
    <w:uiPriority w:val="99"/>
    <w:rPr>
      <w:rFonts w:cs="Times New Roman"/>
      <w:b/>
      <w:sz w:val="24"/>
      <w:lang w:val="en-GB" w:eastAsia="en-US" w:bidi="ar-SA"/>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rPr>
      <w:rFonts w:cs="Times New Roman"/>
      <w:sz w:val="22"/>
      <w:lang w:val="en-GB" w:eastAsia="en-US" w:bidi="ar-SA"/>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Style 58,超????,超?级链,하이퍼링크2,하이퍼링크21,CEO_Hyperlink"/>
    <w:basedOn w:val="DefaultParagraphFont"/>
    <w:uiPriority w:val="99"/>
    <w:qFormat/>
    <w:rPr>
      <w:rFonts w:cs="Times New Roman"/>
      <w:color w:val="0000FF"/>
      <w:u w:val="single"/>
    </w:rPr>
  </w:style>
  <w:style w:type="paragraph" w:customStyle="1" w:styleId="Normalaftertitle0">
    <w:name w:val="Normal after title"/>
    <w:basedOn w:val="Normal"/>
    <w:next w:val="Normal"/>
    <w:pPr>
      <w:overflowPunct/>
      <w:autoSpaceDE/>
      <w:autoSpaceDN/>
      <w:adjustRightInd/>
      <w:spacing w:before="320"/>
      <w:textAlignment w:val="auto"/>
    </w:p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TableTextChar0">
    <w:name w:val="Table_Text Char"/>
    <w:basedOn w:val="DefaultParagraphFont"/>
    <w:rPr>
      <w:rFonts w:eastAsia="Batang" w:cs="Times New Roman"/>
      <w:sz w:val="22"/>
      <w:lang w:val="en-GB" w:eastAsia="en-US" w:bidi="ar-SA"/>
    </w:rPr>
  </w:style>
  <w:style w:type="character" w:styleId="Strong">
    <w:name w:val="Strong"/>
    <w:basedOn w:val="DefaultParagraphFont"/>
    <w:uiPriority w:val="22"/>
    <w:qFormat/>
    <w:rPr>
      <w:rFonts w:cs="Times New Roman"/>
      <w:b/>
      <w:bCs/>
    </w:rPr>
  </w:style>
  <w:style w:type="paragraph" w:styleId="BodyTextIndent">
    <w:name w:val="Body Text Indent"/>
    <w:basedOn w:val="Normal"/>
    <w:link w:val="BodyTextIndentChar"/>
    <w:pPr>
      <w:tabs>
        <w:tab w:val="clear" w:pos="794"/>
        <w:tab w:val="clear" w:pos="1191"/>
        <w:tab w:val="clear" w:pos="1588"/>
        <w:tab w:val="clear" w:pos="1985"/>
      </w:tabs>
      <w:overflowPunct/>
      <w:spacing w:before="60"/>
      <w:ind w:left="720" w:hanging="720"/>
      <w:textAlignment w:val="auto"/>
    </w:pPr>
  </w:style>
  <w:style w:type="character" w:customStyle="1" w:styleId="BodyTextIndentChar">
    <w:name w:val="Body Text Indent Char"/>
    <w:basedOn w:val="DefaultParagraphFont"/>
    <w:link w:val="BodyTextIndent"/>
    <w:locked/>
    <w:rPr>
      <w:rFonts w:cs="Times New Roman"/>
      <w:sz w:val="24"/>
      <w:lang w:val="en-US" w:eastAsia="en-US" w:bidi="ar-SA"/>
    </w:rPr>
  </w:style>
  <w:style w:type="paragraph" w:customStyle="1" w:styleId="AnnexTitle">
    <w:name w:val="Annex_Title"/>
    <w:basedOn w:val="Normal"/>
    <w:next w:val="Normal"/>
    <w:uiPriority w:val="99"/>
    <w:pPr>
      <w:keepNext/>
      <w:keepLines/>
      <w:spacing w:before="0" w:after="480"/>
      <w:jc w:val="center"/>
    </w:pPr>
    <w:rPr>
      <w:rFonts w:ascii="Times New Roman Bold" w:hAnsi="Times New Roman Bold"/>
      <w:b/>
      <w:u w:val="single"/>
    </w:rPr>
  </w:style>
  <w:style w:type="paragraph" w:customStyle="1" w:styleId="indented">
    <w:name w:val="indented"/>
    <w:basedOn w:val="Normal"/>
    <w:uiPriority w:val="99"/>
    <w:pPr>
      <w:tabs>
        <w:tab w:val="clear" w:pos="794"/>
        <w:tab w:val="clear" w:pos="1191"/>
        <w:tab w:val="clear" w:pos="1588"/>
        <w:tab w:val="clear" w:pos="1985"/>
      </w:tabs>
      <w:spacing w:before="0"/>
    </w:pPr>
    <w:rPr>
      <w:rFonts w:ascii="CG Times" w:hAnsi="CG Times"/>
      <w:sz w:val="20"/>
    </w:rPr>
  </w:style>
  <w:style w:type="paragraph" w:customStyle="1" w:styleId="EUListBullet">
    <w:name w:val="EUList Bullet"/>
    <w:basedOn w:val="Normal"/>
    <w:uiPriority w:val="99"/>
    <w:pPr>
      <w:tabs>
        <w:tab w:val="num" w:pos="397"/>
      </w:tabs>
      <w:ind w:left="397" w:hanging="284"/>
    </w:pPr>
  </w:style>
  <w:style w:type="paragraph" w:customStyle="1" w:styleId="Relationships">
    <w:name w:val="Relationships"/>
    <w:basedOn w:val="Normal"/>
    <w:uiPriority w:val="99"/>
    <w:pPr>
      <w:tabs>
        <w:tab w:val="clear" w:pos="794"/>
        <w:tab w:val="clear" w:pos="1191"/>
        <w:tab w:val="clear" w:pos="1588"/>
        <w:tab w:val="clear" w:pos="1985"/>
        <w:tab w:val="left" w:pos="2410"/>
        <w:tab w:val="left" w:pos="2835"/>
        <w:tab w:val="left" w:pos="3402"/>
        <w:tab w:val="left" w:pos="3969"/>
        <w:tab w:val="left" w:pos="4536"/>
        <w:tab w:val="left" w:pos="5103"/>
        <w:tab w:val="left" w:pos="5670"/>
        <w:tab w:val="left" w:pos="6030"/>
      </w:tabs>
      <w:spacing w:before="60"/>
      <w:ind w:left="2405" w:hanging="2405"/>
      <w:textAlignment w:val="auto"/>
    </w:pPr>
    <w:rPr>
      <w:szCs w:val="24"/>
    </w:rPr>
  </w:style>
  <w:style w:type="paragraph" w:customStyle="1" w:styleId="Item">
    <w:name w:val="Item"/>
    <w:basedOn w:val="Normal"/>
    <w:uiPriority w:val="99"/>
    <w:pPr>
      <w:tabs>
        <w:tab w:val="num" w:pos="432"/>
      </w:tabs>
      <w:ind w:left="432" w:hanging="432"/>
    </w:pPr>
    <w:rPr>
      <w:szCs w:val="24"/>
    </w:rPr>
  </w:style>
  <w:style w:type="paragraph" w:customStyle="1" w:styleId="AnnexNo">
    <w:name w:val="Annex_No"/>
    <w:basedOn w:val="Normal"/>
    <w:next w:val="AnnexTitle"/>
    <w:pPr>
      <w:keepNext/>
      <w:keepLines/>
      <w:overflowPunct/>
      <w:autoSpaceDE/>
      <w:autoSpaceDN/>
      <w:adjustRightInd/>
      <w:spacing w:before="480" w:after="80"/>
      <w:jc w:val="center"/>
      <w:textAlignment w:val="auto"/>
    </w:pPr>
    <w:rPr>
      <w:caps/>
      <w:sz w:val="28"/>
      <w:szCs w:val="28"/>
    </w:rPr>
  </w:style>
  <w:style w:type="paragraph" w:customStyle="1" w:styleId="endash">
    <w:name w:val="endash"/>
    <w:uiPriority w:val="99"/>
    <w:pPr>
      <w:tabs>
        <w:tab w:val="left" w:pos="794"/>
        <w:tab w:val="left" w:pos="1191"/>
        <w:tab w:val="left" w:pos="1588"/>
        <w:tab w:val="left" w:pos="1985"/>
      </w:tabs>
      <w:overflowPunct w:val="0"/>
      <w:autoSpaceDE w:val="0"/>
      <w:autoSpaceDN w:val="0"/>
      <w:adjustRightInd w:val="0"/>
      <w:spacing w:before="120"/>
      <w:textAlignment w:val="baseline"/>
    </w:pPr>
    <w:rPr>
      <w:sz w:val="24"/>
      <w:szCs w:val="24"/>
      <w:lang w:val="en-GB"/>
    </w:rPr>
  </w:style>
  <w:style w:type="character" w:customStyle="1" w:styleId="mnavtext">
    <w:name w:val="mnavtext"/>
    <w:basedOn w:val="DefaultParagraphFont"/>
    <w:uiPriority w:val="99"/>
    <w:rPr>
      <w:rFonts w:cs="Times New Roman"/>
    </w:rPr>
  </w:style>
  <w:style w:type="paragraph" w:customStyle="1" w:styleId="proposedtext">
    <w:name w:val="proposed text"/>
    <w:basedOn w:val="Normal"/>
    <w:uiPriority w:val="99"/>
    <w:pPr>
      <w:tabs>
        <w:tab w:val="clear" w:pos="794"/>
        <w:tab w:val="clear" w:pos="1191"/>
        <w:tab w:val="clear" w:pos="1588"/>
        <w:tab w:val="clear" w:pos="1985"/>
      </w:tabs>
      <w:overflowPunct/>
      <w:autoSpaceDE/>
      <w:autoSpaceDN/>
      <w:adjustRightInd/>
      <w:ind w:left="1021"/>
      <w:textAlignment w:val="auto"/>
    </w:pPr>
  </w:style>
  <w:style w:type="paragraph" w:styleId="Bibliography">
    <w:name w:val="Bibliography"/>
    <w:basedOn w:val="Normal"/>
    <w:next w:val="Normal"/>
    <w:uiPriority w:val="37"/>
    <w:semiHidden/>
    <w:unhideWhenUsed/>
    <w:rsid w:val="00C1421E"/>
  </w:style>
  <w:style w:type="character" w:customStyle="1" w:styleId="italic">
    <w:name w:val="italic"/>
    <w:basedOn w:val="DefaultParagraphFont"/>
    <w:rPr>
      <w:rFonts w:cs="Times New Roman"/>
      <w:i/>
    </w:rPr>
  </w:style>
  <w:style w:type="character" w:styleId="FollowedHyperlink">
    <w:name w:val="FollowedHyperlink"/>
    <w:basedOn w:val="DefaultParagraphFont"/>
    <w:uiPriority w:val="99"/>
    <w:rPr>
      <w:rFonts w:cs="Times New Roman"/>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GB" w:eastAsia="en-US" w:bidi="ar-SA"/>
    </w:rPr>
  </w:style>
  <w:style w:type="paragraph" w:customStyle="1" w:styleId="Numerowanie">
    <w:name w:val="Numerowanie"/>
    <w:aliases w:val="Z lewej:  0,63 cm,Wysunięcie:  0"/>
    <w:basedOn w:val="Normal"/>
    <w:uiPriority w:val="99"/>
    <w:pPr>
      <w:numPr>
        <w:numId w:val="1"/>
      </w:numPr>
      <w:tabs>
        <w:tab w:val="clear" w:pos="794"/>
        <w:tab w:val="clear" w:pos="1191"/>
        <w:tab w:val="clear" w:pos="1588"/>
        <w:tab w:val="clear" w:pos="1985"/>
      </w:tabs>
      <w:overflowPunct/>
      <w:autoSpaceDE/>
      <w:autoSpaceDN/>
      <w:adjustRightInd/>
      <w:spacing w:before="0"/>
      <w:textAlignment w:val="auto"/>
    </w:pPr>
    <w:rPr>
      <w:rFonts w:eastAsia="Batang"/>
      <w:szCs w:val="24"/>
    </w:rPr>
  </w:style>
  <w:style w:type="paragraph" w:customStyle="1" w:styleId="NormalIndent1">
    <w:name w:val="Normal Indent1"/>
    <w:basedOn w:val="Normal"/>
    <w:uiPriority w:val="99"/>
    <w:pPr>
      <w:tabs>
        <w:tab w:val="clear" w:pos="794"/>
        <w:tab w:val="clear" w:pos="1191"/>
        <w:tab w:val="clear" w:pos="1588"/>
        <w:tab w:val="clear" w:pos="1985"/>
      </w:tabs>
      <w:overflowPunct/>
      <w:autoSpaceDE/>
      <w:autoSpaceDN/>
      <w:adjustRightInd/>
      <w:ind w:left="284"/>
      <w:textAlignment w:val="auto"/>
    </w:pPr>
    <w:rPr>
      <w:rFonts w:ascii="Arial" w:hAnsi="Arial"/>
      <w:sz w:val="22"/>
      <w:szCs w:val="24"/>
    </w:rPr>
  </w:style>
  <w:style w:type="paragraph" w:styleId="BodyText2">
    <w:name w:val="Body Text 2"/>
    <w:basedOn w:val="Normal"/>
    <w:link w:val="BodyText2Char"/>
    <w:pPr>
      <w:jc w:val="both"/>
    </w:pPr>
    <w:rPr>
      <w:rFonts w:eastAsia="Batang"/>
      <w:lang w:eastAsia="ko-KR"/>
    </w:rPr>
  </w:style>
  <w:style w:type="character" w:customStyle="1" w:styleId="BodyText2Char">
    <w:name w:val="Body Text 2 Char"/>
    <w:basedOn w:val="DefaultParagraphFont"/>
    <w:link w:val="BodyText2"/>
    <w:locked/>
    <w:rPr>
      <w:rFonts w:eastAsia="Batang" w:cs="Times New Roman"/>
      <w:sz w:val="24"/>
      <w:lang w:val="en-GB" w:eastAsia="ko-KR" w:bidi="ar-SA"/>
    </w:rPr>
  </w:style>
  <w:style w:type="paragraph" w:customStyle="1" w:styleId="author">
    <w:name w:val="author"/>
    <w:basedOn w:val="Normal"/>
    <w:next w:val="Normal"/>
    <w:uiPriority w:val="99"/>
    <w:pPr>
      <w:tabs>
        <w:tab w:val="clear" w:pos="794"/>
        <w:tab w:val="clear" w:pos="1191"/>
        <w:tab w:val="clear" w:pos="1588"/>
        <w:tab w:val="clear" w:pos="1985"/>
      </w:tabs>
      <w:overflowPunct/>
      <w:autoSpaceDE/>
      <w:autoSpaceDN/>
      <w:adjustRightInd/>
      <w:spacing w:before="0" w:after="220"/>
      <w:jc w:val="center"/>
      <w:textAlignment w:val="auto"/>
    </w:pPr>
    <w:rPr>
      <w:rFonts w:ascii="Times" w:eastAsia="Batang" w:hAnsi="Times"/>
      <w:sz w:val="20"/>
      <w:lang w:eastAsia="ko-KR"/>
    </w:rPr>
  </w:style>
  <w:style w:type="paragraph" w:customStyle="1" w:styleId="p1a">
    <w:name w:val="p1a"/>
    <w:basedOn w:val="Normal"/>
    <w:next w:val="Normal"/>
    <w:uiPriority w:val="99"/>
    <w:pPr>
      <w:tabs>
        <w:tab w:val="clear" w:pos="794"/>
        <w:tab w:val="clear" w:pos="1191"/>
        <w:tab w:val="clear" w:pos="1588"/>
        <w:tab w:val="clear" w:pos="1985"/>
      </w:tabs>
      <w:overflowPunct/>
      <w:autoSpaceDE/>
      <w:autoSpaceDN/>
      <w:adjustRightInd/>
      <w:spacing w:before="0"/>
      <w:jc w:val="both"/>
      <w:textAlignment w:val="auto"/>
    </w:pPr>
    <w:rPr>
      <w:rFonts w:ascii="Times" w:eastAsia="Batang" w:hAnsi="Times"/>
      <w:sz w:val="20"/>
      <w:lang w:eastAsia="ko-KR"/>
    </w:rPr>
  </w:style>
  <w:style w:type="paragraph" w:customStyle="1" w:styleId="tabletitle">
    <w:name w:val="table title"/>
    <w:basedOn w:val="Normal"/>
    <w:next w:val="Normal"/>
    <w:uiPriority w:val="99"/>
    <w:pPr>
      <w:keepNext/>
      <w:keepLines/>
      <w:tabs>
        <w:tab w:val="clear" w:pos="794"/>
        <w:tab w:val="clear" w:pos="1191"/>
        <w:tab w:val="clear" w:pos="1588"/>
        <w:tab w:val="clear" w:pos="1985"/>
      </w:tabs>
      <w:overflowPunct/>
      <w:autoSpaceDE/>
      <w:autoSpaceDN/>
      <w:adjustRightInd/>
      <w:spacing w:before="240" w:after="120"/>
      <w:jc w:val="both"/>
      <w:textAlignment w:val="auto"/>
    </w:pPr>
    <w:rPr>
      <w:rFonts w:ascii="Times" w:eastAsia="Batang" w:hAnsi="Times"/>
      <w:sz w:val="18"/>
      <w:lang w:val="de-DE" w:eastAsia="ko-KR"/>
    </w:rPr>
  </w:style>
  <w:style w:type="paragraph" w:customStyle="1" w:styleId="BodyText21">
    <w:name w:val="Body Text 21"/>
    <w:basedOn w:val="Normal"/>
    <w:uiPriority w:val="99"/>
    <w:pPr>
      <w:tabs>
        <w:tab w:val="clear" w:pos="794"/>
        <w:tab w:val="clear" w:pos="1191"/>
        <w:tab w:val="clear" w:pos="1588"/>
        <w:tab w:val="clear" w:pos="1985"/>
      </w:tabs>
      <w:overflowPunct/>
      <w:autoSpaceDE/>
      <w:autoSpaceDN/>
      <w:adjustRightInd/>
      <w:spacing w:before="0"/>
      <w:ind w:firstLineChars="100" w:firstLine="100"/>
      <w:jc w:val="both"/>
      <w:textAlignment w:val="auto"/>
    </w:pPr>
    <w:rPr>
      <w:rFonts w:ascii="Times" w:eastAsia="Batang" w:hAnsi="Times"/>
      <w:sz w:val="20"/>
      <w:lang w:eastAsia="ko-KR"/>
    </w:rPr>
  </w:style>
  <w:style w:type="paragraph" w:customStyle="1" w:styleId="a">
    <w:name w:val="正文 + 小四"/>
    <w:basedOn w:val="Normal"/>
    <w:uiPriority w:val="99"/>
    <w:pPr>
      <w:widowControl w:val="0"/>
      <w:tabs>
        <w:tab w:val="clear" w:pos="794"/>
        <w:tab w:val="clear" w:pos="1191"/>
        <w:tab w:val="clear" w:pos="1588"/>
        <w:tab w:val="clear" w:pos="1985"/>
      </w:tabs>
      <w:overflowPunct/>
      <w:autoSpaceDE/>
      <w:autoSpaceDN/>
      <w:adjustRightInd/>
      <w:spacing w:before="0" w:line="400" w:lineRule="exact"/>
      <w:jc w:val="both"/>
      <w:textAlignment w:val="auto"/>
    </w:pPr>
    <w:rPr>
      <w:rFonts w:eastAsia="SimSun"/>
      <w:kern w:val="2"/>
      <w:szCs w:val="24"/>
    </w:rPr>
  </w:style>
  <w:style w:type="paragraph" w:customStyle="1" w:styleId="a0">
    <w:name w:val="段"/>
    <w:uiPriority w:val="99"/>
    <w:pPr>
      <w:autoSpaceDE w:val="0"/>
      <w:autoSpaceDN w:val="0"/>
      <w:ind w:firstLineChars="200" w:firstLine="200"/>
      <w:jc w:val="both"/>
    </w:pPr>
    <w:rPr>
      <w:rFonts w:ascii="SimSun" w:eastAsia="SimSun"/>
      <w:noProof/>
      <w:sz w:val="21"/>
    </w:rPr>
  </w:style>
  <w:style w:type="paragraph" w:customStyle="1" w:styleId="pb1body1">
    <w:name w:val="pb1_body1"/>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cs="Gulim"/>
      <w:szCs w:val="24"/>
      <w:lang w:eastAsia="ko-KR"/>
    </w:rPr>
  </w:style>
  <w:style w:type="paragraph" w:customStyle="1" w:styleId="pbu1bullet1">
    <w:name w:val="pbu1_bullet1"/>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cs="Gulim"/>
      <w:szCs w:val="24"/>
      <w:lang w:eastAsia="ko-KR"/>
    </w:rPr>
  </w:style>
  <w:style w:type="paragraph" w:customStyle="1" w:styleId="Infodoc">
    <w:name w:val="Infodoc"/>
    <w:basedOn w:val="Normal"/>
    <w:link w:val="InfodocChar"/>
    <w:uiPriority w:val="99"/>
    <w:pPr>
      <w:tabs>
        <w:tab w:val="clear" w:pos="794"/>
        <w:tab w:val="clear" w:pos="1191"/>
        <w:tab w:val="clear" w:pos="1588"/>
        <w:tab w:val="clear" w:pos="1985"/>
        <w:tab w:val="left" w:pos="1418"/>
      </w:tabs>
      <w:spacing w:before="0"/>
      <w:ind w:left="1418" w:hanging="1418"/>
    </w:pPr>
    <w:rPr>
      <w:rFonts w:eastAsia="MS Mincho"/>
    </w:rPr>
  </w:style>
  <w:style w:type="character" w:customStyle="1" w:styleId="InfodocChar">
    <w:name w:val="Infodoc Char"/>
    <w:basedOn w:val="DefaultParagraphFont"/>
    <w:link w:val="Infodoc"/>
    <w:uiPriority w:val="99"/>
    <w:locked/>
    <w:rPr>
      <w:rFonts w:eastAsia="MS Mincho" w:cs="Times New Roman"/>
      <w:sz w:val="24"/>
      <w:lang w:val="en-GB" w:eastAsia="en-US" w:bidi="ar-SA"/>
    </w:rPr>
  </w:style>
  <w:style w:type="paragraph" w:styleId="Caption">
    <w:name w:val="caption"/>
    <w:basedOn w:val="Normal"/>
    <w:next w:val="Normal"/>
    <w:uiPriority w:val="35"/>
    <w:rsid w:val="00C1421E"/>
    <w:pPr>
      <w:jc w:val="center"/>
    </w:pPr>
    <w:rPr>
      <w:rFonts w:eastAsia="MS Mincho"/>
      <w:b/>
      <w:bCs/>
    </w:rPr>
  </w:style>
  <w:style w:type="paragraph" w:styleId="NormalWeb">
    <w:name w:val="Normal (Web)"/>
    <w:basedOn w:val="Normal"/>
    <w:link w:val="NormalWebChar"/>
    <w:uiPriority w:val="99"/>
    <w:rsid w:val="00C142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Gulim"/>
      <w:szCs w:val="24"/>
      <w:lang w:eastAsia="ko-KR"/>
    </w:rPr>
  </w:style>
  <w:style w:type="character" w:customStyle="1" w:styleId="NormalWebChar">
    <w:name w:val="Normal (Web) Char"/>
    <w:link w:val="NormalWeb"/>
    <w:uiPriority w:val="99"/>
    <w:locked/>
    <w:rsid w:val="00C1421E"/>
    <w:rPr>
      <w:rFonts w:eastAsia="Gulim"/>
      <w:sz w:val="24"/>
      <w:szCs w:val="24"/>
      <w:lang w:eastAsia="ko-KR"/>
    </w:rPr>
  </w:style>
  <w:style w:type="character" w:customStyle="1" w:styleId="MacroTextChar">
    <w:name w:val="Macro Text Char"/>
    <w:basedOn w:val="DefaultParagraphFont"/>
    <w:link w:val="MacroText"/>
    <w:uiPriority w:val="99"/>
    <w:locked/>
    <w:rPr>
      <w:rFonts w:eastAsia="Batang" w:cs="Times New Roman"/>
      <w:b/>
      <w:sz w:val="24"/>
      <w:lang w:val="en-GB" w:eastAsia="en-US" w:bidi="ar-SA"/>
    </w:rPr>
  </w:style>
  <w:style w:type="paragraph" w:styleId="MacroText">
    <w:name w:val="macro"/>
    <w:basedOn w:val="Normal"/>
    <w:link w:val="MacroTextChar"/>
    <w:uiPriority w:val="99"/>
    <w:pPr>
      <w:tabs>
        <w:tab w:val="clear" w:pos="794"/>
        <w:tab w:val="clear" w:pos="1191"/>
        <w:tab w:val="clear" w:pos="1588"/>
        <w:tab w:val="clear" w:pos="1985"/>
      </w:tabs>
      <w:overflowPunct/>
      <w:autoSpaceDE/>
      <w:autoSpaceDN/>
      <w:adjustRightInd/>
      <w:spacing w:before="0"/>
      <w:ind w:left="1080"/>
      <w:textAlignment w:val="auto"/>
    </w:pPr>
    <w:rPr>
      <w:rFonts w:eastAsia="Batang"/>
      <w:b/>
    </w:rPr>
  </w:style>
  <w:style w:type="character" w:customStyle="1" w:styleId="MacroTextChar1">
    <w:name w:val="Macro Text Char1"/>
    <w:basedOn w:val="DefaultParagraphFont"/>
    <w:uiPriority w:val="99"/>
    <w:rPr>
      <w:rFonts w:ascii="Courier New" w:hAnsi="Courier New" w:cs="Courier New"/>
      <w:lang w:val="en-GB"/>
    </w:rPr>
  </w:style>
  <w:style w:type="paragraph" w:customStyle="1" w:styleId="a1">
    <w:name w:val="목록 단락"/>
    <w:basedOn w:val="Normal"/>
    <w:uiPriority w:val="99"/>
    <w:pPr>
      <w:ind w:leftChars="400" w:left="800"/>
    </w:pPr>
    <w:rPr>
      <w:rFonts w:eastAsia="Batang"/>
    </w:rPr>
  </w:style>
  <w:style w:type="paragraph" w:customStyle="1" w:styleId="Note1">
    <w:name w:val="Note 1"/>
    <w:basedOn w:val="Normal"/>
    <w:next w:val="Normal"/>
    <w:uiPriority w:val="99"/>
    <w:pPr>
      <w:tabs>
        <w:tab w:val="clear" w:pos="794"/>
        <w:tab w:val="clear" w:pos="1588"/>
        <w:tab w:val="clear" w:pos="1985"/>
        <w:tab w:val="left" w:pos="1587"/>
        <w:tab w:val="left" w:pos="1984"/>
      </w:tabs>
      <w:overflowPunct/>
      <w:autoSpaceDE/>
      <w:autoSpaceDN/>
      <w:adjustRightInd/>
      <w:spacing w:before="60" w:line="199" w:lineRule="exact"/>
      <w:ind w:left="283"/>
      <w:jc w:val="both"/>
      <w:textAlignment w:val="auto"/>
    </w:pPr>
    <w:rPr>
      <w:sz w:val="18"/>
      <w:szCs w:val="24"/>
    </w:rPr>
  </w:style>
  <w:style w:type="paragraph" w:customStyle="1" w:styleId="HTMLBody">
    <w:name w:val="HTML Body"/>
    <w:uiPriority w:val="99"/>
    <w:pPr>
      <w:autoSpaceDE w:val="0"/>
      <w:autoSpaceDN w:val="0"/>
      <w:adjustRightInd w:val="0"/>
    </w:pPr>
    <w:rPr>
      <w:rFonts w:ascii="Courier New" w:eastAsia="MS Mincho" w:hAnsi="Courier New"/>
    </w:rPr>
  </w:style>
  <w:style w:type="paragraph" w:customStyle="1" w:styleId="a2">
    <w:name w:val="수정"/>
    <w:hidden/>
    <w:uiPriority w:val="99"/>
    <w:semiHidden/>
    <w:rPr>
      <w:rFonts w:eastAsia="SimSun"/>
      <w:sz w:val="24"/>
      <w:lang w:val="en-GB"/>
    </w:rPr>
  </w:style>
  <w:style w:type="paragraph" w:styleId="Title">
    <w:name w:val="Title"/>
    <w:basedOn w:val="Normal"/>
    <w:next w:val="Normal"/>
    <w:link w:val="TitleChar"/>
    <w:uiPriority w:val="10"/>
    <w:pPr>
      <w:spacing w:before="240" w:after="120"/>
      <w:jc w:val="center"/>
      <w:outlineLvl w:val="0"/>
    </w:pPr>
    <w:rPr>
      <w:rFonts w:ascii="Malgun Gothic" w:eastAsia="Dotum" w:hAnsi="Malgun Gothic"/>
      <w:b/>
      <w:bCs/>
      <w:sz w:val="32"/>
      <w:szCs w:val="32"/>
    </w:rPr>
  </w:style>
  <w:style w:type="character" w:customStyle="1" w:styleId="TitleChar">
    <w:name w:val="Title Char"/>
    <w:basedOn w:val="DefaultParagraphFont"/>
    <w:link w:val="Title"/>
    <w:uiPriority w:val="10"/>
    <w:locked/>
    <w:rPr>
      <w:rFonts w:ascii="Malgun Gothic" w:eastAsia="Dotum" w:hAnsi="Malgun Gothic" w:cs="Times New Roman"/>
      <w:b/>
      <w:bCs/>
      <w:sz w:val="32"/>
      <w:szCs w:val="32"/>
      <w:lang w:val="en-GB" w:eastAsia="en-US"/>
    </w:rPr>
  </w:style>
  <w:style w:type="paragraph" w:styleId="EndnoteText">
    <w:name w:val="endnote text"/>
    <w:basedOn w:val="Normal"/>
    <w:link w:val="EndnoteTextChar"/>
    <w:uiPriority w:val="99"/>
    <w:pPr>
      <w:snapToGrid w:val="0"/>
    </w:pPr>
    <w:rPr>
      <w:rFonts w:eastAsia="Malgun Gothic"/>
    </w:rPr>
  </w:style>
  <w:style w:type="character" w:customStyle="1" w:styleId="EndnoteTextChar">
    <w:name w:val="Endnote Text Char"/>
    <w:basedOn w:val="DefaultParagraphFont"/>
    <w:link w:val="EndnoteText"/>
    <w:uiPriority w:val="99"/>
    <w:locked/>
    <w:rPr>
      <w:rFonts w:eastAsia="Malgun Gothic" w:cs="Times New Roman"/>
      <w:sz w:val="24"/>
      <w:lang w:val="en-GB" w:eastAsia="en-US"/>
    </w:rPr>
  </w:style>
  <w:style w:type="character" w:styleId="CommentReference">
    <w:name w:val="annotation reference"/>
    <w:basedOn w:val="DefaultParagraphFont"/>
    <w:rPr>
      <w:rFonts w:cs="Times New Roman"/>
      <w:sz w:val="16"/>
      <w:szCs w:val="16"/>
    </w:rPr>
  </w:style>
  <w:style w:type="paragraph" w:customStyle="1" w:styleId="StyleRequirement12ptBold">
    <w:name w:val="Style Requirement + 12 pt Bold"/>
    <w:basedOn w:val="Normal"/>
    <w:uiPriority w:val="99"/>
    <w:pPr>
      <w:pBdr>
        <w:top w:val="single" w:sz="4" w:space="3" w:color="auto"/>
        <w:left w:val="single" w:sz="4" w:space="4" w:color="auto"/>
        <w:bottom w:val="single" w:sz="4" w:space="3" w:color="auto"/>
        <w:right w:val="single" w:sz="4" w:space="4" w:color="auto"/>
      </w:pBdr>
      <w:tabs>
        <w:tab w:val="clear" w:pos="794"/>
        <w:tab w:val="clear" w:pos="1191"/>
        <w:tab w:val="clear" w:pos="1588"/>
        <w:tab w:val="clear" w:pos="1985"/>
      </w:tabs>
      <w:overflowPunct/>
      <w:autoSpaceDE/>
      <w:autoSpaceDN/>
      <w:adjustRightInd/>
      <w:ind w:left="270" w:right="315"/>
      <w:textAlignment w:val="auto"/>
    </w:pPr>
    <w:rPr>
      <w:rFonts w:ascii="Arial" w:hAnsi="Arial"/>
      <w:b/>
      <w:bCs/>
    </w:rPr>
  </w:style>
  <w:style w:type="paragraph" w:styleId="Quote">
    <w:name w:val="Quote"/>
    <w:basedOn w:val="Normal"/>
    <w:next w:val="Normal"/>
    <w:link w:val="QuoteChar"/>
    <w:uiPriority w:val="99"/>
    <w:rPr>
      <w:i/>
      <w:iCs/>
      <w:color w:val="000000"/>
    </w:rPr>
  </w:style>
  <w:style w:type="character" w:customStyle="1" w:styleId="QuoteChar">
    <w:name w:val="Quote Char"/>
    <w:basedOn w:val="DefaultParagraphFont"/>
    <w:link w:val="Quote"/>
    <w:uiPriority w:val="99"/>
    <w:locked/>
    <w:rPr>
      <w:rFonts w:cs="Times New Roman"/>
      <w:i/>
      <w:iCs/>
      <w:color w:val="000000"/>
      <w:sz w:val="24"/>
      <w:lang w:val="en-GB" w:eastAsia="en-US" w:bidi="ar-SA"/>
    </w:rPr>
  </w:style>
  <w:style w:type="paragraph" w:customStyle="1" w:styleId="TitleCover">
    <w:name w:val="Title Cover"/>
    <w:basedOn w:val="Normal"/>
    <w:next w:val="Normal"/>
    <w:link w:val="TitleCoverChar"/>
    <w:uiPriority w:val="99"/>
    <w:pPr>
      <w:keepNext/>
      <w:keepLines/>
      <w:tabs>
        <w:tab w:val="clear" w:pos="794"/>
        <w:tab w:val="clear" w:pos="1191"/>
        <w:tab w:val="clear" w:pos="1588"/>
        <w:tab w:val="clear" w:pos="1985"/>
      </w:tabs>
      <w:overflowPunct/>
      <w:autoSpaceDE/>
      <w:autoSpaceDN/>
      <w:adjustRightInd/>
      <w:spacing w:before="1600" w:after="200" w:line="600" w:lineRule="exact"/>
      <w:textAlignment w:val="auto"/>
    </w:pPr>
    <w:rPr>
      <w:rFonts w:ascii="Tahoma" w:hAnsi="Tahoma"/>
      <w:b/>
      <w:spacing w:val="20"/>
      <w:kern w:val="28"/>
      <w:sz w:val="60"/>
      <w:szCs w:val="72"/>
    </w:rPr>
  </w:style>
  <w:style w:type="character" w:customStyle="1" w:styleId="TitleCoverChar">
    <w:name w:val="Title Cover Char"/>
    <w:basedOn w:val="DefaultParagraphFont"/>
    <w:link w:val="TitleCover"/>
    <w:uiPriority w:val="99"/>
    <w:locked/>
    <w:rPr>
      <w:rFonts w:ascii="Tahoma" w:hAnsi="Tahoma" w:cs="Times New Roman"/>
      <w:b/>
      <w:spacing w:val="20"/>
      <w:kern w:val="28"/>
      <w:sz w:val="72"/>
      <w:szCs w:val="72"/>
      <w:lang w:val="en-US" w:eastAsia="en-US" w:bidi="ar-SA"/>
    </w:rPr>
  </w:style>
  <w:style w:type="paragraph" w:customStyle="1" w:styleId="CompanyName">
    <w:name w:val="Company Name"/>
    <w:basedOn w:val="Normal"/>
    <w:uiPriority w:val="99"/>
    <w:pPr>
      <w:keepNext/>
      <w:keepLines/>
      <w:pBdr>
        <w:bottom w:val="single" w:sz="6" w:space="2" w:color="999999"/>
      </w:pBdr>
      <w:tabs>
        <w:tab w:val="clear" w:pos="794"/>
        <w:tab w:val="clear" w:pos="1191"/>
        <w:tab w:val="clear" w:pos="1588"/>
        <w:tab w:val="clear" w:pos="1985"/>
      </w:tabs>
      <w:overflowPunct/>
      <w:autoSpaceDE/>
      <w:autoSpaceDN/>
      <w:adjustRightInd/>
      <w:spacing w:before="0" w:line="220" w:lineRule="atLeast"/>
      <w:textAlignment w:val="auto"/>
    </w:pPr>
    <w:rPr>
      <w:rFonts w:ascii="Tahoma" w:hAnsi="Tahoma"/>
      <w:spacing w:val="10"/>
      <w:kern w:val="28"/>
      <w:sz w:val="32"/>
      <w:szCs w:val="32"/>
    </w:rPr>
  </w:style>
  <w:style w:type="paragraph" w:styleId="TOCHeading">
    <w:name w:val="TOC Heading"/>
    <w:basedOn w:val="Heading1"/>
    <w:next w:val="Normal"/>
    <w:uiPriority w:val="39"/>
    <w:qFormat/>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Cambria" w:hAnsi="Cambria"/>
      <w:bCs/>
      <w:color w:val="365F91"/>
      <w:sz w:val="28"/>
      <w:szCs w:val="28"/>
    </w:rPr>
  </w:style>
  <w:style w:type="paragraph" w:customStyle="1" w:styleId="SubtitleSecondPage">
    <w:name w:val="Subtitle Second Page"/>
    <w:uiPriority w:val="99"/>
    <w:pPr>
      <w:spacing w:after="200"/>
    </w:pPr>
    <w:rPr>
      <w:rFonts w:ascii="Tahoma" w:hAnsi="Tahoma"/>
      <w:i/>
      <w:iCs/>
      <w:color w:val="808080"/>
      <w:spacing w:val="10"/>
    </w:rPr>
  </w:style>
  <w:style w:type="paragraph" w:customStyle="1" w:styleId="TableTextBold">
    <w:name w:val="Table Text Bold"/>
    <w:uiPriority w:val="99"/>
    <w:rPr>
      <w:rFonts w:ascii="Tahoma" w:hAnsi="Tahoma"/>
      <w:b/>
      <w:spacing w:val="6"/>
      <w:sz w:val="15"/>
      <w:szCs w:val="16"/>
    </w:rPr>
  </w:style>
  <w:style w:type="paragraph" w:customStyle="1" w:styleId="BlockQuotation">
    <w:name w:val="Block Quotation"/>
    <w:basedOn w:val="Normal"/>
    <w:link w:val="BlockQuotationChar"/>
    <w:uiPriority w:val="99"/>
    <w:rsid w:val="001C37A8"/>
    <w:pPr>
      <w:keepLines/>
      <w:tabs>
        <w:tab w:val="clear" w:pos="794"/>
        <w:tab w:val="clear" w:pos="1191"/>
        <w:tab w:val="clear" w:pos="1588"/>
        <w:tab w:val="clear" w:pos="1985"/>
      </w:tabs>
      <w:overflowPunct/>
      <w:autoSpaceDE/>
      <w:autoSpaceDN/>
      <w:adjustRightInd/>
      <w:spacing w:before="0" w:after="120" w:line="240" w:lineRule="exact"/>
      <w:ind w:left="360"/>
      <w:textAlignment w:val="auto"/>
    </w:pPr>
    <w:rPr>
      <w:rFonts w:ascii="Tahoma" w:hAnsi="Tahoma"/>
      <w:i/>
      <w:spacing w:val="10"/>
      <w:sz w:val="17"/>
      <w:lang w:eastAsia="en-US"/>
    </w:rPr>
  </w:style>
  <w:style w:type="character" w:customStyle="1" w:styleId="BlockQuotationChar">
    <w:name w:val="Block Quotation Char"/>
    <w:basedOn w:val="DefaultParagraphFont"/>
    <w:link w:val="BlockQuotation"/>
    <w:uiPriority w:val="99"/>
    <w:locked/>
    <w:rPr>
      <w:rFonts w:ascii="Tahoma" w:hAnsi="Tahoma" w:cs="Times New Roman"/>
      <w:i/>
      <w:spacing w:val="10"/>
      <w:sz w:val="17"/>
      <w:lang w:val="en-US" w:eastAsia="en-US" w:bidi="ar-SA"/>
    </w:rPr>
  </w:style>
  <w:style w:type="paragraph" w:styleId="Index4">
    <w:name w:val="index 4"/>
    <w:basedOn w:val="Normal"/>
    <w:pPr>
      <w:tabs>
        <w:tab w:val="clear" w:pos="794"/>
        <w:tab w:val="clear" w:pos="1191"/>
        <w:tab w:val="clear" w:pos="1588"/>
        <w:tab w:val="clear" w:pos="1985"/>
        <w:tab w:val="right" w:pos="4080"/>
      </w:tabs>
      <w:overflowPunct/>
      <w:autoSpaceDE/>
      <w:autoSpaceDN/>
      <w:adjustRightInd/>
      <w:spacing w:before="0"/>
      <w:ind w:left="720" w:hanging="360"/>
      <w:textAlignment w:val="auto"/>
    </w:pPr>
    <w:rPr>
      <w:rFonts w:ascii="Tahoma" w:hAnsi="Tahoma"/>
      <w:sz w:val="20"/>
    </w:rPr>
  </w:style>
  <w:style w:type="paragraph" w:styleId="Index5">
    <w:name w:val="index 5"/>
    <w:basedOn w:val="Normal"/>
    <w:pPr>
      <w:tabs>
        <w:tab w:val="clear" w:pos="794"/>
        <w:tab w:val="clear" w:pos="1191"/>
        <w:tab w:val="clear" w:pos="1588"/>
        <w:tab w:val="clear" w:pos="1985"/>
        <w:tab w:val="right" w:pos="4080"/>
      </w:tabs>
      <w:overflowPunct/>
      <w:autoSpaceDE/>
      <w:autoSpaceDN/>
      <w:adjustRightInd/>
      <w:spacing w:before="0"/>
      <w:ind w:left="720" w:hanging="360"/>
      <w:textAlignment w:val="auto"/>
    </w:pPr>
    <w:rPr>
      <w:rFonts w:ascii="Tahoma" w:hAnsi="Tahoma"/>
      <w:sz w:val="20"/>
    </w:rPr>
  </w:style>
  <w:style w:type="paragraph" w:styleId="IndexHeading">
    <w:name w:val="index heading"/>
    <w:basedOn w:val="Normal"/>
    <w:next w:val="Index1"/>
    <w:pPr>
      <w:keepNext/>
      <w:tabs>
        <w:tab w:val="clear" w:pos="794"/>
        <w:tab w:val="clear" w:pos="1191"/>
        <w:tab w:val="clear" w:pos="1588"/>
        <w:tab w:val="clear" w:pos="1985"/>
      </w:tabs>
      <w:overflowPunct/>
      <w:autoSpaceDE/>
      <w:autoSpaceDN/>
      <w:adjustRightInd/>
      <w:spacing w:before="440" w:line="220" w:lineRule="atLeast"/>
      <w:textAlignment w:val="auto"/>
    </w:pPr>
    <w:rPr>
      <w:rFonts w:ascii="Tahoma" w:hAnsi="Tahoma"/>
      <w:b/>
      <w:caps/>
    </w:rPr>
  </w:style>
  <w:style w:type="character" w:customStyle="1" w:styleId="Lead-inEmphasis">
    <w:name w:val="Lead-in Emphasis"/>
    <w:uiPriority w:val="99"/>
    <w:rPr>
      <w:rFonts w:ascii="Tahoma" w:hAnsi="Tahoma"/>
      <w:b/>
      <w:spacing w:val="4"/>
      <w:kern w:val="0"/>
    </w:rPr>
  </w:style>
  <w:style w:type="paragraph" w:styleId="ListBullet">
    <w:name w:val="List Bullet"/>
    <w:basedOn w:val="Normal"/>
    <w:uiPriority w:val="99"/>
    <w:pPr>
      <w:tabs>
        <w:tab w:val="clear" w:pos="794"/>
        <w:tab w:val="clear" w:pos="1191"/>
        <w:tab w:val="clear" w:pos="1588"/>
        <w:tab w:val="clear" w:pos="1985"/>
        <w:tab w:val="num" w:pos="360"/>
      </w:tabs>
      <w:overflowPunct/>
      <w:autoSpaceDE/>
      <w:autoSpaceDN/>
      <w:adjustRightInd/>
      <w:spacing w:before="0" w:after="200" w:line="240" w:lineRule="exact"/>
      <w:ind w:left="720" w:hanging="216"/>
      <w:textAlignment w:val="auto"/>
    </w:pPr>
    <w:rPr>
      <w:rFonts w:ascii="Tahoma" w:hAnsi="Tahoma"/>
      <w:spacing w:val="10"/>
      <w:sz w:val="17"/>
    </w:rPr>
  </w:style>
  <w:style w:type="paragraph" w:styleId="ListNumber">
    <w:name w:val="List Number"/>
    <w:basedOn w:val="Normal"/>
    <w:uiPriority w:val="99"/>
    <w:pPr>
      <w:tabs>
        <w:tab w:val="clear" w:pos="794"/>
        <w:tab w:val="clear" w:pos="1191"/>
        <w:tab w:val="clear" w:pos="1588"/>
        <w:tab w:val="clear" w:pos="1985"/>
        <w:tab w:val="num" w:pos="720"/>
      </w:tabs>
      <w:overflowPunct/>
      <w:autoSpaceDE/>
      <w:autoSpaceDN/>
      <w:adjustRightInd/>
      <w:spacing w:before="0" w:after="200" w:line="240" w:lineRule="exact"/>
      <w:ind w:left="720" w:hanging="360"/>
      <w:textAlignment w:val="auto"/>
    </w:pPr>
    <w:rPr>
      <w:rFonts w:ascii="Tahoma" w:hAnsi="Tahoma"/>
      <w:spacing w:val="10"/>
      <w:sz w:val="17"/>
    </w:rPr>
  </w:style>
  <w:style w:type="paragraph" w:customStyle="1" w:styleId="SubtitleItalic">
    <w:name w:val="Subtitle Italic"/>
    <w:next w:val="Normal"/>
    <w:uiPriority w:val="99"/>
    <w:pPr>
      <w:spacing w:after="200" w:line="320" w:lineRule="exact"/>
    </w:pPr>
    <w:rPr>
      <w:rFonts w:ascii="Tahoma" w:hAnsi="Tahoma"/>
      <w:i/>
      <w:color w:val="808080"/>
      <w:spacing w:val="20"/>
      <w:kern w:val="28"/>
      <w:sz w:val="28"/>
      <w:szCs w:val="40"/>
    </w:rPr>
  </w:style>
  <w:style w:type="paragraph" w:styleId="TableofFigures">
    <w:name w:val="table of figures"/>
    <w:basedOn w:val="Normal"/>
    <w:uiPriority w:val="99"/>
    <w:pPr>
      <w:tabs>
        <w:tab w:val="clear" w:pos="794"/>
        <w:tab w:val="clear" w:pos="1191"/>
        <w:tab w:val="clear" w:pos="1588"/>
        <w:tab w:val="clear" w:pos="1985"/>
      </w:tabs>
      <w:overflowPunct/>
      <w:autoSpaceDE/>
      <w:autoSpaceDN/>
      <w:adjustRightInd/>
      <w:spacing w:before="0"/>
      <w:ind w:left="1440" w:hanging="360"/>
      <w:textAlignment w:val="auto"/>
    </w:pPr>
    <w:rPr>
      <w:rFonts w:ascii="Tahoma" w:hAnsi="Tahoma"/>
      <w:sz w:val="20"/>
    </w:rPr>
  </w:style>
  <w:style w:type="paragraph" w:styleId="TableofAuthorities">
    <w:name w:val="table of authorities"/>
    <w:basedOn w:val="Normal"/>
    <w:uiPriority w:val="99"/>
    <w:pPr>
      <w:tabs>
        <w:tab w:val="clear" w:pos="794"/>
        <w:tab w:val="clear" w:pos="1191"/>
        <w:tab w:val="clear" w:pos="1588"/>
        <w:tab w:val="clear" w:pos="1985"/>
        <w:tab w:val="right" w:leader="dot" w:pos="7560"/>
      </w:tabs>
      <w:overflowPunct/>
      <w:autoSpaceDE/>
      <w:autoSpaceDN/>
      <w:adjustRightInd/>
      <w:spacing w:before="0"/>
      <w:ind w:left="1440" w:hanging="360"/>
      <w:textAlignment w:val="auto"/>
    </w:pPr>
    <w:rPr>
      <w:rFonts w:ascii="Tahoma" w:hAnsi="Tahoma"/>
      <w:sz w:val="20"/>
    </w:rPr>
  </w:style>
  <w:style w:type="paragraph" w:styleId="TOAHeading">
    <w:name w:val="toa heading"/>
    <w:basedOn w:val="Normal"/>
    <w:next w:val="TableofAuthorities"/>
    <w:uiPriority w:val="99"/>
    <w:pPr>
      <w:keepNext/>
      <w:tabs>
        <w:tab w:val="clear" w:pos="794"/>
        <w:tab w:val="clear" w:pos="1191"/>
        <w:tab w:val="clear" w:pos="1588"/>
        <w:tab w:val="clear" w:pos="1985"/>
      </w:tabs>
      <w:overflowPunct/>
      <w:autoSpaceDE/>
      <w:autoSpaceDN/>
      <w:adjustRightInd/>
      <w:spacing w:before="240" w:after="120" w:line="360" w:lineRule="exact"/>
      <w:ind w:left="1080"/>
      <w:textAlignment w:val="auto"/>
    </w:pPr>
    <w:rPr>
      <w:rFonts w:ascii="Arial" w:hAnsi="Arial"/>
      <w:b/>
      <w:kern w:val="28"/>
      <w:sz w:val="28"/>
    </w:rPr>
  </w:style>
  <w:style w:type="paragraph" w:customStyle="1" w:styleId="TableText1">
    <w:name w:val="Table Text"/>
    <w:uiPriority w:val="99"/>
    <w:pPr>
      <w:spacing w:before="40" w:line="200" w:lineRule="atLeast"/>
    </w:pPr>
    <w:rPr>
      <w:rFonts w:ascii="Tahoma" w:hAnsi="Tahoma"/>
      <w:spacing w:val="6"/>
      <w:sz w:val="15"/>
      <w:szCs w:val="16"/>
    </w:rPr>
  </w:style>
  <w:style w:type="paragraph" w:customStyle="1" w:styleId="IndentedBodyText">
    <w:name w:val="Indented Body Text"/>
    <w:basedOn w:val="Normal"/>
    <w:link w:val="IndentedBodyTextChar"/>
    <w:uiPriority w:val="99"/>
    <w:pPr>
      <w:tabs>
        <w:tab w:val="clear" w:pos="794"/>
        <w:tab w:val="clear" w:pos="1191"/>
        <w:tab w:val="clear" w:pos="1588"/>
        <w:tab w:val="clear" w:pos="1985"/>
      </w:tabs>
      <w:overflowPunct/>
      <w:autoSpaceDE/>
      <w:autoSpaceDN/>
      <w:adjustRightInd/>
      <w:spacing w:before="0" w:after="80" w:line="312" w:lineRule="auto"/>
      <w:ind w:left="360"/>
      <w:textAlignment w:val="auto"/>
    </w:pPr>
    <w:rPr>
      <w:rFonts w:ascii="Verdana" w:hAnsi="Verdana"/>
      <w:sz w:val="17"/>
    </w:rPr>
  </w:style>
  <w:style w:type="character" w:customStyle="1" w:styleId="IndentedBodyTextChar">
    <w:name w:val="Indented Body Text Char"/>
    <w:basedOn w:val="DefaultParagraphFont"/>
    <w:link w:val="IndentedBodyText"/>
    <w:uiPriority w:val="99"/>
    <w:locked/>
    <w:rPr>
      <w:rFonts w:ascii="Verdana" w:hAnsi="Verdana" w:cs="Times New Roman"/>
      <w:sz w:val="17"/>
      <w:lang w:val="en-US" w:eastAsia="en-US" w:bidi="ar-SA"/>
    </w:rPr>
  </w:style>
  <w:style w:type="paragraph" w:customStyle="1" w:styleId="StyleTOC1Left0Hanging038">
    <w:name w:val="Style TOC 1 + Left:  0&quot; Hanging:  0.38&quot;"/>
    <w:basedOn w:val="TOC1"/>
    <w:uiPriority w:val="99"/>
    <w:pPr>
      <w:keepLines w:val="0"/>
      <w:tabs>
        <w:tab w:val="clear" w:pos="964"/>
        <w:tab w:val="clear" w:pos="8789"/>
        <w:tab w:val="clear" w:pos="9639"/>
        <w:tab w:val="right" w:leader="dot" w:pos="6480"/>
      </w:tabs>
      <w:overflowPunct/>
      <w:autoSpaceDE/>
      <w:autoSpaceDN/>
      <w:adjustRightInd/>
      <w:spacing w:before="0"/>
      <w:ind w:left="540" w:right="0" w:hanging="540"/>
      <w:textAlignment w:val="auto"/>
    </w:pPr>
    <w:rPr>
      <w:rFonts w:ascii="Tahoma" w:hAnsi="Tahoma"/>
      <w:b/>
      <w:bCs/>
      <w:spacing w:val="-4"/>
      <w:sz w:val="20"/>
    </w:rPr>
  </w:style>
  <w:style w:type="paragraph" w:customStyle="1" w:styleId="StyleTOC1Left0Hanging0381">
    <w:name w:val="Style TOC 1 + Left:  0&quot; Hanging:  0.38&quot;1"/>
    <w:basedOn w:val="TOC1"/>
    <w:autoRedefine/>
    <w:uiPriority w:val="99"/>
    <w:pPr>
      <w:keepLines w:val="0"/>
      <w:tabs>
        <w:tab w:val="clear" w:pos="964"/>
        <w:tab w:val="clear" w:pos="8789"/>
        <w:tab w:val="clear" w:pos="9639"/>
        <w:tab w:val="right" w:leader="dot" w:pos="6480"/>
      </w:tabs>
      <w:overflowPunct/>
      <w:autoSpaceDE/>
      <w:autoSpaceDN/>
      <w:adjustRightInd/>
      <w:spacing w:before="0"/>
      <w:ind w:left="540" w:right="0" w:hanging="540"/>
      <w:textAlignment w:val="auto"/>
    </w:pPr>
    <w:rPr>
      <w:rFonts w:ascii="Tahoma" w:hAnsi="Tahoma"/>
      <w:b/>
      <w:bCs/>
      <w:spacing w:val="-4"/>
      <w:sz w:val="20"/>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pPr>
      <w:tabs>
        <w:tab w:val="clear" w:pos="794"/>
        <w:tab w:val="clear" w:pos="1191"/>
        <w:tab w:val="clear" w:pos="1588"/>
        <w:tab w:val="clear" w:pos="1985"/>
      </w:tabs>
      <w:overflowPunct/>
      <w:autoSpaceDE/>
      <w:autoSpaceDN/>
      <w:adjustRightInd/>
      <w:spacing w:before="0"/>
      <w:ind w:left="720"/>
      <w:contextualSpacing/>
      <w:textAlignment w:val="auto"/>
    </w:pPr>
    <w:rPr>
      <w:rFonts w:ascii="Tahoma" w:hAnsi="Tahoma"/>
      <w:sz w:val="20"/>
    </w:rPr>
  </w:style>
  <w:style w:type="character" w:customStyle="1" w:styleId="ListParagraphChar">
    <w:name w:val="List Paragraph Char"/>
    <w:aliases w:val="NUMBERED PARAGRAPH Char,List Paragraph 1 Char,List Paragraph (numbered (a)) Char,Use Case List Paragraph Char,References Char,ReferencesCxSpLast Char,lp1 Char"/>
    <w:basedOn w:val="DefaultParagraphFont"/>
    <w:link w:val="ListParagraph"/>
    <w:uiPriority w:val="34"/>
    <w:locked/>
    <w:rPr>
      <w:rFonts w:ascii="Tahoma" w:hAnsi="Tahoma"/>
    </w:rPr>
  </w:style>
  <w:style w:type="paragraph" w:customStyle="1" w:styleId="Requirement">
    <w:name w:val="Requirement"/>
    <w:basedOn w:val="Normal"/>
    <w:link w:val="RequirementChar"/>
    <w:uiPriority w:val="99"/>
    <w:p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adjustRightInd/>
      <w:spacing w:before="240" w:after="120"/>
      <w:ind w:left="270" w:right="315"/>
      <w:textAlignment w:val="auto"/>
    </w:pPr>
    <w:rPr>
      <w:sz w:val="22"/>
    </w:rPr>
  </w:style>
  <w:style w:type="character" w:customStyle="1" w:styleId="RequirementChar">
    <w:name w:val="Requirement Char"/>
    <w:basedOn w:val="DefaultParagraphFont"/>
    <w:link w:val="Requirement"/>
    <w:uiPriority w:val="99"/>
    <w:locked/>
    <w:rPr>
      <w:rFonts w:cs="Times New Roman"/>
      <w:sz w:val="22"/>
      <w:lang w:val="en-US" w:eastAsia="en-US" w:bidi="ar-SA"/>
    </w:rPr>
  </w:style>
  <w:style w:type="paragraph" w:styleId="DocumentMap">
    <w:name w:val="Document Map"/>
    <w:basedOn w:val="Normal"/>
    <w:link w:val="DocumentMapChar"/>
    <w:uiPriority w:val="99"/>
    <w:rPr>
      <w:rFonts w:ascii="Gulim" w:eastAsia="Gulim"/>
      <w:sz w:val="18"/>
      <w:szCs w:val="18"/>
    </w:rPr>
  </w:style>
  <w:style w:type="character" w:customStyle="1" w:styleId="DocumentMapChar">
    <w:name w:val="Document Map Char"/>
    <w:basedOn w:val="DefaultParagraphFont"/>
    <w:link w:val="DocumentMap"/>
    <w:uiPriority w:val="99"/>
    <w:locked/>
    <w:rPr>
      <w:rFonts w:ascii="Gulim" w:eastAsia="Gulim" w:cs="Times New Roman"/>
      <w:sz w:val="18"/>
      <w:szCs w:val="18"/>
      <w:lang w:val="en-GB" w:eastAsia="en-US"/>
    </w:rPr>
  </w:style>
  <w:style w:type="paragraph" w:styleId="TOC9">
    <w:name w:val="toc 9"/>
    <w:basedOn w:val="Normal"/>
    <w:next w:val="Normal"/>
    <w:autoRedefine/>
    <w:uiPriority w:val="39"/>
    <w:pPr>
      <w:tabs>
        <w:tab w:val="clear" w:pos="794"/>
        <w:tab w:val="clear" w:pos="1191"/>
        <w:tab w:val="clear" w:pos="1588"/>
        <w:tab w:val="clear" w:pos="1985"/>
      </w:tabs>
      <w:ind w:leftChars="1600" w:left="3400"/>
    </w:pPr>
    <w:rPr>
      <w:rFonts w:eastAsia="Malgun Gothic"/>
    </w:rPr>
  </w:style>
  <w:style w:type="character" w:customStyle="1" w:styleId="TableheadChar">
    <w:name w:val="Table_head Char"/>
    <w:basedOn w:val="DefaultParagraphFont"/>
    <w:uiPriority w:val="99"/>
    <w:rPr>
      <w:rFonts w:cs="Times New Roman"/>
      <w:b/>
      <w:sz w:val="22"/>
      <w:lang w:val="en-GB" w:eastAsia="en-US" w:bidi="ar-SA"/>
    </w:rPr>
  </w:style>
  <w:style w:type="paragraph" w:styleId="BodyTextIndent2">
    <w:name w:val="Body Text Indent 2"/>
    <w:basedOn w:val="Normal"/>
    <w:link w:val="BodyTextIndent2Char"/>
    <w:pPr>
      <w:spacing w:after="120" w:line="480" w:lineRule="auto"/>
      <w:ind w:left="283"/>
    </w:pPr>
    <w:rPr>
      <w:rFonts w:eastAsia="Batang"/>
    </w:rPr>
  </w:style>
  <w:style w:type="character" w:customStyle="1" w:styleId="BodyTextIndent2Char">
    <w:name w:val="Body Text Indent 2 Char"/>
    <w:basedOn w:val="DefaultParagraphFont"/>
    <w:link w:val="BodyTextIndent2"/>
    <w:locked/>
    <w:rPr>
      <w:rFonts w:eastAsia="Batang" w:cs="Times New Roman"/>
      <w:sz w:val="24"/>
      <w:lang w:val="en-GB" w:eastAsia="en-US"/>
    </w:rPr>
  </w:style>
  <w:style w:type="character" w:customStyle="1" w:styleId="name">
    <w:name w:val="name"/>
    <w:basedOn w:val="DefaultParagraphFont"/>
    <w:uiPriority w:val="99"/>
    <w:rPr>
      <w:rFonts w:cs="Times New Roman"/>
    </w:rPr>
  </w:style>
  <w:style w:type="paragraph" w:customStyle="1" w:styleId="AnnexRef0">
    <w:name w:val="Annex_Ref"/>
    <w:basedOn w:val="Normal"/>
    <w:next w:val="Normal"/>
    <w:uiPriority w:val="99"/>
    <w:pPr>
      <w:keepNext/>
      <w:keepLines/>
      <w:overflowPunct/>
      <w:autoSpaceDE/>
      <w:autoSpaceDN/>
      <w:adjustRightInd/>
      <w:spacing w:after="280"/>
      <w:jc w:val="center"/>
      <w:textAlignment w:val="auto"/>
    </w:pPr>
    <w:rPr>
      <w:rFonts w:eastAsia="Batang"/>
    </w:rPr>
  </w:style>
  <w:style w:type="paragraph" w:styleId="Subtitle">
    <w:name w:val="Subtitle"/>
    <w:basedOn w:val="Normal"/>
    <w:link w:val="SubtitleChar"/>
    <w:uiPriority w:val="99"/>
    <w:pPr>
      <w:tabs>
        <w:tab w:val="clear" w:pos="794"/>
        <w:tab w:val="clear" w:pos="1191"/>
        <w:tab w:val="clear" w:pos="1588"/>
        <w:tab w:val="clear" w:pos="1985"/>
      </w:tabs>
      <w:overflowPunct/>
      <w:autoSpaceDE/>
      <w:autoSpaceDN/>
      <w:adjustRightInd/>
      <w:spacing w:before="0"/>
      <w:textAlignment w:val="auto"/>
    </w:pPr>
    <w:rPr>
      <w:rFonts w:eastAsia="MS Mincho"/>
      <w:b/>
      <w:sz w:val="20"/>
      <w:lang w:eastAsia="ja-JP"/>
    </w:rPr>
  </w:style>
  <w:style w:type="character" w:customStyle="1" w:styleId="SubtitleChar">
    <w:name w:val="Subtitle Char"/>
    <w:basedOn w:val="DefaultParagraphFont"/>
    <w:link w:val="Subtitle"/>
    <w:uiPriority w:val="99"/>
    <w:locked/>
    <w:rPr>
      <w:rFonts w:eastAsia="MS Mincho" w:cs="Times New Roman"/>
      <w:b/>
      <w:lang w:eastAsia="ja-JP"/>
    </w:rPr>
  </w:style>
  <w:style w:type="character" w:styleId="LineNumber">
    <w:name w:val="line number"/>
    <w:basedOn w:val="DefaultParagraphFont"/>
    <w:rPr>
      <w:rFonts w:cs="Times New Roman"/>
    </w:rPr>
  </w:style>
  <w:style w:type="paragraph" w:styleId="NormalIndent">
    <w:name w:val="Normal Indent"/>
    <w:basedOn w:val="Normal"/>
    <w:pPr>
      <w:overflowPunct/>
      <w:autoSpaceDE/>
      <w:autoSpaceDN/>
      <w:adjustRightInd/>
      <w:ind w:left="794"/>
      <w:textAlignment w:val="auto"/>
    </w:pPr>
    <w:rPr>
      <w:rFonts w:eastAsia="Batang"/>
    </w:rPr>
  </w:style>
  <w:style w:type="paragraph" w:customStyle="1" w:styleId="TableLegend0">
    <w:name w:val="Table_Legend"/>
    <w:basedOn w:val="TableText0"/>
    <w:uiPriority w:val="99"/>
    <w:pPr>
      <w:spacing w:before="120"/>
    </w:pPr>
    <w:rPr>
      <w:rFonts w:eastAsia="Batang"/>
    </w:rPr>
  </w:style>
  <w:style w:type="paragraph" w:customStyle="1" w:styleId="TableTitle0">
    <w:name w:val="Table_Title"/>
    <w:basedOn w:val="Normal"/>
    <w:next w:val="TableText0"/>
    <w:uiPriority w:val="99"/>
    <w:pPr>
      <w:keepNext/>
      <w:keepLines/>
      <w:tabs>
        <w:tab w:val="left" w:pos="2948"/>
        <w:tab w:val="left" w:pos="4082"/>
      </w:tabs>
      <w:overflowPunct/>
      <w:autoSpaceDE/>
      <w:autoSpaceDN/>
      <w:adjustRightInd/>
      <w:spacing w:before="480" w:after="120"/>
      <w:jc w:val="center"/>
      <w:textAlignment w:val="auto"/>
    </w:pPr>
    <w:rPr>
      <w:rFonts w:eastAsia="Batang"/>
      <w:b/>
    </w:rPr>
  </w:style>
  <w:style w:type="paragraph" w:customStyle="1" w:styleId="FigureLegend0">
    <w:name w:val="Figure_Legend"/>
    <w:basedOn w:val="Normal"/>
    <w:uiPriority w:val="99"/>
    <w:pPr>
      <w:keepNext/>
      <w:keepLines/>
      <w:tabs>
        <w:tab w:val="clear" w:pos="794"/>
        <w:tab w:val="clear" w:pos="1191"/>
        <w:tab w:val="clear" w:pos="1588"/>
        <w:tab w:val="clear" w:pos="1985"/>
      </w:tabs>
      <w:overflowPunct/>
      <w:autoSpaceDE/>
      <w:autoSpaceDN/>
      <w:adjustRightInd/>
      <w:spacing w:before="20" w:after="20"/>
      <w:textAlignment w:val="auto"/>
    </w:pPr>
    <w:rPr>
      <w:rFonts w:eastAsia="Batang"/>
      <w:sz w:val="18"/>
    </w:rPr>
  </w:style>
  <w:style w:type="paragraph" w:customStyle="1" w:styleId="FigureTitle">
    <w:name w:val="Figure_Title"/>
    <w:basedOn w:val="TableTitle0"/>
    <w:next w:val="Normalaftertitle0"/>
    <w:uiPriority w:val="99"/>
    <w:pPr>
      <w:keepNext w:val="0"/>
      <w:spacing w:before="240" w:after="480"/>
    </w:pPr>
  </w:style>
  <w:style w:type="paragraph" w:customStyle="1" w:styleId="AppendixRef">
    <w:name w:val="Appendix_Ref"/>
    <w:basedOn w:val="AnnexRef0"/>
    <w:next w:val="Normalaftertitle0"/>
    <w:uiPriority w:val="99"/>
  </w:style>
  <w:style w:type="paragraph" w:customStyle="1" w:styleId="AppendixTitle">
    <w:name w:val="Appendix_Title"/>
    <w:basedOn w:val="AnnexTitle"/>
    <w:next w:val="AppendixRef"/>
    <w:uiPriority w:val="99"/>
    <w:pPr>
      <w:overflowPunct/>
      <w:autoSpaceDE/>
      <w:autoSpaceDN/>
      <w:adjustRightInd/>
      <w:spacing w:before="240" w:after="280"/>
      <w:textAlignment w:val="auto"/>
    </w:pPr>
    <w:rPr>
      <w:rFonts w:ascii="Times New Roman" w:eastAsia="Batang" w:hAnsi="Times New Roman"/>
      <w:sz w:val="28"/>
      <w:u w:val="none"/>
    </w:rPr>
  </w:style>
  <w:style w:type="paragraph" w:customStyle="1" w:styleId="RefTitle0">
    <w:name w:val="Ref_Title"/>
    <w:basedOn w:val="Normal"/>
    <w:next w:val="RefText0"/>
    <w:uiPriority w:val="99"/>
    <w:pPr>
      <w:overflowPunct/>
      <w:autoSpaceDE/>
      <w:autoSpaceDN/>
      <w:adjustRightInd/>
      <w:spacing w:before="480"/>
      <w:jc w:val="center"/>
      <w:textAlignment w:val="auto"/>
    </w:pPr>
    <w:rPr>
      <w:rFonts w:eastAsia="Batang"/>
      <w:caps/>
    </w:rPr>
  </w:style>
  <w:style w:type="paragraph" w:customStyle="1" w:styleId="RefText0">
    <w:name w:val="Ref_Text"/>
    <w:basedOn w:val="Normal"/>
    <w:uiPriority w:val="99"/>
    <w:pPr>
      <w:overflowPunct/>
      <w:autoSpaceDE/>
      <w:autoSpaceDN/>
      <w:adjustRightInd/>
      <w:ind w:left="794" w:hanging="794"/>
      <w:textAlignment w:val="auto"/>
    </w:pPr>
    <w:rPr>
      <w:rFonts w:eastAsia="Batang"/>
    </w:rPr>
  </w:style>
  <w:style w:type="paragraph" w:customStyle="1" w:styleId="Head">
    <w:name w:val="Head"/>
    <w:basedOn w:val="Normal"/>
    <w:pPr>
      <w:tabs>
        <w:tab w:val="clear" w:pos="794"/>
        <w:tab w:val="clear" w:pos="1191"/>
        <w:tab w:val="clear" w:pos="1588"/>
        <w:tab w:val="clear" w:pos="1985"/>
        <w:tab w:val="left" w:pos="6663"/>
      </w:tabs>
      <w:overflowPunct/>
      <w:autoSpaceDE/>
      <w:autoSpaceDN/>
      <w:adjustRightInd/>
      <w:spacing w:before="0"/>
      <w:textAlignment w:val="auto"/>
    </w:pPr>
    <w:rPr>
      <w:rFonts w:eastAsia="Batang"/>
    </w:rPr>
  </w:style>
  <w:style w:type="paragraph" w:customStyle="1" w:styleId="RecTitle0">
    <w:name w:val="Rec_Title"/>
    <w:basedOn w:val="RecNo"/>
    <w:next w:val="RecRef0"/>
    <w:uiPriority w:val="99"/>
    <w:pPr>
      <w:overflowPunct/>
      <w:autoSpaceDE/>
      <w:autoSpaceDN/>
      <w:adjustRightInd/>
      <w:spacing w:before="240"/>
      <w:jc w:val="center"/>
      <w:textAlignment w:val="auto"/>
    </w:pPr>
    <w:rPr>
      <w:rFonts w:eastAsia="Batang"/>
    </w:rPr>
  </w:style>
  <w:style w:type="paragraph" w:customStyle="1" w:styleId="RecRef0">
    <w:name w:val="Rec_Ref"/>
    <w:basedOn w:val="RecTitle0"/>
    <w:next w:val="Normal"/>
    <w:uiPriority w:val="99"/>
    <w:pPr>
      <w:tabs>
        <w:tab w:val="clear" w:pos="794"/>
        <w:tab w:val="clear" w:pos="1191"/>
        <w:tab w:val="clear" w:pos="1588"/>
        <w:tab w:val="clear" w:pos="1985"/>
      </w:tabs>
      <w:spacing w:before="120"/>
    </w:pPr>
    <w:rPr>
      <w:b w:val="0"/>
    </w:rPr>
  </w:style>
  <w:style w:type="paragraph" w:customStyle="1" w:styleId="call0">
    <w:name w:val="call"/>
    <w:basedOn w:val="Normal"/>
    <w:next w:val="Normal"/>
    <w:uiPriority w:val="99"/>
    <w:pPr>
      <w:keepNext/>
      <w:keepLines/>
      <w:overflowPunct/>
      <w:autoSpaceDE/>
      <w:autoSpaceDN/>
      <w:adjustRightInd/>
      <w:spacing w:before="160"/>
      <w:ind w:left="794"/>
      <w:textAlignment w:val="auto"/>
    </w:pPr>
    <w:rPr>
      <w:rFonts w:eastAsia="Batang"/>
      <w:i/>
    </w:rPr>
  </w:style>
  <w:style w:type="paragraph" w:styleId="List">
    <w:name w:val="List"/>
    <w:basedOn w:val="Normal"/>
    <w:uiPriority w:val="99"/>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Batang"/>
    </w:rPr>
  </w:style>
  <w:style w:type="paragraph" w:customStyle="1" w:styleId="Part">
    <w:name w:val="Part"/>
    <w:basedOn w:val="Normal"/>
    <w:uiPriority w:val="99"/>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eastAsia="Batang"/>
      <w:caps/>
    </w:rPr>
  </w:style>
  <w:style w:type="paragraph" w:customStyle="1" w:styleId="Keywords">
    <w:name w:val="Keywords"/>
    <w:basedOn w:val="Normal"/>
    <w:uiPriority w:val="99"/>
    <w:pPr>
      <w:tabs>
        <w:tab w:val="clear" w:pos="1191"/>
        <w:tab w:val="clear" w:pos="1588"/>
      </w:tabs>
      <w:overflowPunct/>
      <w:autoSpaceDE/>
      <w:autoSpaceDN/>
      <w:adjustRightInd/>
      <w:ind w:left="794" w:hanging="794"/>
      <w:textAlignment w:val="auto"/>
    </w:pPr>
    <w:rPr>
      <w:rFonts w:eastAsia="Batang"/>
    </w:rPr>
  </w:style>
  <w:style w:type="paragraph" w:customStyle="1" w:styleId="EquationLegend0">
    <w:name w:val="Equation_Legend"/>
    <w:basedOn w:val="Normal"/>
    <w:uiPriority w:val="99"/>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eastAsia="Batang"/>
    </w:rPr>
  </w:style>
  <w:style w:type="paragraph" w:customStyle="1" w:styleId="Qlist">
    <w:name w:val="Qlist"/>
    <w:basedOn w:val="Normal"/>
    <w:uiPriority w:val="99"/>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eastAsia="Batang"/>
      <w:b/>
    </w:rPr>
  </w:style>
  <w:style w:type="paragraph" w:customStyle="1" w:styleId="meeting">
    <w:name w:val="meeting"/>
    <w:basedOn w:val="Head"/>
    <w:next w:val="Head"/>
    <w:uiPriority w:val="99"/>
    <w:pPr>
      <w:tabs>
        <w:tab w:val="left" w:pos="7371"/>
      </w:tabs>
      <w:spacing w:after="560"/>
    </w:pPr>
  </w:style>
  <w:style w:type="paragraph" w:customStyle="1" w:styleId="headingi0">
    <w:name w:val="heading_i"/>
    <w:basedOn w:val="Heading3"/>
    <w:next w:val="Normal"/>
    <w:uiPriority w:val="99"/>
    <w:pPr>
      <w:overflowPunct/>
      <w:autoSpaceDE/>
      <w:autoSpaceDN/>
      <w:adjustRightInd/>
      <w:ind w:left="0" w:firstLine="0"/>
      <w:textAlignment w:val="auto"/>
      <w:outlineLvl w:val="9"/>
    </w:pPr>
    <w:rPr>
      <w:rFonts w:eastAsia="Batang"/>
      <w:b w:val="0"/>
      <w:i/>
    </w:rPr>
  </w:style>
  <w:style w:type="paragraph" w:customStyle="1" w:styleId="AppendixNo">
    <w:name w:val="Appendix_No"/>
    <w:basedOn w:val="AnnexNo"/>
    <w:next w:val="AppendixTitle"/>
    <w:rPr>
      <w:rFonts w:eastAsia="Batang"/>
      <w:szCs w:val="20"/>
    </w:rPr>
  </w:style>
  <w:style w:type="paragraph" w:customStyle="1" w:styleId="ArtHeading0">
    <w:name w:val="Art_Heading"/>
    <w:basedOn w:val="Normal"/>
    <w:next w:val="Normalaftertitle0"/>
    <w:uiPriority w:val="99"/>
    <w:pPr>
      <w:overflowPunct/>
      <w:autoSpaceDE/>
      <w:autoSpaceDN/>
      <w:adjustRightInd/>
      <w:spacing w:before="480"/>
      <w:jc w:val="center"/>
      <w:textAlignment w:val="auto"/>
    </w:pPr>
    <w:rPr>
      <w:rFonts w:eastAsia="Batang"/>
      <w:b/>
      <w:sz w:val="28"/>
    </w:rPr>
  </w:style>
  <w:style w:type="paragraph" w:customStyle="1" w:styleId="ArtTitle0">
    <w:name w:val="Art_Title"/>
    <w:basedOn w:val="Normal"/>
    <w:next w:val="Normalaftertitle0"/>
    <w:uiPriority w:val="99"/>
    <w:pPr>
      <w:overflowPunct/>
      <w:autoSpaceDE/>
      <w:autoSpaceDN/>
      <w:adjustRightInd/>
      <w:spacing w:before="240"/>
      <w:jc w:val="center"/>
      <w:textAlignment w:val="auto"/>
    </w:pPr>
    <w:rPr>
      <w:rFonts w:eastAsia="Batang"/>
      <w:b/>
      <w:sz w:val="28"/>
    </w:rPr>
  </w:style>
  <w:style w:type="paragraph" w:customStyle="1" w:styleId="ChapTitle0">
    <w:name w:val="Chap_Title"/>
    <w:basedOn w:val="ArtTitle0"/>
    <w:next w:val="Normalaftertitle0"/>
    <w:uiPriority w:val="99"/>
  </w:style>
  <w:style w:type="paragraph" w:customStyle="1" w:styleId="PartRef0">
    <w:name w:val="Part_Ref"/>
    <w:basedOn w:val="AnnexRef0"/>
    <w:next w:val="Normalaftertitle0"/>
    <w:uiPriority w:val="99"/>
  </w:style>
  <w:style w:type="paragraph" w:customStyle="1" w:styleId="PartTitle0">
    <w:name w:val="Part_Title"/>
    <w:basedOn w:val="AnnexTitle"/>
    <w:next w:val="PartRef0"/>
    <w:uiPriority w:val="99"/>
    <w:pPr>
      <w:overflowPunct/>
      <w:autoSpaceDE/>
      <w:autoSpaceDN/>
      <w:adjustRightInd/>
      <w:spacing w:before="240" w:after="280"/>
      <w:textAlignment w:val="auto"/>
    </w:pPr>
    <w:rPr>
      <w:rFonts w:ascii="Times New Roman" w:eastAsia="Batang" w:hAnsi="Times New Roman"/>
      <w:sz w:val="28"/>
      <w:u w:val="none"/>
    </w:rPr>
  </w:style>
  <w:style w:type="paragraph" w:customStyle="1" w:styleId="RecDate0">
    <w:name w:val="Rec_Date"/>
    <w:basedOn w:val="RecRef0"/>
    <w:next w:val="Normalaftertitle0"/>
    <w:uiPriority w:val="99"/>
    <w:pPr>
      <w:jc w:val="right"/>
    </w:pPr>
  </w:style>
  <w:style w:type="paragraph" w:customStyle="1" w:styleId="ResDate0">
    <w:name w:val="Res_Date"/>
    <w:basedOn w:val="RecDate0"/>
    <w:next w:val="Normalaftertitle0"/>
    <w:uiPriority w:val="99"/>
    <w:rPr>
      <w:sz w:val="24"/>
    </w:rPr>
  </w:style>
  <w:style w:type="paragraph" w:customStyle="1" w:styleId="ResRef0">
    <w:name w:val="Res_Ref"/>
    <w:basedOn w:val="RecRef0"/>
    <w:next w:val="ResDate0"/>
    <w:uiPriority w:val="99"/>
    <w:rPr>
      <w:sz w:val="24"/>
    </w:rPr>
  </w:style>
  <w:style w:type="paragraph" w:customStyle="1" w:styleId="ResTitle0">
    <w:name w:val="Res_Title"/>
    <w:basedOn w:val="RecTitle0"/>
    <w:next w:val="ResRef0"/>
    <w:uiPriority w:val="99"/>
  </w:style>
  <w:style w:type="paragraph" w:customStyle="1" w:styleId="SectionTitle0">
    <w:name w:val="Section_Title"/>
    <w:basedOn w:val="Normal"/>
    <w:next w:val="Normalaftertitle0"/>
    <w:uiPriority w:val="99"/>
    <w:pPr>
      <w:overflowPunct/>
      <w:autoSpaceDE/>
      <w:autoSpaceDN/>
      <w:adjustRightInd/>
      <w:textAlignment w:val="auto"/>
    </w:pPr>
    <w:rPr>
      <w:rFonts w:eastAsia="Batang"/>
      <w:sz w:val="28"/>
    </w:rPr>
  </w:style>
  <w:style w:type="paragraph" w:customStyle="1" w:styleId="sgmSPLML">
    <w:name w:val="sgmSPLML"/>
    <w:basedOn w:val="Normal"/>
    <w:uiPriority w:val="99"/>
    <w:pPr>
      <w:widowControl w:val="0"/>
      <w:tabs>
        <w:tab w:val="clear" w:pos="794"/>
        <w:tab w:val="clear" w:pos="1191"/>
        <w:tab w:val="clear" w:pos="1588"/>
        <w:tab w:val="clear" w:pos="1985"/>
      </w:tabs>
      <w:spacing w:before="0" w:after="240" w:line="240" w:lineRule="exact"/>
    </w:pPr>
    <w:rPr>
      <w:rFonts w:ascii="Arial" w:eastAsia="Batang" w:hAnsi="Arial"/>
      <w:b/>
      <w:spacing w:val="4"/>
      <w:kern w:val="18"/>
      <w:sz w:val="22"/>
    </w:rPr>
  </w:style>
  <w:style w:type="paragraph" w:customStyle="1" w:styleId="Table0">
    <w:name w:val="Table_#"/>
    <w:basedOn w:val="Normal"/>
    <w:next w:val="TableTitle0"/>
    <w:uiPriority w:val="99"/>
    <w:pPr>
      <w:keepNext/>
      <w:spacing w:before="560" w:after="120"/>
      <w:jc w:val="center"/>
    </w:pPr>
    <w:rPr>
      <w:rFonts w:eastAsia="Batang"/>
      <w:caps/>
    </w:rPr>
  </w:style>
  <w:style w:type="paragraph" w:customStyle="1" w:styleId="Fig">
    <w:name w:val="Fig"/>
    <w:basedOn w:val="Normal"/>
    <w:next w:val="Normal"/>
    <w:uiPriority w:val="99"/>
    <w:pPr>
      <w:spacing w:before="136"/>
      <w:jc w:val="center"/>
    </w:pPr>
    <w:rPr>
      <w:rFonts w:ascii="Arial" w:eastAsia="Batang" w:hAnsi="Arial"/>
      <w:sz w:val="20"/>
    </w:rPr>
  </w:style>
  <w:style w:type="paragraph" w:styleId="PlainText">
    <w:name w:val="Plain Text"/>
    <w:basedOn w:val="Normal"/>
    <w:link w:val="PlainTextChar"/>
    <w:uiPriority w:val="99"/>
    <w:pPr>
      <w:widowControl w:val="0"/>
      <w:tabs>
        <w:tab w:val="clear" w:pos="794"/>
        <w:tab w:val="clear" w:pos="1191"/>
        <w:tab w:val="clear" w:pos="1588"/>
        <w:tab w:val="clear" w:pos="1985"/>
      </w:tabs>
      <w:spacing w:before="0"/>
    </w:pPr>
    <w:rPr>
      <w:rFonts w:ascii="Courier New" w:eastAsia="Batang" w:hAnsi="Courier New"/>
      <w:sz w:val="20"/>
    </w:rPr>
  </w:style>
  <w:style w:type="character" w:customStyle="1" w:styleId="PlainTextChar">
    <w:name w:val="Plain Text Char"/>
    <w:basedOn w:val="DefaultParagraphFont"/>
    <w:link w:val="PlainText"/>
    <w:uiPriority w:val="99"/>
    <w:locked/>
    <w:rPr>
      <w:rFonts w:ascii="Courier New" w:eastAsia="Batang" w:hAnsi="Courier New" w:cs="Times New Roman"/>
      <w:lang w:eastAsia="en-US"/>
    </w:rPr>
  </w:style>
  <w:style w:type="paragraph" w:customStyle="1" w:styleId="Terms">
    <w:name w:val="Term(s)"/>
    <w:basedOn w:val="Normal"/>
    <w:next w:val="Definition"/>
    <w:uiPriority w:val="99"/>
    <w:pPr>
      <w:keepNext/>
      <w:tabs>
        <w:tab w:val="left" w:pos="567"/>
      </w:tabs>
      <w:spacing w:before="136" w:line="220" w:lineRule="exact"/>
    </w:pPr>
    <w:rPr>
      <w:rFonts w:eastAsia="Batang"/>
      <w:b/>
      <w:sz w:val="20"/>
    </w:rPr>
  </w:style>
  <w:style w:type="paragraph" w:customStyle="1" w:styleId="Definition">
    <w:name w:val="Definition"/>
    <w:basedOn w:val="Normal"/>
    <w:uiPriority w:val="99"/>
    <w:pPr>
      <w:spacing w:before="136" w:line="260" w:lineRule="exact"/>
      <w:jc w:val="both"/>
    </w:pPr>
    <w:rPr>
      <w:rFonts w:eastAsia="Batang"/>
      <w:sz w:val="20"/>
    </w:rPr>
  </w:style>
  <w:style w:type="paragraph" w:customStyle="1" w:styleId="ASN1-Module">
    <w:name w:val="ASN1-Module"/>
    <w:basedOn w:val="Normal"/>
    <w:uiPriority w:val="99"/>
    <w:pPr>
      <w:widowControl w:val="0"/>
      <w:tabs>
        <w:tab w:val="clear" w:pos="794"/>
        <w:tab w:val="clear" w:pos="1191"/>
        <w:tab w:val="clear" w:pos="1588"/>
        <w:tab w:val="clear" w:pos="1985"/>
        <w:tab w:val="left" w:pos="567"/>
        <w:tab w:val="left" w:pos="1701"/>
        <w:tab w:val="left" w:pos="3686"/>
      </w:tabs>
      <w:spacing w:before="0" w:after="60"/>
    </w:pPr>
    <w:rPr>
      <w:rFonts w:ascii="Arial" w:eastAsia="Batang" w:hAnsi="Arial"/>
      <w:sz w:val="20"/>
    </w:rPr>
  </w:style>
  <w:style w:type="paragraph" w:styleId="HTMLPreformatted">
    <w:name w:val="HTML Preformatted"/>
    <w:basedOn w:val="Normal"/>
    <w:link w:val="HTMLPreformattedChar"/>
    <w:uiPriority w:val="9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locked/>
    <w:rPr>
      <w:rFonts w:ascii="Arial Unicode MS" w:eastAsia="Arial Unicode MS" w:hAnsi="Arial Unicode MS" w:cs="Arial Unicode MS"/>
      <w:lang w:eastAsia="en-US"/>
    </w:rPr>
  </w:style>
  <w:style w:type="paragraph" w:customStyle="1" w:styleId="Body">
    <w:name w:val="Body"/>
    <w:basedOn w:val="Normal"/>
    <w:uiPriority w:val="99"/>
    <w:pPr>
      <w:tabs>
        <w:tab w:val="clear" w:pos="794"/>
        <w:tab w:val="clear" w:pos="1191"/>
        <w:tab w:val="clear" w:pos="1588"/>
        <w:tab w:val="clear" w:pos="1985"/>
      </w:tabs>
      <w:overflowPunct/>
      <w:autoSpaceDE/>
      <w:autoSpaceDN/>
      <w:adjustRightInd/>
      <w:ind w:firstLine="432"/>
      <w:jc w:val="both"/>
      <w:textAlignment w:val="auto"/>
    </w:pPr>
    <w:rPr>
      <w:rFonts w:eastAsia="Batang"/>
    </w:rPr>
  </w:style>
  <w:style w:type="paragraph" w:customStyle="1" w:styleId="Annexref">
    <w:name w:val="Annex_ref"/>
    <w:basedOn w:val="Normal"/>
    <w:next w:val="Normal"/>
    <w:pPr>
      <w:keepNext/>
      <w:keepLines/>
      <w:numPr>
        <w:numId w:val="2"/>
      </w:numPr>
      <w:tabs>
        <w:tab w:val="clear" w:pos="360"/>
      </w:tabs>
      <w:overflowPunct/>
      <w:autoSpaceDE/>
      <w:autoSpaceDN/>
      <w:adjustRightInd/>
      <w:spacing w:after="280"/>
      <w:ind w:left="0" w:firstLine="0"/>
      <w:jc w:val="center"/>
      <w:textAlignment w:val="auto"/>
    </w:pPr>
    <w:rPr>
      <w:rFonts w:eastAsia="Batang"/>
      <w:i/>
      <w:iCs/>
      <w:sz w:val="20"/>
    </w:rPr>
  </w:style>
  <w:style w:type="paragraph" w:customStyle="1" w:styleId="Num-DocParagraph">
    <w:name w:val="Num-Doc Paragraph"/>
    <w:basedOn w:val="Normal"/>
    <w:uiPriority w:val="99"/>
    <w:rsid w:val="001C37A8"/>
    <w:pPr>
      <w:tabs>
        <w:tab w:val="clear" w:pos="794"/>
        <w:tab w:val="clear" w:pos="1588"/>
        <w:tab w:val="clear" w:pos="1985"/>
        <w:tab w:val="left" w:pos="850"/>
        <w:tab w:val="left" w:pos="1531"/>
      </w:tabs>
      <w:overflowPunct/>
      <w:autoSpaceDE/>
      <w:autoSpaceDN/>
      <w:adjustRightInd/>
      <w:spacing w:before="0" w:after="240"/>
      <w:jc w:val="both"/>
      <w:textAlignment w:val="auto"/>
    </w:pPr>
    <w:rPr>
      <w:rFonts w:eastAsia="SimSun"/>
      <w:sz w:val="22"/>
      <w:szCs w:val="22"/>
      <w:lang w:val="en-GB"/>
    </w:rPr>
  </w:style>
  <w:style w:type="character" w:customStyle="1" w:styleId="Num-DocParagraphChar">
    <w:name w:val="Num-Doc Paragraph Char"/>
    <w:basedOn w:val="DefaultParagraphFont"/>
    <w:uiPriority w:val="99"/>
    <w:rPr>
      <w:rFonts w:eastAsia="SimSun" w:cs="Times New Roman"/>
      <w:sz w:val="22"/>
      <w:szCs w:val="22"/>
      <w:lang w:val="en-GB" w:eastAsia="zh-CN" w:bidi="ar-SA"/>
    </w:rPr>
  </w:style>
  <w:style w:type="paragraph" w:customStyle="1" w:styleId="sgmH0">
    <w:name w:val="sgmH0"/>
    <w:basedOn w:val="Normal"/>
    <w:uiPriority w:val="99"/>
    <w:pPr>
      <w:keepNext/>
      <w:tabs>
        <w:tab w:val="clear" w:pos="794"/>
        <w:tab w:val="clear" w:pos="1191"/>
        <w:tab w:val="clear" w:pos="1588"/>
        <w:tab w:val="clear" w:pos="1985"/>
      </w:tabs>
      <w:overflowPunct/>
      <w:autoSpaceDE/>
      <w:autoSpaceDN/>
      <w:adjustRightInd/>
      <w:spacing w:before="0" w:after="900" w:line="300" w:lineRule="exact"/>
      <w:jc w:val="center"/>
      <w:textAlignment w:val="auto"/>
    </w:pPr>
    <w:rPr>
      <w:rFonts w:ascii="Arial" w:eastAsia="Batang" w:hAnsi="Arial"/>
      <w:b/>
      <w:spacing w:val="4"/>
      <w:kern w:val="18"/>
      <w:sz w:val="28"/>
      <w:szCs w:val="24"/>
    </w:rPr>
  </w:style>
  <w:style w:type="paragraph" w:customStyle="1" w:styleId="Style1">
    <w:name w:val="Style1"/>
    <w:basedOn w:val="Normal"/>
    <w:uiPriority w:val="99"/>
    <w:pPr>
      <w:overflowPunct/>
      <w:autoSpaceDE/>
      <w:autoSpaceDN/>
      <w:adjustRightInd/>
      <w:ind w:left="927" w:hanging="360"/>
      <w:textAlignment w:val="auto"/>
    </w:pPr>
    <w:rPr>
      <w:rFonts w:eastAsia="Batang"/>
    </w:rPr>
  </w:style>
  <w:style w:type="paragraph" w:styleId="BlockText">
    <w:name w:val="Block Text"/>
    <w:basedOn w:val="Normal"/>
    <w:uiPriority w:val="99"/>
    <w:pPr>
      <w:widowControl w:val="0"/>
      <w:tabs>
        <w:tab w:val="clear" w:pos="794"/>
        <w:tab w:val="clear" w:pos="1191"/>
        <w:tab w:val="clear" w:pos="1588"/>
        <w:tab w:val="clear" w:pos="1985"/>
      </w:tabs>
      <w:overflowPunct/>
      <w:autoSpaceDE/>
      <w:autoSpaceDN/>
      <w:adjustRightInd/>
      <w:spacing w:before="0"/>
      <w:ind w:left="720" w:right="-483"/>
      <w:textAlignment w:val="auto"/>
    </w:pPr>
    <w:rPr>
      <w:rFonts w:eastAsia="Batang"/>
      <w:sz w:val="20"/>
      <w:lang w:val="en-AU"/>
    </w:rPr>
  </w:style>
  <w:style w:type="paragraph" w:customStyle="1" w:styleId="FooterPubl">
    <w:name w:val="Footer_Publ"/>
    <w:basedOn w:val="Normal"/>
    <w:uiPriority w:val="99"/>
    <w:pPr>
      <w:tabs>
        <w:tab w:val="clear" w:pos="794"/>
        <w:tab w:val="clear" w:pos="1191"/>
        <w:tab w:val="clear" w:pos="1588"/>
        <w:tab w:val="clear" w:pos="1985"/>
        <w:tab w:val="left" w:pos="5954"/>
        <w:tab w:val="right" w:pos="9639"/>
      </w:tabs>
      <w:spacing w:before="60" w:after="60"/>
    </w:pPr>
    <w:rPr>
      <w:rFonts w:eastAsia="Batang"/>
      <w:sz w:val="18"/>
    </w:rPr>
  </w:style>
  <w:style w:type="character" w:customStyle="1" w:styleId="ASN1Text">
    <w:name w:val="ASN.1 Text"/>
    <w:basedOn w:val="DefaultParagraphFont"/>
    <w:rPr>
      <w:rFonts w:ascii="Courier New" w:hAnsi="Courier New" w:cs="Times New Roman"/>
      <w:b/>
      <w:noProof/>
      <w:color w:val="auto"/>
      <w:spacing w:val="-2"/>
      <w:w w:val="100"/>
      <w:kern w:val="0"/>
      <w:sz w:val="18"/>
      <w:u w:val="none"/>
      <w:effect w:val="none"/>
      <w:vertAlign w:val="baseline"/>
      <w:lang w:val="en-US"/>
    </w:rPr>
  </w:style>
  <w:style w:type="paragraph" w:customStyle="1" w:styleId="a4">
    <w:name w:val="a4"/>
    <w:basedOn w:val="Heading3"/>
    <w:next w:val="Normal"/>
    <w:uiPriority w:val="99"/>
    <w:pPr>
      <w:overflowPunct/>
      <w:autoSpaceDE/>
      <w:autoSpaceDN/>
      <w:adjustRightInd/>
      <w:spacing w:before="181"/>
      <w:ind w:left="0" w:firstLine="0"/>
      <w:jc w:val="both"/>
      <w:textAlignment w:val="auto"/>
      <w:outlineLvl w:val="9"/>
    </w:pPr>
    <w:rPr>
      <w:rFonts w:eastAsia="Batang"/>
      <w:sz w:val="20"/>
      <w:lang w:eastAsia="nb-NO"/>
    </w:rPr>
  </w:style>
  <w:style w:type="paragraph" w:customStyle="1" w:styleId="a3">
    <w:name w:val="索引"/>
    <w:basedOn w:val="Normal"/>
    <w:uiPriority w:val="99"/>
    <w:pPr>
      <w:suppressLineNumbers/>
      <w:tabs>
        <w:tab w:val="clear" w:pos="794"/>
        <w:tab w:val="clear" w:pos="1191"/>
        <w:tab w:val="clear" w:pos="1588"/>
        <w:tab w:val="clear" w:pos="1985"/>
      </w:tabs>
      <w:suppressAutoHyphens/>
      <w:overflowPunct/>
      <w:autoSpaceDE/>
      <w:autoSpaceDN/>
      <w:adjustRightInd/>
      <w:spacing w:before="240"/>
      <w:jc w:val="both"/>
      <w:textAlignment w:val="auto"/>
    </w:pPr>
    <w:rPr>
      <w:rFonts w:eastAsia="MS Mincho" w:cs="Tahoma"/>
      <w:lang w:eastAsia="ar-SA"/>
    </w:rPr>
  </w:style>
  <w:style w:type="paragraph" w:customStyle="1" w:styleId="paragraph">
    <w:name w:val="paragraph"/>
    <w:basedOn w:val="Normal"/>
    <w:uiPriority w:val="99"/>
    <w:pPr>
      <w:tabs>
        <w:tab w:val="clear" w:pos="794"/>
        <w:tab w:val="clear" w:pos="1191"/>
        <w:tab w:val="clear" w:pos="1588"/>
        <w:tab w:val="clear" w:pos="1985"/>
      </w:tabs>
      <w:suppressAutoHyphens/>
      <w:overflowPunct/>
      <w:autoSpaceDE/>
      <w:autoSpaceDN/>
      <w:adjustRightInd/>
      <w:spacing w:before="240" w:line="260" w:lineRule="atLeast"/>
      <w:jc w:val="both"/>
      <w:textAlignment w:val="auto"/>
    </w:pPr>
    <w:rPr>
      <w:rFonts w:ascii="Times" w:eastAsia="MS Mincho" w:hAnsi="Times"/>
      <w:lang w:eastAsia="ar-SA"/>
    </w:rPr>
  </w:style>
  <w:style w:type="paragraph" w:customStyle="1" w:styleId="NBComment">
    <w:name w:val="NB Comment"/>
    <w:basedOn w:val="Normal"/>
    <w:uiPriority w:val="99"/>
    <w:pPr>
      <w:tabs>
        <w:tab w:val="clear" w:pos="794"/>
        <w:tab w:val="clear" w:pos="1191"/>
        <w:tab w:val="clear" w:pos="1588"/>
        <w:tab w:val="clear" w:pos="1985"/>
      </w:tabs>
      <w:suppressAutoHyphens/>
      <w:overflowPunct/>
      <w:autoSpaceDE/>
      <w:autoSpaceDN/>
      <w:adjustRightInd/>
      <w:spacing w:before="240"/>
      <w:textAlignment w:val="auto"/>
    </w:pPr>
    <w:rPr>
      <w:rFonts w:eastAsia="MS Mincho"/>
      <w:lang w:eastAsia="ar-SA"/>
    </w:rPr>
  </w:style>
  <w:style w:type="paragraph" w:customStyle="1" w:styleId="NBCommentHdr">
    <w:name w:val="NB Comment Hdr"/>
    <w:basedOn w:val="NBComment"/>
    <w:next w:val="NBComment"/>
    <w:uiPriority w:val="99"/>
    <w:pPr>
      <w:keepNext/>
      <w:tabs>
        <w:tab w:val="left" w:pos="1418"/>
        <w:tab w:val="left" w:pos="2127"/>
        <w:tab w:val="left" w:pos="3119"/>
      </w:tabs>
    </w:pPr>
    <w:rPr>
      <w:b/>
    </w:rPr>
  </w:style>
  <w:style w:type="paragraph" w:customStyle="1" w:styleId="NBCommentL2Hdr">
    <w:name w:val="NB Comment L2 Hdr"/>
    <w:basedOn w:val="NBCommentHdr"/>
    <w:next w:val="NBComment"/>
    <w:uiPriority w:val="99"/>
  </w:style>
  <w:style w:type="paragraph" w:customStyle="1" w:styleId="WW-2">
    <w:name w:val="WW-箇条書き 2"/>
    <w:basedOn w:val="Normal"/>
    <w:uiPriority w:val="99"/>
    <w:pPr>
      <w:tabs>
        <w:tab w:val="clear" w:pos="794"/>
        <w:tab w:val="clear" w:pos="1191"/>
        <w:tab w:val="clear" w:pos="1588"/>
        <w:tab w:val="clear" w:pos="1985"/>
        <w:tab w:val="left" w:pos="151"/>
        <w:tab w:val="left" w:pos="548"/>
        <w:tab w:val="left" w:pos="945"/>
        <w:tab w:val="left" w:pos="1342"/>
      </w:tabs>
      <w:suppressAutoHyphens/>
      <w:autoSpaceDN/>
      <w:adjustRightInd/>
      <w:spacing w:before="136"/>
      <w:jc w:val="both"/>
    </w:pPr>
    <w:rPr>
      <w:rFonts w:eastAsia="MS Mincho"/>
      <w:sz w:val="20"/>
      <w:lang w:eastAsia="ar-SA"/>
    </w:rPr>
  </w:style>
  <w:style w:type="paragraph" w:customStyle="1" w:styleId="ASN1Continue">
    <w:name w:val="ASN.1 Continue"/>
    <w:basedOn w:val="Normal"/>
    <w:uiPriority w:val="99"/>
    <w:rsid w:val="001C37A8"/>
    <w:pPr>
      <w:tabs>
        <w:tab w:val="clear" w:pos="794"/>
        <w:tab w:val="clear" w:pos="1191"/>
        <w:tab w:val="clear" w:pos="1588"/>
        <w:tab w:val="clear" w:pos="1985"/>
        <w:tab w:val="left" w:pos="1400"/>
        <w:tab w:val="left" w:pos="2007"/>
        <w:tab w:val="left" w:pos="2614"/>
        <w:tab w:val="left" w:pos="3220"/>
        <w:tab w:val="left" w:pos="3827"/>
        <w:tab w:val="left" w:pos="4433"/>
        <w:tab w:val="left" w:pos="5040"/>
        <w:tab w:val="left" w:pos="5647"/>
      </w:tabs>
      <w:suppressAutoHyphens/>
      <w:overflowPunct/>
      <w:autoSpaceDE/>
      <w:autoSpaceDN/>
      <w:adjustRightInd/>
      <w:spacing w:before="0"/>
      <w:ind w:left="1400"/>
      <w:textAlignment w:val="auto"/>
    </w:pPr>
    <w:rPr>
      <w:rFonts w:ascii="Courier New" w:hAnsi="Courier New"/>
      <w:b/>
      <w:noProof/>
      <w:spacing w:val="-2"/>
      <w:sz w:val="18"/>
      <w:szCs w:val="24"/>
      <w:lang w:eastAsia="en-US"/>
    </w:rPr>
  </w:style>
  <w:style w:type="paragraph" w:styleId="ListNumber2">
    <w:name w:val="List Number 2"/>
    <w:basedOn w:val="Normal"/>
    <w:uiPriority w:val="99"/>
    <w:pPr>
      <w:tabs>
        <w:tab w:val="clear" w:pos="794"/>
        <w:tab w:val="clear" w:pos="1191"/>
        <w:tab w:val="clear" w:pos="1588"/>
        <w:tab w:val="clear" w:pos="1985"/>
      </w:tabs>
      <w:overflowPunct/>
      <w:autoSpaceDE/>
      <w:autoSpaceDN/>
      <w:adjustRightInd/>
      <w:ind w:left="1287" w:hanging="360"/>
      <w:textAlignment w:val="auto"/>
    </w:pPr>
    <w:rPr>
      <w:rFonts w:eastAsia="MS Mincho"/>
      <w:szCs w:val="24"/>
      <w:lang w:eastAsia="ja-JP"/>
    </w:rPr>
  </w:style>
  <w:style w:type="paragraph" w:styleId="ListBullet2">
    <w:name w:val="List Bullet 2"/>
    <w:basedOn w:val="Normal"/>
    <w:uiPriority w:val="99"/>
    <w:pPr>
      <w:ind w:left="990" w:hanging="360"/>
    </w:pPr>
    <w:rPr>
      <w:rFonts w:eastAsia="Batang"/>
    </w:rPr>
  </w:style>
  <w:style w:type="paragraph" w:customStyle="1" w:styleId="EUListNumber2">
    <w:name w:val="EUList Number 2"/>
    <w:basedOn w:val="Normal"/>
    <w:uiPriority w:val="99"/>
    <w:pPr>
      <w:tabs>
        <w:tab w:val="clear" w:pos="794"/>
        <w:tab w:val="clear" w:pos="1191"/>
        <w:tab w:val="clear" w:pos="1588"/>
        <w:tab w:val="clear" w:pos="1985"/>
        <w:tab w:val="num" w:pos="432"/>
      </w:tabs>
      <w:overflowPunct/>
      <w:autoSpaceDE/>
      <w:autoSpaceDN/>
      <w:adjustRightInd/>
      <w:ind w:left="432" w:hanging="432"/>
      <w:textAlignment w:val="auto"/>
    </w:pPr>
    <w:rPr>
      <w:rFonts w:eastAsia="MS Mincho"/>
      <w:szCs w:val="24"/>
      <w:lang w:eastAsia="ja-JP"/>
    </w:rPr>
  </w:style>
  <w:style w:type="paragraph" w:styleId="ListNumber3">
    <w:name w:val="List Number 3"/>
    <w:basedOn w:val="Normal"/>
    <w:uiPriority w:val="99"/>
    <w:pPr>
      <w:ind w:left="1287" w:hanging="360"/>
    </w:pPr>
    <w:rPr>
      <w:rFonts w:eastAsia="Batang"/>
    </w:rPr>
  </w:style>
  <w:style w:type="paragraph" w:styleId="ListBullet4">
    <w:name w:val="List Bullet 4"/>
    <w:basedOn w:val="Normal"/>
    <w:uiPriority w:val="99"/>
    <w:pPr>
      <w:ind w:left="1287" w:hanging="360"/>
    </w:pPr>
    <w:rPr>
      <w:rFonts w:eastAsia="Batang"/>
    </w:rPr>
  </w:style>
  <w:style w:type="paragraph" w:customStyle="1" w:styleId="NO">
    <w:name w:val="NO"/>
    <w:basedOn w:val="Normal"/>
    <w:uiPriority w:val="99"/>
    <w:pPr>
      <w:keepLines/>
      <w:tabs>
        <w:tab w:val="clear" w:pos="794"/>
        <w:tab w:val="clear" w:pos="1191"/>
        <w:tab w:val="clear" w:pos="1588"/>
        <w:tab w:val="clear" w:pos="1985"/>
      </w:tabs>
      <w:spacing w:before="0" w:after="180"/>
      <w:ind w:left="1135" w:hanging="851"/>
    </w:pPr>
    <w:rPr>
      <w:rFonts w:eastAsia="Batang"/>
      <w:sz w:val="20"/>
    </w:rPr>
  </w:style>
  <w:style w:type="paragraph" w:styleId="BodyText3">
    <w:name w:val="Body Text 3"/>
    <w:basedOn w:val="Normal"/>
    <w:link w:val="BodyText3Char"/>
    <w:pPr>
      <w:keepNext/>
      <w:numPr>
        <w:numId w:val="3"/>
      </w:numPr>
      <w:tabs>
        <w:tab w:val="clear" w:pos="643"/>
        <w:tab w:val="clear" w:pos="794"/>
        <w:tab w:val="clear" w:pos="1191"/>
        <w:tab w:val="clear" w:pos="1588"/>
        <w:tab w:val="clear" w:pos="1985"/>
      </w:tabs>
      <w:overflowPunct/>
      <w:autoSpaceDE/>
      <w:autoSpaceDN/>
      <w:adjustRightInd/>
      <w:spacing w:before="0"/>
      <w:ind w:left="0" w:firstLine="0"/>
      <w:textAlignment w:val="auto"/>
    </w:pPr>
    <w:rPr>
      <w:rFonts w:ascii="Trebuchet MS" w:eastAsia="Batang" w:hAnsi="Trebuchet MS"/>
      <w:sz w:val="20"/>
    </w:rPr>
  </w:style>
  <w:style w:type="character" w:customStyle="1" w:styleId="BodyText3Char">
    <w:name w:val="Body Text 3 Char"/>
    <w:basedOn w:val="DefaultParagraphFont"/>
    <w:link w:val="BodyText3"/>
    <w:locked/>
    <w:rPr>
      <w:rFonts w:ascii="Trebuchet MS" w:eastAsia="Batang" w:hAnsi="Trebuchet MS"/>
    </w:rPr>
  </w:style>
  <w:style w:type="paragraph" w:customStyle="1" w:styleId="HeaderLevel1">
    <w:name w:val="Header Level 1"/>
    <w:basedOn w:val="Normal"/>
    <w:next w:val="BodyTextIndent"/>
    <w:autoRedefine/>
    <w:pPr>
      <w:tabs>
        <w:tab w:val="clear" w:pos="1588"/>
        <w:tab w:val="clear" w:pos="1985"/>
        <w:tab w:val="left" w:pos="1587"/>
        <w:tab w:val="left" w:pos="1984"/>
      </w:tabs>
      <w:overflowPunct/>
      <w:autoSpaceDE/>
      <w:autoSpaceDN/>
      <w:adjustRightInd/>
      <w:spacing w:before="360" w:after="120"/>
      <w:textAlignment w:val="auto"/>
    </w:pPr>
    <w:rPr>
      <w:rFonts w:eastAsia="Batang"/>
      <w:b/>
      <w:bCs/>
      <w:szCs w:val="32"/>
    </w:rPr>
  </w:style>
  <w:style w:type="paragraph" w:customStyle="1" w:styleId="TABLE">
    <w:name w:val="TABLE"/>
    <w:basedOn w:val="BodyTextIndent"/>
    <w:next w:val="BodyTextFirstIndent"/>
    <w:autoRedefine/>
    <w:uiPriority w:val="99"/>
    <w:pPr>
      <w:widowControl w:val="0"/>
      <w:numPr>
        <w:numId w:val="4"/>
      </w:numPr>
      <w:tabs>
        <w:tab w:val="clear" w:pos="1209"/>
        <w:tab w:val="num" w:pos="719"/>
      </w:tabs>
      <w:autoSpaceDE/>
      <w:autoSpaceDN/>
      <w:adjustRightInd/>
      <w:spacing w:before="240" w:after="120"/>
      <w:ind w:left="893" w:hanging="435"/>
      <w:jc w:val="center"/>
    </w:pPr>
    <w:rPr>
      <w:rFonts w:eastAsia="Batang"/>
      <w:b/>
      <w:szCs w:val="24"/>
      <w:lang w:val="en-GB"/>
    </w:rPr>
  </w:style>
  <w:style w:type="paragraph" w:styleId="BodyTextFirstIndent">
    <w:name w:val="Body Text First Indent"/>
    <w:basedOn w:val="Normal"/>
    <w:link w:val="BodyTextFirstIndentChar"/>
    <w:rsid w:val="001C37A8"/>
    <w:pPr>
      <w:tabs>
        <w:tab w:val="clear" w:pos="1588"/>
        <w:tab w:val="clear" w:pos="1985"/>
        <w:tab w:val="left" w:pos="1587"/>
        <w:tab w:val="left" w:pos="1984"/>
      </w:tabs>
      <w:overflowPunct/>
      <w:autoSpaceDE/>
      <w:autoSpaceDN/>
      <w:adjustRightInd/>
      <w:spacing w:before="136" w:after="120"/>
      <w:ind w:firstLine="210"/>
      <w:jc w:val="both"/>
      <w:textAlignment w:val="auto"/>
    </w:pPr>
    <w:rPr>
      <w:sz w:val="20"/>
      <w:szCs w:val="24"/>
      <w:lang w:val="en-GB" w:eastAsia="en-US"/>
    </w:rPr>
  </w:style>
  <w:style w:type="character" w:customStyle="1" w:styleId="BodyTextFirstIndentChar">
    <w:name w:val="Body Text First Indent Char"/>
    <w:basedOn w:val="DefaultParagraphFont"/>
    <w:link w:val="BodyTextFirstIndent"/>
    <w:locked/>
    <w:rsid w:val="001C37A8"/>
    <w:rPr>
      <w:rFonts w:eastAsia="SimSun" w:cs="Times New Roman"/>
      <w:color w:val="FF0000"/>
      <w:sz w:val="24"/>
      <w:szCs w:val="24"/>
      <w:lang w:val="en-GB" w:eastAsia="en-US" w:bidi="ar-SA"/>
    </w:rPr>
  </w:style>
  <w:style w:type="paragraph" w:customStyle="1" w:styleId="ReferenceList">
    <w:name w:val="ReferenceList"/>
    <w:basedOn w:val="Normal"/>
    <w:uiPriority w:val="99"/>
    <w:pPr>
      <w:tabs>
        <w:tab w:val="clear" w:pos="1588"/>
        <w:tab w:val="clear" w:pos="1985"/>
        <w:tab w:val="num" w:pos="720"/>
        <w:tab w:val="left" w:pos="1587"/>
        <w:tab w:val="left" w:pos="1984"/>
      </w:tabs>
      <w:overflowPunct/>
      <w:autoSpaceDE/>
      <w:autoSpaceDN/>
      <w:adjustRightInd/>
      <w:spacing w:before="136"/>
      <w:ind w:left="720" w:hanging="360"/>
      <w:jc w:val="both"/>
      <w:textAlignment w:val="auto"/>
    </w:pPr>
    <w:rPr>
      <w:rFonts w:eastAsia="Batang"/>
      <w:szCs w:val="24"/>
    </w:rPr>
  </w:style>
  <w:style w:type="paragraph" w:customStyle="1" w:styleId="aMyHeading1">
    <w:name w:val="aMyHeading1"/>
    <w:basedOn w:val="BodyTextIndent"/>
    <w:autoRedefine/>
    <w:uiPriority w:val="99"/>
    <w:pPr>
      <w:tabs>
        <w:tab w:val="num" w:pos="64"/>
        <w:tab w:val="left" w:pos="794"/>
        <w:tab w:val="left" w:pos="1191"/>
        <w:tab w:val="left" w:pos="1588"/>
        <w:tab w:val="left" w:pos="1985"/>
      </w:tabs>
      <w:overflowPunct w:val="0"/>
      <w:spacing w:before="240" w:after="120"/>
      <w:ind w:left="893" w:hanging="893"/>
    </w:pPr>
    <w:rPr>
      <w:rFonts w:eastAsia="Batang"/>
      <w:b/>
      <w:szCs w:val="24"/>
    </w:rPr>
  </w:style>
  <w:style w:type="paragraph" w:customStyle="1" w:styleId="aMyHeading2">
    <w:name w:val="aMyHeading2"/>
    <w:basedOn w:val="BodyTextIndent"/>
    <w:autoRedefine/>
    <w:uiPriority w:val="99"/>
    <w:pPr>
      <w:tabs>
        <w:tab w:val="left" w:pos="1191"/>
        <w:tab w:val="num" w:pos="1440"/>
        <w:tab w:val="left" w:pos="1588"/>
        <w:tab w:val="left" w:pos="1985"/>
      </w:tabs>
      <w:overflowPunct w:val="0"/>
      <w:spacing w:before="120" w:after="120"/>
      <w:ind w:left="0" w:firstLine="0"/>
      <w:outlineLvl w:val="1"/>
    </w:pPr>
    <w:rPr>
      <w:rFonts w:eastAsia="Batang"/>
      <w:b/>
      <w:sz w:val="22"/>
      <w:szCs w:val="24"/>
    </w:rPr>
  </w:style>
  <w:style w:type="paragraph" w:customStyle="1" w:styleId="aMyListabc">
    <w:name w:val="aMyList_abc"/>
    <w:basedOn w:val="Normal"/>
    <w:autoRedefine/>
    <w:uiPriority w:val="99"/>
    <w:pPr>
      <w:tabs>
        <w:tab w:val="num" w:pos="900"/>
      </w:tabs>
      <w:textAlignment w:val="auto"/>
    </w:pPr>
    <w:rPr>
      <w:rFonts w:eastAsia="Batang"/>
      <w:b/>
      <w:bCs/>
      <w:sz w:val="22"/>
      <w:szCs w:val="24"/>
    </w:rPr>
  </w:style>
  <w:style w:type="paragraph" w:styleId="BodyTextIndent3">
    <w:name w:val="Body Text Indent 3"/>
    <w:basedOn w:val="Normal"/>
    <w:link w:val="BodyTextIndent3Char"/>
    <w:pPr>
      <w:tabs>
        <w:tab w:val="clear" w:pos="1588"/>
        <w:tab w:val="clear" w:pos="1985"/>
        <w:tab w:val="left" w:pos="1587"/>
        <w:tab w:val="left" w:pos="1984"/>
      </w:tabs>
      <w:overflowPunct/>
      <w:autoSpaceDE/>
      <w:autoSpaceDN/>
      <w:adjustRightInd/>
      <w:spacing w:before="0" w:after="120"/>
      <w:ind w:left="357"/>
      <w:jc w:val="both"/>
      <w:textAlignment w:val="auto"/>
    </w:pPr>
    <w:rPr>
      <w:rFonts w:eastAsia="Batang"/>
      <w:szCs w:val="24"/>
    </w:rPr>
  </w:style>
  <w:style w:type="character" w:customStyle="1" w:styleId="BodyTextIndent3Char">
    <w:name w:val="Body Text Indent 3 Char"/>
    <w:basedOn w:val="DefaultParagraphFont"/>
    <w:link w:val="BodyTextIndent3"/>
    <w:locked/>
    <w:rPr>
      <w:rFonts w:eastAsia="Batang" w:cs="Times New Roman"/>
      <w:sz w:val="24"/>
      <w:szCs w:val="24"/>
      <w:lang w:val="en-GB" w:eastAsia="en-US"/>
    </w:rPr>
  </w:style>
  <w:style w:type="paragraph" w:customStyle="1" w:styleId="Appendixtitle0">
    <w:name w:val="Appendix_title"/>
    <w:basedOn w:val="AnnexTitle"/>
    <w:next w:val="Normalaftertitle0"/>
    <w:pPr>
      <w:spacing w:before="240" w:after="280"/>
    </w:pPr>
    <w:rPr>
      <w:rFonts w:eastAsia="Batang"/>
      <w:sz w:val="28"/>
      <w:u w:val="none"/>
    </w:rPr>
  </w:style>
  <w:style w:type="paragraph" w:customStyle="1" w:styleId="List1">
    <w:name w:val="List1"/>
    <w:basedOn w:val="Normal"/>
    <w:uiPriority w:val="99"/>
    <w:pPr>
      <w:widowControl w:val="0"/>
      <w:tabs>
        <w:tab w:val="clear" w:pos="794"/>
        <w:tab w:val="clear" w:pos="1191"/>
        <w:tab w:val="clear" w:pos="1588"/>
        <w:tab w:val="clear" w:pos="1985"/>
        <w:tab w:val="left" w:pos="360"/>
      </w:tabs>
      <w:spacing w:before="0" w:after="120"/>
      <w:ind w:left="357" w:hanging="357"/>
    </w:pPr>
    <w:rPr>
      <w:rFonts w:eastAsia="Batang"/>
      <w:lang w:val="nb-NO"/>
    </w:rPr>
  </w:style>
  <w:style w:type="paragraph" w:customStyle="1" w:styleId="sistliste">
    <w:name w:val="sistliste"/>
    <w:basedOn w:val="Normal"/>
    <w:pPr>
      <w:widowControl w:val="0"/>
      <w:tabs>
        <w:tab w:val="clear" w:pos="794"/>
        <w:tab w:val="clear" w:pos="1191"/>
        <w:tab w:val="clear" w:pos="1588"/>
        <w:tab w:val="clear" w:pos="1985"/>
        <w:tab w:val="left" w:pos="360"/>
      </w:tabs>
      <w:spacing w:before="0" w:after="240"/>
      <w:ind w:left="360" w:hanging="360"/>
    </w:pPr>
    <w:rPr>
      <w:rFonts w:eastAsia="Batang"/>
      <w:lang w:val="nb-NO"/>
    </w:rPr>
  </w:style>
  <w:style w:type="character" w:styleId="Emphasis">
    <w:name w:val="Emphasis"/>
    <w:basedOn w:val="DefaultParagraphFont"/>
    <w:uiPriority w:val="20"/>
    <w:qFormat/>
    <w:rPr>
      <w:rFonts w:cs="Times New Roman"/>
      <w:i/>
      <w:iCs/>
    </w:rPr>
  </w:style>
  <w:style w:type="paragraph" w:customStyle="1" w:styleId="hstyle0">
    <w:name w:val="hstyle0"/>
    <w:basedOn w:val="Normal"/>
    <w:uiPriority w:val="99"/>
    <w:pPr>
      <w:numPr>
        <w:numId w:val="5"/>
      </w:numPr>
      <w:tabs>
        <w:tab w:val="clear" w:pos="624"/>
        <w:tab w:val="clear" w:pos="794"/>
        <w:tab w:val="clear" w:pos="1191"/>
        <w:tab w:val="clear" w:pos="1588"/>
        <w:tab w:val="clear" w:pos="1985"/>
      </w:tabs>
      <w:overflowPunct/>
      <w:autoSpaceDE/>
      <w:autoSpaceDN/>
      <w:adjustRightInd/>
      <w:spacing w:before="0" w:line="384" w:lineRule="auto"/>
      <w:ind w:left="0" w:firstLine="0"/>
      <w:jc w:val="both"/>
      <w:textAlignment w:val="auto"/>
    </w:pPr>
    <w:rPr>
      <w:rFonts w:ascii="Batang" w:eastAsia="Batang" w:hAnsi="Batang" w:cs="Gulim"/>
      <w:color w:val="000000"/>
      <w:sz w:val="20"/>
      <w:lang w:eastAsia="ko-KR"/>
    </w:rPr>
  </w:style>
  <w:style w:type="paragraph" w:customStyle="1" w:styleId="a5">
    <w:name w:val="連番１"/>
    <w:basedOn w:val="Normal"/>
    <w:uiPriority w:val="99"/>
    <w:pPr>
      <w:widowControl w:val="0"/>
      <w:tabs>
        <w:tab w:val="clear" w:pos="1191"/>
        <w:tab w:val="clear" w:pos="1588"/>
        <w:tab w:val="clear" w:pos="1985"/>
        <w:tab w:val="num" w:pos="1154"/>
      </w:tabs>
      <w:overflowPunct/>
      <w:autoSpaceDE/>
      <w:autoSpaceDN/>
      <w:adjustRightInd/>
      <w:spacing w:before="0" w:after="120" w:line="240" w:lineRule="exact"/>
      <w:ind w:left="1154" w:hanging="360"/>
      <w:jc w:val="both"/>
      <w:textAlignment w:val="auto"/>
    </w:pPr>
    <w:rPr>
      <w:rFonts w:ascii="Arial" w:eastAsia="MS PGothic" w:hAnsi="Arial" w:cs="Arial"/>
      <w:kern w:val="2"/>
      <w:sz w:val="20"/>
      <w:szCs w:val="24"/>
      <w:lang w:eastAsia="ja-JP"/>
    </w:rPr>
  </w:style>
  <w:style w:type="character" w:styleId="HTMLCode">
    <w:name w:val="HTML Code"/>
    <w:basedOn w:val="DefaultParagraphFont"/>
    <w:uiPriority w:val="99"/>
    <w:rPr>
      <w:rFonts w:ascii="Lucida Console" w:eastAsia="SimSun" w:hAnsi="Lucida Console" w:cs="Courier New"/>
      <w:sz w:val="24"/>
      <w:szCs w:val="24"/>
    </w:rPr>
  </w:style>
  <w:style w:type="character" w:styleId="HTMLKeyboard">
    <w:name w:val="HTML Keyboard"/>
    <w:basedOn w:val="DefaultParagraphFont"/>
    <w:uiPriority w:val="99"/>
    <w:rPr>
      <w:rFonts w:ascii="Lucida Console" w:eastAsia="SimSun" w:hAnsi="Lucida Console" w:cs="Courier New"/>
      <w:sz w:val="24"/>
      <w:szCs w:val="24"/>
    </w:rPr>
  </w:style>
  <w:style w:type="character" w:styleId="HTMLSample">
    <w:name w:val="HTML Sample"/>
    <w:basedOn w:val="DefaultParagraphFont"/>
    <w:uiPriority w:val="99"/>
    <w:rPr>
      <w:rFonts w:ascii="Lucida Console" w:eastAsia="SimSun" w:hAnsi="Lucida Console" w:cs="Courier New"/>
      <w:sz w:val="24"/>
      <w:szCs w:val="24"/>
    </w:rPr>
  </w:style>
  <w:style w:type="character" w:styleId="HTMLTypewriter">
    <w:name w:val="HTML Typewriter"/>
    <w:basedOn w:val="DefaultParagraphFont"/>
    <w:uiPriority w:val="99"/>
    <w:rPr>
      <w:rFonts w:ascii="Lucida Console" w:eastAsia="SimSun" w:hAnsi="Lucida Console" w:cs="Courier New"/>
      <w:sz w:val="24"/>
      <w:szCs w:val="24"/>
    </w:rPr>
  </w:style>
  <w:style w:type="paragraph" w:customStyle="1" w:styleId="collapsepanelheader">
    <w:name w:val="collapsepanelheader"/>
    <w:basedOn w:val="Normal"/>
    <w:uiPriority w:val="99"/>
    <w:pPr>
      <w:pBdr>
        <w:top w:val="single" w:sz="6" w:space="5" w:color="1F59A2"/>
        <w:left w:val="single" w:sz="6" w:space="5" w:color="1F59A2"/>
        <w:bottom w:val="single" w:sz="6" w:space="5" w:color="1F59A2"/>
        <w:right w:val="single" w:sz="6" w:space="5" w:color="1F59A2"/>
      </w:pBdr>
      <w:shd w:val="clear" w:color="auto" w:fill="C7D3E7"/>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cellcfdef3">
    <w:name w:val="lm_cell_cfdef3"/>
    <w:basedOn w:val="Normal"/>
    <w:uiPriority w:val="99"/>
    <w:pPr>
      <w:pBdr>
        <w:top w:val="single" w:sz="6" w:space="5" w:color="CFDEF3"/>
        <w:left w:val="single" w:sz="6" w:space="5" w:color="CFDEF3"/>
        <w:right w:val="single" w:sz="6"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topcellcfdef3">
    <w:name w:val="lm_top_cell_cfdef3"/>
    <w:basedOn w:val="Normal"/>
    <w:uiPriority w:val="99"/>
    <w:pPr>
      <w:pBdr>
        <w:top w:val="single" w:sz="6" w:space="5" w:color="FFFFFF"/>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lmcell2cfdef3">
    <w:name w:val="lm_cell2_cfdef3"/>
    <w:basedOn w:val="Normal"/>
    <w:uiPriority w:val="99"/>
    <w:pPr>
      <w:pBdr>
        <w:top w:val="single" w:sz="6" w:space="5" w:color="CFDEF3"/>
        <w:left w:val="single" w:sz="6" w:space="5" w:color="CFDEF3"/>
        <w:right w:val="single" w:sz="2"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cell004b96">
    <w:name w:val="lm_cell_004b96"/>
    <w:basedOn w:val="Normal"/>
    <w:uiPriority w:val="99"/>
    <w:pPr>
      <w:pBdr>
        <w:top w:val="single" w:sz="6" w:space="5" w:color="004B96"/>
        <w:left w:val="single" w:sz="2" w:space="5" w:color="004B96"/>
        <w:right w:val="single" w:sz="6" w:space="5" w:color="004B96"/>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counciltitle">
    <w:name w:val="council_titl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Cs w:val="24"/>
    </w:rPr>
  </w:style>
  <w:style w:type="paragraph" w:customStyle="1" w:styleId="councilsubtitle">
    <w:name w:val="council_subtitle"/>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paragraph" w:customStyle="1" w:styleId="Title10">
    <w:name w:val="Title1"/>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b/>
      <w:bCs/>
      <w:color w:val="004B96"/>
      <w:sz w:val="22"/>
      <w:szCs w:val="22"/>
    </w:rPr>
  </w:style>
  <w:style w:type="paragraph" w:customStyle="1" w:styleId="Subtitle1">
    <w:name w:val="Subtitle1"/>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paragraph" w:customStyle="1" w:styleId="dashedcell">
    <w:name w:val="dashed_cell"/>
    <w:basedOn w:val="Normal"/>
    <w:uiPriority w:val="99"/>
    <w:pPr>
      <w:pBdr>
        <w:top w:val="dashed" w:sz="6" w:space="5" w:color="1F59A2"/>
        <w:left w:val="dashed" w:sz="6" w:space="5" w:color="1F59A2"/>
        <w:bottom w:val="dashed" w:sz="6" w:space="5" w:color="1F59A2"/>
        <w:right w:val="dashed" w:sz="6" w:space="5" w:color="1F59A2"/>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opritems">
    <w:name w:val="topritems"/>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Arial"/>
      <w:b/>
      <w:bCs/>
      <w:color w:val="FFFFFF"/>
      <w:sz w:val="17"/>
      <w:szCs w:val="17"/>
    </w:rPr>
  </w:style>
  <w:style w:type="paragraph" w:customStyle="1" w:styleId="topritems2">
    <w:name w:val="topritems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Arial" w:eastAsia="SimSun" w:hAnsi="Arial" w:cs="Arial"/>
      <w:color w:val="FFFFFF"/>
      <w:sz w:val="16"/>
      <w:szCs w:val="16"/>
    </w:rPr>
  </w:style>
  <w:style w:type="paragraph" w:customStyle="1" w:styleId="ulink">
    <w:name w:val="u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u w:val="single"/>
    </w:rPr>
  </w:style>
  <w:style w:type="paragraph" w:customStyle="1" w:styleId="artab">
    <w:name w:val="ar_tab"/>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0000"/>
      <w:sz w:val="32"/>
      <w:szCs w:val="32"/>
    </w:rPr>
  </w:style>
  <w:style w:type="paragraph" w:customStyle="1" w:styleId="arulink">
    <w:name w:val="ar_u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0000"/>
      <w:sz w:val="28"/>
      <w:szCs w:val="28"/>
      <w:u w:val="single"/>
    </w:rPr>
  </w:style>
  <w:style w:type="paragraph" w:customStyle="1" w:styleId="arb2link">
    <w:name w:val="ar_b2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4B96"/>
      <w:sz w:val="28"/>
      <w:szCs w:val="28"/>
      <w:u w:val="single"/>
    </w:rPr>
  </w:style>
  <w:style w:type="paragraph" w:customStyle="1" w:styleId="iturlink">
    <w:name w:val="itur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E0011C"/>
      <w:sz w:val="18"/>
      <w:szCs w:val="18"/>
      <w:u w:val="single"/>
    </w:rPr>
  </w:style>
  <w:style w:type="paragraph" w:customStyle="1" w:styleId="itutlink">
    <w:name w:val="itut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93117E"/>
      <w:sz w:val="18"/>
      <w:szCs w:val="18"/>
      <w:u w:val="single"/>
    </w:rPr>
  </w:style>
  <w:style w:type="paragraph" w:customStyle="1" w:styleId="itudlink">
    <w:name w:val="itud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DA8704"/>
      <w:sz w:val="18"/>
      <w:szCs w:val="18"/>
      <w:u w:val="single"/>
    </w:rPr>
  </w:style>
  <w:style w:type="paragraph" w:customStyle="1" w:styleId="telecomlink">
    <w:name w:val="telecom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7A3D"/>
      <w:sz w:val="18"/>
      <w:szCs w:val="18"/>
      <w:u w:val="single"/>
    </w:rPr>
  </w:style>
  <w:style w:type="paragraph" w:customStyle="1" w:styleId="blink">
    <w:name w:val="b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rPr>
  </w:style>
  <w:style w:type="paragraph" w:customStyle="1" w:styleId="b2link">
    <w:name w:val="b2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u w:val="single"/>
    </w:rPr>
  </w:style>
  <w:style w:type="paragraph" w:customStyle="1" w:styleId="lmlink">
    <w:name w:val="lm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6"/>
      <w:szCs w:val="16"/>
    </w:rPr>
  </w:style>
  <w:style w:type="paragraph" w:customStyle="1" w:styleId="lm2link">
    <w:name w:val="lm2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rPr>
  </w:style>
  <w:style w:type="paragraph" w:customStyle="1" w:styleId="nlink">
    <w:name w:val="n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itunewslink">
    <w:name w:val="itunews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6"/>
      <w:szCs w:val="16"/>
    </w:rPr>
  </w:style>
  <w:style w:type="paragraph" w:customStyle="1" w:styleId="footeritems">
    <w:name w:val="footeritems"/>
    <w:basedOn w:val="Normal"/>
    <w:uiPriority w:val="99"/>
    <w:pPr>
      <w:tabs>
        <w:tab w:val="clear" w:pos="794"/>
        <w:tab w:val="clear" w:pos="1191"/>
        <w:tab w:val="clear" w:pos="1588"/>
        <w:tab w:val="clear" w:pos="1985"/>
      </w:tabs>
      <w:overflowPunct/>
      <w:autoSpaceDE/>
      <w:autoSpaceDN/>
      <w:adjustRightInd/>
      <w:spacing w:before="0" w:after="100"/>
      <w:textAlignment w:val="auto"/>
    </w:pPr>
    <w:rPr>
      <w:rFonts w:ascii="Verdana" w:eastAsia="SimSun" w:hAnsi="Verdana"/>
      <w:color w:val="000066"/>
      <w:sz w:val="17"/>
      <w:szCs w:val="17"/>
    </w:rPr>
  </w:style>
  <w:style w:type="paragraph" w:customStyle="1" w:styleId="councilbluebullet">
    <w:name w:val="council_blue_bullet"/>
    <w:basedOn w:val="Normal"/>
    <w:uiPriority w:val="99"/>
    <w:pPr>
      <w:tabs>
        <w:tab w:val="clear" w:pos="794"/>
        <w:tab w:val="clear" w:pos="1191"/>
        <w:tab w:val="clear" w:pos="1588"/>
        <w:tab w:val="clear" w:pos="1985"/>
      </w:tabs>
      <w:overflowPunct/>
      <w:autoSpaceDE/>
      <w:autoSpaceDN/>
      <w:adjustRightInd/>
      <w:spacing w:before="0"/>
      <w:ind w:left="-180"/>
      <w:textAlignment w:val="auto"/>
    </w:pPr>
    <w:rPr>
      <w:rFonts w:ascii="Verdana" w:eastAsia="SimSun" w:hAnsi="Verdana"/>
      <w:color w:val="000000"/>
      <w:sz w:val="18"/>
      <w:szCs w:val="18"/>
    </w:rPr>
  </w:style>
  <w:style w:type="paragraph" w:customStyle="1" w:styleId="councilcircle">
    <w:name w:val="council_circle"/>
    <w:basedOn w:val="Normal"/>
    <w:uiPriority w:val="99"/>
    <w:pPr>
      <w:tabs>
        <w:tab w:val="clear" w:pos="794"/>
        <w:tab w:val="clear" w:pos="1191"/>
        <w:tab w:val="clear" w:pos="1588"/>
        <w:tab w:val="clear" w:pos="1985"/>
      </w:tabs>
      <w:overflowPunct/>
      <w:autoSpaceDE/>
      <w:autoSpaceDN/>
      <w:adjustRightInd/>
      <w:spacing w:before="0"/>
      <w:ind w:left="75"/>
      <w:textAlignment w:val="auto"/>
    </w:pPr>
    <w:rPr>
      <w:rFonts w:ascii="Verdana" w:eastAsia="SimSun" w:hAnsi="Verdana"/>
      <w:color w:val="000000"/>
      <w:sz w:val="18"/>
      <w:szCs w:val="18"/>
    </w:rPr>
  </w:style>
  <w:style w:type="paragraph" w:customStyle="1" w:styleId="bluebullet">
    <w:name w:val="blue_bullet"/>
    <w:basedOn w:val="Normal"/>
    <w:uiPriority w:val="99"/>
    <w:pPr>
      <w:tabs>
        <w:tab w:val="clear" w:pos="794"/>
        <w:tab w:val="clear" w:pos="1191"/>
        <w:tab w:val="clear" w:pos="1588"/>
        <w:tab w:val="clear" w:pos="1985"/>
      </w:tabs>
      <w:overflowPunct/>
      <w:autoSpaceDE/>
      <w:autoSpaceDN/>
      <w:adjustRightInd/>
      <w:spacing w:before="0"/>
      <w:ind w:left="240"/>
      <w:textAlignment w:val="auto"/>
    </w:pPr>
    <w:rPr>
      <w:rFonts w:ascii="Verdana" w:eastAsia="SimSun" w:hAnsi="Verdana"/>
      <w:color w:val="000000"/>
      <w:sz w:val="18"/>
      <w:szCs w:val="18"/>
    </w:rPr>
  </w:style>
  <w:style w:type="paragraph" w:customStyle="1" w:styleId="circle">
    <w:name w:val="circle"/>
    <w:basedOn w:val="Normal"/>
    <w:uiPriority w:val="99"/>
    <w:pPr>
      <w:tabs>
        <w:tab w:val="clear" w:pos="794"/>
        <w:tab w:val="clear" w:pos="1191"/>
        <w:tab w:val="clear" w:pos="1588"/>
        <w:tab w:val="clear" w:pos="1985"/>
      </w:tabs>
      <w:overflowPunct/>
      <w:autoSpaceDE/>
      <w:autoSpaceDN/>
      <w:adjustRightInd/>
      <w:spacing w:before="0"/>
      <w:ind w:left="75"/>
      <w:textAlignment w:val="auto"/>
    </w:pPr>
    <w:rPr>
      <w:rFonts w:ascii="Verdana" w:eastAsia="SimSun" w:hAnsi="Verdana"/>
      <w:color w:val="000000"/>
      <w:sz w:val="18"/>
      <w:szCs w:val="18"/>
    </w:rPr>
  </w:style>
  <w:style w:type="paragraph" w:customStyle="1" w:styleId="parasmall">
    <w:name w:val="parasmall"/>
    <w:basedOn w:val="Normal"/>
    <w:uiPriority w:val="99"/>
    <w:pPr>
      <w:tabs>
        <w:tab w:val="clear" w:pos="794"/>
        <w:tab w:val="clear" w:pos="1191"/>
        <w:tab w:val="clear" w:pos="1588"/>
        <w:tab w:val="clear" w:pos="1985"/>
      </w:tabs>
      <w:overflowPunct/>
      <w:autoSpaceDE/>
      <w:autoSpaceDN/>
      <w:adjustRightInd/>
      <w:spacing w:before="0"/>
      <w:textAlignment w:val="auto"/>
    </w:pPr>
    <w:rPr>
      <w:rFonts w:ascii="Verdana" w:eastAsia="SimSun" w:hAnsi="Verdana"/>
      <w:color w:val="000000"/>
      <w:sz w:val="10"/>
      <w:szCs w:val="10"/>
    </w:rPr>
  </w:style>
  <w:style w:type="paragraph" w:customStyle="1" w:styleId="artitle">
    <w:name w:val="ar_title"/>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s="Simplified Arabic"/>
      <w:b/>
      <w:bCs/>
      <w:color w:val="004B96"/>
      <w:sz w:val="32"/>
      <w:szCs w:val="32"/>
    </w:rPr>
  </w:style>
  <w:style w:type="paragraph" w:customStyle="1" w:styleId="arpara">
    <w:name w:val="ar_para"/>
    <w:basedOn w:val="Normal"/>
    <w:uiPriority w:val="9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eastAsia="SimSun" w:hAnsi="Verdana" w:cs="Simplified Arabic"/>
      <w:color w:val="000000"/>
      <w:sz w:val="28"/>
      <w:szCs w:val="28"/>
    </w:rPr>
  </w:style>
  <w:style w:type="paragraph" w:customStyle="1" w:styleId="plist">
    <w:name w:val="plist"/>
    <w:basedOn w:val="Normal"/>
    <w:uiPriority w:val="99"/>
    <w:pPr>
      <w:tabs>
        <w:tab w:val="clear" w:pos="794"/>
        <w:tab w:val="clear" w:pos="1191"/>
        <w:tab w:val="clear" w:pos="1588"/>
        <w:tab w:val="clear" w:pos="1985"/>
      </w:tabs>
      <w:overflowPunct/>
      <w:autoSpaceDE/>
      <w:autoSpaceDN/>
      <w:adjustRightInd/>
      <w:spacing w:before="75" w:after="75"/>
      <w:textAlignment w:val="auto"/>
    </w:pPr>
    <w:rPr>
      <w:rFonts w:ascii="Verdana" w:eastAsia="SimSun" w:hAnsi="Verdana"/>
      <w:color w:val="000000"/>
      <w:sz w:val="18"/>
      <w:szCs w:val="18"/>
    </w:rPr>
  </w:style>
  <w:style w:type="paragraph" w:customStyle="1" w:styleId="nlist">
    <w:name w:val="n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000000"/>
      <w:sz w:val="18"/>
      <w:szCs w:val="18"/>
    </w:rPr>
  </w:style>
  <w:style w:type="paragraph" w:customStyle="1" w:styleId="itunewslist">
    <w:name w:val="itunews_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000000"/>
      <w:sz w:val="16"/>
      <w:szCs w:val="16"/>
    </w:rPr>
  </w:style>
  <w:style w:type="paragraph" w:customStyle="1" w:styleId="slist">
    <w:name w:val="s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FFFFFF"/>
      <w:sz w:val="18"/>
      <w:szCs w:val="18"/>
    </w:rPr>
  </w:style>
  <w:style w:type="paragraph" w:customStyle="1" w:styleId="newsroom">
    <w:name w:val="newsroom"/>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0"/>
      <w:szCs w:val="10"/>
    </w:rPr>
  </w:style>
  <w:style w:type="paragraph" w:customStyle="1" w:styleId="wrc">
    <w:name w:val="wrc"/>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6"/>
      <w:szCs w:val="16"/>
    </w:rPr>
  </w:style>
  <w:style w:type="paragraph" w:customStyle="1" w:styleId="folderheader">
    <w:name w:val="folder_header"/>
    <w:basedOn w:val="Normal"/>
    <w:uiPriority w:val="99"/>
    <w:pPr>
      <w:pBdr>
        <w:top w:val="single" w:sz="6" w:space="5" w:color="004B96"/>
        <w:left w:val="single" w:sz="6" w:space="4" w:color="004B96"/>
        <w:bottom w:val="single" w:sz="6" w:space="5" w:color="004B96"/>
        <w:right w:val="single" w:sz="6" w:space="5" w:color="004B96"/>
      </w:pBdr>
      <w:shd w:val="clear" w:color="auto" w:fill="004B96"/>
      <w:tabs>
        <w:tab w:val="clear" w:pos="794"/>
        <w:tab w:val="clear" w:pos="1191"/>
        <w:tab w:val="clear" w:pos="1588"/>
        <w:tab w:val="clear" w:pos="1985"/>
      </w:tabs>
      <w:overflowPunct/>
      <w:autoSpaceDE/>
      <w:autoSpaceDN/>
      <w:adjustRightInd/>
      <w:spacing w:before="100" w:after="100" w:line="240" w:lineRule="atLeast"/>
      <w:jc w:val="center"/>
      <w:textAlignment w:val="auto"/>
    </w:pPr>
    <w:rPr>
      <w:rFonts w:ascii="Verdana" w:eastAsia="SimSun" w:hAnsi="Verdana"/>
      <w:b/>
      <w:bCs/>
      <w:color w:val="FFFFFF"/>
      <w:sz w:val="18"/>
      <w:szCs w:val="18"/>
    </w:rPr>
  </w:style>
  <w:style w:type="paragraph" w:customStyle="1" w:styleId="bb-input">
    <w:name w:val="bb-input"/>
    <w:basedOn w:val="Normal"/>
    <w:uiPriority w:val="9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buttondisplay">
    <w:name w:val="buttondisplay"/>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buttonsearch">
    <w:name w:val="buttonsearch"/>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formdisplay">
    <w:name w:val="formdisplay"/>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go">
    <w:name w:val="go"/>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7"/>
      <w:szCs w:val="17"/>
    </w:rPr>
  </w:style>
  <w:style w:type="paragraph" w:customStyle="1" w:styleId="bluebordertable">
    <w:name w:val="bluebordertable"/>
    <w:basedOn w:val="Normal"/>
    <w:uiPriority w:val="9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redbordertable">
    <w:name w:val="redbordertable"/>
    <w:basedOn w:val="Normal"/>
    <w:uiPriority w:val="99"/>
    <w:pPr>
      <w:pBdr>
        <w:top w:val="single" w:sz="6" w:space="0" w:color="FF0000"/>
        <w:left w:val="single" w:sz="6" w:space="0" w:color="FF0000"/>
        <w:bottom w:val="single" w:sz="6" w:space="0" w:color="FF0000"/>
        <w:right w:val="single" w:sz="6" w:space="0" w:color="FF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blueborder-gray">
    <w:name w:val="blueborder-gray"/>
    <w:basedOn w:val="Normal"/>
    <w:uiPriority w:val="99"/>
    <w:pPr>
      <w:pBdr>
        <w:top w:val="single" w:sz="6" w:space="0" w:color="99CCFF"/>
        <w:left w:val="single" w:sz="6" w:space="0" w:color="99CCFF"/>
        <w:bottom w:val="single" w:sz="6" w:space="0" w:color="99CCFF"/>
        <w:right w:val="single" w:sz="6" w:space="0" w:color="99CCFF"/>
      </w:pBdr>
      <w:shd w:val="clear" w:color="auto" w:fill="EFEFEF"/>
      <w:tabs>
        <w:tab w:val="clear" w:pos="794"/>
        <w:tab w:val="clear" w:pos="1191"/>
        <w:tab w:val="clear" w:pos="1588"/>
        <w:tab w:val="clear" w:pos="1985"/>
      </w:tabs>
      <w:overflowPunct/>
      <w:autoSpaceDE/>
      <w:autoSpaceDN/>
      <w:adjustRightInd/>
      <w:spacing w:before="100" w:after="100" w:line="240" w:lineRule="atLeast"/>
      <w:textAlignment w:val="auto"/>
    </w:pPr>
    <w:rPr>
      <w:rFonts w:ascii="Trebuchet MS" w:eastAsia="SimSun" w:hAnsi="Trebuchet MS"/>
      <w:b/>
      <w:bCs/>
      <w:color w:val="000066"/>
      <w:sz w:val="18"/>
      <w:szCs w:val="18"/>
    </w:rPr>
  </w:style>
  <w:style w:type="paragraph" w:customStyle="1" w:styleId="bluewhite">
    <w:name w:val="bluewhite"/>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FFFFFF"/>
      <w:sz w:val="18"/>
      <w:szCs w:val="18"/>
    </w:rPr>
  </w:style>
  <w:style w:type="paragraph" w:customStyle="1" w:styleId="bottomline">
    <w:name w:val="bottomline"/>
    <w:basedOn w:val="Normal"/>
    <w:uiPriority w:val="99"/>
    <w:pPr>
      <w:pBdr>
        <w:bottom w:val="single" w:sz="6" w:space="0" w:color="0099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ch-blue-red">
    <w:name w:val="ch-blue-red"/>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0000"/>
      <w:sz w:val="18"/>
      <w:szCs w:val="18"/>
    </w:rPr>
  </w:style>
  <w:style w:type="paragraph" w:customStyle="1" w:styleId="ch-blue-white">
    <w:name w:val="ch-blue-white"/>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ch-dblue-white">
    <w:name w:val="ch-dblue-white"/>
    <w:basedOn w:val="Normal"/>
    <w:uiPriority w:val="99"/>
    <w:pPr>
      <w:shd w:val="clear" w:color="auto" w:fill="00006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ch-red-white">
    <w:name w:val="ch-red-white"/>
    <w:basedOn w:val="Normal"/>
    <w:uiPriority w:val="99"/>
    <w:pPr>
      <w:shd w:val="clear" w:color="auto" w:fill="FF0000"/>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lightblueborder">
    <w:name w:val="lightblueborder"/>
    <w:basedOn w:val="Normal"/>
    <w:uiPriority w:val="99"/>
    <w:pPr>
      <w:pBdr>
        <w:top w:val="single" w:sz="6" w:space="0" w:color="A1B7DE"/>
        <w:left w:val="single" w:sz="6" w:space="0" w:color="A1B7DE"/>
        <w:bottom w:val="single" w:sz="6" w:space="0" w:color="A1B7DE"/>
        <w:right w:val="single" w:sz="6" w:space="0" w:color="A1B7DE"/>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blue">
    <w:name w:val="t-blu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66"/>
      <w:sz w:val="18"/>
      <w:szCs w:val="18"/>
    </w:rPr>
  </w:style>
  <w:style w:type="paragraph" w:customStyle="1" w:styleId="t-row">
    <w:name w:val="t-row"/>
    <w:basedOn w:val="Normal"/>
    <w:uiPriority w:val="99"/>
    <w:pPr>
      <w:pBdr>
        <w:top w:val="single" w:sz="6" w:space="0" w:color="99CCFF"/>
        <w:left w:val="single" w:sz="6" w:space="0" w:color="99CCFF"/>
        <w:bottom w:val="single" w:sz="6" w:space="0" w:color="99CCFF"/>
        <w:right w:val="single" w:sz="6" w:space="0" w:color="99CCFF"/>
      </w:pBdr>
      <w:shd w:val="clear" w:color="auto" w:fill="E6EB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text">
    <w:name w:val="t-text"/>
    <w:basedOn w:val="Normal"/>
    <w:uiPriority w:val="99"/>
    <w:pPr>
      <w:pBdr>
        <w:top w:val="single" w:sz="6" w:space="0" w:color="99CCFF"/>
        <w:left w:val="single" w:sz="6" w:space="0" w:color="99CCFF"/>
        <w:bottom w:val="single" w:sz="6" w:space="0" w:color="99CCFF"/>
        <w:right w:val="single" w:sz="6" w:space="0" w:color="99CCFF"/>
      </w:pBdr>
      <w:shd w:val="clear" w:color="auto" w:fill="FFFFC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globe">
    <w:name w:val="glob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globe-l">
    <w:name w:val="globe-l"/>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globe-t">
    <w:name w:val="globe-t"/>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itumenu">
    <w:name w:val="itumenu"/>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99CCFF"/>
      <w:sz w:val="18"/>
      <w:szCs w:val="18"/>
    </w:rPr>
  </w:style>
  <w:style w:type="paragraph" w:customStyle="1" w:styleId="navleft">
    <w:name w:val="navleft"/>
    <w:basedOn w:val="Normal"/>
    <w:uiPriority w:val="99"/>
    <w:pPr>
      <w:tabs>
        <w:tab w:val="clear" w:pos="794"/>
        <w:tab w:val="clear" w:pos="1191"/>
        <w:tab w:val="clear" w:pos="1588"/>
        <w:tab w:val="clear" w:pos="1985"/>
      </w:tabs>
      <w:overflowPunct/>
      <w:autoSpaceDE/>
      <w:autoSpaceDN/>
      <w:adjustRightInd/>
      <w:spacing w:before="100" w:after="100" w:line="240" w:lineRule="atLeast"/>
      <w:jc w:val="right"/>
      <w:textAlignment w:val="auto"/>
    </w:pPr>
    <w:rPr>
      <w:rFonts w:ascii="Arial" w:eastAsia="SimSun" w:hAnsi="Arial" w:cs="Arial"/>
      <w:b/>
      <w:bCs/>
      <w:color w:val="FFFFFF"/>
      <w:sz w:val="18"/>
      <w:szCs w:val="18"/>
    </w:rPr>
  </w:style>
  <w:style w:type="paragraph" w:customStyle="1" w:styleId="locator">
    <w:name w:val="locator"/>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66"/>
      <w:sz w:val="17"/>
      <w:szCs w:val="17"/>
    </w:rPr>
  </w:style>
  <w:style w:type="paragraph" w:customStyle="1" w:styleId="tsize8pt">
    <w:name w:val="tsize8pt"/>
    <w:basedOn w:val="Normal"/>
    <w:uiPriority w:val="9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eastAsia="SimSun" w:hAnsi="Verdana"/>
      <w:color w:val="000000"/>
      <w:sz w:val="15"/>
      <w:szCs w:val="15"/>
    </w:rPr>
  </w:style>
  <w:style w:type="paragraph" w:customStyle="1" w:styleId="smalltext">
    <w:name w:val="smalltext"/>
    <w:basedOn w:val="Normal"/>
    <w:uiPriority w:val="9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eastAsia="SimSun" w:hAnsi="Verdana"/>
      <w:color w:val="000000"/>
      <w:sz w:val="15"/>
      <w:szCs w:val="15"/>
    </w:rPr>
  </w:style>
  <w:style w:type="paragraph" w:customStyle="1" w:styleId="bulletlist-blue">
    <w:name w:val="bulletlist-blue"/>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bulletlist-red">
    <w:name w:val="bulletlist-red"/>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arrowlist-blue">
    <w:name w:val="arrowlist-blue"/>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arrowlist-red">
    <w:name w:val="arrowlist-red"/>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pdivider">
    <w:name w:val="pdivider"/>
    <w:basedOn w:val="Normal"/>
    <w:uiPriority w:val="99"/>
    <w:pPr>
      <w:tabs>
        <w:tab w:val="clear" w:pos="794"/>
        <w:tab w:val="clear" w:pos="1191"/>
        <w:tab w:val="clear" w:pos="1588"/>
        <w:tab w:val="clear" w:pos="1985"/>
      </w:tabs>
      <w:overflowPunct/>
      <w:autoSpaceDE/>
      <w:autoSpaceDN/>
      <w:adjustRightInd/>
      <w:spacing w:before="75" w:after="75" w:line="240" w:lineRule="atLeast"/>
      <w:ind w:left="75" w:right="75"/>
      <w:textAlignment w:val="auto"/>
    </w:pPr>
    <w:rPr>
      <w:rFonts w:ascii="Verdana" w:eastAsia="SimSun" w:hAnsi="Verdana"/>
      <w:color w:val="000000"/>
      <w:sz w:val="8"/>
      <w:szCs w:val="8"/>
    </w:rPr>
  </w:style>
  <w:style w:type="paragraph" w:customStyle="1" w:styleId="pj">
    <w:name w:val="pj"/>
    <w:basedOn w:val="Normal"/>
    <w:uiPriority w:val="99"/>
    <w:pPr>
      <w:tabs>
        <w:tab w:val="clear" w:pos="794"/>
        <w:tab w:val="clear" w:pos="1191"/>
        <w:tab w:val="clear" w:pos="1588"/>
        <w:tab w:val="clear" w:pos="1985"/>
      </w:tabs>
      <w:overflowPunct/>
      <w:autoSpaceDE/>
      <w:autoSpaceDN/>
      <w:adjustRightInd/>
      <w:spacing w:before="100" w:after="100" w:line="240" w:lineRule="atLeast"/>
      <w:jc w:val="both"/>
      <w:textAlignment w:val="auto"/>
    </w:pPr>
    <w:rPr>
      <w:rFonts w:ascii="Verdana" w:eastAsia="SimSun" w:hAnsi="Verdana"/>
      <w:color w:val="000000"/>
      <w:sz w:val="18"/>
      <w:szCs w:val="18"/>
    </w:rPr>
  </w:style>
  <w:style w:type="paragraph" w:customStyle="1" w:styleId="pml-40">
    <w:name w:val="pml-40"/>
    <w:basedOn w:val="Normal"/>
    <w:uiPriority w:val="99"/>
    <w:pPr>
      <w:tabs>
        <w:tab w:val="clear" w:pos="794"/>
        <w:tab w:val="clear" w:pos="1191"/>
        <w:tab w:val="clear" w:pos="1588"/>
        <w:tab w:val="clear" w:pos="1985"/>
      </w:tabs>
      <w:overflowPunct/>
      <w:autoSpaceDE/>
      <w:autoSpaceDN/>
      <w:adjustRightInd/>
      <w:spacing w:before="100" w:after="100" w:line="240" w:lineRule="atLeast"/>
      <w:ind w:left="600"/>
      <w:textAlignment w:val="auto"/>
    </w:pPr>
    <w:rPr>
      <w:rFonts w:ascii="Verdana" w:eastAsia="SimSun" w:hAnsi="Verdana"/>
      <w:color w:val="000000"/>
      <w:sz w:val="18"/>
      <w:szCs w:val="18"/>
    </w:rPr>
  </w:style>
  <w:style w:type="paragraph" w:customStyle="1" w:styleId="subfolderstyle">
    <w:name w:val="subfolderstyl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subfolderstyle1">
    <w:name w:val="subfolderstyle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generic">
    <w:name w:val="awmgeneric"/>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0">
    <w:name w:val="awmst0"/>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td0">
    <w:name w:val="awmsttd0"/>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bg0">
    <w:name w:val="awmstbg0"/>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0">
    <w:name w:val="awmstcbg0"/>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1">
    <w:name w:val="awmst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td1">
    <w:name w:val="awmsttd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bg1">
    <w:name w:val="awmstbg1"/>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1">
    <w:name w:val="awmstcbg1"/>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2">
    <w:name w:val="awmst2"/>
    <w:basedOn w:val="Normal"/>
    <w:uiPriority w:val="99"/>
    <w:pPr>
      <w:pBdr>
        <w:top w:val="single" w:sz="6" w:space="2" w:color="000000"/>
        <w:left w:val="single" w:sz="6" w:space="0" w:color="000000"/>
        <w:bottom w:val="single" w:sz="6" w:space="2" w:color="000000"/>
        <w:right w:val="single" w:sz="6" w:space="0" w:color="00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2">
    <w:name w:val="awmsttd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2">
    <w:name w:val="awmstbg2"/>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2">
    <w:name w:val="awmstcbg2"/>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3">
    <w:name w:val="awmst3"/>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td3">
    <w:name w:val="awmsttd3"/>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bg3">
    <w:name w:val="awmstbg3"/>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3">
    <w:name w:val="awmstcbg3"/>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4">
    <w:name w:val="awmst4"/>
    <w:basedOn w:val="Normal"/>
    <w:uiPriority w:val="99"/>
    <w:pPr>
      <w:pBdr>
        <w:top w:val="single" w:sz="6" w:space="2" w:color="000000"/>
        <w:left w:val="single" w:sz="6" w:space="2" w:color="000000"/>
        <w:bottom w:val="single" w:sz="6" w:space="2" w:color="000000"/>
        <w:right w:val="single" w:sz="6" w:space="2" w:color="00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4">
    <w:name w:val="awmsttd4"/>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4">
    <w:name w:val="awmstbg4"/>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4">
    <w:name w:val="awmstcbg4"/>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5">
    <w:name w:val="awmst5"/>
    <w:basedOn w:val="Normal"/>
    <w:uiPriority w:val="99"/>
    <w:pPr>
      <w:pBdr>
        <w:top w:val="outset" w:sz="6" w:space="0" w:color="004B96"/>
        <w:left w:val="outset" w:sz="6" w:space="0" w:color="004B96"/>
        <w:bottom w:val="outset" w:sz="6" w:space="0" w:color="004B96"/>
        <w:right w:val="outset" w:sz="6" w:space="0" w:color="004B96"/>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td5">
    <w:name w:val="awmsttd5"/>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bg5">
    <w:name w:val="awmstbg5"/>
    <w:basedOn w:val="Normal"/>
    <w:uiPriority w:val="99"/>
    <w:pPr>
      <w:pBdr>
        <w:top w:val="outset" w:sz="6" w:space="0" w:color="004B96"/>
        <w:left w:val="outset" w:sz="6" w:space="0" w:color="004B96"/>
        <w:bottom w:val="outset" w:sz="6" w:space="0" w:color="004B96"/>
        <w:right w:val="outset" w:sz="6" w:space="0" w:color="004B96"/>
      </w:pBd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5">
    <w:name w:val="awmstcbg5"/>
    <w:basedOn w:val="Normal"/>
    <w:uiPriority w:val="99"/>
    <w:pPr>
      <w:pBdr>
        <w:top w:val="outset" w:sz="6" w:space="0" w:color="004B96"/>
        <w:left w:val="outset" w:sz="6" w:space="0" w:color="004B96"/>
        <w:bottom w:val="outset" w:sz="6" w:space="0" w:color="004B96"/>
        <w:right w:val="outset" w:sz="6" w:space="0" w:color="004B96"/>
      </w:pBd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6">
    <w:name w:val="awmst6"/>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4B96"/>
      <w:sz w:val="16"/>
      <w:szCs w:val="16"/>
    </w:rPr>
  </w:style>
  <w:style w:type="paragraph" w:customStyle="1" w:styleId="awmsttd6">
    <w:name w:val="awmsttd6"/>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4B96"/>
      <w:sz w:val="16"/>
      <w:szCs w:val="16"/>
    </w:rPr>
  </w:style>
  <w:style w:type="paragraph" w:customStyle="1" w:styleId="awmstbg6">
    <w:name w:val="awmstbg6"/>
    <w:basedOn w:val="Normal"/>
    <w:uiPriority w:val="99"/>
    <w:pPr>
      <w:shd w:val="clear" w:color="auto" w:fill="FFFF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6">
    <w:name w:val="awmstcbg6"/>
    <w:basedOn w:val="Normal"/>
    <w:uiPriority w:val="99"/>
    <w:pPr>
      <w:shd w:val="clear" w:color="auto" w:fill="FFFF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7">
    <w:name w:val="awmst7"/>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7">
    <w:name w:val="awmsttd7"/>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7">
    <w:name w:val="awmstbg7"/>
    <w:basedOn w:val="Normal"/>
    <w:uiPriority w:val="99"/>
    <w:pP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7">
    <w:name w:val="awmstcbg7"/>
    <w:basedOn w:val="Normal"/>
    <w:uiPriority w:val="99"/>
    <w:pP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subfolderstyle2">
    <w:name w:val="subfolderstyle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styleId="z-TopofForm">
    <w:name w:val="HTML Top of Form"/>
    <w:basedOn w:val="Normal"/>
    <w:next w:val="Normal"/>
    <w:link w:val="z-TopofFormChar"/>
    <w:hidden/>
    <w:uiPriority w:val="99"/>
    <w:pPr>
      <w:pBdr>
        <w:bottom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eastAsia="SimSun" w:hAnsi="Arial" w:cs="Arial"/>
      <w:vanish/>
      <w:color w:val="000000"/>
      <w:sz w:val="16"/>
      <w:szCs w:val="16"/>
    </w:rPr>
  </w:style>
  <w:style w:type="character" w:customStyle="1" w:styleId="z-TopofFormChar">
    <w:name w:val="z-Top of Form Char"/>
    <w:basedOn w:val="DefaultParagraphFont"/>
    <w:link w:val="z-TopofForm"/>
    <w:uiPriority w:val="99"/>
    <w:locked/>
    <w:rPr>
      <w:rFonts w:ascii="Arial" w:eastAsia="SimSun" w:hAnsi="Arial" w:cs="Arial"/>
      <w:vanish/>
      <w:color w:val="000000"/>
      <w:sz w:val="16"/>
      <w:szCs w:val="16"/>
    </w:rPr>
  </w:style>
  <w:style w:type="paragraph" w:styleId="z-BottomofForm">
    <w:name w:val="HTML Bottom of Form"/>
    <w:basedOn w:val="Normal"/>
    <w:next w:val="Normal"/>
    <w:link w:val="z-BottomofFormChar"/>
    <w:hidden/>
    <w:uiPriority w:val="99"/>
    <w:pPr>
      <w:pBdr>
        <w:top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eastAsia="SimSun" w:hAnsi="Arial" w:cs="Arial"/>
      <w:vanish/>
      <w:color w:val="000000"/>
      <w:sz w:val="16"/>
      <w:szCs w:val="16"/>
    </w:rPr>
  </w:style>
  <w:style w:type="character" w:customStyle="1" w:styleId="z-BottomofFormChar">
    <w:name w:val="z-Bottom of Form Char"/>
    <w:basedOn w:val="DefaultParagraphFont"/>
    <w:link w:val="z-BottomofForm"/>
    <w:uiPriority w:val="99"/>
    <w:locked/>
    <w:rPr>
      <w:rFonts w:ascii="Arial" w:eastAsia="SimSun" w:hAnsi="Arial" w:cs="Arial"/>
      <w:vanish/>
      <w:color w:val="000000"/>
      <w:sz w:val="16"/>
      <w:szCs w:val="16"/>
    </w:rPr>
  </w:style>
  <w:style w:type="paragraph" w:customStyle="1" w:styleId="TabletextCharCharChar">
    <w:name w:val="Table_text Char Char Char"/>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Batang"/>
      <w:sz w:val="22"/>
    </w:rPr>
  </w:style>
  <w:style w:type="table" w:styleId="TableGrid">
    <w:name w:val="Table Grid"/>
    <w:basedOn w:val="TableNormal"/>
    <w:uiPriority w:val="39"/>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Pr>
      <w:rFonts w:cs="Times New Roman"/>
    </w:rPr>
  </w:style>
  <w:style w:type="paragraph" w:customStyle="1" w:styleId="LSForAction">
    <w:name w:val="LSForAction"/>
    <w:basedOn w:val="Normal"/>
    <w:rPr>
      <w:b/>
      <w:bCs/>
    </w:rPr>
  </w:style>
  <w:style w:type="paragraph" w:customStyle="1" w:styleId="LSForInfo">
    <w:name w:val="LSForInfo"/>
    <w:basedOn w:val="LSForAction"/>
  </w:style>
  <w:style w:type="paragraph" w:customStyle="1" w:styleId="LSForComment">
    <w:name w:val="LSForComment"/>
    <w:basedOn w:val="LSForAction"/>
  </w:style>
  <w:style w:type="character" w:customStyle="1" w:styleId="ntextbold">
    <w:name w:val="ntextbold"/>
    <w:basedOn w:val="DefaultParagraphFont"/>
    <w:uiPriority w:val="99"/>
    <w:rPr>
      <w:rFonts w:cs="Times New Roman"/>
    </w:rPr>
  </w:style>
  <w:style w:type="paragraph" w:customStyle="1" w:styleId="NormalnyPogrubienie">
    <w:name w:val="Normalny + Pogrubienie"/>
    <w:basedOn w:val="Normal"/>
    <w:uiPriority w:val="99"/>
    <w:pPr>
      <w:tabs>
        <w:tab w:val="clear" w:pos="794"/>
        <w:tab w:val="clear" w:pos="1191"/>
        <w:tab w:val="clear" w:pos="1588"/>
        <w:tab w:val="clear" w:pos="1985"/>
      </w:tabs>
      <w:overflowPunct/>
      <w:autoSpaceDE/>
      <w:autoSpaceDN/>
      <w:adjustRightInd/>
      <w:spacing w:before="60"/>
      <w:textAlignment w:val="auto"/>
    </w:pPr>
    <w:rPr>
      <w:rFonts w:eastAsia="SimSun"/>
      <w:b/>
      <w:szCs w:val="24"/>
      <w:lang w:val="pl-PL"/>
    </w:rPr>
  </w:style>
  <w:style w:type="paragraph" w:customStyle="1" w:styleId="WW-Default">
    <w:name w:val="WW-Default"/>
    <w:uiPriority w:val="99"/>
    <w:pPr>
      <w:widowControl w:val="0"/>
      <w:suppressAutoHyphens/>
      <w:autoSpaceDE w:val="0"/>
    </w:pPr>
    <w:rPr>
      <w:rFonts w:eastAsia="MS Mincho"/>
      <w:lang w:eastAsia="ar-SA"/>
    </w:rPr>
  </w:style>
  <w:style w:type="character" w:customStyle="1" w:styleId="tabletextchar1">
    <w:name w:val="tabletextchar"/>
    <w:basedOn w:val="DefaultParagraphFont"/>
    <w:uiPriority w:val="99"/>
    <w:rPr>
      <w:rFonts w:cs="Times New Roman"/>
    </w:rPr>
  </w:style>
  <w:style w:type="paragraph" w:customStyle="1" w:styleId="RecCCITTNo">
    <w:name w:val="Rec_CCITT_No"/>
    <w:basedOn w:val="Normal"/>
    <w:uiPriority w:val="99"/>
    <w:pPr>
      <w:keepNext/>
      <w:keepLines/>
      <w:spacing w:before="136"/>
      <w:jc w:val="both"/>
    </w:pPr>
    <w:rPr>
      <w:b/>
      <w:sz w:val="20"/>
    </w:rPr>
  </w:style>
  <w:style w:type="character" w:customStyle="1" w:styleId="eudoraheader">
    <w:name w:val="eudoraheader"/>
    <w:basedOn w:val="DefaultParagraphFont"/>
    <w:rPr>
      <w:rFonts w:cs="Times New Roman"/>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uiPriority w:val="99"/>
    <w:rPr>
      <w:color w:val="auto"/>
    </w:rPr>
  </w:style>
  <w:style w:type="paragraph" w:customStyle="1" w:styleId="hl-als">
    <w:name w:val="hl-als"/>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hl-title">
    <w:name w:val="hl-title"/>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hl-orgs">
    <w:name w:val="hl-orgs"/>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NormalIndent2">
    <w:name w:val="Normal Indent2"/>
    <w:basedOn w:val="Normal"/>
    <w:uiPriority w:val="99"/>
    <w:pPr>
      <w:tabs>
        <w:tab w:val="clear" w:pos="794"/>
        <w:tab w:val="clear" w:pos="1191"/>
        <w:tab w:val="clear" w:pos="1588"/>
        <w:tab w:val="clear" w:pos="1985"/>
      </w:tabs>
      <w:overflowPunct/>
      <w:autoSpaceDE/>
      <w:autoSpaceDN/>
      <w:adjustRightInd/>
      <w:ind w:left="284"/>
      <w:textAlignment w:val="auto"/>
    </w:pPr>
    <w:rPr>
      <w:rFonts w:ascii="Arial" w:hAnsi="Arial"/>
      <w:sz w:val="22"/>
      <w:szCs w:val="24"/>
    </w:rPr>
  </w:style>
  <w:style w:type="paragraph" w:customStyle="1" w:styleId="List2">
    <w:name w:val="List2"/>
    <w:basedOn w:val="Normal"/>
    <w:uiPriority w:val="99"/>
    <w:pPr>
      <w:widowControl w:val="0"/>
      <w:tabs>
        <w:tab w:val="clear" w:pos="794"/>
        <w:tab w:val="clear" w:pos="1191"/>
        <w:tab w:val="clear" w:pos="1588"/>
        <w:tab w:val="clear" w:pos="1985"/>
        <w:tab w:val="left" w:pos="360"/>
      </w:tabs>
      <w:spacing w:before="0" w:after="120"/>
      <w:ind w:left="357" w:hanging="357"/>
    </w:pPr>
    <w:rPr>
      <w:rFonts w:eastAsia="Batang"/>
      <w:lang w:val="nb-NO"/>
    </w:rPr>
  </w:style>
  <w:style w:type="paragraph" w:customStyle="1" w:styleId="Title20">
    <w:name w:val="Title2"/>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b/>
      <w:bCs/>
      <w:color w:val="004B96"/>
      <w:sz w:val="22"/>
      <w:szCs w:val="22"/>
    </w:rPr>
  </w:style>
  <w:style w:type="paragraph" w:customStyle="1" w:styleId="Subtitle2">
    <w:name w:val="Subtitle2"/>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character" w:customStyle="1" w:styleId="StyleComplex12ptBlack">
    <w:name w:val="Style (Complex) 12 pt Black"/>
    <w:basedOn w:val="DefaultParagraphFont"/>
    <w:rPr>
      <w:color w:val="000000"/>
      <w:sz w:val="24"/>
      <w:szCs w:val="24"/>
    </w:rPr>
  </w:style>
  <w:style w:type="character" w:customStyle="1" w:styleId="StyleBlack">
    <w:name w:val="Style Black"/>
    <w:basedOn w:val="DefaultParagraphFont"/>
    <w:rPr>
      <w:rFonts w:ascii="Times New Roman" w:hAnsi="Times New Roman" w:cs="Times New Roman" w:hint="default"/>
      <w:color w:val="000000"/>
      <w:sz w:val="24"/>
    </w:rPr>
  </w:style>
  <w:style w:type="paragraph" w:styleId="Revision">
    <w:name w:val="Revision"/>
    <w:hidden/>
    <w:uiPriority w:val="99"/>
    <w:semiHidden/>
    <w:rPr>
      <w:sz w:val="24"/>
    </w:rPr>
  </w:style>
  <w:style w:type="character" w:customStyle="1" w:styleId="longtext">
    <w:name w:val="long_text"/>
    <w:basedOn w:val="DefaultParagraphFont"/>
    <w:uiPriority w:val="99"/>
    <w:rPr>
      <w:rFonts w:cs="Times New Roman"/>
    </w:rPr>
  </w:style>
  <w:style w:type="paragraph" w:customStyle="1" w:styleId="SectionHeaderLevel1">
    <w:name w:val="Section Header Level 1"/>
    <w:basedOn w:val="Normal"/>
    <w:autoRedefine/>
    <w:pPr>
      <w:numPr>
        <w:numId w:val="6"/>
      </w:numPr>
      <w:tabs>
        <w:tab w:val="clear" w:pos="794"/>
        <w:tab w:val="clear" w:pos="1191"/>
        <w:tab w:val="clear" w:pos="1588"/>
        <w:tab w:val="clear" w:pos="1985"/>
      </w:tabs>
      <w:overflowPunct/>
      <w:autoSpaceDE/>
      <w:autoSpaceDN/>
      <w:adjustRightInd/>
      <w:spacing w:before="240" w:after="120"/>
      <w:ind w:hanging="720"/>
      <w:textAlignment w:val="auto"/>
    </w:pPr>
    <w:rPr>
      <w:b/>
      <w:szCs w:val="24"/>
      <w:lang w:eastAsia="en-US"/>
    </w:rPr>
  </w:style>
  <w:style w:type="character" w:customStyle="1" w:styleId="storybody1">
    <w:name w:val="storybody1"/>
    <w:basedOn w:val="DefaultParagraphFont"/>
    <w:rPr>
      <w:rFonts w:ascii="Arial" w:hAnsi="Arial" w:cs="Arial" w:hint="default"/>
      <w:b w:val="0"/>
      <w:bCs w:val="0"/>
      <w:color w:val="000000"/>
      <w:sz w:val="18"/>
      <w:szCs w:val="18"/>
    </w:rPr>
  </w:style>
  <w:style w:type="paragraph" w:customStyle="1" w:styleId="Paragraph3">
    <w:name w:val="Paragraph3"/>
    <w:basedOn w:val="Normal"/>
    <w:next w:val="BodyTextIndent"/>
    <w:autoRedefine/>
    <w:pPr>
      <w:keepNext/>
      <w:tabs>
        <w:tab w:val="clear" w:pos="794"/>
        <w:tab w:val="clear" w:pos="1191"/>
        <w:tab w:val="clear" w:pos="1588"/>
        <w:tab w:val="clear" w:pos="1985"/>
        <w:tab w:val="num" w:pos="720"/>
        <w:tab w:val="left" w:pos="1587"/>
        <w:tab w:val="left" w:pos="1984"/>
      </w:tabs>
      <w:overflowPunct/>
      <w:autoSpaceDE/>
      <w:autoSpaceDN/>
      <w:adjustRightInd/>
      <w:spacing w:after="120"/>
      <w:textAlignment w:val="auto"/>
      <w:outlineLvl w:val="2"/>
    </w:pPr>
    <w:rPr>
      <w:rFonts w:cs="Arial"/>
      <w:b/>
      <w:kern w:val="2"/>
      <w:szCs w:val="26"/>
      <w:lang w:val="en-GB" w:eastAsia="en-US"/>
    </w:rPr>
  </w:style>
  <w:style w:type="paragraph" w:customStyle="1" w:styleId="BodyTextCentered">
    <w:name w:val="Body Text Centered"/>
    <w:basedOn w:val="BodyTextIndent"/>
    <w:pPr>
      <w:widowControl w:val="0"/>
      <w:autoSpaceDE/>
      <w:autoSpaceDN/>
      <w:adjustRightInd/>
      <w:spacing w:before="0" w:after="120"/>
      <w:ind w:left="0" w:firstLine="0"/>
      <w:jc w:val="center"/>
    </w:pPr>
    <w:rPr>
      <w:rFonts w:ascii="Times New Roman Bold" w:hAnsi="Times New Roman Bold"/>
      <w:b/>
      <w:szCs w:val="24"/>
      <w:lang w:val="en-GB" w:eastAsia="en-US"/>
    </w:rPr>
  </w:style>
  <w:style w:type="paragraph" w:customStyle="1" w:styleId="StyleCaption12pt">
    <w:name w:val="Style Caption + 12 pt"/>
    <w:basedOn w:val="Caption"/>
    <w:rsid w:val="00C1421E"/>
  </w:style>
  <w:style w:type="paragraph" w:customStyle="1" w:styleId="LSDeadline">
    <w:name w:val="LSDeadline"/>
    <w:basedOn w:val="Normal"/>
    <w:rPr>
      <w:rFonts w:eastAsia="MS Mincho"/>
      <w:b/>
      <w:bCs/>
      <w:lang w:val="en-GB" w:eastAsia="en-US"/>
    </w:rPr>
  </w:style>
  <w:style w:type="paragraph" w:customStyle="1" w:styleId="LSSource">
    <w:name w:val="LSSource"/>
    <w:basedOn w:val="Normal"/>
    <w:rPr>
      <w:rFonts w:eastAsia="MS Mincho"/>
      <w:b/>
      <w:bCs/>
      <w:lang w:val="en-GB" w:eastAsia="en-U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rPr>
      <w:rFonts w:eastAsia="MS Mincho"/>
      <w:lang w:val="en-GB" w:eastAsia="en-US"/>
    </w:rPr>
  </w:style>
  <w:style w:type="paragraph" w:customStyle="1" w:styleId="AnnexNoTitle0">
    <w:name w:val="Annex_NoTitle"/>
    <w:basedOn w:val="Normal"/>
    <w:next w:val="Normal"/>
    <w:pPr>
      <w:keepNext/>
      <w:keepLines/>
      <w:spacing w:before="720"/>
      <w:jc w:val="center"/>
    </w:pPr>
    <w:rPr>
      <w:rFonts w:eastAsiaTheme="minorEastAsia"/>
      <w:b/>
      <w:sz w:val="28"/>
      <w:lang w:val="en-GB" w:eastAsia="en-US"/>
    </w:rPr>
  </w:style>
  <w:style w:type="character" w:customStyle="1" w:styleId="ASN1Car1">
    <w:name w:val="ASN.1 Car1"/>
    <w:basedOn w:val="DefaultParagraphFont"/>
    <w:rPr>
      <w:rFonts w:ascii="Courier New" w:eastAsia="MS Mincho" w:hAnsi="Courier New"/>
      <w:b/>
      <w:noProof/>
      <w:lang w:val="en-GB" w:eastAsia="en-US" w:bidi="ar-SA"/>
    </w:rPr>
  </w:style>
  <w:style w:type="paragraph" w:styleId="Date">
    <w:name w:val="Date"/>
    <w:basedOn w:val="Normal"/>
    <w:next w:val="Normal"/>
    <w:link w:val="DateChar"/>
    <w:rPr>
      <w:rFonts w:eastAsia="MS Mincho"/>
      <w:lang w:val="en-GB" w:eastAsia="en-US"/>
    </w:rPr>
  </w:style>
  <w:style w:type="character" w:customStyle="1" w:styleId="DateChar">
    <w:name w:val="Date Char"/>
    <w:basedOn w:val="DefaultParagraphFont"/>
    <w:link w:val="Date"/>
    <w:rPr>
      <w:rFonts w:eastAsia="MS Mincho"/>
      <w:sz w:val="24"/>
      <w:lang w:val="en-GB" w:eastAsia="en-US"/>
    </w:rPr>
  </w:style>
  <w:style w:type="paragraph" w:customStyle="1" w:styleId="a6">
    <w:name w:val="連番２"/>
    <w:basedOn w:val="a5"/>
    <w:pPr>
      <w:tabs>
        <w:tab w:val="clear" w:pos="1154"/>
      </w:tabs>
      <w:ind w:left="0" w:firstLine="0"/>
    </w:pPr>
  </w:style>
  <w:style w:type="paragraph" w:customStyle="1" w:styleId="AnnexSG17">
    <w:name w:val="Annex SG17"/>
    <w:basedOn w:val="Normal"/>
    <w:pPr>
      <w:keepNext/>
      <w:keepLines/>
      <w:spacing w:before="0" w:line="0" w:lineRule="atLeast"/>
      <w:jc w:val="center"/>
    </w:pPr>
    <w:rPr>
      <w:rFonts w:eastAsia="MS Mincho"/>
      <w:szCs w:val="24"/>
      <w:lang w:eastAsia="ja-JP"/>
    </w:rPr>
  </w:style>
  <w:style w:type="paragraph" w:customStyle="1" w:styleId="FigureNoTitle0">
    <w:name w:val="Figure_NoTitle"/>
    <w:basedOn w:val="Normal"/>
    <w:next w:val="Normalaftertitle"/>
    <w:pPr>
      <w:keepLines/>
      <w:spacing w:before="240" w:after="120"/>
      <w:jc w:val="center"/>
    </w:pPr>
    <w:rPr>
      <w:rFonts w:eastAsia="MS Mincho"/>
      <w:b/>
      <w:lang w:val="en-GB" w:eastAsia="en-US"/>
    </w:rPr>
  </w:style>
  <w:style w:type="paragraph" w:customStyle="1" w:styleId="a7">
    <w:name w:val="列项·"/>
    <w:pPr>
      <w:tabs>
        <w:tab w:val="num" w:pos="432"/>
        <w:tab w:val="left" w:pos="840"/>
      </w:tabs>
      <w:ind w:left="432" w:hanging="432"/>
      <w:jc w:val="both"/>
    </w:pPr>
    <w:rPr>
      <w:rFonts w:ascii="SimSun" w:eastAsia="SimSun"/>
      <w:sz w:val="21"/>
    </w:rPr>
  </w:style>
  <w:style w:type="paragraph" w:customStyle="1" w:styleId="MEP">
    <w:name w:val="MEP"/>
    <w:basedOn w:val="Normal"/>
    <w:pPr>
      <w:overflowPunct/>
      <w:autoSpaceDE/>
      <w:autoSpaceDN/>
      <w:adjustRightInd/>
      <w:spacing w:before="0"/>
      <w:textAlignment w:val="auto"/>
    </w:pPr>
    <w:rPr>
      <w:rFonts w:eastAsia="MS Mincho"/>
      <w:sz w:val="20"/>
      <w:szCs w:val="24"/>
      <w:lang w:eastAsia="en-US"/>
    </w:rPr>
  </w:style>
  <w:style w:type="paragraph" w:customStyle="1" w:styleId="ListOfAnswers1">
    <w:name w:val="ListOfAnswers1"/>
    <w:basedOn w:val="Normal"/>
    <w:pPr>
      <w:keepLines/>
      <w:tabs>
        <w:tab w:val="clear" w:pos="794"/>
        <w:tab w:val="clear" w:pos="1191"/>
        <w:tab w:val="clear" w:pos="1588"/>
        <w:tab w:val="clear" w:pos="1985"/>
        <w:tab w:val="num" w:pos="960"/>
        <w:tab w:val="left" w:pos="1474"/>
      </w:tabs>
      <w:suppressAutoHyphens/>
      <w:overflowPunct/>
      <w:autoSpaceDE/>
      <w:autoSpaceDN/>
      <w:adjustRightInd/>
      <w:spacing w:before="0"/>
      <w:ind w:left="1378" w:hanging="360"/>
      <w:textAlignment w:val="auto"/>
    </w:pPr>
    <w:rPr>
      <w:rFonts w:eastAsia="MS Mincho"/>
      <w:i/>
      <w:szCs w:val="24"/>
      <w:lang w:val="ru-RU" w:eastAsia="ru-RU"/>
    </w:rPr>
  </w:style>
  <w:style w:type="paragraph" w:customStyle="1" w:styleId="MAIN-TITLE">
    <w:name w:val="MAIN-TITLE"/>
    <w:basedOn w:val="Normal"/>
    <w:pPr>
      <w:tabs>
        <w:tab w:val="clear" w:pos="794"/>
        <w:tab w:val="clear" w:pos="1191"/>
        <w:tab w:val="clear" w:pos="1588"/>
        <w:tab w:val="clear" w:pos="1985"/>
      </w:tabs>
      <w:overflowPunct/>
      <w:autoSpaceDE/>
      <w:autoSpaceDN/>
      <w:adjustRightInd/>
      <w:snapToGrid w:val="0"/>
      <w:spacing w:before="0"/>
      <w:jc w:val="center"/>
      <w:textAlignment w:val="auto"/>
    </w:pPr>
    <w:rPr>
      <w:rFonts w:ascii="Arial" w:eastAsia="MS Mincho" w:hAnsi="Arial" w:cs="Arial"/>
      <w:b/>
      <w:bCs/>
      <w:spacing w:val="8"/>
      <w:szCs w:val="24"/>
      <w:lang w:val="en-GB"/>
    </w:rPr>
  </w:style>
  <w:style w:type="paragraph" w:customStyle="1" w:styleId="Indent">
    <w:name w:val="Indent"/>
    <w:basedOn w:val="Normal"/>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rFonts w:eastAsia="MS Mincho"/>
      <w:sz w:val="22"/>
      <w:lang w:eastAsia="en-US"/>
    </w:rPr>
  </w:style>
  <w:style w:type="paragraph" w:customStyle="1" w:styleId="EX">
    <w:name w:val="EX"/>
    <w:basedOn w:val="Normal"/>
    <w:pPr>
      <w:keepLines/>
      <w:tabs>
        <w:tab w:val="clear" w:pos="794"/>
        <w:tab w:val="clear" w:pos="1191"/>
        <w:tab w:val="clear" w:pos="1588"/>
        <w:tab w:val="clear" w:pos="1985"/>
      </w:tabs>
      <w:overflowPunct/>
      <w:autoSpaceDE/>
      <w:autoSpaceDN/>
      <w:adjustRightInd/>
      <w:spacing w:before="0" w:after="180"/>
      <w:ind w:left="1702" w:hanging="1418"/>
      <w:textAlignment w:val="auto"/>
    </w:pPr>
    <w:rPr>
      <w:rFonts w:eastAsia="MS Mincho"/>
      <w:sz w:val="20"/>
      <w:lang w:val="en-GB"/>
    </w:rPr>
  </w:style>
  <w:style w:type="paragraph" w:customStyle="1" w:styleId="reference">
    <w:name w:val="reference"/>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xsref">
    <w:name w:val="xsref"/>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NPNormal">
    <w:name w:val="NPNormal"/>
    <w:basedOn w:val="Normal"/>
    <w:pPr>
      <w:tabs>
        <w:tab w:val="clear" w:pos="794"/>
        <w:tab w:val="clear" w:pos="1191"/>
        <w:tab w:val="clear" w:pos="1588"/>
        <w:tab w:val="clear" w:pos="1985"/>
        <w:tab w:val="num" w:pos="360"/>
      </w:tabs>
      <w:overflowPunct/>
      <w:autoSpaceDE/>
      <w:autoSpaceDN/>
      <w:adjustRightInd/>
      <w:spacing w:before="100" w:after="100"/>
      <w:textAlignment w:val="auto"/>
    </w:pPr>
    <w:rPr>
      <w:rFonts w:ascii="Arial" w:eastAsia="MS Mincho" w:hAnsi="Arial"/>
      <w:sz w:val="20"/>
      <w:lang w:val="en-GB" w:eastAsia="en-US"/>
    </w:rPr>
  </w:style>
  <w:style w:type="paragraph" w:customStyle="1" w:styleId="AnnexHeading1">
    <w:name w:val="AnnexHeading 1"/>
    <w:basedOn w:val="Normal"/>
    <w:next w:val="Normal"/>
    <w:pPr>
      <w:keepNext/>
      <w:pageBreakBefore/>
      <w:tabs>
        <w:tab w:val="clear" w:pos="794"/>
        <w:tab w:val="clear" w:pos="1191"/>
        <w:tab w:val="clear" w:pos="1588"/>
        <w:tab w:val="clear" w:pos="1985"/>
        <w:tab w:val="num" w:pos="720"/>
      </w:tabs>
      <w:overflowPunct/>
      <w:autoSpaceDE/>
      <w:autoSpaceDN/>
      <w:adjustRightInd/>
      <w:spacing w:before="0" w:after="360"/>
      <w:jc w:val="center"/>
      <w:textAlignment w:val="auto"/>
      <w:outlineLvl w:val="0"/>
    </w:pPr>
    <w:rPr>
      <w:rFonts w:ascii="Arial" w:eastAsia="MS Mincho" w:hAnsi="Arial"/>
      <w:b/>
      <w:lang w:val="en-GB" w:eastAsia="en-US"/>
    </w:rPr>
  </w:style>
  <w:style w:type="paragraph" w:customStyle="1" w:styleId="AnnexHeading2">
    <w:name w:val="AnnexHeading 2"/>
    <w:basedOn w:val="Normal"/>
    <w:next w:val="Normal"/>
    <w:pPr>
      <w:keepNext/>
      <w:tabs>
        <w:tab w:val="clear" w:pos="794"/>
        <w:tab w:val="clear" w:pos="1191"/>
        <w:tab w:val="clear" w:pos="1588"/>
        <w:tab w:val="clear" w:pos="1985"/>
        <w:tab w:val="num" w:pos="864"/>
      </w:tabs>
      <w:overflowPunct/>
      <w:autoSpaceDE/>
      <w:autoSpaceDN/>
      <w:adjustRightInd/>
      <w:spacing w:after="120"/>
      <w:textAlignment w:val="auto"/>
      <w:outlineLvl w:val="1"/>
    </w:pPr>
    <w:rPr>
      <w:rFonts w:ascii="Arial" w:eastAsia="MS Mincho" w:hAnsi="Arial"/>
      <w:b/>
      <w:lang w:val="en-GB" w:eastAsia="en-US"/>
    </w:rPr>
  </w:style>
  <w:style w:type="paragraph" w:customStyle="1" w:styleId="AnnexHeading4">
    <w:name w:val="AnnexHeading 4"/>
    <w:basedOn w:val="Normal"/>
    <w:pPr>
      <w:keepNext/>
      <w:tabs>
        <w:tab w:val="clear" w:pos="794"/>
        <w:tab w:val="clear" w:pos="1191"/>
        <w:tab w:val="clear" w:pos="1588"/>
        <w:tab w:val="clear" w:pos="1985"/>
        <w:tab w:val="num" w:pos="1134"/>
      </w:tabs>
      <w:overflowPunct/>
      <w:autoSpaceDE/>
      <w:autoSpaceDN/>
      <w:adjustRightInd/>
      <w:spacing w:before="0" w:after="120"/>
      <w:textAlignment w:val="auto"/>
      <w:outlineLvl w:val="2"/>
    </w:pPr>
    <w:rPr>
      <w:rFonts w:ascii="Arial" w:eastAsia="MS Mincho" w:hAnsi="Arial"/>
      <w:b/>
      <w:snapToGrid w:val="0"/>
      <w:lang w:val="en-GB" w:eastAsia="en-US"/>
    </w:rPr>
  </w:style>
  <w:style w:type="paragraph" w:customStyle="1" w:styleId="AnnexHeading5">
    <w:name w:val="AnnexHeading 5"/>
    <w:basedOn w:val="AnnexHeading4"/>
    <w:pPr>
      <w:tabs>
        <w:tab w:val="clear" w:pos="1134"/>
        <w:tab w:val="num" w:pos="420"/>
      </w:tabs>
      <w:ind w:left="420" w:hanging="420"/>
    </w:pPr>
  </w:style>
  <w:style w:type="paragraph" w:customStyle="1" w:styleId="Bullet1">
    <w:name w:val="Bullet 1"/>
    <w:basedOn w:val="Normal"/>
    <w:pPr>
      <w:tabs>
        <w:tab w:val="clear" w:pos="794"/>
        <w:tab w:val="clear" w:pos="1191"/>
        <w:tab w:val="clear" w:pos="1588"/>
        <w:tab w:val="clear" w:pos="1985"/>
        <w:tab w:val="num" w:pos="1381"/>
      </w:tabs>
      <w:overflowPunct/>
      <w:autoSpaceDE/>
      <w:autoSpaceDN/>
      <w:adjustRightInd/>
      <w:spacing w:before="0"/>
      <w:ind w:left="1381" w:hanging="360"/>
      <w:textAlignment w:val="auto"/>
    </w:pPr>
    <w:rPr>
      <w:rFonts w:eastAsia="MS Mincho"/>
      <w:noProof/>
      <w:sz w:val="20"/>
      <w:lang w:eastAsia="en-US"/>
    </w:rPr>
  </w:style>
  <w:style w:type="paragraph" w:customStyle="1" w:styleId="CM14">
    <w:name w:val="CM14"/>
    <w:basedOn w:val="Normal"/>
    <w:next w:val="Normal"/>
    <w:pPr>
      <w:widowControl w:val="0"/>
      <w:tabs>
        <w:tab w:val="clear" w:pos="794"/>
        <w:tab w:val="clear" w:pos="1191"/>
        <w:tab w:val="clear" w:pos="1588"/>
        <w:tab w:val="clear" w:pos="1985"/>
      </w:tabs>
      <w:overflowPunct/>
      <w:spacing w:before="0" w:after="200"/>
      <w:textAlignment w:val="auto"/>
    </w:pPr>
    <w:rPr>
      <w:rFonts w:ascii="Arial" w:eastAsia="PMingLiU" w:hAnsi="Arial"/>
      <w:szCs w:val="24"/>
      <w:lang w:eastAsia="zh-TW"/>
    </w:rPr>
  </w:style>
  <w:style w:type="paragraph" w:customStyle="1" w:styleId="CM16">
    <w:name w:val="CM16"/>
    <w:basedOn w:val="Normal"/>
    <w:next w:val="Normal"/>
    <w:pPr>
      <w:widowControl w:val="0"/>
      <w:tabs>
        <w:tab w:val="clear" w:pos="794"/>
        <w:tab w:val="clear" w:pos="1191"/>
        <w:tab w:val="clear" w:pos="1588"/>
        <w:tab w:val="clear" w:pos="1985"/>
      </w:tabs>
      <w:overflowPunct/>
      <w:spacing w:before="0" w:after="308"/>
      <w:textAlignment w:val="auto"/>
    </w:pPr>
    <w:rPr>
      <w:rFonts w:ascii="Arial" w:eastAsia="PMingLiU" w:hAnsi="Arial"/>
      <w:szCs w:val="24"/>
      <w:lang w:eastAsia="zh-TW"/>
    </w:rPr>
  </w:style>
  <w:style w:type="paragraph" w:customStyle="1" w:styleId="ISOComments">
    <w:name w:val="ISO_Comments"/>
    <w:basedOn w:val="Normal"/>
    <w:pPr>
      <w:tabs>
        <w:tab w:val="clear" w:pos="794"/>
        <w:tab w:val="clear" w:pos="1191"/>
        <w:tab w:val="clear" w:pos="1588"/>
        <w:tab w:val="clear" w:pos="1985"/>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hange">
    <w:name w:val="ISO_Change"/>
    <w:basedOn w:val="Normal"/>
    <w:pPr>
      <w:tabs>
        <w:tab w:val="clear" w:pos="794"/>
        <w:tab w:val="clear" w:pos="1191"/>
        <w:tab w:val="clear" w:pos="1588"/>
        <w:tab w:val="clear" w:pos="1985"/>
        <w:tab w:val="num" w:pos="108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SecretObservations">
    <w:name w:val="ISO_Secret_Observations"/>
    <w:basedOn w:val="Normal"/>
    <w:pPr>
      <w:tabs>
        <w:tab w:val="clear" w:pos="794"/>
        <w:tab w:val="clear" w:pos="1191"/>
        <w:tab w:val="clear" w:pos="1588"/>
        <w:tab w:val="clear" w:pos="1985"/>
        <w:tab w:val="num" w:pos="36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lause">
    <w:name w:val="ISO_Clause"/>
    <w:basedOn w:val="Normal"/>
    <w:pPr>
      <w:tabs>
        <w:tab w:val="clear" w:pos="794"/>
        <w:tab w:val="clear" w:pos="1191"/>
        <w:tab w:val="clear" w:pos="1588"/>
        <w:tab w:val="clear" w:pos="1985"/>
        <w:tab w:val="num" w:pos="72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Paragraph">
    <w:name w:val="ISO_Paragraph"/>
    <w:basedOn w:val="Normal"/>
    <w:pPr>
      <w:tabs>
        <w:tab w:val="clear" w:pos="794"/>
        <w:tab w:val="clear" w:pos="1191"/>
        <w:tab w:val="clear" w:pos="1588"/>
        <w:tab w:val="clear" w:pos="1985"/>
        <w:tab w:val="num" w:pos="864"/>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ommType">
    <w:name w:val="ISO_Comm_Type"/>
    <w:basedOn w:val="Normal"/>
    <w:pPr>
      <w:tabs>
        <w:tab w:val="clear" w:pos="794"/>
        <w:tab w:val="clear" w:pos="1191"/>
        <w:tab w:val="clear" w:pos="1588"/>
        <w:tab w:val="clear" w:pos="1985"/>
        <w:tab w:val="num" w:pos="1134"/>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TERM-number">
    <w:name w:val="TERM-number"/>
    <w:basedOn w:val="Heading2"/>
    <w:next w:val="Normal"/>
    <w:pPr>
      <w:keepLines w:val="0"/>
      <w:numPr>
        <w:ilvl w:val="1"/>
      </w:numPr>
      <w:tabs>
        <w:tab w:val="clear" w:pos="794"/>
        <w:tab w:val="clear" w:pos="1191"/>
        <w:tab w:val="clear" w:pos="1588"/>
        <w:tab w:val="clear" w:pos="1985"/>
        <w:tab w:val="num" w:pos="360"/>
      </w:tabs>
      <w:suppressAutoHyphens/>
      <w:overflowPunct/>
      <w:autoSpaceDE/>
      <w:autoSpaceDN/>
      <w:adjustRightInd/>
      <w:snapToGrid w:val="0"/>
      <w:spacing w:before="100"/>
      <w:ind w:left="794" w:hanging="794"/>
      <w:textAlignment w:val="auto"/>
      <w:outlineLvl w:val="9"/>
    </w:pPr>
    <w:rPr>
      <w:rFonts w:ascii="Arial" w:eastAsia="Batang" w:hAnsi="Arial" w:cs="Arial"/>
      <w:bCs/>
      <w:spacing w:val="8"/>
      <w:sz w:val="20"/>
    </w:rPr>
  </w:style>
  <w:style w:type="paragraph" w:customStyle="1" w:styleId="CodeFragment">
    <w:name w:val="Code Fragment"/>
    <w:basedOn w:val="Normal"/>
    <w:pPr>
      <w:tabs>
        <w:tab w:val="clear" w:pos="1588"/>
        <w:tab w:val="clear" w:pos="1985"/>
        <w:tab w:val="left" w:pos="1587"/>
        <w:tab w:val="left" w:pos="1984"/>
      </w:tabs>
      <w:overflowPunct/>
      <w:autoSpaceDE/>
      <w:autoSpaceDN/>
      <w:adjustRightInd/>
      <w:spacing w:before="136"/>
      <w:textAlignment w:val="auto"/>
    </w:pPr>
    <w:rPr>
      <w:rFonts w:ascii="Arial" w:eastAsia="Batang" w:hAnsi="Arial"/>
      <w:sz w:val="20"/>
      <w:szCs w:val="24"/>
      <w:lang w:eastAsia="en-US"/>
    </w:rPr>
  </w:style>
  <w:style w:type="paragraph" w:customStyle="1" w:styleId="Cpara">
    <w:name w:val="C para"/>
    <w:basedOn w:val="Normal"/>
    <w:pPr>
      <w:tabs>
        <w:tab w:val="clear" w:pos="794"/>
        <w:tab w:val="clear" w:pos="1191"/>
        <w:tab w:val="clear" w:pos="1588"/>
        <w:tab w:val="clear" w:pos="1985"/>
        <w:tab w:val="left" w:pos="1400"/>
        <w:tab w:val="left" w:pos="2007"/>
      </w:tabs>
      <w:overflowPunct/>
      <w:spacing w:before="136"/>
      <w:ind w:left="680"/>
      <w:textAlignment w:val="auto"/>
    </w:pPr>
    <w:rPr>
      <w:rFonts w:ascii="Arial" w:eastAsia="Batang" w:hAnsi="Arial" w:cs="Arial"/>
      <w:b/>
      <w:noProof/>
      <w:color w:val="FF6600"/>
      <w:sz w:val="18"/>
      <w:szCs w:val="24"/>
      <w:lang w:val="en-GB" w:eastAsia="en-US"/>
    </w:rPr>
  </w:style>
  <w:style w:type="paragraph" w:customStyle="1" w:styleId="Cparacontinue">
    <w:name w:val="C para continue"/>
    <w:basedOn w:val="Cpara"/>
    <w:pPr>
      <w:spacing w:before="0"/>
    </w:pPr>
  </w:style>
  <w:style w:type="paragraph" w:customStyle="1" w:styleId="ASN1para">
    <w:name w:val="ASN.1 para"/>
    <w:basedOn w:val="Normal"/>
    <w:pPr>
      <w:widowControl w:val="0"/>
      <w:tabs>
        <w:tab w:val="clear" w:pos="1588"/>
        <w:tab w:val="clear" w:pos="1985"/>
        <w:tab w:val="left" w:pos="340"/>
        <w:tab w:val="left" w:pos="680"/>
        <w:tab w:val="left" w:pos="1021"/>
        <w:tab w:val="left" w:pos="1361"/>
        <w:tab w:val="left" w:pos="1587"/>
        <w:tab w:val="left" w:pos="1701"/>
        <w:tab w:val="left" w:pos="1984"/>
        <w:tab w:val="left" w:pos="2041"/>
        <w:tab w:val="left" w:pos="2381"/>
        <w:tab w:val="left" w:pos="2722"/>
        <w:tab w:val="left" w:pos="3062"/>
        <w:tab w:val="left" w:pos="3402"/>
        <w:tab w:val="left" w:pos="3742"/>
        <w:tab w:val="left" w:pos="4082"/>
        <w:tab w:val="left" w:pos="4423"/>
        <w:tab w:val="left" w:pos="4763"/>
        <w:tab w:val="left" w:pos="5103"/>
      </w:tabs>
      <w:suppressAutoHyphens/>
      <w:overflowPunct/>
      <w:autoSpaceDE/>
      <w:autoSpaceDN/>
      <w:adjustRightInd/>
      <w:spacing w:before="136"/>
      <w:ind w:left="680"/>
      <w:textAlignment w:val="auto"/>
    </w:pPr>
    <w:rPr>
      <w:rFonts w:ascii="Arial" w:eastAsia="Symbol" w:hAnsi="Arial"/>
      <w:b/>
      <w:noProof/>
      <w:color w:val="800080"/>
      <w:sz w:val="18"/>
      <w:szCs w:val="24"/>
      <w:lang w:val="en-GB" w:eastAsia="fr-FR"/>
    </w:rPr>
  </w:style>
  <w:style w:type="paragraph" w:customStyle="1" w:styleId="kgkreflist">
    <w:name w:val="kgkreflist"/>
    <w:basedOn w:val="Normal"/>
    <w:pPr>
      <w:tabs>
        <w:tab w:val="num" w:pos="720"/>
      </w:tabs>
      <w:ind w:left="720" w:hanging="360"/>
    </w:pPr>
    <w:rPr>
      <w:rFonts w:eastAsia="MS Mincho"/>
      <w:lang w:val="en-GB" w:eastAsia="en-US"/>
    </w:rPr>
  </w:style>
  <w:style w:type="paragraph" w:customStyle="1" w:styleId="ISOMB">
    <w:name w:val="ISO_MB"/>
    <w:basedOn w:val="Normal"/>
    <w:pPr>
      <w:tabs>
        <w:tab w:val="clear" w:pos="794"/>
        <w:tab w:val="clear" w:pos="1191"/>
        <w:tab w:val="clear" w:pos="1588"/>
        <w:tab w:val="clear" w:pos="1985"/>
      </w:tabs>
      <w:overflowPunct/>
      <w:autoSpaceDE/>
      <w:autoSpaceDN/>
      <w:adjustRightInd/>
      <w:spacing w:before="210" w:line="210" w:lineRule="exact"/>
      <w:textAlignment w:val="auto"/>
    </w:pPr>
    <w:rPr>
      <w:rFonts w:ascii="Arial" w:eastAsia="Batang" w:hAnsi="Arial"/>
      <w:sz w:val="18"/>
      <w:lang w:val="en-GB" w:eastAsia="en-US"/>
    </w:rPr>
  </w:style>
  <w:style w:type="paragraph" w:customStyle="1" w:styleId="AnnexClause3">
    <w:name w:val="Annex Clause 3"/>
    <w:basedOn w:val="Normal"/>
    <w:autoRedefine/>
    <w:pPr>
      <w:tabs>
        <w:tab w:val="clear" w:pos="794"/>
        <w:tab w:val="clear" w:pos="1191"/>
        <w:tab w:val="clear" w:pos="1588"/>
        <w:tab w:val="clear" w:pos="1985"/>
        <w:tab w:val="num" w:pos="720"/>
      </w:tabs>
      <w:overflowPunct/>
      <w:autoSpaceDE/>
      <w:autoSpaceDN/>
      <w:adjustRightInd/>
      <w:spacing w:before="0" w:after="120"/>
      <w:ind w:left="357" w:hanging="357"/>
      <w:textAlignment w:val="auto"/>
    </w:pPr>
    <w:rPr>
      <w:rFonts w:ascii="Arial" w:eastAsia="MS Mincho" w:hAnsi="Arial"/>
      <w:sz w:val="20"/>
      <w:lang w:val="en-GB" w:eastAsia="en-US"/>
    </w:rPr>
  </w:style>
  <w:style w:type="paragraph" w:customStyle="1" w:styleId="TERM-definition">
    <w:name w:val="TERM-definition"/>
    <w:basedOn w:val="Normal"/>
    <w:next w:val="TERM-number"/>
    <w:pPr>
      <w:tabs>
        <w:tab w:val="clear" w:pos="794"/>
        <w:tab w:val="clear" w:pos="1191"/>
        <w:tab w:val="clear" w:pos="1588"/>
        <w:tab w:val="clear" w:pos="1985"/>
      </w:tabs>
      <w:overflowPunct/>
      <w:autoSpaceDE/>
      <w:autoSpaceDN/>
      <w:adjustRightInd/>
      <w:snapToGrid w:val="0"/>
      <w:spacing w:before="0" w:after="200"/>
      <w:jc w:val="both"/>
      <w:textAlignment w:val="auto"/>
    </w:pPr>
    <w:rPr>
      <w:rFonts w:ascii="Arial" w:eastAsia="Batang" w:hAnsi="Arial" w:cs="Arial"/>
      <w:spacing w:val="8"/>
      <w:sz w:val="20"/>
      <w:lang w:val="en-GB"/>
    </w:rPr>
  </w:style>
  <w:style w:type="paragraph" w:customStyle="1" w:styleId="Heading">
    <w:name w:val="Heading"/>
    <w:basedOn w:val="Normal"/>
    <w:next w:val="Normal"/>
    <w:pPr>
      <w:keepNext/>
      <w:widowControl w:val="0"/>
      <w:tabs>
        <w:tab w:val="clear" w:pos="794"/>
        <w:tab w:val="clear" w:pos="1191"/>
        <w:tab w:val="clear" w:pos="1588"/>
        <w:tab w:val="clear" w:pos="1985"/>
      </w:tabs>
      <w:suppressAutoHyphens/>
      <w:overflowPunct/>
      <w:autoSpaceDE/>
      <w:autoSpaceDN/>
      <w:adjustRightInd/>
      <w:spacing w:before="240" w:after="120"/>
      <w:textAlignment w:val="auto"/>
    </w:pPr>
    <w:rPr>
      <w:rFonts w:ascii="Arial" w:eastAsia="MS PGothic" w:hAnsi="Arial" w:cs="Tahoma"/>
      <w:kern w:val="1"/>
      <w:sz w:val="28"/>
      <w:szCs w:val="28"/>
      <w:lang w:eastAsia="en-US"/>
    </w:rPr>
  </w:style>
  <w:style w:type="paragraph" w:customStyle="1" w:styleId="Index">
    <w:name w:val="Index"/>
    <w:basedOn w:val="Normal"/>
    <w:pPr>
      <w:widowControl w:val="0"/>
      <w:suppressLineNumbers/>
      <w:tabs>
        <w:tab w:val="clear" w:pos="794"/>
        <w:tab w:val="clear" w:pos="1191"/>
        <w:tab w:val="clear" w:pos="1588"/>
        <w:tab w:val="clear" w:pos="1985"/>
      </w:tabs>
      <w:suppressAutoHyphens/>
      <w:overflowPunct/>
      <w:autoSpaceDE/>
      <w:autoSpaceDN/>
      <w:adjustRightInd/>
      <w:spacing w:before="0"/>
      <w:textAlignment w:val="auto"/>
    </w:pPr>
    <w:rPr>
      <w:rFonts w:eastAsia="MS PMincho" w:cs="Tahoma"/>
      <w:kern w:val="1"/>
      <w:szCs w:val="24"/>
      <w:lang w:eastAsia="en-US"/>
    </w:rPr>
  </w:style>
  <w:style w:type="paragraph" w:customStyle="1" w:styleId="TableContents">
    <w:name w:val="Table Contents"/>
    <w:basedOn w:val="Normal"/>
    <w:pPr>
      <w:widowControl w:val="0"/>
      <w:suppressLineNumbers/>
      <w:tabs>
        <w:tab w:val="clear" w:pos="794"/>
        <w:tab w:val="clear" w:pos="1191"/>
        <w:tab w:val="clear" w:pos="1588"/>
        <w:tab w:val="clear" w:pos="1985"/>
      </w:tabs>
      <w:suppressAutoHyphens/>
      <w:overflowPunct/>
      <w:autoSpaceDE/>
      <w:autoSpaceDN/>
      <w:adjustRightInd/>
      <w:spacing w:before="0"/>
      <w:textAlignment w:val="auto"/>
    </w:pPr>
    <w:rPr>
      <w:rFonts w:eastAsia="MS PMincho"/>
      <w:kern w:val="1"/>
      <w:szCs w:val="24"/>
      <w:lang w:eastAsia="en-US"/>
    </w:rPr>
  </w:style>
  <w:style w:type="paragraph" w:customStyle="1" w:styleId="TableHeading">
    <w:name w:val="Table Heading"/>
    <w:basedOn w:val="TableContents"/>
    <w:pPr>
      <w:jc w:val="center"/>
    </w:pPr>
    <w:rPr>
      <w:b/>
      <w:bCs/>
    </w:rPr>
  </w:style>
  <w:style w:type="paragraph" w:customStyle="1" w:styleId="HTMLPreformatted1">
    <w:name w:val="HTML Preformatted1"/>
    <w:basedOn w:val="Normal"/>
    <w:pPr>
      <w:widowControl w:val="0"/>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before="0"/>
      <w:textAlignment w:val="auto"/>
    </w:pPr>
    <w:rPr>
      <w:rFonts w:ascii="Courier New" w:eastAsia="SimSun" w:hAnsi="Courier New" w:cs="Courier New"/>
      <w:kern w:val="1"/>
      <w:sz w:val="20"/>
      <w:szCs w:val="24"/>
    </w:rPr>
  </w:style>
  <w:style w:type="paragraph" w:customStyle="1" w:styleId="StyleASN1ContinueGauche0cm">
    <w:name w:val="Style ASN.1 Continue + Gauche :  0 cm"/>
    <w:basedOn w:val="ASN1Continue"/>
    <w:autoRedefine/>
    <w:pPr>
      <w:tabs>
        <w:tab w:val="clear" w:pos="1400"/>
        <w:tab w:val="left" w:pos="400"/>
        <w:tab w:val="left" w:pos="794"/>
        <w:tab w:val="left" w:pos="1191"/>
        <w:tab w:val="left" w:pos="1587"/>
      </w:tabs>
      <w:ind w:left="0"/>
    </w:pPr>
    <w:rPr>
      <w:rFonts w:eastAsia="MS Mincho"/>
      <w:bCs/>
      <w:szCs w:val="20"/>
    </w:rPr>
  </w:style>
  <w:style w:type="paragraph" w:customStyle="1" w:styleId="tabletext2">
    <w:name w:val="tabletext"/>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ele">
    <w:name w:val="ele."/>
    <w:basedOn w:val="ListParagraph"/>
    <w:pPr>
      <w:numPr>
        <w:numId w:val="7"/>
      </w:numPr>
      <w:tabs>
        <w:tab w:val="left" w:pos="284"/>
        <w:tab w:val="num" w:pos="360"/>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hanging="720"/>
    </w:pPr>
    <w:rPr>
      <w:rFonts w:ascii="Times New Roman" w:hAnsi="Times New Roman"/>
      <w:sz w:val="24"/>
      <w:szCs w:val="24"/>
      <w:lang w:eastAsia="en-US"/>
    </w:rPr>
  </w:style>
  <w:style w:type="paragraph" w:customStyle="1" w:styleId="tabletext10">
    <w:name w:val="table_text 10"/>
    <w:basedOn w:val="Tabletext"/>
    <w:pPr>
      <w:keepLines/>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969"/>
        <w:tab w:val="left" w:pos="794"/>
        <w:tab w:val="left" w:pos="1191"/>
        <w:tab w:val="left" w:pos="1588"/>
      </w:tabs>
      <w:overflowPunct/>
      <w:autoSpaceDE/>
      <w:autoSpaceDN/>
      <w:adjustRightInd/>
      <w:spacing w:before="120" w:after="120" w:line="190" w:lineRule="exact"/>
      <w:textAlignment w:val="auto"/>
    </w:pPr>
    <w:rPr>
      <w:sz w:val="20"/>
      <w:lang w:val="en-GB" w:eastAsia="en-US"/>
    </w:rPr>
  </w:style>
  <w:style w:type="character" w:customStyle="1" w:styleId="s31">
    <w:name w:val="s31"/>
    <w:basedOn w:val="DefaultParagraphFont"/>
  </w:style>
  <w:style w:type="character" w:customStyle="1" w:styleId="hps">
    <w:name w:val="hps"/>
  </w:style>
  <w:style w:type="character" w:customStyle="1" w:styleId="ms-rtethemeforecolor-2-0">
    <w:name w:val="ms-rtethemeforecolor-2-0"/>
    <w:basedOn w:val="DefaultParagraphFont"/>
  </w:style>
  <w:style w:type="character" w:customStyle="1" w:styleId="href">
    <w:name w:val="href"/>
    <w:rPr>
      <w:lang w:val="fr-FR"/>
    </w:rPr>
  </w:style>
  <w:style w:type="character" w:customStyle="1" w:styleId="ms-rtethemebackcolor-1-0">
    <w:name w:val="ms-rtethemebackcolor-1-0"/>
    <w:basedOn w:val="DefaultParagraphFont"/>
  </w:style>
  <w:style w:type="paragraph" w:customStyle="1" w:styleId="Annextitle0">
    <w:name w:val="Annex_title"/>
    <w:basedOn w:val="Normal"/>
    <w:next w:val="Normal"/>
    <w:pPr>
      <w:keepNext/>
      <w:keepLines/>
      <w:spacing w:before="240" w:after="280"/>
      <w:jc w:val="center"/>
    </w:pPr>
    <w:rPr>
      <w:rFonts w:ascii="Times New Roman Bold" w:eastAsia="Batang" w:hAnsi="Times New Roman Bold"/>
      <w:b/>
      <w:sz w:val="28"/>
      <w:lang w:val="en-GB" w:eastAsia="en-US"/>
    </w:rPr>
  </w:style>
  <w:style w:type="character" w:customStyle="1" w:styleId="ms-rteforecolor-2">
    <w:name w:val="ms-rteforecolor-2"/>
  </w:style>
  <w:style w:type="paragraph" w:customStyle="1" w:styleId="Docnumber">
    <w:name w:val="Docnumber"/>
    <w:basedOn w:val="Normal"/>
    <w:link w:val="DocnumberChar"/>
    <w:rsid w:val="006F110A"/>
    <w:pPr>
      <w:jc w:val="right"/>
    </w:pPr>
    <w:rPr>
      <w:rFonts w:asciiTheme="majorBidi" w:eastAsia="SimSun" w:hAnsiTheme="majorBidi" w:cstheme="majorBidi"/>
      <w:b/>
      <w:sz w:val="32"/>
      <w:szCs w:val="32"/>
      <w:lang w:val="en-GB"/>
    </w:rPr>
  </w:style>
  <w:style w:type="character" w:customStyle="1" w:styleId="DocnumberChar">
    <w:name w:val="Docnumber Char"/>
    <w:link w:val="Docnumber"/>
    <w:rsid w:val="006F110A"/>
    <w:rPr>
      <w:rFonts w:asciiTheme="majorBidi" w:eastAsia="SimSun" w:hAnsiTheme="majorBidi" w:cstheme="majorBidi"/>
      <w:b/>
      <w:sz w:val="32"/>
      <w:szCs w:val="32"/>
      <w:lang w:val="en-GB"/>
    </w:rPr>
  </w:style>
  <w:style w:type="paragraph" w:styleId="Index7">
    <w:name w:val="index 7"/>
    <w:basedOn w:val="Normal"/>
    <w:next w:val="Normal"/>
    <w:pPr>
      <w:ind w:left="1698"/>
    </w:pPr>
    <w:rPr>
      <w:lang w:val="en-GB" w:eastAsia="en-US"/>
    </w:rPr>
  </w:style>
  <w:style w:type="paragraph" w:styleId="Index6">
    <w:name w:val="index 6"/>
    <w:basedOn w:val="Normal"/>
    <w:next w:val="Normal"/>
    <w:pPr>
      <w:ind w:left="1415"/>
    </w:pPr>
    <w:rPr>
      <w:lang w:val="en-GB" w:eastAsia="en-US"/>
    </w:rPr>
  </w:style>
  <w:style w:type="paragraph" w:customStyle="1" w:styleId="Appendixref0">
    <w:name w:val="Appendix_ref"/>
    <w:basedOn w:val="Normal"/>
    <w:next w:val="Normal"/>
    <w:pPr>
      <w:keepNext/>
      <w:keepLines/>
      <w:spacing w:after="280"/>
      <w:jc w:val="center"/>
    </w:pPr>
    <w:rPr>
      <w:lang w:val="en-GB" w:eastAsia="en-US"/>
    </w:rPr>
  </w:style>
  <w:style w:type="paragraph" w:customStyle="1" w:styleId="Tabletitle1">
    <w:name w:val="Table_title"/>
    <w:basedOn w:val="Normal"/>
    <w:next w:val="Tabletext"/>
    <w:pPr>
      <w:keepNext/>
      <w:keepLines/>
      <w:spacing w:before="0" w:after="120"/>
      <w:jc w:val="center"/>
    </w:pPr>
    <w:rPr>
      <w:rFonts w:ascii="Times New Roman Bold" w:hAnsi="Times New Roman Bold"/>
      <w:b/>
      <w:lang w:val="en-GB" w:eastAsia="en-US"/>
    </w:rPr>
  </w:style>
  <w:style w:type="paragraph" w:customStyle="1" w:styleId="TableNo">
    <w:name w:val="Table_No"/>
    <w:basedOn w:val="Normal"/>
    <w:next w:val="Tabletitle1"/>
    <w:pPr>
      <w:keepNext/>
      <w:spacing w:before="560" w:after="120"/>
      <w:jc w:val="center"/>
    </w:pPr>
    <w:rPr>
      <w:caps/>
      <w:lang w:val="en-GB" w:eastAsia="en-US"/>
    </w:rPr>
  </w:style>
  <w:style w:type="paragraph" w:customStyle="1" w:styleId="WTSA1">
    <w:name w:val="WTSA1"/>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customStyle="1" w:styleId="WTSA2">
    <w:name w:val="WTSA2"/>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customStyle="1" w:styleId="Symbol">
    <w:name w:val="Symbol"/>
    <w:rPr>
      <w:rFonts w:ascii="Symbol" w:hAnsi="Symbol"/>
      <w:i/>
    </w:rPr>
  </w:style>
  <w:style w:type="paragraph" w:customStyle="1" w:styleId="listitem">
    <w:name w:val="listitem"/>
    <w:basedOn w:val="Normal"/>
    <w:pPr>
      <w:spacing w:before="0"/>
    </w:pPr>
    <w:rPr>
      <w:lang w:val="en-GB" w:eastAsia="en-US"/>
    </w:rPr>
  </w:style>
  <w:style w:type="paragraph" w:customStyle="1" w:styleId="Questionheading">
    <w:name w:val="Question_heading"/>
    <w:basedOn w:val="Heading3"/>
    <w:pPr>
      <w:spacing w:before="200"/>
    </w:pPr>
  </w:style>
  <w:style w:type="character" w:customStyle="1" w:styleId="highlight">
    <w:name w:val="highlight"/>
  </w:style>
  <w:style w:type="paragraph" w:customStyle="1" w:styleId="ColorfulList-Accent11">
    <w:name w:val="Colorful List - Accent 11"/>
    <w:basedOn w:val="Normal"/>
    <w:uiPriority w:val="34"/>
    <w:pPr>
      <w:ind w:left="720"/>
      <w:contextualSpacing/>
    </w:pPr>
    <w:rPr>
      <w:rFonts w:eastAsia="Malgun Gothic"/>
      <w:lang w:val="en-GB" w:eastAsia="en-US"/>
    </w:rPr>
  </w:style>
  <w:style w:type="paragraph" w:customStyle="1" w:styleId="Abstract">
    <w:name w:val="Abstract"/>
    <w:basedOn w:val="Normal"/>
    <w:pPr>
      <w:tabs>
        <w:tab w:val="clear" w:pos="794"/>
        <w:tab w:val="clear" w:pos="1191"/>
        <w:tab w:val="clear" w:pos="1588"/>
        <w:tab w:val="clear" w:pos="1985"/>
        <w:tab w:val="left" w:pos="1134"/>
        <w:tab w:val="left" w:pos="1871"/>
        <w:tab w:val="left" w:pos="2268"/>
      </w:tabs>
    </w:pPr>
    <w:rPr>
      <w:lang w:eastAsia="en-US"/>
    </w:rPr>
  </w:style>
  <w:style w:type="paragraph" w:customStyle="1" w:styleId="Agendaitem">
    <w:name w:val="Agenda_item"/>
    <w:basedOn w:val="Normal"/>
    <w:next w:val="Normal"/>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eastAsia="en-US"/>
    </w:rPr>
  </w:style>
  <w:style w:type="paragraph" w:customStyle="1" w:styleId="FigureNo">
    <w:name w:val="Figure_No"/>
    <w:basedOn w:val="Normal"/>
    <w:next w:val="Normal"/>
    <w:pPr>
      <w:keepNext/>
      <w:keepLines/>
      <w:tabs>
        <w:tab w:val="clear" w:pos="794"/>
        <w:tab w:val="clear" w:pos="1191"/>
        <w:tab w:val="clear" w:pos="1588"/>
        <w:tab w:val="clear" w:pos="1985"/>
        <w:tab w:val="left" w:pos="1134"/>
        <w:tab w:val="left" w:pos="1871"/>
        <w:tab w:val="left" w:pos="2268"/>
      </w:tabs>
      <w:spacing w:before="480" w:after="120"/>
      <w:jc w:val="center"/>
    </w:pPr>
    <w:rPr>
      <w:caps/>
      <w:lang w:val="en-GB" w:eastAsia="en-US"/>
    </w:rPr>
  </w:style>
  <w:style w:type="paragraph" w:customStyle="1" w:styleId="Figuretitle0">
    <w:name w:val="Figure_title"/>
    <w:basedOn w:val="Normal"/>
    <w:next w:val="Normal"/>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hAnsi="Times New Roman Bold"/>
      <w:b/>
      <w:lang w:val="en-GB" w:eastAsia="en-US"/>
    </w:rPr>
  </w:style>
  <w:style w:type="paragraph" w:customStyle="1" w:styleId="Committee">
    <w:name w:val="Committee"/>
    <w:basedOn w:val="Normal"/>
    <w:pPr>
      <w:tabs>
        <w:tab w:val="clear" w:pos="794"/>
        <w:tab w:val="clear" w:pos="1191"/>
        <w:tab w:val="clear" w:pos="1588"/>
        <w:tab w:val="clear" w:pos="1985"/>
        <w:tab w:val="left" w:pos="851"/>
        <w:tab w:val="left" w:pos="1134"/>
        <w:tab w:val="left" w:pos="1871"/>
        <w:tab w:val="left" w:pos="2268"/>
      </w:tabs>
      <w:spacing w:before="0" w:line="240" w:lineRule="atLeast"/>
    </w:pPr>
    <w:rPr>
      <w:rFonts w:ascii="Verdana" w:hAnsi="Verdana" w:cstheme="minorHAnsi"/>
      <w:b/>
      <w:sz w:val="20"/>
      <w:szCs w:val="24"/>
      <w:lang w:val="en-GB" w:eastAsia="en-US"/>
    </w:rPr>
  </w:style>
  <w:style w:type="paragraph" w:customStyle="1" w:styleId="Section3">
    <w:name w:val="Section_3"/>
    <w:basedOn w:val="Section1"/>
    <w:pPr>
      <w:tabs>
        <w:tab w:val="center" w:pos="4820"/>
      </w:tabs>
      <w:spacing w:before="360"/>
    </w:pPr>
    <w:rPr>
      <w:b w:val="0"/>
      <w:lang w:val="en-GB" w:eastAsia="en-US"/>
    </w:rPr>
  </w:style>
  <w:style w:type="paragraph" w:customStyle="1" w:styleId="Proposal">
    <w:name w:val="Proposal"/>
    <w:basedOn w:val="Normal"/>
    <w:next w:val="Normal"/>
    <w:pPr>
      <w:keepNext/>
      <w:tabs>
        <w:tab w:val="clear" w:pos="794"/>
        <w:tab w:val="clear" w:pos="1191"/>
        <w:tab w:val="clear" w:pos="1588"/>
        <w:tab w:val="clear" w:pos="1985"/>
        <w:tab w:val="left" w:pos="1134"/>
        <w:tab w:val="left" w:pos="1871"/>
        <w:tab w:val="left" w:pos="2268"/>
      </w:tabs>
      <w:spacing w:before="240"/>
    </w:pPr>
    <w:rPr>
      <w:rFonts w:hAnsi="Times New Roman Bold"/>
      <w:b/>
      <w:lang w:val="en-GB" w:eastAsia="en-US"/>
    </w:rPr>
  </w:style>
  <w:style w:type="paragraph" w:customStyle="1" w:styleId="Reasons">
    <w:name w:val="Reasons"/>
    <w:basedOn w:val="Normal"/>
    <w:pPr>
      <w:tabs>
        <w:tab w:val="clear" w:pos="794"/>
        <w:tab w:val="clear" w:pos="1191"/>
        <w:tab w:val="left" w:pos="1134"/>
      </w:tabs>
    </w:pPr>
    <w:rPr>
      <w:lang w:val="en-GB" w:eastAsia="en-US"/>
    </w:rPr>
  </w:style>
  <w:style w:type="paragraph" w:customStyle="1" w:styleId="Volumetitle">
    <w:name w:val="Volume_title"/>
    <w:basedOn w:val="Normal"/>
    <w:pPr>
      <w:tabs>
        <w:tab w:val="clear" w:pos="794"/>
        <w:tab w:val="clear" w:pos="1191"/>
        <w:tab w:val="clear" w:pos="1588"/>
        <w:tab w:val="clear" w:pos="1985"/>
        <w:tab w:val="left" w:pos="1134"/>
        <w:tab w:val="left" w:pos="1871"/>
        <w:tab w:val="left" w:pos="2268"/>
      </w:tabs>
      <w:jc w:val="center"/>
    </w:pPr>
    <w:rPr>
      <w:b/>
      <w:bCs/>
      <w:sz w:val="28"/>
      <w:szCs w:val="28"/>
      <w:lang w:val="en-GB" w:eastAsia="en-US"/>
    </w:rPr>
  </w:style>
  <w:style w:type="paragraph" w:customStyle="1" w:styleId="Part1">
    <w:name w:val="Part_1"/>
    <w:basedOn w:val="Section1"/>
    <w:next w:val="Section1"/>
    <w:pPr>
      <w:tabs>
        <w:tab w:val="center" w:pos="4820"/>
      </w:tabs>
      <w:spacing w:before="360"/>
    </w:pPr>
    <w:rPr>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pPr>
      <w:tabs>
        <w:tab w:val="clear" w:pos="794"/>
        <w:tab w:val="clear" w:pos="1191"/>
        <w:tab w:val="clear" w:pos="1588"/>
        <w:tab w:val="clear" w:pos="1985"/>
        <w:tab w:val="left" w:pos="1134"/>
        <w:tab w:val="left" w:pos="1871"/>
        <w:tab w:val="left" w:pos="2268"/>
      </w:tabs>
    </w:pPr>
    <w:rPr>
      <w:rFonts w:ascii="Verdana" w:hAnsi="Verdana" w:cs="Times New Roman Bold"/>
      <w:b/>
      <w:bCs/>
      <w:szCs w:val="24"/>
      <w:lang w:val="en-GB" w:eastAsia="en-US"/>
    </w:rPr>
  </w:style>
  <w:style w:type="paragraph" w:customStyle="1" w:styleId="OpinionNo">
    <w:name w:val="Opinion_No"/>
    <w:basedOn w:val="ResNo"/>
    <w:next w:val="Normal"/>
    <w:pPr>
      <w:tabs>
        <w:tab w:val="clear" w:pos="794"/>
        <w:tab w:val="clear" w:pos="1191"/>
        <w:tab w:val="clear" w:pos="1588"/>
        <w:tab w:val="clear" w:pos="1985"/>
        <w:tab w:val="left" w:pos="1134"/>
        <w:tab w:val="left" w:pos="1871"/>
        <w:tab w:val="left" w:pos="2268"/>
      </w:tabs>
      <w:spacing w:before="480"/>
      <w:jc w:val="center"/>
    </w:pPr>
    <w:rPr>
      <w:rFonts w:hAnsi="Times New Roman Bold"/>
      <w:b w:val="0"/>
      <w:lang w:val="en-GB" w:eastAsia="en-US"/>
    </w:rPr>
  </w:style>
  <w:style w:type="paragraph" w:customStyle="1" w:styleId="Opinionref">
    <w:name w:val="Opinion_ref"/>
    <w:basedOn w:val="Normal"/>
    <w:next w:val="Normalaftertitle0"/>
    <w:pPr>
      <w:tabs>
        <w:tab w:val="clear" w:pos="794"/>
        <w:tab w:val="clear" w:pos="1191"/>
        <w:tab w:val="clear" w:pos="1588"/>
        <w:tab w:val="clear" w:pos="1985"/>
      </w:tabs>
      <w:overflowPunct/>
      <w:autoSpaceDE/>
      <w:autoSpaceDN/>
      <w:adjustRightInd/>
      <w:spacing w:before="0"/>
      <w:jc w:val="center"/>
      <w:textAlignment w:val="auto"/>
    </w:pPr>
    <w:rPr>
      <w:i/>
      <w:sz w:val="22"/>
      <w:lang w:val="fr-CH" w:eastAsia="en-US"/>
    </w:rPr>
  </w:style>
  <w:style w:type="paragraph" w:customStyle="1" w:styleId="Opiniontitle">
    <w:name w:val="Opinion_title"/>
    <w:basedOn w:val="Restitle"/>
    <w:next w:val="Opinionref"/>
    <w:pPr>
      <w:tabs>
        <w:tab w:val="clear" w:pos="794"/>
        <w:tab w:val="clear" w:pos="1191"/>
        <w:tab w:val="clear" w:pos="1588"/>
        <w:tab w:val="clear" w:pos="1985"/>
        <w:tab w:val="left" w:pos="1134"/>
        <w:tab w:val="left" w:pos="1871"/>
        <w:tab w:val="left" w:pos="2268"/>
      </w:tabs>
      <w:spacing w:before="240"/>
    </w:pPr>
    <w:rPr>
      <w:rFonts w:ascii="Times New Roman Bold" w:hAnsi="Times New Roman Bold" w:cs="Times New Roman Bold"/>
      <w:bCs/>
      <w:lang w:val="en-GB" w:eastAsia="en-US"/>
    </w:rPr>
  </w:style>
  <w:style w:type="paragraph" w:customStyle="1" w:styleId="Headingib">
    <w:name w:val="Heading_ib"/>
    <w:basedOn w:val="Headingi"/>
    <w:next w:val="Normal"/>
    <w:qFormat/>
    <w:rsid w:val="00C1421E"/>
    <w:rPr>
      <w:rFonts w:eastAsiaTheme="minorHAnsi"/>
      <w:b/>
      <w:bCs/>
      <w:lang w:eastAsia="ja-JP"/>
    </w:rPr>
  </w:style>
  <w:style w:type="paragraph" w:customStyle="1" w:styleId="NormalITU">
    <w:name w:val="Normal_ITU"/>
    <w:basedOn w:val="Normal"/>
    <w:pPr>
      <w:tabs>
        <w:tab w:val="clear" w:pos="794"/>
        <w:tab w:val="clear" w:pos="1191"/>
        <w:tab w:val="clear" w:pos="1588"/>
        <w:tab w:val="clear" w:pos="1985"/>
      </w:tabs>
      <w:overflowPunct/>
      <w:textAlignment w:val="auto"/>
    </w:pPr>
    <w:rPr>
      <w:rFonts w:eastAsia="MS Mincho" w:cs="Arial"/>
      <w:lang w:eastAsia="en-US"/>
    </w:rPr>
  </w:style>
  <w:style w:type="table" w:customStyle="1" w:styleId="ListTable4-Accent11">
    <w:name w:val="List Table 4 - Accent 11"/>
    <w:basedOn w:val="TableNormal"/>
    <w:uiPriority w:val="49"/>
    <w:rPr>
      <w:rFonts w:asciiTheme="minorHAnsi" w:eastAsia="Batang" w:hAnsiTheme="minorHAnsi" w:cstheme="minorBidi"/>
      <w:kern w:val="24"/>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ategory">
    <w:name w:val="category"/>
    <w:basedOn w:val="DefaultParagraphFont"/>
  </w:style>
  <w:style w:type="character" w:customStyle="1" w:styleId="author1">
    <w:name w:val="author1"/>
    <w:basedOn w:val="DefaultParagraphFont"/>
    <w:rPr>
      <w:rFonts w:ascii="Georgia" w:hAnsi="Georgia" w:hint="default"/>
      <w:i w:val="0"/>
      <w:iCs w:val="0"/>
    </w:rPr>
  </w:style>
  <w:style w:type="character" w:customStyle="1" w:styleId="comments-link">
    <w:name w:val="comments-link"/>
    <w:basedOn w:val="DefaultParagraphFont"/>
  </w:style>
  <w:style w:type="character" w:customStyle="1" w:styleId="ms-rtethemeforecolor-5-0">
    <w:name w:val="ms-rtethemeforecolor-5-0"/>
    <w:basedOn w:val="DefaultParagraphFont"/>
  </w:style>
  <w:style w:type="character" w:customStyle="1" w:styleId="ColorfulList-Accent1Char">
    <w:name w:val="Colorful List - Accent 1 Char"/>
    <w:link w:val="ColorfulList-Accent1"/>
    <w:uiPriority w:val="34"/>
    <w:locked/>
    <w:rPr>
      <w:rFonts w:ascii="Calibri" w:eastAsia="Malgun Gothic" w:hAnsi="Calibri"/>
      <w:sz w:val="22"/>
      <w:szCs w:val="22"/>
      <w:lang w:eastAsia="ja-JP"/>
    </w:rPr>
  </w:style>
  <w:style w:type="table" w:styleId="ColorfulList-Accent1">
    <w:name w:val="Colorful List Accent 1"/>
    <w:basedOn w:val="TableNormal"/>
    <w:link w:val="ColorfulList-Accent1Char"/>
    <w:uiPriority w:val="34"/>
    <w:semiHidden/>
    <w:unhideWhenUsed/>
    <w:rPr>
      <w:rFonts w:ascii="Calibri" w:eastAsia="Malgun Gothic" w:hAnsi="Calibri"/>
      <w:sz w:val="22"/>
      <w:szCs w:val="22"/>
      <w:lang w:eastAsia="ja-JP"/>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WSIS">
    <w:name w:val="normal WSIS"/>
    <w:basedOn w:val="ListParagraph"/>
    <w:link w:val="normalWSISChar"/>
    <w:pPr>
      <w:numPr>
        <w:numId w:val="8"/>
      </w:numPr>
      <w:tabs>
        <w:tab w:val="left" w:pos="426"/>
      </w:tabs>
      <w:spacing w:before="120" w:after="200"/>
      <w:contextualSpacing w:val="0"/>
      <w:jc w:val="both"/>
    </w:pPr>
    <w:rPr>
      <w:rFonts w:ascii="Calibri" w:eastAsia="SimSun" w:hAnsi="Calibri" w:cs="Arial"/>
      <w:sz w:val="22"/>
      <w:szCs w:val="22"/>
    </w:rPr>
  </w:style>
  <w:style w:type="character" w:customStyle="1" w:styleId="normalWSISChar">
    <w:name w:val="normal WSIS Char"/>
    <w:basedOn w:val="ListParagraphChar"/>
    <w:link w:val="normalWSIS"/>
    <w:rPr>
      <w:rFonts w:ascii="Calibri" w:eastAsia="SimSun" w:hAnsi="Calibri" w:cs="Arial"/>
      <w:sz w:val="22"/>
      <w:szCs w:val="22"/>
    </w:rPr>
  </w:style>
  <w:style w:type="character" w:customStyle="1" w:styleId="entry-content">
    <w:name w:val="entry-content"/>
    <w:basedOn w:val="DefaultParagraphFont"/>
    <w:uiPriority w:val="99"/>
    <w:rPr>
      <w:rFonts w:cs="Times New Roman"/>
    </w:rPr>
  </w:style>
  <w:style w:type="paragraph" w:customStyle="1" w:styleId="flow-text4">
    <w:name w:val="flow-text4"/>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rPr>
  </w:style>
  <w:style w:type="paragraph" w:customStyle="1" w:styleId="authorintro">
    <w:name w:val="authorintro"/>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rPr>
  </w:style>
  <w:style w:type="character" w:customStyle="1" w:styleId="ms-rtefontface-31">
    <w:name w:val="ms-rtefontface-31"/>
    <w:basedOn w:val="DefaultParagraphFont"/>
    <w:rsid w:val="00AC3158"/>
    <w:rPr>
      <w:rFonts w:ascii="Times New Roman" w:hAnsi="Times New Roman" w:cs="Times New Roman" w:hint="default"/>
    </w:rPr>
  </w:style>
  <w:style w:type="character" w:customStyle="1" w:styleId="UnresolvedMention1">
    <w:name w:val="Unresolved Mention1"/>
    <w:basedOn w:val="DefaultParagraphFont"/>
    <w:uiPriority w:val="99"/>
    <w:semiHidden/>
    <w:unhideWhenUsed/>
    <w:rsid w:val="0002651A"/>
    <w:rPr>
      <w:color w:val="808080"/>
      <w:shd w:val="clear" w:color="auto" w:fill="E6E6E6"/>
    </w:rPr>
  </w:style>
  <w:style w:type="paragraph" w:customStyle="1" w:styleId="TextA">
    <w:name w:val="Text A"/>
    <w:rsid w:val="000A0D69"/>
    <w:pPr>
      <w:pBdr>
        <w:top w:val="nil"/>
        <w:left w:val="nil"/>
        <w:bottom w:val="nil"/>
        <w:right w:val="nil"/>
        <w:between w:val="nil"/>
        <w:bar w:val="nil"/>
      </w:pBdr>
      <w:spacing w:before="120"/>
    </w:pPr>
    <w:rPr>
      <w:rFonts w:eastAsia="Arial Unicode MS" w:cs="Arial Unicode MS"/>
      <w:color w:val="000000"/>
      <w:sz w:val="24"/>
      <w:szCs w:val="24"/>
      <w:u w:color="000000"/>
      <w:bdr w:val="nil"/>
      <w:lang w:eastAsia="en-GB"/>
    </w:rPr>
  </w:style>
  <w:style w:type="character" w:customStyle="1" w:styleId="UnresolvedMention2">
    <w:name w:val="Unresolved Mention2"/>
    <w:basedOn w:val="DefaultParagraphFont"/>
    <w:uiPriority w:val="99"/>
    <w:semiHidden/>
    <w:unhideWhenUsed/>
    <w:rsid w:val="00CA2D85"/>
    <w:rPr>
      <w:color w:val="605E5C"/>
      <w:shd w:val="clear" w:color="auto" w:fill="E1DFDD"/>
    </w:rPr>
  </w:style>
  <w:style w:type="paragraph" w:styleId="BodyTextFirstIndent2">
    <w:name w:val="Body Text First Indent 2"/>
    <w:basedOn w:val="BodyTextIndent"/>
    <w:link w:val="BodyTextFirstIndent2Char"/>
    <w:uiPriority w:val="99"/>
    <w:semiHidden/>
    <w:unhideWhenUsed/>
    <w:rsid w:val="00C1421E"/>
    <w:pPr>
      <w:tabs>
        <w:tab w:val="left" w:pos="794"/>
        <w:tab w:val="left" w:pos="1191"/>
        <w:tab w:val="left" w:pos="1588"/>
        <w:tab w:val="left" w:pos="1985"/>
      </w:tabs>
      <w:overflowPunct w:val="0"/>
      <w:spacing w:before="120"/>
      <w:ind w:left="360" w:firstLine="360"/>
      <w:textAlignment w:val="baseline"/>
    </w:pPr>
  </w:style>
  <w:style w:type="character" w:customStyle="1" w:styleId="BodyTextFirstIndent2Char">
    <w:name w:val="Body Text First Indent 2 Char"/>
    <w:basedOn w:val="BodyTextIndentChar"/>
    <w:link w:val="BodyTextFirstIndent2"/>
    <w:uiPriority w:val="99"/>
    <w:semiHidden/>
    <w:rsid w:val="00C1421E"/>
    <w:rPr>
      <w:rFonts w:cs="Times New Roman"/>
      <w:sz w:val="24"/>
      <w:lang w:val="en-US" w:eastAsia="en-US" w:bidi="ar-SA"/>
    </w:rPr>
  </w:style>
  <w:style w:type="character" w:styleId="BookTitle">
    <w:name w:val="Book Title"/>
    <w:basedOn w:val="DefaultParagraphFont"/>
    <w:uiPriority w:val="33"/>
    <w:rsid w:val="00C1421E"/>
    <w:rPr>
      <w:b/>
      <w:bCs/>
      <w:i/>
      <w:iCs/>
      <w:spacing w:val="5"/>
    </w:rPr>
  </w:style>
  <w:style w:type="paragraph" w:styleId="Closing">
    <w:name w:val="Closing"/>
    <w:basedOn w:val="Normal"/>
    <w:link w:val="ClosingChar"/>
    <w:uiPriority w:val="99"/>
    <w:semiHidden/>
    <w:unhideWhenUsed/>
    <w:rsid w:val="00C1421E"/>
    <w:pPr>
      <w:spacing w:before="0"/>
      <w:ind w:left="4320"/>
    </w:pPr>
  </w:style>
  <w:style w:type="character" w:customStyle="1" w:styleId="ClosingChar">
    <w:name w:val="Closing Char"/>
    <w:basedOn w:val="DefaultParagraphFont"/>
    <w:link w:val="Closing"/>
    <w:uiPriority w:val="99"/>
    <w:semiHidden/>
    <w:rsid w:val="00C1421E"/>
    <w:rPr>
      <w:sz w:val="24"/>
    </w:rPr>
  </w:style>
  <w:style w:type="paragraph" w:styleId="E-mailSignature">
    <w:name w:val="E-mail Signature"/>
    <w:basedOn w:val="Normal"/>
    <w:link w:val="E-mailSignatureChar"/>
    <w:uiPriority w:val="99"/>
    <w:semiHidden/>
    <w:unhideWhenUsed/>
    <w:rsid w:val="00C1421E"/>
    <w:pPr>
      <w:spacing w:before="0"/>
    </w:pPr>
  </w:style>
  <w:style w:type="character" w:customStyle="1" w:styleId="E-mailSignatureChar">
    <w:name w:val="E-mail Signature Char"/>
    <w:basedOn w:val="DefaultParagraphFont"/>
    <w:link w:val="E-mailSignature"/>
    <w:uiPriority w:val="99"/>
    <w:semiHidden/>
    <w:rsid w:val="00C1421E"/>
    <w:rPr>
      <w:sz w:val="24"/>
    </w:rPr>
  </w:style>
  <w:style w:type="paragraph" w:styleId="EnvelopeAddress">
    <w:name w:val="envelope address"/>
    <w:basedOn w:val="Normal"/>
    <w:uiPriority w:val="99"/>
    <w:semiHidden/>
    <w:unhideWhenUsed/>
    <w:rsid w:val="00C1421E"/>
    <w:pPr>
      <w:framePr w:w="7920" w:h="1980" w:hRule="exact" w:hSpace="180" w:wrap="auto" w:hAnchor="page" w:xAlign="center" w:yAlign="bottom"/>
      <w:spacing w:before="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C1421E"/>
    <w:pPr>
      <w:spacing w:before="0"/>
    </w:pPr>
    <w:rPr>
      <w:rFonts w:asciiTheme="majorHAnsi" w:eastAsiaTheme="majorEastAsia" w:hAnsiTheme="majorHAnsi" w:cstheme="majorBidi"/>
      <w:sz w:val="20"/>
    </w:rPr>
  </w:style>
  <w:style w:type="character" w:customStyle="1" w:styleId="Hashtag1">
    <w:name w:val="Hashtag1"/>
    <w:basedOn w:val="DefaultParagraphFont"/>
    <w:uiPriority w:val="99"/>
    <w:semiHidden/>
    <w:unhideWhenUsed/>
    <w:rsid w:val="00C1421E"/>
    <w:rPr>
      <w:color w:val="2B579A"/>
      <w:shd w:val="clear" w:color="auto" w:fill="E1DFDD"/>
    </w:rPr>
  </w:style>
  <w:style w:type="character" w:styleId="HTMLAcronym">
    <w:name w:val="HTML Acronym"/>
    <w:basedOn w:val="DefaultParagraphFont"/>
    <w:uiPriority w:val="99"/>
    <w:semiHidden/>
    <w:unhideWhenUsed/>
    <w:rsid w:val="00C1421E"/>
  </w:style>
  <w:style w:type="paragraph" w:styleId="HTMLAddress">
    <w:name w:val="HTML Address"/>
    <w:basedOn w:val="Normal"/>
    <w:link w:val="HTMLAddressChar"/>
    <w:uiPriority w:val="99"/>
    <w:semiHidden/>
    <w:unhideWhenUsed/>
    <w:rsid w:val="00C1421E"/>
    <w:pPr>
      <w:spacing w:before="0"/>
    </w:pPr>
    <w:rPr>
      <w:i/>
      <w:iCs/>
    </w:rPr>
  </w:style>
  <w:style w:type="character" w:customStyle="1" w:styleId="HTMLAddressChar">
    <w:name w:val="HTML Address Char"/>
    <w:basedOn w:val="DefaultParagraphFont"/>
    <w:link w:val="HTMLAddress"/>
    <w:uiPriority w:val="99"/>
    <w:semiHidden/>
    <w:rsid w:val="00C1421E"/>
    <w:rPr>
      <w:i/>
      <w:iCs/>
      <w:sz w:val="24"/>
    </w:rPr>
  </w:style>
  <w:style w:type="character" w:styleId="HTMLCite">
    <w:name w:val="HTML Cite"/>
    <w:basedOn w:val="DefaultParagraphFont"/>
    <w:uiPriority w:val="99"/>
    <w:semiHidden/>
    <w:unhideWhenUsed/>
    <w:rsid w:val="00C1421E"/>
    <w:rPr>
      <w:i/>
      <w:iCs/>
    </w:rPr>
  </w:style>
  <w:style w:type="character" w:styleId="HTMLDefinition">
    <w:name w:val="HTML Definition"/>
    <w:basedOn w:val="DefaultParagraphFont"/>
    <w:uiPriority w:val="99"/>
    <w:semiHidden/>
    <w:unhideWhenUsed/>
    <w:rsid w:val="00C1421E"/>
    <w:rPr>
      <w:i/>
      <w:iCs/>
    </w:rPr>
  </w:style>
  <w:style w:type="character" w:styleId="HTMLVariable">
    <w:name w:val="HTML Variable"/>
    <w:basedOn w:val="DefaultParagraphFont"/>
    <w:uiPriority w:val="99"/>
    <w:semiHidden/>
    <w:unhideWhenUsed/>
    <w:rsid w:val="00C1421E"/>
    <w:rPr>
      <w:i/>
      <w:iCs/>
    </w:rPr>
  </w:style>
  <w:style w:type="paragraph" w:styleId="Index8">
    <w:name w:val="index 8"/>
    <w:basedOn w:val="Normal"/>
    <w:next w:val="Normal"/>
    <w:autoRedefine/>
    <w:uiPriority w:val="99"/>
    <w:semiHidden/>
    <w:unhideWhenUsed/>
    <w:rsid w:val="00C1421E"/>
    <w:pPr>
      <w:tabs>
        <w:tab w:val="clear" w:pos="794"/>
        <w:tab w:val="clear" w:pos="1191"/>
        <w:tab w:val="clear" w:pos="1588"/>
        <w:tab w:val="clear" w:pos="1985"/>
      </w:tabs>
      <w:spacing w:before="0"/>
      <w:ind w:left="1920" w:hanging="240"/>
    </w:pPr>
  </w:style>
  <w:style w:type="paragraph" w:styleId="Index9">
    <w:name w:val="index 9"/>
    <w:basedOn w:val="Normal"/>
    <w:next w:val="Normal"/>
    <w:autoRedefine/>
    <w:uiPriority w:val="99"/>
    <w:semiHidden/>
    <w:unhideWhenUsed/>
    <w:rsid w:val="00C1421E"/>
    <w:pPr>
      <w:tabs>
        <w:tab w:val="clear" w:pos="794"/>
        <w:tab w:val="clear" w:pos="1191"/>
        <w:tab w:val="clear" w:pos="1588"/>
        <w:tab w:val="clear" w:pos="1985"/>
      </w:tabs>
      <w:spacing w:before="0"/>
      <w:ind w:left="2160" w:hanging="240"/>
    </w:pPr>
  </w:style>
  <w:style w:type="character" w:styleId="IntenseEmphasis">
    <w:name w:val="Intense Emphasis"/>
    <w:basedOn w:val="DefaultParagraphFont"/>
    <w:uiPriority w:val="21"/>
    <w:rsid w:val="00C1421E"/>
    <w:rPr>
      <w:i/>
      <w:iCs/>
      <w:color w:val="4F81BD" w:themeColor="accent1"/>
    </w:rPr>
  </w:style>
  <w:style w:type="paragraph" w:styleId="IntenseQuote">
    <w:name w:val="Intense Quote"/>
    <w:basedOn w:val="Normal"/>
    <w:next w:val="Normal"/>
    <w:link w:val="IntenseQuoteChar"/>
    <w:uiPriority w:val="30"/>
    <w:rsid w:val="00C1421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1421E"/>
    <w:rPr>
      <w:i/>
      <w:iCs/>
      <w:color w:val="4F81BD" w:themeColor="accent1"/>
      <w:sz w:val="24"/>
    </w:rPr>
  </w:style>
  <w:style w:type="character" w:styleId="IntenseReference">
    <w:name w:val="Intense Reference"/>
    <w:basedOn w:val="DefaultParagraphFont"/>
    <w:uiPriority w:val="32"/>
    <w:rsid w:val="00C1421E"/>
    <w:rPr>
      <w:b/>
      <w:bCs/>
      <w:smallCaps/>
      <w:color w:val="4F81BD" w:themeColor="accent1"/>
      <w:spacing w:val="5"/>
    </w:rPr>
  </w:style>
  <w:style w:type="paragraph" w:styleId="List20">
    <w:name w:val="List 2"/>
    <w:basedOn w:val="Normal"/>
    <w:uiPriority w:val="99"/>
    <w:semiHidden/>
    <w:unhideWhenUsed/>
    <w:rsid w:val="00C1421E"/>
    <w:pPr>
      <w:ind w:left="720" w:hanging="360"/>
      <w:contextualSpacing/>
    </w:pPr>
  </w:style>
  <w:style w:type="paragraph" w:styleId="List3">
    <w:name w:val="List 3"/>
    <w:basedOn w:val="Normal"/>
    <w:uiPriority w:val="99"/>
    <w:semiHidden/>
    <w:unhideWhenUsed/>
    <w:rsid w:val="00C1421E"/>
    <w:pPr>
      <w:ind w:left="1080" w:hanging="360"/>
      <w:contextualSpacing/>
    </w:pPr>
  </w:style>
  <w:style w:type="paragraph" w:styleId="List4">
    <w:name w:val="List 4"/>
    <w:basedOn w:val="Normal"/>
    <w:uiPriority w:val="99"/>
    <w:semiHidden/>
    <w:unhideWhenUsed/>
    <w:rsid w:val="00C1421E"/>
    <w:pPr>
      <w:ind w:left="1440" w:hanging="360"/>
      <w:contextualSpacing/>
    </w:pPr>
  </w:style>
  <w:style w:type="paragraph" w:styleId="List5">
    <w:name w:val="List 5"/>
    <w:basedOn w:val="Normal"/>
    <w:uiPriority w:val="99"/>
    <w:semiHidden/>
    <w:unhideWhenUsed/>
    <w:rsid w:val="00C1421E"/>
    <w:pPr>
      <w:ind w:left="1800" w:hanging="360"/>
      <w:contextualSpacing/>
    </w:pPr>
  </w:style>
  <w:style w:type="paragraph" w:styleId="ListBullet3">
    <w:name w:val="List Bullet 3"/>
    <w:basedOn w:val="Normal"/>
    <w:uiPriority w:val="99"/>
    <w:semiHidden/>
    <w:unhideWhenUsed/>
    <w:rsid w:val="00C1421E"/>
    <w:pPr>
      <w:numPr>
        <w:numId w:val="21"/>
      </w:numPr>
      <w:contextualSpacing/>
    </w:pPr>
  </w:style>
  <w:style w:type="paragraph" w:styleId="ListBullet5">
    <w:name w:val="List Bullet 5"/>
    <w:basedOn w:val="Normal"/>
    <w:uiPriority w:val="99"/>
    <w:semiHidden/>
    <w:unhideWhenUsed/>
    <w:rsid w:val="00C1421E"/>
    <w:pPr>
      <w:numPr>
        <w:numId w:val="22"/>
      </w:numPr>
      <w:contextualSpacing/>
    </w:pPr>
  </w:style>
  <w:style w:type="paragraph" w:styleId="ListContinue">
    <w:name w:val="List Continue"/>
    <w:basedOn w:val="Normal"/>
    <w:uiPriority w:val="99"/>
    <w:semiHidden/>
    <w:unhideWhenUsed/>
    <w:rsid w:val="00C1421E"/>
    <w:pPr>
      <w:spacing w:after="120"/>
      <w:ind w:left="360"/>
      <w:contextualSpacing/>
    </w:pPr>
  </w:style>
  <w:style w:type="paragraph" w:styleId="ListContinue2">
    <w:name w:val="List Continue 2"/>
    <w:basedOn w:val="Normal"/>
    <w:uiPriority w:val="99"/>
    <w:semiHidden/>
    <w:unhideWhenUsed/>
    <w:rsid w:val="00C1421E"/>
    <w:pPr>
      <w:spacing w:after="120"/>
      <w:ind w:left="720"/>
      <w:contextualSpacing/>
    </w:pPr>
  </w:style>
  <w:style w:type="paragraph" w:styleId="ListContinue3">
    <w:name w:val="List Continue 3"/>
    <w:basedOn w:val="Normal"/>
    <w:uiPriority w:val="99"/>
    <w:semiHidden/>
    <w:unhideWhenUsed/>
    <w:rsid w:val="00C1421E"/>
    <w:pPr>
      <w:spacing w:after="120"/>
      <w:ind w:left="1080"/>
      <w:contextualSpacing/>
    </w:pPr>
  </w:style>
  <w:style w:type="paragraph" w:styleId="ListContinue4">
    <w:name w:val="List Continue 4"/>
    <w:basedOn w:val="Normal"/>
    <w:uiPriority w:val="99"/>
    <w:semiHidden/>
    <w:unhideWhenUsed/>
    <w:rsid w:val="00C1421E"/>
    <w:pPr>
      <w:spacing w:after="120"/>
      <w:ind w:left="1440"/>
      <w:contextualSpacing/>
    </w:pPr>
  </w:style>
  <w:style w:type="paragraph" w:styleId="ListContinue5">
    <w:name w:val="List Continue 5"/>
    <w:basedOn w:val="Normal"/>
    <w:uiPriority w:val="99"/>
    <w:semiHidden/>
    <w:unhideWhenUsed/>
    <w:rsid w:val="00C1421E"/>
    <w:pPr>
      <w:spacing w:after="120"/>
      <w:ind w:left="1800"/>
      <w:contextualSpacing/>
    </w:pPr>
  </w:style>
  <w:style w:type="paragraph" w:styleId="ListNumber4">
    <w:name w:val="List Number 4"/>
    <w:basedOn w:val="Normal"/>
    <w:uiPriority w:val="99"/>
    <w:semiHidden/>
    <w:unhideWhenUsed/>
    <w:rsid w:val="00C1421E"/>
    <w:pPr>
      <w:numPr>
        <w:numId w:val="23"/>
      </w:numPr>
      <w:contextualSpacing/>
    </w:pPr>
  </w:style>
  <w:style w:type="paragraph" w:styleId="ListNumber5">
    <w:name w:val="List Number 5"/>
    <w:basedOn w:val="Normal"/>
    <w:uiPriority w:val="99"/>
    <w:semiHidden/>
    <w:unhideWhenUsed/>
    <w:rsid w:val="00C1421E"/>
    <w:pPr>
      <w:numPr>
        <w:numId w:val="24"/>
      </w:numPr>
      <w:contextualSpacing/>
    </w:pPr>
  </w:style>
  <w:style w:type="character" w:customStyle="1" w:styleId="Mention1">
    <w:name w:val="Mention1"/>
    <w:basedOn w:val="DefaultParagraphFont"/>
    <w:uiPriority w:val="99"/>
    <w:semiHidden/>
    <w:unhideWhenUsed/>
    <w:rsid w:val="00C1421E"/>
    <w:rPr>
      <w:color w:val="2B579A"/>
      <w:shd w:val="clear" w:color="auto" w:fill="E1DFDD"/>
    </w:rPr>
  </w:style>
  <w:style w:type="paragraph" w:styleId="MessageHeader">
    <w:name w:val="Message Header"/>
    <w:basedOn w:val="Normal"/>
    <w:link w:val="MessageHeaderChar"/>
    <w:uiPriority w:val="99"/>
    <w:semiHidden/>
    <w:unhideWhenUsed/>
    <w:rsid w:val="00C1421E"/>
    <w:pPr>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C1421E"/>
    <w:rPr>
      <w:rFonts w:asciiTheme="majorHAnsi" w:eastAsiaTheme="majorEastAsia" w:hAnsiTheme="majorHAnsi" w:cstheme="majorBidi"/>
      <w:sz w:val="24"/>
      <w:szCs w:val="24"/>
      <w:shd w:val="pct20" w:color="auto" w:fill="auto"/>
    </w:rPr>
  </w:style>
  <w:style w:type="paragraph" w:styleId="NoSpacing">
    <w:name w:val="No Spacing"/>
    <w:uiPriority w:val="1"/>
    <w:rsid w:val="00C1421E"/>
    <w:pPr>
      <w:tabs>
        <w:tab w:val="left" w:pos="794"/>
        <w:tab w:val="left" w:pos="1191"/>
        <w:tab w:val="left" w:pos="1588"/>
        <w:tab w:val="left" w:pos="1985"/>
      </w:tabs>
      <w:overflowPunct w:val="0"/>
      <w:autoSpaceDE w:val="0"/>
      <w:autoSpaceDN w:val="0"/>
      <w:adjustRightInd w:val="0"/>
      <w:textAlignment w:val="baseline"/>
    </w:pPr>
    <w:rPr>
      <w:sz w:val="24"/>
    </w:rPr>
  </w:style>
  <w:style w:type="paragraph" w:styleId="NoteHeading">
    <w:name w:val="Note Heading"/>
    <w:basedOn w:val="Normal"/>
    <w:next w:val="Normal"/>
    <w:link w:val="NoteHeadingChar"/>
    <w:uiPriority w:val="99"/>
    <w:semiHidden/>
    <w:unhideWhenUsed/>
    <w:rsid w:val="00C1421E"/>
    <w:pPr>
      <w:spacing w:before="0"/>
    </w:pPr>
  </w:style>
  <w:style w:type="character" w:customStyle="1" w:styleId="NoteHeadingChar">
    <w:name w:val="Note Heading Char"/>
    <w:basedOn w:val="DefaultParagraphFont"/>
    <w:link w:val="NoteHeading"/>
    <w:uiPriority w:val="99"/>
    <w:semiHidden/>
    <w:rsid w:val="00C1421E"/>
    <w:rPr>
      <w:sz w:val="24"/>
    </w:rPr>
  </w:style>
  <w:style w:type="paragraph" w:styleId="Salutation">
    <w:name w:val="Salutation"/>
    <w:basedOn w:val="Normal"/>
    <w:next w:val="Normal"/>
    <w:link w:val="SalutationChar"/>
    <w:uiPriority w:val="99"/>
    <w:semiHidden/>
    <w:unhideWhenUsed/>
    <w:rsid w:val="00C1421E"/>
  </w:style>
  <w:style w:type="character" w:customStyle="1" w:styleId="SalutationChar">
    <w:name w:val="Salutation Char"/>
    <w:basedOn w:val="DefaultParagraphFont"/>
    <w:link w:val="Salutation"/>
    <w:uiPriority w:val="99"/>
    <w:semiHidden/>
    <w:rsid w:val="00C1421E"/>
    <w:rPr>
      <w:sz w:val="24"/>
    </w:rPr>
  </w:style>
  <w:style w:type="paragraph" w:styleId="Signature">
    <w:name w:val="Signature"/>
    <w:basedOn w:val="Normal"/>
    <w:link w:val="SignatureChar"/>
    <w:uiPriority w:val="99"/>
    <w:semiHidden/>
    <w:unhideWhenUsed/>
    <w:rsid w:val="00C1421E"/>
    <w:pPr>
      <w:spacing w:before="0"/>
      <w:ind w:left="4320"/>
    </w:pPr>
  </w:style>
  <w:style w:type="character" w:customStyle="1" w:styleId="SignatureChar">
    <w:name w:val="Signature Char"/>
    <w:basedOn w:val="DefaultParagraphFont"/>
    <w:link w:val="Signature"/>
    <w:uiPriority w:val="99"/>
    <w:semiHidden/>
    <w:rsid w:val="00C1421E"/>
    <w:rPr>
      <w:sz w:val="24"/>
    </w:rPr>
  </w:style>
  <w:style w:type="character" w:customStyle="1" w:styleId="SmartHyperlink1">
    <w:name w:val="Smart Hyperlink1"/>
    <w:basedOn w:val="DefaultParagraphFont"/>
    <w:uiPriority w:val="99"/>
    <w:semiHidden/>
    <w:unhideWhenUsed/>
    <w:rsid w:val="00C1421E"/>
    <w:rPr>
      <w:u w:val="dotted"/>
    </w:rPr>
  </w:style>
  <w:style w:type="character" w:customStyle="1" w:styleId="SmartLink1">
    <w:name w:val="SmartLink1"/>
    <w:basedOn w:val="DefaultParagraphFont"/>
    <w:uiPriority w:val="99"/>
    <w:semiHidden/>
    <w:unhideWhenUsed/>
    <w:rsid w:val="00C1421E"/>
    <w:rPr>
      <w:color w:val="0000FF" w:themeColor="hyperlink"/>
      <w:u w:val="single"/>
      <w:shd w:val="clear" w:color="auto" w:fill="E1DFDD"/>
    </w:rPr>
  </w:style>
  <w:style w:type="character" w:styleId="SubtleEmphasis">
    <w:name w:val="Subtle Emphasis"/>
    <w:basedOn w:val="DefaultParagraphFont"/>
    <w:uiPriority w:val="19"/>
    <w:rsid w:val="00C1421E"/>
    <w:rPr>
      <w:i/>
      <w:iCs/>
      <w:color w:val="404040" w:themeColor="text1" w:themeTint="BF"/>
    </w:rPr>
  </w:style>
  <w:style w:type="character" w:styleId="SubtleReference">
    <w:name w:val="Subtle Reference"/>
    <w:basedOn w:val="DefaultParagraphFont"/>
    <w:uiPriority w:val="31"/>
    <w:rsid w:val="00C1421E"/>
    <w:rPr>
      <w:smallCaps/>
      <w:color w:val="5A5A5A" w:themeColor="text1" w:themeTint="A5"/>
    </w:rPr>
  </w:style>
  <w:style w:type="character" w:customStyle="1" w:styleId="UnresolvedMention3">
    <w:name w:val="Unresolved Mention3"/>
    <w:basedOn w:val="DefaultParagraphFont"/>
    <w:uiPriority w:val="99"/>
    <w:semiHidden/>
    <w:unhideWhenUsed/>
    <w:rsid w:val="00515A4B"/>
    <w:rPr>
      <w:color w:val="605E5C"/>
      <w:shd w:val="clear" w:color="auto" w:fill="E1DFDD"/>
    </w:rPr>
  </w:style>
  <w:style w:type="character" w:customStyle="1" w:styleId="UnresolvedMention4">
    <w:name w:val="Unresolved Mention4"/>
    <w:basedOn w:val="DefaultParagraphFont"/>
    <w:uiPriority w:val="99"/>
    <w:semiHidden/>
    <w:unhideWhenUsed/>
    <w:rsid w:val="007F20DF"/>
    <w:rPr>
      <w:color w:val="605E5C"/>
      <w:shd w:val="clear" w:color="auto" w:fill="E1DFDD"/>
    </w:rPr>
  </w:style>
  <w:style w:type="character" w:customStyle="1" w:styleId="UnresolvedMention5">
    <w:name w:val="Unresolved Mention5"/>
    <w:basedOn w:val="DefaultParagraphFont"/>
    <w:uiPriority w:val="99"/>
    <w:semiHidden/>
    <w:unhideWhenUsed/>
    <w:rsid w:val="007E07EF"/>
    <w:rPr>
      <w:color w:val="605E5C"/>
      <w:shd w:val="clear" w:color="auto" w:fill="E1DFDD"/>
    </w:rPr>
  </w:style>
  <w:style w:type="paragraph" w:customStyle="1" w:styleId="headingb0">
    <w:name w:val="heading_b"/>
    <w:basedOn w:val="Heading3"/>
    <w:next w:val="Normal"/>
    <w:rsid w:val="00CE6458"/>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rPr>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3466">
      <w:bodyDiv w:val="1"/>
      <w:marLeft w:val="0"/>
      <w:marRight w:val="0"/>
      <w:marTop w:val="0"/>
      <w:marBottom w:val="0"/>
      <w:divBdr>
        <w:top w:val="none" w:sz="0" w:space="0" w:color="auto"/>
        <w:left w:val="none" w:sz="0" w:space="0" w:color="auto"/>
        <w:bottom w:val="none" w:sz="0" w:space="0" w:color="auto"/>
        <w:right w:val="none" w:sz="0" w:space="0" w:color="auto"/>
      </w:divBdr>
    </w:div>
    <w:div w:id="16856139">
      <w:bodyDiv w:val="1"/>
      <w:marLeft w:val="0"/>
      <w:marRight w:val="0"/>
      <w:marTop w:val="0"/>
      <w:marBottom w:val="0"/>
      <w:divBdr>
        <w:top w:val="none" w:sz="0" w:space="0" w:color="auto"/>
        <w:left w:val="none" w:sz="0" w:space="0" w:color="auto"/>
        <w:bottom w:val="none" w:sz="0" w:space="0" w:color="auto"/>
        <w:right w:val="none" w:sz="0" w:space="0" w:color="auto"/>
      </w:divBdr>
    </w:div>
    <w:div w:id="27411588">
      <w:bodyDiv w:val="1"/>
      <w:marLeft w:val="0"/>
      <w:marRight w:val="0"/>
      <w:marTop w:val="0"/>
      <w:marBottom w:val="0"/>
      <w:divBdr>
        <w:top w:val="none" w:sz="0" w:space="0" w:color="auto"/>
        <w:left w:val="none" w:sz="0" w:space="0" w:color="auto"/>
        <w:bottom w:val="none" w:sz="0" w:space="0" w:color="auto"/>
        <w:right w:val="none" w:sz="0" w:space="0" w:color="auto"/>
      </w:divBdr>
      <w:divsChild>
        <w:div w:id="85884879">
          <w:marLeft w:val="0"/>
          <w:marRight w:val="0"/>
          <w:marTop w:val="0"/>
          <w:marBottom w:val="0"/>
          <w:divBdr>
            <w:top w:val="none" w:sz="0" w:space="0" w:color="auto"/>
            <w:left w:val="none" w:sz="0" w:space="0" w:color="auto"/>
            <w:bottom w:val="none" w:sz="0" w:space="0" w:color="auto"/>
            <w:right w:val="none" w:sz="0" w:space="0" w:color="auto"/>
          </w:divBdr>
        </w:div>
        <w:div w:id="455871696">
          <w:blockQuote w:val="1"/>
          <w:marLeft w:val="-1900"/>
          <w:marRight w:val="0"/>
          <w:marTop w:val="300"/>
          <w:marBottom w:val="300"/>
          <w:divBdr>
            <w:top w:val="none" w:sz="0" w:space="0" w:color="auto"/>
            <w:left w:val="none" w:sz="0" w:space="0" w:color="auto"/>
            <w:bottom w:val="none" w:sz="0" w:space="0" w:color="auto"/>
            <w:right w:val="none" w:sz="0" w:space="0" w:color="auto"/>
          </w:divBdr>
        </w:div>
        <w:div w:id="799885998">
          <w:marLeft w:val="0"/>
          <w:marRight w:val="0"/>
          <w:marTop w:val="0"/>
          <w:marBottom w:val="0"/>
          <w:divBdr>
            <w:top w:val="none" w:sz="0" w:space="0" w:color="auto"/>
            <w:left w:val="none" w:sz="0" w:space="0" w:color="auto"/>
            <w:bottom w:val="none" w:sz="0" w:space="0" w:color="auto"/>
            <w:right w:val="none" w:sz="0" w:space="0" w:color="auto"/>
          </w:divBdr>
          <w:divsChild>
            <w:div w:id="834805913">
              <w:marLeft w:val="0"/>
              <w:marRight w:val="0"/>
              <w:marTop w:val="0"/>
              <w:marBottom w:val="0"/>
              <w:divBdr>
                <w:top w:val="none" w:sz="0" w:space="0" w:color="auto"/>
                <w:left w:val="none" w:sz="0" w:space="0" w:color="auto"/>
                <w:bottom w:val="none" w:sz="0" w:space="0" w:color="auto"/>
                <w:right w:val="none" w:sz="0" w:space="0" w:color="auto"/>
              </w:divBdr>
            </w:div>
          </w:divsChild>
        </w:div>
        <w:div w:id="900168230">
          <w:marLeft w:val="0"/>
          <w:marRight w:val="0"/>
          <w:marTop w:val="0"/>
          <w:marBottom w:val="0"/>
          <w:divBdr>
            <w:top w:val="none" w:sz="0" w:space="0" w:color="auto"/>
            <w:left w:val="none" w:sz="0" w:space="0" w:color="auto"/>
            <w:bottom w:val="none" w:sz="0" w:space="0" w:color="auto"/>
            <w:right w:val="none" w:sz="0" w:space="0" w:color="auto"/>
          </w:divBdr>
        </w:div>
        <w:div w:id="1395279153">
          <w:marLeft w:val="0"/>
          <w:marRight w:val="0"/>
          <w:marTop w:val="0"/>
          <w:marBottom w:val="0"/>
          <w:divBdr>
            <w:top w:val="none" w:sz="0" w:space="0" w:color="auto"/>
            <w:left w:val="none" w:sz="0" w:space="0" w:color="auto"/>
            <w:bottom w:val="none" w:sz="0" w:space="0" w:color="auto"/>
            <w:right w:val="none" w:sz="0" w:space="0" w:color="auto"/>
          </w:divBdr>
        </w:div>
        <w:div w:id="2143844398">
          <w:marLeft w:val="0"/>
          <w:marRight w:val="0"/>
          <w:marTop w:val="0"/>
          <w:marBottom w:val="0"/>
          <w:divBdr>
            <w:top w:val="none" w:sz="0" w:space="0" w:color="auto"/>
            <w:left w:val="none" w:sz="0" w:space="0" w:color="auto"/>
            <w:bottom w:val="none" w:sz="0" w:space="0" w:color="auto"/>
            <w:right w:val="none" w:sz="0" w:space="0" w:color="auto"/>
          </w:divBdr>
        </w:div>
      </w:divsChild>
    </w:div>
    <w:div w:id="33846520">
      <w:bodyDiv w:val="1"/>
      <w:marLeft w:val="0"/>
      <w:marRight w:val="0"/>
      <w:marTop w:val="0"/>
      <w:marBottom w:val="0"/>
      <w:divBdr>
        <w:top w:val="none" w:sz="0" w:space="0" w:color="auto"/>
        <w:left w:val="none" w:sz="0" w:space="0" w:color="auto"/>
        <w:bottom w:val="none" w:sz="0" w:space="0" w:color="auto"/>
        <w:right w:val="none" w:sz="0" w:space="0" w:color="auto"/>
      </w:divBdr>
    </w:div>
    <w:div w:id="46419528">
      <w:bodyDiv w:val="1"/>
      <w:marLeft w:val="0"/>
      <w:marRight w:val="0"/>
      <w:marTop w:val="0"/>
      <w:marBottom w:val="0"/>
      <w:divBdr>
        <w:top w:val="none" w:sz="0" w:space="0" w:color="auto"/>
        <w:left w:val="none" w:sz="0" w:space="0" w:color="auto"/>
        <w:bottom w:val="none" w:sz="0" w:space="0" w:color="auto"/>
        <w:right w:val="none" w:sz="0" w:space="0" w:color="auto"/>
      </w:divBdr>
    </w:div>
    <w:div w:id="49502854">
      <w:bodyDiv w:val="1"/>
      <w:marLeft w:val="0"/>
      <w:marRight w:val="0"/>
      <w:marTop w:val="0"/>
      <w:marBottom w:val="0"/>
      <w:divBdr>
        <w:top w:val="none" w:sz="0" w:space="0" w:color="auto"/>
        <w:left w:val="none" w:sz="0" w:space="0" w:color="auto"/>
        <w:bottom w:val="none" w:sz="0" w:space="0" w:color="auto"/>
        <w:right w:val="none" w:sz="0" w:space="0" w:color="auto"/>
      </w:divBdr>
    </w:div>
    <w:div w:id="63728277">
      <w:bodyDiv w:val="1"/>
      <w:marLeft w:val="0"/>
      <w:marRight w:val="0"/>
      <w:marTop w:val="0"/>
      <w:marBottom w:val="0"/>
      <w:divBdr>
        <w:top w:val="none" w:sz="0" w:space="0" w:color="auto"/>
        <w:left w:val="none" w:sz="0" w:space="0" w:color="auto"/>
        <w:bottom w:val="none" w:sz="0" w:space="0" w:color="auto"/>
        <w:right w:val="none" w:sz="0" w:space="0" w:color="auto"/>
      </w:divBdr>
      <w:divsChild>
        <w:div w:id="1347757026">
          <w:marLeft w:val="0"/>
          <w:marRight w:val="0"/>
          <w:marTop w:val="0"/>
          <w:marBottom w:val="0"/>
          <w:divBdr>
            <w:top w:val="none" w:sz="0" w:space="0" w:color="auto"/>
            <w:left w:val="none" w:sz="0" w:space="0" w:color="auto"/>
            <w:bottom w:val="none" w:sz="0" w:space="0" w:color="auto"/>
            <w:right w:val="none" w:sz="0" w:space="0" w:color="auto"/>
          </w:divBdr>
        </w:div>
        <w:div w:id="449278582">
          <w:marLeft w:val="0"/>
          <w:marRight w:val="0"/>
          <w:marTop w:val="0"/>
          <w:marBottom w:val="0"/>
          <w:divBdr>
            <w:top w:val="none" w:sz="0" w:space="0" w:color="auto"/>
            <w:left w:val="none" w:sz="0" w:space="0" w:color="auto"/>
            <w:bottom w:val="none" w:sz="0" w:space="0" w:color="auto"/>
            <w:right w:val="none" w:sz="0" w:space="0" w:color="auto"/>
          </w:divBdr>
        </w:div>
        <w:div w:id="1208297171">
          <w:marLeft w:val="0"/>
          <w:marRight w:val="0"/>
          <w:marTop w:val="0"/>
          <w:marBottom w:val="0"/>
          <w:divBdr>
            <w:top w:val="none" w:sz="0" w:space="0" w:color="auto"/>
            <w:left w:val="none" w:sz="0" w:space="0" w:color="auto"/>
            <w:bottom w:val="none" w:sz="0" w:space="0" w:color="auto"/>
            <w:right w:val="none" w:sz="0" w:space="0" w:color="auto"/>
          </w:divBdr>
        </w:div>
      </w:divsChild>
    </w:div>
    <w:div w:id="70467192">
      <w:bodyDiv w:val="1"/>
      <w:marLeft w:val="0"/>
      <w:marRight w:val="0"/>
      <w:marTop w:val="0"/>
      <w:marBottom w:val="0"/>
      <w:divBdr>
        <w:top w:val="none" w:sz="0" w:space="0" w:color="auto"/>
        <w:left w:val="none" w:sz="0" w:space="0" w:color="auto"/>
        <w:bottom w:val="none" w:sz="0" w:space="0" w:color="auto"/>
        <w:right w:val="none" w:sz="0" w:space="0" w:color="auto"/>
      </w:divBdr>
      <w:divsChild>
        <w:div w:id="190994414">
          <w:marLeft w:val="0"/>
          <w:marRight w:val="0"/>
          <w:marTop w:val="0"/>
          <w:marBottom w:val="0"/>
          <w:divBdr>
            <w:top w:val="none" w:sz="0" w:space="0" w:color="auto"/>
            <w:left w:val="none" w:sz="0" w:space="0" w:color="auto"/>
            <w:bottom w:val="none" w:sz="0" w:space="0" w:color="auto"/>
            <w:right w:val="none" w:sz="0" w:space="0" w:color="auto"/>
          </w:divBdr>
        </w:div>
        <w:div w:id="1882553179">
          <w:marLeft w:val="0"/>
          <w:marRight w:val="0"/>
          <w:marTop w:val="0"/>
          <w:marBottom w:val="0"/>
          <w:divBdr>
            <w:top w:val="none" w:sz="0" w:space="0" w:color="auto"/>
            <w:left w:val="none" w:sz="0" w:space="0" w:color="auto"/>
            <w:bottom w:val="none" w:sz="0" w:space="0" w:color="auto"/>
            <w:right w:val="none" w:sz="0" w:space="0" w:color="auto"/>
          </w:divBdr>
        </w:div>
      </w:divsChild>
    </w:div>
    <w:div w:id="75712552">
      <w:bodyDiv w:val="1"/>
      <w:marLeft w:val="0"/>
      <w:marRight w:val="0"/>
      <w:marTop w:val="0"/>
      <w:marBottom w:val="0"/>
      <w:divBdr>
        <w:top w:val="none" w:sz="0" w:space="0" w:color="auto"/>
        <w:left w:val="none" w:sz="0" w:space="0" w:color="auto"/>
        <w:bottom w:val="none" w:sz="0" w:space="0" w:color="auto"/>
        <w:right w:val="none" w:sz="0" w:space="0" w:color="auto"/>
      </w:divBdr>
    </w:div>
    <w:div w:id="77332761">
      <w:bodyDiv w:val="1"/>
      <w:marLeft w:val="0"/>
      <w:marRight w:val="0"/>
      <w:marTop w:val="0"/>
      <w:marBottom w:val="0"/>
      <w:divBdr>
        <w:top w:val="none" w:sz="0" w:space="0" w:color="auto"/>
        <w:left w:val="none" w:sz="0" w:space="0" w:color="auto"/>
        <w:bottom w:val="none" w:sz="0" w:space="0" w:color="auto"/>
        <w:right w:val="none" w:sz="0" w:space="0" w:color="auto"/>
      </w:divBdr>
    </w:div>
    <w:div w:id="79758713">
      <w:bodyDiv w:val="1"/>
      <w:marLeft w:val="0"/>
      <w:marRight w:val="0"/>
      <w:marTop w:val="0"/>
      <w:marBottom w:val="0"/>
      <w:divBdr>
        <w:top w:val="none" w:sz="0" w:space="0" w:color="auto"/>
        <w:left w:val="none" w:sz="0" w:space="0" w:color="auto"/>
        <w:bottom w:val="none" w:sz="0" w:space="0" w:color="auto"/>
        <w:right w:val="none" w:sz="0" w:space="0" w:color="auto"/>
      </w:divBdr>
    </w:div>
    <w:div w:id="80638407">
      <w:bodyDiv w:val="1"/>
      <w:marLeft w:val="0"/>
      <w:marRight w:val="0"/>
      <w:marTop w:val="0"/>
      <w:marBottom w:val="0"/>
      <w:divBdr>
        <w:top w:val="none" w:sz="0" w:space="0" w:color="auto"/>
        <w:left w:val="none" w:sz="0" w:space="0" w:color="auto"/>
        <w:bottom w:val="none" w:sz="0" w:space="0" w:color="auto"/>
        <w:right w:val="none" w:sz="0" w:space="0" w:color="auto"/>
      </w:divBdr>
    </w:div>
    <w:div w:id="86468858">
      <w:bodyDiv w:val="1"/>
      <w:marLeft w:val="0"/>
      <w:marRight w:val="0"/>
      <w:marTop w:val="0"/>
      <w:marBottom w:val="0"/>
      <w:divBdr>
        <w:top w:val="none" w:sz="0" w:space="0" w:color="auto"/>
        <w:left w:val="none" w:sz="0" w:space="0" w:color="auto"/>
        <w:bottom w:val="none" w:sz="0" w:space="0" w:color="auto"/>
        <w:right w:val="none" w:sz="0" w:space="0" w:color="auto"/>
      </w:divBdr>
    </w:div>
    <w:div w:id="88935080">
      <w:bodyDiv w:val="1"/>
      <w:marLeft w:val="0"/>
      <w:marRight w:val="0"/>
      <w:marTop w:val="0"/>
      <w:marBottom w:val="0"/>
      <w:divBdr>
        <w:top w:val="none" w:sz="0" w:space="0" w:color="auto"/>
        <w:left w:val="none" w:sz="0" w:space="0" w:color="auto"/>
        <w:bottom w:val="none" w:sz="0" w:space="0" w:color="auto"/>
        <w:right w:val="none" w:sz="0" w:space="0" w:color="auto"/>
      </w:divBdr>
      <w:divsChild>
        <w:div w:id="140271244">
          <w:marLeft w:val="0"/>
          <w:marRight w:val="0"/>
          <w:marTop w:val="0"/>
          <w:marBottom w:val="0"/>
          <w:divBdr>
            <w:top w:val="none" w:sz="0" w:space="0" w:color="auto"/>
            <w:left w:val="none" w:sz="0" w:space="0" w:color="auto"/>
            <w:bottom w:val="none" w:sz="0" w:space="0" w:color="auto"/>
            <w:right w:val="none" w:sz="0" w:space="0" w:color="auto"/>
          </w:divBdr>
        </w:div>
        <w:div w:id="1211723637">
          <w:marLeft w:val="0"/>
          <w:marRight w:val="0"/>
          <w:marTop w:val="0"/>
          <w:marBottom w:val="0"/>
          <w:divBdr>
            <w:top w:val="none" w:sz="0" w:space="0" w:color="auto"/>
            <w:left w:val="none" w:sz="0" w:space="0" w:color="auto"/>
            <w:bottom w:val="none" w:sz="0" w:space="0" w:color="auto"/>
            <w:right w:val="none" w:sz="0" w:space="0" w:color="auto"/>
          </w:divBdr>
        </w:div>
      </w:divsChild>
    </w:div>
    <w:div w:id="99037102">
      <w:bodyDiv w:val="1"/>
      <w:marLeft w:val="0"/>
      <w:marRight w:val="0"/>
      <w:marTop w:val="0"/>
      <w:marBottom w:val="0"/>
      <w:divBdr>
        <w:top w:val="none" w:sz="0" w:space="0" w:color="auto"/>
        <w:left w:val="none" w:sz="0" w:space="0" w:color="auto"/>
        <w:bottom w:val="none" w:sz="0" w:space="0" w:color="auto"/>
        <w:right w:val="none" w:sz="0" w:space="0" w:color="auto"/>
      </w:divBdr>
    </w:div>
    <w:div w:id="109980693">
      <w:bodyDiv w:val="1"/>
      <w:marLeft w:val="0"/>
      <w:marRight w:val="0"/>
      <w:marTop w:val="0"/>
      <w:marBottom w:val="0"/>
      <w:divBdr>
        <w:top w:val="none" w:sz="0" w:space="0" w:color="auto"/>
        <w:left w:val="none" w:sz="0" w:space="0" w:color="auto"/>
        <w:bottom w:val="none" w:sz="0" w:space="0" w:color="auto"/>
        <w:right w:val="none" w:sz="0" w:space="0" w:color="auto"/>
      </w:divBdr>
      <w:divsChild>
        <w:div w:id="1920098563">
          <w:marLeft w:val="0"/>
          <w:marRight w:val="0"/>
          <w:marTop w:val="0"/>
          <w:marBottom w:val="0"/>
          <w:divBdr>
            <w:top w:val="none" w:sz="0" w:space="0" w:color="auto"/>
            <w:left w:val="none" w:sz="0" w:space="0" w:color="auto"/>
            <w:bottom w:val="none" w:sz="0" w:space="0" w:color="auto"/>
            <w:right w:val="none" w:sz="0" w:space="0" w:color="auto"/>
          </w:divBdr>
        </w:div>
        <w:div w:id="1532110109">
          <w:marLeft w:val="0"/>
          <w:marRight w:val="0"/>
          <w:marTop w:val="0"/>
          <w:marBottom w:val="0"/>
          <w:divBdr>
            <w:top w:val="none" w:sz="0" w:space="0" w:color="auto"/>
            <w:left w:val="none" w:sz="0" w:space="0" w:color="auto"/>
            <w:bottom w:val="none" w:sz="0" w:space="0" w:color="auto"/>
            <w:right w:val="none" w:sz="0" w:space="0" w:color="auto"/>
          </w:divBdr>
        </w:div>
        <w:div w:id="1252155078">
          <w:marLeft w:val="0"/>
          <w:marRight w:val="0"/>
          <w:marTop w:val="0"/>
          <w:marBottom w:val="0"/>
          <w:divBdr>
            <w:top w:val="none" w:sz="0" w:space="0" w:color="auto"/>
            <w:left w:val="none" w:sz="0" w:space="0" w:color="auto"/>
            <w:bottom w:val="none" w:sz="0" w:space="0" w:color="auto"/>
            <w:right w:val="none" w:sz="0" w:space="0" w:color="auto"/>
          </w:divBdr>
        </w:div>
      </w:divsChild>
    </w:div>
    <w:div w:id="111948111">
      <w:bodyDiv w:val="1"/>
      <w:marLeft w:val="0"/>
      <w:marRight w:val="0"/>
      <w:marTop w:val="0"/>
      <w:marBottom w:val="0"/>
      <w:divBdr>
        <w:top w:val="none" w:sz="0" w:space="0" w:color="auto"/>
        <w:left w:val="none" w:sz="0" w:space="0" w:color="auto"/>
        <w:bottom w:val="none" w:sz="0" w:space="0" w:color="auto"/>
        <w:right w:val="none" w:sz="0" w:space="0" w:color="auto"/>
      </w:divBdr>
    </w:div>
    <w:div w:id="139808010">
      <w:bodyDiv w:val="1"/>
      <w:marLeft w:val="0"/>
      <w:marRight w:val="0"/>
      <w:marTop w:val="0"/>
      <w:marBottom w:val="0"/>
      <w:divBdr>
        <w:top w:val="none" w:sz="0" w:space="0" w:color="auto"/>
        <w:left w:val="none" w:sz="0" w:space="0" w:color="auto"/>
        <w:bottom w:val="none" w:sz="0" w:space="0" w:color="auto"/>
        <w:right w:val="none" w:sz="0" w:space="0" w:color="auto"/>
      </w:divBdr>
    </w:div>
    <w:div w:id="140004706">
      <w:bodyDiv w:val="1"/>
      <w:marLeft w:val="0"/>
      <w:marRight w:val="0"/>
      <w:marTop w:val="0"/>
      <w:marBottom w:val="0"/>
      <w:divBdr>
        <w:top w:val="none" w:sz="0" w:space="0" w:color="auto"/>
        <w:left w:val="none" w:sz="0" w:space="0" w:color="auto"/>
        <w:bottom w:val="none" w:sz="0" w:space="0" w:color="auto"/>
        <w:right w:val="none" w:sz="0" w:space="0" w:color="auto"/>
      </w:divBdr>
    </w:div>
    <w:div w:id="143861667">
      <w:bodyDiv w:val="1"/>
      <w:marLeft w:val="0"/>
      <w:marRight w:val="0"/>
      <w:marTop w:val="0"/>
      <w:marBottom w:val="0"/>
      <w:divBdr>
        <w:top w:val="none" w:sz="0" w:space="0" w:color="auto"/>
        <w:left w:val="none" w:sz="0" w:space="0" w:color="auto"/>
        <w:bottom w:val="none" w:sz="0" w:space="0" w:color="auto"/>
        <w:right w:val="none" w:sz="0" w:space="0" w:color="auto"/>
      </w:divBdr>
    </w:div>
    <w:div w:id="157161892">
      <w:bodyDiv w:val="1"/>
      <w:marLeft w:val="0"/>
      <w:marRight w:val="0"/>
      <w:marTop w:val="0"/>
      <w:marBottom w:val="0"/>
      <w:divBdr>
        <w:top w:val="none" w:sz="0" w:space="0" w:color="auto"/>
        <w:left w:val="none" w:sz="0" w:space="0" w:color="auto"/>
        <w:bottom w:val="none" w:sz="0" w:space="0" w:color="auto"/>
        <w:right w:val="none" w:sz="0" w:space="0" w:color="auto"/>
      </w:divBdr>
    </w:div>
    <w:div w:id="163592474">
      <w:bodyDiv w:val="1"/>
      <w:marLeft w:val="0"/>
      <w:marRight w:val="0"/>
      <w:marTop w:val="0"/>
      <w:marBottom w:val="0"/>
      <w:divBdr>
        <w:top w:val="none" w:sz="0" w:space="0" w:color="auto"/>
        <w:left w:val="none" w:sz="0" w:space="0" w:color="auto"/>
        <w:bottom w:val="none" w:sz="0" w:space="0" w:color="auto"/>
        <w:right w:val="none" w:sz="0" w:space="0" w:color="auto"/>
      </w:divBdr>
    </w:div>
    <w:div w:id="176506167">
      <w:bodyDiv w:val="1"/>
      <w:marLeft w:val="0"/>
      <w:marRight w:val="0"/>
      <w:marTop w:val="0"/>
      <w:marBottom w:val="0"/>
      <w:divBdr>
        <w:top w:val="none" w:sz="0" w:space="0" w:color="auto"/>
        <w:left w:val="none" w:sz="0" w:space="0" w:color="auto"/>
        <w:bottom w:val="none" w:sz="0" w:space="0" w:color="auto"/>
        <w:right w:val="none" w:sz="0" w:space="0" w:color="auto"/>
      </w:divBdr>
      <w:divsChild>
        <w:div w:id="1723482347">
          <w:marLeft w:val="0"/>
          <w:marRight w:val="0"/>
          <w:marTop w:val="0"/>
          <w:marBottom w:val="0"/>
          <w:divBdr>
            <w:top w:val="none" w:sz="0" w:space="0" w:color="auto"/>
            <w:left w:val="none" w:sz="0" w:space="0" w:color="auto"/>
            <w:bottom w:val="none" w:sz="0" w:space="0" w:color="auto"/>
            <w:right w:val="none" w:sz="0" w:space="0" w:color="auto"/>
          </w:divBdr>
          <w:divsChild>
            <w:div w:id="727648096">
              <w:marLeft w:val="0"/>
              <w:marRight w:val="0"/>
              <w:marTop w:val="0"/>
              <w:marBottom w:val="0"/>
              <w:divBdr>
                <w:top w:val="none" w:sz="0" w:space="0" w:color="auto"/>
                <w:left w:val="none" w:sz="0" w:space="0" w:color="auto"/>
                <w:bottom w:val="none" w:sz="0" w:space="0" w:color="auto"/>
                <w:right w:val="none" w:sz="0" w:space="0" w:color="auto"/>
              </w:divBdr>
              <w:divsChild>
                <w:div w:id="783184668">
                  <w:marLeft w:val="0"/>
                  <w:marRight w:val="0"/>
                  <w:marTop w:val="0"/>
                  <w:marBottom w:val="0"/>
                  <w:divBdr>
                    <w:top w:val="none" w:sz="0" w:space="0" w:color="auto"/>
                    <w:left w:val="none" w:sz="0" w:space="0" w:color="auto"/>
                    <w:bottom w:val="none" w:sz="0" w:space="0" w:color="auto"/>
                    <w:right w:val="none" w:sz="0" w:space="0" w:color="auto"/>
                  </w:divBdr>
                  <w:divsChild>
                    <w:div w:id="341318926">
                      <w:marLeft w:val="0"/>
                      <w:marRight w:val="0"/>
                      <w:marTop w:val="0"/>
                      <w:marBottom w:val="450"/>
                      <w:divBdr>
                        <w:top w:val="none" w:sz="0" w:space="0" w:color="auto"/>
                        <w:left w:val="none" w:sz="0" w:space="0" w:color="auto"/>
                        <w:bottom w:val="none" w:sz="0" w:space="0" w:color="auto"/>
                        <w:right w:val="none" w:sz="0" w:space="0" w:color="auto"/>
                      </w:divBdr>
                      <w:divsChild>
                        <w:div w:id="1801339889">
                          <w:marLeft w:val="0"/>
                          <w:marRight w:val="0"/>
                          <w:marTop w:val="0"/>
                          <w:marBottom w:val="0"/>
                          <w:divBdr>
                            <w:top w:val="none" w:sz="0" w:space="0" w:color="auto"/>
                            <w:left w:val="none" w:sz="0" w:space="0" w:color="auto"/>
                            <w:bottom w:val="none" w:sz="0" w:space="0" w:color="auto"/>
                            <w:right w:val="none" w:sz="0" w:space="0" w:color="auto"/>
                          </w:divBdr>
                          <w:divsChild>
                            <w:div w:id="1861972612">
                              <w:marLeft w:val="0"/>
                              <w:marRight w:val="0"/>
                              <w:marTop w:val="0"/>
                              <w:marBottom w:val="300"/>
                              <w:divBdr>
                                <w:top w:val="none" w:sz="0" w:space="0" w:color="auto"/>
                                <w:left w:val="none" w:sz="0" w:space="0" w:color="auto"/>
                                <w:bottom w:val="single" w:sz="6" w:space="4" w:color="E5E5E5"/>
                                <w:right w:val="none" w:sz="0" w:space="0" w:color="auto"/>
                              </w:divBdr>
                              <w:divsChild>
                                <w:div w:id="38172229">
                                  <w:marLeft w:val="0"/>
                                  <w:marRight w:val="0"/>
                                  <w:marTop w:val="0"/>
                                  <w:marBottom w:val="0"/>
                                  <w:divBdr>
                                    <w:top w:val="none" w:sz="0" w:space="0" w:color="auto"/>
                                    <w:left w:val="none" w:sz="0" w:space="0" w:color="auto"/>
                                    <w:bottom w:val="none" w:sz="0" w:space="0" w:color="auto"/>
                                    <w:right w:val="none" w:sz="0" w:space="0" w:color="auto"/>
                                  </w:divBdr>
                                  <w:divsChild>
                                    <w:div w:id="1079331522">
                                      <w:marLeft w:val="0"/>
                                      <w:marRight w:val="0"/>
                                      <w:marTop w:val="0"/>
                                      <w:marBottom w:val="0"/>
                                      <w:divBdr>
                                        <w:top w:val="none" w:sz="0" w:space="0" w:color="auto"/>
                                        <w:left w:val="none" w:sz="0" w:space="0" w:color="auto"/>
                                        <w:bottom w:val="none" w:sz="0" w:space="0" w:color="auto"/>
                                        <w:right w:val="none" w:sz="0" w:space="0" w:color="auto"/>
                                      </w:divBdr>
                                    </w:div>
                                    <w:div w:id="19710835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33260">
      <w:bodyDiv w:val="1"/>
      <w:marLeft w:val="0"/>
      <w:marRight w:val="0"/>
      <w:marTop w:val="0"/>
      <w:marBottom w:val="0"/>
      <w:divBdr>
        <w:top w:val="none" w:sz="0" w:space="0" w:color="auto"/>
        <w:left w:val="none" w:sz="0" w:space="0" w:color="auto"/>
        <w:bottom w:val="none" w:sz="0" w:space="0" w:color="auto"/>
        <w:right w:val="none" w:sz="0" w:space="0" w:color="auto"/>
      </w:divBdr>
      <w:divsChild>
        <w:div w:id="1773548556">
          <w:marLeft w:val="0"/>
          <w:marRight w:val="0"/>
          <w:marTop w:val="0"/>
          <w:marBottom w:val="0"/>
          <w:divBdr>
            <w:top w:val="none" w:sz="0" w:space="0" w:color="auto"/>
            <w:left w:val="none" w:sz="0" w:space="0" w:color="auto"/>
            <w:bottom w:val="none" w:sz="0" w:space="0" w:color="auto"/>
            <w:right w:val="none" w:sz="0" w:space="0" w:color="auto"/>
          </w:divBdr>
        </w:div>
        <w:div w:id="1213615871">
          <w:blockQuote w:val="1"/>
          <w:marLeft w:val="-1485"/>
          <w:marRight w:val="0"/>
          <w:marTop w:val="300"/>
          <w:marBottom w:val="300"/>
          <w:divBdr>
            <w:top w:val="none" w:sz="0" w:space="0" w:color="auto"/>
            <w:left w:val="none" w:sz="0" w:space="0" w:color="auto"/>
            <w:bottom w:val="none" w:sz="0" w:space="0" w:color="auto"/>
            <w:right w:val="none" w:sz="0" w:space="0" w:color="auto"/>
          </w:divBdr>
        </w:div>
        <w:div w:id="916746453">
          <w:marLeft w:val="0"/>
          <w:marRight w:val="0"/>
          <w:marTop w:val="0"/>
          <w:marBottom w:val="0"/>
          <w:divBdr>
            <w:top w:val="none" w:sz="0" w:space="0" w:color="auto"/>
            <w:left w:val="none" w:sz="0" w:space="0" w:color="auto"/>
            <w:bottom w:val="none" w:sz="0" w:space="0" w:color="auto"/>
            <w:right w:val="none" w:sz="0" w:space="0" w:color="auto"/>
          </w:divBdr>
        </w:div>
        <w:div w:id="1475563150">
          <w:marLeft w:val="0"/>
          <w:marRight w:val="0"/>
          <w:marTop w:val="0"/>
          <w:marBottom w:val="0"/>
          <w:divBdr>
            <w:top w:val="none" w:sz="0" w:space="0" w:color="auto"/>
            <w:left w:val="none" w:sz="0" w:space="0" w:color="auto"/>
            <w:bottom w:val="none" w:sz="0" w:space="0" w:color="auto"/>
            <w:right w:val="none" w:sz="0" w:space="0" w:color="auto"/>
          </w:divBdr>
        </w:div>
        <w:div w:id="1283196728">
          <w:marLeft w:val="0"/>
          <w:marRight w:val="0"/>
          <w:marTop w:val="0"/>
          <w:marBottom w:val="0"/>
          <w:divBdr>
            <w:top w:val="none" w:sz="0" w:space="0" w:color="auto"/>
            <w:left w:val="none" w:sz="0" w:space="0" w:color="auto"/>
            <w:bottom w:val="none" w:sz="0" w:space="0" w:color="auto"/>
            <w:right w:val="none" w:sz="0" w:space="0" w:color="auto"/>
          </w:divBdr>
        </w:div>
      </w:divsChild>
    </w:div>
    <w:div w:id="211313502">
      <w:bodyDiv w:val="1"/>
      <w:marLeft w:val="0"/>
      <w:marRight w:val="0"/>
      <w:marTop w:val="0"/>
      <w:marBottom w:val="0"/>
      <w:divBdr>
        <w:top w:val="none" w:sz="0" w:space="0" w:color="auto"/>
        <w:left w:val="none" w:sz="0" w:space="0" w:color="auto"/>
        <w:bottom w:val="none" w:sz="0" w:space="0" w:color="auto"/>
        <w:right w:val="none" w:sz="0" w:space="0" w:color="auto"/>
      </w:divBdr>
    </w:div>
    <w:div w:id="223177778">
      <w:bodyDiv w:val="1"/>
      <w:marLeft w:val="0"/>
      <w:marRight w:val="0"/>
      <w:marTop w:val="0"/>
      <w:marBottom w:val="0"/>
      <w:divBdr>
        <w:top w:val="none" w:sz="0" w:space="0" w:color="auto"/>
        <w:left w:val="none" w:sz="0" w:space="0" w:color="auto"/>
        <w:bottom w:val="none" w:sz="0" w:space="0" w:color="auto"/>
        <w:right w:val="none" w:sz="0" w:space="0" w:color="auto"/>
      </w:divBdr>
    </w:div>
    <w:div w:id="238634120">
      <w:bodyDiv w:val="1"/>
      <w:marLeft w:val="0"/>
      <w:marRight w:val="0"/>
      <w:marTop w:val="0"/>
      <w:marBottom w:val="0"/>
      <w:divBdr>
        <w:top w:val="none" w:sz="0" w:space="0" w:color="auto"/>
        <w:left w:val="none" w:sz="0" w:space="0" w:color="auto"/>
        <w:bottom w:val="none" w:sz="0" w:space="0" w:color="auto"/>
        <w:right w:val="none" w:sz="0" w:space="0" w:color="auto"/>
      </w:divBdr>
      <w:divsChild>
        <w:div w:id="156919792">
          <w:marLeft w:val="0"/>
          <w:marRight w:val="0"/>
          <w:marTop w:val="0"/>
          <w:marBottom w:val="0"/>
          <w:divBdr>
            <w:top w:val="none" w:sz="0" w:space="0" w:color="auto"/>
            <w:left w:val="none" w:sz="0" w:space="0" w:color="auto"/>
            <w:bottom w:val="none" w:sz="0" w:space="0" w:color="auto"/>
            <w:right w:val="none" w:sz="0" w:space="0" w:color="auto"/>
          </w:divBdr>
        </w:div>
        <w:div w:id="272133479">
          <w:marLeft w:val="0"/>
          <w:marRight w:val="0"/>
          <w:marTop w:val="0"/>
          <w:marBottom w:val="0"/>
          <w:divBdr>
            <w:top w:val="none" w:sz="0" w:space="0" w:color="auto"/>
            <w:left w:val="none" w:sz="0" w:space="0" w:color="auto"/>
            <w:bottom w:val="none" w:sz="0" w:space="0" w:color="auto"/>
            <w:right w:val="none" w:sz="0" w:space="0" w:color="auto"/>
          </w:divBdr>
        </w:div>
        <w:div w:id="568999263">
          <w:marLeft w:val="0"/>
          <w:marRight w:val="0"/>
          <w:marTop w:val="0"/>
          <w:marBottom w:val="0"/>
          <w:divBdr>
            <w:top w:val="none" w:sz="0" w:space="0" w:color="auto"/>
            <w:left w:val="none" w:sz="0" w:space="0" w:color="auto"/>
            <w:bottom w:val="none" w:sz="0" w:space="0" w:color="auto"/>
            <w:right w:val="none" w:sz="0" w:space="0" w:color="auto"/>
          </w:divBdr>
        </w:div>
        <w:div w:id="773015614">
          <w:marLeft w:val="0"/>
          <w:marRight w:val="0"/>
          <w:marTop w:val="0"/>
          <w:marBottom w:val="0"/>
          <w:divBdr>
            <w:top w:val="none" w:sz="0" w:space="0" w:color="auto"/>
            <w:left w:val="none" w:sz="0" w:space="0" w:color="auto"/>
            <w:bottom w:val="none" w:sz="0" w:space="0" w:color="auto"/>
            <w:right w:val="none" w:sz="0" w:space="0" w:color="auto"/>
          </w:divBdr>
        </w:div>
      </w:divsChild>
    </w:div>
    <w:div w:id="243690734">
      <w:bodyDiv w:val="1"/>
      <w:marLeft w:val="0"/>
      <w:marRight w:val="0"/>
      <w:marTop w:val="0"/>
      <w:marBottom w:val="0"/>
      <w:divBdr>
        <w:top w:val="none" w:sz="0" w:space="0" w:color="auto"/>
        <w:left w:val="none" w:sz="0" w:space="0" w:color="auto"/>
        <w:bottom w:val="none" w:sz="0" w:space="0" w:color="auto"/>
        <w:right w:val="none" w:sz="0" w:space="0" w:color="auto"/>
      </w:divBdr>
    </w:div>
    <w:div w:id="244874993">
      <w:bodyDiv w:val="1"/>
      <w:marLeft w:val="0"/>
      <w:marRight w:val="0"/>
      <w:marTop w:val="0"/>
      <w:marBottom w:val="0"/>
      <w:divBdr>
        <w:top w:val="none" w:sz="0" w:space="0" w:color="auto"/>
        <w:left w:val="none" w:sz="0" w:space="0" w:color="auto"/>
        <w:bottom w:val="none" w:sz="0" w:space="0" w:color="auto"/>
        <w:right w:val="none" w:sz="0" w:space="0" w:color="auto"/>
      </w:divBdr>
    </w:div>
    <w:div w:id="246112489">
      <w:bodyDiv w:val="1"/>
      <w:marLeft w:val="0"/>
      <w:marRight w:val="0"/>
      <w:marTop w:val="0"/>
      <w:marBottom w:val="0"/>
      <w:divBdr>
        <w:top w:val="none" w:sz="0" w:space="0" w:color="auto"/>
        <w:left w:val="none" w:sz="0" w:space="0" w:color="auto"/>
        <w:bottom w:val="none" w:sz="0" w:space="0" w:color="auto"/>
        <w:right w:val="none" w:sz="0" w:space="0" w:color="auto"/>
      </w:divBdr>
    </w:div>
    <w:div w:id="250116579">
      <w:bodyDiv w:val="1"/>
      <w:marLeft w:val="0"/>
      <w:marRight w:val="0"/>
      <w:marTop w:val="0"/>
      <w:marBottom w:val="0"/>
      <w:divBdr>
        <w:top w:val="none" w:sz="0" w:space="0" w:color="auto"/>
        <w:left w:val="none" w:sz="0" w:space="0" w:color="auto"/>
        <w:bottom w:val="none" w:sz="0" w:space="0" w:color="auto"/>
        <w:right w:val="none" w:sz="0" w:space="0" w:color="auto"/>
      </w:divBdr>
    </w:div>
    <w:div w:id="253826480">
      <w:bodyDiv w:val="1"/>
      <w:marLeft w:val="0"/>
      <w:marRight w:val="0"/>
      <w:marTop w:val="0"/>
      <w:marBottom w:val="0"/>
      <w:divBdr>
        <w:top w:val="none" w:sz="0" w:space="0" w:color="auto"/>
        <w:left w:val="none" w:sz="0" w:space="0" w:color="auto"/>
        <w:bottom w:val="none" w:sz="0" w:space="0" w:color="auto"/>
        <w:right w:val="none" w:sz="0" w:space="0" w:color="auto"/>
      </w:divBdr>
      <w:divsChild>
        <w:div w:id="71242935">
          <w:marLeft w:val="0"/>
          <w:marRight w:val="0"/>
          <w:marTop w:val="0"/>
          <w:marBottom w:val="0"/>
          <w:divBdr>
            <w:top w:val="none" w:sz="0" w:space="0" w:color="auto"/>
            <w:left w:val="none" w:sz="0" w:space="0" w:color="auto"/>
            <w:bottom w:val="none" w:sz="0" w:space="0" w:color="auto"/>
            <w:right w:val="none" w:sz="0" w:space="0" w:color="auto"/>
          </w:divBdr>
        </w:div>
        <w:div w:id="969016034">
          <w:marLeft w:val="0"/>
          <w:marRight w:val="0"/>
          <w:marTop w:val="0"/>
          <w:marBottom w:val="0"/>
          <w:divBdr>
            <w:top w:val="none" w:sz="0" w:space="0" w:color="auto"/>
            <w:left w:val="none" w:sz="0" w:space="0" w:color="auto"/>
            <w:bottom w:val="none" w:sz="0" w:space="0" w:color="auto"/>
            <w:right w:val="none" w:sz="0" w:space="0" w:color="auto"/>
          </w:divBdr>
        </w:div>
      </w:divsChild>
    </w:div>
    <w:div w:id="263458836">
      <w:bodyDiv w:val="1"/>
      <w:marLeft w:val="0"/>
      <w:marRight w:val="0"/>
      <w:marTop w:val="0"/>
      <w:marBottom w:val="0"/>
      <w:divBdr>
        <w:top w:val="none" w:sz="0" w:space="0" w:color="auto"/>
        <w:left w:val="none" w:sz="0" w:space="0" w:color="auto"/>
        <w:bottom w:val="none" w:sz="0" w:space="0" w:color="auto"/>
        <w:right w:val="none" w:sz="0" w:space="0" w:color="auto"/>
      </w:divBdr>
    </w:div>
    <w:div w:id="272591903">
      <w:bodyDiv w:val="1"/>
      <w:marLeft w:val="0"/>
      <w:marRight w:val="0"/>
      <w:marTop w:val="0"/>
      <w:marBottom w:val="0"/>
      <w:divBdr>
        <w:top w:val="none" w:sz="0" w:space="0" w:color="auto"/>
        <w:left w:val="none" w:sz="0" w:space="0" w:color="auto"/>
        <w:bottom w:val="none" w:sz="0" w:space="0" w:color="auto"/>
        <w:right w:val="none" w:sz="0" w:space="0" w:color="auto"/>
      </w:divBdr>
    </w:div>
    <w:div w:id="292633898">
      <w:bodyDiv w:val="1"/>
      <w:marLeft w:val="0"/>
      <w:marRight w:val="0"/>
      <w:marTop w:val="0"/>
      <w:marBottom w:val="0"/>
      <w:divBdr>
        <w:top w:val="none" w:sz="0" w:space="0" w:color="auto"/>
        <w:left w:val="none" w:sz="0" w:space="0" w:color="auto"/>
        <w:bottom w:val="none" w:sz="0" w:space="0" w:color="auto"/>
        <w:right w:val="none" w:sz="0" w:space="0" w:color="auto"/>
      </w:divBdr>
    </w:div>
    <w:div w:id="297878873">
      <w:bodyDiv w:val="1"/>
      <w:marLeft w:val="0"/>
      <w:marRight w:val="0"/>
      <w:marTop w:val="0"/>
      <w:marBottom w:val="0"/>
      <w:divBdr>
        <w:top w:val="none" w:sz="0" w:space="0" w:color="auto"/>
        <w:left w:val="none" w:sz="0" w:space="0" w:color="auto"/>
        <w:bottom w:val="none" w:sz="0" w:space="0" w:color="auto"/>
        <w:right w:val="none" w:sz="0" w:space="0" w:color="auto"/>
      </w:divBdr>
      <w:divsChild>
        <w:div w:id="479926550">
          <w:marLeft w:val="0"/>
          <w:marRight w:val="0"/>
          <w:marTop w:val="0"/>
          <w:marBottom w:val="0"/>
          <w:divBdr>
            <w:top w:val="none" w:sz="0" w:space="0" w:color="auto"/>
            <w:left w:val="none" w:sz="0" w:space="0" w:color="auto"/>
            <w:bottom w:val="none" w:sz="0" w:space="0" w:color="auto"/>
            <w:right w:val="none" w:sz="0" w:space="0" w:color="auto"/>
          </w:divBdr>
        </w:div>
        <w:div w:id="101416671">
          <w:marLeft w:val="0"/>
          <w:marRight w:val="0"/>
          <w:marTop w:val="0"/>
          <w:marBottom w:val="0"/>
          <w:divBdr>
            <w:top w:val="none" w:sz="0" w:space="0" w:color="auto"/>
            <w:left w:val="none" w:sz="0" w:space="0" w:color="auto"/>
            <w:bottom w:val="none" w:sz="0" w:space="0" w:color="auto"/>
            <w:right w:val="none" w:sz="0" w:space="0" w:color="auto"/>
          </w:divBdr>
        </w:div>
      </w:divsChild>
    </w:div>
    <w:div w:id="316539058">
      <w:bodyDiv w:val="1"/>
      <w:marLeft w:val="0"/>
      <w:marRight w:val="0"/>
      <w:marTop w:val="0"/>
      <w:marBottom w:val="0"/>
      <w:divBdr>
        <w:top w:val="none" w:sz="0" w:space="0" w:color="auto"/>
        <w:left w:val="none" w:sz="0" w:space="0" w:color="auto"/>
        <w:bottom w:val="none" w:sz="0" w:space="0" w:color="auto"/>
        <w:right w:val="none" w:sz="0" w:space="0" w:color="auto"/>
      </w:divBdr>
    </w:div>
    <w:div w:id="332270137">
      <w:bodyDiv w:val="1"/>
      <w:marLeft w:val="0"/>
      <w:marRight w:val="0"/>
      <w:marTop w:val="0"/>
      <w:marBottom w:val="0"/>
      <w:divBdr>
        <w:top w:val="none" w:sz="0" w:space="0" w:color="auto"/>
        <w:left w:val="none" w:sz="0" w:space="0" w:color="auto"/>
        <w:bottom w:val="none" w:sz="0" w:space="0" w:color="auto"/>
        <w:right w:val="none" w:sz="0" w:space="0" w:color="auto"/>
      </w:divBdr>
    </w:div>
    <w:div w:id="332605157">
      <w:bodyDiv w:val="1"/>
      <w:marLeft w:val="0"/>
      <w:marRight w:val="0"/>
      <w:marTop w:val="0"/>
      <w:marBottom w:val="0"/>
      <w:divBdr>
        <w:top w:val="none" w:sz="0" w:space="0" w:color="auto"/>
        <w:left w:val="none" w:sz="0" w:space="0" w:color="auto"/>
        <w:bottom w:val="none" w:sz="0" w:space="0" w:color="auto"/>
        <w:right w:val="none" w:sz="0" w:space="0" w:color="auto"/>
      </w:divBdr>
      <w:divsChild>
        <w:div w:id="1832214615">
          <w:marLeft w:val="0"/>
          <w:marRight w:val="0"/>
          <w:marTop w:val="0"/>
          <w:marBottom w:val="0"/>
          <w:divBdr>
            <w:top w:val="none" w:sz="0" w:space="0" w:color="auto"/>
            <w:left w:val="none" w:sz="0" w:space="0" w:color="auto"/>
            <w:bottom w:val="none" w:sz="0" w:space="0" w:color="auto"/>
            <w:right w:val="none" w:sz="0" w:space="0" w:color="auto"/>
          </w:divBdr>
        </w:div>
        <w:div w:id="41709219">
          <w:marLeft w:val="0"/>
          <w:marRight w:val="0"/>
          <w:marTop w:val="0"/>
          <w:marBottom w:val="0"/>
          <w:divBdr>
            <w:top w:val="none" w:sz="0" w:space="0" w:color="auto"/>
            <w:left w:val="none" w:sz="0" w:space="0" w:color="auto"/>
            <w:bottom w:val="none" w:sz="0" w:space="0" w:color="auto"/>
            <w:right w:val="none" w:sz="0" w:space="0" w:color="auto"/>
          </w:divBdr>
        </w:div>
      </w:divsChild>
    </w:div>
    <w:div w:id="338700645">
      <w:bodyDiv w:val="1"/>
      <w:marLeft w:val="0"/>
      <w:marRight w:val="0"/>
      <w:marTop w:val="0"/>
      <w:marBottom w:val="0"/>
      <w:divBdr>
        <w:top w:val="none" w:sz="0" w:space="0" w:color="auto"/>
        <w:left w:val="none" w:sz="0" w:space="0" w:color="auto"/>
        <w:bottom w:val="none" w:sz="0" w:space="0" w:color="auto"/>
        <w:right w:val="none" w:sz="0" w:space="0" w:color="auto"/>
      </w:divBdr>
    </w:div>
    <w:div w:id="374550295">
      <w:bodyDiv w:val="1"/>
      <w:marLeft w:val="0"/>
      <w:marRight w:val="0"/>
      <w:marTop w:val="0"/>
      <w:marBottom w:val="0"/>
      <w:divBdr>
        <w:top w:val="none" w:sz="0" w:space="0" w:color="auto"/>
        <w:left w:val="none" w:sz="0" w:space="0" w:color="auto"/>
        <w:bottom w:val="none" w:sz="0" w:space="0" w:color="auto"/>
        <w:right w:val="none" w:sz="0" w:space="0" w:color="auto"/>
      </w:divBdr>
    </w:div>
    <w:div w:id="381373246">
      <w:bodyDiv w:val="1"/>
      <w:marLeft w:val="0"/>
      <w:marRight w:val="0"/>
      <w:marTop w:val="0"/>
      <w:marBottom w:val="0"/>
      <w:divBdr>
        <w:top w:val="none" w:sz="0" w:space="0" w:color="auto"/>
        <w:left w:val="none" w:sz="0" w:space="0" w:color="auto"/>
        <w:bottom w:val="none" w:sz="0" w:space="0" w:color="auto"/>
        <w:right w:val="none" w:sz="0" w:space="0" w:color="auto"/>
      </w:divBdr>
      <w:divsChild>
        <w:div w:id="2118982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6035">
      <w:bodyDiv w:val="1"/>
      <w:marLeft w:val="0"/>
      <w:marRight w:val="0"/>
      <w:marTop w:val="0"/>
      <w:marBottom w:val="0"/>
      <w:divBdr>
        <w:top w:val="none" w:sz="0" w:space="0" w:color="auto"/>
        <w:left w:val="none" w:sz="0" w:space="0" w:color="auto"/>
        <w:bottom w:val="none" w:sz="0" w:space="0" w:color="auto"/>
        <w:right w:val="none" w:sz="0" w:space="0" w:color="auto"/>
      </w:divBdr>
    </w:div>
    <w:div w:id="429401407">
      <w:bodyDiv w:val="1"/>
      <w:marLeft w:val="0"/>
      <w:marRight w:val="0"/>
      <w:marTop w:val="0"/>
      <w:marBottom w:val="0"/>
      <w:divBdr>
        <w:top w:val="none" w:sz="0" w:space="0" w:color="auto"/>
        <w:left w:val="none" w:sz="0" w:space="0" w:color="auto"/>
        <w:bottom w:val="none" w:sz="0" w:space="0" w:color="auto"/>
        <w:right w:val="none" w:sz="0" w:space="0" w:color="auto"/>
      </w:divBdr>
    </w:div>
    <w:div w:id="473182079">
      <w:bodyDiv w:val="1"/>
      <w:marLeft w:val="0"/>
      <w:marRight w:val="0"/>
      <w:marTop w:val="0"/>
      <w:marBottom w:val="0"/>
      <w:divBdr>
        <w:top w:val="none" w:sz="0" w:space="0" w:color="auto"/>
        <w:left w:val="none" w:sz="0" w:space="0" w:color="auto"/>
        <w:bottom w:val="none" w:sz="0" w:space="0" w:color="auto"/>
        <w:right w:val="none" w:sz="0" w:space="0" w:color="auto"/>
      </w:divBdr>
      <w:divsChild>
        <w:div w:id="1113474870">
          <w:marLeft w:val="0"/>
          <w:marRight w:val="0"/>
          <w:marTop w:val="0"/>
          <w:marBottom w:val="0"/>
          <w:divBdr>
            <w:top w:val="none" w:sz="0" w:space="0" w:color="auto"/>
            <w:left w:val="none" w:sz="0" w:space="0" w:color="auto"/>
            <w:bottom w:val="none" w:sz="0" w:space="0" w:color="auto"/>
            <w:right w:val="none" w:sz="0" w:space="0" w:color="auto"/>
          </w:divBdr>
        </w:div>
        <w:div w:id="2059812750">
          <w:marLeft w:val="0"/>
          <w:marRight w:val="0"/>
          <w:marTop w:val="0"/>
          <w:marBottom w:val="0"/>
          <w:divBdr>
            <w:top w:val="none" w:sz="0" w:space="0" w:color="auto"/>
            <w:left w:val="none" w:sz="0" w:space="0" w:color="auto"/>
            <w:bottom w:val="none" w:sz="0" w:space="0" w:color="auto"/>
            <w:right w:val="none" w:sz="0" w:space="0" w:color="auto"/>
          </w:divBdr>
        </w:div>
      </w:divsChild>
    </w:div>
    <w:div w:id="480317326">
      <w:bodyDiv w:val="1"/>
      <w:marLeft w:val="0"/>
      <w:marRight w:val="0"/>
      <w:marTop w:val="0"/>
      <w:marBottom w:val="0"/>
      <w:divBdr>
        <w:top w:val="none" w:sz="0" w:space="0" w:color="auto"/>
        <w:left w:val="none" w:sz="0" w:space="0" w:color="auto"/>
        <w:bottom w:val="none" w:sz="0" w:space="0" w:color="auto"/>
        <w:right w:val="none" w:sz="0" w:space="0" w:color="auto"/>
      </w:divBdr>
      <w:divsChild>
        <w:div w:id="2080443387">
          <w:marLeft w:val="0"/>
          <w:marRight w:val="0"/>
          <w:marTop w:val="0"/>
          <w:marBottom w:val="0"/>
          <w:divBdr>
            <w:top w:val="none" w:sz="0" w:space="0" w:color="auto"/>
            <w:left w:val="none" w:sz="0" w:space="0" w:color="auto"/>
            <w:bottom w:val="none" w:sz="0" w:space="0" w:color="auto"/>
            <w:right w:val="none" w:sz="0" w:space="0" w:color="auto"/>
          </w:divBdr>
        </w:div>
      </w:divsChild>
    </w:div>
    <w:div w:id="483353108">
      <w:bodyDiv w:val="1"/>
      <w:marLeft w:val="0"/>
      <w:marRight w:val="0"/>
      <w:marTop w:val="0"/>
      <w:marBottom w:val="0"/>
      <w:divBdr>
        <w:top w:val="none" w:sz="0" w:space="0" w:color="auto"/>
        <w:left w:val="none" w:sz="0" w:space="0" w:color="auto"/>
        <w:bottom w:val="none" w:sz="0" w:space="0" w:color="auto"/>
        <w:right w:val="none" w:sz="0" w:space="0" w:color="auto"/>
      </w:divBdr>
      <w:divsChild>
        <w:div w:id="1408766197">
          <w:blockQuote w:val="1"/>
          <w:marLeft w:val="-1731"/>
          <w:marRight w:val="0"/>
          <w:marTop w:val="300"/>
          <w:marBottom w:val="300"/>
          <w:divBdr>
            <w:top w:val="none" w:sz="0" w:space="0" w:color="auto"/>
            <w:left w:val="none" w:sz="0" w:space="0" w:color="auto"/>
            <w:bottom w:val="none" w:sz="0" w:space="0" w:color="auto"/>
            <w:right w:val="none" w:sz="0" w:space="0" w:color="auto"/>
          </w:divBdr>
        </w:div>
      </w:divsChild>
    </w:div>
    <w:div w:id="492452554">
      <w:bodyDiv w:val="1"/>
      <w:marLeft w:val="0"/>
      <w:marRight w:val="0"/>
      <w:marTop w:val="0"/>
      <w:marBottom w:val="0"/>
      <w:divBdr>
        <w:top w:val="none" w:sz="0" w:space="0" w:color="auto"/>
        <w:left w:val="none" w:sz="0" w:space="0" w:color="auto"/>
        <w:bottom w:val="none" w:sz="0" w:space="0" w:color="auto"/>
        <w:right w:val="none" w:sz="0" w:space="0" w:color="auto"/>
      </w:divBdr>
    </w:div>
    <w:div w:id="500464393">
      <w:bodyDiv w:val="1"/>
      <w:marLeft w:val="0"/>
      <w:marRight w:val="0"/>
      <w:marTop w:val="0"/>
      <w:marBottom w:val="0"/>
      <w:divBdr>
        <w:top w:val="none" w:sz="0" w:space="0" w:color="auto"/>
        <w:left w:val="none" w:sz="0" w:space="0" w:color="auto"/>
        <w:bottom w:val="none" w:sz="0" w:space="0" w:color="auto"/>
        <w:right w:val="none" w:sz="0" w:space="0" w:color="auto"/>
      </w:divBdr>
    </w:div>
    <w:div w:id="522668733">
      <w:bodyDiv w:val="1"/>
      <w:marLeft w:val="0"/>
      <w:marRight w:val="0"/>
      <w:marTop w:val="0"/>
      <w:marBottom w:val="0"/>
      <w:divBdr>
        <w:top w:val="none" w:sz="0" w:space="0" w:color="auto"/>
        <w:left w:val="none" w:sz="0" w:space="0" w:color="auto"/>
        <w:bottom w:val="none" w:sz="0" w:space="0" w:color="auto"/>
        <w:right w:val="none" w:sz="0" w:space="0" w:color="auto"/>
      </w:divBdr>
    </w:div>
    <w:div w:id="523204260">
      <w:bodyDiv w:val="1"/>
      <w:marLeft w:val="0"/>
      <w:marRight w:val="0"/>
      <w:marTop w:val="0"/>
      <w:marBottom w:val="0"/>
      <w:divBdr>
        <w:top w:val="none" w:sz="0" w:space="0" w:color="auto"/>
        <w:left w:val="none" w:sz="0" w:space="0" w:color="auto"/>
        <w:bottom w:val="none" w:sz="0" w:space="0" w:color="auto"/>
        <w:right w:val="none" w:sz="0" w:space="0" w:color="auto"/>
      </w:divBdr>
    </w:div>
    <w:div w:id="523905202">
      <w:bodyDiv w:val="1"/>
      <w:marLeft w:val="0"/>
      <w:marRight w:val="0"/>
      <w:marTop w:val="0"/>
      <w:marBottom w:val="0"/>
      <w:divBdr>
        <w:top w:val="none" w:sz="0" w:space="0" w:color="auto"/>
        <w:left w:val="none" w:sz="0" w:space="0" w:color="auto"/>
        <w:bottom w:val="none" w:sz="0" w:space="0" w:color="auto"/>
        <w:right w:val="none" w:sz="0" w:space="0" w:color="auto"/>
      </w:divBdr>
    </w:div>
    <w:div w:id="544564405">
      <w:bodyDiv w:val="1"/>
      <w:marLeft w:val="0"/>
      <w:marRight w:val="0"/>
      <w:marTop w:val="0"/>
      <w:marBottom w:val="0"/>
      <w:divBdr>
        <w:top w:val="none" w:sz="0" w:space="0" w:color="auto"/>
        <w:left w:val="none" w:sz="0" w:space="0" w:color="auto"/>
        <w:bottom w:val="none" w:sz="0" w:space="0" w:color="auto"/>
        <w:right w:val="none" w:sz="0" w:space="0" w:color="auto"/>
      </w:divBdr>
    </w:div>
    <w:div w:id="550658833">
      <w:bodyDiv w:val="1"/>
      <w:marLeft w:val="0"/>
      <w:marRight w:val="0"/>
      <w:marTop w:val="0"/>
      <w:marBottom w:val="0"/>
      <w:divBdr>
        <w:top w:val="none" w:sz="0" w:space="0" w:color="auto"/>
        <w:left w:val="none" w:sz="0" w:space="0" w:color="auto"/>
        <w:bottom w:val="none" w:sz="0" w:space="0" w:color="auto"/>
        <w:right w:val="none" w:sz="0" w:space="0" w:color="auto"/>
      </w:divBdr>
    </w:div>
    <w:div w:id="5685413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988">
          <w:marLeft w:val="0"/>
          <w:marRight w:val="0"/>
          <w:marTop w:val="0"/>
          <w:marBottom w:val="0"/>
          <w:divBdr>
            <w:top w:val="none" w:sz="0" w:space="0" w:color="auto"/>
            <w:left w:val="none" w:sz="0" w:space="0" w:color="auto"/>
            <w:bottom w:val="none" w:sz="0" w:space="0" w:color="auto"/>
            <w:right w:val="none" w:sz="0" w:space="0" w:color="auto"/>
          </w:divBdr>
        </w:div>
        <w:div w:id="1991401166">
          <w:marLeft w:val="0"/>
          <w:marRight w:val="0"/>
          <w:marTop w:val="0"/>
          <w:marBottom w:val="0"/>
          <w:divBdr>
            <w:top w:val="none" w:sz="0" w:space="0" w:color="auto"/>
            <w:left w:val="none" w:sz="0" w:space="0" w:color="auto"/>
            <w:bottom w:val="none" w:sz="0" w:space="0" w:color="auto"/>
            <w:right w:val="none" w:sz="0" w:space="0" w:color="auto"/>
          </w:divBdr>
        </w:div>
      </w:divsChild>
    </w:div>
    <w:div w:id="591165135">
      <w:bodyDiv w:val="1"/>
      <w:marLeft w:val="0"/>
      <w:marRight w:val="0"/>
      <w:marTop w:val="0"/>
      <w:marBottom w:val="0"/>
      <w:divBdr>
        <w:top w:val="none" w:sz="0" w:space="0" w:color="auto"/>
        <w:left w:val="none" w:sz="0" w:space="0" w:color="auto"/>
        <w:bottom w:val="none" w:sz="0" w:space="0" w:color="auto"/>
        <w:right w:val="none" w:sz="0" w:space="0" w:color="auto"/>
      </w:divBdr>
    </w:div>
    <w:div w:id="591427575">
      <w:bodyDiv w:val="1"/>
      <w:marLeft w:val="0"/>
      <w:marRight w:val="0"/>
      <w:marTop w:val="0"/>
      <w:marBottom w:val="0"/>
      <w:divBdr>
        <w:top w:val="none" w:sz="0" w:space="0" w:color="auto"/>
        <w:left w:val="none" w:sz="0" w:space="0" w:color="auto"/>
        <w:bottom w:val="none" w:sz="0" w:space="0" w:color="auto"/>
        <w:right w:val="none" w:sz="0" w:space="0" w:color="auto"/>
      </w:divBdr>
    </w:div>
    <w:div w:id="597832879">
      <w:bodyDiv w:val="1"/>
      <w:marLeft w:val="0"/>
      <w:marRight w:val="0"/>
      <w:marTop w:val="0"/>
      <w:marBottom w:val="0"/>
      <w:divBdr>
        <w:top w:val="none" w:sz="0" w:space="0" w:color="auto"/>
        <w:left w:val="none" w:sz="0" w:space="0" w:color="auto"/>
        <w:bottom w:val="none" w:sz="0" w:space="0" w:color="auto"/>
        <w:right w:val="none" w:sz="0" w:space="0" w:color="auto"/>
      </w:divBdr>
    </w:div>
    <w:div w:id="613907954">
      <w:bodyDiv w:val="1"/>
      <w:marLeft w:val="0"/>
      <w:marRight w:val="0"/>
      <w:marTop w:val="0"/>
      <w:marBottom w:val="0"/>
      <w:divBdr>
        <w:top w:val="none" w:sz="0" w:space="0" w:color="auto"/>
        <w:left w:val="none" w:sz="0" w:space="0" w:color="auto"/>
        <w:bottom w:val="none" w:sz="0" w:space="0" w:color="auto"/>
        <w:right w:val="none" w:sz="0" w:space="0" w:color="auto"/>
      </w:divBdr>
      <w:divsChild>
        <w:div w:id="271517896">
          <w:marLeft w:val="0"/>
          <w:marRight w:val="0"/>
          <w:marTop w:val="0"/>
          <w:marBottom w:val="0"/>
          <w:divBdr>
            <w:top w:val="none" w:sz="0" w:space="0" w:color="auto"/>
            <w:left w:val="none" w:sz="0" w:space="0" w:color="auto"/>
            <w:bottom w:val="none" w:sz="0" w:space="0" w:color="auto"/>
            <w:right w:val="none" w:sz="0" w:space="0" w:color="auto"/>
          </w:divBdr>
        </w:div>
        <w:div w:id="735011310">
          <w:marLeft w:val="0"/>
          <w:marRight w:val="0"/>
          <w:marTop w:val="0"/>
          <w:marBottom w:val="0"/>
          <w:divBdr>
            <w:top w:val="none" w:sz="0" w:space="0" w:color="auto"/>
            <w:left w:val="none" w:sz="0" w:space="0" w:color="auto"/>
            <w:bottom w:val="none" w:sz="0" w:space="0" w:color="auto"/>
            <w:right w:val="none" w:sz="0" w:space="0" w:color="auto"/>
          </w:divBdr>
        </w:div>
      </w:divsChild>
    </w:div>
    <w:div w:id="651645525">
      <w:bodyDiv w:val="1"/>
      <w:marLeft w:val="0"/>
      <w:marRight w:val="0"/>
      <w:marTop w:val="0"/>
      <w:marBottom w:val="0"/>
      <w:divBdr>
        <w:top w:val="none" w:sz="0" w:space="0" w:color="auto"/>
        <w:left w:val="none" w:sz="0" w:space="0" w:color="auto"/>
        <w:bottom w:val="none" w:sz="0" w:space="0" w:color="auto"/>
        <w:right w:val="none" w:sz="0" w:space="0" w:color="auto"/>
      </w:divBdr>
    </w:div>
    <w:div w:id="658534346">
      <w:bodyDiv w:val="1"/>
      <w:marLeft w:val="0"/>
      <w:marRight w:val="0"/>
      <w:marTop w:val="0"/>
      <w:marBottom w:val="0"/>
      <w:divBdr>
        <w:top w:val="none" w:sz="0" w:space="0" w:color="auto"/>
        <w:left w:val="none" w:sz="0" w:space="0" w:color="auto"/>
        <w:bottom w:val="none" w:sz="0" w:space="0" w:color="auto"/>
        <w:right w:val="none" w:sz="0" w:space="0" w:color="auto"/>
      </w:divBdr>
    </w:div>
    <w:div w:id="660698317">
      <w:bodyDiv w:val="1"/>
      <w:marLeft w:val="0"/>
      <w:marRight w:val="0"/>
      <w:marTop w:val="0"/>
      <w:marBottom w:val="0"/>
      <w:divBdr>
        <w:top w:val="none" w:sz="0" w:space="0" w:color="auto"/>
        <w:left w:val="none" w:sz="0" w:space="0" w:color="auto"/>
        <w:bottom w:val="none" w:sz="0" w:space="0" w:color="auto"/>
        <w:right w:val="none" w:sz="0" w:space="0" w:color="auto"/>
      </w:divBdr>
    </w:div>
    <w:div w:id="671370546">
      <w:bodyDiv w:val="1"/>
      <w:marLeft w:val="0"/>
      <w:marRight w:val="0"/>
      <w:marTop w:val="0"/>
      <w:marBottom w:val="0"/>
      <w:divBdr>
        <w:top w:val="none" w:sz="0" w:space="0" w:color="auto"/>
        <w:left w:val="none" w:sz="0" w:space="0" w:color="auto"/>
        <w:bottom w:val="none" w:sz="0" w:space="0" w:color="auto"/>
        <w:right w:val="none" w:sz="0" w:space="0" w:color="auto"/>
      </w:divBdr>
    </w:div>
    <w:div w:id="694841400">
      <w:bodyDiv w:val="1"/>
      <w:marLeft w:val="0"/>
      <w:marRight w:val="0"/>
      <w:marTop w:val="0"/>
      <w:marBottom w:val="0"/>
      <w:divBdr>
        <w:top w:val="none" w:sz="0" w:space="0" w:color="auto"/>
        <w:left w:val="none" w:sz="0" w:space="0" w:color="auto"/>
        <w:bottom w:val="none" w:sz="0" w:space="0" w:color="auto"/>
        <w:right w:val="none" w:sz="0" w:space="0" w:color="auto"/>
      </w:divBdr>
    </w:div>
    <w:div w:id="723023294">
      <w:bodyDiv w:val="1"/>
      <w:marLeft w:val="0"/>
      <w:marRight w:val="0"/>
      <w:marTop w:val="0"/>
      <w:marBottom w:val="0"/>
      <w:divBdr>
        <w:top w:val="none" w:sz="0" w:space="0" w:color="auto"/>
        <w:left w:val="none" w:sz="0" w:space="0" w:color="auto"/>
        <w:bottom w:val="none" w:sz="0" w:space="0" w:color="auto"/>
        <w:right w:val="none" w:sz="0" w:space="0" w:color="auto"/>
      </w:divBdr>
    </w:div>
    <w:div w:id="732043252">
      <w:bodyDiv w:val="1"/>
      <w:marLeft w:val="0"/>
      <w:marRight w:val="0"/>
      <w:marTop w:val="0"/>
      <w:marBottom w:val="0"/>
      <w:divBdr>
        <w:top w:val="none" w:sz="0" w:space="0" w:color="auto"/>
        <w:left w:val="none" w:sz="0" w:space="0" w:color="auto"/>
        <w:bottom w:val="none" w:sz="0" w:space="0" w:color="auto"/>
        <w:right w:val="none" w:sz="0" w:space="0" w:color="auto"/>
      </w:divBdr>
    </w:div>
    <w:div w:id="754321707">
      <w:bodyDiv w:val="1"/>
      <w:marLeft w:val="0"/>
      <w:marRight w:val="0"/>
      <w:marTop w:val="0"/>
      <w:marBottom w:val="0"/>
      <w:divBdr>
        <w:top w:val="none" w:sz="0" w:space="0" w:color="auto"/>
        <w:left w:val="none" w:sz="0" w:space="0" w:color="auto"/>
        <w:bottom w:val="none" w:sz="0" w:space="0" w:color="auto"/>
        <w:right w:val="none" w:sz="0" w:space="0" w:color="auto"/>
      </w:divBdr>
      <w:divsChild>
        <w:div w:id="176192612">
          <w:blockQuote w:val="1"/>
          <w:marLeft w:val="-1369"/>
          <w:marRight w:val="0"/>
          <w:marTop w:val="300"/>
          <w:marBottom w:val="300"/>
          <w:divBdr>
            <w:top w:val="none" w:sz="0" w:space="0" w:color="auto"/>
            <w:left w:val="none" w:sz="0" w:space="0" w:color="auto"/>
            <w:bottom w:val="none" w:sz="0" w:space="0" w:color="auto"/>
            <w:right w:val="none" w:sz="0" w:space="0" w:color="auto"/>
          </w:divBdr>
        </w:div>
      </w:divsChild>
    </w:div>
    <w:div w:id="780687001">
      <w:bodyDiv w:val="1"/>
      <w:marLeft w:val="0"/>
      <w:marRight w:val="0"/>
      <w:marTop w:val="0"/>
      <w:marBottom w:val="0"/>
      <w:divBdr>
        <w:top w:val="none" w:sz="0" w:space="0" w:color="auto"/>
        <w:left w:val="none" w:sz="0" w:space="0" w:color="auto"/>
        <w:bottom w:val="none" w:sz="0" w:space="0" w:color="auto"/>
        <w:right w:val="none" w:sz="0" w:space="0" w:color="auto"/>
      </w:divBdr>
      <w:divsChild>
        <w:div w:id="1377659284">
          <w:marLeft w:val="0"/>
          <w:marRight w:val="0"/>
          <w:marTop w:val="0"/>
          <w:marBottom w:val="0"/>
          <w:divBdr>
            <w:top w:val="none" w:sz="0" w:space="0" w:color="auto"/>
            <w:left w:val="none" w:sz="0" w:space="0" w:color="auto"/>
            <w:bottom w:val="none" w:sz="0" w:space="0" w:color="auto"/>
            <w:right w:val="none" w:sz="0" w:space="0" w:color="auto"/>
          </w:divBdr>
        </w:div>
        <w:div w:id="1880123786">
          <w:marLeft w:val="0"/>
          <w:marRight w:val="0"/>
          <w:marTop w:val="0"/>
          <w:marBottom w:val="0"/>
          <w:divBdr>
            <w:top w:val="none" w:sz="0" w:space="0" w:color="auto"/>
            <w:left w:val="none" w:sz="0" w:space="0" w:color="auto"/>
            <w:bottom w:val="none" w:sz="0" w:space="0" w:color="auto"/>
            <w:right w:val="none" w:sz="0" w:space="0" w:color="auto"/>
          </w:divBdr>
        </w:div>
        <w:div w:id="1762098351">
          <w:marLeft w:val="0"/>
          <w:marRight w:val="0"/>
          <w:marTop w:val="0"/>
          <w:marBottom w:val="0"/>
          <w:divBdr>
            <w:top w:val="none" w:sz="0" w:space="0" w:color="auto"/>
            <w:left w:val="none" w:sz="0" w:space="0" w:color="auto"/>
            <w:bottom w:val="none" w:sz="0" w:space="0" w:color="auto"/>
            <w:right w:val="none" w:sz="0" w:space="0" w:color="auto"/>
          </w:divBdr>
        </w:div>
        <w:div w:id="2112117922">
          <w:marLeft w:val="0"/>
          <w:marRight w:val="0"/>
          <w:marTop w:val="0"/>
          <w:marBottom w:val="0"/>
          <w:divBdr>
            <w:top w:val="none" w:sz="0" w:space="0" w:color="auto"/>
            <w:left w:val="none" w:sz="0" w:space="0" w:color="auto"/>
            <w:bottom w:val="none" w:sz="0" w:space="0" w:color="auto"/>
            <w:right w:val="none" w:sz="0" w:space="0" w:color="auto"/>
          </w:divBdr>
        </w:div>
        <w:div w:id="1402020877">
          <w:marLeft w:val="0"/>
          <w:marRight w:val="0"/>
          <w:marTop w:val="0"/>
          <w:marBottom w:val="0"/>
          <w:divBdr>
            <w:top w:val="none" w:sz="0" w:space="0" w:color="auto"/>
            <w:left w:val="none" w:sz="0" w:space="0" w:color="auto"/>
            <w:bottom w:val="none" w:sz="0" w:space="0" w:color="auto"/>
            <w:right w:val="none" w:sz="0" w:space="0" w:color="auto"/>
          </w:divBdr>
        </w:div>
      </w:divsChild>
    </w:div>
    <w:div w:id="788357763">
      <w:bodyDiv w:val="1"/>
      <w:marLeft w:val="0"/>
      <w:marRight w:val="0"/>
      <w:marTop w:val="0"/>
      <w:marBottom w:val="0"/>
      <w:divBdr>
        <w:top w:val="none" w:sz="0" w:space="0" w:color="auto"/>
        <w:left w:val="none" w:sz="0" w:space="0" w:color="auto"/>
        <w:bottom w:val="none" w:sz="0" w:space="0" w:color="auto"/>
        <w:right w:val="none" w:sz="0" w:space="0" w:color="auto"/>
      </w:divBdr>
      <w:divsChild>
        <w:div w:id="616372106">
          <w:marLeft w:val="0"/>
          <w:marRight w:val="0"/>
          <w:marTop w:val="0"/>
          <w:marBottom w:val="0"/>
          <w:divBdr>
            <w:top w:val="none" w:sz="0" w:space="0" w:color="auto"/>
            <w:left w:val="none" w:sz="0" w:space="0" w:color="auto"/>
            <w:bottom w:val="none" w:sz="0" w:space="0" w:color="auto"/>
            <w:right w:val="none" w:sz="0" w:space="0" w:color="auto"/>
          </w:divBdr>
        </w:div>
        <w:div w:id="622269660">
          <w:marLeft w:val="0"/>
          <w:marRight w:val="0"/>
          <w:marTop w:val="0"/>
          <w:marBottom w:val="0"/>
          <w:divBdr>
            <w:top w:val="none" w:sz="0" w:space="0" w:color="auto"/>
            <w:left w:val="none" w:sz="0" w:space="0" w:color="auto"/>
            <w:bottom w:val="none" w:sz="0" w:space="0" w:color="auto"/>
            <w:right w:val="none" w:sz="0" w:space="0" w:color="auto"/>
          </w:divBdr>
        </w:div>
        <w:div w:id="926185913">
          <w:marLeft w:val="0"/>
          <w:marRight w:val="0"/>
          <w:marTop w:val="0"/>
          <w:marBottom w:val="0"/>
          <w:divBdr>
            <w:top w:val="none" w:sz="0" w:space="0" w:color="auto"/>
            <w:left w:val="none" w:sz="0" w:space="0" w:color="auto"/>
            <w:bottom w:val="none" w:sz="0" w:space="0" w:color="auto"/>
            <w:right w:val="none" w:sz="0" w:space="0" w:color="auto"/>
          </w:divBdr>
        </w:div>
        <w:div w:id="1471827477">
          <w:marLeft w:val="0"/>
          <w:marRight w:val="0"/>
          <w:marTop w:val="0"/>
          <w:marBottom w:val="0"/>
          <w:divBdr>
            <w:top w:val="none" w:sz="0" w:space="0" w:color="auto"/>
            <w:left w:val="none" w:sz="0" w:space="0" w:color="auto"/>
            <w:bottom w:val="none" w:sz="0" w:space="0" w:color="auto"/>
            <w:right w:val="none" w:sz="0" w:space="0" w:color="auto"/>
          </w:divBdr>
        </w:div>
        <w:div w:id="1723166001">
          <w:marLeft w:val="0"/>
          <w:marRight w:val="0"/>
          <w:marTop w:val="0"/>
          <w:marBottom w:val="0"/>
          <w:divBdr>
            <w:top w:val="none" w:sz="0" w:space="0" w:color="auto"/>
            <w:left w:val="none" w:sz="0" w:space="0" w:color="auto"/>
            <w:bottom w:val="none" w:sz="0" w:space="0" w:color="auto"/>
            <w:right w:val="none" w:sz="0" w:space="0" w:color="auto"/>
          </w:divBdr>
        </w:div>
        <w:div w:id="2036885840">
          <w:marLeft w:val="0"/>
          <w:marRight w:val="0"/>
          <w:marTop w:val="0"/>
          <w:marBottom w:val="0"/>
          <w:divBdr>
            <w:top w:val="none" w:sz="0" w:space="0" w:color="auto"/>
            <w:left w:val="none" w:sz="0" w:space="0" w:color="auto"/>
            <w:bottom w:val="none" w:sz="0" w:space="0" w:color="auto"/>
            <w:right w:val="none" w:sz="0" w:space="0" w:color="auto"/>
          </w:divBdr>
        </w:div>
        <w:div w:id="2068799057">
          <w:marLeft w:val="0"/>
          <w:marRight w:val="0"/>
          <w:marTop w:val="0"/>
          <w:marBottom w:val="0"/>
          <w:divBdr>
            <w:top w:val="none" w:sz="0" w:space="0" w:color="auto"/>
            <w:left w:val="none" w:sz="0" w:space="0" w:color="auto"/>
            <w:bottom w:val="none" w:sz="0" w:space="0" w:color="auto"/>
            <w:right w:val="none" w:sz="0" w:space="0" w:color="auto"/>
          </w:divBdr>
        </w:div>
      </w:divsChild>
    </w:div>
    <w:div w:id="819035714">
      <w:bodyDiv w:val="1"/>
      <w:marLeft w:val="0"/>
      <w:marRight w:val="0"/>
      <w:marTop w:val="0"/>
      <w:marBottom w:val="0"/>
      <w:divBdr>
        <w:top w:val="none" w:sz="0" w:space="0" w:color="auto"/>
        <w:left w:val="none" w:sz="0" w:space="0" w:color="auto"/>
        <w:bottom w:val="none" w:sz="0" w:space="0" w:color="auto"/>
        <w:right w:val="none" w:sz="0" w:space="0" w:color="auto"/>
      </w:divBdr>
      <w:divsChild>
        <w:div w:id="1929925909">
          <w:marLeft w:val="0"/>
          <w:marRight w:val="0"/>
          <w:marTop w:val="0"/>
          <w:marBottom w:val="0"/>
          <w:divBdr>
            <w:top w:val="none" w:sz="0" w:space="0" w:color="auto"/>
            <w:left w:val="none" w:sz="0" w:space="0" w:color="auto"/>
            <w:bottom w:val="none" w:sz="0" w:space="0" w:color="auto"/>
            <w:right w:val="none" w:sz="0" w:space="0" w:color="auto"/>
          </w:divBdr>
          <w:divsChild>
            <w:div w:id="1766221120">
              <w:marLeft w:val="0"/>
              <w:marRight w:val="0"/>
              <w:marTop w:val="0"/>
              <w:marBottom w:val="0"/>
              <w:divBdr>
                <w:top w:val="none" w:sz="0" w:space="0" w:color="auto"/>
                <w:left w:val="none" w:sz="0" w:space="0" w:color="auto"/>
                <w:bottom w:val="none" w:sz="0" w:space="0" w:color="auto"/>
                <w:right w:val="none" w:sz="0" w:space="0" w:color="auto"/>
              </w:divBdr>
              <w:divsChild>
                <w:div w:id="2001423038">
                  <w:marLeft w:val="0"/>
                  <w:marRight w:val="0"/>
                  <w:marTop w:val="0"/>
                  <w:marBottom w:val="0"/>
                  <w:divBdr>
                    <w:top w:val="none" w:sz="0" w:space="0" w:color="auto"/>
                    <w:left w:val="none" w:sz="0" w:space="0" w:color="auto"/>
                    <w:bottom w:val="none" w:sz="0" w:space="0" w:color="auto"/>
                    <w:right w:val="none" w:sz="0" w:space="0" w:color="auto"/>
                  </w:divBdr>
                  <w:divsChild>
                    <w:div w:id="1864976659">
                      <w:marLeft w:val="0"/>
                      <w:marRight w:val="0"/>
                      <w:marTop w:val="0"/>
                      <w:marBottom w:val="450"/>
                      <w:divBdr>
                        <w:top w:val="none" w:sz="0" w:space="0" w:color="auto"/>
                        <w:left w:val="none" w:sz="0" w:space="0" w:color="auto"/>
                        <w:bottom w:val="none" w:sz="0" w:space="0" w:color="auto"/>
                        <w:right w:val="none" w:sz="0" w:space="0" w:color="auto"/>
                      </w:divBdr>
                      <w:divsChild>
                        <w:div w:id="165832494">
                          <w:marLeft w:val="0"/>
                          <w:marRight w:val="0"/>
                          <w:marTop w:val="0"/>
                          <w:marBottom w:val="0"/>
                          <w:divBdr>
                            <w:top w:val="none" w:sz="0" w:space="0" w:color="auto"/>
                            <w:left w:val="none" w:sz="0" w:space="0" w:color="auto"/>
                            <w:bottom w:val="none" w:sz="0" w:space="0" w:color="auto"/>
                            <w:right w:val="none" w:sz="0" w:space="0" w:color="auto"/>
                          </w:divBdr>
                          <w:divsChild>
                            <w:div w:id="2033653338">
                              <w:marLeft w:val="0"/>
                              <w:marRight w:val="0"/>
                              <w:marTop w:val="0"/>
                              <w:marBottom w:val="300"/>
                              <w:divBdr>
                                <w:top w:val="none" w:sz="0" w:space="0" w:color="auto"/>
                                <w:left w:val="none" w:sz="0" w:space="0" w:color="auto"/>
                                <w:bottom w:val="single" w:sz="6" w:space="4" w:color="E5E5E5"/>
                                <w:right w:val="none" w:sz="0" w:space="0" w:color="auto"/>
                              </w:divBdr>
                              <w:divsChild>
                                <w:div w:id="1166357224">
                                  <w:marLeft w:val="0"/>
                                  <w:marRight w:val="0"/>
                                  <w:marTop w:val="0"/>
                                  <w:marBottom w:val="0"/>
                                  <w:divBdr>
                                    <w:top w:val="none" w:sz="0" w:space="0" w:color="auto"/>
                                    <w:left w:val="none" w:sz="0" w:space="0" w:color="auto"/>
                                    <w:bottom w:val="none" w:sz="0" w:space="0" w:color="auto"/>
                                    <w:right w:val="none" w:sz="0" w:space="0" w:color="auto"/>
                                  </w:divBdr>
                                  <w:divsChild>
                                    <w:div w:id="1003699980">
                                      <w:marLeft w:val="0"/>
                                      <w:marRight w:val="0"/>
                                      <w:marTop w:val="0"/>
                                      <w:marBottom w:val="0"/>
                                      <w:divBdr>
                                        <w:top w:val="none" w:sz="0" w:space="0" w:color="auto"/>
                                        <w:left w:val="none" w:sz="0" w:space="0" w:color="auto"/>
                                        <w:bottom w:val="none" w:sz="0" w:space="0" w:color="auto"/>
                                        <w:right w:val="none" w:sz="0" w:space="0" w:color="auto"/>
                                      </w:divBdr>
                                    </w:div>
                                    <w:div w:id="1144810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802844">
      <w:bodyDiv w:val="1"/>
      <w:marLeft w:val="0"/>
      <w:marRight w:val="0"/>
      <w:marTop w:val="0"/>
      <w:marBottom w:val="0"/>
      <w:divBdr>
        <w:top w:val="none" w:sz="0" w:space="0" w:color="auto"/>
        <w:left w:val="none" w:sz="0" w:space="0" w:color="auto"/>
        <w:bottom w:val="none" w:sz="0" w:space="0" w:color="auto"/>
        <w:right w:val="none" w:sz="0" w:space="0" w:color="auto"/>
      </w:divBdr>
      <w:divsChild>
        <w:div w:id="359160336">
          <w:marLeft w:val="0"/>
          <w:marRight w:val="0"/>
          <w:marTop w:val="0"/>
          <w:marBottom w:val="0"/>
          <w:divBdr>
            <w:top w:val="none" w:sz="0" w:space="0" w:color="auto"/>
            <w:left w:val="none" w:sz="0" w:space="0" w:color="auto"/>
            <w:bottom w:val="none" w:sz="0" w:space="0" w:color="auto"/>
            <w:right w:val="none" w:sz="0" w:space="0" w:color="auto"/>
          </w:divBdr>
        </w:div>
        <w:div w:id="1060636962">
          <w:marLeft w:val="0"/>
          <w:marRight w:val="0"/>
          <w:marTop w:val="0"/>
          <w:marBottom w:val="0"/>
          <w:divBdr>
            <w:top w:val="none" w:sz="0" w:space="0" w:color="auto"/>
            <w:left w:val="none" w:sz="0" w:space="0" w:color="auto"/>
            <w:bottom w:val="none" w:sz="0" w:space="0" w:color="auto"/>
            <w:right w:val="none" w:sz="0" w:space="0" w:color="auto"/>
          </w:divBdr>
        </w:div>
        <w:div w:id="1567454058">
          <w:marLeft w:val="0"/>
          <w:marRight w:val="0"/>
          <w:marTop w:val="0"/>
          <w:marBottom w:val="0"/>
          <w:divBdr>
            <w:top w:val="none" w:sz="0" w:space="0" w:color="auto"/>
            <w:left w:val="none" w:sz="0" w:space="0" w:color="auto"/>
            <w:bottom w:val="none" w:sz="0" w:space="0" w:color="auto"/>
            <w:right w:val="none" w:sz="0" w:space="0" w:color="auto"/>
          </w:divBdr>
        </w:div>
        <w:div w:id="1303078500">
          <w:marLeft w:val="0"/>
          <w:marRight w:val="0"/>
          <w:marTop w:val="0"/>
          <w:marBottom w:val="0"/>
          <w:divBdr>
            <w:top w:val="none" w:sz="0" w:space="0" w:color="auto"/>
            <w:left w:val="none" w:sz="0" w:space="0" w:color="auto"/>
            <w:bottom w:val="none" w:sz="0" w:space="0" w:color="auto"/>
            <w:right w:val="none" w:sz="0" w:space="0" w:color="auto"/>
          </w:divBdr>
        </w:div>
        <w:div w:id="1002049154">
          <w:blockQuote w:val="1"/>
          <w:marLeft w:val="-1388"/>
          <w:marRight w:val="0"/>
          <w:marTop w:val="300"/>
          <w:marBottom w:val="300"/>
          <w:divBdr>
            <w:top w:val="none" w:sz="0" w:space="0" w:color="auto"/>
            <w:left w:val="none" w:sz="0" w:space="0" w:color="auto"/>
            <w:bottom w:val="none" w:sz="0" w:space="0" w:color="auto"/>
            <w:right w:val="none" w:sz="0" w:space="0" w:color="auto"/>
          </w:divBdr>
        </w:div>
        <w:div w:id="684327714">
          <w:marLeft w:val="0"/>
          <w:marRight w:val="0"/>
          <w:marTop w:val="0"/>
          <w:marBottom w:val="0"/>
          <w:divBdr>
            <w:top w:val="none" w:sz="0" w:space="0" w:color="auto"/>
            <w:left w:val="none" w:sz="0" w:space="0" w:color="auto"/>
            <w:bottom w:val="none" w:sz="0" w:space="0" w:color="auto"/>
            <w:right w:val="none" w:sz="0" w:space="0" w:color="auto"/>
          </w:divBdr>
        </w:div>
        <w:div w:id="1152019707">
          <w:blockQuote w:val="1"/>
          <w:marLeft w:val="-1388"/>
          <w:marRight w:val="0"/>
          <w:marTop w:val="300"/>
          <w:marBottom w:val="300"/>
          <w:divBdr>
            <w:top w:val="none" w:sz="0" w:space="0" w:color="auto"/>
            <w:left w:val="none" w:sz="0" w:space="0" w:color="auto"/>
            <w:bottom w:val="none" w:sz="0" w:space="0" w:color="auto"/>
            <w:right w:val="none" w:sz="0" w:space="0" w:color="auto"/>
          </w:divBdr>
        </w:div>
        <w:div w:id="26296715">
          <w:marLeft w:val="0"/>
          <w:marRight w:val="0"/>
          <w:marTop w:val="0"/>
          <w:marBottom w:val="0"/>
          <w:divBdr>
            <w:top w:val="none" w:sz="0" w:space="0" w:color="auto"/>
            <w:left w:val="none" w:sz="0" w:space="0" w:color="auto"/>
            <w:bottom w:val="none" w:sz="0" w:space="0" w:color="auto"/>
            <w:right w:val="none" w:sz="0" w:space="0" w:color="auto"/>
          </w:divBdr>
        </w:div>
        <w:div w:id="451485359">
          <w:marLeft w:val="0"/>
          <w:marRight w:val="0"/>
          <w:marTop w:val="0"/>
          <w:marBottom w:val="0"/>
          <w:divBdr>
            <w:top w:val="none" w:sz="0" w:space="0" w:color="auto"/>
            <w:left w:val="none" w:sz="0" w:space="0" w:color="auto"/>
            <w:bottom w:val="none" w:sz="0" w:space="0" w:color="auto"/>
            <w:right w:val="none" w:sz="0" w:space="0" w:color="auto"/>
          </w:divBdr>
        </w:div>
      </w:divsChild>
    </w:div>
    <w:div w:id="853572813">
      <w:bodyDiv w:val="1"/>
      <w:marLeft w:val="0"/>
      <w:marRight w:val="0"/>
      <w:marTop w:val="0"/>
      <w:marBottom w:val="0"/>
      <w:divBdr>
        <w:top w:val="none" w:sz="0" w:space="0" w:color="auto"/>
        <w:left w:val="none" w:sz="0" w:space="0" w:color="auto"/>
        <w:bottom w:val="none" w:sz="0" w:space="0" w:color="auto"/>
        <w:right w:val="none" w:sz="0" w:space="0" w:color="auto"/>
      </w:divBdr>
      <w:divsChild>
        <w:div w:id="160337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5582497">
      <w:bodyDiv w:val="1"/>
      <w:marLeft w:val="0"/>
      <w:marRight w:val="0"/>
      <w:marTop w:val="0"/>
      <w:marBottom w:val="0"/>
      <w:divBdr>
        <w:top w:val="none" w:sz="0" w:space="0" w:color="auto"/>
        <w:left w:val="none" w:sz="0" w:space="0" w:color="auto"/>
        <w:bottom w:val="none" w:sz="0" w:space="0" w:color="auto"/>
        <w:right w:val="none" w:sz="0" w:space="0" w:color="auto"/>
      </w:divBdr>
    </w:div>
    <w:div w:id="857306836">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sChild>
    </w:div>
    <w:div w:id="858936707">
      <w:bodyDiv w:val="1"/>
      <w:marLeft w:val="0"/>
      <w:marRight w:val="0"/>
      <w:marTop w:val="0"/>
      <w:marBottom w:val="0"/>
      <w:divBdr>
        <w:top w:val="none" w:sz="0" w:space="0" w:color="auto"/>
        <w:left w:val="none" w:sz="0" w:space="0" w:color="auto"/>
        <w:bottom w:val="none" w:sz="0" w:space="0" w:color="auto"/>
        <w:right w:val="none" w:sz="0" w:space="0" w:color="auto"/>
      </w:divBdr>
    </w:div>
    <w:div w:id="861942701">
      <w:bodyDiv w:val="1"/>
      <w:marLeft w:val="0"/>
      <w:marRight w:val="0"/>
      <w:marTop w:val="0"/>
      <w:marBottom w:val="0"/>
      <w:divBdr>
        <w:top w:val="none" w:sz="0" w:space="0" w:color="auto"/>
        <w:left w:val="none" w:sz="0" w:space="0" w:color="auto"/>
        <w:bottom w:val="none" w:sz="0" w:space="0" w:color="auto"/>
        <w:right w:val="none" w:sz="0" w:space="0" w:color="auto"/>
      </w:divBdr>
    </w:div>
    <w:div w:id="864635465">
      <w:bodyDiv w:val="1"/>
      <w:marLeft w:val="0"/>
      <w:marRight w:val="0"/>
      <w:marTop w:val="0"/>
      <w:marBottom w:val="0"/>
      <w:divBdr>
        <w:top w:val="none" w:sz="0" w:space="0" w:color="auto"/>
        <w:left w:val="none" w:sz="0" w:space="0" w:color="auto"/>
        <w:bottom w:val="none" w:sz="0" w:space="0" w:color="auto"/>
        <w:right w:val="none" w:sz="0" w:space="0" w:color="auto"/>
      </w:divBdr>
      <w:divsChild>
        <w:div w:id="1054617493">
          <w:marLeft w:val="0"/>
          <w:marRight w:val="0"/>
          <w:marTop w:val="0"/>
          <w:marBottom w:val="0"/>
          <w:divBdr>
            <w:top w:val="none" w:sz="0" w:space="0" w:color="auto"/>
            <w:left w:val="none" w:sz="0" w:space="0" w:color="auto"/>
            <w:bottom w:val="none" w:sz="0" w:space="0" w:color="auto"/>
            <w:right w:val="none" w:sz="0" w:space="0" w:color="auto"/>
          </w:divBdr>
          <w:divsChild>
            <w:div w:id="609824092">
              <w:marLeft w:val="0"/>
              <w:marRight w:val="0"/>
              <w:marTop w:val="0"/>
              <w:marBottom w:val="0"/>
              <w:divBdr>
                <w:top w:val="none" w:sz="0" w:space="0" w:color="auto"/>
                <w:left w:val="none" w:sz="0" w:space="0" w:color="auto"/>
                <w:bottom w:val="none" w:sz="0" w:space="0" w:color="auto"/>
                <w:right w:val="none" w:sz="0" w:space="0" w:color="auto"/>
              </w:divBdr>
              <w:divsChild>
                <w:div w:id="1048844891">
                  <w:marLeft w:val="0"/>
                  <w:marRight w:val="0"/>
                  <w:marTop w:val="0"/>
                  <w:marBottom w:val="0"/>
                  <w:divBdr>
                    <w:top w:val="none" w:sz="0" w:space="0" w:color="auto"/>
                    <w:left w:val="none" w:sz="0" w:space="0" w:color="auto"/>
                    <w:bottom w:val="none" w:sz="0" w:space="0" w:color="auto"/>
                    <w:right w:val="none" w:sz="0" w:space="0" w:color="auto"/>
                  </w:divBdr>
                  <w:divsChild>
                    <w:div w:id="2131630070">
                      <w:marLeft w:val="0"/>
                      <w:marRight w:val="0"/>
                      <w:marTop w:val="0"/>
                      <w:marBottom w:val="0"/>
                      <w:divBdr>
                        <w:top w:val="none" w:sz="0" w:space="0" w:color="auto"/>
                        <w:left w:val="none" w:sz="0" w:space="0" w:color="auto"/>
                        <w:bottom w:val="none" w:sz="0" w:space="0" w:color="auto"/>
                        <w:right w:val="none" w:sz="0" w:space="0" w:color="auto"/>
                      </w:divBdr>
                      <w:divsChild>
                        <w:div w:id="18110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86789">
          <w:marLeft w:val="0"/>
          <w:marRight w:val="0"/>
          <w:marTop w:val="0"/>
          <w:marBottom w:val="0"/>
          <w:divBdr>
            <w:top w:val="none" w:sz="0" w:space="0" w:color="auto"/>
            <w:left w:val="none" w:sz="0" w:space="0" w:color="auto"/>
            <w:bottom w:val="none" w:sz="0" w:space="0" w:color="auto"/>
            <w:right w:val="none" w:sz="0" w:space="0" w:color="auto"/>
          </w:divBdr>
          <w:divsChild>
            <w:div w:id="475605344">
              <w:marLeft w:val="0"/>
              <w:marRight w:val="0"/>
              <w:marTop w:val="0"/>
              <w:marBottom w:val="0"/>
              <w:divBdr>
                <w:top w:val="none" w:sz="0" w:space="0" w:color="auto"/>
                <w:left w:val="none" w:sz="0" w:space="0" w:color="auto"/>
                <w:bottom w:val="none" w:sz="0" w:space="0" w:color="auto"/>
                <w:right w:val="none" w:sz="0" w:space="0" w:color="auto"/>
              </w:divBdr>
              <w:divsChild>
                <w:div w:id="2066903422">
                  <w:marLeft w:val="0"/>
                  <w:marRight w:val="0"/>
                  <w:marTop w:val="0"/>
                  <w:marBottom w:val="0"/>
                  <w:divBdr>
                    <w:top w:val="none" w:sz="0" w:space="0" w:color="auto"/>
                    <w:left w:val="none" w:sz="0" w:space="0" w:color="auto"/>
                    <w:bottom w:val="none" w:sz="0" w:space="0" w:color="auto"/>
                    <w:right w:val="none" w:sz="0" w:space="0" w:color="auto"/>
                  </w:divBdr>
                  <w:divsChild>
                    <w:div w:id="209859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69806866">
      <w:bodyDiv w:val="1"/>
      <w:marLeft w:val="0"/>
      <w:marRight w:val="0"/>
      <w:marTop w:val="0"/>
      <w:marBottom w:val="0"/>
      <w:divBdr>
        <w:top w:val="none" w:sz="0" w:space="0" w:color="auto"/>
        <w:left w:val="none" w:sz="0" w:space="0" w:color="auto"/>
        <w:bottom w:val="none" w:sz="0" w:space="0" w:color="auto"/>
        <w:right w:val="none" w:sz="0" w:space="0" w:color="auto"/>
      </w:divBdr>
      <w:divsChild>
        <w:div w:id="313341685">
          <w:marLeft w:val="0"/>
          <w:marRight w:val="0"/>
          <w:marTop w:val="0"/>
          <w:marBottom w:val="0"/>
          <w:divBdr>
            <w:top w:val="none" w:sz="0" w:space="0" w:color="auto"/>
            <w:left w:val="none" w:sz="0" w:space="0" w:color="auto"/>
            <w:bottom w:val="none" w:sz="0" w:space="0" w:color="auto"/>
            <w:right w:val="none" w:sz="0" w:space="0" w:color="auto"/>
          </w:divBdr>
        </w:div>
        <w:div w:id="447939495">
          <w:marLeft w:val="0"/>
          <w:marRight w:val="0"/>
          <w:marTop w:val="0"/>
          <w:marBottom w:val="0"/>
          <w:divBdr>
            <w:top w:val="none" w:sz="0" w:space="0" w:color="auto"/>
            <w:left w:val="none" w:sz="0" w:space="0" w:color="auto"/>
            <w:bottom w:val="none" w:sz="0" w:space="0" w:color="auto"/>
            <w:right w:val="none" w:sz="0" w:space="0" w:color="auto"/>
          </w:divBdr>
        </w:div>
        <w:div w:id="2023821394">
          <w:marLeft w:val="0"/>
          <w:marRight w:val="0"/>
          <w:marTop w:val="0"/>
          <w:marBottom w:val="0"/>
          <w:divBdr>
            <w:top w:val="none" w:sz="0" w:space="0" w:color="auto"/>
            <w:left w:val="none" w:sz="0" w:space="0" w:color="auto"/>
            <w:bottom w:val="none" w:sz="0" w:space="0" w:color="auto"/>
            <w:right w:val="none" w:sz="0" w:space="0" w:color="auto"/>
          </w:divBdr>
        </w:div>
        <w:div w:id="2102603783">
          <w:marLeft w:val="0"/>
          <w:marRight w:val="0"/>
          <w:marTop w:val="0"/>
          <w:marBottom w:val="0"/>
          <w:divBdr>
            <w:top w:val="none" w:sz="0" w:space="0" w:color="auto"/>
            <w:left w:val="none" w:sz="0" w:space="0" w:color="auto"/>
            <w:bottom w:val="none" w:sz="0" w:space="0" w:color="auto"/>
            <w:right w:val="none" w:sz="0" w:space="0" w:color="auto"/>
          </w:divBdr>
        </w:div>
      </w:divsChild>
    </w:div>
    <w:div w:id="876039566">
      <w:bodyDiv w:val="1"/>
      <w:marLeft w:val="0"/>
      <w:marRight w:val="0"/>
      <w:marTop w:val="0"/>
      <w:marBottom w:val="0"/>
      <w:divBdr>
        <w:top w:val="none" w:sz="0" w:space="0" w:color="auto"/>
        <w:left w:val="none" w:sz="0" w:space="0" w:color="auto"/>
        <w:bottom w:val="none" w:sz="0" w:space="0" w:color="auto"/>
        <w:right w:val="none" w:sz="0" w:space="0" w:color="auto"/>
      </w:divBdr>
    </w:div>
    <w:div w:id="876506561">
      <w:bodyDiv w:val="1"/>
      <w:marLeft w:val="0"/>
      <w:marRight w:val="0"/>
      <w:marTop w:val="0"/>
      <w:marBottom w:val="0"/>
      <w:divBdr>
        <w:top w:val="none" w:sz="0" w:space="0" w:color="auto"/>
        <w:left w:val="none" w:sz="0" w:space="0" w:color="auto"/>
        <w:bottom w:val="none" w:sz="0" w:space="0" w:color="auto"/>
        <w:right w:val="none" w:sz="0" w:space="0" w:color="auto"/>
      </w:divBdr>
      <w:divsChild>
        <w:div w:id="1845779854">
          <w:marLeft w:val="0"/>
          <w:marRight w:val="0"/>
          <w:marTop w:val="0"/>
          <w:marBottom w:val="0"/>
          <w:divBdr>
            <w:top w:val="none" w:sz="0" w:space="0" w:color="auto"/>
            <w:left w:val="none" w:sz="0" w:space="0" w:color="auto"/>
            <w:bottom w:val="none" w:sz="0" w:space="0" w:color="auto"/>
            <w:right w:val="none" w:sz="0" w:space="0" w:color="auto"/>
          </w:divBdr>
        </w:div>
      </w:divsChild>
    </w:div>
    <w:div w:id="877819891">
      <w:bodyDiv w:val="1"/>
      <w:marLeft w:val="0"/>
      <w:marRight w:val="0"/>
      <w:marTop w:val="0"/>
      <w:marBottom w:val="0"/>
      <w:divBdr>
        <w:top w:val="none" w:sz="0" w:space="0" w:color="auto"/>
        <w:left w:val="none" w:sz="0" w:space="0" w:color="auto"/>
        <w:bottom w:val="none" w:sz="0" w:space="0" w:color="auto"/>
        <w:right w:val="none" w:sz="0" w:space="0" w:color="auto"/>
      </w:divBdr>
    </w:div>
    <w:div w:id="879822201">
      <w:bodyDiv w:val="1"/>
      <w:marLeft w:val="0"/>
      <w:marRight w:val="0"/>
      <w:marTop w:val="0"/>
      <w:marBottom w:val="0"/>
      <w:divBdr>
        <w:top w:val="none" w:sz="0" w:space="0" w:color="auto"/>
        <w:left w:val="none" w:sz="0" w:space="0" w:color="auto"/>
        <w:bottom w:val="none" w:sz="0" w:space="0" w:color="auto"/>
        <w:right w:val="none" w:sz="0" w:space="0" w:color="auto"/>
      </w:divBdr>
      <w:divsChild>
        <w:div w:id="1934851208">
          <w:marLeft w:val="0"/>
          <w:marRight w:val="0"/>
          <w:marTop w:val="0"/>
          <w:marBottom w:val="0"/>
          <w:divBdr>
            <w:top w:val="none" w:sz="0" w:space="0" w:color="auto"/>
            <w:left w:val="none" w:sz="0" w:space="0" w:color="auto"/>
            <w:bottom w:val="none" w:sz="0" w:space="0" w:color="auto"/>
            <w:right w:val="none" w:sz="0" w:space="0" w:color="auto"/>
          </w:divBdr>
        </w:div>
        <w:div w:id="725110745">
          <w:marLeft w:val="0"/>
          <w:marRight w:val="0"/>
          <w:marTop w:val="0"/>
          <w:marBottom w:val="0"/>
          <w:divBdr>
            <w:top w:val="none" w:sz="0" w:space="0" w:color="auto"/>
            <w:left w:val="none" w:sz="0" w:space="0" w:color="auto"/>
            <w:bottom w:val="none" w:sz="0" w:space="0" w:color="auto"/>
            <w:right w:val="none" w:sz="0" w:space="0" w:color="auto"/>
          </w:divBdr>
        </w:div>
      </w:divsChild>
    </w:div>
    <w:div w:id="888107588">
      <w:bodyDiv w:val="1"/>
      <w:marLeft w:val="0"/>
      <w:marRight w:val="0"/>
      <w:marTop w:val="0"/>
      <w:marBottom w:val="0"/>
      <w:divBdr>
        <w:top w:val="none" w:sz="0" w:space="0" w:color="auto"/>
        <w:left w:val="none" w:sz="0" w:space="0" w:color="auto"/>
        <w:bottom w:val="none" w:sz="0" w:space="0" w:color="auto"/>
        <w:right w:val="none" w:sz="0" w:space="0" w:color="auto"/>
      </w:divBdr>
    </w:div>
    <w:div w:id="895316193">
      <w:bodyDiv w:val="1"/>
      <w:marLeft w:val="0"/>
      <w:marRight w:val="0"/>
      <w:marTop w:val="0"/>
      <w:marBottom w:val="0"/>
      <w:divBdr>
        <w:top w:val="none" w:sz="0" w:space="0" w:color="auto"/>
        <w:left w:val="none" w:sz="0" w:space="0" w:color="auto"/>
        <w:bottom w:val="none" w:sz="0" w:space="0" w:color="auto"/>
        <w:right w:val="none" w:sz="0" w:space="0" w:color="auto"/>
      </w:divBdr>
      <w:divsChild>
        <w:div w:id="134421145">
          <w:marLeft w:val="0"/>
          <w:marRight w:val="0"/>
          <w:marTop w:val="0"/>
          <w:marBottom w:val="0"/>
          <w:divBdr>
            <w:top w:val="none" w:sz="0" w:space="0" w:color="auto"/>
            <w:left w:val="none" w:sz="0" w:space="0" w:color="auto"/>
            <w:bottom w:val="none" w:sz="0" w:space="0" w:color="auto"/>
            <w:right w:val="none" w:sz="0" w:space="0" w:color="auto"/>
          </w:divBdr>
        </w:div>
        <w:div w:id="214589119">
          <w:marLeft w:val="0"/>
          <w:marRight w:val="0"/>
          <w:marTop w:val="0"/>
          <w:marBottom w:val="0"/>
          <w:divBdr>
            <w:top w:val="none" w:sz="0" w:space="0" w:color="auto"/>
            <w:left w:val="none" w:sz="0" w:space="0" w:color="auto"/>
            <w:bottom w:val="none" w:sz="0" w:space="0" w:color="auto"/>
            <w:right w:val="none" w:sz="0" w:space="0" w:color="auto"/>
          </w:divBdr>
        </w:div>
        <w:div w:id="565603530">
          <w:marLeft w:val="0"/>
          <w:marRight w:val="0"/>
          <w:marTop w:val="0"/>
          <w:marBottom w:val="0"/>
          <w:divBdr>
            <w:top w:val="none" w:sz="0" w:space="0" w:color="auto"/>
            <w:left w:val="none" w:sz="0" w:space="0" w:color="auto"/>
            <w:bottom w:val="none" w:sz="0" w:space="0" w:color="auto"/>
            <w:right w:val="none" w:sz="0" w:space="0" w:color="auto"/>
          </w:divBdr>
        </w:div>
        <w:div w:id="735905843">
          <w:marLeft w:val="0"/>
          <w:marRight w:val="0"/>
          <w:marTop w:val="0"/>
          <w:marBottom w:val="0"/>
          <w:divBdr>
            <w:top w:val="none" w:sz="0" w:space="0" w:color="auto"/>
            <w:left w:val="none" w:sz="0" w:space="0" w:color="auto"/>
            <w:bottom w:val="none" w:sz="0" w:space="0" w:color="auto"/>
            <w:right w:val="none" w:sz="0" w:space="0" w:color="auto"/>
          </w:divBdr>
        </w:div>
        <w:div w:id="1767073830">
          <w:marLeft w:val="0"/>
          <w:marRight w:val="0"/>
          <w:marTop w:val="0"/>
          <w:marBottom w:val="0"/>
          <w:divBdr>
            <w:top w:val="none" w:sz="0" w:space="0" w:color="auto"/>
            <w:left w:val="none" w:sz="0" w:space="0" w:color="auto"/>
            <w:bottom w:val="none" w:sz="0" w:space="0" w:color="auto"/>
            <w:right w:val="none" w:sz="0" w:space="0" w:color="auto"/>
          </w:divBdr>
        </w:div>
        <w:div w:id="1806385993">
          <w:marLeft w:val="0"/>
          <w:marRight w:val="0"/>
          <w:marTop w:val="0"/>
          <w:marBottom w:val="0"/>
          <w:divBdr>
            <w:top w:val="none" w:sz="0" w:space="0" w:color="auto"/>
            <w:left w:val="none" w:sz="0" w:space="0" w:color="auto"/>
            <w:bottom w:val="none" w:sz="0" w:space="0" w:color="auto"/>
            <w:right w:val="none" w:sz="0" w:space="0" w:color="auto"/>
          </w:divBdr>
        </w:div>
        <w:div w:id="2029940250">
          <w:marLeft w:val="0"/>
          <w:marRight w:val="0"/>
          <w:marTop w:val="0"/>
          <w:marBottom w:val="0"/>
          <w:divBdr>
            <w:top w:val="none" w:sz="0" w:space="0" w:color="auto"/>
            <w:left w:val="none" w:sz="0" w:space="0" w:color="auto"/>
            <w:bottom w:val="none" w:sz="0" w:space="0" w:color="auto"/>
            <w:right w:val="none" w:sz="0" w:space="0" w:color="auto"/>
          </w:divBdr>
        </w:div>
      </w:divsChild>
    </w:div>
    <w:div w:id="902452992">
      <w:bodyDiv w:val="1"/>
      <w:marLeft w:val="0"/>
      <w:marRight w:val="0"/>
      <w:marTop w:val="0"/>
      <w:marBottom w:val="0"/>
      <w:divBdr>
        <w:top w:val="none" w:sz="0" w:space="0" w:color="auto"/>
        <w:left w:val="none" w:sz="0" w:space="0" w:color="auto"/>
        <w:bottom w:val="none" w:sz="0" w:space="0" w:color="auto"/>
        <w:right w:val="none" w:sz="0" w:space="0" w:color="auto"/>
      </w:divBdr>
    </w:div>
    <w:div w:id="917205392">
      <w:bodyDiv w:val="1"/>
      <w:marLeft w:val="0"/>
      <w:marRight w:val="0"/>
      <w:marTop w:val="0"/>
      <w:marBottom w:val="0"/>
      <w:divBdr>
        <w:top w:val="none" w:sz="0" w:space="0" w:color="auto"/>
        <w:left w:val="none" w:sz="0" w:space="0" w:color="auto"/>
        <w:bottom w:val="none" w:sz="0" w:space="0" w:color="auto"/>
        <w:right w:val="none" w:sz="0" w:space="0" w:color="auto"/>
      </w:divBdr>
    </w:div>
    <w:div w:id="923609988">
      <w:bodyDiv w:val="1"/>
      <w:marLeft w:val="0"/>
      <w:marRight w:val="0"/>
      <w:marTop w:val="0"/>
      <w:marBottom w:val="0"/>
      <w:divBdr>
        <w:top w:val="none" w:sz="0" w:space="0" w:color="auto"/>
        <w:left w:val="none" w:sz="0" w:space="0" w:color="auto"/>
        <w:bottom w:val="none" w:sz="0" w:space="0" w:color="auto"/>
        <w:right w:val="none" w:sz="0" w:space="0" w:color="auto"/>
      </w:divBdr>
    </w:div>
    <w:div w:id="936984342">
      <w:bodyDiv w:val="1"/>
      <w:marLeft w:val="0"/>
      <w:marRight w:val="0"/>
      <w:marTop w:val="0"/>
      <w:marBottom w:val="0"/>
      <w:divBdr>
        <w:top w:val="none" w:sz="0" w:space="0" w:color="auto"/>
        <w:left w:val="none" w:sz="0" w:space="0" w:color="auto"/>
        <w:bottom w:val="none" w:sz="0" w:space="0" w:color="auto"/>
        <w:right w:val="none" w:sz="0" w:space="0" w:color="auto"/>
      </w:divBdr>
    </w:div>
    <w:div w:id="956836422">
      <w:bodyDiv w:val="1"/>
      <w:marLeft w:val="0"/>
      <w:marRight w:val="0"/>
      <w:marTop w:val="0"/>
      <w:marBottom w:val="0"/>
      <w:divBdr>
        <w:top w:val="none" w:sz="0" w:space="0" w:color="auto"/>
        <w:left w:val="none" w:sz="0" w:space="0" w:color="auto"/>
        <w:bottom w:val="none" w:sz="0" w:space="0" w:color="auto"/>
        <w:right w:val="none" w:sz="0" w:space="0" w:color="auto"/>
      </w:divBdr>
    </w:div>
    <w:div w:id="959605434">
      <w:bodyDiv w:val="1"/>
      <w:marLeft w:val="0"/>
      <w:marRight w:val="0"/>
      <w:marTop w:val="0"/>
      <w:marBottom w:val="0"/>
      <w:divBdr>
        <w:top w:val="none" w:sz="0" w:space="0" w:color="auto"/>
        <w:left w:val="none" w:sz="0" w:space="0" w:color="auto"/>
        <w:bottom w:val="none" w:sz="0" w:space="0" w:color="auto"/>
        <w:right w:val="none" w:sz="0" w:space="0" w:color="auto"/>
      </w:divBdr>
    </w:div>
    <w:div w:id="965433153">
      <w:bodyDiv w:val="1"/>
      <w:marLeft w:val="0"/>
      <w:marRight w:val="0"/>
      <w:marTop w:val="0"/>
      <w:marBottom w:val="0"/>
      <w:divBdr>
        <w:top w:val="none" w:sz="0" w:space="0" w:color="auto"/>
        <w:left w:val="none" w:sz="0" w:space="0" w:color="auto"/>
        <w:bottom w:val="none" w:sz="0" w:space="0" w:color="auto"/>
        <w:right w:val="none" w:sz="0" w:space="0" w:color="auto"/>
      </w:divBdr>
    </w:div>
    <w:div w:id="973408225">
      <w:bodyDiv w:val="1"/>
      <w:marLeft w:val="0"/>
      <w:marRight w:val="0"/>
      <w:marTop w:val="0"/>
      <w:marBottom w:val="0"/>
      <w:divBdr>
        <w:top w:val="none" w:sz="0" w:space="0" w:color="auto"/>
        <w:left w:val="none" w:sz="0" w:space="0" w:color="auto"/>
        <w:bottom w:val="none" w:sz="0" w:space="0" w:color="auto"/>
        <w:right w:val="none" w:sz="0" w:space="0" w:color="auto"/>
      </w:divBdr>
    </w:div>
    <w:div w:id="974529780">
      <w:bodyDiv w:val="1"/>
      <w:marLeft w:val="0"/>
      <w:marRight w:val="0"/>
      <w:marTop w:val="0"/>
      <w:marBottom w:val="0"/>
      <w:divBdr>
        <w:top w:val="none" w:sz="0" w:space="0" w:color="auto"/>
        <w:left w:val="none" w:sz="0" w:space="0" w:color="auto"/>
        <w:bottom w:val="none" w:sz="0" w:space="0" w:color="auto"/>
        <w:right w:val="none" w:sz="0" w:space="0" w:color="auto"/>
      </w:divBdr>
    </w:div>
    <w:div w:id="976491749">
      <w:bodyDiv w:val="1"/>
      <w:marLeft w:val="0"/>
      <w:marRight w:val="0"/>
      <w:marTop w:val="0"/>
      <w:marBottom w:val="0"/>
      <w:divBdr>
        <w:top w:val="none" w:sz="0" w:space="0" w:color="auto"/>
        <w:left w:val="none" w:sz="0" w:space="0" w:color="auto"/>
        <w:bottom w:val="none" w:sz="0" w:space="0" w:color="auto"/>
        <w:right w:val="none" w:sz="0" w:space="0" w:color="auto"/>
      </w:divBdr>
    </w:div>
    <w:div w:id="995037358">
      <w:bodyDiv w:val="1"/>
      <w:marLeft w:val="0"/>
      <w:marRight w:val="0"/>
      <w:marTop w:val="0"/>
      <w:marBottom w:val="0"/>
      <w:divBdr>
        <w:top w:val="none" w:sz="0" w:space="0" w:color="auto"/>
        <w:left w:val="none" w:sz="0" w:space="0" w:color="auto"/>
        <w:bottom w:val="none" w:sz="0" w:space="0" w:color="auto"/>
        <w:right w:val="none" w:sz="0" w:space="0" w:color="auto"/>
      </w:divBdr>
    </w:div>
    <w:div w:id="1081756238">
      <w:bodyDiv w:val="1"/>
      <w:marLeft w:val="0"/>
      <w:marRight w:val="0"/>
      <w:marTop w:val="0"/>
      <w:marBottom w:val="0"/>
      <w:divBdr>
        <w:top w:val="none" w:sz="0" w:space="0" w:color="auto"/>
        <w:left w:val="none" w:sz="0" w:space="0" w:color="auto"/>
        <w:bottom w:val="none" w:sz="0" w:space="0" w:color="auto"/>
        <w:right w:val="none" w:sz="0" w:space="0" w:color="auto"/>
      </w:divBdr>
    </w:div>
    <w:div w:id="1089499979">
      <w:bodyDiv w:val="1"/>
      <w:marLeft w:val="0"/>
      <w:marRight w:val="0"/>
      <w:marTop w:val="0"/>
      <w:marBottom w:val="0"/>
      <w:divBdr>
        <w:top w:val="none" w:sz="0" w:space="0" w:color="auto"/>
        <w:left w:val="none" w:sz="0" w:space="0" w:color="auto"/>
        <w:bottom w:val="none" w:sz="0" w:space="0" w:color="auto"/>
        <w:right w:val="none" w:sz="0" w:space="0" w:color="auto"/>
      </w:divBdr>
    </w:div>
    <w:div w:id="1090925871">
      <w:bodyDiv w:val="1"/>
      <w:marLeft w:val="0"/>
      <w:marRight w:val="0"/>
      <w:marTop w:val="0"/>
      <w:marBottom w:val="0"/>
      <w:divBdr>
        <w:top w:val="none" w:sz="0" w:space="0" w:color="auto"/>
        <w:left w:val="none" w:sz="0" w:space="0" w:color="auto"/>
        <w:bottom w:val="none" w:sz="0" w:space="0" w:color="auto"/>
        <w:right w:val="none" w:sz="0" w:space="0" w:color="auto"/>
      </w:divBdr>
    </w:div>
    <w:div w:id="1105270300">
      <w:marLeft w:val="0"/>
      <w:marRight w:val="0"/>
      <w:marTop w:val="0"/>
      <w:marBottom w:val="0"/>
      <w:divBdr>
        <w:top w:val="none" w:sz="0" w:space="0" w:color="auto"/>
        <w:left w:val="none" w:sz="0" w:space="0" w:color="auto"/>
        <w:bottom w:val="none" w:sz="0" w:space="0" w:color="auto"/>
        <w:right w:val="none" w:sz="0" w:space="0" w:color="auto"/>
      </w:divBdr>
      <w:divsChild>
        <w:div w:id="1105270301">
          <w:marLeft w:val="75"/>
          <w:marRight w:val="0"/>
          <w:marTop w:val="100"/>
          <w:marBottom w:val="100"/>
          <w:divBdr>
            <w:top w:val="none" w:sz="0" w:space="0" w:color="auto"/>
            <w:left w:val="single" w:sz="12" w:space="4" w:color="000000"/>
            <w:bottom w:val="none" w:sz="0" w:space="0" w:color="auto"/>
            <w:right w:val="none" w:sz="0" w:space="0" w:color="auto"/>
          </w:divBdr>
          <w:divsChild>
            <w:div w:id="1105270306">
              <w:marLeft w:val="0"/>
              <w:marRight w:val="0"/>
              <w:marTop w:val="0"/>
              <w:marBottom w:val="0"/>
              <w:divBdr>
                <w:top w:val="none" w:sz="0" w:space="0" w:color="auto"/>
                <w:left w:val="none" w:sz="0" w:space="0" w:color="auto"/>
                <w:bottom w:val="none" w:sz="0" w:space="0" w:color="auto"/>
                <w:right w:val="none" w:sz="0" w:space="0" w:color="auto"/>
              </w:divBdr>
              <w:divsChild>
                <w:div w:id="1105270321">
                  <w:marLeft w:val="0"/>
                  <w:marRight w:val="0"/>
                  <w:marTop w:val="0"/>
                  <w:marBottom w:val="0"/>
                  <w:divBdr>
                    <w:top w:val="none" w:sz="0" w:space="0" w:color="auto"/>
                    <w:left w:val="none" w:sz="0" w:space="0" w:color="auto"/>
                    <w:bottom w:val="none" w:sz="0" w:space="0" w:color="auto"/>
                    <w:right w:val="none" w:sz="0" w:space="0" w:color="auto"/>
                  </w:divBdr>
                  <w:divsChild>
                    <w:div w:id="1105270322">
                      <w:marLeft w:val="0"/>
                      <w:marRight w:val="0"/>
                      <w:marTop w:val="0"/>
                      <w:marBottom w:val="0"/>
                      <w:divBdr>
                        <w:top w:val="none" w:sz="0" w:space="0" w:color="auto"/>
                        <w:left w:val="none" w:sz="0" w:space="0" w:color="auto"/>
                        <w:bottom w:val="none" w:sz="0" w:space="0" w:color="auto"/>
                        <w:right w:val="none" w:sz="0" w:space="0" w:color="auto"/>
                      </w:divBdr>
                      <w:divsChild>
                        <w:div w:id="1105270302">
                          <w:marLeft w:val="0"/>
                          <w:marRight w:val="0"/>
                          <w:marTop w:val="0"/>
                          <w:marBottom w:val="0"/>
                          <w:divBdr>
                            <w:top w:val="none" w:sz="0" w:space="0" w:color="auto"/>
                            <w:left w:val="none" w:sz="0" w:space="0" w:color="auto"/>
                            <w:bottom w:val="none" w:sz="0" w:space="0" w:color="auto"/>
                            <w:right w:val="none" w:sz="0" w:space="0" w:color="auto"/>
                          </w:divBdr>
                        </w:div>
                        <w:div w:id="1105270303">
                          <w:marLeft w:val="0"/>
                          <w:marRight w:val="0"/>
                          <w:marTop w:val="0"/>
                          <w:marBottom w:val="0"/>
                          <w:divBdr>
                            <w:top w:val="none" w:sz="0" w:space="0" w:color="auto"/>
                            <w:left w:val="none" w:sz="0" w:space="0" w:color="auto"/>
                            <w:bottom w:val="none" w:sz="0" w:space="0" w:color="auto"/>
                            <w:right w:val="none" w:sz="0" w:space="0" w:color="auto"/>
                          </w:divBdr>
                        </w:div>
                        <w:div w:id="1105270310">
                          <w:marLeft w:val="0"/>
                          <w:marRight w:val="0"/>
                          <w:marTop w:val="0"/>
                          <w:marBottom w:val="0"/>
                          <w:divBdr>
                            <w:top w:val="none" w:sz="0" w:space="0" w:color="auto"/>
                            <w:left w:val="none" w:sz="0" w:space="0" w:color="auto"/>
                            <w:bottom w:val="none" w:sz="0" w:space="0" w:color="auto"/>
                            <w:right w:val="none" w:sz="0" w:space="0" w:color="auto"/>
                          </w:divBdr>
                          <w:divsChild>
                            <w:div w:id="1105270304">
                              <w:marLeft w:val="0"/>
                              <w:marRight w:val="0"/>
                              <w:marTop w:val="0"/>
                              <w:marBottom w:val="0"/>
                              <w:divBdr>
                                <w:top w:val="none" w:sz="0" w:space="0" w:color="auto"/>
                                <w:left w:val="none" w:sz="0" w:space="0" w:color="auto"/>
                                <w:bottom w:val="none" w:sz="0" w:space="0" w:color="auto"/>
                                <w:right w:val="none" w:sz="0" w:space="0" w:color="auto"/>
                              </w:divBdr>
                            </w:div>
                            <w:div w:id="1105270305">
                              <w:marLeft w:val="0"/>
                              <w:marRight w:val="0"/>
                              <w:marTop w:val="0"/>
                              <w:marBottom w:val="0"/>
                              <w:divBdr>
                                <w:top w:val="none" w:sz="0" w:space="0" w:color="auto"/>
                                <w:left w:val="none" w:sz="0" w:space="0" w:color="auto"/>
                                <w:bottom w:val="none" w:sz="0" w:space="0" w:color="auto"/>
                                <w:right w:val="none" w:sz="0" w:space="0" w:color="auto"/>
                              </w:divBdr>
                            </w:div>
                            <w:div w:id="1105270308">
                              <w:marLeft w:val="0"/>
                              <w:marRight w:val="0"/>
                              <w:marTop w:val="0"/>
                              <w:marBottom w:val="0"/>
                              <w:divBdr>
                                <w:top w:val="none" w:sz="0" w:space="0" w:color="auto"/>
                                <w:left w:val="none" w:sz="0" w:space="0" w:color="auto"/>
                                <w:bottom w:val="none" w:sz="0" w:space="0" w:color="auto"/>
                                <w:right w:val="none" w:sz="0" w:space="0" w:color="auto"/>
                              </w:divBdr>
                            </w:div>
                            <w:div w:id="1105270309">
                              <w:marLeft w:val="0"/>
                              <w:marRight w:val="0"/>
                              <w:marTop w:val="0"/>
                              <w:marBottom w:val="0"/>
                              <w:divBdr>
                                <w:top w:val="none" w:sz="0" w:space="0" w:color="auto"/>
                                <w:left w:val="none" w:sz="0" w:space="0" w:color="auto"/>
                                <w:bottom w:val="none" w:sz="0" w:space="0" w:color="auto"/>
                                <w:right w:val="none" w:sz="0" w:space="0" w:color="auto"/>
                              </w:divBdr>
                            </w:div>
                            <w:div w:id="1105270311">
                              <w:marLeft w:val="0"/>
                              <w:marRight w:val="0"/>
                              <w:marTop w:val="0"/>
                              <w:marBottom w:val="0"/>
                              <w:divBdr>
                                <w:top w:val="none" w:sz="0" w:space="0" w:color="auto"/>
                                <w:left w:val="none" w:sz="0" w:space="0" w:color="auto"/>
                                <w:bottom w:val="none" w:sz="0" w:space="0" w:color="auto"/>
                                <w:right w:val="none" w:sz="0" w:space="0" w:color="auto"/>
                              </w:divBdr>
                            </w:div>
                            <w:div w:id="1105270312">
                              <w:marLeft w:val="0"/>
                              <w:marRight w:val="0"/>
                              <w:marTop w:val="0"/>
                              <w:marBottom w:val="0"/>
                              <w:divBdr>
                                <w:top w:val="none" w:sz="0" w:space="0" w:color="auto"/>
                                <w:left w:val="none" w:sz="0" w:space="0" w:color="auto"/>
                                <w:bottom w:val="none" w:sz="0" w:space="0" w:color="auto"/>
                                <w:right w:val="none" w:sz="0" w:space="0" w:color="auto"/>
                              </w:divBdr>
                            </w:div>
                            <w:div w:id="1105270313">
                              <w:marLeft w:val="0"/>
                              <w:marRight w:val="0"/>
                              <w:marTop w:val="0"/>
                              <w:marBottom w:val="0"/>
                              <w:divBdr>
                                <w:top w:val="none" w:sz="0" w:space="0" w:color="auto"/>
                                <w:left w:val="none" w:sz="0" w:space="0" w:color="auto"/>
                                <w:bottom w:val="none" w:sz="0" w:space="0" w:color="auto"/>
                                <w:right w:val="none" w:sz="0" w:space="0" w:color="auto"/>
                              </w:divBdr>
                            </w:div>
                            <w:div w:id="1105270316">
                              <w:marLeft w:val="0"/>
                              <w:marRight w:val="0"/>
                              <w:marTop w:val="0"/>
                              <w:marBottom w:val="0"/>
                              <w:divBdr>
                                <w:top w:val="none" w:sz="0" w:space="0" w:color="auto"/>
                                <w:left w:val="none" w:sz="0" w:space="0" w:color="auto"/>
                                <w:bottom w:val="none" w:sz="0" w:space="0" w:color="auto"/>
                                <w:right w:val="none" w:sz="0" w:space="0" w:color="auto"/>
                              </w:divBdr>
                            </w:div>
                            <w:div w:id="1105270319">
                              <w:marLeft w:val="0"/>
                              <w:marRight w:val="0"/>
                              <w:marTop w:val="0"/>
                              <w:marBottom w:val="0"/>
                              <w:divBdr>
                                <w:top w:val="none" w:sz="0" w:space="0" w:color="auto"/>
                                <w:left w:val="none" w:sz="0" w:space="0" w:color="auto"/>
                                <w:bottom w:val="none" w:sz="0" w:space="0" w:color="auto"/>
                                <w:right w:val="none" w:sz="0" w:space="0" w:color="auto"/>
                              </w:divBdr>
                            </w:div>
                            <w:div w:id="1105270320">
                              <w:marLeft w:val="0"/>
                              <w:marRight w:val="0"/>
                              <w:marTop w:val="0"/>
                              <w:marBottom w:val="0"/>
                              <w:divBdr>
                                <w:top w:val="none" w:sz="0" w:space="0" w:color="auto"/>
                                <w:left w:val="none" w:sz="0" w:space="0" w:color="auto"/>
                                <w:bottom w:val="none" w:sz="0" w:space="0" w:color="auto"/>
                                <w:right w:val="none" w:sz="0" w:space="0" w:color="auto"/>
                              </w:divBdr>
                            </w:div>
                            <w:div w:id="1105270324">
                              <w:marLeft w:val="0"/>
                              <w:marRight w:val="0"/>
                              <w:marTop w:val="0"/>
                              <w:marBottom w:val="0"/>
                              <w:divBdr>
                                <w:top w:val="none" w:sz="0" w:space="0" w:color="auto"/>
                                <w:left w:val="none" w:sz="0" w:space="0" w:color="auto"/>
                                <w:bottom w:val="none" w:sz="0" w:space="0" w:color="auto"/>
                                <w:right w:val="none" w:sz="0" w:space="0" w:color="auto"/>
                              </w:divBdr>
                            </w:div>
                            <w:div w:id="11052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70307">
      <w:marLeft w:val="0"/>
      <w:marRight w:val="0"/>
      <w:marTop w:val="0"/>
      <w:marBottom w:val="0"/>
      <w:divBdr>
        <w:top w:val="none" w:sz="0" w:space="0" w:color="auto"/>
        <w:left w:val="none" w:sz="0" w:space="0" w:color="auto"/>
        <w:bottom w:val="none" w:sz="0" w:space="0" w:color="auto"/>
        <w:right w:val="none" w:sz="0" w:space="0" w:color="auto"/>
      </w:divBdr>
    </w:div>
    <w:div w:id="1105270317">
      <w:marLeft w:val="0"/>
      <w:marRight w:val="0"/>
      <w:marTop w:val="0"/>
      <w:marBottom w:val="0"/>
      <w:divBdr>
        <w:top w:val="none" w:sz="0" w:space="0" w:color="auto"/>
        <w:left w:val="none" w:sz="0" w:space="0" w:color="auto"/>
        <w:bottom w:val="none" w:sz="0" w:space="0" w:color="auto"/>
        <w:right w:val="none" w:sz="0" w:space="0" w:color="auto"/>
      </w:divBdr>
      <w:divsChild>
        <w:div w:id="1105270323">
          <w:marLeft w:val="0"/>
          <w:marRight w:val="0"/>
          <w:marTop w:val="0"/>
          <w:marBottom w:val="0"/>
          <w:divBdr>
            <w:top w:val="none" w:sz="0" w:space="0" w:color="auto"/>
            <w:left w:val="single" w:sz="8" w:space="0" w:color="E0E0E0"/>
            <w:bottom w:val="none" w:sz="0" w:space="0" w:color="auto"/>
            <w:right w:val="single" w:sz="8" w:space="0" w:color="E0E0E0"/>
          </w:divBdr>
        </w:div>
      </w:divsChild>
    </w:div>
    <w:div w:id="1105270326">
      <w:marLeft w:val="0"/>
      <w:marRight w:val="0"/>
      <w:marTop w:val="0"/>
      <w:marBottom w:val="0"/>
      <w:divBdr>
        <w:top w:val="none" w:sz="0" w:space="0" w:color="auto"/>
        <w:left w:val="none" w:sz="0" w:space="0" w:color="auto"/>
        <w:bottom w:val="none" w:sz="0" w:space="0" w:color="auto"/>
        <w:right w:val="none" w:sz="0" w:space="0" w:color="auto"/>
      </w:divBdr>
      <w:divsChild>
        <w:div w:id="1105270318">
          <w:marLeft w:val="0"/>
          <w:marRight w:val="0"/>
          <w:marTop w:val="0"/>
          <w:marBottom w:val="0"/>
          <w:divBdr>
            <w:top w:val="none" w:sz="0" w:space="0" w:color="auto"/>
            <w:left w:val="none" w:sz="0" w:space="0" w:color="auto"/>
            <w:bottom w:val="none" w:sz="0" w:space="0" w:color="auto"/>
            <w:right w:val="none" w:sz="0" w:space="0" w:color="auto"/>
          </w:divBdr>
        </w:div>
      </w:divsChild>
    </w:div>
    <w:div w:id="1105270327">
      <w:marLeft w:val="0"/>
      <w:marRight w:val="0"/>
      <w:marTop w:val="0"/>
      <w:marBottom w:val="0"/>
      <w:divBdr>
        <w:top w:val="none" w:sz="0" w:space="0" w:color="auto"/>
        <w:left w:val="none" w:sz="0" w:space="0" w:color="auto"/>
        <w:bottom w:val="none" w:sz="0" w:space="0" w:color="auto"/>
        <w:right w:val="none" w:sz="0" w:space="0" w:color="auto"/>
      </w:divBdr>
      <w:divsChild>
        <w:div w:id="1105270315">
          <w:marLeft w:val="75"/>
          <w:marRight w:val="0"/>
          <w:marTop w:val="100"/>
          <w:marBottom w:val="100"/>
          <w:divBdr>
            <w:top w:val="none" w:sz="0" w:space="0" w:color="auto"/>
            <w:left w:val="single" w:sz="12" w:space="4" w:color="000000"/>
            <w:bottom w:val="none" w:sz="0" w:space="0" w:color="auto"/>
            <w:right w:val="none" w:sz="0" w:space="0" w:color="auto"/>
          </w:divBdr>
        </w:div>
      </w:divsChild>
    </w:div>
    <w:div w:id="1105270328">
      <w:marLeft w:val="0"/>
      <w:marRight w:val="0"/>
      <w:marTop w:val="0"/>
      <w:marBottom w:val="0"/>
      <w:divBdr>
        <w:top w:val="none" w:sz="0" w:space="0" w:color="auto"/>
        <w:left w:val="none" w:sz="0" w:space="0" w:color="auto"/>
        <w:bottom w:val="none" w:sz="0" w:space="0" w:color="auto"/>
        <w:right w:val="none" w:sz="0" w:space="0" w:color="auto"/>
      </w:divBdr>
    </w:div>
    <w:div w:id="1105270329">
      <w:marLeft w:val="0"/>
      <w:marRight w:val="0"/>
      <w:marTop w:val="0"/>
      <w:marBottom w:val="0"/>
      <w:divBdr>
        <w:top w:val="none" w:sz="0" w:space="0" w:color="auto"/>
        <w:left w:val="none" w:sz="0" w:space="0" w:color="auto"/>
        <w:bottom w:val="none" w:sz="0" w:space="0" w:color="auto"/>
        <w:right w:val="none" w:sz="0" w:space="0" w:color="auto"/>
      </w:divBdr>
      <w:divsChild>
        <w:div w:id="1105270314">
          <w:marLeft w:val="0"/>
          <w:marRight w:val="0"/>
          <w:marTop w:val="0"/>
          <w:marBottom w:val="0"/>
          <w:divBdr>
            <w:top w:val="none" w:sz="0" w:space="0" w:color="auto"/>
            <w:left w:val="none" w:sz="0" w:space="0" w:color="auto"/>
            <w:bottom w:val="none" w:sz="0" w:space="0" w:color="auto"/>
            <w:right w:val="none" w:sz="0" w:space="0" w:color="auto"/>
          </w:divBdr>
        </w:div>
      </w:divsChild>
    </w:div>
    <w:div w:id="1144928700">
      <w:bodyDiv w:val="1"/>
      <w:marLeft w:val="0"/>
      <w:marRight w:val="0"/>
      <w:marTop w:val="0"/>
      <w:marBottom w:val="0"/>
      <w:divBdr>
        <w:top w:val="none" w:sz="0" w:space="0" w:color="auto"/>
        <w:left w:val="none" w:sz="0" w:space="0" w:color="auto"/>
        <w:bottom w:val="none" w:sz="0" w:space="0" w:color="auto"/>
        <w:right w:val="none" w:sz="0" w:space="0" w:color="auto"/>
      </w:divBdr>
      <w:divsChild>
        <w:div w:id="639962399">
          <w:marLeft w:val="0"/>
          <w:marRight w:val="0"/>
          <w:marTop w:val="0"/>
          <w:marBottom w:val="0"/>
          <w:divBdr>
            <w:top w:val="none" w:sz="0" w:space="0" w:color="auto"/>
            <w:left w:val="none" w:sz="0" w:space="0" w:color="auto"/>
            <w:bottom w:val="none" w:sz="0" w:space="0" w:color="auto"/>
            <w:right w:val="none" w:sz="0" w:space="0" w:color="auto"/>
          </w:divBdr>
        </w:div>
        <w:div w:id="1890418405">
          <w:marLeft w:val="0"/>
          <w:marRight w:val="0"/>
          <w:marTop w:val="0"/>
          <w:marBottom w:val="0"/>
          <w:divBdr>
            <w:top w:val="none" w:sz="0" w:space="0" w:color="auto"/>
            <w:left w:val="none" w:sz="0" w:space="0" w:color="auto"/>
            <w:bottom w:val="none" w:sz="0" w:space="0" w:color="auto"/>
            <w:right w:val="none" w:sz="0" w:space="0" w:color="auto"/>
          </w:divBdr>
        </w:div>
      </w:divsChild>
    </w:div>
    <w:div w:id="1146776110">
      <w:bodyDiv w:val="1"/>
      <w:marLeft w:val="0"/>
      <w:marRight w:val="0"/>
      <w:marTop w:val="0"/>
      <w:marBottom w:val="0"/>
      <w:divBdr>
        <w:top w:val="none" w:sz="0" w:space="0" w:color="auto"/>
        <w:left w:val="none" w:sz="0" w:space="0" w:color="auto"/>
        <w:bottom w:val="none" w:sz="0" w:space="0" w:color="auto"/>
        <w:right w:val="none" w:sz="0" w:space="0" w:color="auto"/>
      </w:divBdr>
      <w:divsChild>
        <w:div w:id="203058245">
          <w:marLeft w:val="0"/>
          <w:marRight w:val="0"/>
          <w:marTop w:val="0"/>
          <w:marBottom w:val="0"/>
          <w:divBdr>
            <w:top w:val="none" w:sz="0" w:space="0" w:color="auto"/>
            <w:left w:val="none" w:sz="0" w:space="0" w:color="auto"/>
            <w:bottom w:val="none" w:sz="0" w:space="0" w:color="auto"/>
            <w:right w:val="none" w:sz="0" w:space="0" w:color="auto"/>
          </w:divBdr>
        </w:div>
        <w:div w:id="1837575271">
          <w:marLeft w:val="0"/>
          <w:marRight w:val="0"/>
          <w:marTop w:val="0"/>
          <w:marBottom w:val="0"/>
          <w:divBdr>
            <w:top w:val="none" w:sz="0" w:space="0" w:color="auto"/>
            <w:left w:val="none" w:sz="0" w:space="0" w:color="auto"/>
            <w:bottom w:val="none" w:sz="0" w:space="0" w:color="auto"/>
            <w:right w:val="none" w:sz="0" w:space="0" w:color="auto"/>
          </w:divBdr>
        </w:div>
      </w:divsChild>
    </w:div>
    <w:div w:id="1147864660">
      <w:bodyDiv w:val="1"/>
      <w:marLeft w:val="0"/>
      <w:marRight w:val="0"/>
      <w:marTop w:val="0"/>
      <w:marBottom w:val="0"/>
      <w:divBdr>
        <w:top w:val="none" w:sz="0" w:space="0" w:color="auto"/>
        <w:left w:val="none" w:sz="0" w:space="0" w:color="auto"/>
        <w:bottom w:val="none" w:sz="0" w:space="0" w:color="auto"/>
        <w:right w:val="none" w:sz="0" w:space="0" w:color="auto"/>
      </w:divBdr>
    </w:div>
    <w:div w:id="1156799499">
      <w:bodyDiv w:val="1"/>
      <w:marLeft w:val="0"/>
      <w:marRight w:val="0"/>
      <w:marTop w:val="0"/>
      <w:marBottom w:val="0"/>
      <w:divBdr>
        <w:top w:val="none" w:sz="0" w:space="0" w:color="auto"/>
        <w:left w:val="none" w:sz="0" w:space="0" w:color="auto"/>
        <w:bottom w:val="none" w:sz="0" w:space="0" w:color="auto"/>
        <w:right w:val="none" w:sz="0" w:space="0" w:color="auto"/>
      </w:divBdr>
    </w:div>
    <w:div w:id="1164660019">
      <w:bodyDiv w:val="1"/>
      <w:marLeft w:val="0"/>
      <w:marRight w:val="0"/>
      <w:marTop w:val="0"/>
      <w:marBottom w:val="0"/>
      <w:divBdr>
        <w:top w:val="none" w:sz="0" w:space="0" w:color="auto"/>
        <w:left w:val="none" w:sz="0" w:space="0" w:color="auto"/>
        <w:bottom w:val="none" w:sz="0" w:space="0" w:color="auto"/>
        <w:right w:val="none" w:sz="0" w:space="0" w:color="auto"/>
      </w:divBdr>
      <w:divsChild>
        <w:div w:id="1863786183">
          <w:marLeft w:val="0"/>
          <w:marRight w:val="0"/>
          <w:marTop w:val="0"/>
          <w:marBottom w:val="0"/>
          <w:divBdr>
            <w:top w:val="none" w:sz="0" w:space="0" w:color="auto"/>
            <w:left w:val="none" w:sz="0" w:space="0" w:color="auto"/>
            <w:bottom w:val="none" w:sz="0" w:space="0" w:color="auto"/>
            <w:right w:val="none" w:sz="0" w:space="0" w:color="auto"/>
          </w:divBdr>
        </w:div>
        <w:div w:id="987903528">
          <w:marLeft w:val="0"/>
          <w:marRight w:val="0"/>
          <w:marTop w:val="0"/>
          <w:marBottom w:val="0"/>
          <w:divBdr>
            <w:top w:val="none" w:sz="0" w:space="0" w:color="auto"/>
            <w:left w:val="none" w:sz="0" w:space="0" w:color="auto"/>
            <w:bottom w:val="none" w:sz="0" w:space="0" w:color="auto"/>
            <w:right w:val="none" w:sz="0" w:space="0" w:color="auto"/>
          </w:divBdr>
        </w:div>
      </w:divsChild>
    </w:div>
    <w:div w:id="1170678302">
      <w:bodyDiv w:val="1"/>
      <w:marLeft w:val="0"/>
      <w:marRight w:val="0"/>
      <w:marTop w:val="0"/>
      <w:marBottom w:val="0"/>
      <w:divBdr>
        <w:top w:val="none" w:sz="0" w:space="0" w:color="auto"/>
        <w:left w:val="none" w:sz="0" w:space="0" w:color="auto"/>
        <w:bottom w:val="none" w:sz="0" w:space="0" w:color="auto"/>
        <w:right w:val="none" w:sz="0" w:space="0" w:color="auto"/>
      </w:divBdr>
      <w:divsChild>
        <w:div w:id="78720458">
          <w:marLeft w:val="691"/>
          <w:marRight w:val="0"/>
          <w:marTop w:val="160"/>
          <w:marBottom w:val="0"/>
          <w:divBdr>
            <w:top w:val="none" w:sz="0" w:space="0" w:color="auto"/>
            <w:left w:val="none" w:sz="0" w:space="0" w:color="auto"/>
            <w:bottom w:val="none" w:sz="0" w:space="0" w:color="auto"/>
            <w:right w:val="none" w:sz="0" w:space="0" w:color="auto"/>
          </w:divBdr>
        </w:div>
        <w:div w:id="2026469145">
          <w:marLeft w:val="691"/>
          <w:marRight w:val="0"/>
          <w:marTop w:val="160"/>
          <w:marBottom w:val="0"/>
          <w:divBdr>
            <w:top w:val="none" w:sz="0" w:space="0" w:color="auto"/>
            <w:left w:val="none" w:sz="0" w:space="0" w:color="auto"/>
            <w:bottom w:val="none" w:sz="0" w:space="0" w:color="auto"/>
            <w:right w:val="none" w:sz="0" w:space="0" w:color="auto"/>
          </w:divBdr>
        </w:div>
        <w:div w:id="853612450">
          <w:marLeft w:val="691"/>
          <w:marRight w:val="0"/>
          <w:marTop w:val="160"/>
          <w:marBottom w:val="0"/>
          <w:divBdr>
            <w:top w:val="none" w:sz="0" w:space="0" w:color="auto"/>
            <w:left w:val="none" w:sz="0" w:space="0" w:color="auto"/>
            <w:bottom w:val="none" w:sz="0" w:space="0" w:color="auto"/>
            <w:right w:val="none" w:sz="0" w:space="0" w:color="auto"/>
          </w:divBdr>
        </w:div>
        <w:div w:id="979187781">
          <w:marLeft w:val="691"/>
          <w:marRight w:val="0"/>
          <w:marTop w:val="160"/>
          <w:marBottom w:val="0"/>
          <w:divBdr>
            <w:top w:val="none" w:sz="0" w:space="0" w:color="auto"/>
            <w:left w:val="none" w:sz="0" w:space="0" w:color="auto"/>
            <w:bottom w:val="none" w:sz="0" w:space="0" w:color="auto"/>
            <w:right w:val="none" w:sz="0" w:space="0" w:color="auto"/>
          </w:divBdr>
        </w:div>
        <w:div w:id="380059044">
          <w:marLeft w:val="691"/>
          <w:marRight w:val="0"/>
          <w:marTop w:val="160"/>
          <w:marBottom w:val="0"/>
          <w:divBdr>
            <w:top w:val="none" w:sz="0" w:space="0" w:color="auto"/>
            <w:left w:val="none" w:sz="0" w:space="0" w:color="auto"/>
            <w:bottom w:val="none" w:sz="0" w:space="0" w:color="auto"/>
            <w:right w:val="none" w:sz="0" w:space="0" w:color="auto"/>
          </w:divBdr>
        </w:div>
        <w:div w:id="269513258">
          <w:marLeft w:val="691"/>
          <w:marRight w:val="0"/>
          <w:marTop w:val="160"/>
          <w:marBottom w:val="0"/>
          <w:divBdr>
            <w:top w:val="none" w:sz="0" w:space="0" w:color="auto"/>
            <w:left w:val="none" w:sz="0" w:space="0" w:color="auto"/>
            <w:bottom w:val="none" w:sz="0" w:space="0" w:color="auto"/>
            <w:right w:val="none" w:sz="0" w:space="0" w:color="auto"/>
          </w:divBdr>
        </w:div>
        <w:div w:id="1668362000">
          <w:marLeft w:val="691"/>
          <w:marRight w:val="0"/>
          <w:marTop w:val="160"/>
          <w:marBottom w:val="0"/>
          <w:divBdr>
            <w:top w:val="none" w:sz="0" w:space="0" w:color="auto"/>
            <w:left w:val="none" w:sz="0" w:space="0" w:color="auto"/>
            <w:bottom w:val="none" w:sz="0" w:space="0" w:color="auto"/>
            <w:right w:val="none" w:sz="0" w:space="0" w:color="auto"/>
          </w:divBdr>
        </w:div>
        <w:div w:id="932132302">
          <w:marLeft w:val="691"/>
          <w:marRight w:val="0"/>
          <w:marTop w:val="160"/>
          <w:marBottom w:val="0"/>
          <w:divBdr>
            <w:top w:val="none" w:sz="0" w:space="0" w:color="auto"/>
            <w:left w:val="none" w:sz="0" w:space="0" w:color="auto"/>
            <w:bottom w:val="none" w:sz="0" w:space="0" w:color="auto"/>
            <w:right w:val="none" w:sz="0" w:space="0" w:color="auto"/>
          </w:divBdr>
        </w:div>
      </w:divsChild>
    </w:div>
    <w:div w:id="1195194083">
      <w:bodyDiv w:val="1"/>
      <w:marLeft w:val="0"/>
      <w:marRight w:val="0"/>
      <w:marTop w:val="0"/>
      <w:marBottom w:val="0"/>
      <w:divBdr>
        <w:top w:val="none" w:sz="0" w:space="0" w:color="auto"/>
        <w:left w:val="none" w:sz="0" w:space="0" w:color="auto"/>
        <w:bottom w:val="none" w:sz="0" w:space="0" w:color="auto"/>
        <w:right w:val="none" w:sz="0" w:space="0" w:color="auto"/>
      </w:divBdr>
    </w:div>
    <w:div w:id="1214197129">
      <w:bodyDiv w:val="1"/>
      <w:marLeft w:val="0"/>
      <w:marRight w:val="0"/>
      <w:marTop w:val="0"/>
      <w:marBottom w:val="0"/>
      <w:divBdr>
        <w:top w:val="none" w:sz="0" w:space="0" w:color="auto"/>
        <w:left w:val="none" w:sz="0" w:space="0" w:color="auto"/>
        <w:bottom w:val="none" w:sz="0" w:space="0" w:color="auto"/>
        <w:right w:val="none" w:sz="0" w:space="0" w:color="auto"/>
      </w:divBdr>
    </w:div>
    <w:div w:id="1222255692">
      <w:bodyDiv w:val="1"/>
      <w:marLeft w:val="0"/>
      <w:marRight w:val="0"/>
      <w:marTop w:val="0"/>
      <w:marBottom w:val="0"/>
      <w:divBdr>
        <w:top w:val="none" w:sz="0" w:space="0" w:color="auto"/>
        <w:left w:val="none" w:sz="0" w:space="0" w:color="auto"/>
        <w:bottom w:val="none" w:sz="0" w:space="0" w:color="auto"/>
        <w:right w:val="none" w:sz="0" w:space="0" w:color="auto"/>
      </w:divBdr>
    </w:div>
    <w:div w:id="1229614169">
      <w:bodyDiv w:val="1"/>
      <w:marLeft w:val="0"/>
      <w:marRight w:val="0"/>
      <w:marTop w:val="0"/>
      <w:marBottom w:val="0"/>
      <w:divBdr>
        <w:top w:val="none" w:sz="0" w:space="0" w:color="auto"/>
        <w:left w:val="none" w:sz="0" w:space="0" w:color="auto"/>
        <w:bottom w:val="none" w:sz="0" w:space="0" w:color="auto"/>
        <w:right w:val="none" w:sz="0" w:space="0" w:color="auto"/>
      </w:divBdr>
    </w:div>
    <w:div w:id="1240558900">
      <w:bodyDiv w:val="1"/>
      <w:marLeft w:val="0"/>
      <w:marRight w:val="0"/>
      <w:marTop w:val="0"/>
      <w:marBottom w:val="0"/>
      <w:divBdr>
        <w:top w:val="none" w:sz="0" w:space="0" w:color="auto"/>
        <w:left w:val="none" w:sz="0" w:space="0" w:color="auto"/>
        <w:bottom w:val="none" w:sz="0" w:space="0" w:color="auto"/>
        <w:right w:val="none" w:sz="0" w:space="0" w:color="auto"/>
      </w:divBdr>
    </w:div>
    <w:div w:id="1278678898">
      <w:bodyDiv w:val="1"/>
      <w:marLeft w:val="0"/>
      <w:marRight w:val="0"/>
      <w:marTop w:val="0"/>
      <w:marBottom w:val="0"/>
      <w:divBdr>
        <w:top w:val="none" w:sz="0" w:space="0" w:color="auto"/>
        <w:left w:val="none" w:sz="0" w:space="0" w:color="auto"/>
        <w:bottom w:val="none" w:sz="0" w:space="0" w:color="auto"/>
        <w:right w:val="none" w:sz="0" w:space="0" w:color="auto"/>
      </w:divBdr>
    </w:div>
    <w:div w:id="1285038693">
      <w:bodyDiv w:val="1"/>
      <w:marLeft w:val="0"/>
      <w:marRight w:val="0"/>
      <w:marTop w:val="0"/>
      <w:marBottom w:val="0"/>
      <w:divBdr>
        <w:top w:val="none" w:sz="0" w:space="0" w:color="auto"/>
        <w:left w:val="none" w:sz="0" w:space="0" w:color="auto"/>
        <w:bottom w:val="none" w:sz="0" w:space="0" w:color="auto"/>
        <w:right w:val="none" w:sz="0" w:space="0" w:color="auto"/>
      </w:divBdr>
    </w:div>
    <w:div w:id="1295674196">
      <w:bodyDiv w:val="1"/>
      <w:marLeft w:val="0"/>
      <w:marRight w:val="0"/>
      <w:marTop w:val="0"/>
      <w:marBottom w:val="0"/>
      <w:divBdr>
        <w:top w:val="none" w:sz="0" w:space="0" w:color="auto"/>
        <w:left w:val="none" w:sz="0" w:space="0" w:color="auto"/>
        <w:bottom w:val="none" w:sz="0" w:space="0" w:color="auto"/>
        <w:right w:val="none" w:sz="0" w:space="0" w:color="auto"/>
      </w:divBdr>
    </w:div>
    <w:div w:id="1297638218">
      <w:bodyDiv w:val="1"/>
      <w:marLeft w:val="0"/>
      <w:marRight w:val="0"/>
      <w:marTop w:val="0"/>
      <w:marBottom w:val="0"/>
      <w:divBdr>
        <w:top w:val="none" w:sz="0" w:space="0" w:color="auto"/>
        <w:left w:val="none" w:sz="0" w:space="0" w:color="auto"/>
        <w:bottom w:val="none" w:sz="0" w:space="0" w:color="auto"/>
        <w:right w:val="none" w:sz="0" w:space="0" w:color="auto"/>
      </w:divBdr>
    </w:div>
    <w:div w:id="1326396686">
      <w:bodyDiv w:val="1"/>
      <w:marLeft w:val="0"/>
      <w:marRight w:val="0"/>
      <w:marTop w:val="0"/>
      <w:marBottom w:val="0"/>
      <w:divBdr>
        <w:top w:val="none" w:sz="0" w:space="0" w:color="auto"/>
        <w:left w:val="none" w:sz="0" w:space="0" w:color="auto"/>
        <w:bottom w:val="none" w:sz="0" w:space="0" w:color="auto"/>
        <w:right w:val="none" w:sz="0" w:space="0" w:color="auto"/>
      </w:divBdr>
      <w:divsChild>
        <w:div w:id="75052413">
          <w:marLeft w:val="0"/>
          <w:marRight w:val="0"/>
          <w:marTop w:val="0"/>
          <w:marBottom w:val="0"/>
          <w:divBdr>
            <w:top w:val="none" w:sz="0" w:space="0" w:color="auto"/>
            <w:left w:val="none" w:sz="0" w:space="0" w:color="auto"/>
            <w:bottom w:val="none" w:sz="0" w:space="0" w:color="auto"/>
            <w:right w:val="none" w:sz="0" w:space="0" w:color="auto"/>
          </w:divBdr>
        </w:div>
        <w:div w:id="477453037">
          <w:marLeft w:val="0"/>
          <w:marRight w:val="0"/>
          <w:marTop w:val="0"/>
          <w:marBottom w:val="0"/>
          <w:divBdr>
            <w:top w:val="none" w:sz="0" w:space="0" w:color="auto"/>
            <w:left w:val="none" w:sz="0" w:space="0" w:color="auto"/>
            <w:bottom w:val="none" w:sz="0" w:space="0" w:color="auto"/>
            <w:right w:val="none" w:sz="0" w:space="0" w:color="auto"/>
          </w:divBdr>
        </w:div>
        <w:div w:id="1556546366">
          <w:blockQuote w:val="1"/>
          <w:marLeft w:val="-1703"/>
          <w:marRight w:val="0"/>
          <w:marTop w:val="300"/>
          <w:marBottom w:val="300"/>
          <w:divBdr>
            <w:top w:val="none" w:sz="0" w:space="0" w:color="auto"/>
            <w:left w:val="none" w:sz="0" w:space="0" w:color="auto"/>
            <w:bottom w:val="none" w:sz="0" w:space="0" w:color="auto"/>
            <w:right w:val="none" w:sz="0" w:space="0" w:color="auto"/>
          </w:divBdr>
        </w:div>
        <w:div w:id="2051151539">
          <w:marLeft w:val="0"/>
          <w:marRight w:val="0"/>
          <w:marTop w:val="0"/>
          <w:marBottom w:val="0"/>
          <w:divBdr>
            <w:top w:val="none" w:sz="0" w:space="0" w:color="auto"/>
            <w:left w:val="none" w:sz="0" w:space="0" w:color="auto"/>
            <w:bottom w:val="none" w:sz="0" w:space="0" w:color="auto"/>
            <w:right w:val="none" w:sz="0" w:space="0" w:color="auto"/>
          </w:divBdr>
        </w:div>
      </w:divsChild>
    </w:div>
    <w:div w:id="1342008759">
      <w:bodyDiv w:val="1"/>
      <w:marLeft w:val="0"/>
      <w:marRight w:val="0"/>
      <w:marTop w:val="0"/>
      <w:marBottom w:val="0"/>
      <w:divBdr>
        <w:top w:val="none" w:sz="0" w:space="0" w:color="auto"/>
        <w:left w:val="none" w:sz="0" w:space="0" w:color="auto"/>
        <w:bottom w:val="none" w:sz="0" w:space="0" w:color="auto"/>
        <w:right w:val="none" w:sz="0" w:space="0" w:color="auto"/>
      </w:divBdr>
      <w:divsChild>
        <w:div w:id="779299211">
          <w:marLeft w:val="0"/>
          <w:marRight w:val="0"/>
          <w:marTop w:val="0"/>
          <w:marBottom w:val="0"/>
          <w:divBdr>
            <w:top w:val="none" w:sz="0" w:space="0" w:color="auto"/>
            <w:left w:val="none" w:sz="0" w:space="0" w:color="auto"/>
            <w:bottom w:val="none" w:sz="0" w:space="0" w:color="auto"/>
            <w:right w:val="none" w:sz="0" w:space="0" w:color="auto"/>
          </w:divBdr>
        </w:div>
        <w:div w:id="1323240386">
          <w:marLeft w:val="0"/>
          <w:marRight w:val="0"/>
          <w:marTop w:val="0"/>
          <w:marBottom w:val="0"/>
          <w:divBdr>
            <w:top w:val="none" w:sz="0" w:space="0" w:color="auto"/>
            <w:left w:val="none" w:sz="0" w:space="0" w:color="auto"/>
            <w:bottom w:val="none" w:sz="0" w:space="0" w:color="auto"/>
            <w:right w:val="none" w:sz="0" w:space="0" w:color="auto"/>
          </w:divBdr>
        </w:div>
      </w:divsChild>
    </w:div>
    <w:div w:id="1354842741">
      <w:bodyDiv w:val="1"/>
      <w:marLeft w:val="0"/>
      <w:marRight w:val="0"/>
      <w:marTop w:val="0"/>
      <w:marBottom w:val="0"/>
      <w:divBdr>
        <w:top w:val="none" w:sz="0" w:space="0" w:color="auto"/>
        <w:left w:val="none" w:sz="0" w:space="0" w:color="auto"/>
        <w:bottom w:val="none" w:sz="0" w:space="0" w:color="auto"/>
        <w:right w:val="none" w:sz="0" w:space="0" w:color="auto"/>
      </w:divBdr>
    </w:div>
    <w:div w:id="1359695546">
      <w:bodyDiv w:val="1"/>
      <w:marLeft w:val="0"/>
      <w:marRight w:val="0"/>
      <w:marTop w:val="0"/>
      <w:marBottom w:val="0"/>
      <w:divBdr>
        <w:top w:val="none" w:sz="0" w:space="0" w:color="auto"/>
        <w:left w:val="none" w:sz="0" w:space="0" w:color="auto"/>
        <w:bottom w:val="none" w:sz="0" w:space="0" w:color="auto"/>
        <w:right w:val="none" w:sz="0" w:space="0" w:color="auto"/>
      </w:divBdr>
      <w:divsChild>
        <w:div w:id="284780040">
          <w:marLeft w:val="0"/>
          <w:marRight w:val="0"/>
          <w:marTop w:val="0"/>
          <w:marBottom w:val="0"/>
          <w:divBdr>
            <w:top w:val="none" w:sz="0" w:space="0" w:color="auto"/>
            <w:left w:val="none" w:sz="0" w:space="0" w:color="auto"/>
            <w:bottom w:val="none" w:sz="0" w:space="0" w:color="auto"/>
            <w:right w:val="none" w:sz="0" w:space="0" w:color="auto"/>
          </w:divBdr>
        </w:div>
        <w:div w:id="1512065284">
          <w:marLeft w:val="0"/>
          <w:marRight w:val="0"/>
          <w:marTop w:val="0"/>
          <w:marBottom w:val="0"/>
          <w:divBdr>
            <w:top w:val="none" w:sz="0" w:space="0" w:color="auto"/>
            <w:left w:val="none" w:sz="0" w:space="0" w:color="auto"/>
            <w:bottom w:val="none" w:sz="0" w:space="0" w:color="auto"/>
            <w:right w:val="none" w:sz="0" w:space="0" w:color="auto"/>
          </w:divBdr>
        </w:div>
        <w:div w:id="1589803753">
          <w:marLeft w:val="0"/>
          <w:marRight w:val="0"/>
          <w:marTop w:val="0"/>
          <w:marBottom w:val="0"/>
          <w:divBdr>
            <w:top w:val="none" w:sz="0" w:space="0" w:color="auto"/>
            <w:left w:val="none" w:sz="0" w:space="0" w:color="auto"/>
            <w:bottom w:val="none" w:sz="0" w:space="0" w:color="auto"/>
            <w:right w:val="none" w:sz="0" w:space="0" w:color="auto"/>
          </w:divBdr>
        </w:div>
        <w:div w:id="1592350950">
          <w:marLeft w:val="0"/>
          <w:marRight w:val="0"/>
          <w:marTop w:val="0"/>
          <w:marBottom w:val="0"/>
          <w:divBdr>
            <w:top w:val="none" w:sz="0" w:space="0" w:color="auto"/>
            <w:left w:val="none" w:sz="0" w:space="0" w:color="auto"/>
            <w:bottom w:val="none" w:sz="0" w:space="0" w:color="auto"/>
            <w:right w:val="none" w:sz="0" w:space="0" w:color="auto"/>
          </w:divBdr>
        </w:div>
      </w:divsChild>
    </w:div>
    <w:div w:id="1371613304">
      <w:bodyDiv w:val="1"/>
      <w:marLeft w:val="0"/>
      <w:marRight w:val="0"/>
      <w:marTop w:val="0"/>
      <w:marBottom w:val="0"/>
      <w:divBdr>
        <w:top w:val="none" w:sz="0" w:space="0" w:color="auto"/>
        <w:left w:val="none" w:sz="0" w:space="0" w:color="auto"/>
        <w:bottom w:val="none" w:sz="0" w:space="0" w:color="auto"/>
        <w:right w:val="none" w:sz="0" w:space="0" w:color="auto"/>
      </w:divBdr>
    </w:div>
    <w:div w:id="1376389587">
      <w:bodyDiv w:val="1"/>
      <w:marLeft w:val="0"/>
      <w:marRight w:val="0"/>
      <w:marTop w:val="0"/>
      <w:marBottom w:val="0"/>
      <w:divBdr>
        <w:top w:val="none" w:sz="0" w:space="0" w:color="auto"/>
        <w:left w:val="none" w:sz="0" w:space="0" w:color="auto"/>
        <w:bottom w:val="none" w:sz="0" w:space="0" w:color="auto"/>
        <w:right w:val="none" w:sz="0" w:space="0" w:color="auto"/>
      </w:divBdr>
      <w:divsChild>
        <w:div w:id="1050226193">
          <w:marLeft w:val="0"/>
          <w:marRight w:val="0"/>
          <w:marTop w:val="0"/>
          <w:marBottom w:val="0"/>
          <w:divBdr>
            <w:top w:val="none" w:sz="0" w:space="0" w:color="auto"/>
            <w:left w:val="none" w:sz="0" w:space="0" w:color="auto"/>
            <w:bottom w:val="none" w:sz="0" w:space="0" w:color="auto"/>
            <w:right w:val="none" w:sz="0" w:space="0" w:color="auto"/>
          </w:divBdr>
        </w:div>
        <w:div w:id="1605767405">
          <w:marLeft w:val="0"/>
          <w:marRight w:val="0"/>
          <w:marTop w:val="0"/>
          <w:marBottom w:val="0"/>
          <w:divBdr>
            <w:top w:val="none" w:sz="0" w:space="0" w:color="auto"/>
            <w:left w:val="none" w:sz="0" w:space="0" w:color="auto"/>
            <w:bottom w:val="none" w:sz="0" w:space="0" w:color="auto"/>
            <w:right w:val="none" w:sz="0" w:space="0" w:color="auto"/>
          </w:divBdr>
        </w:div>
      </w:divsChild>
    </w:div>
    <w:div w:id="1383554993">
      <w:bodyDiv w:val="1"/>
      <w:marLeft w:val="0"/>
      <w:marRight w:val="0"/>
      <w:marTop w:val="0"/>
      <w:marBottom w:val="0"/>
      <w:divBdr>
        <w:top w:val="none" w:sz="0" w:space="0" w:color="auto"/>
        <w:left w:val="none" w:sz="0" w:space="0" w:color="auto"/>
        <w:bottom w:val="none" w:sz="0" w:space="0" w:color="auto"/>
        <w:right w:val="none" w:sz="0" w:space="0" w:color="auto"/>
      </w:divBdr>
    </w:div>
    <w:div w:id="1435587547">
      <w:bodyDiv w:val="1"/>
      <w:marLeft w:val="0"/>
      <w:marRight w:val="0"/>
      <w:marTop w:val="0"/>
      <w:marBottom w:val="0"/>
      <w:divBdr>
        <w:top w:val="none" w:sz="0" w:space="0" w:color="auto"/>
        <w:left w:val="none" w:sz="0" w:space="0" w:color="auto"/>
        <w:bottom w:val="none" w:sz="0" w:space="0" w:color="auto"/>
        <w:right w:val="none" w:sz="0" w:space="0" w:color="auto"/>
      </w:divBdr>
    </w:div>
    <w:div w:id="1441147322">
      <w:bodyDiv w:val="1"/>
      <w:marLeft w:val="0"/>
      <w:marRight w:val="0"/>
      <w:marTop w:val="0"/>
      <w:marBottom w:val="0"/>
      <w:divBdr>
        <w:top w:val="none" w:sz="0" w:space="0" w:color="auto"/>
        <w:left w:val="none" w:sz="0" w:space="0" w:color="auto"/>
        <w:bottom w:val="none" w:sz="0" w:space="0" w:color="auto"/>
        <w:right w:val="none" w:sz="0" w:space="0" w:color="auto"/>
      </w:divBdr>
    </w:div>
    <w:div w:id="1467502603">
      <w:bodyDiv w:val="1"/>
      <w:marLeft w:val="0"/>
      <w:marRight w:val="0"/>
      <w:marTop w:val="0"/>
      <w:marBottom w:val="0"/>
      <w:divBdr>
        <w:top w:val="none" w:sz="0" w:space="0" w:color="auto"/>
        <w:left w:val="none" w:sz="0" w:space="0" w:color="auto"/>
        <w:bottom w:val="none" w:sz="0" w:space="0" w:color="auto"/>
        <w:right w:val="none" w:sz="0" w:space="0" w:color="auto"/>
      </w:divBdr>
    </w:div>
    <w:div w:id="1467893590">
      <w:bodyDiv w:val="1"/>
      <w:marLeft w:val="0"/>
      <w:marRight w:val="0"/>
      <w:marTop w:val="0"/>
      <w:marBottom w:val="0"/>
      <w:divBdr>
        <w:top w:val="none" w:sz="0" w:space="0" w:color="auto"/>
        <w:left w:val="none" w:sz="0" w:space="0" w:color="auto"/>
        <w:bottom w:val="none" w:sz="0" w:space="0" w:color="auto"/>
        <w:right w:val="none" w:sz="0" w:space="0" w:color="auto"/>
      </w:divBdr>
    </w:div>
    <w:div w:id="1475877778">
      <w:bodyDiv w:val="1"/>
      <w:marLeft w:val="0"/>
      <w:marRight w:val="0"/>
      <w:marTop w:val="0"/>
      <w:marBottom w:val="0"/>
      <w:divBdr>
        <w:top w:val="none" w:sz="0" w:space="0" w:color="auto"/>
        <w:left w:val="none" w:sz="0" w:space="0" w:color="auto"/>
        <w:bottom w:val="none" w:sz="0" w:space="0" w:color="auto"/>
        <w:right w:val="none" w:sz="0" w:space="0" w:color="auto"/>
      </w:divBdr>
      <w:divsChild>
        <w:div w:id="1028606356">
          <w:marLeft w:val="0"/>
          <w:marRight w:val="0"/>
          <w:marTop w:val="0"/>
          <w:marBottom w:val="0"/>
          <w:divBdr>
            <w:top w:val="none" w:sz="0" w:space="0" w:color="auto"/>
            <w:left w:val="none" w:sz="0" w:space="0" w:color="auto"/>
            <w:bottom w:val="none" w:sz="0" w:space="0" w:color="auto"/>
            <w:right w:val="none" w:sz="0" w:space="0" w:color="auto"/>
          </w:divBdr>
          <w:divsChild>
            <w:div w:id="839390251">
              <w:marLeft w:val="0"/>
              <w:marRight w:val="0"/>
              <w:marTop w:val="0"/>
              <w:marBottom w:val="0"/>
              <w:divBdr>
                <w:top w:val="none" w:sz="0" w:space="0" w:color="auto"/>
                <w:left w:val="none" w:sz="0" w:space="0" w:color="auto"/>
                <w:bottom w:val="none" w:sz="0" w:space="0" w:color="auto"/>
                <w:right w:val="none" w:sz="0" w:space="0" w:color="auto"/>
              </w:divBdr>
              <w:divsChild>
                <w:div w:id="959729284">
                  <w:marLeft w:val="0"/>
                  <w:marRight w:val="0"/>
                  <w:marTop w:val="0"/>
                  <w:marBottom w:val="0"/>
                  <w:divBdr>
                    <w:top w:val="none" w:sz="0" w:space="0" w:color="auto"/>
                    <w:left w:val="none" w:sz="0" w:space="0" w:color="auto"/>
                    <w:bottom w:val="none" w:sz="0" w:space="0" w:color="auto"/>
                    <w:right w:val="none" w:sz="0" w:space="0" w:color="auto"/>
                  </w:divBdr>
                  <w:divsChild>
                    <w:div w:id="599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094">
          <w:marLeft w:val="0"/>
          <w:marRight w:val="0"/>
          <w:marTop w:val="0"/>
          <w:marBottom w:val="0"/>
          <w:divBdr>
            <w:top w:val="none" w:sz="0" w:space="0" w:color="auto"/>
            <w:left w:val="none" w:sz="0" w:space="0" w:color="auto"/>
            <w:bottom w:val="none" w:sz="0" w:space="0" w:color="auto"/>
            <w:right w:val="none" w:sz="0" w:space="0" w:color="auto"/>
          </w:divBdr>
          <w:divsChild>
            <w:div w:id="486215366">
              <w:marLeft w:val="0"/>
              <w:marRight w:val="0"/>
              <w:marTop w:val="0"/>
              <w:marBottom w:val="0"/>
              <w:divBdr>
                <w:top w:val="none" w:sz="0" w:space="0" w:color="auto"/>
                <w:left w:val="none" w:sz="0" w:space="0" w:color="auto"/>
                <w:bottom w:val="none" w:sz="0" w:space="0" w:color="auto"/>
                <w:right w:val="none" w:sz="0" w:space="0" w:color="auto"/>
              </w:divBdr>
              <w:divsChild>
                <w:div w:id="1584337885">
                  <w:marLeft w:val="0"/>
                  <w:marRight w:val="0"/>
                  <w:marTop w:val="0"/>
                  <w:marBottom w:val="0"/>
                  <w:divBdr>
                    <w:top w:val="none" w:sz="0" w:space="0" w:color="auto"/>
                    <w:left w:val="none" w:sz="0" w:space="0" w:color="auto"/>
                    <w:bottom w:val="none" w:sz="0" w:space="0" w:color="auto"/>
                    <w:right w:val="none" w:sz="0" w:space="0" w:color="auto"/>
                  </w:divBdr>
                  <w:divsChild>
                    <w:div w:id="629937319">
                      <w:marLeft w:val="0"/>
                      <w:marRight w:val="0"/>
                      <w:marTop w:val="0"/>
                      <w:marBottom w:val="0"/>
                      <w:divBdr>
                        <w:top w:val="none" w:sz="0" w:space="0" w:color="auto"/>
                        <w:left w:val="none" w:sz="0" w:space="0" w:color="auto"/>
                        <w:bottom w:val="none" w:sz="0" w:space="0" w:color="auto"/>
                        <w:right w:val="none" w:sz="0" w:space="0" w:color="auto"/>
                      </w:divBdr>
                      <w:divsChild>
                        <w:div w:id="12204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5320">
      <w:bodyDiv w:val="1"/>
      <w:marLeft w:val="0"/>
      <w:marRight w:val="0"/>
      <w:marTop w:val="0"/>
      <w:marBottom w:val="0"/>
      <w:divBdr>
        <w:top w:val="none" w:sz="0" w:space="0" w:color="auto"/>
        <w:left w:val="none" w:sz="0" w:space="0" w:color="auto"/>
        <w:bottom w:val="none" w:sz="0" w:space="0" w:color="auto"/>
        <w:right w:val="none" w:sz="0" w:space="0" w:color="auto"/>
      </w:divBdr>
    </w:div>
    <w:div w:id="1496721343">
      <w:bodyDiv w:val="1"/>
      <w:marLeft w:val="0"/>
      <w:marRight w:val="0"/>
      <w:marTop w:val="0"/>
      <w:marBottom w:val="0"/>
      <w:divBdr>
        <w:top w:val="none" w:sz="0" w:space="0" w:color="auto"/>
        <w:left w:val="none" w:sz="0" w:space="0" w:color="auto"/>
        <w:bottom w:val="none" w:sz="0" w:space="0" w:color="auto"/>
        <w:right w:val="none" w:sz="0" w:space="0" w:color="auto"/>
      </w:divBdr>
    </w:div>
    <w:div w:id="1499349128">
      <w:bodyDiv w:val="1"/>
      <w:marLeft w:val="0"/>
      <w:marRight w:val="0"/>
      <w:marTop w:val="0"/>
      <w:marBottom w:val="0"/>
      <w:divBdr>
        <w:top w:val="none" w:sz="0" w:space="0" w:color="auto"/>
        <w:left w:val="none" w:sz="0" w:space="0" w:color="auto"/>
        <w:bottom w:val="none" w:sz="0" w:space="0" w:color="auto"/>
        <w:right w:val="none" w:sz="0" w:space="0" w:color="auto"/>
      </w:divBdr>
      <w:divsChild>
        <w:div w:id="1395086591">
          <w:marLeft w:val="0"/>
          <w:marRight w:val="0"/>
          <w:marTop w:val="0"/>
          <w:marBottom w:val="0"/>
          <w:divBdr>
            <w:top w:val="none" w:sz="0" w:space="0" w:color="auto"/>
            <w:left w:val="none" w:sz="0" w:space="0" w:color="auto"/>
            <w:bottom w:val="none" w:sz="0" w:space="0" w:color="auto"/>
            <w:right w:val="none" w:sz="0" w:space="0" w:color="auto"/>
          </w:divBdr>
          <w:divsChild>
            <w:div w:id="1433208401">
              <w:marLeft w:val="0"/>
              <w:marRight w:val="0"/>
              <w:marTop w:val="0"/>
              <w:marBottom w:val="0"/>
              <w:divBdr>
                <w:top w:val="none" w:sz="0" w:space="0" w:color="auto"/>
                <w:left w:val="none" w:sz="0" w:space="0" w:color="auto"/>
                <w:bottom w:val="none" w:sz="0" w:space="0" w:color="auto"/>
                <w:right w:val="none" w:sz="0" w:space="0" w:color="auto"/>
              </w:divBdr>
              <w:divsChild>
                <w:div w:id="7677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3034">
          <w:marLeft w:val="0"/>
          <w:marRight w:val="0"/>
          <w:marTop w:val="0"/>
          <w:marBottom w:val="0"/>
          <w:divBdr>
            <w:top w:val="none" w:sz="0" w:space="0" w:color="auto"/>
            <w:left w:val="none" w:sz="0" w:space="0" w:color="auto"/>
            <w:bottom w:val="none" w:sz="0" w:space="0" w:color="auto"/>
            <w:right w:val="none" w:sz="0" w:space="0" w:color="auto"/>
          </w:divBdr>
          <w:divsChild>
            <w:div w:id="622151000">
              <w:marLeft w:val="0"/>
              <w:marRight w:val="0"/>
              <w:marTop w:val="0"/>
              <w:marBottom w:val="0"/>
              <w:divBdr>
                <w:top w:val="none" w:sz="0" w:space="0" w:color="auto"/>
                <w:left w:val="none" w:sz="0" w:space="0" w:color="auto"/>
                <w:bottom w:val="none" w:sz="0" w:space="0" w:color="auto"/>
                <w:right w:val="none" w:sz="0" w:space="0" w:color="auto"/>
              </w:divBdr>
              <w:divsChild>
                <w:div w:id="1957251375">
                  <w:marLeft w:val="0"/>
                  <w:marRight w:val="0"/>
                  <w:marTop w:val="0"/>
                  <w:marBottom w:val="0"/>
                  <w:divBdr>
                    <w:top w:val="none" w:sz="0" w:space="0" w:color="auto"/>
                    <w:left w:val="none" w:sz="0" w:space="0" w:color="auto"/>
                    <w:bottom w:val="none" w:sz="0" w:space="0" w:color="auto"/>
                    <w:right w:val="none" w:sz="0" w:space="0" w:color="auto"/>
                  </w:divBdr>
                  <w:divsChild>
                    <w:div w:id="1460226243">
                      <w:marLeft w:val="0"/>
                      <w:marRight w:val="0"/>
                      <w:marTop w:val="0"/>
                      <w:marBottom w:val="0"/>
                      <w:divBdr>
                        <w:top w:val="none" w:sz="0" w:space="0" w:color="auto"/>
                        <w:left w:val="none" w:sz="0" w:space="0" w:color="auto"/>
                        <w:bottom w:val="none" w:sz="0" w:space="0" w:color="auto"/>
                        <w:right w:val="none" w:sz="0" w:space="0" w:color="auto"/>
                      </w:divBdr>
                      <w:divsChild>
                        <w:div w:id="9243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053">
      <w:bodyDiv w:val="1"/>
      <w:marLeft w:val="0"/>
      <w:marRight w:val="0"/>
      <w:marTop w:val="0"/>
      <w:marBottom w:val="0"/>
      <w:divBdr>
        <w:top w:val="none" w:sz="0" w:space="0" w:color="auto"/>
        <w:left w:val="none" w:sz="0" w:space="0" w:color="auto"/>
        <w:bottom w:val="none" w:sz="0" w:space="0" w:color="auto"/>
        <w:right w:val="none" w:sz="0" w:space="0" w:color="auto"/>
      </w:divBdr>
    </w:div>
    <w:div w:id="1504776642">
      <w:bodyDiv w:val="1"/>
      <w:marLeft w:val="0"/>
      <w:marRight w:val="0"/>
      <w:marTop w:val="0"/>
      <w:marBottom w:val="0"/>
      <w:divBdr>
        <w:top w:val="none" w:sz="0" w:space="0" w:color="auto"/>
        <w:left w:val="none" w:sz="0" w:space="0" w:color="auto"/>
        <w:bottom w:val="none" w:sz="0" w:space="0" w:color="auto"/>
        <w:right w:val="none" w:sz="0" w:space="0" w:color="auto"/>
      </w:divBdr>
      <w:divsChild>
        <w:div w:id="501773291">
          <w:marLeft w:val="0"/>
          <w:marRight w:val="0"/>
          <w:marTop w:val="0"/>
          <w:marBottom w:val="0"/>
          <w:divBdr>
            <w:top w:val="none" w:sz="0" w:space="0" w:color="auto"/>
            <w:left w:val="none" w:sz="0" w:space="0" w:color="auto"/>
            <w:bottom w:val="none" w:sz="0" w:space="0" w:color="auto"/>
            <w:right w:val="none" w:sz="0" w:space="0" w:color="auto"/>
          </w:divBdr>
        </w:div>
        <w:div w:id="794180229">
          <w:marLeft w:val="0"/>
          <w:marRight w:val="0"/>
          <w:marTop w:val="0"/>
          <w:marBottom w:val="0"/>
          <w:divBdr>
            <w:top w:val="none" w:sz="0" w:space="0" w:color="auto"/>
            <w:left w:val="none" w:sz="0" w:space="0" w:color="auto"/>
            <w:bottom w:val="none" w:sz="0" w:space="0" w:color="auto"/>
            <w:right w:val="none" w:sz="0" w:space="0" w:color="auto"/>
          </w:divBdr>
        </w:div>
        <w:div w:id="651787988">
          <w:marLeft w:val="0"/>
          <w:marRight w:val="0"/>
          <w:marTop w:val="0"/>
          <w:marBottom w:val="0"/>
          <w:divBdr>
            <w:top w:val="none" w:sz="0" w:space="0" w:color="auto"/>
            <w:left w:val="none" w:sz="0" w:space="0" w:color="auto"/>
            <w:bottom w:val="none" w:sz="0" w:space="0" w:color="auto"/>
            <w:right w:val="none" w:sz="0" w:space="0" w:color="auto"/>
          </w:divBdr>
        </w:div>
        <w:div w:id="815728116">
          <w:marLeft w:val="0"/>
          <w:marRight w:val="0"/>
          <w:marTop w:val="0"/>
          <w:marBottom w:val="0"/>
          <w:divBdr>
            <w:top w:val="none" w:sz="0" w:space="0" w:color="auto"/>
            <w:left w:val="none" w:sz="0" w:space="0" w:color="auto"/>
            <w:bottom w:val="none" w:sz="0" w:space="0" w:color="auto"/>
            <w:right w:val="none" w:sz="0" w:space="0" w:color="auto"/>
          </w:divBdr>
        </w:div>
      </w:divsChild>
    </w:div>
    <w:div w:id="1514761013">
      <w:bodyDiv w:val="1"/>
      <w:marLeft w:val="0"/>
      <w:marRight w:val="0"/>
      <w:marTop w:val="0"/>
      <w:marBottom w:val="0"/>
      <w:divBdr>
        <w:top w:val="none" w:sz="0" w:space="0" w:color="auto"/>
        <w:left w:val="none" w:sz="0" w:space="0" w:color="auto"/>
        <w:bottom w:val="none" w:sz="0" w:space="0" w:color="auto"/>
        <w:right w:val="none" w:sz="0" w:space="0" w:color="auto"/>
      </w:divBdr>
    </w:div>
    <w:div w:id="1536229835">
      <w:bodyDiv w:val="1"/>
      <w:marLeft w:val="0"/>
      <w:marRight w:val="0"/>
      <w:marTop w:val="0"/>
      <w:marBottom w:val="0"/>
      <w:divBdr>
        <w:top w:val="none" w:sz="0" w:space="0" w:color="auto"/>
        <w:left w:val="none" w:sz="0" w:space="0" w:color="auto"/>
        <w:bottom w:val="none" w:sz="0" w:space="0" w:color="auto"/>
        <w:right w:val="none" w:sz="0" w:space="0" w:color="auto"/>
      </w:divBdr>
    </w:div>
    <w:div w:id="1540705762">
      <w:bodyDiv w:val="1"/>
      <w:marLeft w:val="0"/>
      <w:marRight w:val="0"/>
      <w:marTop w:val="0"/>
      <w:marBottom w:val="0"/>
      <w:divBdr>
        <w:top w:val="none" w:sz="0" w:space="0" w:color="auto"/>
        <w:left w:val="none" w:sz="0" w:space="0" w:color="auto"/>
        <w:bottom w:val="none" w:sz="0" w:space="0" w:color="auto"/>
        <w:right w:val="none" w:sz="0" w:space="0" w:color="auto"/>
      </w:divBdr>
    </w:div>
    <w:div w:id="1567952997">
      <w:bodyDiv w:val="1"/>
      <w:marLeft w:val="0"/>
      <w:marRight w:val="0"/>
      <w:marTop w:val="0"/>
      <w:marBottom w:val="0"/>
      <w:divBdr>
        <w:top w:val="none" w:sz="0" w:space="0" w:color="auto"/>
        <w:left w:val="none" w:sz="0" w:space="0" w:color="auto"/>
        <w:bottom w:val="none" w:sz="0" w:space="0" w:color="auto"/>
        <w:right w:val="none" w:sz="0" w:space="0" w:color="auto"/>
      </w:divBdr>
      <w:divsChild>
        <w:div w:id="738865544">
          <w:marLeft w:val="0"/>
          <w:marRight w:val="0"/>
          <w:marTop w:val="0"/>
          <w:marBottom w:val="0"/>
          <w:divBdr>
            <w:top w:val="none" w:sz="0" w:space="0" w:color="auto"/>
            <w:left w:val="none" w:sz="0" w:space="0" w:color="auto"/>
            <w:bottom w:val="none" w:sz="0" w:space="0" w:color="auto"/>
            <w:right w:val="none" w:sz="0" w:space="0" w:color="auto"/>
          </w:divBdr>
        </w:div>
        <w:div w:id="974722036">
          <w:marLeft w:val="0"/>
          <w:marRight w:val="0"/>
          <w:marTop w:val="0"/>
          <w:marBottom w:val="0"/>
          <w:divBdr>
            <w:top w:val="none" w:sz="0" w:space="0" w:color="auto"/>
            <w:left w:val="none" w:sz="0" w:space="0" w:color="auto"/>
            <w:bottom w:val="none" w:sz="0" w:space="0" w:color="auto"/>
            <w:right w:val="none" w:sz="0" w:space="0" w:color="auto"/>
          </w:divBdr>
        </w:div>
        <w:div w:id="30350577">
          <w:marLeft w:val="0"/>
          <w:marRight w:val="0"/>
          <w:marTop w:val="0"/>
          <w:marBottom w:val="0"/>
          <w:divBdr>
            <w:top w:val="none" w:sz="0" w:space="0" w:color="auto"/>
            <w:left w:val="none" w:sz="0" w:space="0" w:color="auto"/>
            <w:bottom w:val="none" w:sz="0" w:space="0" w:color="auto"/>
            <w:right w:val="none" w:sz="0" w:space="0" w:color="auto"/>
          </w:divBdr>
        </w:div>
      </w:divsChild>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579902091">
      <w:bodyDiv w:val="1"/>
      <w:marLeft w:val="0"/>
      <w:marRight w:val="0"/>
      <w:marTop w:val="0"/>
      <w:marBottom w:val="0"/>
      <w:divBdr>
        <w:top w:val="none" w:sz="0" w:space="0" w:color="auto"/>
        <w:left w:val="none" w:sz="0" w:space="0" w:color="auto"/>
        <w:bottom w:val="none" w:sz="0" w:space="0" w:color="auto"/>
        <w:right w:val="none" w:sz="0" w:space="0" w:color="auto"/>
      </w:divBdr>
    </w:div>
    <w:div w:id="1597707386">
      <w:bodyDiv w:val="1"/>
      <w:marLeft w:val="0"/>
      <w:marRight w:val="0"/>
      <w:marTop w:val="0"/>
      <w:marBottom w:val="0"/>
      <w:divBdr>
        <w:top w:val="none" w:sz="0" w:space="0" w:color="auto"/>
        <w:left w:val="none" w:sz="0" w:space="0" w:color="auto"/>
        <w:bottom w:val="none" w:sz="0" w:space="0" w:color="auto"/>
        <w:right w:val="none" w:sz="0" w:space="0" w:color="auto"/>
      </w:divBdr>
      <w:divsChild>
        <w:div w:id="1006176268">
          <w:blockQuote w:val="1"/>
          <w:marLeft w:val="-1485"/>
          <w:marRight w:val="0"/>
          <w:marTop w:val="300"/>
          <w:marBottom w:val="300"/>
          <w:divBdr>
            <w:top w:val="none" w:sz="0" w:space="0" w:color="auto"/>
            <w:left w:val="none" w:sz="0" w:space="0" w:color="auto"/>
            <w:bottom w:val="none" w:sz="0" w:space="0" w:color="auto"/>
            <w:right w:val="none" w:sz="0" w:space="0" w:color="auto"/>
          </w:divBdr>
        </w:div>
      </w:divsChild>
    </w:div>
    <w:div w:id="1610510534">
      <w:bodyDiv w:val="1"/>
      <w:marLeft w:val="0"/>
      <w:marRight w:val="0"/>
      <w:marTop w:val="0"/>
      <w:marBottom w:val="0"/>
      <w:divBdr>
        <w:top w:val="none" w:sz="0" w:space="0" w:color="auto"/>
        <w:left w:val="none" w:sz="0" w:space="0" w:color="auto"/>
        <w:bottom w:val="none" w:sz="0" w:space="0" w:color="auto"/>
        <w:right w:val="none" w:sz="0" w:space="0" w:color="auto"/>
      </w:divBdr>
    </w:div>
    <w:div w:id="1616868169">
      <w:bodyDiv w:val="1"/>
      <w:marLeft w:val="0"/>
      <w:marRight w:val="0"/>
      <w:marTop w:val="0"/>
      <w:marBottom w:val="0"/>
      <w:divBdr>
        <w:top w:val="none" w:sz="0" w:space="0" w:color="auto"/>
        <w:left w:val="none" w:sz="0" w:space="0" w:color="auto"/>
        <w:bottom w:val="none" w:sz="0" w:space="0" w:color="auto"/>
        <w:right w:val="none" w:sz="0" w:space="0" w:color="auto"/>
      </w:divBdr>
    </w:div>
    <w:div w:id="1618444037">
      <w:bodyDiv w:val="1"/>
      <w:marLeft w:val="0"/>
      <w:marRight w:val="0"/>
      <w:marTop w:val="0"/>
      <w:marBottom w:val="0"/>
      <w:divBdr>
        <w:top w:val="none" w:sz="0" w:space="0" w:color="auto"/>
        <w:left w:val="none" w:sz="0" w:space="0" w:color="auto"/>
        <w:bottom w:val="none" w:sz="0" w:space="0" w:color="auto"/>
        <w:right w:val="none" w:sz="0" w:space="0" w:color="auto"/>
      </w:divBdr>
    </w:div>
    <w:div w:id="1623413342">
      <w:bodyDiv w:val="1"/>
      <w:marLeft w:val="0"/>
      <w:marRight w:val="0"/>
      <w:marTop w:val="0"/>
      <w:marBottom w:val="0"/>
      <w:divBdr>
        <w:top w:val="none" w:sz="0" w:space="0" w:color="auto"/>
        <w:left w:val="none" w:sz="0" w:space="0" w:color="auto"/>
        <w:bottom w:val="none" w:sz="0" w:space="0" w:color="auto"/>
        <w:right w:val="none" w:sz="0" w:space="0" w:color="auto"/>
      </w:divBdr>
    </w:div>
    <w:div w:id="1631934624">
      <w:bodyDiv w:val="1"/>
      <w:marLeft w:val="0"/>
      <w:marRight w:val="0"/>
      <w:marTop w:val="0"/>
      <w:marBottom w:val="0"/>
      <w:divBdr>
        <w:top w:val="none" w:sz="0" w:space="0" w:color="auto"/>
        <w:left w:val="none" w:sz="0" w:space="0" w:color="auto"/>
        <w:bottom w:val="none" w:sz="0" w:space="0" w:color="auto"/>
        <w:right w:val="none" w:sz="0" w:space="0" w:color="auto"/>
      </w:divBdr>
      <w:divsChild>
        <w:div w:id="37972859">
          <w:marLeft w:val="0"/>
          <w:marRight w:val="0"/>
          <w:marTop w:val="0"/>
          <w:marBottom w:val="0"/>
          <w:divBdr>
            <w:top w:val="none" w:sz="0" w:space="0" w:color="auto"/>
            <w:left w:val="none" w:sz="0" w:space="0" w:color="auto"/>
            <w:bottom w:val="none" w:sz="0" w:space="0" w:color="auto"/>
            <w:right w:val="none" w:sz="0" w:space="0" w:color="auto"/>
          </w:divBdr>
        </w:div>
        <w:div w:id="190560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051166">
      <w:bodyDiv w:val="1"/>
      <w:marLeft w:val="0"/>
      <w:marRight w:val="0"/>
      <w:marTop w:val="0"/>
      <w:marBottom w:val="0"/>
      <w:divBdr>
        <w:top w:val="none" w:sz="0" w:space="0" w:color="auto"/>
        <w:left w:val="none" w:sz="0" w:space="0" w:color="auto"/>
        <w:bottom w:val="none" w:sz="0" w:space="0" w:color="auto"/>
        <w:right w:val="none" w:sz="0" w:space="0" w:color="auto"/>
      </w:divBdr>
    </w:div>
    <w:div w:id="1643609868">
      <w:bodyDiv w:val="1"/>
      <w:marLeft w:val="0"/>
      <w:marRight w:val="0"/>
      <w:marTop w:val="0"/>
      <w:marBottom w:val="0"/>
      <w:divBdr>
        <w:top w:val="none" w:sz="0" w:space="0" w:color="auto"/>
        <w:left w:val="none" w:sz="0" w:space="0" w:color="auto"/>
        <w:bottom w:val="none" w:sz="0" w:space="0" w:color="auto"/>
        <w:right w:val="none" w:sz="0" w:space="0" w:color="auto"/>
      </w:divBdr>
    </w:div>
    <w:div w:id="1670281847">
      <w:bodyDiv w:val="1"/>
      <w:marLeft w:val="0"/>
      <w:marRight w:val="0"/>
      <w:marTop w:val="0"/>
      <w:marBottom w:val="0"/>
      <w:divBdr>
        <w:top w:val="none" w:sz="0" w:space="0" w:color="auto"/>
        <w:left w:val="none" w:sz="0" w:space="0" w:color="auto"/>
        <w:bottom w:val="none" w:sz="0" w:space="0" w:color="auto"/>
        <w:right w:val="none" w:sz="0" w:space="0" w:color="auto"/>
      </w:divBdr>
    </w:div>
    <w:div w:id="1690134724">
      <w:bodyDiv w:val="1"/>
      <w:marLeft w:val="0"/>
      <w:marRight w:val="0"/>
      <w:marTop w:val="0"/>
      <w:marBottom w:val="0"/>
      <w:divBdr>
        <w:top w:val="none" w:sz="0" w:space="0" w:color="auto"/>
        <w:left w:val="none" w:sz="0" w:space="0" w:color="auto"/>
        <w:bottom w:val="none" w:sz="0" w:space="0" w:color="auto"/>
        <w:right w:val="none" w:sz="0" w:space="0" w:color="auto"/>
      </w:divBdr>
    </w:div>
    <w:div w:id="1701583571">
      <w:bodyDiv w:val="1"/>
      <w:marLeft w:val="0"/>
      <w:marRight w:val="0"/>
      <w:marTop w:val="0"/>
      <w:marBottom w:val="0"/>
      <w:divBdr>
        <w:top w:val="none" w:sz="0" w:space="0" w:color="auto"/>
        <w:left w:val="none" w:sz="0" w:space="0" w:color="auto"/>
        <w:bottom w:val="none" w:sz="0" w:space="0" w:color="auto"/>
        <w:right w:val="none" w:sz="0" w:space="0" w:color="auto"/>
      </w:divBdr>
    </w:div>
    <w:div w:id="1710031300">
      <w:bodyDiv w:val="1"/>
      <w:marLeft w:val="0"/>
      <w:marRight w:val="0"/>
      <w:marTop w:val="0"/>
      <w:marBottom w:val="0"/>
      <w:divBdr>
        <w:top w:val="none" w:sz="0" w:space="0" w:color="auto"/>
        <w:left w:val="none" w:sz="0" w:space="0" w:color="auto"/>
        <w:bottom w:val="none" w:sz="0" w:space="0" w:color="auto"/>
        <w:right w:val="none" w:sz="0" w:space="0" w:color="auto"/>
      </w:divBdr>
      <w:divsChild>
        <w:div w:id="19207781">
          <w:marLeft w:val="0"/>
          <w:marRight w:val="0"/>
          <w:marTop w:val="0"/>
          <w:marBottom w:val="0"/>
          <w:divBdr>
            <w:top w:val="none" w:sz="0" w:space="0" w:color="auto"/>
            <w:left w:val="none" w:sz="0" w:space="0" w:color="auto"/>
            <w:bottom w:val="none" w:sz="0" w:space="0" w:color="auto"/>
            <w:right w:val="none" w:sz="0" w:space="0" w:color="auto"/>
          </w:divBdr>
        </w:div>
        <w:div w:id="972632774">
          <w:marLeft w:val="0"/>
          <w:marRight w:val="0"/>
          <w:marTop w:val="0"/>
          <w:marBottom w:val="0"/>
          <w:divBdr>
            <w:top w:val="none" w:sz="0" w:space="0" w:color="auto"/>
            <w:left w:val="none" w:sz="0" w:space="0" w:color="auto"/>
            <w:bottom w:val="none" w:sz="0" w:space="0" w:color="auto"/>
            <w:right w:val="none" w:sz="0" w:space="0" w:color="auto"/>
          </w:divBdr>
        </w:div>
      </w:divsChild>
    </w:div>
    <w:div w:id="1718314321">
      <w:bodyDiv w:val="1"/>
      <w:marLeft w:val="0"/>
      <w:marRight w:val="0"/>
      <w:marTop w:val="0"/>
      <w:marBottom w:val="0"/>
      <w:divBdr>
        <w:top w:val="none" w:sz="0" w:space="0" w:color="auto"/>
        <w:left w:val="none" w:sz="0" w:space="0" w:color="auto"/>
        <w:bottom w:val="none" w:sz="0" w:space="0" w:color="auto"/>
        <w:right w:val="none" w:sz="0" w:space="0" w:color="auto"/>
      </w:divBdr>
    </w:div>
    <w:div w:id="1730028581">
      <w:bodyDiv w:val="1"/>
      <w:marLeft w:val="0"/>
      <w:marRight w:val="0"/>
      <w:marTop w:val="0"/>
      <w:marBottom w:val="0"/>
      <w:divBdr>
        <w:top w:val="none" w:sz="0" w:space="0" w:color="auto"/>
        <w:left w:val="none" w:sz="0" w:space="0" w:color="auto"/>
        <w:bottom w:val="none" w:sz="0" w:space="0" w:color="auto"/>
        <w:right w:val="none" w:sz="0" w:space="0" w:color="auto"/>
      </w:divBdr>
      <w:divsChild>
        <w:div w:id="137429890">
          <w:marLeft w:val="0"/>
          <w:marRight w:val="0"/>
          <w:marTop w:val="0"/>
          <w:marBottom w:val="0"/>
          <w:divBdr>
            <w:top w:val="none" w:sz="0" w:space="0" w:color="auto"/>
            <w:left w:val="none" w:sz="0" w:space="0" w:color="auto"/>
            <w:bottom w:val="none" w:sz="0" w:space="0" w:color="auto"/>
            <w:right w:val="none" w:sz="0" w:space="0" w:color="auto"/>
          </w:divBdr>
        </w:div>
        <w:div w:id="155074281">
          <w:marLeft w:val="0"/>
          <w:marRight w:val="0"/>
          <w:marTop w:val="0"/>
          <w:marBottom w:val="0"/>
          <w:divBdr>
            <w:top w:val="none" w:sz="0" w:space="0" w:color="auto"/>
            <w:left w:val="none" w:sz="0" w:space="0" w:color="auto"/>
            <w:bottom w:val="none" w:sz="0" w:space="0" w:color="auto"/>
            <w:right w:val="none" w:sz="0" w:space="0" w:color="auto"/>
          </w:divBdr>
        </w:div>
        <w:div w:id="235211966">
          <w:marLeft w:val="0"/>
          <w:marRight w:val="0"/>
          <w:marTop w:val="0"/>
          <w:marBottom w:val="0"/>
          <w:divBdr>
            <w:top w:val="none" w:sz="0" w:space="0" w:color="auto"/>
            <w:left w:val="none" w:sz="0" w:space="0" w:color="auto"/>
            <w:bottom w:val="none" w:sz="0" w:space="0" w:color="auto"/>
            <w:right w:val="none" w:sz="0" w:space="0" w:color="auto"/>
          </w:divBdr>
        </w:div>
        <w:div w:id="671839912">
          <w:marLeft w:val="0"/>
          <w:marRight w:val="0"/>
          <w:marTop w:val="0"/>
          <w:marBottom w:val="0"/>
          <w:divBdr>
            <w:top w:val="none" w:sz="0" w:space="0" w:color="auto"/>
            <w:left w:val="none" w:sz="0" w:space="0" w:color="auto"/>
            <w:bottom w:val="none" w:sz="0" w:space="0" w:color="auto"/>
            <w:right w:val="none" w:sz="0" w:space="0" w:color="auto"/>
          </w:divBdr>
        </w:div>
        <w:div w:id="973220233">
          <w:marLeft w:val="0"/>
          <w:marRight w:val="0"/>
          <w:marTop w:val="0"/>
          <w:marBottom w:val="0"/>
          <w:divBdr>
            <w:top w:val="none" w:sz="0" w:space="0" w:color="auto"/>
            <w:left w:val="none" w:sz="0" w:space="0" w:color="auto"/>
            <w:bottom w:val="none" w:sz="0" w:space="0" w:color="auto"/>
            <w:right w:val="none" w:sz="0" w:space="0" w:color="auto"/>
          </w:divBdr>
        </w:div>
      </w:divsChild>
    </w:div>
    <w:div w:id="1737779091">
      <w:bodyDiv w:val="1"/>
      <w:marLeft w:val="0"/>
      <w:marRight w:val="0"/>
      <w:marTop w:val="0"/>
      <w:marBottom w:val="0"/>
      <w:divBdr>
        <w:top w:val="none" w:sz="0" w:space="0" w:color="auto"/>
        <w:left w:val="none" w:sz="0" w:space="0" w:color="auto"/>
        <w:bottom w:val="none" w:sz="0" w:space="0" w:color="auto"/>
        <w:right w:val="none" w:sz="0" w:space="0" w:color="auto"/>
      </w:divBdr>
      <w:divsChild>
        <w:div w:id="441075661">
          <w:marLeft w:val="0"/>
          <w:marRight w:val="0"/>
          <w:marTop w:val="0"/>
          <w:marBottom w:val="0"/>
          <w:divBdr>
            <w:top w:val="none" w:sz="0" w:space="0" w:color="auto"/>
            <w:left w:val="none" w:sz="0" w:space="0" w:color="auto"/>
            <w:bottom w:val="none" w:sz="0" w:space="0" w:color="auto"/>
            <w:right w:val="none" w:sz="0" w:space="0" w:color="auto"/>
          </w:divBdr>
        </w:div>
        <w:div w:id="1491752173">
          <w:marLeft w:val="0"/>
          <w:marRight w:val="0"/>
          <w:marTop w:val="0"/>
          <w:marBottom w:val="0"/>
          <w:divBdr>
            <w:top w:val="none" w:sz="0" w:space="0" w:color="auto"/>
            <w:left w:val="none" w:sz="0" w:space="0" w:color="auto"/>
            <w:bottom w:val="none" w:sz="0" w:space="0" w:color="auto"/>
            <w:right w:val="none" w:sz="0" w:space="0" w:color="auto"/>
          </w:divBdr>
        </w:div>
      </w:divsChild>
    </w:div>
    <w:div w:id="1741755961">
      <w:bodyDiv w:val="1"/>
      <w:marLeft w:val="0"/>
      <w:marRight w:val="0"/>
      <w:marTop w:val="0"/>
      <w:marBottom w:val="0"/>
      <w:divBdr>
        <w:top w:val="none" w:sz="0" w:space="0" w:color="auto"/>
        <w:left w:val="none" w:sz="0" w:space="0" w:color="auto"/>
        <w:bottom w:val="none" w:sz="0" w:space="0" w:color="auto"/>
        <w:right w:val="none" w:sz="0" w:space="0" w:color="auto"/>
      </w:divBdr>
      <w:divsChild>
        <w:div w:id="1743673616">
          <w:marLeft w:val="0"/>
          <w:marRight w:val="0"/>
          <w:marTop w:val="0"/>
          <w:marBottom w:val="0"/>
          <w:divBdr>
            <w:top w:val="none" w:sz="0" w:space="0" w:color="auto"/>
            <w:left w:val="none" w:sz="0" w:space="0" w:color="auto"/>
            <w:bottom w:val="none" w:sz="0" w:space="0" w:color="auto"/>
            <w:right w:val="none" w:sz="0" w:space="0" w:color="auto"/>
          </w:divBdr>
        </w:div>
      </w:divsChild>
    </w:div>
    <w:div w:id="1770543713">
      <w:bodyDiv w:val="1"/>
      <w:marLeft w:val="0"/>
      <w:marRight w:val="0"/>
      <w:marTop w:val="0"/>
      <w:marBottom w:val="0"/>
      <w:divBdr>
        <w:top w:val="none" w:sz="0" w:space="0" w:color="auto"/>
        <w:left w:val="none" w:sz="0" w:space="0" w:color="auto"/>
        <w:bottom w:val="none" w:sz="0" w:space="0" w:color="auto"/>
        <w:right w:val="none" w:sz="0" w:space="0" w:color="auto"/>
      </w:divBdr>
    </w:div>
    <w:div w:id="1777481423">
      <w:bodyDiv w:val="1"/>
      <w:marLeft w:val="0"/>
      <w:marRight w:val="0"/>
      <w:marTop w:val="0"/>
      <w:marBottom w:val="0"/>
      <w:divBdr>
        <w:top w:val="none" w:sz="0" w:space="0" w:color="auto"/>
        <w:left w:val="none" w:sz="0" w:space="0" w:color="auto"/>
        <w:bottom w:val="none" w:sz="0" w:space="0" w:color="auto"/>
        <w:right w:val="none" w:sz="0" w:space="0" w:color="auto"/>
      </w:divBdr>
    </w:div>
    <w:div w:id="1783501612">
      <w:bodyDiv w:val="1"/>
      <w:marLeft w:val="0"/>
      <w:marRight w:val="0"/>
      <w:marTop w:val="0"/>
      <w:marBottom w:val="0"/>
      <w:divBdr>
        <w:top w:val="none" w:sz="0" w:space="0" w:color="auto"/>
        <w:left w:val="none" w:sz="0" w:space="0" w:color="auto"/>
        <w:bottom w:val="none" w:sz="0" w:space="0" w:color="auto"/>
        <w:right w:val="none" w:sz="0" w:space="0" w:color="auto"/>
      </w:divBdr>
    </w:div>
    <w:div w:id="1792357723">
      <w:bodyDiv w:val="1"/>
      <w:marLeft w:val="0"/>
      <w:marRight w:val="0"/>
      <w:marTop w:val="0"/>
      <w:marBottom w:val="0"/>
      <w:divBdr>
        <w:top w:val="none" w:sz="0" w:space="0" w:color="auto"/>
        <w:left w:val="none" w:sz="0" w:space="0" w:color="auto"/>
        <w:bottom w:val="none" w:sz="0" w:space="0" w:color="auto"/>
        <w:right w:val="none" w:sz="0" w:space="0" w:color="auto"/>
      </w:divBdr>
    </w:div>
    <w:div w:id="1806003096">
      <w:bodyDiv w:val="1"/>
      <w:marLeft w:val="0"/>
      <w:marRight w:val="0"/>
      <w:marTop w:val="0"/>
      <w:marBottom w:val="0"/>
      <w:divBdr>
        <w:top w:val="none" w:sz="0" w:space="0" w:color="auto"/>
        <w:left w:val="none" w:sz="0" w:space="0" w:color="auto"/>
        <w:bottom w:val="none" w:sz="0" w:space="0" w:color="auto"/>
        <w:right w:val="none" w:sz="0" w:space="0" w:color="auto"/>
      </w:divBdr>
    </w:div>
    <w:div w:id="1806116948">
      <w:bodyDiv w:val="1"/>
      <w:marLeft w:val="0"/>
      <w:marRight w:val="0"/>
      <w:marTop w:val="0"/>
      <w:marBottom w:val="0"/>
      <w:divBdr>
        <w:top w:val="none" w:sz="0" w:space="0" w:color="auto"/>
        <w:left w:val="none" w:sz="0" w:space="0" w:color="auto"/>
        <w:bottom w:val="none" w:sz="0" w:space="0" w:color="auto"/>
        <w:right w:val="none" w:sz="0" w:space="0" w:color="auto"/>
      </w:divBdr>
    </w:div>
    <w:div w:id="1806393158">
      <w:bodyDiv w:val="1"/>
      <w:marLeft w:val="0"/>
      <w:marRight w:val="0"/>
      <w:marTop w:val="0"/>
      <w:marBottom w:val="0"/>
      <w:divBdr>
        <w:top w:val="none" w:sz="0" w:space="0" w:color="auto"/>
        <w:left w:val="none" w:sz="0" w:space="0" w:color="auto"/>
        <w:bottom w:val="none" w:sz="0" w:space="0" w:color="auto"/>
        <w:right w:val="none" w:sz="0" w:space="0" w:color="auto"/>
      </w:divBdr>
      <w:divsChild>
        <w:div w:id="809788192">
          <w:marLeft w:val="0"/>
          <w:marRight w:val="0"/>
          <w:marTop w:val="0"/>
          <w:marBottom w:val="0"/>
          <w:divBdr>
            <w:top w:val="none" w:sz="0" w:space="0" w:color="auto"/>
            <w:left w:val="none" w:sz="0" w:space="0" w:color="auto"/>
            <w:bottom w:val="none" w:sz="0" w:space="0" w:color="auto"/>
            <w:right w:val="none" w:sz="0" w:space="0" w:color="auto"/>
          </w:divBdr>
          <w:divsChild>
            <w:div w:id="1775780794">
              <w:marLeft w:val="0"/>
              <w:marRight w:val="0"/>
              <w:marTop w:val="0"/>
              <w:marBottom w:val="0"/>
              <w:divBdr>
                <w:top w:val="none" w:sz="0" w:space="0" w:color="auto"/>
                <w:left w:val="none" w:sz="0" w:space="0" w:color="auto"/>
                <w:bottom w:val="none" w:sz="0" w:space="0" w:color="auto"/>
                <w:right w:val="none" w:sz="0" w:space="0" w:color="auto"/>
              </w:divBdr>
            </w:div>
            <w:div w:id="19331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8051">
      <w:bodyDiv w:val="1"/>
      <w:marLeft w:val="0"/>
      <w:marRight w:val="0"/>
      <w:marTop w:val="0"/>
      <w:marBottom w:val="0"/>
      <w:divBdr>
        <w:top w:val="none" w:sz="0" w:space="0" w:color="auto"/>
        <w:left w:val="none" w:sz="0" w:space="0" w:color="auto"/>
        <w:bottom w:val="none" w:sz="0" w:space="0" w:color="auto"/>
        <w:right w:val="none" w:sz="0" w:space="0" w:color="auto"/>
      </w:divBdr>
    </w:div>
    <w:div w:id="1807891021">
      <w:bodyDiv w:val="1"/>
      <w:marLeft w:val="0"/>
      <w:marRight w:val="0"/>
      <w:marTop w:val="0"/>
      <w:marBottom w:val="0"/>
      <w:divBdr>
        <w:top w:val="none" w:sz="0" w:space="0" w:color="auto"/>
        <w:left w:val="none" w:sz="0" w:space="0" w:color="auto"/>
        <w:bottom w:val="none" w:sz="0" w:space="0" w:color="auto"/>
        <w:right w:val="none" w:sz="0" w:space="0" w:color="auto"/>
      </w:divBdr>
    </w:div>
    <w:div w:id="1815373467">
      <w:bodyDiv w:val="1"/>
      <w:marLeft w:val="0"/>
      <w:marRight w:val="0"/>
      <w:marTop w:val="0"/>
      <w:marBottom w:val="0"/>
      <w:divBdr>
        <w:top w:val="none" w:sz="0" w:space="0" w:color="auto"/>
        <w:left w:val="none" w:sz="0" w:space="0" w:color="auto"/>
        <w:bottom w:val="none" w:sz="0" w:space="0" w:color="auto"/>
        <w:right w:val="none" w:sz="0" w:space="0" w:color="auto"/>
      </w:divBdr>
    </w:div>
    <w:div w:id="1815416206">
      <w:bodyDiv w:val="1"/>
      <w:marLeft w:val="0"/>
      <w:marRight w:val="0"/>
      <w:marTop w:val="0"/>
      <w:marBottom w:val="0"/>
      <w:divBdr>
        <w:top w:val="none" w:sz="0" w:space="0" w:color="auto"/>
        <w:left w:val="none" w:sz="0" w:space="0" w:color="auto"/>
        <w:bottom w:val="none" w:sz="0" w:space="0" w:color="auto"/>
        <w:right w:val="none" w:sz="0" w:space="0" w:color="auto"/>
      </w:divBdr>
    </w:div>
    <w:div w:id="1815756553">
      <w:bodyDiv w:val="1"/>
      <w:marLeft w:val="0"/>
      <w:marRight w:val="0"/>
      <w:marTop w:val="0"/>
      <w:marBottom w:val="0"/>
      <w:divBdr>
        <w:top w:val="none" w:sz="0" w:space="0" w:color="auto"/>
        <w:left w:val="none" w:sz="0" w:space="0" w:color="auto"/>
        <w:bottom w:val="none" w:sz="0" w:space="0" w:color="auto"/>
        <w:right w:val="none" w:sz="0" w:space="0" w:color="auto"/>
      </w:divBdr>
    </w:div>
    <w:div w:id="1835408963">
      <w:bodyDiv w:val="1"/>
      <w:marLeft w:val="0"/>
      <w:marRight w:val="0"/>
      <w:marTop w:val="0"/>
      <w:marBottom w:val="0"/>
      <w:divBdr>
        <w:top w:val="none" w:sz="0" w:space="0" w:color="auto"/>
        <w:left w:val="none" w:sz="0" w:space="0" w:color="auto"/>
        <w:bottom w:val="none" w:sz="0" w:space="0" w:color="auto"/>
        <w:right w:val="none" w:sz="0" w:space="0" w:color="auto"/>
      </w:divBdr>
    </w:div>
    <w:div w:id="1850171375">
      <w:bodyDiv w:val="1"/>
      <w:marLeft w:val="0"/>
      <w:marRight w:val="0"/>
      <w:marTop w:val="0"/>
      <w:marBottom w:val="0"/>
      <w:divBdr>
        <w:top w:val="none" w:sz="0" w:space="0" w:color="auto"/>
        <w:left w:val="none" w:sz="0" w:space="0" w:color="auto"/>
        <w:bottom w:val="none" w:sz="0" w:space="0" w:color="auto"/>
        <w:right w:val="none" w:sz="0" w:space="0" w:color="auto"/>
      </w:divBdr>
    </w:div>
    <w:div w:id="1851142142">
      <w:bodyDiv w:val="1"/>
      <w:marLeft w:val="0"/>
      <w:marRight w:val="0"/>
      <w:marTop w:val="0"/>
      <w:marBottom w:val="0"/>
      <w:divBdr>
        <w:top w:val="none" w:sz="0" w:space="0" w:color="auto"/>
        <w:left w:val="none" w:sz="0" w:space="0" w:color="auto"/>
        <w:bottom w:val="none" w:sz="0" w:space="0" w:color="auto"/>
        <w:right w:val="none" w:sz="0" w:space="0" w:color="auto"/>
      </w:divBdr>
    </w:div>
    <w:div w:id="1856068248">
      <w:bodyDiv w:val="1"/>
      <w:marLeft w:val="0"/>
      <w:marRight w:val="0"/>
      <w:marTop w:val="0"/>
      <w:marBottom w:val="0"/>
      <w:divBdr>
        <w:top w:val="none" w:sz="0" w:space="0" w:color="auto"/>
        <w:left w:val="none" w:sz="0" w:space="0" w:color="auto"/>
        <w:bottom w:val="none" w:sz="0" w:space="0" w:color="auto"/>
        <w:right w:val="none" w:sz="0" w:space="0" w:color="auto"/>
      </w:divBdr>
      <w:divsChild>
        <w:div w:id="803432018">
          <w:marLeft w:val="446"/>
          <w:marRight w:val="0"/>
          <w:marTop w:val="0"/>
          <w:marBottom w:val="0"/>
          <w:divBdr>
            <w:top w:val="none" w:sz="0" w:space="0" w:color="auto"/>
            <w:left w:val="none" w:sz="0" w:space="0" w:color="auto"/>
            <w:bottom w:val="none" w:sz="0" w:space="0" w:color="auto"/>
            <w:right w:val="none" w:sz="0" w:space="0" w:color="auto"/>
          </w:divBdr>
        </w:div>
        <w:div w:id="1168911262">
          <w:marLeft w:val="446"/>
          <w:marRight w:val="0"/>
          <w:marTop w:val="0"/>
          <w:marBottom w:val="0"/>
          <w:divBdr>
            <w:top w:val="none" w:sz="0" w:space="0" w:color="auto"/>
            <w:left w:val="none" w:sz="0" w:space="0" w:color="auto"/>
            <w:bottom w:val="none" w:sz="0" w:space="0" w:color="auto"/>
            <w:right w:val="none" w:sz="0" w:space="0" w:color="auto"/>
          </w:divBdr>
        </w:div>
      </w:divsChild>
    </w:div>
    <w:div w:id="1875191201">
      <w:bodyDiv w:val="1"/>
      <w:marLeft w:val="0"/>
      <w:marRight w:val="0"/>
      <w:marTop w:val="0"/>
      <w:marBottom w:val="0"/>
      <w:divBdr>
        <w:top w:val="none" w:sz="0" w:space="0" w:color="auto"/>
        <w:left w:val="none" w:sz="0" w:space="0" w:color="auto"/>
        <w:bottom w:val="none" w:sz="0" w:space="0" w:color="auto"/>
        <w:right w:val="none" w:sz="0" w:space="0" w:color="auto"/>
      </w:divBdr>
    </w:div>
    <w:div w:id="1889755227">
      <w:bodyDiv w:val="1"/>
      <w:marLeft w:val="0"/>
      <w:marRight w:val="0"/>
      <w:marTop w:val="0"/>
      <w:marBottom w:val="0"/>
      <w:divBdr>
        <w:top w:val="none" w:sz="0" w:space="0" w:color="auto"/>
        <w:left w:val="none" w:sz="0" w:space="0" w:color="auto"/>
        <w:bottom w:val="none" w:sz="0" w:space="0" w:color="auto"/>
        <w:right w:val="none" w:sz="0" w:space="0" w:color="auto"/>
      </w:divBdr>
    </w:div>
    <w:div w:id="1906991082">
      <w:bodyDiv w:val="1"/>
      <w:marLeft w:val="0"/>
      <w:marRight w:val="0"/>
      <w:marTop w:val="0"/>
      <w:marBottom w:val="0"/>
      <w:divBdr>
        <w:top w:val="none" w:sz="0" w:space="0" w:color="auto"/>
        <w:left w:val="none" w:sz="0" w:space="0" w:color="auto"/>
        <w:bottom w:val="none" w:sz="0" w:space="0" w:color="auto"/>
        <w:right w:val="none" w:sz="0" w:space="0" w:color="auto"/>
      </w:divBdr>
      <w:divsChild>
        <w:div w:id="1962295253">
          <w:marLeft w:val="0"/>
          <w:marRight w:val="0"/>
          <w:marTop w:val="0"/>
          <w:marBottom w:val="0"/>
          <w:divBdr>
            <w:top w:val="none" w:sz="0" w:space="0" w:color="auto"/>
            <w:left w:val="none" w:sz="0" w:space="0" w:color="auto"/>
            <w:bottom w:val="none" w:sz="0" w:space="0" w:color="auto"/>
            <w:right w:val="none" w:sz="0" w:space="0" w:color="auto"/>
          </w:divBdr>
          <w:divsChild>
            <w:div w:id="277176310">
              <w:marLeft w:val="0"/>
              <w:marRight w:val="0"/>
              <w:marTop w:val="0"/>
              <w:marBottom w:val="0"/>
              <w:divBdr>
                <w:top w:val="none" w:sz="0" w:space="0" w:color="auto"/>
                <w:left w:val="none" w:sz="0" w:space="0" w:color="auto"/>
                <w:bottom w:val="none" w:sz="0" w:space="0" w:color="auto"/>
                <w:right w:val="none" w:sz="0" w:space="0" w:color="auto"/>
              </w:divBdr>
              <w:divsChild>
                <w:div w:id="210517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928648">
      <w:bodyDiv w:val="1"/>
      <w:marLeft w:val="0"/>
      <w:marRight w:val="0"/>
      <w:marTop w:val="0"/>
      <w:marBottom w:val="0"/>
      <w:divBdr>
        <w:top w:val="none" w:sz="0" w:space="0" w:color="auto"/>
        <w:left w:val="none" w:sz="0" w:space="0" w:color="auto"/>
        <w:bottom w:val="none" w:sz="0" w:space="0" w:color="auto"/>
        <w:right w:val="none" w:sz="0" w:space="0" w:color="auto"/>
      </w:divBdr>
    </w:div>
    <w:div w:id="1921477642">
      <w:bodyDiv w:val="1"/>
      <w:marLeft w:val="0"/>
      <w:marRight w:val="0"/>
      <w:marTop w:val="0"/>
      <w:marBottom w:val="0"/>
      <w:divBdr>
        <w:top w:val="none" w:sz="0" w:space="0" w:color="auto"/>
        <w:left w:val="none" w:sz="0" w:space="0" w:color="auto"/>
        <w:bottom w:val="none" w:sz="0" w:space="0" w:color="auto"/>
        <w:right w:val="none" w:sz="0" w:space="0" w:color="auto"/>
      </w:divBdr>
    </w:div>
    <w:div w:id="1923877308">
      <w:bodyDiv w:val="1"/>
      <w:marLeft w:val="0"/>
      <w:marRight w:val="0"/>
      <w:marTop w:val="0"/>
      <w:marBottom w:val="0"/>
      <w:divBdr>
        <w:top w:val="none" w:sz="0" w:space="0" w:color="auto"/>
        <w:left w:val="none" w:sz="0" w:space="0" w:color="auto"/>
        <w:bottom w:val="none" w:sz="0" w:space="0" w:color="auto"/>
        <w:right w:val="none" w:sz="0" w:space="0" w:color="auto"/>
      </w:divBdr>
    </w:div>
    <w:div w:id="1931311177">
      <w:bodyDiv w:val="1"/>
      <w:marLeft w:val="0"/>
      <w:marRight w:val="0"/>
      <w:marTop w:val="0"/>
      <w:marBottom w:val="0"/>
      <w:divBdr>
        <w:top w:val="none" w:sz="0" w:space="0" w:color="auto"/>
        <w:left w:val="none" w:sz="0" w:space="0" w:color="auto"/>
        <w:bottom w:val="none" w:sz="0" w:space="0" w:color="auto"/>
        <w:right w:val="none" w:sz="0" w:space="0" w:color="auto"/>
      </w:divBdr>
    </w:div>
    <w:div w:id="1936202692">
      <w:bodyDiv w:val="1"/>
      <w:marLeft w:val="0"/>
      <w:marRight w:val="0"/>
      <w:marTop w:val="0"/>
      <w:marBottom w:val="0"/>
      <w:divBdr>
        <w:top w:val="none" w:sz="0" w:space="0" w:color="auto"/>
        <w:left w:val="none" w:sz="0" w:space="0" w:color="auto"/>
        <w:bottom w:val="none" w:sz="0" w:space="0" w:color="auto"/>
        <w:right w:val="none" w:sz="0" w:space="0" w:color="auto"/>
      </w:divBdr>
    </w:div>
    <w:div w:id="1942881435">
      <w:bodyDiv w:val="1"/>
      <w:marLeft w:val="0"/>
      <w:marRight w:val="0"/>
      <w:marTop w:val="0"/>
      <w:marBottom w:val="0"/>
      <w:divBdr>
        <w:top w:val="none" w:sz="0" w:space="0" w:color="auto"/>
        <w:left w:val="none" w:sz="0" w:space="0" w:color="auto"/>
        <w:bottom w:val="none" w:sz="0" w:space="0" w:color="auto"/>
        <w:right w:val="none" w:sz="0" w:space="0" w:color="auto"/>
      </w:divBdr>
    </w:div>
    <w:div w:id="1952124959">
      <w:bodyDiv w:val="1"/>
      <w:marLeft w:val="0"/>
      <w:marRight w:val="0"/>
      <w:marTop w:val="0"/>
      <w:marBottom w:val="0"/>
      <w:divBdr>
        <w:top w:val="none" w:sz="0" w:space="0" w:color="auto"/>
        <w:left w:val="none" w:sz="0" w:space="0" w:color="auto"/>
        <w:bottom w:val="none" w:sz="0" w:space="0" w:color="auto"/>
        <w:right w:val="none" w:sz="0" w:space="0" w:color="auto"/>
      </w:divBdr>
      <w:divsChild>
        <w:div w:id="1264261041">
          <w:marLeft w:val="1166"/>
          <w:marRight w:val="0"/>
          <w:marTop w:val="115"/>
          <w:marBottom w:val="0"/>
          <w:divBdr>
            <w:top w:val="none" w:sz="0" w:space="0" w:color="auto"/>
            <w:left w:val="none" w:sz="0" w:space="0" w:color="auto"/>
            <w:bottom w:val="none" w:sz="0" w:space="0" w:color="auto"/>
            <w:right w:val="none" w:sz="0" w:space="0" w:color="auto"/>
          </w:divBdr>
        </w:div>
      </w:divsChild>
    </w:div>
    <w:div w:id="1971089296">
      <w:bodyDiv w:val="1"/>
      <w:marLeft w:val="0"/>
      <w:marRight w:val="0"/>
      <w:marTop w:val="0"/>
      <w:marBottom w:val="0"/>
      <w:divBdr>
        <w:top w:val="none" w:sz="0" w:space="0" w:color="auto"/>
        <w:left w:val="none" w:sz="0" w:space="0" w:color="auto"/>
        <w:bottom w:val="none" w:sz="0" w:space="0" w:color="auto"/>
        <w:right w:val="none" w:sz="0" w:space="0" w:color="auto"/>
      </w:divBdr>
    </w:div>
    <w:div w:id="1978752397">
      <w:bodyDiv w:val="1"/>
      <w:marLeft w:val="0"/>
      <w:marRight w:val="0"/>
      <w:marTop w:val="0"/>
      <w:marBottom w:val="0"/>
      <w:divBdr>
        <w:top w:val="none" w:sz="0" w:space="0" w:color="auto"/>
        <w:left w:val="none" w:sz="0" w:space="0" w:color="auto"/>
        <w:bottom w:val="none" w:sz="0" w:space="0" w:color="auto"/>
        <w:right w:val="none" w:sz="0" w:space="0" w:color="auto"/>
      </w:divBdr>
    </w:div>
    <w:div w:id="1986155704">
      <w:bodyDiv w:val="1"/>
      <w:marLeft w:val="0"/>
      <w:marRight w:val="0"/>
      <w:marTop w:val="0"/>
      <w:marBottom w:val="0"/>
      <w:divBdr>
        <w:top w:val="none" w:sz="0" w:space="0" w:color="auto"/>
        <w:left w:val="none" w:sz="0" w:space="0" w:color="auto"/>
        <w:bottom w:val="none" w:sz="0" w:space="0" w:color="auto"/>
        <w:right w:val="none" w:sz="0" w:space="0" w:color="auto"/>
      </w:divBdr>
    </w:div>
    <w:div w:id="2000230872">
      <w:bodyDiv w:val="1"/>
      <w:marLeft w:val="0"/>
      <w:marRight w:val="0"/>
      <w:marTop w:val="0"/>
      <w:marBottom w:val="0"/>
      <w:divBdr>
        <w:top w:val="none" w:sz="0" w:space="0" w:color="auto"/>
        <w:left w:val="none" w:sz="0" w:space="0" w:color="auto"/>
        <w:bottom w:val="none" w:sz="0" w:space="0" w:color="auto"/>
        <w:right w:val="none" w:sz="0" w:space="0" w:color="auto"/>
      </w:divBdr>
    </w:div>
    <w:div w:id="2008167221">
      <w:bodyDiv w:val="1"/>
      <w:marLeft w:val="0"/>
      <w:marRight w:val="0"/>
      <w:marTop w:val="0"/>
      <w:marBottom w:val="0"/>
      <w:divBdr>
        <w:top w:val="none" w:sz="0" w:space="0" w:color="auto"/>
        <w:left w:val="none" w:sz="0" w:space="0" w:color="auto"/>
        <w:bottom w:val="none" w:sz="0" w:space="0" w:color="auto"/>
        <w:right w:val="none" w:sz="0" w:space="0" w:color="auto"/>
      </w:divBdr>
    </w:div>
    <w:div w:id="2017031815">
      <w:bodyDiv w:val="1"/>
      <w:marLeft w:val="0"/>
      <w:marRight w:val="0"/>
      <w:marTop w:val="0"/>
      <w:marBottom w:val="0"/>
      <w:divBdr>
        <w:top w:val="none" w:sz="0" w:space="0" w:color="auto"/>
        <w:left w:val="none" w:sz="0" w:space="0" w:color="auto"/>
        <w:bottom w:val="none" w:sz="0" w:space="0" w:color="auto"/>
        <w:right w:val="none" w:sz="0" w:space="0" w:color="auto"/>
      </w:divBdr>
    </w:div>
    <w:div w:id="2017728373">
      <w:bodyDiv w:val="1"/>
      <w:marLeft w:val="0"/>
      <w:marRight w:val="0"/>
      <w:marTop w:val="0"/>
      <w:marBottom w:val="0"/>
      <w:divBdr>
        <w:top w:val="none" w:sz="0" w:space="0" w:color="auto"/>
        <w:left w:val="none" w:sz="0" w:space="0" w:color="auto"/>
        <w:bottom w:val="none" w:sz="0" w:space="0" w:color="auto"/>
        <w:right w:val="none" w:sz="0" w:space="0" w:color="auto"/>
      </w:divBdr>
    </w:div>
    <w:div w:id="2038192624">
      <w:bodyDiv w:val="1"/>
      <w:marLeft w:val="0"/>
      <w:marRight w:val="0"/>
      <w:marTop w:val="0"/>
      <w:marBottom w:val="0"/>
      <w:divBdr>
        <w:top w:val="none" w:sz="0" w:space="0" w:color="auto"/>
        <w:left w:val="none" w:sz="0" w:space="0" w:color="auto"/>
        <w:bottom w:val="none" w:sz="0" w:space="0" w:color="auto"/>
        <w:right w:val="none" w:sz="0" w:space="0" w:color="auto"/>
      </w:divBdr>
    </w:div>
    <w:div w:id="2041004963">
      <w:bodyDiv w:val="1"/>
      <w:marLeft w:val="0"/>
      <w:marRight w:val="0"/>
      <w:marTop w:val="0"/>
      <w:marBottom w:val="0"/>
      <w:divBdr>
        <w:top w:val="none" w:sz="0" w:space="0" w:color="auto"/>
        <w:left w:val="none" w:sz="0" w:space="0" w:color="auto"/>
        <w:bottom w:val="none" w:sz="0" w:space="0" w:color="auto"/>
        <w:right w:val="none" w:sz="0" w:space="0" w:color="auto"/>
      </w:divBdr>
    </w:div>
    <w:div w:id="2056848475">
      <w:bodyDiv w:val="1"/>
      <w:marLeft w:val="0"/>
      <w:marRight w:val="0"/>
      <w:marTop w:val="0"/>
      <w:marBottom w:val="0"/>
      <w:divBdr>
        <w:top w:val="none" w:sz="0" w:space="0" w:color="auto"/>
        <w:left w:val="none" w:sz="0" w:space="0" w:color="auto"/>
        <w:bottom w:val="none" w:sz="0" w:space="0" w:color="auto"/>
        <w:right w:val="none" w:sz="0" w:space="0" w:color="auto"/>
      </w:divBdr>
    </w:div>
    <w:div w:id="2081754797">
      <w:bodyDiv w:val="1"/>
      <w:marLeft w:val="0"/>
      <w:marRight w:val="0"/>
      <w:marTop w:val="0"/>
      <w:marBottom w:val="0"/>
      <w:divBdr>
        <w:top w:val="none" w:sz="0" w:space="0" w:color="auto"/>
        <w:left w:val="none" w:sz="0" w:space="0" w:color="auto"/>
        <w:bottom w:val="none" w:sz="0" w:space="0" w:color="auto"/>
        <w:right w:val="none" w:sz="0" w:space="0" w:color="auto"/>
      </w:divBdr>
    </w:div>
    <w:div w:id="2101758604">
      <w:bodyDiv w:val="1"/>
      <w:marLeft w:val="0"/>
      <w:marRight w:val="0"/>
      <w:marTop w:val="0"/>
      <w:marBottom w:val="0"/>
      <w:divBdr>
        <w:top w:val="none" w:sz="0" w:space="0" w:color="auto"/>
        <w:left w:val="none" w:sz="0" w:space="0" w:color="auto"/>
        <w:bottom w:val="none" w:sz="0" w:space="0" w:color="auto"/>
        <w:right w:val="none" w:sz="0" w:space="0" w:color="auto"/>
      </w:divBdr>
      <w:divsChild>
        <w:div w:id="644505101">
          <w:marLeft w:val="0"/>
          <w:marRight w:val="0"/>
          <w:marTop w:val="0"/>
          <w:marBottom w:val="0"/>
          <w:divBdr>
            <w:top w:val="none" w:sz="0" w:space="0" w:color="auto"/>
            <w:left w:val="none" w:sz="0" w:space="0" w:color="auto"/>
            <w:bottom w:val="none" w:sz="0" w:space="0" w:color="auto"/>
            <w:right w:val="none" w:sz="0" w:space="0" w:color="auto"/>
          </w:divBdr>
        </w:div>
        <w:div w:id="1287080458">
          <w:marLeft w:val="0"/>
          <w:marRight w:val="0"/>
          <w:marTop w:val="0"/>
          <w:marBottom w:val="0"/>
          <w:divBdr>
            <w:top w:val="none" w:sz="0" w:space="0" w:color="auto"/>
            <w:left w:val="none" w:sz="0" w:space="0" w:color="auto"/>
            <w:bottom w:val="none" w:sz="0" w:space="0" w:color="auto"/>
            <w:right w:val="none" w:sz="0" w:space="0" w:color="auto"/>
          </w:divBdr>
        </w:div>
        <w:div w:id="2027629778">
          <w:marLeft w:val="0"/>
          <w:marRight w:val="0"/>
          <w:marTop w:val="0"/>
          <w:marBottom w:val="0"/>
          <w:divBdr>
            <w:top w:val="none" w:sz="0" w:space="0" w:color="auto"/>
            <w:left w:val="none" w:sz="0" w:space="0" w:color="auto"/>
            <w:bottom w:val="none" w:sz="0" w:space="0" w:color="auto"/>
            <w:right w:val="none" w:sz="0" w:space="0" w:color="auto"/>
          </w:divBdr>
        </w:div>
      </w:divsChild>
    </w:div>
    <w:div w:id="2102872544">
      <w:bodyDiv w:val="1"/>
      <w:marLeft w:val="0"/>
      <w:marRight w:val="0"/>
      <w:marTop w:val="0"/>
      <w:marBottom w:val="0"/>
      <w:divBdr>
        <w:top w:val="none" w:sz="0" w:space="0" w:color="auto"/>
        <w:left w:val="none" w:sz="0" w:space="0" w:color="auto"/>
        <w:bottom w:val="none" w:sz="0" w:space="0" w:color="auto"/>
        <w:right w:val="none" w:sz="0" w:space="0" w:color="auto"/>
      </w:divBdr>
    </w:div>
    <w:div w:id="2110277644">
      <w:bodyDiv w:val="1"/>
      <w:marLeft w:val="0"/>
      <w:marRight w:val="0"/>
      <w:marTop w:val="0"/>
      <w:marBottom w:val="0"/>
      <w:divBdr>
        <w:top w:val="none" w:sz="0" w:space="0" w:color="auto"/>
        <w:left w:val="none" w:sz="0" w:space="0" w:color="auto"/>
        <w:bottom w:val="none" w:sz="0" w:space="0" w:color="auto"/>
        <w:right w:val="none" w:sz="0" w:space="0" w:color="auto"/>
      </w:divBdr>
    </w:div>
    <w:div w:id="2118985519">
      <w:bodyDiv w:val="1"/>
      <w:marLeft w:val="0"/>
      <w:marRight w:val="0"/>
      <w:marTop w:val="0"/>
      <w:marBottom w:val="0"/>
      <w:divBdr>
        <w:top w:val="none" w:sz="0" w:space="0" w:color="auto"/>
        <w:left w:val="none" w:sz="0" w:space="0" w:color="auto"/>
        <w:bottom w:val="none" w:sz="0" w:space="0" w:color="auto"/>
        <w:right w:val="none" w:sz="0" w:space="0" w:color="auto"/>
      </w:divBdr>
    </w:div>
    <w:div w:id="2120056184">
      <w:bodyDiv w:val="1"/>
      <w:marLeft w:val="0"/>
      <w:marRight w:val="0"/>
      <w:marTop w:val="0"/>
      <w:marBottom w:val="0"/>
      <w:divBdr>
        <w:top w:val="none" w:sz="0" w:space="0" w:color="auto"/>
        <w:left w:val="none" w:sz="0" w:space="0" w:color="auto"/>
        <w:bottom w:val="none" w:sz="0" w:space="0" w:color="auto"/>
        <w:right w:val="none" w:sz="0" w:space="0" w:color="auto"/>
      </w:divBdr>
    </w:div>
    <w:div w:id="2127767650">
      <w:bodyDiv w:val="1"/>
      <w:marLeft w:val="0"/>
      <w:marRight w:val="0"/>
      <w:marTop w:val="0"/>
      <w:marBottom w:val="0"/>
      <w:divBdr>
        <w:top w:val="none" w:sz="0" w:space="0" w:color="auto"/>
        <w:left w:val="none" w:sz="0" w:space="0" w:color="auto"/>
        <w:bottom w:val="none" w:sz="0" w:space="0" w:color="auto"/>
        <w:right w:val="none" w:sz="0" w:space="0" w:color="auto"/>
      </w:divBdr>
      <w:divsChild>
        <w:div w:id="1180437922">
          <w:marLeft w:val="0"/>
          <w:marRight w:val="0"/>
          <w:marTop w:val="0"/>
          <w:marBottom w:val="0"/>
          <w:divBdr>
            <w:top w:val="none" w:sz="0" w:space="0" w:color="auto"/>
            <w:left w:val="none" w:sz="0" w:space="0" w:color="auto"/>
            <w:bottom w:val="none" w:sz="0" w:space="0" w:color="auto"/>
            <w:right w:val="none" w:sz="0" w:space="0" w:color="auto"/>
          </w:divBdr>
        </w:div>
        <w:div w:id="26029706">
          <w:marLeft w:val="0"/>
          <w:marRight w:val="0"/>
          <w:marTop w:val="0"/>
          <w:marBottom w:val="0"/>
          <w:divBdr>
            <w:top w:val="none" w:sz="0" w:space="0" w:color="auto"/>
            <w:left w:val="none" w:sz="0" w:space="0" w:color="auto"/>
            <w:bottom w:val="none" w:sz="0" w:space="0" w:color="auto"/>
            <w:right w:val="none" w:sz="0" w:space="0" w:color="auto"/>
          </w:divBdr>
        </w:div>
      </w:divsChild>
    </w:div>
    <w:div w:id="21421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tu.int/pub/T-FG/publications.aspx?lang=en&amp;parent=T-FG-NET2030-2019-SUB.G2" TargetMode="External"/><Relationship Id="rId299" Type="http://schemas.openxmlformats.org/officeDocument/2006/relationships/hyperlink" Target="https://www.itu.int/ITU-T/recommendations/rec.aspx?id=14085" TargetMode="External"/><Relationship Id="rId21" Type="http://schemas.openxmlformats.org/officeDocument/2006/relationships/hyperlink" Target="https://www.itu.int/itu-t/recommendations/rec.aspx?rec=13933" TargetMode="External"/><Relationship Id="rId63" Type="http://schemas.openxmlformats.org/officeDocument/2006/relationships/hyperlink" Target="http://tsbtech.itu.int/" TargetMode="External"/><Relationship Id="rId159" Type="http://schemas.openxmlformats.org/officeDocument/2006/relationships/chart" Target="charts/chart1.xml"/><Relationship Id="rId324" Type="http://schemas.openxmlformats.org/officeDocument/2006/relationships/hyperlink" Target="https://www.itu.int/ITU-T/recommendations/rec.aspx?id=13949" TargetMode="External"/><Relationship Id="rId366" Type="http://schemas.openxmlformats.org/officeDocument/2006/relationships/header" Target="header1.xml"/><Relationship Id="rId170" Type="http://schemas.openxmlformats.org/officeDocument/2006/relationships/hyperlink" Target="http://www.itu.int/ITU-T/workprog" TargetMode="External"/><Relationship Id="rId226" Type="http://schemas.openxmlformats.org/officeDocument/2006/relationships/hyperlink" Target="https://www.itu.int/en/ITU-T/Workshops-and-Seminars/201910/Pages/default.aspx" TargetMode="External"/><Relationship Id="rId268" Type="http://schemas.openxmlformats.org/officeDocument/2006/relationships/hyperlink" Target="https://www.itu.int/ITU-T/recommendations/rec.aspx?id=14169" TargetMode="External"/><Relationship Id="rId32" Type="http://schemas.openxmlformats.org/officeDocument/2006/relationships/hyperlink" Target="https://www.itu.int/itu-t/recommendations/rec.aspx?rec=14092" TargetMode="External"/><Relationship Id="rId74" Type="http://schemas.openxmlformats.org/officeDocument/2006/relationships/hyperlink" Target="https://www.itu.int/itu-t/recommendations/rec.aspx?rec=13990" TargetMode="External"/><Relationship Id="rId128" Type="http://schemas.openxmlformats.org/officeDocument/2006/relationships/hyperlink" Target="http://www.itu.int/en/ITU-T/gsc/Pages/default.aspx" TargetMode="External"/><Relationship Id="rId335" Type="http://schemas.openxmlformats.org/officeDocument/2006/relationships/hyperlink" Target="https://www.itu.int/ITU-T/recommendations/rec.aspx?id=14160" TargetMode="External"/><Relationship Id="rId5" Type="http://schemas.openxmlformats.org/officeDocument/2006/relationships/numbering" Target="numbering.xml"/><Relationship Id="rId181" Type="http://schemas.openxmlformats.org/officeDocument/2006/relationships/hyperlink" Target="http://www.itu.int/ITU-T/inr/index.html" TargetMode="External"/><Relationship Id="rId237" Type="http://schemas.openxmlformats.org/officeDocument/2006/relationships/hyperlink" Target="https://www.itu.int/ITU-T/recommendations/rec.aspx?id=14111" TargetMode="External"/><Relationship Id="rId279" Type="http://schemas.openxmlformats.org/officeDocument/2006/relationships/hyperlink" Target="https://www.itu.int/ITU-T/recommendations/rec.aspx?id=14115" TargetMode="External"/><Relationship Id="rId43" Type="http://schemas.openxmlformats.org/officeDocument/2006/relationships/hyperlink" Target="https://www.itu.int/en/ITU-T/ssc/united/Pages/default.aspx" TargetMode="External"/><Relationship Id="rId139" Type="http://schemas.openxmlformats.org/officeDocument/2006/relationships/hyperlink" Target="https://www.itu.int/en/ITU-T/ssc/united/Documents/U4SSC-Snapshots/City_Snapshot_Alesund_Norway.pdf" TargetMode="External"/><Relationship Id="rId290" Type="http://schemas.openxmlformats.org/officeDocument/2006/relationships/hyperlink" Target="https://www.itu.int/ITU-T/recommendations/rec.aspx?id=14034" TargetMode="External"/><Relationship Id="rId304" Type="http://schemas.openxmlformats.org/officeDocument/2006/relationships/hyperlink" Target="https://www.itu.int/ITU-T/recommendations/rec.aspx?id=13962" TargetMode="External"/><Relationship Id="rId346" Type="http://schemas.openxmlformats.org/officeDocument/2006/relationships/hyperlink" Target="https://www.itu.int/ITU-T/recommendations/rec.aspx?id=14049" TargetMode="External"/><Relationship Id="rId85" Type="http://schemas.openxmlformats.org/officeDocument/2006/relationships/hyperlink" Target="https://www.itu.int/itu-t/recommendations/rec.aspx?rec=14103" TargetMode="External"/><Relationship Id="rId150" Type="http://schemas.openxmlformats.org/officeDocument/2006/relationships/hyperlink" Target="https://www.itu.int/en/ITU-T/extcoop/Documents/mou/GSO-ITU.pdf" TargetMode="External"/><Relationship Id="rId192" Type="http://schemas.openxmlformats.org/officeDocument/2006/relationships/hyperlink" Target="https://www.itu.int/md/S17-CL-C-0133/en" TargetMode="External"/><Relationship Id="rId206" Type="http://schemas.openxmlformats.org/officeDocument/2006/relationships/hyperlink" Target="https://extranet.itu.int/sites/irg/ava/" TargetMode="External"/><Relationship Id="rId248" Type="http://schemas.openxmlformats.org/officeDocument/2006/relationships/hyperlink" Target="https://www.itu.int/ITU-T/recommendations/rec.aspx?id=14136" TargetMode="External"/><Relationship Id="rId12" Type="http://schemas.openxmlformats.org/officeDocument/2006/relationships/hyperlink" Target="https://news.itu.int/how-jpeg-gained-emmy-fame/" TargetMode="External"/><Relationship Id="rId108" Type="http://schemas.openxmlformats.org/officeDocument/2006/relationships/hyperlink" Target="http://www.itu.int/en/ITU-T/ipr/Pages/adhoc.aspx" TargetMode="External"/><Relationship Id="rId315" Type="http://schemas.openxmlformats.org/officeDocument/2006/relationships/hyperlink" Target="https://www.itu.int/ITU-T/recommendations/rec.aspx?id=14070" TargetMode="External"/><Relationship Id="rId357" Type="http://schemas.openxmlformats.org/officeDocument/2006/relationships/hyperlink" Target="https://www.itu.int/ITU-T/recommendations/rec.aspx?id=14060" TargetMode="External"/><Relationship Id="rId54" Type="http://schemas.openxmlformats.org/officeDocument/2006/relationships/hyperlink" Target="https://www.itu.int/en/ITU-T/academia/kaleidoscope/2019/Pages/default.aspx" TargetMode="External"/><Relationship Id="rId96" Type="http://schemas.openxmlformats.org/officeDocument/2006/relationships/hyperlink" Target="https://www.itu.int/en/ITU-T/focusgroups/ai4ad/Pages/default.aspx" TargetMode="External"/><Relationship Id="rId161" Type="http://schemas.openxmlformats.org/officeDocument/2006/relationships/hyperlink" Target="https://news.itu.int/authentication-solution-for-people-with-disabilities-wins-1st-prize-at-kaleidoscope-2019/" TargetMode="External"/><Relationship Id="rId217" Type="http://schemas.openxmlformats.org/officeDocument/2006/relationships/hyperlink" Target="https://www.itu.int/en/ITU-T/Workshops-and-Seminars/gsw/201910/Pages/default.aspx" TargetMode="External"/><Relationship Id="rId259" Type="http://schemas.openxmlformats.org/officeDocument/2006/relationships/hyperlink" Target="https://www.itu.int/ITU-T/recommendations/rec.aspx?id=14102" TargetMode="External"/><Relationship Id="rId23" Type="http://schemas.openxmlformats.org/officeDocument/2006/relationships/hyperlink" Target="https://www.itu.int/itu-t/recommendations/rec.aspx?rec=14095" TargetMode="External"/><Relationship Id="rId119" Type="http://schemas.openxmlformats.org/officeDocument/2006/relationships/hyperlink" Target="https://www.thelancet.com/journals/lancet/article/PIIS0140-6736(19)30762-7/fulltext?dgcid=raven_jbs_etoc_email" TargetMode="External"/><Relationship Id="rId270" Type="http://schemas.openxmlformats.org/officeDocument/2006/relationships/hyperlink" Target="https://www.itu.int/ITU-T/recommendations/rec.aspx?id=14171" TargetMode="External"/><Relationship Id="rId326" Type="http://schemas.openxmlformats.org/officeDocument/2006/relationships/hyperlink" Target="https://www.itu.int/ITU-T/recommendations/rec.aspx?id=14151" TargetMode="External"/><Relationship Id="rId65" Type="http://schemas.openxmlformats.org/officeDocument/2006/relationships/hyperlink" Target="https://www.itu.int/itu-t/recommendations/rec.aspx?rec=14132" TargetMode="External"/><Relationship Id="rId130" Type="http://schemas.openxmlformats.org/officeDocument/2006/relationships/hyperlink" Target="http://www.itu.int/en/ITU-T/tsbdir/cto/Pages/default.aspx" TargetMode="External"/><Relationship Id="rId368" Type="http://schemas.openxmlformats.org/officeDocument/2006/relationships/fontTable" Target="fontTable.xml"/><Relationship Id="rId172" Type="http://schemas.openxmlformats.org/officeDocument/2006/relationships/hyperlink" Target="https://www.itu.int/ITU-T/aap/AAPSearch.aspx" TargetMode="External"/><Relationship Id="rId228" Type="http://schemas.openxmlformats.org/officeDocument/2006/relationships/hyperlink" Target="http://www.itu.int/pub/T-RES" TargetMode="External"/><Relationship Id="rId281" Type="http://schemas.openxmlformats.org/officeDocument/2006/relationships/hyperlink" Target="https://www.itu.int/ITU-T/recommendations/rec.aspx?id=14117" TargetMode="External"/><Relationship Id="rId337" Type="http://schemas.openxmlformats.org/officeDocument/2006/relationships/hyperlink" Target="https://www.itu.int/ITU-T/recommendations/rec.aspx?id=14125" TargetMode="External"/><Relationship Id="rId34" Type="http://schemas.openxmlformats.org/officeDocument/2006/relationships/hyperlink" Target="https://www.itu.int/itu-t/recommendations/rec.aspx?rec=14104" TargetMode="External"/><Relationship Id="rId76" Type="http://schemas.openxmlformats.org/officeDocument/2006/relationships/hyperlink" Target="https://www.itu.int/itu-t/recommendations/rec.aspx?rec=14079" TargetMode="External"/><Relationship Id="rId141" Type="http://schemas.openxmlformats.org/officeDocument/2006/relationships/hyperlink" Target="https://www.itu.int/en/ITU-T/ssc/united/Documents/U4SSC-Snapshots/City_Snapshot_Moscow_Russia.pdf" TargetMode="External"/><Relationship Id="rId7" Type="http://schemas.openxmlformats.org/officeDocument/2006/relationships/settings" Target="settings.xml"/><Relationship Id="rId183" Type="http://schemas.openxmlformats.org/officeDocument/2006/relationships/hyperlink" Target="https://www.itu.int/en/ITU-T/studygroups/com17/ict/Pages/default.aspx" TargetMode="External"/><Relationship Id="rId239" Type="http://schemas.openxmlformats.org/officeDocument/2006/relationships/hyperlink" Target="https://www.itu.int/ITU-T/recommendations/rec.aspx?id=14126" TargetMode="External"/><Relationship Id="rId250" Type="http://schemas.openxmlformats.org/officeDocument/2006/relationships/hyperlink" Target="https://www.itu.int/ITU-T/recommendations/rec.aspx?id=14105" TargetMode="External"/><Relationship Id="rId292" Type="http://schemas.openxmlformats.org/officeDocument/2006/relationships/hyperlink" Target="https://www.itu.int/ITU-T/recommendations/rec.aspx?id=14036" TargetMode="External"/><Relationship Id="rId306" Type="http://schemas.openxmlformats.org/officeDocument/2006/relationships/hyperlink" Target="https://www.itu.int/ITU-T/recommendations/rec.aspx?id=14081" TargetMode="External"/><Relationship Id="rId45" Type="http://schemas.openxmlformats.org/officeDocument/2006/relationships/hyperlink" Target="https://www.itu.int/en/ITU-T/ssc/united/Pages/city-science-case-studies.aspx" TargetMode="External"/><Relationship Id="rId87" Type="http://schemas.openxmlformats.org/officeDocument/2006/relationships/hyperlink" Target="https://www.itu.int/itu-t/recommendations/rec.aspx?rec=14042" TargetMode="External"/><Relationship Id="rId110" Type="http://schemas.openxmlformats.org/officeDocument/2006/relationships/hyperlink" Target="http://www.itu.int/en/ITU-T/publications/Pages/recs.aspx" TargetMode="External"/><Relationship Id="rId348" Type="http://schemas.openxmlformats.org/officeDocument/2006/relationships/hyperlink" Target="https://www.itu.int/ITU-T/recommendations/rec.aspx?id=14051" TargetMode="External"/><Relationship Id="rId152" Type="http://schemas.openxmlformats.org/officeDocument/2006/relationships/image" Target="media/image2.png"/><Relationship Id="rId194" Type="http://schemas.openxmlformats.org/officeDocument/2006/relationships/hyperlink" Target="https://extranet.itu.int/sites/ITU-T/" TargetMode="External"/><Relationship Id="rId208" Type="http://schemas.openxmlformats.org/officeDocument/2006/relationships/hyperlink" Target="https://extranet.itu.int/ITU-T/support/" TargetMode="External"/><Relationship Id="rId261" Type="http://schemas.openxmlformats.org/officeDocument/2006/relationships/hyperlink" Target="https://www.itu.int/ITU-T/recommendations/rec.aspx?id=14104" TargetMode="External"/><Relationship Id="rId14" Type="http://schemas.openxmlformats.org/officeDocument/2006/relationships/hyperlink" Target="https://www.itu.int/itu-t/recommendations/rec.aspx?rec=14130" TargetMode="External"/><Relationship Id="rId56" Type="http://schemas.openxmlformats.org/officeDocument/2006/relationships/hyperlink" Target="https://www.itu.int/en/journal/2019/001/Pages/default.aspx" TargetMode="External"/><Relationship Id="rId317" Type="http://schemas.openxmlformats.org/officeDocument/2006/relationships/hyperlink" Target="https://www.itu.int/ITU-T/recommendations/rec.aspx?id=14072" TargetMode="External"/><Relationship Id="rId359" Type="http://schemas.openxmlformats.org/officeDocument/2006/relationships/hyperlink" Target="https://www.itu.int/ITU-T/recommendations/rec.aspx?id=14062" TargetMode="External"/><Relationship Id="rId98" Type="http://schemas.openxmlformats.org/officeDocument/2006/relationships/hyperlink" Target="https://www.itu.int/md/meetingdoc.asp?lang=en&amp;parent=T17-SG11-191016-TD-GEN-1020" TargetMode="External"/><Relationship Id="rId121" Type="http://schemas.openxmlformats.org/officeDocument/2006/relationships/hyperlink" Target="https://www.itu.int/en/ITU-T/focusgroups/vm/Documents/FGVM-01R1.pdf" TargetMode="External"/><Relationship Id="rId163" Type="http://schemas.openxmlformats.org/officeDocument/2006/relationships/hyperlink" Target="https://www.itu.int/en/journal/2020/001/Pages/default.aspx" TargetMode="External"/><Relationship Id="rId219" Type="http://schemas.openxmlformats.org/officeDocument/2006/relationships/hyperlink" Target="https://www.itu.int/en/ITU-T/Workshops-and-Seminars/092019/Pages/default.aspx" TargetMode="External"/><Relationship Id="rId370" Type="http://schemas.openxmlformats.org/officeDocument/2006/relationships/theme" Target="theme/theme1.xml"/><Relationship Id="rId230" Type="http://schemas.openxmlformats.org/officeDocument/2006/relationships/hyperlink" Target="https://itu.int/rec/T-REC-A" TargetMode="External"/><Relationship Id="rId25" Type="http://schemas.openxmlformats.org/officeDocument/2006/relationships/hyperlink" Target="https://www.itu.int/itu-t/recommendations/rec.aspx?rec=14080" TargetMode="External"/><Relationship Id="rId67" Type="http://schemas.openxmlformats.org/officeDocument/2006/relationships/hyperlink" Target="https://www.itu.int/itu-t/recommendations/rec.aspx?rec=14131" TargetMode="External"/><Relationship Id="rId272" Type="http://schemas.openxmlformats.org/officeDocument/2006/relationships/hyperlink" Target="https://www.itu.int/ITU-T/recommendations/rec.aspx?id=14172" TargetMode="External"/><Relationship Id="rId328" Type="http://schemas.openxmlformats.org/officeDocument/2006/relationships/hyperlink" Target="https://www.itu.int/ITU-T/recommendations/rec.aspx?id=14153" TargetMode="External"/><Relationship Id="rId132" Type="http://schemas.openxmlformats.org/officeDocument/2006/relationships/hyperlink" Target="https://news.itu.int/intelligence-security-cost-efficiency-industry-executives-highlight-priorities/" TargetMode="External"/><Relationship Id="rId174" Type="http://schemas.openxmlformats.org/officeDocument/2006/relationships/hyperlink" Target="http://www.itu.int/itu-t/recommendations" TargetMode="External"/><Relationship Id="rId241" Type="http://schemas.openxmlformats.org/officeDocument/2006/relationships/hyperlink" Target="https://www.itu.int/ITU-T/recommendations/rec.aspx?id=14128" TargetMode="External"/><Relationship Id="rId15" Type="http://schemas.openxmlformats.org/officeDocument/2006/relationships/hyperlink" Target="https://www.itu.int/itu-t/recommendations/rec.aspx?rec=14131" TargetMode="External"/><Relationship Id="rId36" Type="http://schemas.openxmlformats.org/officeDocument/2006/relationships/hyperlink" Target="https://www.itu.int/itu-t/recommendations/rec.aspx?rec=14045" TargetMode="External"/><Relationship Id="rId57" Type="http://schemas.openxmlformats.org/officeDocument/2006/relationships/hyperlink" Target="https://www.itu.int/en/journal/2020/001/Pages/default.aspx" TargetMode="External"/><Relationship Id="rId262" Type="http://schemas.openxmlformats.org/officeDocument/2006/relationships/hyperlink" Target="https://www.itu.int/ITU-T/recommendations/rec.aspx?id=14162&amp;lang=en" TargetMode="External"/><Relationship Id="rId283" Type="http://schemas.openxmlformats.org/officeDocument/2006/relationships/hyperlink" Target="https://www.itu.int/ITU-T/recommendations/rec.aspx?id=14119" TargetMode="External"/><Relationship Id="rId318" Type="http://schemas.openxmlformats.org/officeDocument/2006/relationships/hyperlink" Target="https://www.itu.int/ITU-T/recommendations/rec.aspx?id=14073" TargetMode="External"/><Relationship Id="rId339" Type="http://schemas.openxmlformats.org/officeDocument/2006/relationships/hyperlink" Target="https://www.itu.int/ITU-T/recommendations/rec.aspx?id=14141" TargetMode="External"/><Relationship Id="rId78" Type="http://schemas.openxmlformats.org/officeDocument/2006/relationships/hyperlink" Target="https://www.itu.int/itu-t/recommendations/rec.aspx?rec=14082" TargetMode="External"/><Relationship Id="rId99" Type="http://schemas.openxmlformats.org/officeDocument/2006/relationships/hyperlink" Target="https://www.research.net/r/SG11-ITU-IEC-TL" TargetMode="External"/><Relationship Id="rId101" Type="http://schemas.openxmlformats.org/officeDocument/2006/relationships/hyperlink" Target="https://www.itu.int/en/ITU-T/studygroups/2013-2016/11/Pages/CASC.aspx" TargetMode="External"/><Relationship Id="rId122" Type="http://schemas.openxmlformats.org/officeDocument/2006/relationships/hyperlink" Target="https://www.itu.int/en/ITU-T/focusgroups/ai4ad" TargetMode="External"/><Relationship Id="rId143" Type="http://schemas.openxmlformats.org/officeDocument/2006/relationships/hyperlink" Target="https://www.itu.int/en/ITU-T/ssc/united/Documents/U4SSC-Snapshots/City_Snapshot_Pully_Switzerland.pdf" TargetMode="External"/><Relationship Id="rId164" Type="http://schemas.openxmlformats.org/officeDocument/2006/relationships/hyperlink" Target="https://www.itu.int/en/journal/2019/001/Pages/default.aspx" TargetMode="External"/><Relationship Id="rId185" Type="http://schemas.openxmlformats.org/officeDocument/2006/relationships/hyperlink" Target="https://www.itu.int/net4/ITU-T/search/Landing" TargetMode="External"/><Relationship Id="rId350" Type="http://schemas.openxmlformats.org/officeDocument/2006/relationships/hyperlink" Target="https://www.itu.int/ITU-T/recommendations/rec.aspx?id=14053" TargetMode="External"/><Relationship Id="rId9" Type="http://schemas.openxmlformats.org/officeDocument/2006/relationships/footnotes" Target="footnotes.xml"/><Relationship Id="rId210" Type="http://schemas.openxmlformats.org/officeDocument/2006/relationships/hyperlink" Target="https://www.itu.int/en/ITU-T/Workshops-and-Seminars/201912/Pages/default.aspx" TargetMode="External"/><Relationship Id="rId26" Type="http://schemas.openxmlformats.org/officeDocument/2006/relationships/hyperlink" Target="https://www.itu.int/itu-t/recommendations/rec.aspx?rec=14082" TargetMode="External"/><Relationship Id="rId231" Type="http://schemas.openxmlformats.org/officeDocument/2006/relationships/hyperlink" Target="https://www.itu.int/net4/wsis/sdg/" TargetMode="External"/><Relationship Id="rId252" Type="http://schemas.openxmlformats.org/officeDocument/2006/relationships/hyperlink" Target="https://www.itu.int/ITU-T/recommendations/rec.aspx?id=14112" TargetMode="External"/><Relationship Id="rId273" Type="http://schemas.openxmlformats.org/officeDocument/2006/relationships/hyperlink" Target="https://www.itu.int/ITU-T/recommendations/rec.aspx?id=13864" TargetMode="External"/><Relationship Id="rId294" Type="http://schemas.openxmlformats.org/officeDocument/2006/relationships/hyperlink" Target="https://www.itu.int/ITU-T/recommendations/rec.aspx?id=14038" TargetMode="External"/><Relationship Id="rId308" Type="http://schemas.openxmlformats.org/officeDocument/2006/relationships/hyperlink" Target="https://www.itu.int/ITU-T/recommendations/rec.aspx?id=14083" TargetMode="External"/><Relationship Id="rId329" Type="http://schemas.openxmlformats.org/officeDocument/2006/relationships/hyperlink" Target="https://www.itu.int/ITU-T/recommendations/rec.aspx?id=14154" TargetMode="External"/><Relationship Id="rId47" Type="http://schemas.openxmlformats.org/officeDocument/2006/relationships/hyperlink" Target="https://www.itu.int/en/ITU-T/ssc/united/Documents/U4SSC-Snapshots/City_Snapshot_Bizerte_Tunisia.pdf" TargetMode="External"/><Relationship Id="rId68" Type="http://schemas.openxmlformats.org/officeDocument/2006/relationships/hyperlink" Target="https://www.itu.int/itu-t/recommendations/rec.aspx?rec=14024" TargetMode="External"/><Relationship Id="rId89" Type="http://schemas.openxmlformats.org/officeDocument/2006/relationships/hyperlink" Target="https://www.itu.int/itu-t/recommendations/rec.aspx?rec=14085" TargetMode="External"/><Relationship Id="rId112" Type="http://schemas.openxmlformats.org/officeDocument/2006/relationships/hyperlink" Target="https://www.itu.int/en/ITU-T/focusgroups/qit4n/Pages/default.aspx" TargetMode="External"/><Relationship Id="rId133" Type="http://schemas.openxmlformats.org/officeDocument/2006/relationships/hyperlink" Target="http://www.itu.int/en/ITU-T/extcoop/cits/Pages/default.aspx" TargetMode="External"/><Relationship Id="rId154" Type="http://schemas.openxmlformats.org/officeDocument/2006/relationships/hyperlink" Target="https://www.itu.int/en/ITU-T/Workshops-and-Seminars/bsg/201910/Pages/default.aspx" TargetMode="External"/><Relationship Id="rId175" Type="http://schemas.openxmlformats.org/officeDocument/2006/relationships/hyperlink" Target="http://www.itu.int/net/itu-t/ls/" TargetMode="External"/><Relationship Id="rId340" Type="http://schemas.openxmlformats.org/officeDocument/2006/relationships/hyperlink" Target="https://www.itu.int/ITU-T/recommendations/rec.aspx?id=14142" TargetMode="External"/><Relationship Id="rId361" Type="http://schemas.openxmlformats.org/officeDocument/2006/relationships/hyperlink" Target="https://www.itu.int/ITU-T/recommendations/rec.aspx?id=14064" TargetMode="External"/><Relationship Id="rId196" Type="http://schemas.openxmlformats.org/officeDocument/2006/relationships/hyperlink" Target="https://extranet.itu.int/sites/itu-t/initiatives/U4SSC/" TargetMode="External"/><Relationship Id="rId200" Type="http://schemas.openxmlformats.org/officeDocument/2006/relationships/hyperlink" Target="https://extranet.itu.int/sites/itu-t/focusgroups/ai4h/" TargetMode="External"/><Relationship Id="rId16" Type="http://schemas.openxmlformats.org/officeDocument/2006/relationships/hyperlink" Target="https://www.itu.int/itu-t/recommendations/rec.aspx?rec=14024" TargetMode="External"/><Relationship Id="rId221" Type="http://schemas.openxmlformats.org/officeDocument/2006/relationships/hyperlink" Target="https://www.itu.int/en/ITU-T/climatechange/Pages/201909.aspx" TargetMode="External"/><Relationship Id="rId242" Type="http://schemas.openxmlformats.org/officeDocument/2006/relationships/hyperlink" Target="file:///C:\Users\almnini\AppData\Local\Microsoft\Windows\INetCache\Content.Outlook\PMNYBMTV\Y.3108" TargetMode="External"/><Relationship Id="rId263" Type="http://schemas.openxmlformats.org/officeDocument/2006/relationships/hyperlink" Target="https://www.itu.int/ITU-T/recommendations/rec.aspx?id=13861" TargetMode="External"/><Relationship Id="rId284" Type="http://schemas.openxmlformats.org/officeDocument/2006/relationships/hyperlink" Target="https://www.itu.int/ITU-T/recommendations/rec.aspx?id=14121" TargetMode="External"/><Relationship Id="rId319" Type="http://schemas.openxmlformats.org/officeDocument/2006/relationships/hyperlink" Target="https://www.itu.int/ITU-T/recommendations/rec.aspx?id=14074" TargetMode="External"/><Relationship Id="rId37" Type="http://schemas.openxmlformats.org/officeDocument/2006/relationships/hyperlink" Target="https://www.itu.int/itu-t/recommendations/rec.aspx?rec=14085" TargetMode="External"/><Relationship Id="rId58" Type="http://schemas.openxmlformats.org/officeDocument/2006/relationships/hyperlink" Target="https://www.itu.int/en/ITU-T/extcoop/Documents/mou/GSO-ITU.pdf" TargetMode="External"/><Relationship Id="rId79" Type="http://schemas.openxmlformats.org/officeDocument/2006/relationships/hyperlink" Target="https://www.itu.int/itu-t/recommendations/rec.aspx?rec=13962" TargetMode="External"/><Relationship Id="rId102" Type="http://schemas.openxmlformats.org/officeDocument/2006/relationships/hyperlink" Target="http://www.itu.int/net/itu-t/cdb/ConformityDB.aspx" TargetMode="External"/><Relationship Id="rId123" Type="http://schemas.openxmlformats.org/officeDocument/2006/relationships/hyperlink" Target="https://www.itu.int/en/ITU-T/focusgroups/ai4ee/Pages/default.aspx" TargetMode="External"/><Relationship Id="rId144" Type="http://schemas.openxmlformats.org/officeDocument/2006/relationships/hyperlink" Target="https://www.itu.int/en/ITU-T/ssc/united/Pages/U4SSC-IP.aspx" TargetMode="External"/><Relationship Id="rId330" Type="http://schemas.openxmlformats.org/officeDocument/2006/relationships/hyperlink" Target="https://www.itu.int/ITU-T/recommendations/rec.aspx?id=14155" TargetMode="External"/><Relationship Id="rId90" Type="http://schemas.openxmlformats.org/officeDocument/2006/relationships/hyperlink" Target="https://www.itu.int/itu-t/recommendations/rec.aspx?rec=13977" TargetMode="External"/><Relationship Id="rId165" Type="http://schemas.openxmlformats.org/officeDocument/2006/relationships/hyperlink" Target="https://www.itu.int/en/journal/2020/001/Pages/default.aspx" TargetMode="External"/><Relationship Id="rId186" Type="http://schemas.openxmlformats.org/officeDocument/2006/relationships/hyperlink" Target="http://tsbtech.itu.int/" TargetMode="External"/><Relationship Id="rId351" Type="http://schemas.openxmlformats.org/officeDocument/2006/relationships/hyperlink" Target="https://www.itu.int/ITU-T/recommendations/rec.aspx?id=14054" TargetMode="External"/><Relationship Id="rId211" Type="http://schemas.openxmlformats.org/officeDocument/2006/relationships/hyperlink" Target="https://www.itu.int/en/ITU-T/climatechange/dpm/05/Pages/default.aspx" TargetMode="External"/><Relationship Id="rId232" Type="http://schemas.openxmlformats.org/officeDocument/2006/relationships/hyperlink" Target="https://www.itu.int/ITU-T/recommendations/rec.aspx?id=14019" TargetMode="External"/><Relationship Id="rId253" Type="http://schemas.openxmlformats.org/officeDocument/2006/relationships/hyperlink" Target="https://www.itu.int/ITU-T/recommendations/rec.aspx?id=14124" TargetMode="External"/><Relationship Id="rId274" Type="http://schemas.openxmlformats.org/officeDocument/2006/relationships/hyperlink" Target="https://www.itu.int/ITU-T/recommendations/rec.aspx?id=14174" TargetMode="External"/><Relationship Id="rId295" Type="http://schemas.openxmlformats.org/officeDocument/2006/relationships/hyperlink" Target="https://www.itu.int/ITU-T/recommendations/rec.aspx?id=14047" TargetMode="External"/><Relationship Id="rId309" Type="http://schemas.openxmlformats.org/officeDocument/2006/relationships/hyperlink" Target="https://www.itu.int/ITU-T/recommendations/rec.aspx?id=14084" TargetMode="External"/><Relationship Id="rId27" Type="http://schemas.openxmlformats.org/officeDocument/2006/relationships/hyperlink" Target="https://www.itu.int/itu-t/recommendations/rec.aspx?rec=13962" TargetMode="External"/><Relationship Id="rId48" Type="http://schemas.openxmlformats.org/officeDocument/2006/relationships/hyperlink" Target="https://www.itu.int/en/ITU-T/ssc/united/Documents/U4SSC-Snapshots/City_Snapshot_Moscow_Russia.pdf" TargetMode="External"/><Relationship Id="rId69" Type="http://schemas.openxmlformats.org/officeDocument/2006/relationships/hyperlink" Target="https://www.itu.int/itu-t/recommendations/rec.aspx?rec=14107" TargetMode="External"/><Relationship Id="rId113" Type="http://schemas.openxmlformats.org/officeDocument/2006/relationships/hyperlink" Target="https://www.itu.int/en/ITU-T/focusgroups/ml5g/Pages/default.aspx" TargetMode="External"/><Relationship Id="rId134" Type="http://schemas.openxmlformats.org/officeDocument/2006/relationships/hyperlink" Target="https://www.itu.int/net4/ITU-T/landscape" TargetMode="External"/><Relationship Id="rId320" Type="http://schemas.openxmlformats.org/officeDocument/2006/relationships/hyperlink" Target="https://www.itu.int/ITU-T/recommendations/rec.aspx?id=14075" TargetMode="External"/><Relationship Id="rId80" Type="http://schemas.openxmlformats.org/officeDocument/2006/relationships/hyperlink" Target="https://www.itu.int/itu-t/recommendations/rec.aspx?rec=14083" TargetMode="External"/><Relationship Id="rId155" Type="http://schemas.openxmlformats.org/officeDocument/2006/relationships/hyperlink" Target="https://www.itu.int/en/ITU-T/Workshops-and-Seminars/bsg/20191022/Pages/default.aspx" TargetMode="External"/><Relationship Id="rId176" Type="http://schemas.openxmlformats.org/officeDocument/2006/relationships/hyperlink" Target="http://www.itu.int/ipr/" TargetMode="External"/><Relationship Id="rId197" Type="http://schemas.openxmlformats.org/officeDocument/2006/relationships/hyperlink" Target="https://extranet.itu.int/sites/itu-t/initiatives/sitwg/" TargetMode="External"/><Relationship Id="rId341" Type="http://schemas.openxmlformats.org/officeDocument/2006/relationships/hyperlink" Target="https://www.itu.int/ITU-T/recommendations/rec.aspx?id=14143" TargetMode="External"/><Relationship Id="rId362" Type="http://schemas.openxmlformats.org/officeDocument/2006/relationships/hyperlink" Target="https://www.itu.int/ITU-T/recommendations/rec.aspx?id=13851" TargetMode="External"/><Relationship Id="rId201" Type="http://schemas.openxmlformats.org/officeDocument/2006/relationships/hyperlink" Target="https://extranet.itu.int/sites/itu-t/focusgroups/vm/" TargetMode="External"/><Relationship Id="rId222" Type="http://schemas.openxmlformats.org/officeDocument/2006/relationships/hyperlink" Target="https://itu.int/en/ITU-T/Workshops-and-Seminars/ai4h/201909" TargetMode="External"/><Relationship Id="rId243" Type="http://schemas.openxmlformats.org/officeDocument/2006/relationships/hyperlink" Target="https://www.itu.int/ITU-T/recommendations/rec.aspx?id=14130" TargetMode="External"/><Relationship Id="rId264" Type="http://schemas.openxmlformats.org/officeDocument/2006/relationships/hyperlink" Target="https://www.itu.int/ITU-T/recommendations/rec.aspx?id=14165" TargetMode="External"/><Relationship Id="rId285" Type="http://schemas.openxmlformats.org/officeDocument/2006/relationships/hyperlink" Target="https://www.itu.int/ITU-T/recommendations/rec.aspx?id=14122" TargetMode="External"/><Relationship Id="rId17" Type="http://schemas.openxmlformats.org/officeDocument/2006/relationships/hyperlink" Target="https://www.itu.int/itu-t/recommendations/rec.aspx?rec=14107" TargetMode="External"/><Relationship Id="rId38" Type="http://schemas.openxmlformats.org/officeDocument/2006/relationships/hyperlink" Target="https://www.itu.int/itu-t/recommendations/rec.aspx?rec=13977" TargetMode="External"/><Relationship Id="rId59" Type="http://schemas.openxmlformats.org/officeDocument/2006/relationships/hyperlink" Target="https://news.itu.int/advancing-research-in-emerging-technologies-itu-and-zhejiang-university/" TargetMode="External"/><Relationship Id="rId103" Type="http://schemas.openxmlformats.org/officeDocument/2006/relationships/hyperlink" Target="http://www.itu.int/pub/T-TUT-IPTV-2015-H721" TargetMode="External"/><Relationship Id="rId124" Type="http://schemas.openxmlformats.org/officeDocument/2006/relationships/hyperlink" Target="https://itu.int/en/ITU-T/studygroups/2017-2020/Pages/sgla.aspx" TargetMode="External"/><Relationship Id="rId310" Type="http://schemas.openxmlformats.org/officeDocument/2006/relationships/hyperlink" Target="https://www.itu.int/ITU-T/recommendations/rec.aspx?id=14067" TargetMode="External"/><Relationship Id="rId70" Type="http://schemas.openxmlformats.org/officeDocument/2006/relationships/hyperlink" Target="https://www.itu.int/itu-t/recommendations/rec.aspx?rec=13949" TargetMode="External"/><Relationship Id="rId91" Type="http://schemas.openxmlformats.org/officeDocument/2006/relationships/hyperlink" Target="https://www.itu.int/en/ITU-T/focusgroups/ai4h/Pages/default.aspx" TargetMode="External"/><Relationship Id="rId145" Type="http://schemas.openxmlformats.org/officeDocument/2006/relationships/hyperlink" Target="https://www.itu.int/en/ITU-T/Workshops-and-Seminars/gsw/201910/Pages/default.aspx" TargetMode="External"/><Relationship Id="rId166" Type="http://schemas.openxmlformats.org/officeDocument/2006/relationships/hyperlink" Target="https://www.itu.int/en/ITU-T/academia/Pages/default.aspx" TargetMode="External"/><Relationship Id="rId187" Type="http://schemas.openxmlformats.org/officeDocument/2006/relationships/hyperlink" Target="http://itu.int/go/itu-t/rgm" TargetMode="External"/><Relationship Id="rId331" Type="http://schemas.openxmlformats.org/officeDocument/2006/relationships/hyperlink" Target="https://www.itu.int/ITU-T/recommendations/rec.aspx?id=13846" TargetMode="External"/><Relationship Id="rId352" Type="http://schemas.openxmlformats.org/officeDocument/2006/relationships/hyperlink" Target="https://www.itu.int/ITU-T/recommendations/rec.aspx?id=14055" TargetMode="External"/><Relationship Id="rId1" Type="http://schemas.openxmlformats.org/officeDocument/2006/relationships/customXml" Target="../customXml/item1.xml"/><Relationship Id="rId212" Type="http://schemas.openxmlformats.org/officeDocument/2006/relationships/hyperlink" Target="https://www.itu.int/en/ITU-T/Workshops-and-Seminars/2019101416/Pages/default.aspx" TargetMode="External"/><Relationship Id="rId233" Type="http://schemas.openxmlformats.org/officeDocument/2006/relationships/hyperlink" Target="https://www.itu.int/ITU-T/recommendations/rec.aspx?id=14024" TargetMode="External"/><Relationship Id="rId254" Type="http://schemas.openxmlformats.org/officeDocument/2006/relationships/hyperlink" Target="https://www.itu.int/ITU-T/recommendations/rec.aspx?id=14108" TargetMode="External"/><Relationship Id="rId28" Type="http://schemas.openxmlformats.org/officeDocument/2006/relationships/hyperlink" Target="https://www.itu.int/itu-t/recommendations/rec.aspx?rec=14083" TargetMode="External"/><Relationship Id="rId49" Type="http://schemas.openxmlformats.org/officeDocument/2006/relationships/hyperlink" Target="https://www.itu.int/en/ITU-T/ssc/united/Documents/U4SSC-Snapshots/City_Snapshot_Riyadh_Saudi-Arabia.pdf" TargetMode="External"/><Relationship Id="rId114" Type="http://schemas.openxmlformats.org/officeDocument/2006/relationships/hyperlink" Target="https://www.itu.int/itu-t/recommendations/rec.aspx?rec=13894" TargetMode="External"/><Relationship Id="rId275" Type="http://schemas.openxmlformats.org/officeDocument/2006/relationships/hyperlink" Target="https://www.itu.int/ITU-T/recommendations/rec.aspx?id=14175" TargetMode="External"/><Relationship Id="rId296" Type="http://schemas.openxmlformats.org/officeDocument/2006/relationships/hyperlink" Target="https://www.itu.int/ITU-T/recommendations/rec.aspx?id=14042" TargetMode="External"/><Relationship Id="rId300" Type="http://schemas.openxmlformats.org/officeDocument/2006/relationships/hyperlink" Target="https://www.itu.int/ITU-T/recommendations/rec.aspx?id=14092" TargetMode="External"/><Relationship Id="rId60" Type="http://schemas.openxmlformats.org/officeDocument/2006/relationships/hyperlink" Target="http://www.itu.int/net/itu-t/cdb/ConformityDB.aspx" TargetMode="External"/><Relationship Id="rId81" Type="http://schemas.openxmlformats.org/officeDocument/2006/relationships/hyperlink" Target="https://www.itu.int/itu-t/recommendations/rec.aspx?rec=13863" TargetMode="External"/><Relationship Id="rId135" Type="http://schemas.openxmlformats.org/officeDocument/2006/relationships/hyperlink" Target="https://www.frontiersin.org/articles/10.3389/fmars.2019.00424/full" TargetMode="External"/><Relationship Id="rId156" Type="http://schemas.openxmlformats.org/officeDocument/2006/relationships/hyperlink" Target="https://www.itu.int/en/ITU-T/gap/Documents/nss-rep-may.pdf" TargetMode="External"/><Relationship Id="rId177" Type="http://schemas.openxmlformats.org/officeDocument/2006/relationships/hyperlink" Target="http://www.itu.int/net/itu-t/cdb/ConformityDB.aspx" TargetMode="External"/><Relationship Id="rId198" Type="http://schemas.openxmlformats.org/officeDocument/2006/relationships/hyperlink" Target="https://extranet.itu.int/sites/itu-t/focusgroups/ML5G/" TargetMode="External"/><Relationship Id="rId321" Type="http://schemas.openxmlformats.org/officeDocument/2006/relationships/hyperlink" Target="https://www.itu.int/ITU-T/recommendations/rec.aspx?id=14076" TargetMode="External"/><Relationship Id="rId342" Type="http://schemas.openxmlformats.org/officeDocument/2006/relationships/hyperlink" Target="https://www.itu.int/ITU-T/recommendations/rec.aspx?id=14144" TargetMode="External"/><Relationship Id="rId363" Type="http://schemas.openxmlformats.org/officeDocument/2006/relationships/hyperlink" Target="https://www.itu.int/ITU-T/recommendations/rec.aspx?id=13852" TargetMode="External"/><Relationship Id="rId202" Type="http://schemas.openxmlformats.org/officeDocument/2006/relationships/hyperlink" Target="https://extranet.itu.int/sites/itu-t/focusgroups/ai4ee/" TargetMode="External"/><Relationship Id="rId223" Type="http://schemas.openxmlformats.org/officeDocument/2006/relationships/hyperlink" Target="https://itu.int/en/ITU-T/Workshops-and-Seminars/ai4h/201911" TargetMode="External"/><Relationship Id="rId244" Type="http://schemas.openxmlformats.org/officeDocument/2006/relationships/hyperlink" Target="https://www.itu.int/ITU-T/recommendations/rec.aspx?id=14131" TargetMode="External"/><Relationship Id="rId18" Type="http://schemas.openxmlformats.org/officeDocument/2006/relationships/hyperlink" Target="https://www.itu.int/itu-t/recommendations/rec.aspx?rec=13949" TargetMode="External"/><Relationship Id="rId39" Type="http://schemas.openxmlformats.org/officeDocument/2006/relationships/hyperlink" Target="https://www.itu.int/en/ITU-T/studygroups/2017-2020/Pages/sgla.aspx" TargetMode="External"/><Relationship Id="rId265" Type="http://schemas.openxmlformats.org/officeDocument/2006/relationships/hyperlink" Target="https://www.itu.int/ITU-T/recommendations/rec.aspx?id=14166" TargetMode="External"/><Relationship Id="rId286" Type="http://schemas.openxmlformats.org/officeDocument/2006/relationships/hyperlink" Target="https://www.itu.int/ITU-T/recommendations/rec.aspx?id=14123" TargetMode="External"/><Relationship Id="rId50" Type="http://schemas.openxmlformats.org/officeDocument/2006/relationships/hyperlink" Target="https://www.itu.int/en/ITU-T/ssc/united/Documents/U4SSC-Snapshots/City_Snapshot_Pully_Switzerland.pdf" TargetMode="External"/><Relationship Id="rId104" Type="http://schemas.openxmlformats.org/officeDocument/2006/relationships/hyperlink" Target="http://www.itu.int/pub/T-TUT-IPTV-2017-H702" TargetMode="External"/><Relationship Id="rId125" Type="http://schemas.openxmlformats.org/officeDocument/2006/relationships/hyperlink" Target="https://www.itu.int/md/T17-TSAG-190923-TD-GEN-0578" TargetMode="External"/><Relationship Id="rId146" Type="http://schemas.openxmlformats.org/officeDocument/2006/relationships/hyperlink" Target="https://news.itu.int/itu-green-standards-week-adopts-call-to-action-smart-sustainable-cities/" TargetMode="External"/><Relationship Id="rId167" Type="http://schemas.openxmlformats.org/officeDocument/2006/relationships/chart" Target="charts/chart2.xml"/><Relationship Id="rId188" Type="http://schemas.openxmlformats.org/officeDocument/2006/relationships/hyperlink" Target="http://itu.int/go/itu-t/rgm-support" TargetMode="External"/><Relationship Id="rId311" Type="http://schemas.openxmlformats.org/officeDocument/2006/relationships/hyperlink" Target="https://www.itu.int/ITU-T/recommendations/rec.aspx?id=14068" TargetMode="External"/><Relationship Id="rId332" Type="http://schemas.openxmlformats.org/officeDocument/2006/relationships/hyperlink" Target="https://www.itu.int/ITU-T/recommendations/rec.aspx?id=14157" TargetMode="External"/><Relationship Id="rId353" Type="http://schemas.openxmlformats.org/officeDocument/2006/relationships/hyperlink" Target="https://www.itu.int/ITU-T/recommendations/rec.aspx?id=14056" TargetMode="External"/><Relationship Id="rId71" Type="http://schemas.openxmlformats.org/officeDocument/2006/relationships/hyperlink" Target="https://www.itu.int/itu-t/recommendations/rec.aspx?rec=14065" TargetMode="External"/><Relationship Id="rId92" Type="http://schemas.openxmlformats.org/officeDocument/2006/relationships/hyperlink" Target="https://www.itu.int/en/ITU-T/focusgroups/ml5g/Pages/default.aspx" TargetMode="External"/><Relationship Id="rId213" Type="http://schemas.openxmlformats.org/officeDocument/2006/relationships/hyperlink" Target="https://www.itu.int/en/ITU-T/Workshops-and-Seminars/20191008/Pages/default.aspx" TargetMode="External"/><Relationship Id="rId234" Type="http://schemas.openxmlformats.org/officeDocument/2006/relationships/hyperlink" Target="https://www.itu.int/ITU-T/recommendations/rec.aspx?id=1399" TargetMode="External"/><Relationship Id="rId2" Type="http://schemas.openxmlformats.org/officeDocument/2006/relationships/customXml" Target="../customXml/item2.xml"/><Relationship Id="rId29" Type="http://schemas.openxmlformats.org/officeDocument/2006/relationships/hyperlink" Target="https://www.itu.int/itu-t/recommendations/rec.aspx?rec=13863" TargetMode="External"/><Relationship Id="rId255" Type="http://schemas.openxmlformats.org/officeDocument/2006/relationships/hyperlink" Target="https://www.itu.int/ITU-T/recommendations/rec.aspx?id=14109" TargetMode="External"/><Relationship Id="rId276" Type="http://schemas.openxmlformats.org/officeDocument/2006/relationships/hyperlink" Target="https://www.itu.int/ITU-T/recommendations/rec.aspx?id=14176" TargetMode="External"/><Relationship Id="rId297" Type="http://schemas.openxmlformats.org/officeDocument/2006/relationships/hyperlink" Target="https://www.itu.int/ITU-T/recommendations/rec.aspx?id=14043" TargetMode="External"/><Relationship Id="rId40" Type="http://schemas.openxmlformats.org/officeDocument/2006/relationships/hyperlink" Target="https://www.itu.int/en/ITU-T/Workshops-and-Seminars/201912/Pages/default.aspx" TargetMode="External"/><Relationship Id="rId115" Type="http://schemas.openxmlformats.org/officeDocument/2006/relationships/hyperlink" Target="https://www.itu.int/itu-t/recommendations/rec.aspx?rec=14100" TargetMode="External"/><Relationship Id="rId136" Type="http://schemas.openxmlformats.org/officeDocument/2006/relationships/hyperlink" Target="http://www.itu.int/en/ITU-T/ssc/united/Pages/default.aspx" TargetMode="External"/><Relationship Id="rId157" Type="http://schemas.openxmlformats.org/officeDocument/2006/relationships/hyperlink" Target="http://academy.itu.int" TargetMode="External"/><Relationship Id="rId178" Type="http://schemas.openxmlformats.org/officeDocument/2006/relationships/hyperlink" Target="http://www.itu.int/ITU-T/formal-language/index.html" TargetMode="External"/><Relationship Id="rId301" Type="http://schemas.openxmlformats.org/officeDocument/2006/relationships/hyperlink" Target="https://www.itu.int/ITU-T/recommendations/rec.aspx?id=14095" TargetMode="External"/><Relationship Id="rId322" Type="http://schemas.openxmlformats.org/officeDocument/2006/relationships/hyperlink" Target="https://www.itu.int/ITU-T/recommendations/rec.aspx?id=13875" TargetMode="External"/><Relationship Id="rId343" Type="http://schemas.openxmlformats.org/officeDocument/2006/relationships/hyperlink" Target="https://www.itu.int/ITU-T/recommendations/rec.aspx?id=14145" TargetMode="External"/><Relationship Id="rId364" Type="http://schemas.openxmlformats.org/officeDocument/2006/relationships/hyperlink" Target="https://www.itu.int/ITU-T/recommendations/rec.aspx?id=13853" TargetMode="External"/><Relationship Id="rId61" Type="http://schemas.openxmlformats.org/officeDocument/2006/relationships/hyperlink" Target="https://www.itu.int/net4/ITU-T/myworkspace/" TargetMode="External"/><Relationship Id="rId82" Type="http://schemas.openxmlformats.org/officeDocument/2006/relationships/hyperlink" Target="https://www.itu.int/itu-t/recommendations/rec.aspx?rec=13864" TargetMode="External"/><Relationship Id="rId199" Type="http://schemas.openxmlformats.org/officeDocument/2006/relationships/hyperlink" Target="https://extranet.itu.int/sites/itu-t/focusgroups/net-2030/" TargetMode="External"/><Relationship Id="rId203" Type="http://schemas.openxmlformats.org/officeDocument/2006/relationships/hyperlink" Target="https://extranet.itu.int/sites/itu-t/focusgroups/qit4n" TargetMode="External"/><Relationship Id="rId19" Type="http://schemas.openxmlformats.org/officeDocument/2006/relationships/hyperlink" Target="https://www.itu.int/itu-t/recommendations/rec.aspx?rec=14065" TargetMode="External"/><Relationship Id="rId224" Type="http://schemas.openxmlformats.org/officeDocument/2006/relationships/hyperlink" Target="https://www.itu.int/en/ITU-T/Workshops-and-Seminars/bsg/201910/Pages/default.aspx" TargetMode="External"/><Relationship Id="rId245" Type="http://schemas.openxmlformats.org/officeDocument/2006/relationships/hyperlink" Target="file:///C:\Users\almnini\AppData\Local\Microsoft\Windows\INetCache\Content.Outlook\PMNYBMTV\Y.3153" TargetMode="External"/><Relationship Id="rId266" Type="http://schemas.openxmlformats.org/officeDocument/2006/relationships/hyperlink" Target="https://www.itu.int/ITU-T/recommendations/rec.aspx?id=14167" TargetMode="External"/><Relationship Id="rId287" Type="http://schemas.openxmlformats.org/officeDocument/2006/relationships/hyperlink" Target="https://www.itu.int/ITU-T/recommendations/rec.aspx?id=14031" TargetMode="External"/><Relationship Id="rId30" Type="http://schemas.openxmlformats.org/officeDocument/2006/relationships/hyperlink" Target="https://www.itu.int/itu-t/recommendations/rec.aspx?rec=13864" TargetMode="External"/><Relationship Id="rId105" Type="http://schemas.openxmlformats.org/officeDocument/2006/relationships/hyperlink" Target="https://www.itu.int/en/irg/ava/Pages/default.aspx" TargetMode="External"/><Relationship Id="rId126" Type="http://schemas.openxmlformats.org/officeDocument/2006/relationships/hyperlink" Target="https://www.itu.int/en/ITU-T/studygroups/2017-2020/09/Pages/workshops.aspx" TargetMode="External"/><Relationship Id="rId147" Type="http://schemas.openxmlformats.org/officeDocument/2006/relationships/hyperlink" Target="https://www.itu.int/en/ITU-T/Workshops-and-Seminars/201912/Pages/default.aspx" TargetMode="External"/><Relationship Id="rId168" Type="http://schemas.openxmlformats.org/officeDocument/2006/relationships/hyperlink" Target="http://news.itu.int/" TargetMode="External"/><Relationship Id="rId312" Type="http://schemas.openxmlformats.org/officeDocument/2006/relationships/hyperlink" Target="https://www.itu.int/ITU-T/recommendations/rec.aspx?id=14069" TargetMode="External"/><Relationship Id="rId333" Type="http://schemas.openxmlformats.org/officeDocument/2006/relationships/hyperlink" Target="https://www.itu.int/ITU-T/recommendations/rec.aspx?id=14158" TargetMode="External"/><Relationship Id="rId354" Type="http://schemas.openxmlformats.org/officeDocument/2006/relationships/hyperlink" Target="https://www.itu.int/ITU-T/recommendations/rec.aspx?id=14057" TargetMode="External"/><Relationship Id="rId51" Type="http://schemas.openxmlformats.org/officeDocument/2006/relationships/hyperlink" Target="https://www.itu.int/en/ITU-T/ssc/united/Pages/U4SSC-IP.aspx" TargetMode="External"/><Relationship Id="rId72" Type="http://schemas.openxmlformats.org/officeDocument/2006/relationships/hyperlink" Target="https://www.itu.int/itu-t/recommendations/rec.aspx?rec=14160" TargetMode="External"/><Relationship Id="rId93" Type="http://schemas.openxmlformats.org/officeDocument/2006/relationships/hyperlink" Target="https://www.itu.int/en/ITU-T/focusgroups/vm/Pages/default.aspx" TargetMode="External"/><Relationship Id="rId189" Type="http://schemas.openxmlformats.org/officeDocument/2006/relationships/hyperlink" Target="http://itu.int/go/itu-t/rgm-guide" TargetMode="External"/><Relationship Id="rId3" Type="http://schemas.openxmlformats.org/officeDocument/2006/relationships/customXml" Target="../customXml/item3.xml"/><Relationship Id="rId214" Type="http://schemas.openxmlformats.org/officeDocument/2006/relationships/hyperlink" Target="https://www.itu.int/en/ITU-T/climatechange/Pages/20191014-forum.aspx" TargetMode="External"/><Relationship Id="rId235" Type="http://schemas.openxmlformats.org/officeDocument/2006/relationships/hyperlink" Target="https://www.itu.int/ITU-T/recommendations/rec.aspx?id=13086" TargetMode="External"/><Relationship Id="rId256" Type="http://schemas.openxmlformats.org/officeDocument/2006/relationships/hyperlink" Target="https://www.itu.int/ITU-T/recommendations/rec.aspx?id=14110" TargetMode="External"/><Relationship Id="rId277" Type="http://schemas.openxmlformats.org/officeDocument/2006/relationships/hyperlink" Target="https://www.itu.int/ITU-T/recommendations/rec.aspx?id=14113" TargetMode="External"/><Relationship Id="rId298" Type="http://schemas.openxmlformats.org/officeDocument/2006/relationships/hyperlink" Target="https://www.itu.int/ITU-T/recommendations/rec.aspx?id=14045" TargetMode="External"/><Relationship Id="rId116" Type="http://schemas.openxmlformats.org/officeDocument/2006/relationships/hyperlink" Target="https://www.itu.int/en/ITU-T/focusgroups/net2030/Pages/default.aspx" TargetMode="External"/><Relationship Id="rId137" Type="http://schemas.openxmlformats.org/officeDocument/2006/relationships/hyperlink" Target="https://www.itu.int/en/publications/Documents/tsb/2019-U4SSC-City-Science-Application-Framework/index.html" TargetMode="External"/><Relationship Id="rId158" Type="http://schemas.openxmlformats.org/officeDocument/2006/relationships/hyperlink" Target="https://www.itu.int/pub/T-TUT" TargetMode="External"/><Relationship Id="rId302" Type="http://schemas.openxmlformats.org/officeDocument/2006/relationships/hyperlink" Target="https://www.itu.int/ITU-T/recommendations/rec.aspx?id=13990" TargetMode="External"/><Relationship Id="rId323" Type="http://schemas.openxmlformats.org/officeDocument/2006/relationships/hyperlink" Target="https://www.itu.int/ITU-T/recommendations/rec.aspx?id=14148" TargetMode="External"/><Relationship Id="rId344" Type="http://schemas.openxmlformats.org/officeDocument/2006/relationships/hyperlink" Target="https://www.itu.int/ITU-T/recommendations/rec.aspx?id=14146" TargetMode="External"/><Relationship Id="rId20" Type="http://schemas.openxmlformats.org/officeDocument/2006/relationships/hyperlink" Target="https://www.itu.int/itu-t/recommendations/rec.aspx?rec=14160" TargetMode="External"/><Relationship Id="rId41" Type="http://schemas.openxmlformats.org/officeDocument/2006/relationships/hyperlink" Target="https://www.itu.int/en/ITU-T/extcoop/figisymposium/Pages/FIGISITWG.aspx" TargetMode="External"/><Relationship Id="rId62" Type="http://schemas.openxmlformats.org/officeDocument/2006/relationships/hyperlink" Target="https://www.itu.int/net4/ITU-T/search/Landing" TargetMode="External"/><Relationship Id="rId83" Type="http://schemas.openxmlformats.org/officeDocument/2006/relationships/hyperlink" Target="https://www.itu.int/itu-t/recommendations/rec.aspx?rec=14128" TargetMode="External"/><Relationship Id="rId179" Type="http://schemas.openxmlformats.org/officeDocument/2006/relationships/hyperlink" Target="http://www.itu.int/net/itu-t/sigdb/menu.htm" TargetMode="External"/><Relationship Id="rId365" Type="http://schemas.openxmlformats.org/officeDocument/2006/relationships/hyperlink" Target="https://www.itu.int/ITU-T/recommendations/rec.aspx?id=13854" TargetMode="External"/><Relationship Id="rId190" Type="http://schemas.openxmlformats.org/officeDocument/2006/relationships/hyperlink" Target="https://www.itu.int/net4/itu-t/nnp" TargetMode="External"/><Relationship Id="rId204" Type="http://schemas.openxmlformats.org/officeDocument/2006/relationships/hyperlink" Target="https://extranet.itu.int/sites/itu-t/focusgroups/ai4ad" TargetMode="External"/><Relationship Id="rId225" Type="http://schemas.openxmlformats.org/officeDocument/2006/relationships/hyperlink" Target="https://www.itu.int/en/ITU-T/Workshops-and-Seminars/20190903/Pages/default.aspx" TargetMode="External"/><Relationship Id="rId246" Type="http://schemas.openxmlformats.org/officeDocument/2006/relationships/hyperlink" Target="https://www.itu.int/ITU-T/recommendations/rec.aspx?id=14100" TargetMode="External"/><Relationship Id="rId267" Type="http://schemas.openxmlformats.org/officeDocument/2006/relationships/hyperlink" Target="https://www.itu.int/ITU-T/recommendations/rec.aspx?id=14168" TargetMode="External"/><Relationship Id="rId288" Type="http://schemas.openxmlformats.org/officeDocument/2006/relationships/hyperlink" Target="https://www.itu.int/ITU-T/recommendations/rec.aspx?id=14032" TargetMode="External"/><Relationship Id="rId106" Type="http://schemas.openxmlformats.org/officeDocument/2006/relationships/hyperlink" Target="https://www.itu.int/en/ITU-T/jca/ahf/Pages/default.aspx" TargetMode="External"/><Relationship Id="rId127" Type="http://schemas.openxmlformats.org/officeDocument/2006/relationships/hyperlink" Target="http://www.itu.int/en/ITU-T/gsc/Pages/meetings.aspx" TargetMode="External"/><Relationship Id="rId313" Type="http://schemas.openxmlformats.org/officeDocument/2006/relationships/hyperlink" Target="https://www.itu.int/ITU-T/recommendations/rec.aspx?id=13952" TargetMode="External"/><Relationship Id="rId10" Type="http://schemas.openxmlformats.org/officeDocument/2006/relationships/endnotes" Target="endnotes.xml"/><Relationship Id="rId31" Type="http://schemas.openxmlformats.org/officeDocument/2006/relationships/hyperlink" Target="https://www.itu.int/itu-t/recommendations/rec.aspx?rec=14128" TargetMode="External"/><Relationship Id="rId52" Type="http://schemas.openxmlformats.org/officeDocument/2006/relationships/hyperlink" Target="https://www.itu.int/fr/ITU-T/Workshops-and-Seminars/gsw/201910/Pages/default.aspx" TargetMode="External"/><Relationship Id="rId73" Type="http://schemas.openxmlformats.org/officeDocument/2006/relationships/hyperlink" Target="https://www.itu.int/itu-t/recommendations/rec.aspx?rec=13933" TargetMode="External"/><Relationship Id="rId94" Type="http://schemas.openxmlformats.org/officeDocument/2006/relationships/hyperlink" Target="https://www.itu.int/en/ITU-T/focusgroups/net2030/Pages/default.aspx" TargetMode="External"/><Relationship Id="rId148" Type="http://schemas.openxmlformats.org/officeDocument/2006/relationships/hyperlink" Target="https://www.itu.int/en/ITU-T/extcoop/figisymposium/Pages/FIGISITWG.aspx" TargetMode="External"/><Relationship Id="rId169" Type="http://schemas.openxmlformats.org/officeDocument/2006/relationships/hyperlink" Target="https://news.itu.int/category/standards/" TargetMode="External"/><Relationship Id="rId334" Type="http://schemas.openxmlformats.org/officeDocument/2006/relationships/hyperlink" Target="https://www.itu.int/ITU-T/recommendations/rec.aspx?id=14159" TargetMode="External"/><Relationship Id="rId355" Type="http://schemas.openxmlformats.org/officeDocument/2006/relationships/hyperlink" Target="https://www.itu.int/ITU-T/recommendations/rec.aspx?id=14058" TargetMode="External"/><Relationship Id="rId4" Type="http://schemas.openxmlformats.org/officeDocument/2006/relationships/customXml" Target="../customXml/item4.xml"/><Relationship Id="rId180" Type="http://schemas.openxmlformats.org/officeDocument/2006/relationships/hyperlink" Target="http://www.itu.int/ITU-R/go/terminology-database" TargetMode="External"/><Relationship Id="rId215" Type="http://schemas.openxmlformats.org/officeDocument/2006/relationships/hyperlink" Target="https://www.itu.int/en/ITU-T/climatechange/Pages/20191014-meeting.aspx" TargetMode="External"/><Relationship Id="rId236" Type="http://schemas.openxmlformats.org/officeDocument/2006/relationships/hyperlink" Target="https://www.itu.int/ITU-T/recommendations/rec.aspx?id=13977" TargetMode="External"/><Relationship Id="rId257" Type="http://schemas.openxmlformats.org/officeDocument/2006/relationships/hyperlink" Target="https://www.itu.int/ITU-T/recommendations/rec.aspx?id=14065" TargetMode="External"/><Relationship Id="rId278" Type="http://schemas.openxmlformats.org/officeDocument/2006/relationships/hyperlink" Target="https://www.itu.int/ITU-T/recommendations/rec.aspx?id=14114" TargetMode="External"/><Relationship Id="rId303" Type="http://schemas.openxmlformats.org/officeDocument/2006/relationships/hyperlink" Target="https://www.itu.int/ITU-T/recommendations/rec.aspx?id=14079&amp;lang=en" TargetMode="External"/><Relationship Id="rId42" Type="http://schemas.openxmlformats.org/officeDocument/2006/relationships/hyperlink" Target="https://www.itu.int/en/ITU-T/extcoop/figisymposium/Pages/default.aspx" TargetMode="External"/><Relationship Id="rId84" Type="http://schemas.openxmlformats.org/officeDocument/2006/relationships/hyperlink" Target="https://www.itu.int/itu-t/recommendations/rec.aspx?rec=14092" TargetMode="External"/><Relationship Id="rId138" Type="http://schemas.openxmlformats.org/officeDocument/2006/relationships/hyperlink" Target="https://www.itu.int/en/ITU-T/ssc/united/Pages/city-science-case-studies.aspx" TargetMode="External"/><Relationship Id="rId345" Type="http://schemas.openxmlformats.org/officeDocument/2006/relationships/hyperlink" Target="https://www.itu.int/ITU-T/recommendations/rec.aspx?id=14051" TargetMode="External"/><Relationship Id="rId191" Type="http://schemas.openxmlformats.org/officeDocument/2006/relationships/hyperlink" Target="http://www.itu.int/pub/T-SP-OB" TargetMode="External"/><Relationship Id="rId205" Type="http://schemas.openxmlformats.org/officeDocument/2006/relationships/hyperlink" Target="https://extranet.itu.int/sites/itu-t/jointgroups/jvds/" TargetMode="External"/><Relationship Id="rId247" Type="http://schemas.openxmlformats.org/officeDocument/2006/relationships/hyperlink" Target="https://www.itu.int/ITU-T/recommendations/rec.aspx?id=14135" TargetMode="External"/><Relationship Id="rId107" Type="http://schemas.openxmlformats.org/officeDocument/2006/relationships/hyperlink" Target="https://www.itu.int/en/ITU-T/ebusiness/Pages/mou/webinar-on-e-accessibility-for-e-business.aspx" TargetMode="External"/><Relationship Id="rId289" Type="http://schemas.openxmlformats.org/officeDocument/2006/relationships/hyperlink" Target="https://www.itu.int/ITU-T/recommendations/rec.aspx?id=14033" TargetMode="External"/><Relationship Id="rId11" Type="http://schemas.openxmlformats.org/officeDocument/2006/relationships/image" Target="media/image1.gif"/><Relationship Id="rId53" Type="http://schemas.openxmlformats.org/officeDocument/2006/relationships/hyperlink" Target="https://news.itu.int/itu-green-standards-week-adopts-call-to-action-smart-sustainable-cities/" TargetMode="External"/><Relationship Id="rId149" Type="http://schemas.openxmlformats.org/officeDocument/2006/relationships/hyperlink" Target="https://news.itu.int/advancing-research-in-emerging-technologies-itu-and-zhejiang-university/" TargetMode="External"/><Relationship Id="rId314" Type="http://schemas.openxmlformats.org/officeDocument/2006/relationships/hyperlink" Target="https://www.itu.int/ITU-T/recommendations/rec.aspx?id=13953" TargetMode="External"/><Relationship Id="rId356" Type="http://schemas.openxmlformats.org/officeDocument/2006/relationships/hyperlink" Target="https://www.itu.int/ITU-T/recommendations/rec.aspx?id=14059" TargetMode="External"/><Relationship Id="rId95" Type="http://schemas.openxmlformats.org/officeDocument/2006/relationships/hyperlink" Target="https://www.itu.int/en/ITU-T/focusgroups/ai4ee/Pages/default.aspx" TargetMode="External"/><Relationship Id="rId160" Type="http://schemas.openxmlformats.org/officeDocument/2006/relationships/hyperlink" Target="https://www.itu.int/en/ITU-T/academia/kaleidoscope/2019/Pages/default.aspx" TargetMode="External"/><Relationship Id="rId216" Type="http://schemas.openxmlformats.org/officeDocument/2006/relationships/hyperlink" Target="https://www.itu.int/en/ITU-T/Workshops-and-Seminars/201911/Pages/default.aspx" TargetMode="External"/><Relationship Id="rId258" Type="http://schemas.openxmlformats.org/officeDocument/2006/relationships/hyperlink" Target="https://www.itu.int/ITU-T/recommendations/rec.aspx?id=14101" TargetMode="External"/><Relationship Id="rId22" Type="http://schemas.openxmlformats.org/officeDocument/2006/relationships/hyperlink" Target="https://www.itu.int/itu-t/recommendations/rec.aspx?rec=13990" TargetMode="External"/><Relationship Id="rId64" Type="http://schemas.openxmlformats.org/officeDocument/2006/relationships/hyperlink" Target="https://www.itu.int/en/ITU-T/studygroups/Pages/default.aspx" TargetMode="External"/><Relationship Id="rId118" Type="http://schemas.openxmlformats.org/officeDocument/2006/relationships/hyperlink" Target="https://www.itu.int/en/ITU-T/focusgroups/ai4h" TargetMode="External"/><Relationship Id="rId325" Type="http://schemas.openxmlformats.org/officeDocument/2006/relationships/hyperlink" Target="https://www.itu.int/ITU-T/recommendations/rec.aspx?id=14150" TargetMode="External"/><Relationship Id="rId367" Type="http://schemas.openxmlformats.org/officeDocument/2006/relationships/footer" Target="footer1.xml"/><Relationship Id="rId171" Type="http://schemas.openxmlformats.org/officeDocument/2006/relationships/hyperlink" Target="https://www.itu.int/en/ITU-T/extcoop/Pages/sdo.aspx" TargetMode="External"/><Relationship Id="rId227" Type="http://schemas.openxmlformats.org/officeDocument/2006/relationships/hyperlink" Target="https://www.itu.int/en/ITU-T/academia/kaleidoscope/2019/Pages/default.aspx" TargetMode="External"/><Relationship Id="rId269" Type="http://schemas.openxmlformats.org/officeDocument/2006/relationships/hyperlink" Target="https://www.itu.int/ITU-T/recommendations/rec.aspx?id=14170" TargetMode="External"/><Relationship Id="rId33" Type="http://schemas.openxmlformats.org/officeDocument/2006/relationships/hyperlink" Target="https://www.itu.int/itu-t/recommendations/rec.aspx?rec=14103" TargetMode="External"/><Relationship Id="rId129" Type="http://schemas.openxmlformats.org/officeDocument/2006/relationships/hyperlink" Target="https://joinup.ec.europa.eu/collection/rolling-plan-ict-standardisation/rolling-plan-2019" TargetMode="External"/><Relationship Id="rId280" Type="http://schemas.openxmlformats.org/officeDocument/2006/relationships/hyperlink" Target="https://www.itu.int/ITU-T/recommendations/rec.aspx?id=14116" TargetMode="External"/><Relationship Id="rId336" Type="http://schemas.openxmlformats.org/officeDocument/2006/relationships/hyperlink" Target="https://www.itu.int/ITU-T/recommendations/rec.aspx?id=13933" TargetMode="External"/><Relationship Id="rId75" Type="http://schemas.openxmlformats.org/officeDocument/2006/relationships/hyperlink" Target="https://www.itu.int/itu-t/recommendations/rec.aspx?rec=14095" TargetMode="External"/><Relationship Id="rId140" Type="http://schemas.openxmlformats.org/officeDocument/2006/relationships/hyperlink" Target="https://www.itu.int/en/ITU-T/ssc/united/Documents/U4SSC-Snapshots/City_Snapshot_Bizerte_Tunisia.pdf" TargetMode="External"/><Relationship Id="rId182" Type="http://schemas.openxmlformats.org/officeDocument/2006/relationships/hyperlink" Target="https://www.itu.int/net4/ITU-T/landscape" TargetMode="External"/><Relationship Id="rId6" Type="http://schemas.openxmlformats.org/officeDocument/2006/relationships/styles" Target="styles.xml"/><Relationship Id="rId238" Type="http://schemas.openxmlformats.org/officeDocument/2006/relationships/hyperlink" Target="https://www.itu.int/ITU-T/recommendations/rec.aspx?id=14147" TargetMode="External"/><Relationship Id="rId291" Type="http://schemas.openxmlformats.org/officeDocument/2006/relationships/hyperlink" Target="https://www.itu.int/ITU-T/recommendations/rec.aspx?id=14035" TargetMode="External"/><Relationship Id="rId305" Type="http://schemas.openxmlformats.org/officeDocument/2006/relationships/hyperlink" Target="https://www.itu.int/ITU-T/recommendations/rec.aspx?id=14080" TargetMode="External"/><Relationship Id="rId347" Type="http://schemas.openxmlformats.org/officeDocument/2006/relationships/hyperlink" Target="https://www.itu.int/ITU-T/recommendations/rec.aspx?id=14050" TargetMode="External"/><Relationship Id="rId44" Type="http://schemas.openxmlformats.org/officeDocument/2006/relationships/hyperlink" Target="https://www.itu.int/en/publications/Documents/tsb/2019-U4SSC-City-Science-Application-Framework/index.html" TargetMode="External"/><Relationship Id="rId86" Type="http://schemas.openxmlformats.org/officeDocument/2006/relationships/hyperlink" Target="https://www.itu.int/itu-t/recommendations/rec.aspx?rec=14104" TargetMode="External"/><Relationship Id="rId151" Type="http://schemas.openxmlformats.org/officeDocument/2006/relationships/hyperlink" Target="https://www.itu.int/en/ITU-T/extcoop/Pages/mou.aspx" TargetMode="External"/><Relationship Id="rId193" Type="http://schemas.openxmlformats.org/officeDocument/2006/relationships/hyperlink" Target="https://www.itu.int/md/S17-CL-C-0134/en" TargetMode="External"/><Relationship Id="rId207" Type="http://schemas.openxmlformats.org/officeDocument/2006/relationships/hyperlink" Target="https://extranet.itu.int/sites/itu-t/studygroups/2017-2020/sg11/casc/" TargetMode="External"/><Relationship Id="rId249" Type="http://schemas.openxmlformats.org/officeDocument/2006/relationships/hyperlink" Target="https://www.itu.int/ITU-T/recommendations/rec.aspx?id=14137" TargetMode="External"/><Relationship Id="rId13" Type="http://schemas.openxmlformats.org/officeDocument/2006/relationships/hyperlink" Target="https://www.itu.int/itu-t/recommendations/rec.aspx?rec=14132" TargetMode="External"/><Relationship Id="rId109" Type="http://schemas.openxmlformats.org/officeDocument/2006/relationships/hyperlink" Target="http://www.itu.int/en/ITU-T/ipr/Pages/revpatent.aspx" TargetMode="External"/><Relationship Id="rId260" Type="http://schemas.openxmlformats.org/officeDocument/2006/relationships/hyperlink" Target="https://www.itu.int/ITU-T/recommendations/rec.aspx?id=14103" TargetMode="External"/><Relationship Id="rId316" Type="http://schemas.openxmlformats.org/officeDocument/2006/relationships/hyperlink" Target="https://www.itu.int/ITU-T/recommendations/rec.aspx?id=14071" TargetMode="External"/><Relationship Id="rId55" Type="http://schemas.openxmlformats.org/officeDocument/2006/relationships/hyperlink" Target="https://news.itu.int/authentication-solution-for-people-with-disabilities-wins-1st-prize-at-kaleidoscope-2019/" TargetMode="External"/><Relationship Id="rId97" Type="http://schemas.openxmlformats.org/officeDocument/2006/relationships/hyperlink" Target="https://www.itu.int/en/ITU-T/focusgroups/qit4n/Pages/default.aspx" TargetMode="External"/><Relationship Id="rId120" Type="http://schemas.openxmlformats.org/officeDocument/2006/relationships/hyperlink" Target="https://www.itu.int/en/ITU-T/focusgroups/vm/Pages/default.aspx" TargetMode="External"/><Relationship Id="rId358" Type="http://schemas.openxmlformats.org/officeDocument/2006/relationships/hyperlink" Target="https://www.itu.int/ITU-T/recommendations/rec.aspx?id=14061" TargetMode="External"/><Relationship Id="rId162" Type="http://schemas.openxmlformats.org/officeDocument/2006/relationships/hyperlink" Target="https://www.itu.int/en/journal/2019/001/Pages/default.aspx" TargetMode="External"/><Relationship Id="rId218" Type="http://schemas.openxmlformats.org/officeDocument/2006/relationships/hyperlink" Target="https://www.itu.int/en/ITU-T/focusgroups/vm/Pages/11-9_wsp.aspx" TargetMode="External"/><Relationship Id="rId271" Type="http://schemas.openxmlformats.org/officeDocument/2006/relationships/hyperlink" Target="https://www.itu.int/ITU-T/recommendations/rec.aspx?id=13863" TargetMode="External"/><Relationship Id="rId24" Type="http://schemas.openxmlformats.org/officeDocument/2006/relationships/hyperlink" Target="https://www.itu.int/itu-t/recommendations/rec.aspx?rec=14079" TargetMode="External"/><Relationship Id="rId66" Type="http://schemas.openxmlformats.org/officeDocument/2006/relationships/hyperlink" Target="https://www.itu.int/itu-t/recommendations/rec.aspx?rec=14130" TargetMode="External"/><Relationship Id="rId131" Type="http://schemas.openxmlformats.org/officeDocument/2006/relationships/hyperlink" Target="https://news.itu.int/5g-dominates-debate-at-cto-meeting-in-budapest/" TargetMode="External"/><Relationship Id="rId327" Type="http://schemas.openxmlformats.org/officeDocument/2006/relationships/hyperlink" Target="https://www.itu.int/ITU-T/recommendations/rec.aspx?id=14152" TargetMode="External"/><Relationship Id="rId369" Type="http://schemas.openxmlformats.org/officeDocument/2006/relationships/glossaryDocument" Target="glossary/document.xml"/><Relationship Id="rId173" Type="http://schemas.openxmlformats.org/officeDocument/2006/relationships/hyperlink" Target="https://www.itu.int/net/ITU-T/lists/t-approval.aspx" TargetMode="External"/><Relationship Id="rId229" Type="http://schemas.openxmlformats.org/officeDocument/2006/relationships/hyperlink" Target="https://www.itu.int/md/T17-TSAG-200210-TD-GEN-0657" TargetMode="External"/><Relationship Id="rId240" Type="http://schemas.openxmlformats.org/officeDocument/2006/relationships/hyperlink" Target="https://www.itu.int/ITU-T/recommendations/rec.aspx?id=14127" TargetMode="External"/><Relationship Id="rId35" Type="http://schemas.openxmlformats.org/officeDocument/2006/relationships/hyperlink" Target="https://www.itu.int/itu-t/recommendations/rec.aspx?rec=14042" TargetMode="External"/><Relationship Id="rId77" Type="http://schemas.openxmlformats.org/officeDocument/2006/relationships/hyperlink" Target="https://www.itu.int/itu-t/recommendations/rec.aspx?rec=14080" TargetMode="External"/><Relationship Id="rId100" Type="http://schemas.openxmlformats.org/officeDocument/2006/relationships/hyperlink" Target="https://www.itu.int/md/T17-TSB-CIR-0208/en" TargetMode="External"/><Relationship Id="rId282" Type="http://schemas.openxmlformats.org/officeDocument/2006/relationships/hyperlink" Target="https://www.itu.int/ITU-T/recommendations/rec.aspx?id=14118" TargetMode="External"/><Relationship Id="rId338" Type="http://schemas.openxmlformats.org/officeDocument/2006/relationships/hyperlink" Target="https://www.itu.int/en/ITU-T/studygroups/2017-2020/11/Documents/Guideline_CASC_EXP_RP-10-2019.pdf" TargetMode="External"/><Relationship Id="rId8" Type="http://schemas.openxmlformats.org/officeDocument/2006/relationships/webSettings" Target="webSettings.xml"/><Relationship Id="rId142" Type="http://schemas.openxmlformats.org/officeDocument/2006/relationships/hyperlink" Target="https://www.itu.int/en/ITU-T/ssc/united/Documents/U4SSC-Snapshots/City_Snapshot_Riyadh_Saudi-Arabia.pdf" TargetMode="External"/><Relationship Id="rId184" Type="http://schemas.openxmlformats.org/officeDocument/2006/relationships/hyperlink" Target="https://www.itu.int/net4/ITU-T/myworkspace/" TargetMode="External"/><Relationship Id="rId251" Type="http://schemas.openxmlformats.org/officeDocument/2006/relationships/hyperlink" Target="https://www.itu.int/ITU-T/recommendations/rec.aspx?id=14107" TargetMode="External"/><Relationship Id="rId46" Type="http://schemas.openxmlformats.org/officeDocument/2006/relationships/hyperlink" Target="https://www.itu.int/en/ITU-T/ssc/united/Documents/U4SSC-Snapshots/City_Snapshot_Alesund_Norway.pdf" TargetMode="External"/><Relationship Id="rId293" Type="http://schemas.openxmlformats.org/officeDocument/2006/relationships/hyperlink" Target="https://www.itu.int/ITU-T/recommendations/rec.aspx?id=14037" TargetMode="External"/><Relationship Id="rId307" Type="http://schemas.openxmlformats.org/officeDocument/2006/relationships/hyperlink" Target="https://www.itu.int/ITU-T/recommendations/rec.aspx?id=14082" TargetMode="External"/><Relationship Id="rId349" Type="http://schemas.openxmlformats.org/officeDocument/2006/relationships/hyperlink" Target="https://www.itu.int/ITU-T/recommendations/rec.aspx?id=14052" TargetMode="External"/><Relationship Id="rId88" Type="http://schemas.openxmlformats.org/officeDocument/2006/relationships/hyperlink" Target="https://www.itu.int/itu-t/recommendations/rec.aspx?rec=14045" TargetMode="External"/><Relationship Id="rId111" Type="http://schemas.openxmlformats.org/officeDocument/2006/relationships/hyperlink" Target="https://itu.int/en/ITU-T/ipr/Pages/adhoc.aspx" TargetMode="External"/><Relationship Id="rId153" Type="http://schemas.openxmlformats.org/officeDocument/2006/relationships/hyperlink" Target="http://atu-uat.org/7-11-oct-2019/" TargetMode="External"/><Relationship Id="rId195" Type="http://schemas.openxmlformats.org/officeDocument/2006/relationships/hyperlink" Target="https://extranet.itu.int/sites/itu-t/studygroups/2017-2020" TargetMode="External"/><Relationship Id="rId209" Type="http://schemas.openxmlformats.org/officeDocument/2006/relationships/chart" Target="charts/chart3.xml"/><Relationship Id="rId360" Type="http://schemas.openxmlformats.org/officeDocument/2006/relationships/hyperlink" Target="https://www.itu.int/ITU-T/recommendations/rec.aspx?id=14063" TargetMode="External"/><Relationship Id="rId220" Type="http://schemas.openxmlformats.org/officeDocument/2006/relationships/hyperlink" Target="https://www.itu.int/en/ITU-T/Workshops-and-Seminars/201909/Pages/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ItutBasic-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cabreraa\Documents\Editing,%20Publication,%20Documents%20Unit\Unit%20Stats\TSAG%20report%20stat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lue\dfs\tsb\EDH\Remote%20Participation\2019\Statistics\Emeeting%20Stats%20yearly%202017-2019%20November%20V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Sheet1!$B$1</c:f>
              <c:strCache>
                <c:ptCount val="1"/>
                <c:pt idx="0">
                  <c:v>Sector Members</c:v>
                </c:pt>
              </c:strCache>
            </c:strRef>
          </c:tx>
          <c:spPr>
            <a:ln w="28575" cap="rnd">
              <a:solidFill>
                <a:schemeClr val="accent1"/>
              </a:solidFill>
              <a:round/>
            </a:ln>
            <a:effectLst/>
          </c:spPr>
          <c:marker>
            <c:symbol val="none"/>
          </c:marker>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Sheet1!$B$2:$B$15</c:f>
              <c:numCache>
                <c:formatCode>General</c:formatCode>
                <c:ptCount val="14"/>
                <c:pt idx="0">
                  <c:v>344</c:v>
                </c:pt>
                <c:pt idx="1">
                  <c:v>314</c:v>
                </c:pt>
                <c:pt idx="2">
                  <c:v>309</c:v>
                </c:pt>
                <c:pt idx="3">
                  <c:v>294</c:v>
                </c:pt>
                <c:pt idx="4">
                  <c:v>273</c:v>
                </c:pt>
                <c:pt idx="5">
                  <c:v>271</c:v>
                </c:pt>
                <c:pt idx="6">
                  <c:v>278</c:v>
                </c:pt>
                <c:pt idx="7">
                  <c:v>284</c:v>
                </c:pt>
                <c:pt idx="8">
                  <c:v>274</c:v>
                </c:pt>
                <c:pt idx="9">
                  <c:v>267</c:v>
                </c:pt>
                <c:pt idx="10">
                  <c:v>254</c:v>
                </c:pt>
                <c:pt idx="11">
                  <c:v>258</c:v>
                </c:pt>
                <c:pt idx="12">
                  <c:v>257</c:v>
                </c:pt>
                <c:pt idx="13">
                  <c:v>268</c:v>
                </c:pt>
              </c:numCache>
            </c:numRef>
          </c:val>
          <c:smooth val="0"/>
          <c:extLst>
            <c:ext xmlns:c16="http://schemas.microsoft.com/office/drawing/2014/chart" uri="{C3380CC4-5D6E-409C-BE32-E72D297353CC}">
              <c16:uniqueId val="{00000000-A6BE-4EFB-BD49-0AD782028002}"/>
            </c:ext>
          </c:extLst>
        </c:ser>
        <c:ser>
          <c:idx val="1"/>
          <c:order val="1"/>
          <c:tx>
            <c:strRef>
              <c:f>Sheet1!$C$1</c:f>
              <c:strCache>
                <c:ptCount val="1"/>
                <c:pt idx="0">
                  <c:v>Associates</c:v>
                </c:pt>
              </c:strCache>
            </c:strRef>
          </c:tx>
          <c:spPr>
            <a:ln w="28575" cap="rnd">
              <a:solidFill>
                <a:schemeClr val="accent2"/>
              </a:solidFill>
              <a:round/>
            </a:ln>
            <a:effectLst/>
          </c:spPr>
          <c:marker>
            <c:symbol val="none"/>
          </c:marker>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Sheet1!$C$2:$C$15</c:f>
              <c:numCache>
                <c:formatCode>General</c:formatCode>
                <c:ptCount val="14"/>
                <c:pt idx="0">
                  <c:v>112</c:v>
                </c:pt>
                <c:pt idx="1">
                  <c:v>116</c:v>
                </c:pt>
                <c:pt idx="2">
                  <c:v>134</c:v>
                </c:pt>
                <c:pt idx="3">
                  <c:v>128</c:v>
                </c:pt>
                <c:pt idx="4">
                  <c:v>125</c:v>
                </c:pt>
                <c:pt idx="5">
                  <c:v>136</c:v>
                </c:pt>
                <c:pt idx="6">
                  <c:v>144</c:v>
                </c:pt>
                <c:pt idx="7">
                  <c:v>139</c:v>
                </c:pt>
                <c:pt idx="8">
                  <c:v>134</c:v>
                </c:pt>
                <c:pt idx="9">
                  <c:v>134</c:v>
                </c:pt>
                <c:pt idx="10">
                  <c:v>130</c:v>
                </c:pt>
                <c:pt idx="11">
                  <c:v>139</c:v>
                </c:pt>
                <c:pt idx="12">
                  <c:v>157</c:v>
                </c:pt>
                <c:pt idx="13">
                  <c:v>184</c:v>
                </c:pt>
              </c:numCache>
            </c:numRef>
          </c:val>
          <c:smooth val="0"/>
          <c:extLst>
            <c:ext xmlns:c16="http://schemas.microsoft.com/office/drawing/2014/chart" uri="{C3380CC4-5D6E-409C-BE32-E72D297353CC}">
              <c16:uniqueId val="{00000001-A6BE-4EFB-BD49-0AD782028002}"/>
            </c:ext>
          </c:extLst>
        </c:ser>
        <c:ser>
          <c:idx val="2"/>
          <c:order val="2"/>
          <c:tx>
            <c:strRef>
              <c:f>Sheet1!$D$1</c:f>
              <c:strCache>
                <c:ptCount val="1"/>
                <c:pt idx="0">
                  <c:v>Academia</c:v>
                </c:pt>
              </c:strCache>
            </c:strRef>
          </c:tx>
          <c:spPr>
            <a:ln w="28575" cap="rnd">
              <a:solidFill>
                <a:schemeClr val="accent3"/>
              </a:solidFill>
              <a:round/>
            </a:ln>
            <a:effectLst/>
          </c:spPr>
          <c:marker>
            <c:symbol val="none"/>
          </c:marker>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Sheet1!$D$2:$D$15</c:f>
              <c:numCache>
                <c:formatCode>General</c:formatCode>
                <c:ptCount val="14"/>
                <c:pt idx="5">
                  <c:v>25</c:v>
                </c:pt>
                <c:pt idx="6">
                  <c:v>36</c:v>
                </c:pt>
                <c:pt idx="7">
                  <c:v>45</c:v>
                </c:pt>
                <c:pt idx="8">
                  <c:v>86</c:v>
                </c:pt>
                <c:pt idx="9">
                  <c:v>109</c:v>
                </c:pt>
                <c:pt idx="10">
                  <c:v>107</c:v>
                </c:pt>
                <c:pt idx="11">
                  <c:v>125</c:v>
                </c:pt>
                <c:pt idx="12">
                  <c:v>155</c:v>
                </c:pt>
                <c:pt idx="13">
                  <c:v>163</c:v>
                </c:pt>
              </c:numCache>
            </c:numRef>
          </c:val>
          <c:smooth val="0"/>
          <c:extLst>
            <c:ext xmlns:c16="http://schemas.microsoft.com/office/drawing/2014/chart" uri="{C3380CC4-5D6E-409C-BE32-E72D297353CC}">
              <c16:uniqueId val="{00000002-A6BE-4EFB-BD49-0AD782028002}"/>
            </c:ext>
          </c:extLst>
        </c:ser>
        <c:ser>
          <c:idx val="3"/>
          <c:order val="3"/>
          <c:tx>
            <c:strRef>
              <c:f>Sheet1!$E$1</c:f>
              <c:strCache>
                <c:ptCount val="1"/>
                <c:pt idx="0">
                  <c:v>TOTAL, SM, Associate, Academia</c:v>
                </c:pt>
              </c:strCache>
            </c:strRef>
          </c:tx>
          <c:spPr>
            <a:ln w="28575" cap="rnd">
              <a:solidFill>
                <a:schemeClr val="accent4"/>
              </a:solidFill>
              <a:round/>
            </a:ln>
            <a:effectLst/>
          </c:spPr>
          <c:marker>
            <c:symbol val="none"/>
          </c:marker>
          <c:cat>
            <c:numRef>
              <c:f>Sheet1!$A$2:$A$15</c:f>
              <c:numCache>
                <c:formatCode>General</c:formatCode>
                <c:ptCount val="14"/>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pt idx="13">
                  <c:v>2019</c:v>
                </c:pt>
              </c:numCache>
            </c:numRef>
          </c:cat>
          <c:val>
            <c:numRef>
              <c:f>Sheet1!$E$2:$E$15</c:f>
              <c:numCache>
                <c:formatCode>General</c:formatCode>
                <c:ptCount val="14"/>
                <c:pt idx="0">
                  <c:v>456</c:v>
                </c:pt>
                <c:pt idx="1">
                  <c:v>430</c:v>
                </c:pt>
                <c:pt idx="2">
                  <c:v>443</c:v>
                </c:pt>
                <c:pt idx="3">
                  <c:v>422</c:v>
                </c:pt>
                <c:pt idx="4">
                  <c:v>398</c:v>
                </c:pt>
                <c:pt idx="5">
                  <c:v>432</c:v>
                </c:pt>
                <c:pt idx="6">
                  <c:v>458</c:v>
                </c:pt>
                <c:pt idx="7">
                  <c:v>468</c:v>
                </c:pt>
                <c:pt idx="8">
                  <c:v>494</c:v>
                </c:pt>
                <c:pt idx="9">
                  <c:v>510</c:v>
                </c:pt>
                <c:pt idx="10">
                  <c:v>491</c:v>
                </c:pt>
                <c:pt idx="11">
                  <c:v>522</c:v>
                </c:pt>
                <c:pt idx="12">
                  <c:v>569</c:v>
                </c:pt>
                <c:pt idx="13">
                  <c:v>615</c:v>
                </c:pt>
              </c:numCache>
            </c:numRef>
          </c:val>
          <c:smooth val="0"/>
          <c:extLst>
            <c:ext xmlns:c16="http://schemas.microsoft.com/office/drawing/2014/chart" uri="{C3380CC4-5D6E-409C-BE32-E72D297353CC}">
              <c16:uniqueId val="{00000003-A6BE-4EFB-BD49-0AD782028002}"/>
            </c:ext>
          </c:extLst>
        </c:ser>
        <c:dLbls>
          <c:showLegendKey val="0"/>
          <c:showVal val="0"/>
          <c:showCatName val="0"/>
          <c:showSerName val="0"/>
          <c:showPercent val="0"/>
          <c:showBubbleSize val="0"/>
        </c:dLbls>
        <c:smooth val="0"/>
        <c:axId val="-1374991664"/>
        <c:axId val="-1375002544"/>
      </c:lineChart>
      <c:catAx>
        <c:axId val="-137499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5002544"/>
        <c:crosses val="autoZero"/>
        <c:auto val="1"/>
        <c:lblAlgn val="ctr"/>
        <c:lblOffset val="100"/>
        <c:noMultiLvlLbl val="0"/>
      </c:catAx>
      <c:valAx>
        <c:axId val="-1375002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49916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GB" b="1"/>
              <a:t>Recommendations and Supplements published per year</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Sheet1!$B$5</c:f>
              <c:strCache>
                <c:ptCount val="1"/>
                <c:pt idx="0">
                  <c:v>Documents</c:v>
                </c:pt>
              </c:strCache>
            </c:strRef>
          </c:tx>
          <c:spPr>
            <a:ln w="28575" cap="rnd">
              <a:solidFill>
                <a:schemeClr val="accent1"/>
              </a:solidFill>
              <a:round/>
            </a:ln>
            <a:effectLst/>
          </c:spPr>
          <c:marker>
            <c:symbol val="none"/>
          </c:marker>
          <c:dLbls>
            <c:dLbl>
              <c:idx val="0"/>
              <c:layout>
                <c:manualLayout>
                  <c:x val="-3.3333333333333381E-2"/>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158-461B-AA3B-7641F578EB51}"/>
                </c:ext>
              </c:extLst>
            </c:dLbl>
            <c:dLbl>
              <c:idx val="2"/>
              <c:layout>
                <c:manualLayout>
                  <c:x val="-4.7222222222222325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58-461B-AA3B-7641F578EB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Sheet1!$C$4:$F$4</c:f>
              <c:strCache>
                <c:ptCount val="4"/>
                <c:pt idx="0">
                  <c:v>2016</c:v>
                </c:pt>
                <c:pt idx="1">
                  <c:v>2017</c:v>
                </c:pt>
                <c:pt idx="2">
                  <c:v>2018</c:v>
                </c:pt>
                <c:pt idx="3">
                  <c:v>2019 (Mid-Dec)</c:v>
                </c:pt>
              </c:strCache>
            </c:strRef>
          </c:cat>
          <c:val>
            <c:numRef>
              <c:f>Sheet1!$C$5:$F$5</c:f>
              <c:numCache>
                <c:formatCode>General</c:formatCode>
                <c:ptCount val="4"/>
                <c:pt idx="0">
                  <c:v>407</c:v>
                </c:pt>
                <c:pt idx="1">
                  <c:v>404</c:v>
                </c:pt>
                <c:pt idx="2">
                  <c:v>275</c:v>
                </c:pt>
                <c:pt idx="3">
                  <c:v>361</c:v>
                </c:pt>
              </c:numCache>
            </c:numRef>
          </c:val>
          <c:smooth val="0"/>
          <c:extLst>
            <c:ext xmlns:c16="http://schemas.microsoft.com/office/drawing/2014/chart" uri="{C3380CC4-5D6E-409C-BE32-E72D297353CC}">
              <c16:uniqueId val="{00000002-F158-461B-AA3B-7641F578EB51}"/>
            </c:ext>
          </c:extLst>
        </c:ser>
        <c:dLbls>
          <c:showLegendKey val="0"/>
          <c:showVal val="0"/>
          <c:showCatName val="0"/>
          <c:showSerName val="0"/>
          <c:showPercent val="0"/>
          <c:showBubbleSize val="0"/>
        </c:dLbls>
        <c:smooth val="0"/>
        <c:axId val="-1436404288"/>
        <c:axId val="-1436403200"/>
      </c:lineChart>
      <c:catAx>
        <c:axId val="-1436404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403200"/>
        <c:crosses val="autoZero"/>
        <c:auto val="1"/>
        <c:lblAlgn val="ctr"/>
        <c:lblOffset val="100"/>
        <c:noMultiLvlLbl val="0"/>
      </c:catAx>
      <c:valAx>
        <c:axId val="-1436403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6404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400"/>
              <a:t>Remote Participation (2017 - 2019*)</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manualLayout>
          <c:layoutTarget val="inner"/>
          <c:xMode val="edge"/>
          <c:yMode val="edge"/>
          <c:x val="0.1910540431478765"/>
          <c:y val="0.11011494252873563"/>
          <c:w val="0.72203354402281994"/>
          <c:h val="0.65323998293316787"/>
        </c:manualLayout>
      </c:layout>
      <c:barChart>
        <c:barDir val="bar"/>
        <c:grouping val="clustered"/>
        <c:varyColors val="0"/>
        <c:ser>
          <c:idx val="2"/>
          <c:order val="0"/>
          <c:tx>
            <c:strRef>
              <c:f>Sheet1!$F$4</c:f>
              <c:strCache>
                <c:ptCount val="1"/>
                <c:pt idx="0">
                  <c:v>Number of e-meetings</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Sheet1!$A$5:$A$7</c:f>
              <c:strCache>
                <c:ptCount val="3"/>
                <c:pt idx="0">
                  <c:v>2017</c:v>
                </c:pt>
                <c:pt idx="1">
                  <c:v>2018</c:v>
                </c:pt>
                <c:pt idx="2">
                  <c:v>2019 (Jan-Nov)</c:v>
                </c:pt>
              </c:strCache>
            </c:strRef>
          </c:cat>
          <c:val>
            <c:numRef>
              <c:f>Sheet1!$F$5:$F$7</c:f>
              <c:numCache>
                <c:formatCode>General</c:formatCode>
                <c:ptCount val="3"/>
                <c:pt idx="0">
                  <c:v>1072</c:v>
                </c:pt>
                <c:pt idx="1">
                  <c:v>1558</c:v>
                </c:pt>
                <c:pt idx="2">
                  <c:v>1816</c:v>
                </c:pt>
              </c:numCache>
            </c:numRef>
          </c:val>
          <c:extLst>
            <c:ext xmlns:c16="http://schemas.microsoft.com/office/drawing/2014/chart" uri="{C3380CC4-5D6E-409C-BE32-E72D297353CC}">
              <c16:uniqueId val="{00000000-3498-49BA-A460-29B3619B4895}"/>
            </c:ext>
          </c:extLst>
        </c:ser>
        <c:ser>
          <c:idx val="0"/>
          <c:order val="1"/>
          <c:tx>
            <c:strRef>
              <c:f>Sheet1!$G$4</c:f>
              <c:strCache>
                <c:ptCount val="1"/>
                <c:pt idx="0">
                  <c:v>Number of attendees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Sheet1!$A$5:$A$7</c:f>
              <c:strCache>
                <c:ptCount val="3"/>
                <c:pt idx="0">
                  <c:v>2017</c:v>
                </c:pt>
                <c:pt idx="1">
                  <c:v>2018</c:v>
                </c:pt>
                <c:pt idx="2">
                  <c:v>2019 (Jan-Nov)</c:v>
                </c:pt>
              </c:strCache>
            </c:strRef>
          </c:cat>
          <c:val>
            <c:numRef>
              <c:f>Sheet1!$G$5:$G$7</c:f>
              <c:numCache>
                <c:formatCode>General</c:formatCode>
                <c:ptCount val="3"/>
                <c:pt idx="0">
                  <c:v>5245</c:v>
                </c:pt>
                <c:pt idx="1">
                  <c:v>8353</c:v>
                </c:pt>
                <c:pt idx="2">
                  <c:v>10519</c:v>
                </c:pt>
              </c:numCache>
            </c:numRef>
          </c:val>
          <c:extLst>
            <c:ext xmlns:c16="http://schemas.microsoft.com/office/drawing/2014/chart" uri="{C3380CC4-5D6E-409C-BE32-E72D297353CC}">
              <c16:uniqueId val="{00000001-3498-49BA-A460-29B3619B4895}"/>
            </c:ext>
          </c:extLst>
        </c:ser>
        <c:dLbls>
          <c:showLegendKey val="0"/>
          <c:showVal val="0"/>
          <c:showCatName val="0"/>
          <c:showSerName val="0"/>
          <c:showPercent val="0"/>
          <c:showBubbleSize val="0"/>
        </c:dLbls>
        <c:gapWidth val="100"/>
        <c:axId val="-1436402656"/>
        <c:axId val="-1436402112"/>
      </c:barChart>
      <c:catAx>
        <c:axId val="-143640265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sz="1200"/>
                  <a:t>Year</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36402112"/>
        <c:crosses val="autoZero"/>
        <c:auto val="0"/>
        <c:lblAlgn val="ctr"/>
        <c:lblOffset val="100"/>
        <c:noMultiLvlLbl val="0"/>
      </c:catAx>
      <c:valAx>
        <c:axId val="-143640211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436402656"/>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a:defRPr sz="1100" b="0" i="0" u="none" strike="noStrike" kern="1200" baseline="0">
                <a:solidFill>
                  <a:schemeClr val="tx2"/>
                </a:solidFill>
                <a:latin typeface="+mn-lt"/>
                <a:ea typeface="+mn-ea"/>
                <a:cs typeface="+mn-cs"/>
              </a:defRPr>
            </a:pPr>
            <a:endParaRPr lang="en-US"/>
          </a:p>
        </c:txPr>
      </c:legendEntry>
      <c:layout>
        <c:manualLayout>
          <c:xMode val="edge"/>
          <c:yMode val="edge"/>
          <c:x val="0.17193521945576057"/>
          <c:y val="0.87561537077368878"/>
          <c:w val="0.67841855411421859"/>
          <c:h val="8.16748178727051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8CDF8EEC9E544E4A846316D4B10F5E5"/>
        <w:category>
          <w:name w:val="General"/>
          <w:gallery w:val="placeholder"/>
        </w:category>
        <w:types>
          <w:type w:val="bbPlcHdr"/>
        </w:types>
        <w:behaviors>
          <w:behavior w:val="content"/>
        </w:behaviors>
        <w:guid w:val="{39466289-60FB-47DF-99A5-5B6E777651A9}"/>
      </w:docPartPr>
      <w:docPartBody>
        <w:p w:rsidR="00F5450E" w:rsidRDefault="0090252F" w:rsidP="0090252F">
          <w:pPr>
            <w:pStyle w:val="D8CDF8EEC9E544E4A846316D4B10F5E5"/>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Lucida Console">
    <w:panose1 w:val="020B0609040504020204"/>
    <w:charset w:val="00"/>
    <w:family w:val="modern"/>
    <w:pitch w:val="fixed"/>
    <w:sig w:usb0="8000028F" w:usb1="00001800" w:usb2="00000000" w:usb3="00000000" w:csb0="0000001F" w:csb1="00000000"/>
  </w:font>
  <w:font w:name="Simplified Arabic">
    <w:charset w:val="B2"/>
    <w:family w:val="roman"/>
    <w:pitch w:val="variable"/>
    <w:sig w:usb0="00002003" w:usb1="80000000" w:usb2="00000008" w:usb3="00000000" w:csb0="00000041" w:csb1="00000000"/>
  </w:font>
  <w:font w:name="PMingLiU">
    <w:altName w:val="新細明體"/>
    <w:panose1 w:val="02010601000101010101"/>
    <w:charset w:val="88"/>
    <w:family w:val="roman"/>
    <w:pitch w:val="variable"/>
    <w:sig w:usb0="A00002FF" w:usb1="28CFFCFA" w:usb2="00000016" w:usb3="00000000" w:csb0="00100001" w:csb1="00000000"/>
  </w:font>
  <w:font w:name="MS PMincho">
    <w:charset w:val="80"/>
    <w:family w:val="roman"/>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47F"/>
    <w:rsid w:val="00007F57"/>
    <w:rsid w:val="00045D53"/>
    <w:rsid w:val="00051733"/>
    <w:rsid w:val="00056E2E"/>
    <w:rsid w:val="00062358"/>
    <w:rsid w:val="000640F4"/>
    <w:rsid w:val="000A187B"/>
    <w:rsid w:val="000A6E0C"/>
    <w:rsid w:val="000F3FCC"/>
    <w:rsid w:val="00125082"/>
    <w:rsid w:val="001304C5"/>
    <w:rsid w:val="0017462A"/>
    <w:rsid w:val="00181927"/>
    <w:rsid w:val="001B199D"/>
    <w:rsid w:val="001B6FB2"/>
    <w:rsid w:val="001D3012"/>
    <w:rsid w:val="001D7F0B"/>
    <w:rsid w:val="001F7D9E"/>
    <w:rsid w:val="0020155C"/>
    <w:rsid w:val="00220DB0"/>
    <w:rsid w:val="0023028A"/>
    <w:rsid w:val="002302E8"/>
    <w:rsid w:val="00242F72"/>
    <w:rsid w:val="0026026B"/>
    <w:rsid w:val="002636D8"/>
    <w:rsid w:val="00266154"/>
    <w:rsid w:val="00291D2B"/>
    <w:rsid w:val="00295839"/>
    <w:rsid w:val="002C18D7"/>
    <w:rsid w:val="0030662F"/>
    <w:rsid w:val="00306BFB"/>
    <w:rsid w:val="00323BA2"/>
    <w:rsid w:val="003339F1"/>
    <w:rsid w:val="003515D3"/>
    <w:rsid w:val="00357BB5"/>
    <w:rsid w:val="0036158A"/>
    <w:rsid w:val="00364AFC"/>
    <w:rsid w:val="0037233E"/>
    <w:rsid w:val="00381A90"/>
    <w:rsid w:val="003851EE"/>
    <w:rsid w:val="00392835"/>
    <w:rsid w:val="00394A2A"/>
    <w:rsid w:val="003B5A8D"/>
    <w:rsid w:val="003B7E42"/>
    <w:rsid w:val="003D0246"/>
    <w:rsid w:val="00460C35"/>
    <w:rsid w:val="004777DC"/>
    <w:rsid w:val="004A38FD"/>
    <w:rsid w:val="004C2B5B"/>
    <w:rsid w:val="00537D9C"/>
    <w:rsid w:val="0054647D"/>
    <w:rsid w:val="005A0DBA"/>
    <w:rsid w:val="005A41FA"/>
    <w:rsid w:val="005C399A"/>
    <w:rsid w:val="005C61BF"/>
    <w:rsid w:val="005F564F"/>
    <w:rsid w:val="00600DF0"/>
    <w:rsid w:val="0060489C"/>
    <w:rsid w:val="006277CD"/>
    <w:rsid w:val="00633D42"/>
    <w:rsid w:val="00634F0D"/>
    <w:rsid w:val="00655FEF"/>
    <w:rsid w:val="0067214C"/>
    <w:rsid w:val="00687AC0"/>
    <w:rsid w:val="0069691A"/>
    <w:rsid w:val="006A36B7"/>
    <w:rsid w:val="006A557C"/>
    <w:rsid w:val="006B44EE"/>
    <w:rsid w:val="006D7720"/>
    <w:rsid w:val="00701EE1"/>
    <w:rsid w:val="00713821"/>
    <w:rsid w:val="007227CA"/>
    <w:rsid w:val="00733213"/>
    <w:rsid w:val="007449D9"/>
    <w:rsid w:val="00751AEA"/>
    <w:rsid w:val="007525A2"/>
    <w:rsid w:val="00762E99"/>
    <w:rsid w:val="007635D3"/>
    <w:rsid w:val="007B08DC"/>
    <w:rsid w:val="007B0FDA"/>
    <w:rsid w:val="007B456B"/>
    <w:rsid w:val="007C0258"/>
    <w:rsid w:val="007D6B89"/>
    <w:rsid w:val="007E4E44"/>
    <w:rsid w:val="007E5CEE"/>
    <w:rsid w:val="00810A93"/>
    <w:rsid w:val="00812B97"/>
    <w:rsid w:val="00813ED7"/>
    <w:rsid w:val="00816154"/>
    <w:rsid w:val="00825B45"/>
    <w:rsid w:val="00826442"/>
    <w:rsid w:val="00843B72"/>
    <w:rsid w:val="00866C70"/>
    <w:rsid w:val="00884AD4"/>
    <w:rsid w:val="0089158E"/>
    <w:rsid w:val="008A3ED4"/>
    <w:rsid w:val="008E0E6D"/>
    <w:rsid w:val="008F7972"/>
    <w:rsid w:val="0090252F"/>
    <w:rsid w:val="00903FED"/>
    <w:rsid w:val="00952CD2"/>
    <w:rsid w:val="00956927"/>
    <w:rsid w:val="00973C3F"/>
    <w:rsid w:val="0098527D"/>
    <w:rsid w:val="009914C6"/>
    <w:rsid w:val="009937CD"/>
    <w:rsid w:val="009A0F9B"/>
    <w:rsid w:val="009A65D0"/>
    <w:rsid w:val="009A766A"/>
    <w:rsid w:val="009B2421"/>
    <w:rsid w:val="009C7968"/>
    <w:rsid w:val="009E31DF"/>
    <w:rsid w:val="009E7B31"/>
    <w:rsid w:val="009F1986"/>
    <w:rsid w:val="00A11C42"/>
    <w:rsid w:val="00A31A35"/>
    <w:rsid w:val="00A432EA"/>
    <w:rsid w:val="00A64101"/>
    <w:rsid w:val="00A80F1B"/>
    <w:rsid w:val="00A85CD5"/>
    <w:rsid w:val="00AA1B75"/>
    <w:rsid w:val="00AA44C5"/>
    <w:rsid w:val="00AB6B24"/>
    <w:rsid w:val="00AD0B57"/>
    <w:rsid w:val="00AF1076"/>
    <w:rsid w:val="00AF3630"/>
    <w:rsid w:val="00B225C0"/>
    <w:rsid w:val="00B300E3"/>
    <w:rsid w:val="00B406C8"/>
    <w:rsid w:val="00B722E6"/>
    <w:rsid w:val="00B81036"/>
    <w:rsid w:val="00BA55D5"/>
    <w:rsid w:val="00BA5794"/>
    <w:rsid w:val="00BB4BF1"/>
    <w:rsid w:val="00BC3B1C"/>
    <w:rsid w:val="00BC5FA1"/>
    <w:rsid w:val="00BE4B1B"/>
    <w:rsid w:val="00BF349E"/>
    <w:rsid w:val="00C01AF4"/>
    <w:rsid w:val="00C042CD"/>
    <w:rsid w:val="00C103E2"/>
    <w:rsid w:val="00C1420B"/>
    <w:rsid w:val="00C1510C"/>
    <w:rsid w:val="00C25430"/>
    <w:rsid w:val="00C26667"/>
    <w:rsid w:val="00C2711C"/>
    <w:rsid w:val="00C308C0"/>
    <w:rsid w:val="00C30D4D"/>
    <w:rsid w:val="00C3710C"/>
    <w:rsid w:val="00C40029"/>
    <w:rsid w:val="00C5041B"/>
    <w:rsid w:val="00C70686"/>
    <w:rsid w:val="00C83D5B"/>
    <w:rsid w:val="00C94540"/>
    <w:rsid w:val="00CA401D"/>
    <w:rsid w:val="00CA45D1"/>
    <w:rsid w:val="00CA5487"/>
    <w:rsid w:val="00CB0DC8"/>
    <w:rsid w:val="00CB4B45"/>
    <w:rsid w:val="00CC047F"/>
    <w:rsid w:val="00CC169B"/>
    <w:rsid w:val="00CC3AFA"/>
    <w:rsid w:val="00CC3D76"/>
    <w:rsid w:val="00D001A3"/>
    <w:rsid w:val="00D0251D"/>
    <w:rsid w:val="00D03C0E"/>
    <w:rsid w:val="00D36D60"/>
    <w:rsid w:val="00D51374"/>
    <w:rsid w:val="00D60A7E"/>
    <w:rsid w:val="00D62C3D"/>
    <w:rsid w:val="00DA4B6E"/>
    <w:rsid w:val="00DA6F65"/>
    <w:rsid w:val="00DA73E5"/>
    <w:rsid w:val="00DD7197"/>
    <w:rsid w:val="00DF1DA7"/>
    <w:rsid w:val="00E00B9D"/>
    <w:rsid w:val="00E333A7"/>
    <w:rsid w:val="00E76DF8"/>
    <w:rsid w:val="00E800E1"/>
    <w:rsid w:val="00E904AF"/>
    <w:rsid w:val="00E91357"/>
    <w:rsid w:val="00E920BD"/>
    <w:rsid w:val="00EB05D1"/>
    <w:rsid w:val="00EB2B73"/>
    <w:rsid w:val="00EE3336"/>
    <w:rsid w:val="00F20FD3"/>
    <w:rsid w:val="00F23C80"/>
    <w:rsid w:val="00F30FD2"/>
    <w:rsid w:val="00F43C6E"/>
    <w:rsid w:val="00F50376"/>
    <w:rsid w:val="00F5450E"/>
    <w:rsid w:val="00F60BBE"/>
    <w:rsid w:val="00F774C9"/>
    <w:rsid w:val="00F95D9D"/>
    <w:rsid w:val="00FA48B2"/>
    <w:rsid w:val="00FB21AE"/>
    <w:rsid w:val="00FC31C6"/>
    <w:rsid w:val="00FD06CD"/>
    <w:rsid w:val="00FD226D"/>
    <w:rsid w:val="00FE48E9"/>
    <w:rsid w:val="00FE7965"/>
    <w:rsid w:val="00FF6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52F"/>
    <w:rPr>
      <w:color w:val="808080"/>
    </w:rPr>
  </w:style>
  <w:style w:type="paragraph" w:customStyle="1" w:styleId="9B3061DF65664B739FC85AE6A219CA21">
    <w:name w:val="9B3061DF65664B739FC85AE6A219CA21"/>
    <w:rsid w:val="00EA7C1D"/>
  </w:style>
  <w:style w:type="paragraph" w:customStyle="1" w:styleId="C726367F34C5411280E545CCA5531E6D">
    <w:name w:val="C726367F34C5411280E545CCA5531E6D"/>
    <w:rsid w:val="00F95D9D"/>
    <w:rPr>
      <w:lang w:val="en-US" w:eastAsia="en-US"/>
    </w:rPr>
  </w:style>
  <w:style w:type="paragraph" w:customStyle="1" w:styleId="D8CDF8EEC9E544E4A846316D4B10F5E5">
    <w:name w:val="D8CDF8EEC9E544E4A846316D4B10F5E5"/>
    <w:rsid w:val="0090252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4706B5C8C0E7438BEF2951889CCA4F" ma:contentTypeVersion="1" ma:contentTypeDescription="Create a new document." ma:contentTypeScope="" ma:versionID="b61bf29a59bf658147a73706e998063f">
  <xsd:schema xmlns:xsd="http://www.w3.org/2001/XMLSchema" xmlns:xs="http://www.w3.org/2001/XMLSchema" xmlns:p="http://schemas.microsoft.com/office/2006/metadata/properties" xmlns:ns2="0d1600e8-004f-4c6f-afe8-0c63f3945779" targetNamespace="http://schemas.microsoft.com/office/2006/metadata/properties" ma:root="true" ma:fieldsID="dd1bcb1da1bc5c328eb547e2d10c4e77" ns2:_="">
    <xsd:import namespace="0d1600e8-004f-4c6f-afe8-0c63f39457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7A0AD-09DC-469E-9052-530DF703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2FF9D3-AD49-4CE1-A7D6-D6613B533EB4}">
  <ds:schemaRefs>
    <ds:schemaRef ds:uri="http://purl.org/dc/dcmitype/"/>
    <ds:schemaRef ds:uri="http://schemas.microsoft.com/office/infopath/2007/PartnerControls"/>
    <ds:schemaRef ds:uri="http://purl.org/dc/elements/1.1/"/>
    <ds:schemaRef ds:uri="0d1600e8-004f-4c6f-afe8-0c63f3945779"/>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8F869112-FE60-4EDC-B8BF-CEC56ED75600}">
  <ds:schemaRefs>
    <ds:schemaRef ds:uri="http://schemas.microsoft.com/sharepoint/v3/contenttype/forms"/>
  </ds:schemaRefs>
</ds:datastoreItem>
</file>

<file path=customXml/itemProps4.xml><?xml version="1.0" encoding="utf-8"?>
<ds:datastoreItem xmlns:ds="http://schemas.openxmlformats.org/officeDocument/2006/customXml" ds:itemID="{FF40B1CC-8CCB-44A2-9451-779AF777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4</TotalTime>
  <Pages>64</Pages>
  <Words>31223</Words>
  <Characters>219592</Characters>
  <Application>Microsoft Office Word</Application>
  <DocSecurity>0</DocSecurity>
  <Lines>1829</Lines>
  <Paragraphs>500</Paragraphs>
  <ScaleCrop>false</ScaleCrop>
  <HeadingPairs>
    <vt:vector size="2" baseType="variant">
      <vt:variant>
        <vt:lpstr>Title</vt:lpstr>
      </vt:variant>
      <vt:variant>
        <vt:i4>1</vt:i4>
      </vt:variant>
    </vt:vector>
  </HeadingPairs>
  <TitlesOfParts>
    <vt:vector size="1" baseType="lpstr">
      <vt:lpstr>Report of activities in ITU-T (from September 2019 to December 2019)</vt:lpstr>
    </vt:vector>
  </TitlesOfParts>
  <Manager>ITU-T</Manager>
  <Company>International Telecommunication Union (ITU)</Company>
  <LinksUpToDate>false</LinksUpToDate>
  <CharactersWithSpaces>250315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activities in ITU-T (from September 2019 to December 2019)</dc:title>
  <dc:subject/>
  <dc:creator>Euchner, Martin</dc:creator>
  <cp:keywords/>
  <dc:description/>
  <cp:lastModifiedBy>Al-Mnini, Lara</cp:lastModifiedBy>
  <cp:revision>4</cp:revision>
  <cp:lastPrinted>2018-10-10T15:17:00Z</cp:lastPrinted>
  <dcterms:created xsi:type="dcterms:W3CDTF">2020-02-07T20:39:00Z</dcterms:created>
  <dcterms:modified xsi:type="dcterms:W3CDTF">2020-02-07T20:51:00Z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17 – R 67 – E</vt:lpwstr>
  </property>
  <property fmtid="{D5CDD505-2E9C-101B-9397-08002B2CF9AE}" pid="3" name="Docdate">
    <vt:lpwstr>October 2016</vt:lpwstr>
  </property>
  <property fmtid="{D5CDD505-2E9C-101B-9397-08002B2CF9AE}" pid="4" name="Docorlang">
    <vt:lpwstr>English only Original: English</vt:lpwstr>
  </property>
  <property fmtid="{D5CDD505-2E9C-101B-9397-08002B2CF9AE}" pid="5" name="Docbluepink">
    <vt:lpwstr>All/17</vt:lpwstr>
  </property>
  <property fmtid="{D5CDD505-2E9C-101B-9397-08002B2CF9AE}" pid="6" name="Docdest">
    <vt:lpwstr/>
  </property>
  <property fmtid="{D5CDD505-2E9C-101B-9397-08002B2CF9AE}" pid="7" name="Docauthor">
    <vt:lpwstr>STUDY GROUP 17 (Geneva, 29 August – 7 September 2016)</vt:lpwstr>
  </property>
  <property fmtid="{D5CDD505-2E9C-101B-9397-08002B2CF9AE}" pid="8" name="ContentTypeId">
    <vt:lpwstr>0x010100714706B5C8C0E7438BEF2951889CCA4F</vt:lpwstr>
  </property>
</Properties>
</file>