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191"/>
        <w:gridCol w:w="417"/>
        <w:gridCol w:w="9"/>
        <w:gridCol w:w="3625"/>
        <w:gridCol w:w="145"/>
        <w:gridCol w:w="4536"/>
      </w:tblGrid>
      <w:tr w:rsidR="001A2868" w:rsidRPr="001A2868" w14:paraId="00195554" w14:textId="77777777" w:rsidTr="009B2D5A">
        <w:trPr>
          <w:cantSplit/>
        </w:trPr>
        <w:tc>
          <w:tcPr>
            <w:tcW w:w="1191" w:type="dxa"/>
            <w:vMerge w:val="restart"/>
          </w:tcPr>
          <w:p w14:paraId="2325637B" w14:textId="77777777" w:rsidR="001A2868" w:rsidRPr="001A2868" w:rsidRDefault="001A2868" w:rsidP="00703862">
            <w:pPr>
              <w:spacing w:before="120"/>
              <w:rPr>
                <w:sz w:val="20"/>
                <w:szCs w:val="20"/>
              </w:rPr>
            </w:pPr>
            <w:bookmarkStart w:id="0" w:name="dnum" w:colFirst="2" w:colLast="2"/>
            <w:bookmarkStart w:id="1" w:name="dtableau"/>
            <w:r w:rsidRPr="001A2868">
              <w:rPr>
                <w:noProof/>
                <w:sz w:val="20"/>
                <w:szCs w:val="20"/>
                <w:lang w:val="en-GB" w:eastAsia="zh-CN"/>
              </w:rPr>
              <w:drawing>
                <wp:inline distT="0" distB="0" distL="0" distR="0" wp14:anchorId="6FDBF751" wp14:editId="64ABE359">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6C66273E" w14:textId="77777777" w:rsidR="001A2868" w:rsidRPr="001A2868" w:rsidRDefault="001A2868" w:rsidP="00703862">
            <w:pPr>
              <w:spacing w:before="120"/>
              <w:rPr>
                <w:sz w:val="16"/>
                <w:szCs w:val="16"/>
                <w:lang w:val="en-GB"/>
              </w:rPr>
            </w:pPr>
            <w:r w:rsidRPr="001A2868">
              <w:rPr>
                <w:sz w:val="16"/>
                <w:szCs w:val="16"/>
                <w:lang w:val="en-GB"/>
              </w:rPr>
              <w:t>INTERNATIONAL TELECOMMUNICATION UNION</w:t>
            </w:r>
          </w:p>
          <w:p w14:paraId="25FC7341" w14:textId="77777777" w:rsidR="001A2868" w:rsidRPr="001A2868" w:rsidRDefault="001A2868" w:rsidP="00703862">
            <w:pPr>
              <w:spacing w:before="120"/>
              <w:rPr>
                <w:b/>
                <w:bCs/>
                <w:sz w:val="26"/>
                <w:szCs w:val="26"/>
                <w:lang w:val="en-GB"/>
              </w:rPr>
            </w:pPr>
            <w:r w:rsidRPr="001A2868">
              <w:rPr>
                <w:b/>
                <w:bCs/>
                <w:sz w:val="26"/>
                <w:szCs w:val="26"/>
                <w:lang w:val="en-GB"/>
              </w:rPr>
              <w:t>TELECOMMUNICATION</w:t>
            </w:r>
            <w:r w:rsidRPr="001A2868">
              <w:rPr>
                <w:b/>
                <w:bCs/>
                <w:sz w:val="26"/>
                <w:szCs w:val="26"/>
                <w:lang w:val="en-GB"/>
              </w:rPr>
              <w:br/>
              <w:t>STANDARDIZATION SECTOR</w:t>
            </w:r>
          </w:p>
          <w:p w14:paraId="60DE56A8" w14:textId="77777777" w:rsidR="001A2868" w:rsidRPr="001A2868" w:rsidRDefault="001A2868" w:rsidP="00703862">
            <w:pPr>
              <w:spacing w:before="120"/>
              <w:rPr>
                <w:sz w:val="20"/>
                <w:szCs w:val="20"/>
                <w:lang w:val="en-GB"/>
              </w:rPr>
            </w:pPr>
            <w:r w:rsidRPr="001A2868">
              <w:rPr>
                <w:sz w:val="20"/>
                <w:szCs w:val="20"/>
                <w:lang w:val="en-GB"/>
              </w:rPr>
              <w:t xml:space="preserve">STUDY PERIOD </w:t>
            </w:r>
            <w:bookmarkStart w:id="2" w:name="dstudyperiod"/>
            <w:r w:rsidRPr="001A2868">
              <w:rPr>
                <w:sz w:val="20"/>
                <w:szCs w:val="20"/>
                <w:lang w:val="en-GB"/>
              </w:rPr>
              <w:t>2017-2020</w:t>
            </w:r>
            <w:bookmarkEnd w:id="2"/>
          </w:p>
        </w:tc>
        <w:tc>
          <w:tcPr>
            <w:tcW w:w="4681" w:type="dxa"/>
            <w:gridSpan w:val="2"/>
            <w:vAlign w:val="center"/>
          </w:tcPr>
          <w:p w14:paraId="4CAF6743" w14:textId="18269385" w:rsidR="001A2868" w:rsidRPr="001A2868" w:rsidRDefault="001A2868" w:rsidP="00C501EA">
            <w:pPr>
              <w:pStyle w:val="Docnumber"/>
              <w:spacing w:before="120"/>
            </w:pPr>
            <w:r>
              <w:t>TSAG-TD</w:t>
            </w:r>
            <w:r w:rsidR="00C501EA">
              <w:t>635</w:t>
            </w:r>
          </w:p>
        </w:tc>
      </w:tr>
      <w:tr w:rsidR="001A2868" w:rsidRPr="001A2868" w14:paraId="522999F9" w14:textId="77777777" w:rsidTr="009B2D5A">
        <w:trPr>
          <w:cantSplit/>
        </w:trPr>
        <w:tc>
          <w:tcPr>
            <w:tcW w:w="1191" w:type="dxa"/>
            <w:vMerge/>
          </w:tcPr>
          <w:p w14:paraId="66EB1EC7" w14:textId="77777777" w:rsidR="001A2868" w:rsidRPr="001A2868" w:rsidRDefault="001A2868" w:rsidP="00703862">
            <w:pPr>
              <w:spacing w:before="120"/>
              <w:rPr>
                <w:smallCaps/>
                <w:sz w:val="20"/>
              </w:rPr>
            </w:pPr>
            <w:bookmarkStart w:id="3" w:name="dsg" w:colFirst="2" w:colLast="2"/>
            <w:bookmarkEnd w:id="0"/>
          </w:p>
        </w:tc>
        <w:tc>
          <w:tcPr>
            <w:tcW w:w="4051" w:type="dxa"/>
            <w:gridSpan w:val="3"/>
            <w:vMerge/>
          </w:tcPr>
          <w:p w14:paraId="65089906" w14:textId="77777777" w:rsidR="001A2868" w:rsidRPr="001A2868" w:rsidRDefault="001A2868" w:rsidP="00703862">
            <w:pPr>
              <w:spacing w:before="120"/>
              <w:rPr>
                <w:smallCaps/>
                <w:sz w:val="20"/>
              </w:rPr>
            </w:pPr>
          </w:p>
        </w:tc>
        <w:tc>
          <w:tcPr>
            <w:tcW w:w="4681" w:type="dxa"/>
            <w:gridSpan w:val="2"/>
          </w:tcPr>
          <w:p w14:paraId="15E375C4" w14:textId="77777777" w:rsidR="001A2868" w:rsidRPr="001A2868" w:rsidRDefault="001A2868" w:rsidP="00703862">
            <w:pPr>
              <w:spacing w:before="120"/>
              <w:jc w:val="right"/>
              <w:rPr>
                <w:b/>
                <w:bCs/>
                <w:smallCaps/>
                <w:sz w:val="28"/>
                <w:szCs w:val="28"/>
              </w:rPr>
            </w:pPr>
            <w:r>
              <w:rPr>
                <w:b/>
                <w:bCs/>
                <w:smallCaps/>
                <w:sz w:val="28"/>
                <w:szCs w:val="28"/>
              </w:rPr>
              <w:t>TSAG</w:t>
            </w:r>
          </w:p>
        </w:tc>
      </w:tr>
      <w:bookmarkEnd w:id="3"/>
      <w:tr w:rsidR="001A2868" w:rsidRPr="001A2868" w14:paraId="38378CC0" w14:textId="77777777" w:rsidTr="009B2D5A">
        <w:trPr>
          <w:cantSplit/>
        </w:trPr>
        <w:tc>
          <w:tcPr>
            <w:tcW w:w="1191" w:type="dxa"/>
            <w:vMerge/>
            <w:tcBorders>
              <w:bottom w:val="single" w:sz="12" w:space="0" w:color="auto"/>
            </w:tcBorders>
          </w:tcPr>
          <w:p w14:paraId="2104C106" w14:textId="77777777" w:rsidR="001A2868" w:rsidRPr="001A2868" w:rsidRDefault="001A2868" w:rsidP="00703862">
            <w:pPr>
              <w:spacing w:before="120"/>
              <w:rPr>
                <w:b/>
                <w:bCs/>
                <w:sz w:val="26"/>
              </w:rPr>
            </w:pPr>
          </w:p>
        </w:tc>
        <w:tc>
          <w:tcPr>
            <w:tcW w:w="4051" w:type="dxa"/>
            <w:gridSpan w:val="3"/>
            <w:vMerge/>
            <w:tcBorders>
              <w:bottom w:val="single" w:sz="12" w:space="0" w:color="auto"/>
            </w:tcBorders>
          </w:tcPr>
          <w:p w14:paraId="4E6DB54E" w14:textId="77777777" w:rsidR="001A2868" w:rsidRPr="001A2868" w:rsidRDefault="001A2868" w:rsidP="00703862">
            <w:pPr>
              <w:spacing w:before="120"/>
              <w:rPr>
                <w:b/>
                <w:bCs/>
                <w:sz w:val="26"/>
              </w:rPr>
            </w:pPr>
          </w:p>
        </w:tc>
        <w:tc>
          <w:tcPr>
            <w:tcW w:w="4681" w:type="dxa"/>
            <w:gridSpan w:val="2"/>
            <w:tcBorders>
              <w:bottom w:val="single" w:sz="12" w:space="0" w:color="auto"/>
            </w:tcBorders>
            <w:vAlign w:val="center"/>
          </w:tcPr>
          <w:p w14:paraId="61D15F07" w14:textId="77777777" w:rsidR="001A2868" w:rsidRPr="001A2868" w:rsidRDefault="001A2868" w:rsidP="00703862">
            <w:pPr>
              <w:spacing w:before="120"/>
              <w:jc w:val="right"/>
              <w:rPr>
                <w:b/>
                <w:bCs/>
                <w:sz w:val="28"/>
                <w:szCs w:val="28"/>
              </w:rPr>
            </w:pPr>
            <w:r w:rsidRPr="001A2868">
              <w:rPr>
                <w:b/>
                <w:bCs/>
                <w:sz w:val="28"/>
                <w:szCs w:val="28"/>
              </w:rPr>
              <w:t>Original: English</w:t>
            </w:r>
          </w:p>
        </w:tc>
      </w:tr>
      <w:tr w:rsidR="001A2868" w:rsidRPr="00703862" w14:paraId="16C4DBE0" w14:textId="77777777" w:rsidTr="009B2D5A">
        <w:trPr>
          <w:cantSplit/>
        </w:trPr>
        <w:tc>
          <w:tcPr>
            <w:tcW w:w="1617" w:type="dxa"/>
            <w:gridSpan w:val="3"/>
          </w:tcPr>
          <w:p w14:paraId="461F693B" w14:textId="77777777" w:rsidR="001A2868" w:rsidRPr="00703862" w:rsidRDefault="001A2868" w:rsidP="00703862">
            <w:pPr>
              <w:spacing w:before="120"/>
              <w:rPr>
                <w:rFonts w:asciiTheme="majorBidi" w:hAnsiTheme="majorBidi" w:cstheme="majorBidi"/>
                <w:b/>
                <w:bCs/>
              </w:rPr>
            </w:pPr>
            <w:bookmarkStart w:id="4" w:name="dbluepink" w:colFirst="1" w:colLast="1"/>
            <w:bookmarkStart w:id="5" w:name="dmeeting" w:colFirst="2" w:colLast="2"/>
            <w:r w:rsidRPr="00703862">
              <w:rPr>
                <w:rFonts w:asciiTheme="majorBidi" w:hAnsiTheme="majorBidi" w:cstheme="majorBidi"/>
                <w:b/>
                <w:bCs/>
              </w:rPr>
              <w:t>Question(s):</w:t>
            </w:r>
          </w:p>
        </w:tc>
        <w:tc>
          <w:tcPr>
            <w:tcW w:w="3625" w:type="dxa"/>
          </w:tcPr>
          <w:p w14:paraId="3E14E136" w14:textId="77777777" w:rsidR="001A2868" w:rsidRPr="00703862" w:rsidRDefault="001A2868" w:rsidP="00703862">
            <w:pPr>
              <w:spacing w:before="120"/>
              <w:rPr>
                <w:rFonts w:asciiTheme="majorBidi" w:hAnsiTheme="majorBidi" w:cstheme="majorBidi"/>
              </w:rPr>
            </w:pPr>
            <w:r w:rsidRPr="00703862">
              <w:rPr>
                <w:rFonts w:asciiTheme="majorBidi" w:hAnsiTheme="majorBidi" w:cstheme="majorBidi"/>
              </w:rPr>
              <w:t>N/A</w:t>
            </w:r>
          </w:p>
        </w:tc>
        <w:tc>
          <w:tcPr>
            <w:tcW w:w="4681" w:type="dxa"/>
            <w:gridSpan w:val="2"/>
          </w:tcPr>
          <w:p w14:paraId="4210BA38" w14:textId="38F75296" w:rsidR="001A2868" w:rsidRPr="00703862" w:rsidRDefault="001A2868" w:rsidP="00703862">
            <w:pPr>
              <w:spacing w:before="120"/>
              <w:jc w:val="right"/>
              <w:rPr>
                <w:rFonts w:asciiTheme="majorBidi" w:hAnsiTheme="majorBidi" w:cstheme="majorBidi"/>
              </w:rPr>
            </w:pPr>
            <w:r w:rsidRPr="00703862">
              <w:rPr>
                <w:rFonts w:asciiTheme="majorBidi" w:hAnsiTheme="majorBidi" w:cstheme="majorBidi"/>
              </w:rPr>
              <w:t xml:space="preserve">Geneva, </w:t>
            </w:r>
            <w:r w:rsidR="00C501EA">
              <w:t>23-27 September</w:t>
            </w:r>
            <w:r w:rsidR="00C501EA" w:rsidRPr="00280AFA">
              <w:t xml:space="preserve"> </w:t>
            </w:r>
            <w:r w:rsidR="00C501EA" w:rsidRPr="00280AFA">
              <w:rPr>
                <w:rFonts w:eastAsiaTheme="minorEastAsia"/>
                <w:lang w:eastAsia="ja-JP"/>
              </w:rPr>
              <w:t>201</w:t>
            </w:r>
            <w:r w:rsidR="00C501EA">
              <w:rPr>
                <w:rFonts w:eastAsiaTheme="minorEastAsia"/>
                <w:lang w:eastAsia="ja-JP"/>
              </w:rPr>
              <w:t>9</w:t>
            </w:r>
          </w:p>
        </w:tc>
      </w:tr>
      <w:tr w:rsidR="001A2868" w:rsidRPr="00703862" w14:paraId="75083BB7" w14:textId="77777777" w:rsidTr="009B2D5A">
        <w:trPr>
          <w:cantSplit/>
        </w:trPr>
        <w:tc>
          <w:tcPr>
            <w:tcW w:w="9923" w:type="dxa"/>
            <w:gridSpan w:val="6"/>
          </w:tcPr>
          <w:p w14:paraId="1933D893" w14:textId="77777777" w:rsidR="001A2868" w:rsidRPr="00703862" w:rsidRDefault="001A2868" w:rsidP="00703862">
            <w:pPr>
              <w:spacing w:before="120"/>
              <w:jc w:val="center"/>
              <w:rPr>
                <w:rFonts w:asciiTheme="majorBidi" w:hAnsiTheme="majorBidi" w:cstheme="majorBidi"/>
                <w:b/>
                <w:bCs/>
              </w:rPr>
            </w:pPr>
            <w:bookmarkStart w:id="6" w:name="ddoctype" w:colFirst="0" w:colLast="0"/>
            <w:bookmarkEnd w:id="4"/>
            <w:bookmarkEnd w:id="5"/>
            <w:r w:rsidRPr="00703862">
              <w:rPr>
                <w:rFonts w:asciiTheme="majorBidi" w:hAnsiTheme="majorBidi" w:cstheme="majorBidi"/>
                <w:b/>
                <w:bCs/>
              </w:rPr>
              <w:t>TD</w:t>
            </w:r>
          </w:p>
        </w:tc>
      </w:tr>
      <w:tr w:rsidR="001A2868" w:rsidRPr="00703862" w14:paraId="07B5F9ED" w14:textId="77777777" w:rsidTr="009B2D5A">
        <w:trPr>
          <w:cantSplit/>
        </w:trPr>
        <w:tc>
          <w:tcPr>
            <w:tcW w:w="1617" w:type="dxa"/>
            <w:gridSpan w:val="3"/>
          </w:tcPr>
          <w:p w14:paraId="57E7E426" w14:textId="77777777" w:rsidR="001A2868" w:rsidRPr="00703862" w:rsidRDefault="001A2868" w:rsidP="00703862">
            <w:pPr>
              <w:spacing w:before="120"/>
              <w:rPr>
                <w:rFonts w:asciiTheme="majorBidi" w:hAnsiTheme="majorBidi" w:cstheme="majorBidi"/>
                <w:b/>
                <w:bCs/>
              </w:rPr>
            </w:pPr>
            <w:bookmarkStart w:id="7" w:name="dsource" w:colFirst="1" w:colLast="1"/>
            <w:bookmarkEnd w:id="6"/>
            <w:r w:rsidRPr="00703862">
              <w:rPr>
                <w:rFonts w:asciiTheme="majorBidi" w:hAnsiTheme="majorBidi" w:cstheme="majorBidi"/>
                <w:b/>
                <w:bCs/>
              </w:rPr>
              <w:t>Source:</w:t>
            </w:r>
          </w:p>
        </w:tc>
        <w:tc>
          <w:tcPr>
            <w:tcW w:w="8306" w:type="dxa"/>
            <w:gridSpan w:val="3"/>
          </w:tcPr>
          <w:p w14:paraId="76286BA1" w14:textId="77777777" w:rsidR="001A2868" w:rsidRPr="00703862" w:rsidRDefault="001A2868" w:rsidP="00703862">
            <w:pPr>
              <w:spacing w:before="120"/>
              <w:rPr>
                <w:rFonts w:asciiTheme="majorBidi" w:hAnsiTheme="majorBidi" w:cstheme="majorBidi"/>
              </w:rPr>
            </w:pPr>
            <w:r w:rsidRPr="00703862">
              <w:rPr>
                <w:rFonts w:asciiTheme="majorBidi" w:hAnsiTheme="majorBidi" w:cstheme="majorBidi"/>
              </w:rPr>
              <w:t>Chairman, Quantum Adhoc Sessions</w:t>
            </w:r>
          </w:p>
        </w:tc>
      </w:tr>
      <w:tr w:rsidR="001A2868" w:rsidRPr="00485781" w14:paraId="15F93661" w14:textId="77777777" w:rsidTr="009B2D5A">
        <w:trPr>
          <w:cantSplit/>
        </w:trPr>
        <w:tc>
          <w:tcPr>
            <w:tcW w:w="1617" w:type="dxa"/>
            <w:gridSpan w:val="3"/>
          </w:tcPr>
          <w:p w14:paraId="6B41A514" w14:textId="77777777" w:rsidR="001A2868" w:rsidRPr="00703862" w:rsidRDefault="001A2868" w:rsidP="00703862">
            <w:pPr>
              <w:spacing w:before="120"/>
              <w:rPr>
                <w:rFonts w:asciiTheme="majorBidi" w:hAnsiTheme="majorBidi" w:cstheme="majorBidi"/>
              </w:rPr>
            </w:pPr>
            <w:bookmarkStart w:id="8" w:name="dtitle1" w:colFirst="1" w:colLast="1"/>
            <w:bookmarkEnd w:id="7"/>
            <w:r w:rsidRPr="00703862">
              <w:rPr>
                <w:rFonts w:asciiTheme="majorBidi" w:hAnsiTheme="majorBidi" w:cstheme="majorBidi"/>
                <w:b/>
                <w:bCs/>
              </w:rPr>
              <w:t>Title:</w:t>
            </w:r>
          </w:p>
        </w:tc>
        <w:tc>
          <w:tcPr>
            <w:tcW w:w="8306" w:type="dxa"/>
            <w:gridSpan w:val="3"/>
          </w:tcPr>
          <w:p w14:paraId="5066E202" w14:textId="7DBF0BFF" w:rsidR="001A2868" w:rsidRPr="00703862" w:rsidRDefault="00C501EA" w:rsidP="00C501EA">
            <w:pPr>
              <w:spacing w:before="120"/>
              <w:rPr>
                <w:rFonts w:asciiTheme="majorBidi" w:hAnsiTheme="majorBidi" w:cstheme="majorBidi"/>
                <w:lang w:val="en-GB"/>
              </w:rPr>
            </w:pPr>
            <w:r>
              <w:rPr>
                <w:rFonts w:asciiTheme="majorBidi" w:hAnsiTheme="majorBidi" w:cstheme="majorBidi"/>
                <w:lang w:val="en-GB"/>
              </w:rPr>
              <w:t>R</w:t>
            </w:r>
            <w:r w:rsidR="001A2868" w:rsidRPr="00703862">
              <w:rPr>
                <w:rFonts w:asciiTheme="majorBidi" w:hAnsiTheme="majorBidi" w:cstheme="majorBidi"/>
                <w:lang w:val="en-GB"/>
              </w:rPr>
              <w:t xml:space="preserve">eport of the Quantum </w:t>
            </w:r>
            <w:r>
              <w:rPr>
                <w:rFonts w:asciiTheme="majorBidi" w:hAnsiTheme="majorBidi" w:cstheme="majorBidi"/>
                <w:lang w:val="en-GB"/>
              </w:rPr>
              <w:t>A</w:t>
            </w:r>
            <w:r w:rsidR="001A2868" w:rsidRPr="00703862">
              <w:rPr>
                <w:rFonts w:asciiTheme="majorBidi" w:hAnsiTheme="majorBidi" w:cstheme="majorBidi"/>
                <w:lang w:val="en-GB"/>
              </w:rPr>
              <w:t>dhoc sessions for TSAG Closing Plenary</w:t>
            </w:r>
          </w:p>
        </w:tc>
      </w:tr>
      <w:tr w:rsidR="001A2868" w:rsidRPr="009B03F1" w14:paraId="41752ADB" w14:textId="77777777" w:rsidTr="009B2D5A">
        <w:trPr>
          <w:cantSplit/>
        </w:trPr>
        <w:tc>
          <w:tcPr>
            <w:tcW w:w="1617" w:type="dxa"/>
            <w:gridSpan w:val="3"/>
            <w:tcBorders>
              <w:bottom w:val="single" w:sz="8" w:space="0" w:color="auto"/>
            </w:tcBorders>
          </w:tcPr>
          <w:p w14:paraId="14A7DDF0" w14:textId="77777777" w:rsidR="001A2868" w:rsidRPr="00703862" w:rsidRDefault="001A2868" w:rsidP="00703862">
            <w:pPr>
              <w:spacing w:before="120"/>
              <w:rPr>
                <w:rFonts w:asciiTheme="majorBidi" w:hAnsiTheme="majorBidi" w:cstheme="majorBidi"/>
                <w:b/>
                <w:bCs/>
              </w:rPr>
            </w:pPr>
            <w:bookmarkStart w:id="9" w:name="dpurpose" w:colFirst="1" w:colLast="1"/>
            <w:bookmarkEnd w:id="8"/>
            <w:r w:rsidRPr="00703862">
              <w:rPr>
                <w:rFonts w:asciiTheme="majorBidi" w:hAnsiTheme="majorBidi" w:cstheme="majorBidi"/>
                <w:b/>
                <w:bCs/>
              </w:rPr>
              <w:t>Purpose:</w:t>
            </w:r>
          </w:p>
        </w:tc>
        <w:tc>
          <w:tcPr>
            <w:tcW w:w="8306" w:type="dxa"/>
            <w:gridSpan w:val="3"/>
            <w:tcBorders>
              <w:bottom w:val="single" w:sz="8" w:space="0" w:color="auto"/>
            </w:tcBorders>
          </w:tcPr>
          <w:p w14:paraId="06FA0A98" w14:textId="77A7D1B4" w:rsidR="001A2868" w:rsidRPr="00703862" w:rsidRDefault="009B03F1" w:rsidP="009B03F1">
            <w:pPr>
              <w:spacing w:before="120"/>
              <w:rPr>
                <w:rFonts w:asciiTheme="majorBidi" w:hAnsiTheme="majorBidi" w:cstheme="majorBidi"/>
                <w:lang w:val="en-GB"/>
              </w:rPr>
            </w:pPr>
            <w:r>
              <w:rPr>
                <w:rFonts w:asciiTheme="majorBidi" w:hAnsiTheme="majorBidi" w:cstheme="majorBidi"/>
                <w:lang w:val="en-GB"/>
              </w:rPr>
              <w:t>Information</w:t>
            </w:r>
          </w:p>
        </w:tc>
      </w:tr>
      <w:bookmarkEnd w:id="1"/>
      <w:bookmarkEnd w:id="9"/>
      <w:tr w:rsidR="00B538EA" w:rsidRPr="00703862" w14:paraId="337B5AD6" w14:textId="77777777" w:rsidTr="007472DA">
        <w:trPr>
          <w:cantSplit/>
        </w:trPr>
        <w:tc>
          <w:tcPr>
            <w:tcW w:w="1608" w:type="dxa"/>
            <w:gridSpan w:val="2"/>
            <w:tcBorders>
              <w:top w:val="single" w:sz="8" w:space="0" w:color="auto"/>
              <w:bottom w:val="single" w:sz="8" w:space="0" w:color="auto"/>
            </w:tcBorders>
          </w:tcPr>
          <w:p w14:paraId="46F9F1E5" w14:textId="77777777" w:rsidR="00B538EA" w:rsidRPr="00703862" w:rsidRDefault="00B538EA" w:rsidP="00703862">
            <w:pPr>
              <w:spacing w:before="120"/>
              <w:rPr>
                <w:rFonts w:asciiTheme="majorBidi" w:hAnsiTheme="majorBidi" w:cstheme="majorBidi"/>
                <w:b/>
                <w:bCs/>
              </w:rPr>
            </w:pPr>
            <w:r w:rsidRPr="00703862">
              <w:rPr>
                <w:rFonts w:asciiTheme="majorBidi" w:hAnsiTheme="majorBidi" w:cstheme="majorBidi"/>
                <w:b/>
                <w:bCs/>
              </w:rPr>
              <w:t>Contact:</w:t>
            </w:r>
          </w:p>
        </w:tc>
        <w:tc>
          <w:tcPr>
            <w:tcW w:w="3779" w:type="dxa"/>
            <w:gridSpan w:val="3"/>
            <w:tcBorders>
              <w:top w:val="single" w:sz="8" w:space="0" w:color="auto"/>
              <w:bottom w:val="single" w:sz="8" w:space="0" w:color="auto"/>
            </w:tcBorders>
          </w:tcPr>
          <w:p w14:paraId="7DC1ABF7" w14:textId="77777777" w:rsidR="00B538EA" w:rsidRPr="00703862" w:rsidRDefault="00BE53AA" w:rsidP="00703862">
            <w:pPr>
              <w:spacing w:before="120"/>
              <w:rPr>
                <w:rFonts w:asciiTheme="majorBidi" w:hAnsiTheme="majorBidi" w:cstheme="majorBidi"/>
                <w:lang w:val="en-US"/>
              </w:rPr>
            </w:pPr>
            <w:sdt>
              <w:sdtPr>
                <w:rPr>
                  <w:rFonts w:asciiTheme="majorBidi" w:hAnsiTheme="majorBidi" w:cstheme="majorBidi"/>
                  <w:lang w:val="en-US"/>
                </w:rPr>
                <w:alias w:val="ContactNameOrgCountry"/>
                <w:tag w:val="ContactNameOrgCountry"/>
                <w:id w:val="-161629819"/>
                <w:placeholder>
                  <w:docPart w:val="B66E9E9A7B01B34D95F35656D5261C12"/>
                </w:placeholder>
                <w:text w:multiLine="1"/>
              </w:sdtPr>
              <w:sdtEndPr/>
              <w:sdtContent>
                <w:r w:rsidR="00B538EA" w:rsidRPr="00703862">
                  <w:rPr>
                    <w:rFonts w:asciiTheme="majorBidi" w:hAnsiTheme="majorBidi" w:cstheme="majorBidi"/>
                    <w:lang w:val="en-US"/>
                  </w:rPr>
                  <w:t>Arnaud Taddei</w:t>
                </w:r>
                <w:r w:rsidR="00B538EA" w:rsidRPr="00703862">
                  <w:rPr>
                    <w:rFonts w:asciiTheme="majorBidi" w:hAnsiTheme="majorBidi" w:cstheme="majorBidi"/>
                    <w:lang w:val="en-US"/>
                  </w:rPr>
                  <w:br/>
                  <w:t>Symantec Corporation</w:t>
                </w:r>
                <w:r w:rsidR="00B538EA" w:rsidRPr="00703862">
                  <w:rPr>
                    <w:rFonts w:asciiTheme="majorBidi" w:hAnsiTheme="majorBidi" w:cstheme="majorBidi"/>
                    <w:lang w:val="en-US"/>
                  </w:rPr>
                  <w:br/>
                  <w:t>United States of America</w:t>
                </w:r>
              </w:sdtContent>
            </w:sdt>
          </w:p>
        </w:tc>
        <w:sdt>
          <w:sdtPr>
            <w:rPr>
              <w:rFonts w:asciiTheme="majorBidi" w:hAnsiTheme="majorBidi" w:cstheme="majorBidi"/>
            </w:rPr>
            <w:alias w:val="ContactTelFaxEmail"/>
            <w:tag w:val="ContactTelFaxEmail"/>
            <w:id w:val="-1833210950"/>
            <w:placeholder>
              <w:docPart w:val="C16155258CA0B14797F2CE749D1F2C83"/>
            </w:placeholder>
          </w:sdtPr>
          <w:sdtEndPr/>
          <w:sdtContent>
            <w:sdt>
              <w:sdtPr>
                <w:rPr>
                  <w:rFonts w:asciiTheme="majorBidi" w:hAnsiTheme="majorBidi" w:cstheme="majorBidi"/>
                </w:rPr>
                <w:alias w:val="ContactTelFaxEmail"/>
                <w:tag w:val="ContactTelFaxEmail"/>
                <w:id w:val="-1900346501"/>
                <w:placeholder>
                  <w:docPart w:val="F08A05733CB5B54DAEFB111F1B4088AE"/>
                </w:placeholder>
              </w:sdtPr>
              <w:sdtEndPr/>
              <w:sdtContent>
                <w:tc>
                  <w:tcPr>
                    <w:tcW w:w="4536" w:type="dxa"/>
                    <w:tcBorders>
                      <w:top w:val="single" w:sz="8" w:space="0" w:color="auto"/>
                      <w:bottom w:val="single" w:sz="8" w:space="0" w:color="auto"/>
                    </w:tcBorders>
                  </w:tcPr>
                  <w:p w14:paraId="09EF1167" w14:textId="77777777" w:rsidR="00B538EA" w:rsidRPr="00703862" w:rsidRDefault="00B538EA" w:rsidP="00703862">
                    <w:pPr>
                      <w:spacing w:before="120"/>
                      <w:rPr>
                        <w:rFonts w:asciiTheme="majorBidi" w:hAnsiTheme="majorBidi" w:cstheme="majorBidi"/>
                        <w:lang w:val="pt-BR"/>
                      </w:rPr>
                    </w:pPr>
                    <w:r w:rsidRPr="00703862">
                      <w:rPr>
                        <w:rFonts w:asciiTheme="majorBidi" w:hAnsiTheme="majorBidi" w:cstheme="majorBidi"/>
                        <w:lang w:val="pt-BR"/>
                      </w:rPr>
                      <w:t>Tel: +41 79 506 1129</w:t>
                    </w:r>
                    <w:r w:rsidRPr="00703862">
                      <w:rPr>
                        <w:rFonts w:asciiTheme="majorBidi" w:hAnsiTheme="majorBidi" w:cstheme="majorBidi"/>
                        <w:lang w:val="pt-BR"/>
                      </w:rPr>
                      <w:br/>
                      <w:t xml:space="preserve">E-mail: </w:t>
                    </w:r>
                    <w:hyperlink r:id="rId11" w:history="1">
                      <w:r w:rsidRPr="00703862">
                        <w:rPr>
                          <w:rStyle w:val="Hyperlink"/>
                          <w:rFonts w:cstheme="majorBidi"/>
                          <w:lang w:val="pt-BR"/>
                        </w:rPr>
                        <w:t>Arnaud_Taddei@symantec.com</w:t>
                      </w:r>
                    </w:hyperlink>
                    <w:r w:rsidRPr="00703862">
                      <w:rPr>
                        <w:rFonts w:asciiTheme="majorBidi" w:hAnsiTheme="majorBidi" w:cstheme="majorBidi"/>
                        <w:lang w:val="pt-BR"/>
                      </w:rPr>
                      <w:t xml:space="preserve"> </w:t>
                    </w:r>
                  </w:p>
                </w:tc>
              </w:sdtContent>
            </w:sdt>
          </w:sdtContent>
        </w:sdt>
      </w:tr>
    </w:tbl>
    <w:p w14:paraId="1E5882FC" w14:textId="77777777" w:rsidR="00DB0706" w:rsidRPr="00703862" w:rsidRDefault="00DB0706" w:rsidP="0089088E">
      <w:pPr>
        <w:rPr>
          <w:rFonts w:asciiTheme="majorBidi" w:hAnsiTheme="majorBidi" w:cstheme="majorBidi"/>
          <w:lang w:val="pt-B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89088E" w:rsidRPr="00485781" w14:paraId="74007F86" w14:textId="77777777" w:rsidTr="005571A4">
        <w:trPr>
          <w:cantSplit/>
        </w:trPr>
        <w:tc>
          <w:tcPr>
            <w:tcW w:w="1616" w:type="dxa"/>
          </w:tcPr>
          <w:p w14:paraId="44A5BCB6" w14:textId="77777777" w:rsidR="0089088E" w:rsidRPr="00703862" w:rsidRDefault="0089088E" w:rsidP="00703862">
            <w:pPr>
              <w:spacing w:before="120" w:after="60"/>
              <w:rPr>
                <w:rFonts w:asciiTheme="majorBidi" w:hAnsiTheme="majorBidi" w:cstheme="majorBidi"/>
                <w:b/>
                <w:bCs/>
              </w:rPr>
            </w:pPr>
            <w:r w:rsidRPr="00703862">
              <w:rPr>
                <w:rFonts w:asciiTheme="majorBidi" w:hAnsiTheme="majorBidi" w:cstheme="majorBidi"/>
                <w:b/>
                <w:bCs/>
              </w:rPr>
              <w:t>Keywords:</w:t>
            </w:r>
          </w:p>
        </w:tc>
        <w:tc>
          <w:tcPr>
            <w:tcW w:w="8363" w:type="dxa"/>
          </w:tcPr>
          <w:p w14:paraId="254570AE" w14:textId="77777777" w:rsidR="0089088E" w:rsidRPr="00703862" w:rsidRDefault="00BE53AA" w:rsidP="00703862">
            <w:pPr>
              <w:spacing w:before="120" w:after="60"/>
              <w:rPr>
                <w:rFonts w:asciiTheme="majorBidi" w:hAnsiTheme="majorBidi" w:cstheme="majorBidi"/>
                <w:lang w:val="en-US"/>
              </w:rPr>
            </w:pPr>
            <w:sdt>
              <w:sdtPr>
                <w:rPr>
                  <w:rFonts w:asciiTheme="majorBidi" w:hAnsiTheme="majorBidi" w:cstheme="majorBidi"/>
                  <w:lang w:val="en-US"/>
                </w:rPr>
                <w:alias w:val="Keywords"/>
                <w:tag w:val="Keywords"/>
                <w:id w:val="-1329598096"/>
                <w:placeholder>
                  <w:docPart w:val="C259800AD439456F86001229E9F6B8CD"/>
                </w:placeholder>
                <w:dataBinding w:prefixMappings="xmlns:ns0='http://purl.org/dc/elements/1.1/' xmlns:ns1='http://schemas.openxmlformats.org/package/2006/metadata/core-properties' " w:xpath="/ns1:coreProperties[1]/ns1:keywords[1]" w:storeItemID="{6C3C8BC8-F283-45AE-878A-BAB7291924A1}"/>
                <w:text/>
              </w:sdtPr>
              <w:sdtEndPr/>
              <w:sdtContent>
                <w:r w:rsidR="00B538EA" w:rsidRPr="00703862">
                  <w:rPr>
                    <w:rFonts w:asciiTheme="majorBidi" w:hAnsiTheme="majorBidi" w:cstheme="majorBidi"/>
                    <w:lang w:val="en-US"/>
                  </w:rPr>
                  <w:t>Quantum; Focus Group; Final Report</w:t>
                </w:r>
                <w:r w:rsidR="00703862">
                  <w:rPr>
                    <w:rFonts w:asciiTheme="majorBidi" w:hAnsiTheme="majorBidi" w:cstheme="majorBidi"/>
                    <w:lang w:val="en-US"/>
                  </w:rPr>
                  <w:t>;</w:t>
                </w:r>
              </w:sdtContent>
            </w:sdt>
          </w:p>
        </w:tc>
      </w:tr>
      <w:tr w:rsidR="0089088E" w:rsidRPr="00485781" w14:paraId="0F2604F8" w14:textId="77777777" w:rsidTr="005571A4">
        <w:trPr>
          <w:cantSplit/>
        </w:trPr>
        <w:tc>
          <w:tcPr>
            <w:tcW w:w="1616" w:type="dxa"/>
          </w:tcPr>
          <w:p w14:paraId="52294059" w14:textId="77777777" w:rsidR="0089088E" w:rsidRPr="00703862" w:rsidRDefault="0089088E" w:rsidP="00703862">
            <w:pPr>
              <w:spacing w:before="120" w:after="60"/>
              <w:rPr>
                <w:rFonts w:asciiTheme="majorBidi" w:hAnsiTheme="majorBidi" w:cstheme="majorBidi"/>
                <w:b/>
                <w:bCs/>
              </w:rPr>
            </w:pPr>
            <w:r w:rsidRPr="00703862">
              <w:rPr>
                <w:rFonts w:asciiTheme="majorBidi" w:hAnsiTheme="majorBidi" w:cstheme="majorBidi"/>
                <w:b/>
                <w:bCs/>
              </w:rPr>
              <w:t>Abstract:</w:t>
            </w:r>
          </w:p>
        </w:tc>
        <w:sdt>
          <w:sdtPr>
            <w:rPr>
              <w:rFonts w:asciiTheme="majorBidi" w:hAnsiTheme="majorBidi" w:cstheme="majorBidi"/>
              <w:lang w:val="en-US"/>
            </w:rPr>
            <w:alias w:val="Abstract"/>
            <w:tag w:val="Abstract"/>
            <w:id w:val="-939903723"/>
            <w:placeholder>
              <w:docPart w:val="492BE26494BC4227B909FEB578E1048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63" w:type="dxa"/>
              </w:tcPr>
              <w:p w14:paraId="13967C2A" w14:textId="37DC8BFC" w:rsidR="0089088E" w:rsidRPr="00703862" w:rsidRDefault="00B538EA" w:rsidP="00C501EA">
                <w:pPr>
                  <w:spacing w:before="120" w:after="60"/>
                  <w:rPr>
                    <w:rFonts w:asciiTheme="majorBidi" w:hAnsiTheme="majorBidi" w:cstheme="majorBidi"/>
                    <w:lang w:val="en-US"/>
                  </w:rPr>
                </w:pPr>
                <w:r w:rsidRPr="00703862">
                  <w:rPr>
                    <w:rFonts w:asciiTheme="majorBidi" w:hAnsiTheme="majorBidi" w:cstheme="majorBidi"/>
                    <w:lang w:val="en-US"/>
                  </w:rPr>
                  <w:t xml:space="preserve">This document carries the report from the </w:t>
                </w:r>
                <w:r w:rsidR="00C501EA">
                  <w:rPr>
                    <w:rFonts w:asciiTheme="majorBidi" w:hAnsiTheme="majorBidi" w:cstheme="majorBidi"/>
                    <w:lang w:val="en-US"/>
                  </w:rPr>
                  <w:t>C</w:t>
                </w:r>
                <w:r w:rsidRPr="00703862">
                  <w:rPr>
                    <w:rFonts w:asciiTheme="majorBidi" w:hAnsiTheme="majorBidi" w:cstheme="majorBidi"/>
                    <w:lang w:val="en-US"/>
                  </w:rPr>
                  <w:t xml:space="preserve">hairman of the </w:t>
                </w:r>
                <w:r w:rsidR="00C501EA">
                  <w:rPr>
                    <w:rFonts w:asciiTheme="majorBidi" w:hAnsiTheme="majorBidi" w:cstheme="majorBidi"/>
                    <w:lang w:val="en-US"/>
                  </w:rPr>
                  <w:t>Q</w:t>
                </w:r>
                <w:r w:rsidRPr="00703862">
                  <w:rPr>
                    <w:rFonts w:asciiTheme="majorBidi" w:hAnsiTheme="majorBidi" w:cstheme="majorBidi"/>
                    <w:lang w:val="en-US"/>
                  </w:rPr>
                  <w:t xml:space="preserve">uantum </w:t>
                </w:r>
                <w:r w:rsidR="00C501EA">
                  <w:rPr>
                    <w:rFonts w:asciiTheme="majorBidi" w:hAnsiTheme="majorBidi" w:cstheme="majorBidi"/>
                    <w:lang w:val="en-US"/>
                  </w:rPr>
                  <w:t>A</w:t>
                </w:r>
                <w:r w:rsidRPr="00703862">
                  <w:rPr>
                    <w:rFonts w:asciiTheme="majorBidi" w:hAnsiTheme="majorBidi" w:cstheme="majorBidi"/>
                    <w:lang w:val="en-US"/>
                  </w:rPr>
                  <w:t>dhoc sessions to the TSAG closing plenary</w:t>
                </w:r>
                <w:r w:rsidR="00703862">
                  <w:rPr>
                    <w:rFonts w:asciiTheme="majorBidi" w:hAnsiTheme="majorBidi" w:cstheme="majorBidi"/>
                    <w:lang w:val="en-US"/>
                  </w:rPr>
                  <w:t>.</w:t>
                </w:r>
              </w:p>
            </w:tc>
          </w:sdtContent>
        </w:sdt>
      </w:tr>
    </w:tbl>
    <w:p w14:paraId="409949ED" w14:textId="77777777" w:rsidR="0089088E" w:rsidRPr="00703862" w:rsidRDefault="0089088E" w:rsidP="0089088E">
      <w:pPr>
        <w:rPr>
          <w:rFonts w:asciiTheme="majorBidi" w:hAnsiTheme="majorBidi" w:cstheme="majorBidi"/>
          <w:lang w:val="en-US"/>
        </w:rPr>
      </w:pPr>
    </w:p>
    <w:p w14:paraId="53B5ECE7" w14:textId="77777777" w:rsidR="00EE5EF4" w:rsidRPr="00703862" w:rsidRDefault="00B538EA" w:rsidP="007472DA">
      <w:pPr>
        <w:pStyle w:val="Heading1"/>
        <w:rPr>
          <w:rFonts w:asciiTheme="majorBidi" w:hAnsiTheme="majorBidi" w:cstheme="majorBidi"/>
          <w:szCs w:val="24"/>
        </w:rPr>
      </w:pPr>
      <w:r w:rsidRPr="00703862">
        <w:rPr>
          <w:rFonts w:asciiTheme="majorBidi" w:hAnsiTheme="majorBidi" w:cstheme="majorBidi"/>
          <w:szCs w:val="24"/>
        </w:rPr>
        <w:t>Introduction</w:t>
      </w:r>
    </w:p>
    <w:p w14:paraId="054E31AA" w14:textId="77777777" w:rsidR="007472DA" w:rsidRPr="00703862" w:rsidRDefault="007472DA" w:rsidP="007472DA">
      <w:pPr>
        <w:rPr>
          <w:rFonts w:asciiTheme="majorBidi" w:hAnsiTheme="majorBidi" w:cstheme="majorBidi"/>
          <w:lang w:eastAsia="en-US"/>
        </w:rPr>
      </w:pPr>
    </w:p>
    <w:p w14:paraId="23D3EEC6" w14:textId="18AFDBE1" w:rsidR="00B538EA" w:rsidRDefault="00EE5EF4" w:rsidP="00EE5EF4">
      <w:pPr>
        <w:rPr>
          <w:rFonts w:asciiTheme="majorBidi" w:hAnsiTheme="majorBidi" w:cstheme="majorBidi"/>
          <w:lang w:val="en-US"/>
        </w:rPr>
      </w:pPr>
      <w:r w:rsidRPr="00703862">
        <w:rPr>
          <w:rFonts w:asciiTheme="majorBidi" w:hAnsiTheme="majorBidi" w:cstheme="majorBidi"/>
          <w:lang w:val="en-US"/>
        </w:rPr>
        <w:t xml:space="preserve">At the TSAG opening plenary, based on </w:t>
      </w:r>
      <w:r w:rsidR="00C501EA">
        <w:rPr>
          <w:rFonts w:asciiTheme="majorBidi" w:hAnsiTheme="majorBidi" w:cstheme="majorBidi"/>
          <w:lang w:val="en-US"/>
        </w:rPr>
        <w:t xml:space="preserve">different views expressed on </w:t>
      </w:r>
      <w:r w:rsidR="008031D5">
        <w:rPr>
          <w:rFonts w:asciiTheme="majorBidi" w:hAnsiTheme="majorBidi" w:cstheme="majorBidi"/>
          <w:lang w:val="en-US"/>
        </w:rPr>
        <w:t xml:space="preserve">written </w:t>
      </w:r>
      <w:r w:rsidRPr="00703862">
        <w:rPr>
          <w:rFonts w:asciiTheme="majorBidi" w:hAnsiTheme="majorBidi" w:cstheme="majorBidi"/>
          <w:lang w:val="en-US"/>
        </w:rPr>
        <w:t xml:space="preserve">contribution </w:t>
      </w:r>
      <w:hyperlink r:id="rId12" w:history="1">
        <w:r w:rsidR="00C501EA">
          <w:rPr>
            <w:rStyle w:val="Hyperlink"/>
            <w:rFonts w:cstheme="majorBidi"/>
            <w:lang w:val="en-US"/>
          </w:rPr>
          <w:t>C97</w:t>
        </w:r>
      </w:hyperlink>
      <w:r w:rsidRPr="00703862">
        <w:rPr>
          <w:rFonts w:asciiTheme="majorBidi" w:hAnsiTheme="majorBidi" w:cstheme="majorBidi"/>
          <w:lang w:val="en-US"/>
        </w:rPr>
        <w:t xml:space="preserve"> from </w:t>
      </w:r>
      <w:r w:rsidR="00A35C40" w:rsidRPr="008234A7">
        <w:rPr>
          <w:rFonts w:asciiTheme="majorBidi" w:hAnsiTheme="majorBidi" w:cstheme="majorBidi"/>
          <w:lang w:val="en-US"/>
        </w:rPr>
        <w:t xml:space="preserve">CAS Quantum Network Co., Ltd., QuantumCTek Co., Ltd., KT corp., China Mobile, China Telecom, China Unicom, Huawei Technologies Co., Ltd., ZTE Corp., BUPT, </w:t>
      </w:r>
      <w:r w:rsidR="00A35C40">
        <w:rPr>
          <w:rFonts w:asciiTheme="majorBidi" w:hAnsiTheme="majorBidi" w:cstheme="majorBidi"/>
          <w:lang w:val="en-US"/>
        </w:rPr>
        <w:t xml:space="preserve">and </w:t>
      </w:r>
      <w:r w:rsidR="00A35C40" w:rsidRPr="008234A7">
        <w:rPr>
          <w:rFonts w:asciiTheme="majorBidi" w:hAnsiTheme="majorBidi" w:cstheme="majorBidi"/>
          <w:lang w:val="en-US"/>
        </w:rPr>
        <w:t>China Information Communication Technologies Group Corp.</w:t>
      </w:r>
      <w:r w:rsidR="00A35C40">
        <w:rPr>
          <w:rFonts w:asciiTheme="majorBidi" w:hAnsiTheme="majorBidi" w:cstheme="majorBidi"/>
          <w:lang w:val="en-US"/>
        </w:rPr>
        <w:t xml:space="preserve">, </w:t>
      </w:r>
      <w:r w:rsidRPr="00703862">
        <w:rPr>
          <w:rFonts w:asciiTheme="majorBidi" w:hAnsiTheme="majorBidi" w:cstheme="majorBidi"/>
          <w:lang w:val="en-US"/>
        </w:rPr>
        <w:t>proposing the establishment of a Focus Group on Quantum Information Technology for Net</w:t>
      </w:r>
      <w:r w:rsidR="00C501EA">
        <w:rPr>
          <w:rFonts w:asciiTheme="majorBidi" w:hAnsiTheme="majorBidi" w:cstheme="majorBidi"/>
          <w:lang w:val="en-US"/>
        </w:rPr>
        <w:t xml:space="preserve">works (FG-QIT4N), </w:t>
      </w:r>
      <w:r w:rsidR="008031D5">
        <w:rPr>
          <w:rFonts w:asciiTheme="majorBidi" w:hAnsiTheme="majorBidi" w:cstheme="majorBidi"/>
          <w:lang w:val="en-US"/>
        </w:rPr>
        <w:t xml:space="preserve">including interventions proposing to establish a JCA , </w:t>
      </w:r>
      <w:r w:rsidRPr="00703862">
        <w:rPr>
          <w:rFonts w:asciiTheme="majorBidi" w:hAnsiTheme="majorBidi" w:cstheme="majorBidi"/>
          <w:lang w:val="en-US"/>
        </w:rPr>
        <w:t>TSAG create</w:t>
      </w:r>
      <w:r w:rsidR="00D2379F">
        <w:rPr>
          <w:rFonts w:asciiTheme="majorBidi" w:hAnsiTheme="majorBidi" w:cstheme="majorBidi"/>
          <w:lang w:val="en-US"/>
        </w:rPr>
        <w:t>d an</w:t>
      </w:r>
      <w:r w:rsidRPr="00703862">
        <w:rPr>
          <w:rFonts w:asciiTheme="majorBidi" w:hAnsiTheme="majorBidi" w:cstheme="majorBidi"/>
          <w:lang w:val="en-US"/>
        </w:rPr>
        <w:t xml:space="preserve"> </w:t>
      </w:r>
      <w:r w:rsidR="00C501EA">
        <w:rPr>
          <w:rFonts w:asciiTheme="majorBidi" w:hAnsiTheme="majorBidi" w:cstheme="majorBidi"/>
          <w:lang w:val="en-US"/>
        </w:rPr>
        <w:t>A</w:t>
      </w:r>
      <w:r w:rsidRPr="00703862">
        <w:rPr>
          <w:rFonts w:asciiTheme="majorBidi" w:hAnsiTheme="majorBidi" w:cstheme="majorBidi"/>
          <w:lang w:val="en-US"/>
        </w:rPr>
        <w:t xml:space="preserve">dhoc </w:t>
      </w:r>
      <w:r w:rsidR="00D2379F">
        <w:rPr>
          <w:rFonts w:asciiTheme="majorBidi" w:hAnsiTheme="majorBidi" w:cstheme="majorBidi"/>
          <w:lang w:val="en-US"/>
        </w:rPr>
        <w:t>discussion</w:t>
      </w:r>
      <w:r w:rsidRPr="00703862">
        <w:rPr>
          <w:rFonts w:asciiTheme="majorBidi" w:hAnsiTheme="majorBidi" w:cstheme="majorBidi"/>
          <w:lang w:val="en-US"/>
        </w:rPr>
        <w:t xml:space="preserve"> </w:t>
      </w:r>
      <w:r w:rsidR="00D2379F">
        <w:rPr>
          <w:rFonts w:asciiTheme="majorBidi" w:hAnsiTheme="majorBidi" w:cstheme="majorBidi"/>
          <w:lang w:val="en-US"/>
        </w:rPr>
        <w:t>on</w:t>
      </w:r>
      <w:r w:rsidRPr="00703862">
        <w:rPr>
          <w:rFonts w:asciiTheme="majorBidi" w:hAnsiTheme="majorBidi" w:cstheme="majorBidi"/>
          <w:lang w:val="en-US"/>
        </w:rPr>
        <w:t xml:space="preserve"> </w:t>
      </w:r>
      <w:r w:rsidR="008D3F28">
        <w:rPr>
          <w:rFonts w:asciiTheme="majorBidi" w:hAnsiTheme="majorBidi" w:cstheme="majorBidi"/>
          <w:lang w:val="en-US"/>
        </w:rPr>
        <w:t>QIT4N</w:t>
      </w:r>
      <w:r w:rsidRPr="00703862">
        <w:rPr>
          <w:rFonts w:asciiTheme="majorBidi" w:hAnsiTheme="majorBidi" w:cstheme="majorBidi"/>
          <w:lang w:val="en-US"/>
        </w:rPr>
        <w:t xml:space="preserve">. </w:t>
      </w:r>
      <w:r w:rsidR="00D2379F">
        <w:rPr>
          <w:rFonts w:asciiTheme="majorBidi" w:hAnsiTheme="majorBidi" w:cstheme="majorBidi"/>
          <w:lang w:val="en-US"/>
        </w:rPr>
        <w:t>Its</w:t>
      </w:r>
      <w:r w:rsidR="00D2379F" w:rsidRPr="00703862">
        <w:rPr>
          <w:rFonts w:asciiTheme="majorBidi" w:hAnsiTheme="majorBidi" w:cstheme="majorBidi"/>
          <w:lang w:val="en-US"/>
        </w:rPr>
        <w:t xml:space="preserve"> </w:t>
      </w:r>
      <w:r w:rsidRPr="00703862">
        <w:rPr>
          <w:rFonts w:asciiTheme="majorBidi" w:hAnsiTheme="majorBidi" w:cstheme="majorBidi"/>
          <w:lang w:val="en-US"/>
        </w:rPr>
        <w:t xml:space="preserve">mandate </w:t>
      </w:r>
      <w:r w:rsidR="00D2379F">
        <w:rPr>
          <w:rFonts w:asciiTheme="majorBidi" w:hAnsiTheme="majorBidi" w:cstheme="majorBidi"/>
          <w:lang w:val="en-US"/>
        </w:rPr>
        <w:t>is to</w:t>
      </w:r>
      <w:r w:rsidRPr="00703862">
        <w:rPr>
          <w:rFonts w:asciiTheme="majorBidi" w:hAnsiTheme="majorBidi" w:cstheme="majorBidi"/>
          <w:lang w:val="en-US"/>
        </w:rPr>
        <w:t xml:space="preserve"> </w:t>
      </w:r>
      <w:r w:rsidR="00D2379F">
        <w:rPr>
          <w:rFonts w:asciiTheme="majorBidi" w:hAnsiTheme="majorBidi" w:cstheme="majorBidi"/>
          <w:lang w:val="en-US"/>
        </w:rPr>
        <w:t xml:space="preserve">discuss </w:t>
      </w:r>
      <w:hyperlink r:id="rId13" w:history="1">
        <w:r w:rsidR="008D3F28">
          <w:rPr>
            <w:rStyle w:val="Hyperlink"/>
            <w:rFonts w:cstheme="majorBidi"/>
            <w:lang w:val="en-US"/>
          </w:rPr>
          <w:t>C97</w:t>
        </w:r>
      </w:hyperlink>
      <w:r w:rsidR="008D3F28" w:rsidRPr="00703862">
        <w:rPr>
          <w:rFonts w:asciiTheme="majorBidi" w:hAnsiTheme="majorBidi" w:cstheme="majorBidi"/>
          <w:lang w:val="en-US"/>
        </w:rPr>
        <w:t xml:space="preserve"> </w:t>
      </w:r>
      <w:r w:rsidR="00C501EA">
        <w:rPr>
          <w:rFonts w:asciiTheme="majorBidi" w:hAnsiTheme="majorBidi" w:cstheme="majorBidi"/>
          <w:lang w:val="en-US"/>
        </w:rPr>
        <w:t xml:space="preserve">in </w:t>
      </w:r>
      <w:r w:rsidR="0015653A">
        <w:rPr>
          <w:rFonts w:asciiTheme="majorBidi" w:hAnsiTheme="majorBidi" w:cstheme="majorBidi"/>
          <w:lang w:val="en-US"/>
        </w:rPr>
        <w:t>further details</w:t>
      </w:r>
      <w:r w:rsidR="00C501EA">
        <w:rPr>
          <w:rFonts w:asciiTheme="majorBidi" w:hAnsiTheme="majorBidi" w:cstheme="majorBidi"/>
          <w:lang w:val="en-US"/>
        </w:rPr>
        <w:t xml:space="preserve"> and propose a way forward for TSAG closing plenary consideration.</w:t>
      </w:r>
      <w:r w:rsidRPr="00703862">
        <w:rPr>
          <w:rFonts w:asciiTheme="majorBidi" w:hAnsiTheme="majorBidi" w:cstheme="majorBidi"/>
          <w:lang w:val="en-US"/>
        </w:rPr>
        <w:t xml:space="preserve"> M. Arnaud Taddei accepted his nomination as Chairman for </w:t>
      </w:r>
      <w:r w:rsidR="00D2379F">
        <w:rPr>
          <w:rFonts w:asciiTheme="majorBidi" w:hAnsiTheme="majorBidi" w:cstheme="majorBidi"/>
          <w:lang w:val="en-US"/>
        </w:rPr>
        <w:t>this</w:t>
      </w:r>
      <w:r w:rsidR="00D2379F" w:rsidRPr="00703862">
        <w:rPr>
          <w:rFonts w:asciiTheme="majorBidi" w:hAnsiTheme="majorBidi" w:cstheme="majorBidi"/>
          <w:lang w:val="en-US"/>
        </w:rPr>
        <w:t xml:space="preserve"> </w:t>
      </w:r>
      <w:r w:rsidR="00C501EA">
        <w:rPr>
          <w:rFonts w:asciiTheme="majorBidi" w:hAnsiTheme="majorBidi" w:cstheme="majorBidi"/>
          <w:lang w:val="en-US"/>
        </w:rPr>
        <w:t>A</w:t>
      </w:r>
      <w:r w:rsidRPr="00703862">
        <w:rPr>
          <w:rFonts w:asciiTheme="majorBidi" w:hAnsiTheme="majorBidi" w:cstheme="majorBidi"/>
          <w:lang w:val="en-US"/>
        </w:rPr>
        <w:t xml:space="preserve">dhoc </w:t>
      </w:r>
      <w:r w:rsidR="00D2379F">
        <w:rPr>
          <w:rFonts w:asciiTheme="majorBidi" w:hAnsiTheme="majorBidi" w:cstheme="majorBidi"/>
          <w:lang w:val="en-US"/>
        </w:rPr>
        <w:t>discuss</w:t>
      </w:r>
      <w:r w:rsidR="000E0A54" w:rsidRPr="00703862">
        <w:rPr>
          <w:rFonts w:asciiTheme="majorBidi" w:hAnsiTheme="majorBidi" w:cstheme="majorBidi"/>
          <w:lang w:val="en-US"/>
        </w:rPr>
        <w:t xml:space="preserve"> with the </w:t>
      </w:r>
      <w:r w:rsidR="00D2379F">
        <w:rPr>
          <w:rFonts w:asciiTheme="majorBidi" w:hAnsiTheme="majorBidi" w:cstheme="majorBidi"/>
          <w:lang w:val="en-US"/>
        </w:rPr>
        <w:t xml:space="preserve">secretary </w:t>
      </w:r>
      <w:r w:rsidR="000E0A54" w:rsidRPr="00703862">
        <w:rPr>
          <w:rFonts w:asciiTheme="majorBidi" w:hAnsiTheme="majorBidi" w:cstheme="majorBidi"/>
          <w:lang w:val="en-US"/>
        </w:rPr>
        <w:t xml:space="preserve">support </w:t>
      </w:r>
      <w:r w:rsidR="00D2379F">
        <w:rPr>
          <w:rFonts w:asciiTheme="majorBidi" w:hAnsiTheme="majorBidi" w:cstheme="majorBidi"/>
          <w:lang w:val="en-US"/>
        </w:rPr>
        <w:t>from</w:t>
      </w:r>
      <w:r w:rsidR="00D2379F" w:rsidRPr="00703862">
        <w:rPr>
          <w:rFonts w:asciiTheme="majorBidi" w:hAnsiTheme="majorBidi" w:cstheme="majorBidi"/>
          <w:lang w:val="en-US"/>
        </w:rPr>
        <w:t xml:space="preserve"> </w:t>
      </w:r>
      <w:r w:rsidR="000E0A54" w:rsidRPr="00703862">
        <w:rPr>
          <w:rFonts w:asciiTheme="majorBidi" w:hAnsiTheme="majorBidi" w:cstheme="majorBidi"/>
          <w:lang w:val="en-US"/>
        </w:rPr>
        <w:t xml:space="preserve">Mrs Xiaoya Yang from </w:t>
      </w:r>
      <w:r w:rsidR="00D2379F">
        <w:rPr>
          <w:rFonts w:asciiTheme="majorBidi" w:hAnsiTheme="majorBidi" w:cstheme="majorBidi"/>
          <w:lang w:val="en-US"/>
        </w:rPr>
        <w:t>ITU-TSB</w:t>
      </w:r>
      <w:r w:rsidR="000E0A54" w:rsidRPr="00703862">
        <w:rPr>
          <w:rFonts w:asciiTheme="majorBidi" w:hAnsiTheme="majorBidi" w:cstheme="majorBidi"/>
          <w:lang w:val="en-US"/>
        </w:rPr>
        <w:t>.</w:t>
      </w:r>
    </w:p>
    <w:p w14:paraId="740A12C1" w14:textId="417E6010" w:rsidR="00B11FBE" w:rsidRDefault="00B11FBE" w:rsidP="00EE5EF4">
      <w:pPr>
        <w:rPr>
          <w:rFonts w:asciiTheme="majorBidi" w:hAnsiTheme="majorBidi" w:cstheme="majorBidi"/>
          <w:lang w:val="en-US"/>
        </w:rPr>
      </w:pPr>
    </w:p>
    <w:p w14:paraId="091BF234" w14:textId="77777777" w:rsidR="00B11FBE" w:rsidRDefault="00B11FBE" w:rsidP="00B11FBE">
      <w:pPr>
        <w:pStyle w:val="Heading1"/>
        <w:rPr>
          <w:lang w:val="en-US"/>
        </w:rPr>
      </w:pPr>
      <w:r>
        <w:rPr>
          <w:lang w:val="en-US"/>
        </w:rPr>
        <w:t>Method followed</w:t>
      </w:r>
    </w:p>
    <w:p w14:paraId="10277050" w14:textId="77777777" w:rsidR="00B11FBE" w:rsidRDefault="00B11FBE" w:rsidP="00B11FBE">
      <w:pPr>
        <w:rPr>
          <w:lang w:val="en-US" w:eastAsia="en-US"/>
        </w:rPr>
      </w:pPr>
    </w:p>
    <w:p w14:paraId="19D24115" w14:textId="77777777" w:rsidR="00B11FBE" w:rsidRDefault="00B11FBE" w:rsidP="00B11FBE">
      <w:pPr>
        <w:rPr>
          <w:lang w:val="en-US" w:eastAsia="en-US"/>
        </w:rPr>
      </w:pPr>
      <w:r>
        <w:rPr>
          <w:lang w:val="en-US" w:eastAsia="en-US"/>
        </w:rPr>
        <w:t xml:space="preserve">As the experience of chairing the adhoc quantum session at the December TSAG meeting, Chairman could this time anticipate a bit more this mandate and be more prepared. </w:t>
      </w:r>
    </w:p>
    <w:p w14:paraId="4D67A9F3" w14:textId="77777777" w:rsidR="00B11FBE" w:rsidRDefault="00B11FBE" w:rsidP="00B11FBE">
      <w:pPr>
        <w:rPr>
          <w:lang w:val="en-US" w:eastAsia="en-US"/>
        </w:rPr>
      </w:pPr>
    </w:p>
    <w:p w14:paraId="540C621C" w14:textId="22EEB996" w:rsidR="00B11FBE" w:rsidRDefault="00B11FBE" w:rsidP="00B11FBE">
      <w:pPr>
        <w:rPr>
          <w:lang w:val="en-US" w:eastAsia="en-US"/>
        </w:rPr>
      </w:pPr>
      <w:r>
        <w:rPr>
          <w:lang w:val="en-US" w:eastAsia="en-US"/>
        </w:rPr>
        <w:t xml:space="preserve">Chairman recognized upfront a number of dimensions to the problem and realized that a traditional method to approach these quantum sessions by directly looking at C97 text would provide a significant limitation to the discussions and more important to the general mutual understanding. </w:t>
      </w:r>
    </w:p>
    <w:p w14:paraId="74A3597B" w14:textId="47A61A16" w:rsidR="00B11FBE" w:rsidRDefault="00B11FBE" w:rsidP="00B11FBE">
      <w:pPr>
        <w:rPr>
          <w:lang w:val="en-US" w:eastAsia="en-US"/>
        </w:rPr>
      </w:pPr>
    </w:p>
    <w:p w14:paraId="273180CF" w14:textId="77777777" w:rsidR="00A27C85" w:rsidRDefault="00A27C85" w:rsidP="00B11FBE">
      <w:pPr>
        <w:rPr>
          <w:lang w:val="en-US" w:eastAsia="en-US"/>
        </w:rPr>
      </w:pPr>
      <w:r>
        <w:rPr>
          <w:lang w:val="en-US" w:eastAsia="en-US"/>
        </w:rPr>
        <w:t>Chairman was inspired by 2 considerations:</w:t>
      </w:r>
    </w:p>
    <w:p w14:paraId="4A438C4B" w14:textId="554A131C" w:rsidR="00B11FBE" w:rsidRDefault="00A27C85" w:rsidP="00A27C85">
      <w:pPr>
        <w:pStyle w:val="ListParagraph"/>
        <w:numPr>
          <w:ilvl w:val="0"/>
          <w:numId w:val="22"/>
        </w:numPr>
        <w:rPr>
          <w:lang w:val="en-US" w:eastAsia="en-US"/>
        </w:rPr>
      </w:pPr>
      <w:r>
        <w:rPr>
          <w:lang w:val="en-US" w:eastAsia="en-US"/>
        </w:rPr>
        <w:t>A</w:t>
      </w:r>
      <w:r w:rsidR="00B11FBE" w:rsidRPr="00A27C85">
        <w:rPr>
          <w:lang w:val="en-US" w:eastAsia="en-US"/>
        </w:rPr>
        <w:t xml:space="preserve"> veteran delegate </w:t>
      </w:r>
      <w:r>
        <w:rPr>
          <w:lang w:val="en-US" w:eastAsia="en-US"/>
        </w:rPr>
        <w:t xml:space="preserve">joining back the ITU and attending the </w:t>
      </w:r>
      <w:r w:rsidR="00B11FBE" w:rsidRPr="00A27C85">
        <w:rPr>
          <w:lang w:val="en-US" w:eastAsia="en-US"/>
        </w:rPr>
        <w:t>recent SG17 meeting</w:t>
      </w:r>
      <w:r>
        <w:rPr>
          <w:lang w:val="en-US" w:eastAsia="en-US"/>
        </w:rPr>
        <w:t xml:space="preserve"> shared that </w:t>
      </w:r>
      <w:r w:rsidR="00B11FBE" w:rsidRPr="00A27C85">
        <w:rPr>
          <w:lang w:val="en-US" w:eastAsia="en-US"/>
        </w:rPr>
        <w:t xml:space="preserve">in older days of the ITU, </w:t>
      </w:r>
      <w:r w:rsidRPr="00A27C85">
        <w:rPr>
          <w:lang w:val="en-US" w:eastAsia="en-US"/>
        </w:rPr>
        <w:t>delegates</w:t>
      </w:r>
      <w:r w:rsidR="00B11FBE" w:rsidRPr="00A27C85">
        <w:rPr>
          <w:lang w:val="en-US" w:eastAsia="en-US"/>
        </w:rPr>
        <w:t xml:space="preserve"> were not jumping straight to text reviews but were taking the time of a first ‘philosphical’ discussion </w:t>
      </w:r>
      <w:r>
        <w:rPr>
          <w:lang w:val="en-US" w:eastAsia="en-US"/>
        </w:rPr>
        <w:t>to align themselves</w:t>
      </w:r>
    </w:p>
    <w:p w14:paraId="15CBE9A6" w14:textId="5531D1E2" w:rsidR="00A27C85" w:rsidRDefault="00A27C85" w:rsidP="00A27C85">
      <w:pPr>
        <w:pStyle w:val="ListParagraph"/>
        <w:numPr>
          <w:ilvl w:val="0"/>
          <w:numId w:val="22"/>
        </w:numPr>
        <w:rPr>
          <w:lang w:val="en-US" w:eastAsia="en-US"/>
        </w:rPr>
      </w:pPr>
      <w:r>
        <w:rPr>
          <w:lang w:val="en-US" w:eastAsia="en-US"/>
        </w:rPr>
        <w:lastRenderedPageBreak/>
        <w:t>The value of the result of a negotiation is proportional to the information shared by the parties</w:t>
      </w:r>
    </w:p>
    <w:p w14:paraId="2ADFFC43" w14:textId="77777777" w:rsidR="00385E5A" w:rsidRDefault="00A27C85" w:rsidP="00A27C85">
      <w:pPr>
        <w:rPr>
          <w:lang w:val="en-US" w:eastAsia="en-US"/>
        </w:rPr>
      </w:pPr>
      <w:r>
        <w:rPr>
          <w:lang w:val="en-US" w:eastAsia="en-US"/>
        </w:rPr>
        <w:t>The above lead Chairman to recognize the monumental amount of work required and the small amount of time to process it at this TSAG meeting</w:t>
      </w:r>
      <w:r w:rsidR="00385E5A">
        <w:rPr>
          <w:lang w:val="en-US" w:eastAsia="en-US"/>
        </w:rPr>
        <w:t>.</w:t>
      </w:r>
    </w:p>
    <w:p w14:paraId="5DB6B8E9" w14:textId="77777777" w:rsidR="00385E5A" w:rsidRDefault="00385E5A" w:rsidP="00A27C85">
      <w:pPr>
        <w:rPr>
          <w:lang w:val="en-US" w:eastAsia="en-US"/>
        </w:rPr>
      </w:pPr>
    </w:p>
    <w:p w14:paraId="7D93B147" w14:textId="38437171" w:rsidR="00385E5A" w:rsidRDefault="00385E5A" w:rsidP="00385E5A">
      <w:pPr>
        <w:rPr>
          <w:lang w:val="en-US" w:eastAsia="en-US"/>
        </w:rPr>
      </w:pPr>
      <w:r>
        <w:rPr>
          <w:lang w:val="en-US" w:eastAsia="en-US"/>
        </w:rPr>
        <w:t>S</w:t>
      </w:r>
      <w:r w:rsidR="00A27C85">
        <w:rPr>
          <w:lang w:val="en-US" w:eastAsia="en-US"/>
        </w:rPr>
        <w:t xml:space="preserve">o </w:t>
      </w:r>
      <w:r>
        <w:rPr>
          <w:lang w:val="en-US" w:eastAsia="en-US"/>
        </w:rPr>
        <w:t xml:space="preserve">Chairman </w:t>
      </w:r>
      <w:r w:rsidR="00A27C85">
        <w:rPr>
          <w:lang w:val="en-US" w:eastAsia="en-US"/>
        </w:rPr>
        <w:t xml:space="preserve">had to make </w:t>
      </w:r>
      <w:r>
        <w:rPr>
          <w:lang w:val="en-US" w:eastAsia="en-US"/>
        </w:rPr>
        <w:t xml:space="preserve">a </w:t>
      </w:r>
      <w:r w:rsidR="00A27C85">
        <w:rPr>
          <w:lang w:val="en-US" w:eastAsia="en-US"/>
        </w:rPr>
        <w:t xml:space="preserve">hard </w:t>
      </w:r>
      <w:r>
        <w:rPr>
          <w:lang w:val="en-US" w:eastAsia="en-US"/>
        </w:rPr>
        <w:t>unliateral decision on the designing an experimental approach which consisted of</w:t>
      </w:r>
    </w:p>
    <w:p w14:paraId="402C1D3E" w14:textId="3E2E6D0C" w:rsidR="00385E5A" w:rsidRDefault="00385E5A" w:rsidP="00385E5A">
      <w:pPr>
        <w:pStyle w:val="ListParagraph"/>
        <w:numPr>
          <w:ilvl w:val="0"/>
          <w:numId w:val="22"/>
        </w:numPr>
        <w:rPr>
          <w:lang w:val="en-US" w:eastAsia="en-US"/>
        </w:rPr>
      </w:pPr>
      <w:r>
        <w:rPr>
          <w:lang w:val="en-US" w:eastAsia="en-US"/>
        </w:rPr>
        <w:t>To keep the main goal as to help the team’s position to get as close as possible to each other</w:t>
      </w:r>
    </w:p>
    <w:p w14:paraId="591C4AF6" w14:textId="6BBF26CD" w:rsidR="00A27C85" w:rsidRPr="00385E5A" w:rsidRDefault="00A27C85" w:rsidP="00385E5A">
      <w:pPr>
        <w:pStyle w:val="ListParagraph"/>
        <w:numPr>
          <w:ilvl w:val="0"/>
          <w:numId w:val="22"/>
        </w:numPr>
        <w:rPr>
          <w:lang w:val="en-US" w:eastAsia="en-US"/>
        </w:rPr>
      </w:pPr>
      <w:r w:rsidRPr="00385E5A">
        <w:rPr>
          <w:lang w:val="en-US" w:eastAsia="en-US"/>
        </w:rPr>
        <w:t>Not to let the team go to a straight text review of the potential ToR</w:t>
      </w:r>
    </w:p>
    <w:p w14:paraId="04016010" w14:textId="179764B5" w:rsidR="00A27C85" w:rsidRDefault="00A27C85" w:rsidP="00A27C85">
      <w:pPr>
        <w:pStyle w:val="ListParagraph"/>
        <w:numPr>
          <w:ilvl w:val="0"/>
          <w:numId w:val="22"/>
        </w:numPr>
        <w:rPr>
          <w:lang w:val="en-US" w:eastAsia="en-US"/>
        </w:rPr>
      </w:pPr>
      <w:r>
        <w:rPr>
          <w:lang w:val="en-US" w:eastAsia="en-US"/>
        </w:rPr>
        <w:t>To prioritize the quality of the debate on its entirety to maximize the mutual understanding</w:t>
      </w:r>
    </w:p>
    <w:p w14:paraId="25FF3D1C" w14:textId="2AFA29F2" w:rsidR="00A27C85" w:rsidRDefault="00A27C85" w:rsidP="00A27C85">
      <w:pPr>
        <w:pStyle w:val="ListParagraph"/>
        <w:numPr>
          <w:ilvl w:val="0"/>
          <w:numId w:val="22"/>
        </w:numPr>
        <w:rPr>
          <w:lang w:val="en-US" w:eastAsia="en-US"/>
        </w:rPr>
      </w:pPr>
      <w:r>
        <w:rPr>
          <w:lang w:val="en-US" w:eastAsia="en-US"/>
        </w:rPr>
        <w:t xml:space="preserve">To support the above priorities by creating a live document for clarity and efficiency purposes </w:t>
      </w:r>
    </w:p>
    <w:p w14:paraId="5A27EB86" w14:textId="4F92EB6E" w:rsidR="00385E5A" w:rsidRDefault="00385E5A" w:rsidP="00A27C85">
      <w:pPr>
        <w:pStyle w:val="ListParagraph"/>
        <w:numPr>
          <w:ilvl w:val="0"/>
          <w:numId w:val="22"/>
        </w:numPr>
        <w:rPr>
          <w:lang w:val="en-US" w:eastAsia="en-US"/>
        </w:rPr>
      </w:pPr>
      <w:r>
        <w:rPr>
          <w:lang w:val="en-US" w:eastAsia="en-US"/>
        </w:rPr>
        <w:t>To not have any concern and problems unaddressed as a ‘non negotiable’</w:t>
      </w:r>
    </w:p>
    <w:p w14:paraId="525EB639" w14:textId="45AA8485" w:rsidR="00385E5A" w:rsidRDefault="00385E5A" w:rsidP="00A27C85">
      <w:pPr>
        <w:pStyle w:val="ListParagraph"/>
        <w:numPr>
          <w:ilvl w:val="0"/>
          <w:numId w:val="22"/>
        </w:numPr>
        <w:rPr>
          <w:lang w:val="en-US" w:eastAsia="en-US"/>
        </w:rPr>
      </w:pPr>
      <w:r>
        <w:rPr>
          <w:lang w:val="en-US" w:eastAsia="en-US"/>
        </w:rPr>
        <w:t>To put the chairman in a position of a ‘fuse’ to decrease potential frictions between delegates and let chairman absorb them to maximize ‘open doors’ between delegates</w:t>
      </w:r>
    </w:p>
    <w:p w14:paraId="0C514FFD" w14:textId="6ECDAA01" w:rsidR="00A27C85" w:rsidRDefault="00A27C85" w:rsidP="00A27C85">
      <w:pPr>
        <w:pStyle w:val="ListParagraph"/>
        <w:numPr>
          <w:ilvl w:val="0"/>
          <w:numId w:val="22"/>
        </w:numPr>
        <w:rPr>
          <w:lang w:val="en-US" w:eastAsia="en-US"/>
        </w:rPr>
      </w:pPr>
      <w:r>
        <w:rPr>
          <w:lang w:val="en-US" w:eastAsia="en-US"/>
        </w:rPr>
        <w:t>To maximize the time allocated to discussions and offline discussions</w:t>
      </w:r>
      <w:r w:rsidR="00C52471">
        <w:rPr>
          <w:lang w:val="en-US" w:eastAsia="en-US"/>
        </w:rPr>
        <w:t xml:space="preserve"> rather than in excessive documentation</w:t>
      </w:r>
    </w:p>
    <w:p w14:paraId="62FFD382" w14:textId="2EA43E85" w:rsidR="00C52471" w:rsidRDefault="00C52471" w:rsidP="00A27C85">
      <w:pPr>
        <w:pStyle w:val="ListParagraph"/>
        <w:numPr>
          <w:ilvl w:val="0"/>
          <w:numId w:val="22"/>
        </w:numPr>
        <w:rPr>
          <w:lang w:val="en-US" w:eastAsia="en-US"/>
        </w:rPr>
      </w:pPr>
      <w:r>
        <w:rPr>
          <w:lang w:val="en-US" w:eastAsia="en-US"/>
        </w:rPr>
        <w:t>To exhaust the full review of the list of all logical aspects of the negotiation</w:t>
      </w:r>
    </w:p>
    <w:p w14:paraId="1D8B2289" w14:textId="41563655" w:rsidR="00A27C85" w:rsidRDefault="00A27C85" w:rsidP="00A27C85">
      <w:pPr>
        <w:rPr>
          <w:lang w:val="en-US" w:eastAsia="en-US"/>
        </w:rPr>
      </w:pPr>
    </w:p>
    <w:p w14:paraId="236F23A3" w14:textId="3F67DA40" w:rsidR="00A27C85" w:rsidRPr="00A27C85" w:rsidRDefault="00385E5A" w:rsidP="00485781">
      <w:pPr>
        <w:rPr>
          <w:lang w:val="en-US" w:eastAsia="en-US"/>
        </w:rPr>
      </w:pPr>
      <w:r>
        <w:rPr>
          <w:lang w:val="en-US" w:eastAsia="en-US"/>
        </w:rPr>
        <w:t>This approach has a ‘cost’ that it didn’t allow to produce a minute after each session but rather all the interventions and notes are captured in the live document. So</w:t>
      </w:r>
      <w:r w:rsidR="00C52471">
        <w:rPr>
          <w:lang w:val="en-US" w:eastAsia="en-US"/>
        </w:rPr>
        <w:t>,</w:t>
      </w:r>
      <w:r>
        <w:rPr>
          <w:lang w:val="en-US" w:eastAsia="en-US"/>
        </w:rPr>
        <w:t xml:space="preserve"> nothing should be lost but it is simply harder to follow the whole sequence of events.</w:t>
      </w:r>
    </w:p>
    <w:p w14:paraId="1385159D" w14:textId="6AFC1DA5" w:rsidR="00A27C85" w:rsidRDefault="00A27C85" w:rsidP="00A27C85">
      <w:pPr>
        <w:rPr>
          <w:lang w:val="en-US" w:eastAsia="en-US"/>
        </w:rPr>
      </w:pPr>
    </w:p>
    <w:p w14:paraId="33DB0D87" w14:textId="4C8A8654" w:rsidR="00B11FBE" w:rsidRDefault="00385E5A" w:rsidP="00B11FBE">
      <w:pPr>
        <w:rPr>
          <w:lang w:val="en-US" w:eastAsia="en-US"/>
        </w:rPr>
      </w:pPr>
      <w:r>
        <w:rPr>
          <w:lang w:val="en-US" w:eastAsia="en-US"/>
        </w:rPr>
        <w:t>This approach</w:t>
      </w:r>
      <w:r w:rsidR="00C52471">
        <w:rPr>
          <w:lang w:val="en-US" w:eastAsia="en-US"/>
        </w:rPr>
        <w:t xml:space="preserve"> was not perfect and Chairman reflected on that (and should take a step back on how to improve for the future) but Chairman considers it brought a lot of fruits among which</w:t>
      </w:r>
    </w:p>
    <w:p w14:paraId="24DD57D1" w14:textId="1DECCD1C" w:rsidR="00C52471" w:rsidRDefault="00C52471" w:rsidP="00C52471">
      <w:pPr>
        <w:pStyle w:val="ListParagraph"/>
        <w:numPr>
          <w:ilvl w:val="0"/>
          <w:numId w:val="22"/>
        </w:numPr>
        <w:rPr>
          <w:lang w:val="en-US" w:eastAsia="en-US"/>
        </w:rPr>
      </w:pPr>
      <w:r>
        <w:rPr>
          <w:lang w:val="en-US" w:eastAsia="en-US"/>
        </w:rPr>
        <w:t>The live document allowed a lot of visualizations and clarifications</w:t>
      </w:r>
    </w:p>
    <w:p w14:paraId="3C883F27" w14:textId="599666E3" w:rsidR="00C52471" w:rsidRDefault="00C52471" w:rsidP="00C52471">
      <w:pPr>
        <w:pStyle w:val="ListParagraph"/>
        <w:numPr>
          <w:ilvl w:val="0"/>
          <w:numId w:val="22"/>
        </w:numPr>
        <w:rPr>
          <w:lang w:val="en-US" w:eastAsia="en-US"/>
        </w:rPr>
      </w:pPr>
      <w:r>
        <w:rPr>
          <w:lang w:val="en-US" w:eastAsia="en-US"/>
        </w:rPr>
        <w:t>It allowed to decompose the problem in steps and align all the understandings across the participants</w:t>
      </w:r>
    </w:p>
    <w:p w14:paraId="3C01F1B9" w14:textId="6DFF4AA2" w:rsidR="00C52471" w:rsidRDefault="00C52471" w:rsidP="00C52471">
      <w:pPr>
        <w:pStyle w:val="ListParagraph"/>
        <w:numPr>
          <w:ilvl w:val="0"/>
          <w:numId w:val="22"/>
        </w:numPr>
        <w:rPr>
          <w:lang w:val="en-US" w:eastAsia="en-US"/>
        </w:rPr>
      </w:pPr>
      <w:r>
        <w:rPr>
          <w:lang w:val="en-US" w:eastAsia="en-US"/>
        </w:rPr>
        <w:t>It allowed to have a complete critique positive and negative about what happened so that we could derive some lessons learnt, that was unpleasant at times but was sane and allowed the team to move on</w:t>
      </w:r>
    </w:p>
    <w:p w14:paraId="2404B410" w14:textId="77777777" w:rsidR="00C52471" w:rsidRDefault="00C52471" w:rsidP="00C52471">
      <w:pPr>
        <w:pStyle w:val="ListParagraph"/>
        <w:numPr>
          <w:ilvl w:val="0"/>
          <w:numId w:val="22"/>
        </w:numPr>
        <w:rPr>
          <w:lang w:val="en-US" w:eastAsia="en-US"/>
        </w:rPr>
      </w:pPr>
      <w:r>
        <w:rPr>
          <w:lang w:val="en-US" w:eastAsia="en-US"/>
        </w:rPr>
        <w:t>It allowed to extract probably a very high rate of all the information that should have been extracted, be explained, be valued and be debated</w:t>
      </w:r>
    </w:p>
    <w:p w14:paraId="2E1A9314" w14:textId="3B749F52" w:rsidR="00C52471" w:rsidRPr="00C52471" w:rsidRDefault="00C52471" w:rsidP="00485781">
      <w:pPr>
        <w:pStyle w:val="ListParagraph"/>
        <w:numPr>
          <w:ilvl w:val="0"/>
          <w:numId w:val="22"/>
        </w:numPr>
        <w:rPr>
          <w:lang w:val="en-US" w:eastAsia="en-US"/>
        </w:rPr>
      </w:pPr>
      <w:r>
        <w:rPr>
          <w:lang w:val="en-US" w:eastAsia="en-US"/>
        </w:rPr>
        <w:t>I</w:t>
      </w:r>
      <w:r w:rsidRPr="00C52471">
        <w:rPr>
          <w:lang w:val="en-US" w:eastAsia="en-US"/>
        </w:rPr>
        <w:t>t allowed to depersonalize a lot of the debates and keep brains concentrated on the understanding, the qualification and sometimes the resolution.</w:t>
      </w:r>
    </w:p>
    <w:p w14:paraId="363D2452" w14:textId="27ED0C72" w:rsidR="00C52471" w:rsidRDefault="00C52471" w:rsidP="00B11FBE">
      <w:pPr>
        <w:rPr>
          <w:lang w:val="en-US" w:eastAsia="en-US"/>
        </w:rPr>
      </w:pPr>
    </w:p>
    <w:p w14:paraId="147BD542" w14:textId="78C2F816" w:rsidR="00B538EA" w:rsidRPr="00B11FBE" w:rsidRDefault="008938C8" w:rsidP="00EE5EF4">
      <w:pPr>
        <w:pStyle w:val="Heading1"/>
        <w:rPr>
          <w:rFonts w:asciiTheme="majorBidi" w:hAnsiTheme="majorBidi" w:cstheme="majorBidi"/>
          <w:szCs w:val="24"/>
          <w:lang w:val="en-US"/>
        </w:rPr>
      </w:pPr>
      <w:r w:rsidRPr="00B11FBE">
        <w:rPr>
          <w:rFonts w:asciiTheme="majorBidi" w:hAnsiTheme="majorBidi" w:cstheme="majorBidi"/>
          <w:szCs w:val="24"/>
          <w:lang w:val="en-US"/>
        </w:rPr>
        <w:t>Discussion in three Adhoc sessions</w:t>
      </w:r>
    </w:p>
    <w:p w14:paraId="6DB108B6" w14:textId="77777777" w:rsidR="007472DA" w:rsidRPr="00B11FBE" w:rsidRDefault="007472DA" w:rsidP="007472DA">
      <w:pPr>
        <w:rPr>
          <w:rFonts w:asciiTheme="majorBidi" w:hAnsiTheme="majorBidi" w:cstheme="majorBidi"/>
          <w:lang w:val="en-US" w:eastAsia="en-US"/>
        </w:rPr>
      </w:pPr>
    </w:p>
    <w:p w14:paraId="34C1A6A8" w14:textId="76C49633" w:rsidR="002C6A3F" w:rsidRPr="00703862" w:rsidRDefault="00C501EA" w:rsidP="002C6A3F">
      <w:pPr>
        <w:rPr>
          <w:rFonts w:asciiTheme="majorBidi" w:hAnsiTheme="majorBidi" w:cstheme="majorBidi"/>
          <w:lang w:val="en-US" w:eastAsia="en-US"/>
        </w:rPr>
      </w:pPr>
      <w:r>
        <w:rPr>
          <w:rFonts w:asciiTheme="majorBidi" w:hAnsiTheme="majorBidi" w:cstheme="majorBidi"/>
          <w:lang w:val="en-US" w:eastAsia="en-US"/>
        </w:rPr>
        <w:t xml:space="preserve">This Adhoc held three </w:t>
      </w:r>
      <w:r w:rsidR="0015653A">
        <w:rPr>
          <w:rFonts w:asciiTheme="majorBidi" w:hAnsiTheme="majorBidi" w:cstheme="majorBidi"/>
          <w:lang w:val="en-US" w:eastAsia="en-US"/>
        </w:rPr>
        <w:t xml:space="preserve">evening </w:t>
      </w:r>
      <w:r w:rsidR="002C6A3F" w:rsidRPr="00703862">
        <w:rPr>
          <w:rFonts w:asciiTheme="majorBidi" w:hAnsiTheme="majorBidi" w:cstheme="majorBidi"/>
          <w:lang w:val="en-US" w:eastAsia="en-US"/>
        </w:rPr>
        <w:t>session</w:t>
      </w:r>
      <w:r>
        <w:rPr>
          <w:rFonts w:asciiTheme="majorBidi" w:hAnsiTheme="majorBidi" w:cstheme="majorBidi"/>
          <w:lang w:val="en-US" w:eastAsia="en-US"/>
        </w:rPr>
        <w:t xml:space="preserve">s </w:t>
      </w:r>
      <w:r w:rsidR="0015653A">
        <w:rPr>
          <w:rFonts w:asciiTheme="majorBidi" w:hAnsiTheme="majorBidi" w:cstheme="majorBidi"/>
          <w:lang w:val="en-US" w:eastAsia="en-US"/>
        </w:rPr>
        <w:t>(all started from</w:t>
      </w:r>
      <w:r w:rsidR="0015653A" w:rsidRPr="00703862">
        <w:rPr>
          <w:rFonts w:asciiTheme="majorBidi" w:hAnsiTheme="majorBidi" w:cstheme="majorBidi"/>
          <w:lang w:val="en-US" w:eastAsia="en-US"/>
        </w:rPr>
        <w:t xml:space="preserve"> </w:t>
      </w:r>
      <w:r w:rsidR="0015653A">
        <w:rPr>
          <w:rFonts w:asciiTheme="majorBidi" w:hAnsiTheme="majorBidi" w:cstheme="majorBidi"/>
          <w:lang w:val="en-US" w:eastAsia="en-US"/>
        </w:rPr>
        <w:t>18</w:t>
      </w:r>
      <w:r w:rsidR="0015653A" w:rsidRPr="00703862">
        <w:rPr>
          <w:rFonts w:asciiTheme="majorBidi" w:hAnsiTheme="majorBidi" w:cstheme="majorBidi"/>
          <w:lang w:val="en-US" w:eastAsia="en-US"/>
        </w:rPr>
        <w:t>:00</w:t>
      </w:r>
      <w:r w:rsidR="0015653A">
        <w:rPr>
          <w:rFonts w:asciiTheme="majorBidi" w:hAnsiTheme="majorBidi" w:cstheme="majorBidi"/>
          <w:lang w:val="en-US" w:eastAsia="en-US"/>
        </w:rPr>
        <w:t>)</w:t>
      </w:r>
      <w:r w:rsidR="0015653A" w:rsidRPr="00703862">
        <w:rPr>
          <w:rFonts w:asciiTheme="majorBidi" w:hAnsiTheme="majorBidi" w:cstheme="majorBidi"/>
          <w:lang w:val="en-US" w:eastAsia="en-US"/>
        </w:rPr>
        <w:t xml:space="preserve"> </w:t>
      </w:r>
      <w:r>
        <w:rPr>
          <w:rFonts w:asciiTheme="majorBidi" w:hAnsiTheme="majorBidi" w:cstheme="majorBidi"/>
          <w:lang w:val="en-US" w:eastAsia="en-US"/>
        </w:rPr>
        <w:t>o</w:t>
      </w:r>
      <w:r w:rsidR="002C6A3F" w:rsidRPr="00703862">
        <w:rPr>
          <w:rFonts w:asciiTheme="majorBidi" w:hAnsiTheme="majorBidi" w:cstheme="majorBidi"/>
          <w:lang w:val="en-US" w:eastAsia="en-US"/>
        </w:rPr>
        <w:t xml:space="preserve">n Tuesday </w:t>
      </w:r>
      <w:r>
        <w:rPr>
          <w:rFonts w:asciiTheme="majorBidi" w:hAnsiTheme="majorBidi" w:cstheme="majorBidi"/>
          <w:lang w:val="en-US" w:eastAsia="en-US"/>
        </w:rPr>
        <w:t>24 Sept</w:t>
      </w:r>
      <w:r w:rsidR="002C6A3F" w:rsidRPr="00703862">
        <w:rPr>
          <w:rFonts w:asciiTheme="majorBidi" w:hAnsiTheme="majorBidi" w:cstheme="majorBidi"/>
          <w:lang w:val="en-US" w:eastAsia="en-US"/>
        </w:rPr>
        <w:t>ember</w:t>
      </w:r>
      <w:r>
        <w:rPr>
          <w:rFonts w:asciiTheme="majorBidi" w:hAnsiTheme="majorBidi" w:cstheme="majorBidi"/>
          <w:lang w:val="en-US" w:eastAsia="en-US"/>
        </w:rPr>
        <w:t>, Wednesday 25 September and Thursday 26 September</w:t>
      </w:r>
      <w:r w:rsidR="002C6A3F" w:rsidRPr="00703862">
        <w:rPr>
          <w:rFonts w:asciiTheme="majorBidi" w:hAnsiTheme="majorBidi" w:cstheme="majorBidi"/>
          <w:lang w:val="en-US" w:eastAsia="en-US"/>
        </w:rPr>
        <w:t xml:space="preserve"> </w:t>
      </w:r>
      <w:r w:rsidR="0015653A">
        <w:rPr>
          <w:rFonts w:asciiTheme="majorBidi" w:hAnsiTheme="majorBidi" w:cstheme="majorBidi"/>
          <w:lang w:val="en-US" w:eastAsia="en-US"/>
        </w:rPr>
        <w:t xml:space="preserve">2019 </w:t>
      </w:r>
      <w:r>
        <w:rPr>
          <w:rFonts w:asciiTheme="majorBidi" w:hAnsiTheme="majorBidi" w:cstheme="majorBidi"/>
          <w:lang w:val="en-US" w:eastAsia="en-US"/>
        </w:rPr>
        <w:t>respectively.</w:t>
      </w:r>
    </w:p>
    <w:p w14:paraId="042348BC" w14:textId="77777777" w:rsidR="006A59A6" w:rsidRPr="00703862" w:rsidRDefault="006A59A6" w:rsidP="002C6A3F">
      <w:pPr>
        <w:rPr>
          <w:rFonts w:asciiTheme="majorBidi" w:hAnsiTheme="majorBidi" w:cstheme="majorBidi"/>
          <w:lang w:val="en-US" w:eastAsia="en-US"/>
        </w:rPr>
      </w:pPr>
    </w:p>
    <w:p w14:paraId="58AA15A2" w14:textId="20F388BF" w:rsidR="002C6A3F" w:rsidRDefault="00C501EA" w:rsidP="002C6A3F">
      <w:pPr>
        <w:rPr>
          <w:rFonts w:asciiTheme="majorBidi" w:hAnsiTheme="majorBidi" w:cstheme="majorBidi"/>
          <w:lang w:val="en-US" w:eastAsia="en-US"/>
        </w:rPr>
      </w:pPr>
      <w:r>
        <w:rPr>
          <w:rFonts w:asciiTheme="majorBidi" w:hAnsiTheme="majorBidi" w:cstheme="majorBidi"/>
          <w:lang w:val="en-US" w:eastAsia="en-US"/>
        </w:rPr>
        <w:t>In the</w:t>
      </w:r>
      <w:r w:rsidR="002C6A3F" w:rsidRPr="00703862">
        <w:rPr>
          <w:rFonts w:asciiTheme="majorBidi" w:hAnsiTheme="majorBidi" w:cstheme="majorBidi"/>
          <w:lang w:val="en-US" w:eastAsia="en-US"/>
        </w:rPr>
        <w:t xml:space="preserve"> first adhoc </w:t>
      </w:r>
      <w:r>
        <w:rPr>
          <w:rFonts w:asciiTheme="majorBidi" w:hAnsiTheme="majorBidi" w:cstheme="majorBidi"/>
          <w:lang w:val="en-US" w:eastAsia="en-US"/>
        </w:rPr>
        <w:t xml:space="preserve">session, Chairman prepared agenda in </w:t>
      </w:r>
      <w:hyperlink r:id="rId14" w:history="1">
        <w:r w:rsidRPr="00C501EA">
          <w:rPr>
            <w:rStyle w:val="Hyperlink"/>
            <w:rFonts w:cstheme="majorBidi"/>
            <w:lang w:val="en-US" w:eastAsia="en-US"/>
          </w:rPr>
          <w:t>TD619</w:t>
        </w:r>
      </w:hyperlink>
      <w:r>
        <w:rPr>
          <w:rFonts w:asciiTheme="majorBidi" w:hAnsiTheme="majorBidi" w:cstheme="majorBidi"/>
          <w:lang w:val="en-US" w:eastAsia="en-US"/>
        </w:rPr>
        <w:t xml:space="preserve"> with </w:t>
      </w:r>
      <w:r w:rsidR="0015653A">
        <w:rPr>
          <w:rFonts w:asciiTheme="majorBidi" w:hAnsiTheme="majorBidi" w:cstheme="majorBidi"/>
          <w:lang w:val="en-US" w:eastAsia="en-US"/>
        </w:rPr>
        <w:t xml:space="preserve">a Chairman’s proposal of this Adhoc meeting session planning in Annex 1 and the </w:t>
      </w:r>
      <w:r>
        <w:rPr>
          <w:rFonts w:asciiTheme="majorBidi" w:hAnsiTheme="majorBidi" w:cstheme="majorBidi"/>
          <w:lang w:val="en-US" w:eastAsia="en-US"/>
        </w:rPr>
        <w:t xml:space="preserve">list of docs assigned by TSAG plenary to this Adhoc </w:t>
      </w:r>
      <w:r w:rsidR="0015653A">
        <w:rPr>
          <w:rFonts w:asciiTheme="majorBidi" w:hAnsiTheme="majorBidi" w:cstheme="majorBidi"/>
          <w:lang w:val="en-US" w:eastAsia="en-US"/>
        </w:rPr>
        <w:t xml:space="preserve">in Annex 2. </w:t>
      </w:r>
      <w:r>
        <w:rPr>
          <w:rFonts w:asciiTheme="majorBidi" w:hAnsiTheme="majorBidi" w:cstheme="majorBidi"/>
          <w:lang w:val="en-US" w:eastAsia="en-US"/>
        </w:rPr>
        <w:t xml:space="preserve">More importantly, </w:t>
      </w:r>
      <w:r w:rsidR="00C76232">
        <w:rPr>
          <w:rFonts w:asciiTheme="majorBidi" w:hAnsiTheme="majorBidi" w:cstheme="majorBidi"/>
          <w:lang w:val="en-US" w:eastAsia="en-US"/>
        </w:rPr>
        <w:t xml:space="preserve">Chairman </w:t>
      </w:r>
      <w:r w:rsidR="0015653A">
        <w:rPr>
          <w:rFonts w:asciiTheme="majorBidi" w:hAnsiTheme="majorBidi" w:cstheme="majorBidi"/>
          <w:lang w:val="en-US" w:eastAsia="en-US"/>
        </w:rPr>
        <w:t xml:space="preserve">prepared </w:t>
      </w:r>
      <w:hyperlink r:id="rId15" w:history="1">
        <w:r w:rsidR="0015653A" w:rsidRPr="0015653A">
          <w:rPr>
            <w:rStyle w:val="Hyperlink"/>
            <w:rFonts w:cstheme="majorBidi"/>
            <w:lang w:val="en-US" w:eastAsia="en-US"/>
          </w:rPr>
          <w:t>TD620</w:t>
        </w:r>
      </w:hyperlink>
      <w:r w:rsidR="0015653A">
        <w:rPr>
          <w:rFonts w:asciiTheme="majorBidi" w:hAnsiTheme="majorBidi" w:cstheme="majorBidi"/>
          <w:lang w:val="en-US" w:eastAsia="en-US"/>
        </w:rPr>
        <w:t xml:space="preserve"> “</w:t>
      </w:r>
      <w:r w:rsidR="0015653A" w:rsidRPr="0015653A">
        <w:rPr>
          <w:rFonts w:asciiTheme="majorBidi" w:hAnsiTheme="majorBidi" w:cstheme="majorBidi"/>
          <w:lang w:val="en-US" w:eastAsia="en-US"/>
        </w:rPr>
        <w:t>Chairman’s proposal on a shared vision for adhoc sessions on Quantum</w:t>
      </w:r>
      <w:r w:rsidR="0015653A">
        <w:rPr>
          <w:rFonts w:asciiTheme="majorBidi" w:hAnsiTheme="majorBidi" w:cstheme="majorBidi"/>
          <w:lang w:val="en-US" w:eastAsia="en-US"/>
        </w:rPr>
        <w:t>” as “</w:t>
      </w:r>
      <w:r w:rsidR="0015653A" w:rsidRPr="0015653A">
        <w:rPr>
          <w:rFonts w:asciiTheme="majorBidi" w:hAnsiTheme="majorBidi" w:cstheme="majorBidi"/>
          <w:lang w:val="en-US" w:eastAsia="en-US"/>
        </w:rPr>
        <w:t>a live document toward a common shared vision for consensus or not, before engaging in any ToR drafting work.</w:t>
      </w:r>
      <w:r w:rsidR="0015653A">
        <w:rPr>
          <w:rFonts w:asciiTheme="majorBidi" w:hAnsiTheme="majorBidi" w:cstheme="majorBidi"/>
          <w:lang w:val="en-US" w:eastAsia="en-US"/>
        </w:rPr>
        <w:t xml:space="preserve">” (ref. </w:t>
      </w:r>
      <w:hyperlink r:id="rId16" w:history="1">
        <w:r w:rsidR="0015653A" w:rsidRPr="0015653A">
          <w:rPr>
            <w:rStyle w:val="Hyperlink"/>
            <w:rFonts w:cstheme="majorBidi"/>
            <w:lang w:val="en-US" w:eastAsia="en-US"/>
          </w:rPr>
          <w:t>TD620</w:t>
        </w:r>
      </w:hyperlink>
      <w:r w:rsidR="0015653A">
        <w:rPr>
          <w:rFonts w:asciiTheme="majorBidi" w:hAnsiTheme="majorBidi" w:cstheme="majorBidi"/>
          <w:lang w:val="en-US" w:eastAsia="en-US"/>
        </w:rPr>
        <w:t xml:space="preserve">). This Chairman’s proposal was much appreciated by participants as </w:t>
      </w:r>
      <w:r w:rsidR="008D3F28">
        <w:rPr>
          <w:rFonts w:asciiTheme="majorBidi" w:hAnsiTheme="majorBidi" w:cstheme="majorBidi"/>
          <w:lang w:val="en-US" w:eastAsia="en-US"/>
        </w:rPr>
        <w:t xml:space="preserve">it </w:t>
      </w:r>
      <w:r w:rsidR="0015653A">
        <w:rPr>
          <w:rFonts w:asciiTheme="majorBidi" w:hAnsiTheme="majorBidi" w:cstheme="majorBidi"/>
          <w:lang w:val="en-US" w:eastAsia="en-US"/>
        </w:rPr>
        <w:t>greatly helped this Adhoc discussion.</w:t>
      </w:r>
    </w:p>
    <w:p w14:paraId="1E8B34FB" w14:textId="3083619A" w:rsidR="0015653A" w:rsidRDefault="0015653A" w:rsidP="002C6A3F">
      <w:pPr>
        <w:rPr>
          <w:rFonts w:asciiTheme="majorBidi" w:hAnsiTheme="majorBidi" w:cstheme="majorBidi"/>
          <w:lang w:val="en-US" w:eastAsia="en-US"/>
        </w:rPr>
      </w:pPr>
    </w:p>
    <w:p w14:paraId="3B442D42" w14:textId="5EEEE9CD" w:rsidR="0015653A" w:rsidRPr="00703862" w:rsidRDefault="0015653A" w:rsidP="002C6A3F">
      <w:pPr>
        <w:rPr>
          <w:rFonts w:asciiTheme="majorBidi" w:hAnsiTheme="majorBidi" w:cstheme="majorBidi"/>
          <w:lang w:val="en-US" w:eastAsia="en-US"/>
        </w:rPr>
      </w:pPr>
      <w:r>
        <w:rPr>
          <w:rFonts w:asciiTheme="majorBidi" w:hAnsiTheme="majorBidi" w:cstheme="majorBidi"/>
          <w:lang w:val="en-US" w:eastAsia="en-US"/>
        </w:rPr>
        <w:lastRenderedPageBreak/>
        <w:t>Upon request of Adhoc Chairman, secretary of this Adhoc took notes of all interventions made during the Adhoc discussion</w:t>
      </w:r>
      <w:r w:rsidR="008031D5">
        <w:rPr>
          <w:rFonts w:asciiTheme="majorBidi" w:hAnsiTheme="majorBidi" w:cstheme="majorBidi"/>
          <w:lang w:val="en-US" w:eastAsia="en-US"/>
        </w:rPr>
        <w:t xml:space="preserve"> based on her understanding</w:t>
      </w:r>
      <w:r>
        <w:rPr>
          <w:rFonts w:asciiTheme="majorBidi" w:hAnsiTheme="majorBidi" w:cstheme="majorBidi"/>
          <w:lang w:val="en-US" w:eastAsia="en-US"/>
        </w:rPr>
        <w:t xml:space="preserve">. </w:t>
      </w:r>
      <w:r w:rsidR="008031D5">
        <w:rPr>
          <w:rFonts w:asciiTheme="majorBidi" w:hAnsiTheme="majorBidi" w:cstheme="majorBidi"/>
          <w:lang w:val="en-US" w:eastAsia="en-US"/>
        </w:rPr>
        <w:t>T</w:t>
      </w:r>
      <w:r>
        <w:rPr>
          <w:rFonts w:asciiTheme="majorBidi" w:hAnsiTheme="majorBidi" w:cstheme="majorBidi"/>
          <w:lang w:val="en-US" w:eastAsia="en-US"/>
        </w:rPr>
        <w:t xml:space="preserve">hose notes of </w:t>
      </w:r>
      <w:r w:rsidR="008031D5">
        <w:rPr>
          <w:rFonts w:asciiTheme="majorBidi" w:hAnsiTheme="majorBidi" w:cstheme="majorBidi"/>
          <w:lang w:val="en-US" w:eastAsia="en-US"/>
        </w:rPr>
        <w:t xml:space="preserve">the three Adhoc Sessions </w:t>
      </w:r>
      <w:r>
        <w:rPr>
          <w:rFonts w:asciiTheme="majorBidi" w:hAnsiTheme="majorBidi" w:cstheme="majorBidi"/>
          <w:lang w:val="en-US" w:eastAsia="en-US"/>
        </w:rPr>
        <w:t xml:space="preserve">were posted </w:t>
      </w:r>
      <w:r w:rsidR="008031D5">
        <w:rPr>
          <w:rFonts w:asciiTheme="majorBidi" w:hAnsiTheme="majorBidi" w:cstheme="majorBidi"/>
          <w:lang w:val="en-US" w:eastAsia="en-US"/>
        </w:rPr>
        <w:t xml:space="preserve">in </w:t>
      </w:r>
      <w:hyperlink r:id="rId17" w:history="1">
        <w:r w:rsidR="008031D5" w:rsidRPr="008031D5">
          <w:rPr>
            <w:rStyle w:val="Hyperlink"/>
            <w:rFonts w:cstheme="majorBidi"/>
            <w:lang w:val="en-US" w:eastAsia="en-US"/>
          </w:rPr>
          <w:t>TD620R2</w:t>
        </w:r>
      </w:hyperlink>
      <w:r w:rsidR="008031D5">
        <w:rPr>
          <w:rFonts w:asciiTheme="majorBidi" w:hAnsiTheme="majorBidi" w:cstheme="majorBidi"/>
          <w:lang w:val="en-US" w:eastAsia="en-US"/>
        </w:rPr>
        <w:t xml:space="preserve">, </w:t>
      </w:r>
      <w:hyperlink r:id="rId18" w:history="1">
        <w:r w:rsidR="008031D5" w:rsidRPr="008031D5">
          <w:rPr>
            <w:rStyle w:val="Hyperlink"/>
            <w:rFonts w:cstheme="majorBidi"/>
            <w:lang w:val="en-US" w:eastAsia="en-US"/>
          </w:rPr>
          <w:t>TD620R3</w:t>
        </w:r>
      </w:hyperlink>
      <w:r w:rsidR="008031D5">
        <w:rPr>
          <w:rFonts w:asciiTheme="majorBidi" w:hAnsiTheme="majorBidi" w:cstheme="majorBidi"/>
          <w:lang w:val="en-US" w:eastAsia="en-US"/>
        </w:rPr>
        <w:t xml:space="preserve"> and </w:t>
      </w:r>
      <w:hyperlink r:id="rId19" w:history="1">
        <w:r w:rsidR="008031D5" w:rsidRPr="008031D5">
          <w:rPr>
            <w:rStyle w:val="Hyperlink"/>
            <w:rFonts w:cstheme="majorBidi"/>
            <w:lang w:val="en-US" w:eastAsia="en-US"/>
          </w:rPr>
          <w:t>TD620R4</w:t>
        </w:r>
      </w:hyperlink>
      <w:r w:rsidR="008031D5">
        <w:rPr>
          <w:rFonts w:asciiTheme="majorBidi" w:hAnsiTheme="majorBidi" w:cstheme="majorBidi"/>
          <w:lang w:val="en-US" w:eastAsia="en-US"/>
        </w:rPr>
        <w:t xml:space="preserve"> respectively, after Adhoc Chairman’s review after each respective session.</w:t>
      </w:r>
    </w:p>
    <w:p w14:paraId="100CD0AE" w14:textId="77777777" w:rsidR="006A59A6" w:rsidRPr="00703862" w:rsidRDefault="006A59A6" w:rsidP="002C6A3F">
      <w:pPr>
        <w:rPr>
          <w:rFonts w:asciiTheme="majorBidi" w:hAnsiTheme="majorBidi" w:cstheme="majorBidi"/>
          <w:lang w:val="en-US" w:eastAsia="en-US"/>
        </w:rPr>
      </w:pPr>
    </w:p>
    <w:p w14:paraId="7CBB3D80" w14:textId="2D9311F8" w:rsidR="004063C9" w:rsidRDefault="008031D5" w:rsidP="002C6A3F">
      <w:pPr>
        <w:rPr>
          <w:rFonts w:asciiTheme="majorBidi" w:hAnsiTheme="majorBidi" w:cstheme="majorBidi"/>
          <w:lang w:val="en-US" w:eastAsia="en-US"/>
        </w:rPr>
      </w:pPr>
      <w:r>
        <w:rPr>
          <w:rFonts w:asciiTheme="majorBidi" w:hAnsiTheme="majorBidi" w:cstheme="majorBidi"/>
          <w:lang w:val="en-US" w:eastAsia="en-US"/>
        </w:rPr>
        <w:t>The first Adhoc acc</w:t>
      </w:r>
      <w:r w:rsidR="004A3336">
        <w:rPr>
          <w:rFonts w:asciiTheme="majorBidi" w:hAnsiTheme="majorBidi" w:cstheme="majorBidi"/>
          <w:lang w:val="en-US" w:eastAsia="en-US"/>
        </w:rPr>
        <w:t xml:space="preserve">omplished discussion of TD620 until </w:t>
      </w:r>
      <w:r>
        <w:rPr>
          <w:rFonts w:asciiTheme="majorBidi" w:hAnsiTheme="majorBidi" w:cstheme="majorBidi"/>
          <w:lang w:val="en-US" w:eastAsia="en-US"/>
        </w:rPr>
        <w:t>Section 5</w:t>
      </w:r>
      <w:r w:rsidR="004A3336">
        <w:rPr>
          <w:rFonts w:asciiTheme="majorBidi" w:hAnsiTheme="majorBidi" w:cstheme="majorBidi"/>
          <w:lang w:val="en-US" w:eastAsia="en-US"/>
        </w:rPr>
        <w:t xml:space="preserve"> “</w:t>
      </w:r>
      <w:r w:rsidR="004A3336" w:rsidRPr="004A3336">
        <w:rPr>
          <w:rFonts w:asciiTheme="majorBidi" w:hAnsiTheme="majorBidi" w:cstheme="majorBidi"/>
          <w:lang w:val="en-US" w:eastAsia="en-US"/>
        </w:rPr>
        <w:t>Proposition</w:t>
      </w:r>
      <w:r w:rsidR="004A3336">
        <w:rPr>
          <w:rFonts w:asciiTheme="majorBidi" w:hAnsiTheme="majorBidi" w:cstheme="majorBidi"/>
          <w:lang w:val="en-US" w:eastAsia="en-US"/>
        </w:rPr>
        <w:t>”</w:t>
      </w:r>
      <w:r>
        <w:rPr>
          <w:rFonts w:asciiTheme="majorBidi" w:hAnsiTheme="majorBidi" w:cstheme="majorBidi"/>
          <w:lang w:val="en-US" w:eastAsia="en-US"/>
        </w:rPr>
        <w:t>, including a detailed review of quantum related work in ITU-T</w:t>
      </w:r>
      <w:r w:rsidR="004063C9">
        <w:rPr>
          <w:rFonts w:asciiTheme="majorBidi" w:hAnsiTheme="majorBidi" w:cstheme="majorBidi"/>
          <w:lang w:val="en-US" w:eastAsia="en-US"/>
        </w:rPr>
        <w:t>. Most of the discussion was around the qualification of the problem including a primary objective to bring full clarity on a number of questions and in particular fighting ‘believes’ or killing any denial of any issue. In particular it concentrated on checking the premises of a a Focus Group proposal and established a few critical points:</w:t>
      </w:r>
    </w:p>
    <w:p w14:paraId="3E2BF46B" w14:textId="736CFF01" w:rsidR="004063C9" w:rsidRDefault="004063C9" w:rsidP="004063C9">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 xml:space="preserve">There </w:t>
      </w:r>
      <w:r w:rsidR="00E21991">
        <w:rPr>
          <w:rFonts w:asciiTheme="majorBidi" w:hAnsiTheme="majorBidi" w:cstheme="majorBidi"/>
          <w:lang w:val="en-US" w:eastAsia="en-US"/>
        </w:rPr>
        <w:t>are a lot of aspects in QKD that were not yet approached and in a pre-standardisation scenario would be candidates for pre-standardisation</w:t>
      </w:r>
    </w:p>
    <w:p w14:paraId="377FAB98" w14:textId="485C39C4" w:rsidR="00E21991" w:rsidRDefault="00E21991" w:rsidP="004063C9">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In a pre-standardisation scenario we move from the position in December were no work was identified to now a lot and perhaps too much work would be for pre-standardisation</w:t>
      </w:r>
    </w:p>
    <w:p w14:paraId="317A2AA5" w14:textId="08D84FBE" w:rsidR="00E21991" w:rsidRDefault="00E21991" w:rsidP="004063C9">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The nature of what could be the candidates deliverable from pre-standardisation to standardization were identified</w:t>
      </w:r>
    </w:p>
    <w:p w14:paraId="4A836C3F" w14:textId="7E2518A7" w:rsidR="008031D5" w:rsidRDefault="00E21991" w:rsidP="002C6A3F">
      <w:pPr>
        <w:rPr>
          <w:rFonts w:asciiTheme="majorBidi" w:hAnsiTheme="majorBidi" w:cstheme="majorBidi"/>
          <w:lang w:val="en-US" w:eastAsia="en-US"/>
        </w:rPr>
      </w:pPr>
      <w:r>
        <w:rPr>
          <w:rFonts w:asciiTheme="majorBidi" w:hAnsiTheme="majorBidi" w:cstheme="majorBidi"/>
          <w:lang w:val="en-US" w:eastAsia="en-US"/>
        </w:rPr>
        <w:t xml:space="preserve">This opened too a </w:t>
      </w:r>
      <w:r w:rsidR="008031D5">
        <w:rPr>
          <w:rFonts w:asciiTheme="majorBidi" w:hAnsiTheme="majorBidi" w:cstheme="majorBidi"/>
          <w:lang w:val="en-US" w:eastAsia="en-US"/>
        </w:rPr>
        <w:t xml:space="preserve">discussion on different understanding of the FG proposal and the possibility of a JCA as an </w:t>
      </w:r>
      <w:r w:rsidR="008D3F28">
        <w:rPr>
          <w:rFonts w:asciiTheme="majorBidi" w:hAnsiTheme="majorBidi" w:cstheme="majorBidi"/>
          <w:lang w:val="en-US" w:eastAsia="en-US"/>
        </w:rPr>
        <w:t xml:space="preserve">possible </w:t>
      </w:r>
      <w:r w:rsidR="008031D5">
        <w:rPr>
          <w:rFonts w:asciiTheme="majorBidi" w:hAnsiTheme="majorBidi" w:cstheme="majorBidi"/>
          <w:lang w:val="en-US" w:eastAsia="en-US"/>
        </w:rPr>
        <w:t xml:space="preserve">solution to issues identified. </w:t>
      </w:r>
      <w:r>
        <w:rPr>
          <w:rFonts w:asciiTheme="majorBidi" w:hAnsiTheme="majorBidi" w:cstheme="majorBidi"/>
          <w:lang w:val="en-US" w:eastAsia="en-US"/>
        </w:rPr>
        <w:t>In fact the essence of the gap that it revealed was really about:</w:t>
      </w:r>
    </w:p>
    <w:p w14:paraId="451DE6F5" w14:textId="11FCCDAF" w:rsidR="00E21991" w:rsidRDefault="00E21991" w:rsidP="00E21991">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On side considers there is indeed enough work, ITU is a standardization place and so it should go straight to Study Groups, yet a JCA will be regardless necessary</w:t>
      </w:r>
    </w:p>
    <w:p w14:paraId="2A6B65D4" w14:textId="4A8E5DCA" w:rsidR="00E21991" w:rsidRPr="00485781" w:rsidRDefault="00E21991" w:rsidP="00485781">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 xml:space="preserve">The other side considers that whilst a lot of work indeed is identified it is not all ready for standardization and a pre-standardisation phase is necessary. </w:t>
      </w:r>
    </w:p>
    <w:p w14:paraId="6686A702" w14:textId="77777777" w:rsidR="008031D5" w:rsidRDefault="008031D5" w:rsidP="002C6A3F">
      <w:pPr>
        <w:rPr>
          <w:rFonts w:asciiTheme="majorBidi" w:hAnsiTheme="majorBidi" w:cstheme="majorBidi"/>
          <w:lang w:val="en-US" w:eastAsia="en-US"/>
        </w:rPr>
      </w:pPr>
    </w:p>
    <w:p w14:paraId="56AE5B1B" w14:textId="4DF3365F" w:rsidR="00B9695D" w:rsidRDefault="008031D5" w:rsidP="002C6A3F">
      <w:pPr>
        <w:rPr>
          <w:rFonts w:asciiTheme="majorBidi" w:hAnsiTheme="majorBidi" w:cstheme="majorBidi"/>
          <w:lang w:val="en-US" w:eastAsia="en-US"/>
        </w:rPr>
      </w:pPr>
      <w:r>
        <w:rPr>
          <w:rFonts w:asciiTheme="majorBidi" w:hAnsiTheme="majorBidi" w:cstheme="majorBidi"/>
          <w:lang w:val="en-US" w:eastAsia="en-US"/>
        </w:rPr>
        <w:t xml:space="preserve">The second Adhoc session </w:t>
      </w:r>
      <w:r w:rsidR="00A35C40">
        <w:rPr>
          <w:rFonts w:asciiTheme="majorBidi" w:hAnsiTheme="majorBidi" w:cstheme="majorBidi"/>
          <w:lang w:val="en-US" w:eastAsia="en-US"/>
        </w:rPr>
        <w:t xml:space="preserve">and focused on “review of proposals” (ref. Agenda of send Adhoc session on Quantum in </w:t>
      </w:r>
      <w:hyperlink r:id="rId20" w:history="1">
        <w:r w:rsidR="00A35C40" w:rsidRPr="004A3336">
          <w:rPr>
            <w:rStyle w:val="Hyperlink"/>
            <w:rFonts w:cstheme="majorBidi"/>
            <w:lang w:val="en-US" w:eastAsia="en-US"/>
          </w:rPr>
          <w:t>TD629</w:t>
        </w:r>
      </w:hyperlink>
      <w:r w:rsidR="00A35C40">
        <w:rPr>
          <w:rFonts w:asciiTheme="majorBidi" w:hAnsiTheme="majorBidi" w:cstheme="majorBidi"/>
          <w:lang w:val="en-US" w:eastAsia="en-US"/>
        </w:rPr>
        <w:t xml:space="preserve">) in Section 5 of TD620. It </w:t>
      </w:r>
      <w:r w:rsidR="00E21991">
        <w:rPr>
          <w:rFonts w:asciiTheme="majorBidi" w:hAnsiTheme="majorBidi" w:cstheme="majorBidi"/>
          <w:lang w:val="en-US" w:eastAsia="en-US"/>
        </w:rPr>
        <w:t>review</w:t>
      </w:r>
      <w:r w:rsidR="00A35C40">
        <w:rPr>
          <w:rFonts w:asciiTheme="majorBidi" w:hAnsiTheme="majorBidi" w:cstheme="majorBidi"/>
          <w:lang w:val="en-US" w:eastAsia="en-US"/>
        </w:rPr>
        <w:t>e</w:t>
      </w:r>
      <w:r w:rsidR="00E21991">
        <w:rPr>
          <w:rFonts w:asciiTheme="majorBidi" w:hAnsiTheme="majorBidi" w:cstheme="majorBidi"/>
          <w:lang w:val="en-US" w:eastAsia="en-US"/>
        </w:rPr>
        <w:t xml:space="preserve">d new contributions to the live document including a Venn Diagram about the coverage of various constituencies of the general Quantum scope in mind and with two refined views of the Focus Group potential future from the Contributors and from Huawei but from his ETSI background. </w:t>
      </w:r>
      <w:r w:rsidR="00A35C40">
        <w:rPr>
          <w:rFonts w:asciiTheme="majorBidi" w:hAnsiTheme="majorBidi" w:cstheme="majorBidi"/>
          <w:lang w:val="en-US" w:eastAsia="en-US"/>
        </w:rPr>
        <w:t xml:space="preserve">This lead to a significant 3 batches of interventions and helped prepare the next steps so the contributors of C97 could propose a new ToR later. The need to </w:t>
      </w:r>
      <w:r w:rsidR="004A3336">
        <w:rPr>
          <w:rFonts w:asciiTheme="majorBidi" w:hAnsiTheme="majorBidi" w:cstheme="majorBidi"/>
          <w:lang w:val="en-US" w:eastAsia="en-US"/>
        </w:rPr>
        <w:t>discuss the differences of a FG and a JCA</w:t>
      </w:r>
      <w:r w:rsidR="00A35C40">
        <w:rPr>
          <w:rFonts w:asciiTheme="majorBidi" w:hAnsiTheme="majorBidi" w:cstheme="majorBidi"/>
          <w:lang w:val="en-US" w:eastAsia="en-US"/>
        </w:rPr>
        <w:t xml:space="preserve"> continued </w:t>
      </w:r>
      <w:r w:rsidR="004A3336">
        <w:rPr>
          <w:rFonts w:asciiTheme="majorBidi" w:hAnsiTheme="majorBidi" w:cstheme="majorBidi"/>
          <w:lang w:val="en-US" w:eastAsia="en-US"/>
        </w:rPr>
        <w:t xml:space="preserve">.  The meeting reached </w:t>
      </w:r>
      <w:r w:rsidR="00A35C40">
        <w:rPr>
          <w:rFonts w:asciiTheme="majorBidi" w:hAnsiTheme="majorBidi" w:cstheme="majorBidi"/>
          <w:lang w:val="en-US" w:eastAsia="en-US"/>
        </w:rPr>
        <w:t xml:space="preserve">a certain milestone with, in essence, most of the logical arguments on the table and positions started to </w:t>
      </w:r>
      <w:r w:rsidR="008D3F28">
        <w:rPr>
          <w:rFonts w:asciiTheme="majorBidi" w:hAnsiTheme="majorBidi" w:cstheme="majorBidi"/>
          <w:lang w:val="en-US" w:eastAsia="en-US"/>
        </w:rPr>
        <w:t>converge to</w:t>
      </w:r>
      <w:r w:rsidR="00A35C40">
        <w:rPr>
          <w:rFonts w:asciiTheme="majorBidi" w:hAnsiTheme="majorBidi" w:cstheme="majorBidi"/>
          <w:lang w:val="en-US" w:eastAsia="en-US"/>
        </w:rPr>
        <w:t xml:space="preserve"> </w:t>
      </w:r>
      <w:r w:rsidR="004A3336">
        <w:rPr>
          <w:rFonts w:asciiTheme="majorBidi" w:hAnsiTheme="majorBidi" w:cstheme="majorBidi"/>
          <w:lang w:val="en-US" w:eastAsia="en-US"/>
        </w:rPr>
        <w:t>a more narrow focused FG (prioritizing on terminologies and use cases) and for 1 year initial life time</w:t>
      </w:r>
      <w:r w:rsidR="00300F01">
        <w:rPr>
          <w:rFonts w:asciiTheme="majorBidi" w:hAnsiTheme="majorBidi" w:cstheme="majorBidi"/>
          <w:lang w:val="en-US" w:eastAsia="en-US"/>
        </w:rPr>
        <w:t xml:space="preserve"> to </w:t>
      </w:r>
      <w:r w:rsidR="00300F01" w:rsidRPr="007D5E8F">
        <w:rPr>
          <w:rFonts w:asciiTheme="majorBidi" w:hAnsiTheme="majorBidi" w:cstheme="majorBidi"/>
          <w:b/>
          <w:lang w:val="en-US" w:eastAsia="en-US"/>
        </w:rPr>
        <w:t>collaborate</w:t>
      </w:r>
      <w:r w:rsidR="00300F01">
        <w:rPr>
          <w:rFonts w:asciiTheme="majorBidi" w:hAnsiTheme="majorBidi" w:cstheme="majorBidi"/>
          <w:lang w:val="en-US" w:eastAsia="en-US"/>
        </w:rPr>
        <w:t xml:space="preserve"> with SGs and SDOs</w:t>
      </w:r>
      <w:r w:rsidR="00300F01" w:rsidRPr="002516C8">
        <w:rPr>
          <w:rFonts w:asciiTheme="majorBidi" w:hAnsiTheme="majorBidi" w:cstheme="majorBidi"/>
          <w:lang w:val="en-US" w:eastAsia="en-US"/>
        </w:rPr>
        <w:t xml:space="preserve">, </w:t>
      </w:r>
      <w:r w:rsidR="00300F01">
        <w:rPr>
          <w:rFonts w:asciiTheme="majorBidi" w:hAnsiTheme="majorBidi" w:cstheme="majorBidi"/>
          <w:u w:val="single"/>
          <w:lang w:val="en-US" w:eastAsia="en-US"/>
        </w:rPr>
        <w:t>and</w:t>
      </w:r>
      <w:r w:rsidR="00300F01">
        <w:rPr>
          <w:rFonts w:asciiTheme="majorBidi" w:hAnsiTheme="majorBidi" w:cstheme="majorBidi"/>
          <w:lang w:val="en-US" w:eastAsia="en-US"/>
        </w:rPr>
        <w:t xml:space="preserve"> (i.e., the so-called ‘dual model’ in </w:t>
      </w:r>
      <w:hyperlink r:id="rId21" w:history="1">
        <w:r w:rsidR="00300F01" w:rsidRPr="008938C8">
          <w:rPr>
            <w:rStyle w:val="Hyperlink"/>
            <w:rFonts w:cstheme="majorBidi"/>
            <w:lang w:val="en-US" w:eastAsia="en-US"/>
          </w:rPr>
          <w:t>TD620R3</w:t>
        </w:r>
      </w:hyperlink>
      <w:r w:rsidR="00300F01">
        <w:rPr>
          <w:rFonts w:asciiTheme="majorBidi" w:hAnsiTheme="majorBidi" w:cstheme="majorBidi"/>
          <w:lang w:val="en-US" w:eastAsia="en-US"/>
        </w:rPr>
        <w:t xml:space="preserve">) a JCA to </w:t>
      </w:r>
      <w:r w:rsidR="00300F01" w:rsidRPr="007D5E8F">
        <w:rPr>
          <w:rFonts w:asciiTheme="majorBidi" w:hAnsiTheme="majorBidi" w:cstheme="majorBidi"/>
          <w:b/>
          <w:lang w:val="en-US" w:eastAsia="en-US"/>
        </w:rPr>
        <w:t>coordinate</w:t>
      </w:r>
      <w:r w:rsidR="00300F01">
        <w:rPr>
          <w:rFonts w:asciiTheme="majorBidi" w:hAnsiTheme="majorBidi" w:cstheme="majorBidi"/>
          <w:lang w:val="en-US" w:eastAsia="en-US"/>
        </w:rPr>
        <w:t xml:space="preserve"> work in ITU-T groups and SDOs</w:t>
      </w:r>
      <w:r w:rsidR="004A3336">
        <w:rPr>
          <w:rFonts w:asciiTheme="majorBidi" w:hAnsiTheme="majorBidi" w:cstheme="majorBidi"/>
          <w:lang w:val="en-US" w:eastAsia="en-US"/>
        </w:rPr>
        <w:t>. At the end of second Adhoc session Chairman requested C97 contributor to revise FG ToR for consideration by the third Adhoc session.</w:t>
      </w:r>
    </w:p>
    <w:p w14:paraId="10BA8F62" w14:textId="624345A4" w:rsidR="004A3336" w:rsidRDefault="004A3336" w:rsidP="002C6A3F">
      <w:pPr>
        <w:rPr>
          <w:rFonts w:asciiTheme="majorBidi" w:hAnsiTheme="majorBidi" w:cstheme="majorBidi"/>
          <w:lang w:val="en-US" w:eastAsia="en-US"/>
        </w:rPr>
      </w:pPr>
    </w:p>
    <w:p w14:paraId="20FF5976" w14:textId="5E5B288D" w:rsidR="008938C8" w:rsidRDefault="004A3336" w:rsidP="002C6A3F">
      <w:pPr>
        <w:rPr>
          <w:rFonts w:asciiTheme="majorBidi" w:hAnsiTheme="majorBidi" w:cstheme="majorBidi"/>
          <w:lang w:val="en-US" w:eastAsia="en-US"/>
        </w:rPr>
      </w:pPr>
      <w:r>
        <w:rPr>
          <w:rFonts w:asciiTheme="majorBidi" w:hAnsiTheme="majorBidi" w:cstheme="majorBidi"/>
          <w:lang w:val="en-US" w:eastAsia="en-US"/>
        </w:rPr>
        <w:t xml:space="preserve">The third Adhoc session </w:t>
      </w:r>
      <w:r w:rsidR="008938C8">
        <w:rPr>
          <w:rFonts w:asciiTheme="majorBidi" w:hAnsiTheme="majorBidi" w:cstheme="majorBidi"/>
          <w:lang w:val="en-US" w:eastAsia="en-US"/>
        </w:rPr>
        <w:t xml:space="preserve">(agenda is found in </w:t>
      </w:r>
      <w:hyperlink r:id="rId22" w:history="1">
        <w:r w:rsidR="008938C8" w:rsidRPr="008938C8">
          <w:rPr>
            <w:rStyle w:val="Hyperlink"/>
            <w:rFonts w:cstheme="majorBidi"/>
            <w:lang w:val="en-US" w:eastAsia="en-US"/>
          </w:rPr>
          <w:t>TD634</w:t>
        </w:r>
      </w:hyperlink>
      <w:r w:rsidR="008938C8">
        <w:rPr>
          <w:rFonts w:asciiTheme="majorBidi" w:hAnsiTheme="majorBidi" w:cstheme="majorBidi"/>
          <w:lang w:val="en-US" w:eastAsia="en-US"/>
        </w:rPr>
        <w:t xml:space="preserve">) </w:t>
      </w:r>
      <w:r>
        <w:rPr>
          <w:rFonts w:asciiTheme="majorBidi" w:hAnsiTheme="majorBidi" w:cstheme="majorBidi"/>
          <w:lang w:val="en-US" w:eastAsia="en-US"/>
        </w:rPr>
        <w:t xml:space="preserve">first reviewed the progress achieved in previous two sessions as reflected in </w:t>
      </w:r>
      <w:hyperlink r:id="rId23" w:history="1">
        <w:r w:rsidRPr="008938C8">
          <w:rPr>
            <w:rStyle w:val="Hyperlink"/>
            <w:rFonts w:cstheme="majorBidi"/>
            <w:lang w:val="en-US" w:eastAsia="en-US"/>
          </w:rPr>
          <w:t>TD620R3</w:t>
        </w:r>
      </w:hyperlink>
      <w:r>
        <w:rPr>
          <w:rFonts w:asciiTheme="majorBidi" w:hAnsiTheme="majorBidi" w:cstheme="majorBidi"/>
          <w:lang w:val="en-US" w:eastAsia="en-US"/>
        </w:rPr>
        <w:t xml:space="preserve">, and discussed revised FG ToR in </w:t>
      </w:r>
      <w:hyperlink r:id="rId24" w:history="1">
        <w:r w:rsidRPr="004A3336">
          <w:rPr>
            <w:rStyle w:val="Hyperlink"/>
            <w:rFonts w:cstheme="majorBidi"/>
            <w:lang w:val="en-US" w:eastAsia="en-US"/>
          </w:rPr>
          <w:t>TD632</w:t>
        </w:r>
      </w:hyperlink>
      <w:r>
        <w:rPr>
          <w:rFonts w:asciiTheme="majorBidi" w:hAnsiTheme="majorBidi" w:cstheme="majorBidi"/>
          <w:lang w:val="en-US" w:eastAsia="en-US"/>
        </w:rPr>
        <w:t xml:space="preserve"> which was produced upon request of Adhoc Chairman. The third Adhoc session conducted a lengthy and detailed discussion and further revised</w:t>
      </w:r>
      <w:r w:rsidR="008D3F28">
        <w:rPr>
          <w:rFonts w:asciiTheme="majorBidi" w:hAnsiTheme="majorBidi" w:cstheme="majorBidi"/>
          <w:lang w:val="en-US" w:eastAsia="en-US"/>
        </w:rPr>
        <w:t xml:space="preserve"> terms of reference</w:t>
      </w:r>
      <w:r>
        <w:rPr>
          <w:rFonts w:asciiTheme="majorBidi" w:hAnsiTheme="majorBidi" w:cstheme="majorBidi"/>
          <w:lang w:val="en-US" w:eastAsia="en-US"/>
        </w:rPr>
        <w:t xml:space="preserve"> </w:t>
      </w:r>
      <w:hyperlink r:id="rId25" w:history="1">
        <w:r w:rsidRPr="008938C8">
          <w:rPr>
            <w:rStyle w:val="Hyperlink"/>
            <w:rFonts w:cstheme="majorBidi"/>
            <w:lang w:val="en-US" w:eastAsia="en-US"/>
          </w:rPr>
          <w:t>TD632</w:t>
        </w:r>
      </w:hyperlink>
      <w:r>
        <w:rPr>
          <w:rFonts w:asciiTheme="majorBidi" w:hAnsiTheme="majorBidi" w:cstheme="majorBidi"/>
          <w:lang w:val="en-US" w:eastAsia="en-US"/>
        </w:rPr>
        <w:t xml:space="preserve">, before it moved to the </w:t>
      </w:r>
      <w:r w:rsidR="008938C8">
        <w:rPr>
          <w:rFonts w:asciiTheme="majorBidi" w:hAnsiTheme="majorBidi" w:cstheme="majorBidi"/>
          <w:lang w:val="en-US" w:eastAsia="en-US"/>
        </w:rPr>
        <w:t xml:space="preserve">last </w:t>
      </w:r>
      <w:r>
        <w:rPr>
          <w:rFonts w:asciiTheme="majorBidi" w:hAnsiTheme="majorBidi" w:cstheme="majorBidi"/>
          <w:lang w:val="en-US" w:eastAsia="en-US"/>
        </w:rPr>
        <w:t xml:space="preserve">discussion </w:t>
      </w:r>
      <w:r w:rsidR="008938C8">
        <w:rPr>
          <w:rFonts w:asciiTheme="majorBidi" w:hAnsiTheme="majorBidi" w:cstheme="majorBidi"/>
          <w:lang w:val="en-US" w:eastAsia="en-US"/>
        </w:rPr>
        <w:t xml:space="preserve">whether </w:t>
      </w:r>
      <w:r>
        <w:rPr>
          <w:rFonts w:asciiTheme="majorBidi" w:hAnsiTheme="majorBidi" w:cstheme="majorBidi"/>
          <w:lang w:val="en-US" w:eastAsia="en-US"/>
        </w:rPr>
        <w:t>the FG proposal with this revised ToR</w:t>
      </w:r>
      <w:r w:rsidR="008938C8">
        <w:rPr>
          <w:rFonts w:asciiTheme="majorBidi" w:hAnsiTheme="majorBidi" w:cstheme="majorBidi"/>
          <w:lang w:val="en-US" w:eastAsia="en-US"/>
        </w:rPr>
        <w:t xml:space="preserve"> should be proposed to TSAG closing plenary</w:t>
      </w:r>
      <w:r>
        <w:rPr>
          <w:rFonts w:asciiTheme="majorBidi" w:hAnsiTheme="majorBidi" w:cstheme="majorBidi"/>
          <w:lang w:val="en-US" w:eastAsia="en-US"/>
        </w:rPr>
        <w:t xml:space="preserve">. </w:t>
      </w:r>
    </w:p>
    <w:p w14:paraId="70E01022" w14:textId="5ED7E974" w:rsidR="00A35C40" w:rsidRDefault="00A35C40" w:rsidP="002C6A3F">
      <w:pPr>
        <w:rPr>
          <w:rFonts w:asciiTheme="majorBidi" w:hAnsiTheme="majorBidi" w:cstheme="majorBidi"/>
          <w:lang w:val="en-US" w:eastAsia="en-US"/>
        </w:rPr>
      </w:pPr>
    </w:p>
    <w:p w14:paraId="1F40E859" w14:textId="77777777" w:rsidR="003B25D0" w:rsidRDefault="00A35C40" w:rsidP="003B25D0">
      <w:pPr>
        <w:rPr>
          <w:rFonts w:asciiTheme="majorBidi" w:hAnsiTheme="majorBidi" w:cstheme="majorBidi"/>
          <w:lang w:val="en-US" w:eastAsia="en-US"/>
        </w:rPr>
      </w:pPr>
      <w:r>
        <w:rPr>
          <w:rFonts w:asciiTheme="majorBidi" w:hAnsiTheme="majorBidi" w:cstheme="majorBidi"/>
          <w:lang w:val="en-US" w:eastAsia="en-US"/>
        </w:rPr>
        <w:t>Concerning the ToR we captured all the online clarification remarks yet we could not include some agreed remarks</w:t>
      </w:r>
      <w:r w:rsidR="003B25D0">
        <w:rPr>
          <w:rFonts w:asciiTheme="majorBidi" w:hAnsiTheme="majorBidi" w:cstheme="majorBidi"/>
          <w:lang w:val="en-US" w:eastAsia="en-US"/>
        </w:rPr>
        <w:t xml:space="preserve"> because we were in clarification mode, not in revision mode. To make sure we capture those agreed remarks we list here</w:t>
      </w:r>
    </w:p>
    <w:p w14:paraId="5B87BDC5" w14:textId="3AF2E4C6" w:rsidR="00A35C40" w:rsidRDefault="00A35C40" w:rsidP="003B25D0">
      <w:pPr>
        <w:pStyle w:val="ListParagraph"/>
        <w:numPr>
          <w:ilvl w:val="0"/>
          <w:numId w:val="22"/>
        </w:numPr>
        <w:rPr>
          <w:rFonts w:asciiTheme="majorBidi" w:hAnsiTheme="majorBidi" w:cstheme="majorBidi"/>
          <w:lang w:val="en-US" w:eastAsia="en-US"/>
        </w:rPr>
      </w:pPr>
      <w:r w:rsidRPr="00485781">
        <w:rPr>
          <w:rFonts w:asciiTheme="majorBidi" w:hAnsiTheme="majorBidi" w:cstheme="majorBidi"/>
          <w:lang w:val="en-US" w:eastAsia="en-US"/>
        </w:rPr>
        <w:lastRenderedPageBreak/>
        <w:t xml:space="preserve">Regarding terminology we need the focus group to find an agreed mechanism regarding potential terminology conflicts between the current work being done in SG13 and SG17 and the </w:t>
      </w:r>
      <w:r w:rsidR="003B25D0">
        <w:rPr>
          <w:rFonts w:asciiTheme="majorBidi" w:hAnsiTheme="majorBidi" w:cstheme="majorBidi"/>
          <w:lang w:val="en-US" w:eastAsia="en-US"/>
        </w:rPr>
        <w:t xml:space="preserve">terminology developed </w:t>
      </w:r>
      <w:r w:rsidR="002D5811">
        <w:rPr>
          <w:rFonts w:asciiTheme="majorBidi" w:hAnsiTheme="majorBidi" w:cstheme="majorBidi"/>
          <w:lang w:val="en-US" w:eastAsia="en-US"/>
        </w:rPr>
        <w:t>by the focus group. Several mitigation models are possible but may not need to be detailed at ToR level</w:t>
      </w:r>
    </w:p>
    <w:p w14:paraId="133F47CA" w14:textId="27255C50" w:rsidR="002D5811" w:rsidRDefault="002D5811" w:rsidP="003B25D0">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The list of sub items (protocols, etc.) cause a problem in the sentence because it gives a false perception that we are adding coverage whilst in fact there are examples. In fact they were put here with the intention to put some potential priorities and so a proposal would be to complete the sentence with ‘in this prioritized order’.</w:t>
      </w:r>
    </w:p>
    <w:p w14:paraId="39CAB7D3" w14:textId="39317F71" w:rsidR="002D5811" w:rsidRDefault="003B25D0" w:rsidP="002D5811">
      <w:pPr>
        <w:pStyle w:val="ListParagraph"/>
        <w:numPr>
          <w:ilvl w:val="0"/>
          <w:numId w:val="22"/>
        </w:numPr>
        <w:rPr>
          <w:rFonts w:asciiTheme="majorBidi" w:hAnsiTheme="majorBidi" w:cstheme="majorBidi"/>
          <w:lang w:val="en-US" w:eastAsia="en-US"/>
        </w:rPr>
      </w:pPr>
      <w:r>
        <w:rPr>
          <w:rFonts w:asciiTheme="majorBidi" w:hAnsiTheme="majorBidi" w:cstheme="majorBidi"/>
          <w:lang w:val="en-US" w:eastAsia="en-US"/>
        </w:rPr>
        <w:t xml:space="preserve">What is the best choice </w:t>
      </w:r>
      <w:r w:rsidR="002D5811">
        <w:rPr>
          <w:rFonts w:asciiTheme="majorBidi" w:hAnsiTheme="majorBidi" w:cstheme="majorBidi"/>
          <w:lang w:val="en-US" w:eastAsia="en-US"/>
        </w:rPr>
        <w:t>in 4.4: QIN or QIT4N or both? Contributors would like to keep QIN</w:t>
      </w:r>
    </w:p>
    <w:p w14:paraId="0E36AFA2" w14:textId="20A89A13" w:rsidR="002D5811" w:rsidRPr="00F653E1" w:rsidRDefault="002D5811" w:rsidP="00485781">
      <w:pPr>
        <w:pStyle w:val="ListParagraph"/>
        <w:numPr>
          <w:ilvl w:val="0"/>
          <w:numId w:val="22"/>
        </w:numPr>
        <w:rPr>
          <w:rFonts w:asciiTheme="majorBidi" w:hAnsiTheme="majorBidi" w:cstheme="majorBidi"/>
          <w:lang w:val="en-US" w:eastAsia="en-US"/>
        </w:rPr>
      </w:pPr>
      <w:r w:rsidRPr="00485781">
        <w:rPr>
          <w:rFonts w:asciiTheme="majorBidi" w:hAnsiTheme="majorBidi" w:cstheme="majorBidi"/>
          <w:lang w:val="en-US" w:eastAsia="en-US"/>
        </w:rPr>
        <w:t xml:space="preserve">We need to explicit the scope of SG13 and SG17 and not just refer to them. We could propose for example: </w:t>
      </w:r>
      <w:r w:rsidRPr="00485781">
        <w:rPr>
          <w:rFonts w:eastAsia="Microsoft YaHei UI"/>
          <w:color w:val="000000"/>
          <w:lang w:val="en-US"/>
        </w:rPr>
        <w:t>beyond the scope of SG13 (QKD network architecture) and SG17 (security aspects)</w:t>
      </w:r>
    </w:p>
    <w:p w14:paraId="7F2B8BB6" w14:textId="10DCE9BF" w:rsidR="00F653E1" w:rsidRPr="00485781" w:rsidRDefault="00F653E1" w:rsidP="00485781">
      <w:pPr>
        <w:pStyle w:val="ListParagraph"/>
        <w:numPr>
          <w:ilvl w:val="0"/>
          <w:numId w:val="22"/>
        </w:numPr>
        <w:rPr>
          <w:rFonts w:asciiTheme="majorBidi" w:hAnsiTheme="majorBidi" w:cstheme="majorBidi"/>
          <w:lang w:val="en-US" w:eastAsia="en-US"/>
        </w:rPr>
      </w:pPr>
      <w:r>
        <w:rPr>
          <w:rFonts w:eastAsia="Microsoft YaHei UI"/>
          <w:color w:val="000000"/>
          <w:lang w:val="en-US"/>
        </w:rPr>
        <w:t>We need to be more precise in which SDO groups we refer too</w:t>
      </w:r>
    </w:p>
    <w:p w14:paraId="403560B6" w14:textId="00E84CE7" w:rsidR="002D5811" w:rsidRPr="00485781" w:rsidRDefault="002D5811" w:rsidP="002D5811">
      <w:pPr>
        <w:rPr>
          <w:rFonts w:asciiTheme="majorBidi" w:hAnsiTheme="majorBidi" w:cstheme="majorBidi"/>
          <w:lang w:val="en-US" w:eastAsia="en-US"/>
        </w:rPr>
      </w:pPr>
    </w:p>
    <w:p w14:paraId="4930B335" w14:textId="6C57D47D" w:rsidR="005766A3" w:rsidRDefault="005766A3" w:rsidP="002C6A3F">
      <w:pPr>
        <w:rPr>
          <w:rFonts w:asciiTheme="majorBidi" w:hAnsiTheme="majorBidi" w:cstheme="majorBidi"/>
          <w:lang w:val="en-US" w:eastAsia="en-US"/>
        </w:rPr>
      </w:pPr>
    </w:p>
    <w:p w14:paraId="1505391C" w14:textId="77777777" w:rsidR="005766A3" w:rsidRDefault="005766A3" w:rsidP="00485781">
      <w:pPr>
        <w:pStyle w:val="Heading1"/>
        <w:rPr>
          <w:lang w:val="en-US"/>
        </w:rPr>
      </w:pPr>
      <w:r>
        <w:rPr>
          <w:lang w:val="en-US"/>
        </w:rPr>
        <w:t>Chairman observations</w:t>
      </w:r>
    </w:p>
    <w:p w14:paraId="230E6ABA" w14:textId="77777777" w:rsidR="005766A3" w:rsidRDefault="005766A3" w:rsidP="005766A3">
      <w:pPr>
        <w:rPr>
          <w:lang w:val="en-US" w:eastAsia="en-US"/>
        </w:rPr>
      </w:pPr>
    </w:p>
    <w:p w14:paraId="3D99765E" w14:textId="7131EAED" w:rsidR="005766A3" w:rsidRDefault="005766A3" w:rsidP="005766A3">
      <w:pPr>
        <w:rPr>
          <w:lang w:val="en-US" w:eastAsia="en-US"/>
        </w:rPr>
      </w:pPr>
      <w:r>
        <w:rPr>
          <w:lang w:val="en-US" w:eastAsia="en-US"/>
        </w:rPr>
        <w:t>In general Chairman observes that:</w:t>
      </w:r>
    </w:p>
    <w:p w14:paraId="435EDC4D" w14:textId="77777777" w:rsidR="005766A3" w:rsidRDefault="005766A3" w:rsidP="005766A3">
      <w:pPr>
        <w:pStyle w:val="ListParagraph"/>
        <w:numPr>
          <w:ilvl w:val="0"/>
          <w:numId w:val="22"/>
        </w:numPr>
        <w:rPr>
          <w:lang w:val="en-US" w:eastAsia="en-US"/>
        </w:rPr>
      </w:pPr>
      <w:r>
        <w:rPr>
          <w:lang w:val="en-US" w:eastAsia="en-US"/>
        </w:rPr>
        <w:t>The whole team was significantly and sometimes passionately engaged and we had several times up to more than 20 interventions on some questions, we had very relevant in writing contributions to the live document. It is undeniable that there is interest</w:t>
      </w:r>
    </w:p>
    <w:p w14:paraId="29364759" w14:textId="14CF1C02" w:rsidR="005766A3" w:rsidRDefault="005766A3" w:rsidP="005766A3">
      <w:pPr>
        <w:pStyle w:val="ListParagraph"/>
        <w:numPr>
          <w:ilvl w:val="0"/>
          <w:numId w:val="22"/>
        </w:numPr>
        <w:rPr>
          <w:lang w:val="en-US" w:eastAsia="en-US"/>
        </w:rPr>
      </w:pPr>
      <w:r>
        <w:rPr>
          <w:lang w:val="en-US" w:eastAsia="en-US"/>
        </w:rPr>
        <w:t xml:space="preserve">The whole team was very opened and transparent as much as their own mandates restrictions allowed them to do and it included other SDOs </w:t>
      </w:r>
    </w:p>
    <w:p w14:paraId="225BDEDA" w14:textId="77777777" w:rsidR="005766A3" w:rsidRDefault="005766A3" w:rsidP="005766A3">
      <w:pPr>
        <w:pStyle w:val="ListParagraph"/>
        <w:numPr>
          <w:ilvl w:val="0"/>
          <w:numId w:val="22"/>
        </w:numPr>
        <w:rPr>
          <w:lang w:val="en-US" w:eastAsia="en-US"/>
        </w:rPr>
      </w:pPr>
      <w:r>
        <w:rPr>
          <w:lang w:val="en-US" w:eastAsia="en-US"/>
        </w:rPr>
        <w:t>Not all but a significant amount of positions obviously moved during the 3 sessions and it was measurable</w:t>
      </w:r>
    </w:p>
    <w:p w14:paraId="3981098B" w14:textId="4C7CB9C2" w:rsidR="005766A3" w:rsidRDefault="005766A3" w:rsidP="005766A3">
      <w:pPr>
        <w:pStyle w:val="ListParagraph"/>
        <w:numPr>
          <w:ilvl w:val="0"/>
          <w:numId w:val="22"/>
        </w:numPr>
        <w:rPr>
          <w:lang w:val="en-US" w:eastAsia="en-US"/>
        </w:rPr>
      </w:pPr>
      <w:r>
        <w:rPr>
          <w:lang w:val="en-US" w:eastAsia="en-US"/>
        </w:rPr>
        <w:t>Unlike in December, this time, Chairman didn’t need to invite people for offline discussions, they happened naturally, another sign that the team is collectively more comfortable to interact and shows the good maturity progress</w:t>
      </w:r>
    </w:p>
    <w:p w14:paraId="2BA18390" w14:textId="77777777" w:rsidR="006E0C20" w:rsidRDefault="005766A3" w:rsidP="006E0C20">
      <w:pPr>
        <w:pStyle w:val="ListParagraph"/>
        <w:numPr>
          <w:ilvl w:val="0"/>
          <w:numId w:val="22"/>
        </w:numPr>
        <w:rPr>
          <w:lang w:val="en-US" w:eastAsia="en-US"/>
        </w:rPr>
      </w:pPr>
      <w:r>
        <w:rPr>
          <w:lang w:val="en-US" w:eastAsia="en-US"/>
        </w:rPr>
        <w:t>In general it was a good atmosphere and even a very good atmosphere with a few moments of collective laugh</w:t>
      </w:r>
      <w:r w:rsidR="006E0C20">
        <w:rPr>
          <w:lang w:val="en-US" w:eastAsia="en-US"/>
        </w:rPr>
        <w:t>. Yet a very small amount of specific discussions were about unpleasant topics or got robust, yet with no drama at all</w:t>
      </w:r>
    </w:p>
    <w:p w14:paraId="12A57216" w14:textId="77777777" w:rsidR="006E0C20" w:rsidRDefault="006E0C20" w:rsidP="006E0C20">
      <w:pPr>
        <w:pStyle w:val="ListParagraph"/>
        <w:numPr>
          <w:ilvl w:val="0"/>
          <w:numId w:val="22"/>
        </w:numPr>
        <w:rPr>
          <w:lang w:val="en-US" w:eastAsia="en-US"/>
        </w:rPr>
      </w:pPr>
      <w:r w:rsidRPr="006E0C20">
        <w:rPr>
          <w:lang w:val="en-US" w:eastAsia="en-US"/>
        </w:rPr>
        <w:t xml:space="preserve">Chairman was actually surprised by how could most of time explain beyond perhaps sometimes perceived as dogmatic positions, and rather go the core of the real problem </w:t>
      </w:r>
      <w:r>
        <w:rPr>
          <w:lang w:val="en-US" w:eastAsia="en-US"/>
        </w:rPr>
        <w:t>which leads Chairman consider that the gap between the parties exists but is healable.</w:t>
      </w:r>
    </w:p>
    <w:p w14:paraId="6CD6E498" w14:textId="522C9037" w:rsidR="006E0C20" w:rsidRPr="003B25D0" w:rsidRDefault="006E0C20" w:rsidP="006E0C20">
      <w:pPr>
        <w:pStyle w:val="ListParagraph"/>
        <w:numPr>
          <w:ilvl w:val="0"/>
          <w:numId w:val="22"/>
        </w:numPr>
        <w:rPr>
          <w:lang w:val="en-US" w:eastAsia="en-US"/>
        </w:rPr>
      </w:pPr>
      <w:r w:rsidRPr="006E0C20">
        <w:rPr>
          <w:lang w:val="en-US" w:eastAsia="en-US"/>
        </w:rPr>
        <w:t>Chairman understands</w:t>
      </w:r>
      <w:r w:rsidRPr="00646D53">
        <w:rPr>
          <w:lang w:val="en-US" w:eastAsia="en-US"/>
        </w:rPr>
        <w:t xml:space="preserve"> too his own limits and areas of improvements for the next time especially regarding the procedure aspects, </w:t>
      </w:r>
      <w:r w:rsidRPr="00A35C40">
        <w:rPr>
          <w:lang w:val="en-US" w:eastAsia="en-US"/>
        </w:rPr>
        <w:t>and how to help even further the development of propositions to</w:t>
      </w:r>
      <w:r w:rsidRPr="003B25D0">
        <w:rPr>
          <w:lang w:val="en-US" w:eastAsia="en-US"/>
        </w:rPr>
        <w:t xml:space="preserve"> yet another level.</w:t>
      </w:r>
    </w:p>
    <w:p w14:paraId="6087C75B" w14:textId="77777777" w:rsidR="006E0C20" w:rsidRPr="006E0C20" w:rsidRDefault="006E0C20" w:rsidP="006E0C20">
      <w:pPr>
        <w:rPr>
          <w:lang w:val="en-US" w:eastAsia="en-US"/>
        </w:rPr>
      </w:pPr>
    </w:p>
    <w:p w14:paraId="0E64C91C" w14:textId="7746535F" w:rsidR="005766A3" w:rsidRDefault="005766A3" w:rsidP="005766A3">
      <w:pPr>
        <w:rPr>
          <w:lang w:val="en-US" w:eastAsia="en-US"/>
        </w:rPr>
      </w:pPr>
      <w:r>
        <w:rPr>
          <w:lang w:val="en-US" w:eastAsia="en-US"/>
        </w:rPr>
        <w:t>On the core of the problem Chairman considers that:</w:t>
      </w:r>
    </w:p>
    <w:p w14:paraId="160258BF" w14:textId="43F0B868" w:rsidR="005766A3" w:rsidRDefault="005766A3" w:rsidP="005766A3">
      <w:pPr>
        <w:pStyle w:val="ListParagraph"/>
        <w:numPr>
          <w:ilvl w:val="0"/>
          <w:numId w:val="22"/>
        </w:numPr>
        <w:rPr>
          <w:lang w:val="en-US" w:eastAsia="en-US"/>
        </w:rPr>
      </w:pPr>
      <w:r>
        <w:rPr>
          <w:lang w:val="en-US" w:eastAsia="en-US"/>
        </w:rPr>
        <w:t>Both sides recognize that there is a need for coordination, there is a need for work to be done and to some degree Chairman would argue that both side recognize there is a need for pre-standardisation work AND that there is work to be done here</w:t>
      </w:r>
    </w:p>
    <w:p w14:paraId="34923524" w14:textId="77777777" w:rsidR="005766A3" w:rsidRDefault="005766A3" w:rsidP="005766A3">
      <w:pPr>
        <w:pStyle w:val="ListParagraph"/>
        <w:numPr>
          <w:ilvl w:val="0"/>
          <w:numId w:val="22"/>
        </w:numPr>
        <w:rPr>
          <w:lang w:val="en-US" w:eastAsia="en-US"/>
        </w:rPr>
      </w:pPr>
      <w:r>
        <w:rPr>
          <w:lang w:val="en-US" w:eastAsia="en-US"/>
        </w:rPr>
        <w:t>The gap, at this stage of the report, lies in the way to implement and the choice in the ITU ‘entity’ to use</w:t>
      </w:r>
    </w:p>
    <w:p w14:paraId="04DF4022" w14:textId="318EC087" w:rsidR="005766A3" w:rsidRPr="005766A3" w:rsidRDefault="005766A3" w:rsidP="005766A3">
      <w:pPr>
        <w:pStyle w:val="ListParagraph"/>
        <w:numPr>
          <w:ilvl w:val="0"/>
          <w:numId w:val="22"/>
        </w:numPr>
        <w:rPr>
          <w:lang w:val="en-US" w:eastAsia="en-US"/>
        </w:rPr>
      </w:pPr>
      <w:r>
        <w:rPr>
          <w:lang w:val="en-US" w:eastAsia="en-US"/>
        </w:rPr>
        <w:t xml:space="preserve">In other words, the team doesn’t disagree on the problem, but has a gap on what is the most effective way to resolve it </w:t>
      </w:r>
    </w:p>
    <w:p w14:paraId="007FB042" w14:textId="77777777" w:rsidR="005766A3" w:rsidRDefault="005766A3" w:rsidP="002C6A3F">
      <w:pPr>
        <w:rPr>
          <w:rFonts w:asciiTheme="majorBidi" w:hAnsiTheme="majorBidi" w:cstheme="majorBidi"/>
          <w:lang w:val="en-US" w:eastAsia="en-US"/>
        </w:rPr>
      </w:pPr>
    </w:p>
    <w:p w14:paraId="34E869F9" w14:textId="449C5000" w:rsidR="008938C8" w:rsidRPr="008938C8" w:rsidRDefault="008938C8" w:rsidP="008938C8">
      <w:pPr>
        <w:pStyle w:val="Heading1"/>
        <w:rPr>
          <w:rFonts w:asciiTheme="majorBidi" w:hAnsiTheme="majorBidi" w:cstheme="majorBidi"/>
          <w:szCs w:val="24"/>
        </w:rPr>
      </w:pPr>
      <w:r w:rsidRPr="008938C8">
        <w:rPr>
          <w:rFonts w:asciiTheme="majorBidi" w:hAnsiTheme="majorBidi" w:cstheme="majorBidi"/>
          <w:szCs w:val="24"/>
          <w:lang w:val="en-GB"/>
        </w:rPr>
        <w:lastRenderedPageBreak/>
        <w:t xml:space="preserve"> </w:t>
      </w:r>
      <w:r w:rsidRPr="008938C8">
        <w:rPr>
          <w:rFonts w:asciiTheme="majorBidi" w:hAnsiTheme="majorBidi" w:cstheme="majorBidi"/>
          <w:szCs w:val="24"/>
        </w:rPr>
        <w:t>Conclusion</w:t>
      </w:r>
      <w:r w:rsidR="004063C9">
        <w:rPr>
          <w:rFonts w:asciiTheme="majorBidi" w:hAnsiTheme="majorBidi" w:cstheme="majorBidi"/>
          <w:szCs w:val="24"/>
        </w:rPr>
        <w:t>s</w:t>
      </w:r>
    </w:p>
    <w:p w14:paraId="33A1D4FB" w14:textId="4568C681" w:rsidR="008D3F28" w:rsidRDefault="008D3F28" w:rsidP="002C6A3F">
      <w:pPr>
        <w:rPr>
          <w:rFonts w:asciiTheme="majorBidi" w:hAnsiTheme="majorBidi" w:cstheme="majorBidi"/>
          <w:lang w:val="en-US" w:eastAsia="en-US"/>
        </w:rPr>
      </w:pPr>
    </w:p>
    <w:p w14:paraId="5F940F83" w14:textId="2FB8EC7D" w:rsidR="008D3F28" w:rsidRDefault="008D3F28" w:rsidP="00485781">
      <w:pPr>
        <w:pStyle w:val="Heading2"/>
        <w:rPr>
          <w:lang w:val="en-US"/>
        </w:rPr>
      </w:pPr>
      <w:r>
        <w:rPr>
          <w:lang w:val="en-US"/>
        </w:rPr>
        <w:t>Conclusion for decision at closing plenary</w:t>
      </w:r>
    </w:p>
    <w:p w14:paraId="28AF3A0D" w14:textId="77777777" w:rsidR="008D3F28" w:rsidRDefault="008D3F28" w:rsidP="002C6A3F">
      <w:pPr>
        <w:rPr>
          <w:rFonts w:asciiTheme="majorBidi" w:hAnsiTheme="majorBidi" w:cstheme="majorBidi"/>
          <w:lang w:val="en-US" w:eastAsia="en-US"/>
        </w:rPr>
      </w:pPr>
    </w:p>
    <w:p w14:paraId="69B47E0A" w14:textId="131D3C02" w:rsidR="008938C8" w:rsidRDefault="008938C8" w:rsidP="002C6A3F">
      <w:pPr>
        <w:rPr>
          <w:rFonts w:asciiTheme="majorBidi" w:hAnsiTheme="majorBidi" w:cstheme="majorBidi"/>
          <w:lang w:val="en-US" w:eastAsia="en-US"/>
        </w:rPr>
      </w:pPr>
      <w:r>
        <w:rPr>
          <w:rFonts w:asciiTheme="majorBidi" w:hAnsiTheme="majorBidi" w:cstheme="majorBidi"/>
          <w:lang w:val="en-US" w:eastAsia="en-US"/>
        </w:rPr>
        <w:t xml:space="preserve">In the end, Adhoc Chairman had to conclude and report to TSAG closing plenary that: </w:t>
      </w:r>
    </w:p>
    <w:p w14:paraId="6707296C" w14:textId="0679C450" w:rsidR="008D3F28" w:rsidRDefault="008938C8" w:rsidP="008D3F28">
      <w:pPr>
        <w:pStyle w:val="ListParagraph"/>
        <w:rPr>
          <w:rFonts w:asciiTheme="majorBidi" w:hAnsiTheme="majorBidi" w:cstheme="majorBidi"/>
          <w:lang w:val="en-US" w:eastAsia="en-US"/>
        </w:rPr>
      </w:pPr>
      <w:r w:rsidRPr="00485781">
        <w:rPr>
          <w:rFonts w:asciiTheme="majorBidi" w:hAnsiTheme="majorBidi" w:cstheme="majorBidi"/>
          <w:lang w:val="en-US" w:eastAsia="en-US"/>
        </w:rPr>
        <w:t xml:space="preserve">There was a C97 proposing a FG. There were many discussion and effort to revise this proposal toward a focused ToR in revised </w:t>
      </w:r>
      <w:hyperlink r:id="rId26" w:history="1">
        <w:r w:rsidRPr="008D3F28">
          <w:rPr>
            <w:rStyle w:val="Hyperlink"/>
            <w:rFonts w:cstheme="majorBidi"/>
            <w:lang w:val="en-US" w:eastAsia="en-US"/>
          </w:rPr>
          <w:t>TD632R1</w:t>
        </w:r>
      </w:hyperlink>
      <w:r w:rsidRPr="00485781">
        <w:rPr>
          <w:rFonts w:asciiTheme="majorBidi" w:hAnsiTheme="majorBidi" w:cstheme="majorBidi"/>
          <w:lang w:val="en-US" w:eastAsia="en-US"/>
        </w:rPr>
        <w:t xml:space="preserve"> outcome of the third and last Adhoc session.</w:t>
      </w:r>
    </w:p>
    <w:p w14:paraId="3EC121FA" w14:textId="5745B43F" w:rsidR="008D3F28" w:rsidRDefault="008D3F28" w:rsidP="00485781">
      <w:pPr>
        <w:pStyle w:val="ListParagraph"/>
        <w:rPr>
          <w:lang w:val="en-US" w:eastAsia="en-US"/>
        </w:rPr>
      </w:pPr>
      <w:r w:rsidRPr="00485781">
        <w:rPr>
          <w:rFonts w:asciiTheme="majorBidi" w:hAnsiTheme="majorBidi" w:cstheme="majorBidi"/>
          <w:lang w:val="en-US" w:eastAsia="en-US"/>
        </w:rPr>
        <w:t>Throughout the three sessions of the AHG, there was significant support for the creation of the FG on</w:t>
      </w:r>
      <w:r w:rsidRPr="008D3F28">
        <w:rPr>
          <w:lang w:val="en-GB"/>
        </w:rPr>
        <w:t xml:space="preserve"> </w:t>
      </w:r>
      <w:r w:rsidRPr="00485781">
        <w:rPr>
          <w:rFonts w:asciiTheme="majorBidi" w:hAnsiTheme="majorBidi" w:cstheme="majorBidi"/>
          <w:lang w:val="en-US" w:eastAsia="en-US"/>
        </w:rPr>
        <w:t xml:space="preserve">QIT4N, there was some opposition, and </w:t>
      </w:r>
      <w:r w:rsidRPr="008D3F28">
        <w:rPr>
          <w:rFonts w:asciiTheme="majorBidi" w:hAnsiTheme="majorBidi" w:cstheme="majorBidi"/>
          <w:lang w:val="en-US" w:eastAsia="en-US"/>
        </w:rPr>
        <w:t xml:space="preserve">there was support for creating a FG on QIT4N and a JCA QIT4N. </w:t>
      </w:r>
    </w:p>
    <w:p w14:paraId="70162980" w14:textId="1D43102F" w:rsidR="008D3F28" w:rsidRDefault="008D3F28" w:rsidP="008D3F28">
      <w:pPr>
        <w:rPr>
          <w:rFonts w:asciiTheme="majorBidi" w:hAnsiTheme="majorBidi" w:cstheme="majorBidi"/>
          <w:lang w:val="en-US" w:eastAsia="en-US"/>
        </w:rPr>
      </w:pPr>
    </w:p>
    <w:p w14:paraId="0A1FA3A2" w14:textId="64555358" w:rsidR="00702F58" w:rsidRDefault="00702F58" w:rsidP="008D3F28">
      <w:pPr>
        <w:rPr>
          <w:rFonts w:asciiTheme="majorBidi" w:hAnsiTheme="majorBidi" w:cstheme="majorBidi"/>
          <w:lang w:val="en-US" w:eastAsia="en-US"/>
        </w:rPr>
      </w:pPr>
    </w:p>
    <w:p w14:paraId="386B524D" w14:textId="72FD719A" w:rsidR="008D3F28" w:rsidRDefault="008D3F28" w:rsidP="00485781">
      <w:pPr>
        <w:pStyle w:val="Heading2"/>
        <w:rPr>
          <w:lang w:val="en-US"/>
        </w:rPr>
      </w:pPr>
      <w:r>
        <w:rPr>
          <w:lang w:val="en-US"/>
        </w:rPr>
        <w:t>Quote from China</w:t>
      </w:r>
    </w:p>
    <w:p w14:paraId="7CEE3FBD" w14:textId="49E7AE73" w:rsidR="008D3F28" w:rsidRDefault="008D3F28" w:rsidP="008D3F28">
      <w:pPr>
        <w:rPr>
          <w:rFonts w:asciiTheme="majorBidi" w:hAnsiTheme="majorBidi" w:cstheme="majorBidi"/>
          <w:lang w:val="en-US" w:eastAsia="en-US"/>
        </w:rPr>
      </w:pPr>
      <w:r>
        <w:rPr>
          <w:rFonts w:asciiTheme="majorBidi" w:hAnsiTheme="majorBidi" w:cstheme="majorBidi"/>
          <w:lang w:val="en-US" w:eastAsia="en-US"/>
        </w:rPr>
        <w:t>Chairman is here inserting as requested the statement that China made during the last session:</w:t>
      </w:r>
    </w:p>
    <w:p w14:paraId="020FFAF5" w14:textId="77777777" w:rsidR="00702F58" w:rsidRDefault="00702F58" w:rsidP="00702F58">
      <w:pPr>
        <w:rPr>
          <w:rFonts w:asciiTheme="majorBidi" w:hAnsiTheme="majorBidi" w:cstheme="majorBidi"/>
          <w:lang w:val="en-US" w:eastAsia="en-US"/>
        </w:rPr>
      </w:pPr>
    </w:p>
    <w:p w14:paraId="44FEE4CE" w14:textId="77777777" w:rsidR="00702F58" w:rsidRPr="00702F58" w:rsidRDefault="00702F58" w:rsidP="00702F58">
      <w:pPr>
        <w:spacing w:beforeLines="50" w:before="120" w:line="320" w:lineRule="exact"/>
        <w:rPr>
          <w:i/>
          <w:szCs w:val="28"/>
          <w:lang w:val="en-GB" w:eastAsia="zh-CN"/>
        </w:rPr>
      </w:pPr>
      <w:r w:rsidRPr="00702F58">
        <w:rPr>
          <w:rFonts w:hint="eastAsia"/>
          <w:i/>
          <w:szCs w:val="28"/>
          <w:lang w:val="en-GB"/>
        </w:rPr>
        <w:t xml:space="preserve">Mr. Chairman, </w:t>
      </w:r>
    </w:p>
    <w:p w14:paraId="6BD69126" w14:textId="77777777" w:rsidR="00702F58" w:rsidRPr="00702F58" w:rsidRDefault="00702F58" w:rsidP="00702F58">
      <w:pPr>
        <w:spacing w:beforeLines="50" w:before="120" w:line="320" w:lineRule="exact"/>
        <w:rPr>
          <w:i/>
          <w:szCs w:val="28"/>
          <w:lang w:val="en-GB"/>
        </w:rPr>
      </w:pPr>
      <w:r w:rsidRPr="00702F58">
        <w:rPr>
          <w:rFonts w:hint="eastAsia"/>
          <w:i/>
          <w:szCs w:val="28"/>
          <w:lang w:val="en-GB"/>
        </w:rPr>
        <w:t>We should have our meeting and proceed it complying with the rule and procedure of ITU-T. We have a proposal for the creation of a Focus Group on QIT4N on the table. During the discussion in the ad hoc meetings, we have revised the ToR according to the opinions and suggestions received from the meetings, and we have got many supports. We would like to thank Brazil, Egypt, Jordan, Nigeria, Russia Federation, Saudi Arabia, United Arab Emirates, Zimbabwe, and so on for supporting the focus group. We also have the support from many sector members and academia members including Tunisia Telecom, KT, SK Telcom, CAS Quantum Network, QuantumCTek, China Mobile, China Telecom, China Unicom, Huawei Technologies, ZTE Corporation, Beijing University of Posts and Telecommunications, and China Information Communication Technologies Group Corporation. We also have got support from study groups including SG11, SG13, SG16, and SG17. We would like to thank the constructive suggestions from France, Japan, and SG13 Chairman for helping us to improve our proposal. We would also like to thank Canada, the USA, Germany and the UK for their comments and suggestions.</w:t>
      </w:r>
    </w:p>
    <w:p w14:paraId="798F5B08" w14:textId="77777777" w:rsidR="00702F58" w:rsidRPr="00702F58" w:rsidRDefault="00702F58" w:rsidP="00702F58">
      <w:pPr>
        <w:spacing w:beforeLines="50" w:before="120" w:line="320" w:lineRule="exact"/>
        <w:rPr>
          <w:i/>
          <w:szCs w:val="28"/>
          <w:lang w:val="en-GB"/>
        </w:rPr>
      </w:pPr>
      <w:r w:rsidRPr="00702F58">
        <w:rPr>
          <w:rFonts w:hint="eastAsia"/>
          <w:i/>
          <w:szCs w:val="28"/>
          <w:lang w:val="en-GB"/>
        </w:rPr>
        <w:t>We request to capture this statement in your Chairman report.</w:t>
      </w:r>
    </w:p>
    <w:p w14:paraId="3D1B836D" w14:textId="68BBAF65" w:rsidR="00702F58" w:rsidRPr="008938C8" w:rsidRDefault="00702F58" w:rsidP="00485781">
      <w:pPr>
        <w:spacing w:beforeLines="50" w:before="120" w:line="320" w:lineRule="exact"/>
        <w:rPr>
          <w:rFonts w:asciiTheme="majorBidi" w:hAnsiTheme="majorBidi" w:cstheme="majorBidi"/>
          <w:lang w:val="en-US" w:eastAsia="en-US"/>
        </w:rPr>
      </w:pPr>
      <w:r w:rsidRPr="00702F58">
        <w:rPr>
          <w:rFonts w:hint="eastAsia"/>
          <w:i/>
          <w:szCs w:val="28"/>
          <w:lang w:val="en-GB"/>
        </w:rPr>
        <w:t>Thank you.</w:t>
      </w:r>
    </w:p>
    <w:p w14:paraId="47FEE43D" w14:textId="77777777" w:rsidR="009D1B37" w:rsidRPr="00703862" w:rsidRDefault="009D1B37" w:rsidP="009D1B37">
      <w:pPr>
        <w:rPr>
          <w:rFonts w:asciiTheme="majorBidi" w:hAnsiTheme="majorBidi" w:cstheme="majorBidi"/>
          <w:lang w:val="en-US"/>
        </w:rPr>
      </w:pPr>
    </w:p>
    <w:p w14:paraId="5B2DD78A" w14:textId="4E6316CE" w:rsidR="008D3F28" w:rsidRDefault="008D3F28" w:rsidP="008D3F28">
      <w:pPr>
        <w:pStyle w:val="Heading2"/>
        <w:rPr>
          <w:lang w:val="en-US"/>
        </w:rPr>
      </w:pPr>
      <w:r>
        <w:rPr>
          <w:lang w:val="en-US"/>
        </w:rPr>
        <w:t>Further considerations for the future</w:t>
      </w:r>
    </w:p>
    <w:p w14:paraId="4A6EC4C3" w14:textId="77777777" w:rsidR="008D3F28" w:rsidRPr="00485781" w:rsidRDefault="008D3F28" w:rsidP="00485781">
      <w:pPr>
        <w:rPr>
          <w:lang w:val="en-US" w:eastAsia="en-US"/>
        </w:rPr>
      </w:pPr>
    </w:p>
    <w:p w14:paraId="7C78B298" w14:textId="3765E5CE" w:rsidR="008D3F28" w:rsidRDefault="006E0C20" w:rsidP="009D1B37">
      <w:pPr>
        <w:spacing w:after="160" w:line="259" w:lineRule="auto"/>
        <w:rPr>
          <w:rFonts w:asciiTheme="majorBidi" w:hAnsiTheme="majorBidi" w:cstheme="majorBidi"/>
          <w:lang w:val="en-US"/>
        </w:rPr>
      </w:pPr>
      <w:r>
        <w:rPr>
          <w:rFonts w:asciiTheme="majorBidi" w:hAnsiTheme="majorBidi" w:cstheme="majorBidi"/>
          <w:lang w:val="en-US"/>
        </w:rPr>
        <w:t xml:space="preserve">As well, </w:t>
      </w:r>
      <w:r w:rsidR="00646D53">
        <w:rPr>
          <w:rFonts w:asciiTheme="majorBidi" w:hAnsiTheme="majorBidi" w:cstheme="majorBidi"/>
          <w:lang w:val="en-US"/>
        </w:rPr>
        <w:t xml:space="preserve">after the meeting, </w:t>
      </w:r>
      <w:r>
        <w:rPr>
          <w:rFonts w:asciiTheme="majorBidi" w:hAnsiTheme="majorBidi" w:cstheme="majorBidi"/>
          <w:lang w:val="en-US"/>
        </w:rPr>
        <w:t xml:space="preserve">Adhoc Chairman had to take a step back on what happened </w:t>
      </w:r>
      <w:r w:rsidR="00646D53">
        <w:rPr>
          <w:rFonts w:asciiTheme="majorBidi" w:hAnsiTheme="majorBidi" w:cstheme="majorBidi"/>
          <w:lang w:val="en-US"/>
        </w:rPr>
        <w:t xml:space="preserve">and check if there was not any other outcome that came out of these meetings </w:t>
      </w:r>
      <w:r w:rsidR="008D3F28">
        <w:rPr>
          <w:rFonts w:asciiTheme="majorBidi" w:hAnsiTheme="majorBidi" w:cstheme="majorBidi"/>
          <w:lang w:val="en-US"/>
        </w:rPr>
        <w:t>as there is at least one key point that Chairman cannot not report here.</w:t>
      </w:r>
    </w:p>
    <w:p w14:paraId="65B13DE2" w14:textId="4EE70B1F" w:rsidR="006E0C20" w:rsidRDefault="008D3F28" w:rsidP="009D1B37">
      <w:pPr>
        <w:spacing w:after="160" w:line="259" w:lineRule="auto"/>
        <w:rPr>
          <w:rFonts w:asciiTheme="majorBidi" w:hAnsiTheme="majorBidi" w:cstheme="majorBidi"/>
          <w:lang w:val="en-US"/>
        </w:rPr>
      </w:pPr>
      <w:r>
        <w:rPr>
          <w:rFonts w:asciiTheme="majorBidi" w:hAnsiTheme="majorBidi" w:cstheme="majorBidi"/>
          <w:lang w:val="en-US"/>
        </w:rPr>
        <w:t xml:space="preserve">Indeed chairman </w:t>
      </w:r>
      <w:r w:rsidR="006E0C20">
        <w:rPr>
          <w:rFonts w:asciiTheme="majorBidi" w:hAnsiTheme="majorBidi" w:cstheme="majorBidi"/>
          <w:lang w:val="en-US"/>
        </w:rPr>
        <w:t>recognize</w:t>
      </w:r>
      <w:r w:rsidR="00646D53">
        <w:rPr>
          <w:rFonts w:asciiTheme="majorBidi" w:hAnsiTheme="majorBidi" w:cstheme="majorBidi"/>
          <w:lang w:val="en-US"/>
        </w:rPr>
        <w:t>d</w:t>
      </w:r>
      <w:r w:rsidR="006E0C20">
        <w:rPr>
          <w:rFonts w:asciiTheme="majorBidi" w:hAnsiTheme="majorBidi" w:cstheme="majorBidi"/>
          <w:lang w:val="en-US"/>
        </w:rPr>
        <w:t xml:space="preserve"> that in this whole discussion one point needs to progress further </w:t>
      </w:r>
      <w:r w:rsidR="00646D53">
        <w:rPr>
          <w:rFonts w:asciiTheme="majorBidi" w:hAnsiTheme="majorBidi" w:cstheme="majorBidi"/>
          <w:lang w:val="en-US"/>
        </w:rPr>
        <w:t xml:space="preserve">irrespective of the decision of a Focus Group </w:t>
      </w:r>
      <w:r w:rsidR="004063C9">
        <w:rPr>
          <w:rFonts w:asciiTheme="majorBidi" w:hAnsiTheme="majorBidi" w:cstheme="majorBidi"/>
          <w:lang w:val="en-US"/>
        </w:rPr>
        <w:t xml:space="preserve"> </w:t>
      </w:r>
      <w:r w:rsidR="00646D53">
        <w:rPr>
          <w:rFonts w:asciiTheme="majorBidi" w:hAnsiTheme="majorBidi" w:cstheme="majorBidi"/>
          <w:lang w:val="en-US"/>
        </w:rPr>
        <w:t xml:space="preserve">and </w:t>
      </w:r>
      <w:r w:rsidR="006E0C20">
        <w:rPr>
          <w:rFonts w:asciiTheme="majorBidi" w:hAnsiTheme="majorBidi" w:cstheme="majorBidi"/>
          <w:lang w:val="en-US"/>
        </w:rPr>
        <w:t>in the future which concerns the coordination</w:t>
      </w:r>
      <w:r w:rsidR="004063C9">
        <w:rPr>
          <w:rFonts w:asciiTheme="majorBidi" w:hAnsiTheme="majorBidi" w:cstheme="majorBidi"/>
          <w:lang w:val="en-US"/>
        </w:rPr>
        <w:t xml:space="preserve"> (which btw a Focus Group cannot address coordination by law)</w:t>
      </w:r>
    </w:p>
    <w:p w14:paraId="3E88EC9E" w14:textId="7C2BD107" w:rsidR="00646D53" w:rsidRDefault="00646D53" w:rsidP="009D1B37">
      <w:pPr>
        <w:spacing w:after="160" w:line="259" w:lineRule="auto"/>
        <w:rPr>
          <w:rFonts w:asciiTheme="majorBidi" w:hAnsiTheme="majorBidi" w:cstheme="majorBidi"/>
          <w:lang w:val="en-US"/>
        </w:rPr>
      </w:pPr>
      <w:r>
        <w:rPr>
          <w:rFonts w:asciiTheme="majorBidi" w:hAnsiTheme="majorBidi" w:cstheme="majorBidi"/>
          <w:lang w:val="en-US"/>
        </w:rPr>
        <w:lastRenderedPageBreak/>
        <w:t xml:space="preserve">Chairman requests TSAG to consider to enforce point 7 2 c) of the report of the last December TSAG meeting </w:t>
      </w:r>
      <w:r w:rsidR="004063C9">
        <w:rPr>
          <w:rFonts w:asciiTheme="majorBidi" w:hAnsiTheme="majorBidi" w:cstheme="majorBidi"/>
          <w:lang w:val="en-US"/>
        </w:rPr>
        <w:t xml:space="preserve">in </w:t>
      </w:r>
      <w:hyperlink r:id="rId27" w:history="1">
        <w:r w:rsidR="004063C9" w:rsidRPr="004063C9">
          <w:rPr>
            <w:rStyle w:val="Hyperlink"/>
            <w:rFonts w:cstheme="majorBidi"/>
            <w:lang w:val="en-US"/>
          </w:rPr>
          <w:t>TD443</w:t>
        </w:r>
      </w:hyperlink>
      <w:r w:rsidR="004063C9">
        <w:rPr>
          <w:rFonts w:asciiTheme="majorBidi" w:hAnsiTheme="majorBidi" w:cstheme="majorBidi"/>
          <w:lang w:val="en-US"/>
        </w:rPr>
        <w:t xml:space="preserve"> </w:t>
      </w:r>
      <w:r>
        <w:rPr>
          <w:rFonts w:asciiTheme="majorBidi" w:hAnsiTheme="majorBidi" w:cstheme="majorBidi"/>
          <w:lang w:val="en-US"/>
        </w:rPr>
        <w:t xml:space="preserve">and given the </w:t>
      </w:r>
      <w:r w:rsidR="004063C9">
        <w:rPr>
          <w:rFonts w:asciiTheme="majorBidi" w:hAnsiTheme="majorBidi" w:cstheme="majorBidi"/>
          <w:lang w:val="en-US"/>
        </w:rPr>
        <w:t xml:space="preserve">obvious knowledge and </w:t>
      </w:r>
      <w:r>
        <w:rPr>
          <w:rFonts w:asciiTheme="majorBidi" w:hAnsiTheme="majorBidi" w:cstheme="majorBidi"/>
          <w:lang w:val="en-US"/>
        </w:rPr>
        <w:t xml:space="preserve">skills of Study Group chairs in coordination, </w:t>
      </w:r>
      <w:r w:rsidR="004063C9">
        <w:rPr>
          <w:rFonts w:asciiTheme="majorBidi" w:hAnsiTheme="majorBidi" w:cstheme="majorBidi"/>
          <w:lang w:val="en-US"/>
        </w:rPr>
        <w:t xml:space="preserve">Chairman </w:t>
      </w:r>
      <w:r>
        <w:rPr>
          <w:rFonts w:asciiTheme="majorBidi" w:hAnsiTheme="majorBidi" w:cstheme="majorBidi"/>
          <w:lang w:val="en-US"/>
        </w:rPr>
        <w:t>would recommend them to develop of TD on how they propose to organize coordination with ITU and with other SDOs</w:t>
      </w:r>
      <w:r w:rsidR="004063C9">
        <w:rPr>
          <w:rFonts w:asciiTheme="majorBidi" w:hAnsiTheme="majorBidi" w:cstheme="majorBidi"/>
          <w:lang w:val="en-US"/>
        </w:rPr>
        <w:t xml:space="preserve"> on the matter.</w:t>
      </w:r>
    </w:p>
    <w:p w14:paraId="5327ACC8" w14:textId="06281B88" w:rsidR="00646D53" w:rsidRDefault="00646D53" w:rsidP="009D1B37">
      <w:pPr>
        <w:spacing w:after="160" w:line="259" w:lineRule="auto"/>
        <w:rPr>
          <w:rFonts w:asciiTheme="majorBidi" w:hAnsiTheme="majorBidi" w:cstheme="majorBidi"/>
          <w:lang w:val="en-US"/>
        </w:rPr>
      </w:pPr>
      <w:r>
        <w:rPr>
          <w:rFonts w:asciiTheme="majorBidi" w:hAnsiTheme="majorBidi" w:cstheme="majorBidi"/>
          <w:lang w:val="en-US"/>
        </w:rPr>
        <w:t>Chairman would like TSAG to consider</w:t>
      </w:r>
      <w:r w:rsidR="004063C9">
        <w:rPr>
          <w:rFonts w:asciiTheme="majorBidi" w:hAnsiTheme="majorBidi" w:cstheme="majorBidi"/>
          <w:lang w:val="en-US"/>
        </w:rPr>
        <w:t xml:space="preserve"> too,</w:t>
      </w:r>
      <w:r>
        <w:rPr>
          <w:rFonts w:asciiTheme="majorBidi" w:hAnsiTheme="majorBidi" w:cstheme="majorBidi"/>
          <w:lang w:val="en-US"/>
        </w:rPr>
        <w:t xml:space="preserve"> that good </w:t>
      </w:r>
      <w:r w:rsidRPr="00485781">
        <w:rPr>
          <w:rFonts w:asciiTheme="majorBidi" w:hAnsiTheme="majorBidi" w:cstheme="majorBidi"/>
          <w:u w:val="single"/>
          <w:lang w:val="en-US"/>
        </w:rPr>
        <w:t>creative</w:t>
      </w:r>
      <w:r>
        <w:rPr>
          <w:rFonts w:asciiTheme="majorBidi" w:hAnsiTheme="majorBidi" w:cstheme="majorBidi"/>
          <w:lang w:val="en-US"/>
        </w:rPr>
        <w:t xml:space="preserve"> contributions at the next TSAG meeting should be welcome.</w:t>
      </w:r>
    </w:p>
    <w:p w14:paraId="42A2B5FF" w14:textId="77777777" w:rsidR="00646D53" w:rsidRDefault="00646D53" w:rsidP="00646D53">
      <w:pPr>
        <w:spacing w:after="160" w:line="259" w:lineRule="auto"/>
        <w:rPr>
          <w:rFonts w:asciiTheme="majorBidi" w:hAnsiTheme="majorBidi" w:cstheme="majorBidi"/>
          <w:lang w:val="en-US"/>
        </w:rPr>
      </w:pPr>
      <w:r>
        <w:rPr>
          <w:rFonts w:asciiTheme="majorBidi" w:hAnsiTheme="majorBidi" w:cstheme="majorBidi"/>
          <w:lang w:val="en-US"/>
        </w:rPr>
        <w:t xml:space="preserve">Indeed even if there would be progress on this area in the coming two TSAG meeting, time constraints and timeouts will make it that it will take a significant amount of time before any coordination can be put in place and time is of essence now on the topic of Quantum. </w:t>
      </w:r>
    </w:p>
    <w:p w14:paraId="0E41BD6D" w14:textId="167F4436" w:rsidR="00646D53" w:rsidRDefault="00646D53" w:rsidP="00646D53">
      <w:pPr>
        <w:spacing w:after="160" w:line="259" w:lineRule="auto"/>
        <w:rPr>
          <w:rFonts w:asciiTheme="majorBidi" w:hAnsiTheme="majorBidi" w:cstheme="majorBidi"/>
          <w:lang w:val="en-US"/>
        </w:rPr>
      </w:pPr>
    </w:p>
    <w:p w14:paraId="2B687727" w14:textId="222A19E9" w:rsidR="008D3F28" w:rsidRDefault="008D3F28" w:rsidP="00485781">
      <w:pPr>
        <w:pStyle w:val="Heading2"/>
        <w:rPr>
          <w:lang w:val="en-US"/>
        </w:rPr>
      </w:pPr>
      <w:r>
        <w:rPr>
          <w:lang w:val="en-US"/>
        </w:rPr>
        <w:t>Acknowledgment</w:t>
      </w:r>
    </w:p>
    <w:p w14:paraId="454537AF" w14:textId="3C562E58" w:rsidR="008D3F28" w:rsidRDefault="008D3F28" w:rsidP="00646D53">
      <w:pPr>
        <w:spacing w:after="160" w:line="259" w:lineRule="auto"/>
        <w:rPr>
          <w:rFonts w:asciiTheme="majorBidi" w:hAnsiTheme="majorBidi" w:cstheme="majorBidi"/>
          <w:lang w:val="en-US"/>
        </w:rPr>
      </w:pPr>
    </w:p>
    <w:p w14:paraId="513CB1CC" w14:textId="4B5E4F69" w:rsidR="008D3F28" w:rsidRDefault="008D3F28" w:rsidP="00646D53">
      <w:pPr>
        <w:spacing w:after="160" w:line="259" w:lineRule="auto"/>
        <w:rPr>
          <w:rFonts w:asciiTheme="majorBidi" w:hAnsiTheme="majorBidi" w:cstheme="majorBidi"/>
          <w:lang w:val="en-US"/>
        </w:rPr>
      </w:pPr>
      <w:r>
        <w:rPr>
          <w:rFonts w:asciiTheme="majorBidi" w:hAnsiTheme="majorBidi" w:cstheme="majorBidi"/>
          <w:lang w:val="en-US"/>
        </w:rPr>
        <w:t>Chairman would like to warmly thank all the participants in this highly sophisticated problematic for their engagement, passion and commitment to make the correct choice for the ITU</w:t>
      </w:r>
    </w:p>
    <w:p w14:paraId="7C1949CE" w14:textId="654DE8CC" w:rsidR="008D3F28" w:rsidRDefault="008D3F28" w:rsidP="00646D53">
      <w:pPr>
        <w:spacing w:after="160" w:line="259" w:lineRule="auto"/>
        <w:rPr>
          <w:rFonts w:asciiTheme="majorBidi" w:hAnsiTheme="majorBidi" w:cstheme="majorBidi"/>
          <w:lang w:val="en-US"/>
        </w:rPr>
      </w:pPr>
      <w:r>
        <w:rPr>
          <w:rFonts w:asciiTheme="majorBidi" w:hAnsiTheme="majorBidi" w:cstheme="majorBidi"/>
          <w:lang w:val="en-US"/>
        </w:rPr>
        <w:t xml:space="preserve">Chairman would like too to warmly thank his counselor Mrs. Xiaoya Yang for the very hard work she had to do to script as best as possible the interventions and help more broadly and in many ways the Chairman in his mission </w:t>
      </w:r>
    </w:p>
    <w:p w14:paraId="1886DDFE" w14:textId="772CD704" w:rsidR="009D1B37" w:rsidRPr="00703862" w:rsidRDefault="009D1B37" w:rsidP="00646D53">
      <w:pPr>
        <w:spacing w:after="160" w:line="259" w:lineRule="auto"/>
        <w:rPr>
          <w:rFonts w:asciiTheme="majorBidi" w:hAnsiTheme="majorBidi" w:cstheme="majorBidi"/>
          <w:lang w:val="en-US"/>
        </w:rPr>
      </w:pPr>
      <w:r w:rsidRPr="00703862">
        <w:rPr>
          <w:rFonts w:asciiTheme="majorBidi" w:hAnsiTheme="majorBidi" w:cstheme="majorBidi"/>
          <w:lang w:val="en-US"/>
        </w:rPr>
        <w:br w:type="page"/>
      </w:r>
    </w:p>
    <w:p w14:paraId="08FF06FC" w14:textId="77777777" w:rsidR="00B538EA" w:rsidRPr="000E512E" w:rsidRDefault="00B538EA" w:rsidP="00EE5EF4">
      <w:pPr>
        <w:pStyle w:val="Heading1"/>
        <w:rPr>
          <w:rFonts w:asciiTheme="majorBidi" w:hAnsiTheme="majorBidi" w:cstheme="majorBidi"/>
          <w:szCs w:val="24"/>
          <w:lang w:val="en-GB"/>
        </w:rPr>
      </w:pPr>
      <w:r w:rsidRPr="000E512E">
        <w:rPr>
          <w:rFonts w:asciiTheme="majorBidi" w:hAnsiTheme="majorBidi" w:cstheme="majorBidi"/>
          <w:szCs w:val="24"/>
          <w:lang w:val="en-GB"/>
        </w:rPr>
        <w:lastRenderedPageBreak/>
        <w:t>Annex 1 – Latest draft ToR status</w:t>
      </w:r>
    </w:p>
    <w:p w14:paraId="3ABB9D61" w14:textId="77777777" w:rsidR="00B538EA" w:rsidRPr="00703862" w:rsidRDefault="00B538EA" w:rsidP="0089088E">
      <w:pPr>
        <w:rPr>
          <w:rFonts w:asciiTheme="majorBidi" w:hAnsiTheme="majorBidi" w:cstheme="majorBidi"/>
          <w:lang w:val="en-US"/>
        </w:rPr>
      </w:pPr>
    </w:p>
    <w:p w14:paraId="4A91760B" w14:textId="7881868C" w:rsidR="009D1B37" w:rsidRDefault="009D1B37" w:rsidP="0089088E">
      <w:pPr>
        <w:rPr>
          <w:rStyle w:val="Hyperlink"/>
          <w:rFonts w:cstheme="majorBidi"/>
          <w:lang w:val="en-US"/>
        </w:rPr>
      </w:pPr>
      <w:r w:rsidRPr="00703862">
        <w:rPr>
          <w:rFonts w:asciiTheme="majorBidi" w:hAnsiTheme="majorBidi" w:cstheme="majorBidi"/>
          <w:lang w:val="en-US"/>
        </w:rPr>
        <w:t xml:space="preserve">For reference the latest draft ToR text as per </w:t>
      </w:r>
      <w:r w:rsidR="001056C8" w:rsidRPr="001056C8">
        <w:rPr>
          <w:rFonts w:asciiTheme="majorBidi" w:hAnsiTheme="majorBidi" w:cstheme="majorBidi"/>
          <w:lang w:val="en-US"/>
        </w:rPr>
        <w:t>TD</w:t>
      </w:r>
      <w:r w:rsidR="001056C8">
        <w:rPr>
          <w:rFonts w:asciiTheme="majorBidi" w:hAnsiTheme="majorBidi" w:cstheme="majorBidi"/>
          <w:lang w:val="en-US"/>
        </w:rPr>
        <w:t>632R1:</w:t>
      </w:r>
    </w:p>
    <w:p w14:paraId="51DB83B4" w14:textId="7EFE8C8A" w:rsidR="001056C8" w:rsidRDefault="001056C8" w:rsidP="0089088E">
      <w:pPr>
        <w:rPr>
          <w:rStyle w:val="Hyperlink"/>
          <w:rFonts w:cstheme="majorBidi"/>
          <w:lang w:val="en-US"/>
        </w:rPr>
      </w:pPr>
    </w:p>
    <w:p w14:paraId="29C2FCEA" w14:textId="0ECBA7D1" w:rsidR="00B01D72" w:rsidRPr="00DF5271" w:rsidRDefault="00B01D72" w:rsidP="00B01D72">
      <w:pPr>
        <w:pStyle w:val="AnnexNotitle"/>
        <w:pageBreakBefore/>
        <w:tabs>
          <w:tab w:val="center" w:pos="4819"/>
          <w:tab w:val="left" w:pos="7227"/>
        </w:tabs>
        <w:jc w:val="left"/>
        <w:rPr>
          <w:lang w:val="en-GB"/>
        </w:rPr>
      </w:pPr>
      <w:r>
        <w:rPr>
          <w:lang w:val="en-GB"/>
        </w:rPr>
        <w:lastRenderedPageBreak/>
        <w:t>[</w:t>
      </w:r>
      <w:r w:rsidRPr="00DF5271">
        <w:rPr>
          <w:lang w:val="en-GB"/>
        </w:rPr>
        <w:t>Proposed Terms of Reference:</w:t>
      </w:r>
      <w:r w:rsidRPr="00DF5271">
        <w:rPr>
          <w:lang w:val="en-GB"/>
        </w:rPr>
        <w:tab/>
      </w:r>
      <w:r w:rsidRPr="00DF5271">
        <w:rPr>
          <w:lang w:val="en-GB"/>
        </w:rPr>
        <w:br/>
        <w:t>ITU-T Focus Group on “</w:t>
      </w:r>
      <w:r w:rsidRPr="00DF5271">
        <w:rPr>
          <w:lang w:val="en-GB" w:eastAsia="zh-CN"/>
        </w:rPr>
        <w:t>Quantum I</w:t>
      </w:r>
      <w:r w:rsidRPr="00DF5271">
        <w:rPr>
          <w:rFonts w:hint="eastAsia"/>
          <w:lang w:val="en-GB" w:eastAsia="zh-CN"/>
        </w:rPr>
        <w:t>nformation</w:t>
      </w:r>
      <w:r w:rsidRPr="00DF5271">
        <w:rPr>
          <w:lang w:val="en-GB" w:eastAsia="zh-CN"/>
        </w:rPr>
        <w:t xml:space="preserve"> Technology</w:t>
      </w:r>
      <w:r w:rsidRPr="00DF5271">
        <w:rPr>
          <w:lang w:val="en-GB"/>
        </w:rPr>
        <w:t xml:space="preserve"> for Networks” (FG-QIT4N)</w:t>
      </w:r>
    </w:p>
    <w:p w14:paraId="386D76FF" w14:textId="77777777" w:rsidR="00B01D72" w:rsidRPr="00DF5271" w:rsidRDefault="00B01D72" w:rsidP="00B01D72">
      <w:pPr>
        <w:spacing w:before="360"/>
        <w:rPr>
          <w:rFonts w:eastAsiaTheme="minorEastAsia"/>
          <w:b/>
          <w:bCs/>
          <w:lang w:val="en-GB" w:eastAsia="ja-JP"/>
        </w:rPr>
      </w:pPr>
      <w:r w:rsidRPr="00DF5271">
        <w:rPr>
          <w:rFonts w:eastAsiaTheme="minorEastAsia"/>
          <w:b/>
          <w:bCs/>
          <w:lang w:val="en-GB" w:eastAsia="ja-JP"/>
        </w:rPr>
        <w:t>1.</w:t>
      </w:r>
      <w:r w:rsidRPr="00DF5271">
        <w:rPr>
          <w:rFonts w:eastAsiaTheme="minorEastAsia"/>
          <w:b/>
          <w:bCs/>
          <w:lang w:val="en-GB" w:eastAsia="ja-JP"/>
        </w:rPr>
        <w:tab/>
        <w:t>Rationale and Scope</w:t>
      </w:r>
    </w:p>
    <w:p w14:paraId="5A7AF43E" w14:textId="77777777" w:rsidR="00B01D72" w:rsidRPr="00DF5271" w:rsidRDefault="00B01D72" w:rsidP="00B01D72">
      <w:pPr>
        <w:spacing w:before="120"/>
        <w:jc w:val="both"/>
        <w:rPr>
          <w:rFonts w:eastAsiaTheme="minorEastAsia"/>
          <w:lang w:val="en-GB" w:eastAsia="zh-CN"/>
        </w:rPr>
      </w:pPr>
      <w:r w:rsidRPr="00DF5271">
        <w:rPr>
          <w:rFonts w:eastAsiaTheme="minorEastAsia"/>
          <w:lang w:val="en-GB" w:eastAsia="zh-CN"/>
        </w:rPr>
        <w:t>The integration of quantum physics and information technology has forged the so-called quantum information technology (QIT), which could be categorized in three areas:</w:t>
      </w:r>
    </w:p>
    <w:p w14:paraId="39F8E609" w14:textId="77777777" w:rsidR="00B01D72" w:rsidRPr="00DF5271" w:rsidRDefault="00B01D72" w:rsidP="00B01D72">
      <w:pPr>
        <w:numPr>
          <w:ilvl w:val="0"/>
          <w:numId w:val="23"/>
        </w:numPr>
        <w:spacing w:before="120"/>
        <w:jc w:val="both"/>
        <w:rPr>
          <w:rFonts w:eastAsiaTheme="minorEastAsia"/>
          <w:lang w:val="en-GB" w:eastAsia="zh-CN"/>
        </w:rPr>
      </w:pPr>
      <w:r w:rsidRPr="00DF5271">
        <w:rPr>
          <w:rFonts w:eastAsiaTheme="minorEastAsia"/>
          <w:lang w:val="en-GB" w:eastAsia="zh-CN"/>
        </w:rPr>
        <w:t xml:space="preserve">quantum computing </w:t>
      </w:r>
    </w:p>
    <w:p w14:paraId="1C9DB63F" w14:textId="77777777" w:rsidR="00B01D72" w:rsidRPr="00DF5271" w:rsidRDefault="00B01D72" w:rsidP="00B01D72">
      <w:pPr>
        <w:numPr>
          <w:ilvl w:val="0"/>
          <w:numId w:val="23"/>
        </w:numPr>
        <w:spacing w:before="120"/>
        <w:jc w:val="both"/>
        <w:rPr>
          <w:rFonts w:eastAsiaTheme="minorEastAsia"/>
          <w:lang w:val="en-GB" w:eastAsia="zh-CN"/>
        </w:rPr>
      </w:pPr>
      <w:r w:rsidRPr="00DF5271">
        <w:rPr>
          <w:rFonts w:eastAsiaTheme="minorEastAsia"/>
          <w:lang w:val="en-GB" w:eastAsia="zh-CN"/>
        </w:rPr>
        <w:t>quantum communication</w:t>
      </w:r>
    </w:p>
    <w:p w14:paraId="69655398" w14:textId="77777777" w:rsidR="00B01D72" w:rsidRPr="00DF5271" w:rsidRDefault="00B01D72" w:rsidP="00B01D72">
      <w:pPr>
        <w:numPr>
          <w:ilvl w:val="0"/>
          <w:numId w:val="23"/>
        </w:numPr>
        <w:spacing w:before="120"/>
        <w:jc w:val="both"/>
        <w:rPr>
          <w:rFonts w:eastAsiaTheme="minorEastAsia"/>
          <w:lang w:val="en-GB" w:eastAsia="zh-CN"/>
        </w:rPr>
      </w:pPr>
      <w:r w:rsidRPr="00DF5271">
        <w:rPr>
          <w:rFonts w:eastAsiaTheme="minorEastAsia"/>
          <w:lang w:val="en-GB" w:eastAsia="zh-CN"/>
        </w:rPr>
        <w:t xml:space="preserve">quantum metrology </w:t>
      </w:r>
    </w:p>
    <w:p w14:paraId="6F44DDB6" w14:textId="77777777" w:rsidR="00B01D72" w:rsidRPr="00DF5271" w:rsidRDefault="00B01D72" w:rsidP="00B01D72">
      <w:pPr>
        <w:spacing w:before="120"/>
        <w:jc w:val="both"/>
        <w:rPr>
          <w:rFonts w:eastAsiaTheme="minorEastAsia"/>
          <w:lang w:val="en-GB" w:eastAsia="zh-CN"/>
        </w:rPr>
      </w:pPr>
      <w:r w:rsidRPr="00DF5271">
        <w:rPr>
          <w:rFonts w:eastAsiaTheme="minorEastAsia"/>
          <w:lang w:val="en-GB" w:eastAsia="zh-CN"/>
        </w:rPr>
        <w:t xml:space="preserve">QIT has promoted the booming of the second quantum revolution and will have a profound impact on ICT networks. </w:t>
      </w:r>
    </w:p>
    <w:p w14:paraId="3FFA73BF" w14:textId="77777777" w:rsidR="00B01D72" w:rsidRPr="00DF5271" w:rsidRDefault="00B01D72" w:rsidP="00B01D72">
      <w:pPr>
        <w:spacing w:before="120"/>
        <w:jc w:val="both"/>
        <w:rPr>
          <w:rFonts w:eastAsiaTheme="minorEastAsia"/>
          <w:lang w:val="en-GB" w:eastAsia="zh-CN"/>
        </w:rPr>
      </w:pPr>
      <w:r w:rsidRPr="00DF5271">
        <w:rPr>
          <w:rFonts w:eastAsiaTheme="minorEastAsia"/>
          <w:lang w:val="en-GB" w:eastAsia="zh-CN"/>
        </w:rPr>
        <w:t>Quantum computation is a new computation model that follows the laws of quantum mechanics to control quantum information units</w:t>
      </w:r>
      <w:r w:rsidRPr="00DF5271">
        <w:rPr>
          <w:rFonts w:eastAsiaTheme="minorEastAsia"/>
          <w:lang w:val="en-US" w:eastAsia="zh-CN"/>
        </w:rPr>
        <w:t>. Combined with the quantum parallelism, quantum information processing has greater potential than classical information processing. Quantum computers represent a breakthrough in Moore's Law that is limited by the nanoscale, implying enormous computing power potential.</w:t>
      </w:r>
      <w:r w:rsidRPr="00DF5271">
        <w:rPr>
          <w:rFonts w:eastAsiaTheme="minorEastAsia" w:hint="eastAsia"/>
          <w:lang w:val="en-GB" w:eastAsia="zh-CN"/>
        </w:rPr>
        <w:t xml:space="preserve"> Q</w:t>
      </w:r>
      <w:r w:rsidRPr="00DF5271">
        <w:rPr>
          <w:rFonts w:eastAsiaTheme="minorEastAsia"/>
          <w:lang w:val="en-GB" w:eastAsia="zh-CN"/>
        </w:rPr>
        <w:t xml:space="preserve">uantum computer has </w:t>
      </w:r>
      <w:r w:rsidRPr="00DF5271">
        <w:rPr>
          <w:rFonts w:eastAsiaTheme="minorEastAsia" w:hint="eastAsia"/>
          <w:lang w:val="en-GB" w:eastAsia="zh-CN"/>
        </w:rPr>
        <w:t>p</w:t>
      </w:r>
      <w:r w:rsidRPr="00DF5271">
        <w:rPr>
          <w:rFonts w:eastAsiaTheme="minorEastAsia"/>
          <w:lang w:val="en-GB" w:eastAsia="zh-CN"/>
        </w:rPr>
        <w:t>otential applications in many fields, such as optimization over huge data sets and design of new materials and molecular functions. The computational power brought by quantum computing will not only improve the performance of signal processing, but also become a threat to security of existing ICT networks.</w:t>
      </w:r>
    </w:p>
    <w:p w14:paraId="06373E22" w14:textId="77777777" w:rsidR="00B01D72" w:rsidRPr="00DF5271" w:rsidRDefault="00B01D72" w:rsidP="00B01D72">
      <w:pPr>
        <w:spacing w:before="120"/>
        <w:jc w:val="both"/>
        <w:rPr>
          <w:rFonts w:eastAsiaTheme="minorEastAsia"/>
          <w:lang w:val="en-GB" w:eastAsia="zh-CN"/>
        </w:rPr>
      </w:pPr>
      <w:r w:rsidRPr="00DF5271">
        <w:rPr>
          <w:rFonts w:eastAsiaTheme="minorEastAsia"/>
          <w:lang w:val="en-GB" w:eastAsia="zh-CN"/>
        </w:rPr>
        <w:t>Quantum communication includes a class of novel communication technologies that exploit the transmission of quantum signals, such as quantum key distribution (QKD), quantum teleportation, quantum repeater. QKD is one of the most mature QIT application at this moment. Different from the traditional key distribution technology, QKD provides long-term security based on principles of quantum mechanics. The security of QKD still holds even under the attack of quantum computer. Metro/backbone QKD networks have been constructed and satellite-based quantum communication experimental applications have been realized in last decade. In the future, quantum repeater would be an essential building block in constructing distributed quantum computing.</w:t>
      </w:r>
    </w:p>
    <w:p w14:paraId="1057465E" w14:textId="77777777" w:rsidR="00B01D72" w:rsidRPr="00DF5271" w:rsidRDefault="00B01D72" w:rsidP="00B01D72">
      <w:pPr>
        <w:spacing w:before="120"/>
        <w:jc w:val="both"/>
        <w:rPr>
          <w:rFonts w:eastAsiaTheme="minorEastAsia"/>
          <w:lang w:val="en-US" w:eastAsia="zh-CN"/>
        </w:rPr>
      </w:pPr>
      <w:r w:rsidRPr="00DF5271">
        <w:rPr>
          <w:rFonts w:eastAsiaTheme="minorEastAsia"/>
          <w:lang w:val="en-US" w:eastAsia="zh-CN"/>
        </w:rPr>
        <w:t xml:space="preserve">Quantum metrology is the study of measurement techniques that give higher resolution and sensibility in measurements of physical parameters than the same measurement performed in a classical framework.  At this stage, quantum metrology is mainly used in the fields of navigation, lidar and time-frequency transmission. </w:t>
      </w:r>
    </w:p>
    <w:p w14:paraId="7F333779" w14:textId="77777777" w:rsidR="00B01D72" w:rsidRPr="00DF5271" w:rsidRDefault="00B01D72" w:rsidP="00B01D72">
      <w:pPr>
        <w:spacing w:before="120"/>
        <w:jc w:val="both"/>
        <w:rPr>
          <w:rFonts w:eastAsiaTheme="minorEastAsia"/>
          <w:lang w:val="en-GB" w:eastAsia="zh-CN"/>
        </w:rPr>
      </w:pPr>
      <w:r w:rsidRPr="00DF5271">
        <w:rPr>
          <w:rFonts w:eastAsiaTheme="minorEastAsia"/>
          <w:lang w:val="en-GB" w:eastAsia="zh-CN"/>
        </w:rPr>
        <w:t xml:space="preserve">Quantum information network (QIN) is expected to connect quantum information processing nodes, including QKD nodes, quantum computers and quantum sensors, via quantum communication technologies such as quantum teleportation and quantum repeating, to realize quantum information transmission and networking. QIN has potential to </w:t>
      </w:r>
      <w:r w:rsidRPr="00DF5271">
        <w:rPr>
          <w:rFonts w:eastAsiaTheme="minorEastAsia" w:hint="eastAsia"/>
          <w:lang w:val="en-GB" w:eastAsia="zh-CN"/>
        </w:rPr>
        <w:t>provide</w:t>
      </w:r>
      <w:r w:rsidRPr="00DF5271">
        <w:rPr>
          <w:rFonts w:eastAsiaTheme="minorEastAsia"/>
          <w:lang w:val="en-GB" w:eastAsia="zh-CN"/>
        </w:rPr>
        <w:t xml:space="preserve"> </w:t>
      </w:r>
      <w:r w:rsidRPr="00DF5271">
        <w:rPr>
          <w:rFonts w:eastAsiaTheme="minorEastAsia" w:hint="eastAsia"/>
          <w:lang w:val="en-GB" w:eastAsia="zh-CN"/>
        </w:rPr>
        <w:t>series</w:t>
      </w:r>
      <w:r w:rsidRPr="00DF5271">
        <w:rPr>
          <w:rFonts w:eastAsiaTheme="minorEastAsia"/>
          <w:lang w:val="en-GB" w:eastAsia="zh-CN"/>
        </w:rPr>
        <w:t xml:space="preserve"> </w:t>
      </w:r>
      <w:r w:rsidRPr="00DF5271">
        <w:rPr>
          <w:rFonts w:eastAsiaTheme="minorEastAsia" w:hint="eastAsia"/>
          <w:lang w:val="en-GB" w:eastAsia="zh-CN"/>
        </w:rPr>
        <w:t>of</w:t>
      </w:r>
      <w:r w:rsidRPr="00DF5271">
        <w:rPr>
          <w:rFonts w:eastAsiaTheme="minorEastAsia"/>
          <w:lang w:val="en-GB" w:eastAsia="zh-CN"/>
        </w:rPr>
        <w:t xml:space="preserve"> new applications, such as distributed quantum computing and quantum sensor network.</w:t>
      </w:r>
    </w:p>
    <w:p w14:paraId="6AE4070E"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The ITU-T Focus Group on “</w:t>
      </w:r>
      <w:r w:rsidRPr="00DF5271">
        <w:rPr>
          <w:rFonts w:eastAsiaTheme="minorEastAsia" w:hint="eastAsia"/>
          <w:lang w:val="en-GB" w:eastAsia="zh-CN"/>
        </w:rPr>
        <w:t>Quantum information technology</w:t>
      </w:r>
      <w:r w:rsidRPr="00DF5271">
        <w:rPr>
          <w:rFonts w:eastAsiaTheme="minorEastAsia"/>
          <w:lang w:val="en-GB" w:eastAsia="zh-CN"/>
        </w:rPr>
        <w:t xml:space="preserve"> for networks</w:t>
      </w:r>
      <w:r w:rsidRPr="00DF5271">
        <w:rPr>
          <w:rFonts w:eastAsiaTheme="minorEastAsia"/>
          <w:lang w:val="en-GB" w:eastAsia="ja-JP"/>
        </w:rPr>
        <w:t>” (FG-QIT4N) would provide an open platform to study QIT for networks. It engages researchers, engineers, practitioners, entrepreneurs and policy makers, to take full advantages of ability and potential of QIT in networks.</w:t>
      </w:r>
    </w:p>
    <w:p w14:paraId="48EF85B8" w14:textId="77777777" w:rsidR="00B01D72" w:rsidRPr="00DF5271" w:rsidRDefault="00B01D72" w:rsidP="00B01D72">
      <w:pPr>
        <w:spacing w:before="120"/>
        <w:jc w:val="both"/>
        <w:rPr>
          <w:rFonts w:eastAsia="MS Mincho"/>
          <w:lang w:val="en-GB" w:eastAsia="ja-JP"/>
        </w:rPr>
      </w:pPr>
    </w:p>
    <w:p w14:paraId="27E9B165" w14:textId="77777777" w:rsidR="00B01D72" w:rsidRPr="00DF5271" w:rsidRDefault="00B01D72" w:rsidP="00B01D72">
      <w:pPr>
        <w:keepNext/>
        <w:keepLines/>
        <w:spacing w:before="120"/>
        <w:jc w:val="both"/>
        <w:rPr>
          <w:rFonts w:eastAsiaTheme="minorEastAsia"/>
          <w:b/>
          <w:bCs/>
          <w:lang w:val="en-GB" w:eastAsia="ja-JP"/>
        </w:rPr>
      </w:pPr>
      <w:r w:rsidRPr="00DF5271">
        <w:rPr>
          <w:rFonts w:eastAsiaTheme="minorEastAsia"/>
          <w:b/>
          <w:bCs/>
          <w:lang w:val="en-GB" w:eastAsia="ja-JP"/>
        </w:rPr>
        <w:t>2.</w:t>
      </w:r>
      <w:r w:rsidRPr="00DF5271">
        <w:rPr>
          <w:rFonts w:eastAsiaTheme="minorEastAsia"/>
          <w:b/>
          <w:bCs/>
          <w:lang w:val="en-GB" w:eastAsia="ja-JP"/>
        </w:rPr>
        <w:tab/>
        <w:t>Objectives of the FG-QIT4N</w:t>
      </w:r>
    </w:p>
    <w:p w14:paraId="4B474975" w14:textId="77777777" w:rsidR="00B01D72" w:rsidRPr="00DF5271" w:rsidRDefault="00B01D72" w:rsidP="00B01D72">
      <w:pPr>
        <w:spacing w:before="120"/>
        <w:jc w:val="both"/>
        <w:rPr>
          <w:rFonts w:eastAsia="MS Mincho"/>
          <w:lang w:val="en-GB" w:eastAsia="zh-CN"/>
        </w:rPr>
      </w:pPr>
      <w:r w:rsidRPr="00DF5271">
        <w:rPr>
          <w:rFonts w:eastAsiaTheme="minorEastAsia"/>
          <w:lang w:val="en-GB" w:eastAsia="zh-CN"/>
        </w:rPr>
        <w:t>This Focus Group is to provide a collaborative platform for pre-standardisation aspects of QIT for the ICT networks, with the following objectives:</w:t>
      </w:r>
    </w:p>
    <w:p w14:paraId="08D9D836" w14:textId="77777777" w:rsidR="00B01D72" w:rsidRPr="00DF5271" w:rsidRDefault="00B01D72" w:rsidP="00B01D72">
      <w:pPr>
        <w:numPr>
          <w:ilvl w:val="0"/>
          <w:numId w:val="16"/>
        </w:numPr>
        <w:spacing w:before="120"/>
        <w:jc w:val="both"/>
        <w:rPr>
          <w:rFonts w:eastAsiaTheme="minorEastAsia"/>
          <w:lang w:val="en-GB" w:eastAsia="ja-JP"/>
        </w:rPr>
      </w:pPr>
      <w:r w:rsidRPr="00DF5271">
        <w:rPr>
          <w:rFonts w:eastAsia="MS Mincho"/>
          <w:lang w:val="en-GB" w:eastAsia="ja-JP"/>
        </w:rPr>
        <w:lastRenderedPageBreak/>
        <w:t>Considering emerging technologies and applications of QIT for networks.</w:t>
      </w:r>
    </w:p>
    <w:p w14:paraId="284846C4" w14:textId="77777777" w:rsidR="00B01D72" w:rsidRPr="00DF5271" w:rsidRDefault="00B01D72" w:rsidP="00B01D72">
      <w:pPr>
        <w:numPr>
          <w:ilvl w:val="0"/>
          <w:numId w:val="16"/>
        </w:numPr>
        <w:spacing w:before="120"/>
        <w:jc w:val="both"/>
        <w:rPr>
          <w:rFonts w:eastAsiaTheme="minorEastAsia"/>
          <w:lang w:val="en-GB" w:eastAsia="ja-JP"/>
        </w:rPr>
      </w:pPr>
      <w:r w:rsidRPr="00DF5271">
        <w:rPr>
          <w:rFonts w:eastAsia="MS Mincho"/>
          <w:lang w:val="en-GB" w:eastAsia="ja-JP"/>
        </w:rPr>
        <w:t xml:space="preserve">the object of study consists of: </w:t>
      </w:r>
    </w:p>
    <w:p w14:paraId="77CF9B0D" w14:textId="77777777" w:rsidR="00B01D72" w:rsidRPr="00DF5271" w:rsidRDefault="00B01D72" w:rsidP="00B01D72">
      <w:pPr>
        <w:numPr>
          <w:ilvl w:val="1"/>
          <w:numId w:val="16"/>
        </w:numPr>
        <w:spacing w:before="120"/>
        <w:jc w:val="both"/>
        <w:rPr>
          <w:rFonts w:eastAsiaTheme="minorEastAsia"/>
          <w:lang w:val="en-GB" w:eastAsia="ja-JP"/>
        </w:rPr>
      </w:pPr>
      <w:r w:rsidRPr="00DF5271">
        <w:rPr>
          <w:rFonts w:eastAsia="MS Mincho"/>
          <w:lang w:val="en-GB" w:eastAsia="ja-JP"/>
        </w:rPr>
        <w:t xml:space="preserve">the supplementary aspects of QKD networks beyond the scope of SG13 </w:t>
      </w:r>
      <w:r>
        <w:rPr>
          <w:rFonts w:eastAsia="MS Mincho"/>
          <w:lang w:val="en-GB" w:eastAsia="ja-JP"/>
        </w:rPr>
        <w:t xml:space="preserve">(QKD network architecture aspects) </w:t>
      </w:r>
      <w:r w:rsidRPr="00DF5271">
        <w:rPr>
          <w:rFonts w:eastAsia="MS Mincho"/>
          <w:lang w:val="en-GB" w:eastAsia="ja-JP"/>
        </w:rPr>
        <w:t>and SG17</w:t>
      </w:r>
      <w:r>
        <w:rPr>
          <w:rFonts w:eastAsia="MS Mincho"/>
          <w:lang w:val="en-GB" w:eastAsia="ja-JP"/>
        </w:rPr>
        <w:t xml:space="preserve"> (security aspects)</w:t>
      </w:r>
      <w:r w:rsidRPr="00DF5271">
        <w:rPr>
          <w:rFonts w:eastAsia="MS Mincho"/>
          <w:lang w:val="en-GB" w:eastAsia="ja-JP"/>
        </w:rPr>
        <w:t xml:space="preserve">. </w:t>
      </w:r>
    </w:p>
    <w:p w14:paraId="727C375B" w14:textId="77777777" w:rsidR="00B01D72" w:rsidRPr="00DF5271" w:rsidRDefault="00B01D72" w:rsidP="00B01D72">
      <w:pPr>
        <w:numPr>
          <w:ilvl w:val="1"/>
          <w:numId w:val="16"/>
        </w:numPr>
        <w:spacing w:before="120"/>
        <w:jc w:val="both"/>
        <w:rPr>
          <w:rFonts w:eastAsiaTheme="minorEastAsia"/>
          <w:lang w:val="en-GB" w:eastAsia="ja-JP"/>
        </w:rPr>
      </w:pPr>
      <w:r w:rsidRPr="00DF5271">
        <w:rPr>
          <w:rFonts w:eastAsia="MS Mincho"/>
          <w:lang w:val="en-GB" w:eastAsia="ja-JP"/>
        </w:rPr>
        <w:t>QIN technology and network evolution.</w:t>
      </w:r>
    </w:p>
    <w:p w14:paraId="2264A528" w14:textId="77777777" w:rsidR="00B01D72" w:rsidRPr="00DF5271" w:rsidRDefault="00B01D72" w:rsidP="00B01D72">
      <w:pPr>
        <w:numPr>
          <w:ilvl w:val="0"/>
          <w:numId w:val="16"/>
        </w:numPr>
        <w:spacing w:before="120"/>
        <w:jc w:val="both"/>
        <w:rPr>
          <w:rFonts w:eastAsiaTheme="minorEastAsia"/>
          <w:lang w:val="en-GB" w:eastAsia="ja-JP"/>
        </w:rPr>
      </w:pPr>
      <w:r w:rsidRPr="00DF5271">
        <w:rPr>
          <w:rFonts w:eastAsia="MS Mincho"/>
          <w:lang w:val="en-GB" w:eastAsia="ja-JP"/>
        </w:rPr>
        <w:t>On the above objects, the main outputs will prioritise on terminology and use cases.</w:t>
      </w:r>
    </w:p>
    <w:p w14:paraId="0A20B631" w14:textId="77777777" w:rsidR="00B01D72" w:rsidRPr="00DF5271" w:rsidRDefault="00B01D72" w:rsidP="00B01D72">
      <w:pPr>
        <w:numPr>
          <w:ilvl w:val="0"/>
          <w:numId w:val="16"/>
        </w:numPr>
        <w:spacing w:before="120"/>
        <w:jc w:val="both"/>
        <w:rPr>
          <w:rFonts w:eastAsia="MS Mincho"/>
          <w:lang w:val="en-GB" w:eastAsia="ja-JP"/>
        </w:rPr>
      </w:pPr>
      <w:r w:rsidRPr="00DF5271">
        <w:rPr>
          <w:rFonts w:eastAsia="MS Mincho"/>
          <w:lang w:val="en-GB" w:eastAsia="ja-JP"/>
        </w:rPr>
        <w:t>To provide necessary technical background information and collaborative conditions in order to effectively support current and future standardization work in study groups.</w:t>
      </w:r>
    </w:p>
    <w:p w14:paraId="23FA344B" w14:textId="77777777" w:rsidR="00B01D72" w:rsidRPr="00DF5271" w:rsidRDefault="00B01D72" w:rsidP="00B01D72">
      <w:pPr>
        <w:numPr>
          <w:ilvl w:val="0"/>
          <w:numId w:val="16"/>
        </w:numPr>
        <w:spacing w:before="120"/>
        <w:rPr>
          <w:rFonts w:eastAsia="MS Mincho"/>
          <w:lang w:val="en-GB" w:eastAsia="ja-JP"/>
        </w:rPr>
      </w:pPr>
      <w:r w:rsidRPr="00DF5271">
        <w:rPr>
          <w:rFonts w:eastAsia="MS Mincho"/>
          <w:lang w:val="en-GB" w:eastAsia="ja-JP"/>
        </w:rPr>
        <w:t>To provide an open cooperation platform with study groups and other SDOs, including collaborated standardization work, co-located meetings, and workshop on quantum topic.</w:t>
      </w:r>
    </w:p>
    <w:p w14:paraId="50B4E774"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3.</w:t>
      </w:r>
      <w:r w:rsidRPr="00DF5271">
        <w:rPr>
          <w:rFonts w:eastAsiaTheme="minorEastAsia"/>
          <w:b/>
          <w:bCs/>
          <w:lang w:val="en-GB" w:eastAsia="ja-JP"/>
        </w:rPr>
        <w:tab/>
        <w:t>Structure</w:t>
      </w:r>
    </w:p>
    <w:p w14:paraId="47202E8C" w14:textId="77777777" w:rsidR="00B01D72" w:rsidRPr="00DF5271" w:rsidRDefault="00B01D72" w:rsidP="00B01D72">
      <w:pPr>
        <w:spacing w:before="120"/>
        <w:jc w:val="both"/>
        <w:rPr>
          <w:rFonts w:asciiTheme="majorBidi" w:eastAsiaTheme="minorEastAsia" w:hAnsiTheme="majorBidi" w:cstheme="majorBidi"/>
          <w:lang w:val="en-GB" w:eastAsia="ja-JP"/>
        </w:rPr>
      </w:pPr>
      <w:r w:rsidRPr="00DF5271">
        <w:rPr>
          <w:rFonts w:asciiTheme="majorBidi" w:eastAsiaTheme="minorEastAsia" w:hAnsiTheme="majorBidi" w:cstheme="majorBidi"/>
          <w:lang w:val="en-GB" w:eastAsia="ja-JP"/>
        </w:rPr>
        <w:t>The FG-QIT4N may establish sub-groups if needed.</w:t>
      </w:r>
    </w:p>
    <w:p w14:paraId="38A68FCB"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4.</w:t>
      </w:r>
      <w:r w:rsidRPr="00DF5271">
        <w:rPr>
          <w:rFonts w:eastAsiaTheme="minorEastAsia"/>
          <w:b/>
          <w:bCs/>
          <w:lang w:val="en-GB" w:eastAsia="ja-JP"/>
        </w:rPr>
        <w:tab/>
        <w:t>Specific Tasks and Deliverables</w:t>
      </w:r>
    </w:p>
    <w:p w14:paraId="68E73DE7"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The expected tasks with potential deliverables for QIT4N are listed below:</w:t>
      </w:r>
    </w:p>
    <w:p w14:paraId="0A3EBAFC" w14:textId="77777777" w:rsidR="00B01D72" w:rsidRPr="00DF5271" w:rsidRDefault="00B01D72" w:rsidP="00B01D72">
      <w:pPr>
        <w:numPr>
          <w:ilvl w:val="0"/>
          <w:numId w:val="15"/>
        </w:numPr>
        <w:spacing w:before="120"/>
        <w:jc w:val="both"/>
        <w:rPr>
          <w:rFonts w:eastAsia="MS Mincho"/>
          <w:lang w:val="en-US" w:eastAsia="ja-JP"/>
        </w:rPr>
      </w:pPr>
      <w:r w:rsidRPr="00DF5271">
        <w:rPr>
          <w:rFonts w:eastAsia="MS Mincho"/>
          <w:lang w:val="en-US" w:eastAsia="ja-JP"/>
        </w:rPr>
        <w:t>To collaborate and cooperate with study groups and other SDOs, such as ETSI specific ISGs, IEEE, ISO/IEC JTC1, IETF.</w:t>
      </w:r>
    </w:p>
    <w:p w14:paraId="239816E3" w14:textId="77777777" w:rsidR="00B01D72" w:rsidRPr="00DF5271" w:rsidRDefault="00B01D72" w:rsidP="00B01D72">
      <w:pPr>
        <w:numPr>
          <w:ilvl w:val="0"/>
          <w:numId w:val="15"/>
        </w:numPr>
        <w:spacing w:before="120"/>
        <w:jc w:val="both"/>
        <w:rPr>
          <w:rFonts w:eastAsiaTheme="minorEastAsia"/>
          <w:lang w:val="en-GB" w:eastAsia="ja-JP"/>
        </w:rPr>
      </w:pPr>
      <w:r w:rsidRPr="00DF5271">
        <w:rPr>
          <w:rFonts w:eastAsiaTheme="minorEastAsia"/>
          <w:lang w:val="en-US" w:eastAsia="zh-CN"/>
        </w:rPr>
        <w:t xml:space="preserve">To develop technical report(s) </w:t>
      </w:r>
      <w:r w:rsidRPr="00DF5271">
        <w:rPr>
          <w:rFonts w:eastAsia="MS Mincho"/>
          <w:lang w:val="en-GB" w:eastAsia="ja-JP"/>
        </w:rPr>
        <w:t>about emerging technologies and applications of QIT</w:t>
      </w:r>
      <w:r w:rsidRPr="00DF5271">
        <w:rPr>
          <w:rFonts w:eastAsia="MS Mincho"/>
          <w:lang w:val="en-US" w:eastAsia="ja-JP"/>
        </w:rPr>
        <w:t xml:space="preserve"> (e.g., quantum computing, quantum metrology and quantum communication)</w:t>
      </w:r>
      <w:r w:rsidRPr="00DF5271">
        <w:rPr>
          <w:rFonts w:eastAsia="MS Mincho"/>
          <w:lang w:val="en-GB" w:eastAsia="ja-JP"/>
        </w:rPr>
        <w:t xml:space="preserve"> for networks.</w:t>
      </w:r>
    </w:p>
    <w:p w14:paraId="1CB2C4EE" w14:textId="77777777" w:rsidR="00B01D72" w:rsidRPr="00DF5271" w:rsidRDefault="00B01D72" w:rsidP="00B01D72">
      <w:pPr>
        <w:numPr>
          <w:ilvl w:val="0"/>
          <w:numId w:val="15"/>
        </w:numPr>
        <w:spacing w:before="120"/>
        <w:jc w:val="both"/>
        <w:rPr>
          <w:rFonts w:eastAsia="MS Mincho"/>
          <w:lang w:val="en-US" w:eastAsia="ja-JP"/>
        </w:rPr>
      </w:pPr>
      <w:r w:rsidRPr="00DF5271">
        <w:rPr>
          <w:rFonts w:eastAsiaTheme="minorEastAsia" w:hint="eastAsia"/>
          <w:lang w:val="en-US" w:eastAsia="zh-CN"/>
        </w:rPr>
        <w:t>T</w:t>
      </w:r>
      <w:r w:rsidRPr="00DF5271">
        <w:rPr>
          <w:rFonts w:eastAsiaTheme="minorEastAsia"/>
          <w:lang w:val="en-US" w:eastAsia="zh-CN"/>
        </w:rPr>
        <w:t xml:space="preserve">o develop technical report(s) on </w:t>
      </w:r>
      <w:r w:rsidRPr="00DF5271">
        <w:rPr>
          <w:rFonts w:eastAsia="MS Mincho"/>
          <w:lang w:val="en-GB" w:eastAsia="ja-JP"/>
        </w:rPr>
        <w:t>supplementary aspects of QKD networks beyond the scope of SG13 and SG17, including</w:t>
      </w:r>
      <w:r w:rsidRPr="00DF5271">
        <w:rPr>
          <w:rFonts w:eastAsia="MS Mincho" w:hint="eastAsia"/>
          <w:lang w:val="en-GB" w:eastAsia="ja-JP"/>
        </w:rPr>
        <w:t xml:space="preserve"> </w:t>
      </w:r>
      <w:r w:rsidRPr="00DF5271">
        <w:rPr>
          <w:rFonts w:eastAsiaTheme="minorEastAsia"/>
          <w:lang w:val="en-US" w:eastAsia="zh-CN"/>
        </w:rPr>
        <w:t>terminologies, new use cases</w:t>
      </w:r>
      <w:r w:rsidRPr="00DF5271">
        <w:rPr>
          <w:rFonts w:eastAsia="MS Mincho" w:hint="eastAsia"/>
          <w:lang w:val="en-GB" w:eastAsia="ja-JP"/>
        </w:rPr>
        <w:t>,</w:t>
      </w:r>
      <w:r w:rsidRPr="00DF5271">
        <w:rPr>
          <w:rFonts w:eastAsia="MS Mincho"/>
          <w:lang w:val="en-GB" w:eastAsia="ja-JP"/>
        </w:rPr>
        <w:t xml:space="preserve"> protocols, co-fibre transmission issues and </w:t>
      </w:r>
      <w:r w:rsidRPr="00DF5271">
        <w:rPr>
          <w:rFonts w:eastAsia="MS Mincho" w:hint="eastAsia"/>
          <w:lang w:val="en-GB" w:eastAsia="ja-JP"/>
        </w:rPr>
        <w:t>the merger with quantum rel</w:t>
      </w:r>
      <w:r w:rsidRPr="00DF5271">
        <w:rPr>
          <w:rFonts w:eastAsia="MS Mincho"/>
          <w:lang w:val="en-GB" w:eastAsia="ja-JP"/>
        </w:rPr>
        <w:t>a</w:t>
      </w:r>
      <w:r w:rsidRPr="00DF5271">
        <w:rPr>
          <w:rFonts w:eastAsia="MS Mincho" w:hint="eastAsia"/>
          <w:lang w:val="en-GB" w:eastAsia="ja-JP"/>
        </w:rPr>
        <w:t>y and quantum repeater technologies</w:t>
      </w:r>
      <w:r>
        <w:rPr>
          <w:rFonts w:eastAsia="MS Mincho"/>
          <w:lang w:val="en-GB" w:eastAsia="ja-JP"/>
        </w:rPr>
        <w:t xml:space="preserve"> in this prioritized order</w:t>
      </w:r>
      <w:r w:rsidRPr="00DF5271">
        <w:rPr>
          <w:rFonts w:eastAsia="MS Mincho"/>
          <w:lang w:val="en-GB" w:eastAsia="ja-JP"/>
        </w:rPr>
        <w:t>.</w:t>
      </w:r>
    </w:p>
    <w:p w14:paraId="1139965C" w14:textId="77777777" w:rsidR="00B01D72" w:rsidRPr="00DF5271" w:rsidRDefault="00B01D72" w:rsidP="00B01D72">
      <w:pPr>
        <w:numPr>
          <w:ilvl w:val="0"/>
          <w:numId w:val="15"/>
        </w:numPr>
        <w:spacing w:before="120"/>
        <w:jc w:val="both"/>
        <w:rPr>
          <w:rFonts w:eastAsia="MS Mincho"/>
          <w:lang w:val="en-US" w:eastAsia="ja-JP"/>
        </w:rPr>
      </w:pPr>
      <w:r w:rsidRPr="00DF5271">
        <w:rPr>
          <w:rFonts w:eastAsiaTheme="minorEastAsia" w:hint="eastAsia"/>
          <w:lang w:val="en-US" w:eastAsia="zh-CN"/>
        </w:rPr>
        <w:t>T</w:t>
      </w:r>
      <w:r w:rsidRPr="00DF5271">
        <w:rPr>
          <w:rFonts w:eastAsiaTheme="minorEastAsia"/>
          <w:lang w:val="en-US" w:eastAsia="zh-CN"/>
        </w:rPr>
        <w:t xml:space="preserve">o develop technical report(s) on the evolution of QIN including terminologies, user cases, </w:t>
      </w:r>
      <w:r w:rsidRPr="00DF5271">
        <w:rPr>
          <w:rFonts w:eastAsia="MS Mincho"/>
          <w:lang w:val="en-US" w:eastAsia="ja-JP"/>
        </w:rPr>
        <w:t>requirements, key components, enabling technologies and potential architectures.</w:t>
      </w:r>
    </w:p>
    <w:p w14:paraId="694A0E3A" w14:textId="77777777" w:rsidR="00B01D72" w:rsidRPr="00DF5271" w:rsidRDefault="00B01D72" w:rsidP="00B01D72">
      <w:pPr>
        <w:numPr>
          <w:ilvl w:val="0"/>
          <w:numId w:val="15"/>
        </w:numPr>
        <w:spacing w:before="120"/>
        <w:jc w:val="both"/>
        <w:rPr>
          <w:rFonts w:eastAsia="MS Mincho"/>
          <w:lang w:val="en-US" w:eastAsia="ja-JP"/>
        </w:rPr>
      </w:pPr>
      <w:r w:rsidRPr="00DF5271">
        <w:rPr>
          <w:rFonts w:eastAsiaTheme="minorEastAsia"/>
          <w:lang w:val="en-US" w:eastAsia="zh-CN"/>
        </w:rPr>
        <w:t>To</w:t>
      </w:r>
      <w:r w:rsidRPr="00DF5271">
        <w:rPr>
          <w:rFonts w:eastAsia="MS Mincho"/>
          <w:lang w:val="en-US" w:eastAsia="ja-JP"/>
        </w:rPr>
        <w:t xml:space="preserve"> organize thematic workshops on QIT for networks, which will bring together all kinds of players to promote the FG activities, and encourage both ITU members and non-ITU members to jointly contribute on this topic.</w:t>
      </w:r>
    </w:p>
    <w:p w14:paraId="5910B9DC"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5.</w:t>
      </w:r>
      <w:r w:rsidRPr="00DF5271">
        <w:rPr>
          <w:rFonts w:eastAsiaTheme="minorEastAsia"/>
          <w:b/>
          <w:bCs/>
          <w:lang w:val="en-GB" w:eastAsia="ja-JP"/>
        </w:rPr>
        <w:tab/>
        <w:t>Relationships</w:t>
      </w:r>
    </w:p>
    <w:p w14:paraId="71B71140"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This Focus Group will work in close collaboration with all ITU-T study groups, especially SG1</w:t>
      </w:r>
      <w:r w:rsidRPr="00DF5271">
        <w:rPr>
          <w:rFonts w:eastAsiaTheme="minorEastAsia"/>
          <w:lang w:val="en-GB" w:eastAsia="ko-KR"/>
        </w:rPr>
        <w:t>3</w:t>
      </w:r>
      <w:r w:rsidRPr="00DF5271">
        <w:rPr>
          <w:rFonts w:eastAsiaTheme="minorEastAsia" w:hint="eastAsia"/>
          <w:lang w:val="en-GB" w:eastAsia="ko-KR"/>
        </w:rPr>
        <w:t xml:space="preserve">, </w:t>
      </w:r>
      <w:r w:rsidRPr="00DF5271">
        <w:rPr>
          <w:rFonts w:eastAsiaTheme="minorEastAsia"/>
          <w:lang w:val="en-GB" w:eastAsia="ja-JP"/>
        </w:rPr>
        <w:t>SG1</w:t>
      </w:r>
      <w:r w:rsidRPr="00DF5271">
        <w:rPr>
          <w:rFonts w:eastAsiaTheme="minorEastAsia"/>
          <w:lang w:val="en-GB" w:eastAsia="ko-KR"/>
        </w:rPr>
        <w:t>7</w:t>
      </w:r>
      <w:r w:rsidRPr="00DF5271">
        <w:rPr>
          <w:rFonts w:eastAsiaTheme="minorEastAsia"/>
          <w:lang w:val="en-GB" w:eastAsia="zh-CN"/>
        </w:rPr>
        <w:t xml:space="preserve">, </w:t>
      </w:r>
      <w:r w:rsidRPr="00DF5271">
        <w:rPr>
          <w:rFonts w:eastAsiaTheme="minorEastAsia"/>
          <w:lang w:val="en-GB" w:eastAsia="ko-KR"/>
        </w:rPr>
        <w:t>SG15, SG2</w:t>
      </w:r>
      <w:r w:rsidRPr="00DF5271">
        <w:rPr>
          <w:rFonts w:eastAsiaTheme="minorEastAsia" w:hint="eastAsia"/>
          <w:lang w:val="en-GB" w:eastAsia="ko-KR"/>
        </w:rPr>
        <w:t xml:space="preserve"> </w:t>
      </w:r>
      <w:r w:rsidRPr="00DF5271">
        <w:rPr>
          <w:rFonts w:eastAsiaTheme="minorEastAsia"/>
          <w:lang w:val="en-GB" w:eastAsia="ja-JP"/>
        </w:rPr>
        <w:t>and SG</w:t>
      </w:r>
      <w:r w:rsidRPr="00DF5271">
        <w:rPr>
          <w:rFonts w:eastAsiaTheme="minorEastAsia"/>
          <w:lang w:val="en-GB" w:eastAsia="ko-KR"/>
        </w:rPr>
        <w:t>11</w:t>
      </w:r>
      <w:r w:rsidRPr="00DF5271">
        <w:rPr>
          <w:rFonts w:eastAsiaTheme="minorEastAsia"/>
          <w:lang w:val="en-GB" w:eastAsia="ja-JP"/>
        </w:rPr>
        <w:t>.</w:t>
      </w:r>
    </w:p>
    <w:p w14:paraId="171DA669"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This FG QIT4N will collaborate with relevant entities, in accordance with Recommendation ITU-T A.7. These entities include the following: SDOs, industry forums and consortia </w:t>
      </w:r>
      <w:r w:rsidRPr="00DF5271">
        <w:rPr>
          <w:rFonts w:eastAsiaTheme="minorEastAsia" w:hint="eastAsia"/>
          <w:lang w:val="en-GB" w:eastAsia="zh-CN"/>
        </w:rPr>
        <w:t xml:space="preserve">(such as </w:t>
      </w:r>
      <w:r w:rsidRPr="00DF5271">
        <w:rPr>
          <w:rFonts w:eastAsiaTheme="minorEastAsia"/>
          <w:lang w:val="en-GB" w:eastAsia="ja-JP"/>
        </w:rPr>
        <w:t>ISO/IEC JTC 1, ETSI ISG-QKD</w:t>
      </w:r>
      <w:r w:rsidRPr="00DF5271">
        <w:rPr>
          <w:szCs w:val="20"/>
          <w:lang w:val="en-GB" w:eastAsia="en-US"/>
        </w:rPr>
        <w:t>,</w:t>
      </w:r>
      <w:r w:rsidRPr="00DF5271">
        <w:rPr>
          <w:rFonts w:eastAsiaTheme="minorEastAsia"/>
          <w:lang w:val="en-GB" w:eastAsia="ja-JP"/>
        </w:rPr>
        <w:t xml:space="preserve"> IEEE-SA), tech companies, academic institutions, research institutions and other relevant organizations.</w:t>
      </w:r>
    </w:p>
    <w:p w14:paraId="6785BBD2"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6.</w:t>
      </w:r>
      <w:r w:rsidRPr="00DF5271">
        <w:rPr>
          <w:rFonts w:eastAsiaTheme="minorEastAsia"/>
          <w:b/>
          <w:bCs/>
          <w:lang w:val="en-GB" w:eastAsia="ja-JP"/>
        </w:rPr>
        <w:tab/>
        <w:t xml:space="preserve">Parent group </w:t>
      </w:r>
    </w:p>
    <w:p w14:paraId="1083518A" w14:textId="77777777" w:rsidR="00B01D72" w:rsidRPr="00DF5271" w:rsidRDefault="00B01D72" w:rsidP="00B01D72">
      <w:pPr>
        <w:spacing w:before="120"/>
        <w:jc w:val="both"/>
        <w:rPr>
          <w:rFonts w:eastAsiaTheme="minorEastAsia"/>
          <w:lang w:val="en-GB" w:eastAsia="ko-KR"/>
        </w:rPr>
      </w:pPr>
      <w:r w:rsidRPr="00DF5271">
        <w:rPr>
          <w:rFonts w:eastAsiaTheme="minorEastAsia"/>
          <w:lang w:val="en-GB" w:eastAsia="ja-JP"/>
        </w:rPr>
        <w:t xml:space="preserve">The parent group is ITU-T </w:t>
      </w:r>
      <w:r w:rsidRPr="00DF5271">
        <w:rPr>
          <w:rFonts w:eastAsiaTheme="minorEastAsia"/>
          <w:lang w:val="en-GB" w:eastAsia="ko-KR"/>
        </w:rPr>
        <w:t>TSAG.</w:t>
      </w:r>
    </w:p>
    <w:p w14:paraId="18DBE457"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7.</w:t>
      </w:r>
      <w:r w:rsidRPr="00DF5271">
        <w:rPr>
          <w:rFonts w:eastAsiaTheme="minorEastAsia"/>
          <w:b/>
          <w:bCs/>
          <w:lang w:val="en-GB" w:eastAsia="ja-JP"/>
        </w:rPr>
        <w:tab/>
        <w:t xml:space="preserve">Leadership </w:t>
      </w:r>
    </w:p>
    <w:p w14:paraId="46D3A2D7"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See clause 2.3 of Recommendation ITU-T A.7.</w:t>
      </w:r>
    </w:p>
    <w:p w14:paraId="401AE5A7" w14:textId="77777777" w:rsidR="00B01D72" w:rsidRPr="00DF5271" w:rsidRDefault="00B01D72" w:rsidP="00B01D72">
      <w:pPr>
        <w:spacing w:before="120"/>
        <w:jc w:val="both"/>
        <w:rPr>
          <w:rFonts w:eastAsiaTheme="minorEastAsia"/>
          <w:b/>
          <w:bCs/>
          <w:lang w:val="en-US" w:eastAsia="ja-JP"/>
        </w:rPr>
      </w:pPr>
      <w:r w:rsidRPr="00DF5271">
        <w:rPr>
          <w:rFonts w:eastAsiaTheme="minorEastAsia"/>
          <w:b/>
          <w:bCs/>
          <w:lang w:val="en-US" w:eastAsia="ja-JP"/>
        </w:rPr>
        <w:t>8.</w:t>
      </w:r>
      <w:r w:rsidRPr="00DF5271">
        <w:rPr>
          <w:rFonts w:eastAsiaTheme="minorEastAsia"/>
          <w:b/>
          <w:bCs/>
          <w:lang w:val="en-US" w:eastAsia="ja-JP"/>
        </w:rPr>
        <w:tab/>
      </w:r>
      <w:r w:rsidRPr="00DF5271">
        <w:rPr>
          <w:rFonts w:eastAsiaTheme="minorEastAsia"/>
          <w:b/>
          <w:bCs/>
          <w:lang w:val="en-GB" w:eastAsia="ja-JP"/>
        </w:rPr>
        <w:t>Participation</w:t>
      </w:r>
      <w:r w:rsidRPr="00DF5271">
        <w:rPr>
          <w:rFonts w:eastAsiaTheme="minorEastAsia"/>
          <w:b/>
          <w:bCs/>
          <w:lang w:val="en-US" w:eastAsia="ja-JP"/>
        </w:rPr>
        <w:t xml:space="preserve"> </w:t>
      </w:r>
    </w:p>
    <w:p w14:paraId="62E8FF73" w14:textId="77777777" w:rsidR="00B01D72" w:rsidRPr="00DF5271" w:rsidRDefault="00B01D72" w:rsidP="00B01D72">
      <w:pPr>
        <w:spacing w:before="120"/>
        <w:jc w:val="both"/>
        <w:rPr>
          <w:rFonts w:eastAsiaTheme="minorEastAsia"/>
          <w:lang w:val="en-GB" w:eastAsia="ja-JP"/>
        </w:rPr>
      </w:pPr>
      <w:r w:rsidRPr="00DF5271">
        <w:rPr>
          <w:rFonts w:eastAsiaTheme="minorEastAsia"/>
          <w:lang w:val="en-US" w:eastAsia="ja-JP"/>
        </w:rPr>
        <w:t xml:space="preserve">See clause 3 of Recommendation ITU-T A.7. </w:t>
      </w:r>
      <w:r w:rsidRPr="00DF5271">
        <w:rPr>
          <w:rFonts w:eastAsiaTheme="minorEastAsia"/>
          <w:lang w:val="en-GB" w:eastAsia="ja-JP"/>
        </w:rPr>
        <w:t xml:space="preserve">A list of participants will be maintained for reference purposes and reported to the parent group. </w:t>
      </w:r>
    </w:p>
    <w:p w14:paraId="1F9CB911"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lastRenderedPageBreak/>
        <w:t>It is important to mention that the participation in this Focus Group has to be based on contributions and active participations.</w:t>
      </w:r>
    </w:p>
    <w:p w14:paraId="5A74964B"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9.</w:t>
      </w:r>
      <w:r w:rsidRPr="00DF5271">
        <w:rPr>
          <w:rFonts w:eastAsiaTheme="minorEastAsia"/>
          <w:b/>
          <w:bCs/>
          <w:lang w:val="en-GB" w:eastAsia="ja-JP"/>
        </w:rPr>
        <w:tab/>
        <w:t xml:space="preserve">Administrative support </w:t>
      </w:r>
    </w:p>
    <w:p w14:paraId="45B6A246"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See clause 5 of Recommendation ITU-T A.7. </w:t>
      </w:r>
    </w:p>
    <w:p w14:paraId="0A7C27E8"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10. </w:t>
      </w:r>
      <w:r w:rsidRPr="00DF5271">
        <w:rPr>
          <w:rFonts w:eastAsiaTheme="minorEastAsia"/>
          <w:b/>
          <w:bCs/>
          <w:lang w:val="en-GB" w:eastAsia="ja-JP"/>
        </w:rPr>
        <w:tab/>
        <w:t xml:space="preserve">General financing </w:t>
      </w:r>
    </w:p>
    <w:p w14:paraId="5813A5E7"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See clauses 4 and 10.2 of Recommendation ITU-T A.7. </w:t>
      </w:r>
    </w:p>
    <w:p w14:paraId="04D078B8"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11. </w:t>
      </w:r>
      <w:r w:rsidRPr="00DF5271">
        <w:rPr>
          <w:rFonts w:eastAsiaTheme="minorEastAsia"/>
          <w:b/>
          <w:bCs/>
          <w:lang w:val="en-GB" w:eastAsia="ja-JP"/>
        </w:rPr>
        <w:tab/>
        <w:t xml:space="preserve">Meetings </w:t>
      </w:r>
    </w:p>
    <w:p w14:paraId="4CB3F09A"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The schedule and location of meetings will be determined by the Focus Group and the overall meetings plan will be announced after the approval of the terms of reference. The Focus Group will work electronically using teleconferences and with face-to-face meetings. Meetings will be held as determined by the Focus Group and the meetings will be announced by electronic means (e.g., e-mail and website, etc.) at least four weeks in advance.</w:t>
      </w:r>
    </w:p>
    <w:p w14:paraId="2E2221E8"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12. </w:t>
      </w:r>
      <w:r w:rsidRPr="00DF5271">
        <w:rPr>
          <w:rFonts w:eastAsiaTheme="minorEastAsia"/>
          <w:b/>
          <w:bCs/>
          <w:lang w:val="en-GB" w:eastAsia="ja-JP"/>
        </w:rPr>
        <w:tab/>
        <w:t xml:space="preserve">Technical contributions </w:t>
      </w:r>
    </w:p>
    <w:p w14:paraId="6E7B9293"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See clause 8 of Recommendation ITU-T A.7. </w:t>
      </w:r>
    </w:p>
    <w:p w14:paraId="15B314AE"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13. </w:t>
      </w:r>
      <w:r w:rsidRPr="00DF5271">
        <w:rPr>
          <w:rFonts w:eastAsiaTheme="minorEastAsia"/>
          <w:b/>
          <w:bCs/>
          <w:lang w:val="en-GB" w:eastAsia="ja-JP"/>
        </w:rPr>
        <w:tab/>
        <w:t xml:space="preserve">Working language </w:t>
      </w:r>
    </w:p>
    <w:p w14:paraId="122D13AE"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The working language is English. </w:t>
      </w:r>
    </w:p>
    <w:p w14:paraId="6658C417"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14. </w:t>
      </w:r>
      <w:r w:rsidRPr="00DF5271">
        <w:rPr>
          <w:rFonts w:eastAsiaTheme="minorEastAsia"/>
          <w:b/>
          <w:bCs/>
          <w:lang w:val="en-GB" w:eastAsia="ja-JP"/>
        </w:rPr>
        <w:tab/>
        <w:t xml:space="preserve">Approval of deliverables </w:t>
      </w:r>
    </w:p>
    <w:p w14:paraId="766783F0"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Approval of deliverables shall be taken by consensus. </w:t>
      </w:r>
    </w:p>
    <w:p w14:paraId="7C3D895E"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15. </w:t>
      </w:r>
      <w:r w:rsidRPr="00DF5271">
        <w:rPr>
          <w:rFonts w:eastAsiaTheme="minorEastAsia"/>
          <w:b/>
          <w:bCs/>
          <w:lang w:val="en-GB" w:eastAsia="ja-JP"/>
        </w:rPr>
        <w:tab/>
        <w:t xml:space="preserve">Working guidelines </w:t>
      </w:r>
    </w:p>
    <w:p w14:paraId="5FCBCCAA" w14:textId="77777777" w:rsidR="00B01D72" w:rsidRPr="00DF5271" w:rsidRDefault="00B01D72" w:rsidP="00B01D72">
      <w:pPr>
        <w:spacing w:before="120"/>
        <w:rPr>
          <w:rFonts w:eastAsiaTheme="minorEastAsia"/>
          <w:lang w:val="en-GB" w:eastAsia="ja-JP"/>
        </w:rPr>
      </w:pPr>
      <w:r w:rsidRPr="00DF5271">
        <w:rPr>
          <w:rFonts w:eastAsiaTheme="minorEastAsia"/>
          <w:lang w:val="en-GB" w:eastAsia="ja-JP"/>
        </w:rPr>
        <w:t>See clause 13 of Recommendation ITU-T A.7.</w:t>
      </w:r>
    </w:p>
    <w:p w14:paraId="287776CB"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16. </w:t>
      </w:r>
      <w:r w:rsidRPr="00DF5271">
        <w:rPr>
          <w:rFonts w:eastAsiaTheme="minorEastAsia"/>
          <w:b/>
          <w:bCs/>
          <w:lang w:val="en-GB" w:eastAsia="ja-JP"/>
        </w:rPr>
        <w:tab/>
        <w:t xml:space="preserve">Progress reports </w:t>
      </w:r>
    </w:p>
    <w:p w14:paraId="0A1505D8"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See clause 11 of Recommendation ITU-T A.7.</w:t>
      </w:r>
    </w:p>
    <w:p w14:paraId="638DD681"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17. </w:t>
      </w:r>
      <w:r w:rsidRPr="00DF5271">
        <w:rPr>
          <w:rFonts w:eastAsiaTheme="minorEastAsia"/>
          <w:b/>
          <w:bCs/>
          <w:lang w:val="en-GB" w:eastAsia="ja-JP"/>
        </w:rPr>
        <w:tab/>
        <w:t xml:space="preserve">Announcement of Focus Group formation </w:t>
      </w:r>
    </w:p>
    <w:p w14:paraId="536B050E"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The formation of the Focus Group will be announced via TSB Circular to all ITU membership, via the ITU-T News log, press releases and other means, including communication with the other involved organizations. </w:t>
      </w:r>
    </w:p>
    <w:p w14:paraId="4BADBD08"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18. </w:t>
      </w:r>
      <w:r w:rsidRPr="00DF5271">
        <w:rPr>
          <w:rFonts w:eastAsiaTheme="minorEastAsia"/>
          <w:b/>
          <w:bCs/>
          <w:lang w:val="en-GB" w:eastAsia="ja-JP"/>
        </w:rPr>
        <w:tab/>
        <w:t xml:space="preserve">Milestones and duration of the Focus Group </w:t>
      </w:r>
    </w:p>
    <w:p w14:paraId="6339B8AA" w14:textId="7777777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 xml:space="preserve">The Focus Group lifetime is set for </w:t>
      </w:r>
      <w:r w:rsidRPr="00DF5271">
        <w:rPr>
          <w:rFonts w:eastAsiaTheme="minorEastAsia" w:hint="eastAsia"/>
          <w:lang w:val="en-GB" w:eastAsia="ko-KR"/>
        </w:rPr>
        <w:t>one</w:t>
      </w:r>
      <w:r w:rsidRPr="00DF5271">
        <w:rPr>
          <w:rFonts w:eastAsiaTheme="minorEastAsia"/>
          <w:lang w:val="en-GB" w:eastAsia="ja-JP"/>
        </w:rPr>
        <w:t xml:space="preserve"> year from the first meeting but extensible if necessary by decision of the parent group. (see ITU-T A7, clause 2.2). </w:t>
      </w:r>
    </w:p>
    <w:p w14:paraId="386E4D04" w14:textId="77777777" w:rsidR="00B01D72" w:rsidRPr="00DF5271" w:rsidRDefault="00B01D72" w:rsidP="00B01D72">
      <w:pPr>
        <w:spacing w:before="120"/>
        <w:jc w:val="both"/>
        <w:rPr>
          <w:rFonts w:eastAsiaTheme="minorEastAsia"/>
          <w:b/>
          <w:bCs/>
          <w:lang w:val="en-GB" w:eastAsia="ja-JP"/>
        </w:rPr>
      </w:pPr>
      <w:r w:rsidRPr="00DF5271">
        <w:rPr>
          <w:rFonts w:eastAsiaTheme="minorEastAsia"/>
          <w:b/>
          <w:bCs/>
          <w:lang w:val="en-GB" w:eastAsia="ja-JP"/>
        </w:rPr>
        <w:t xml:space="preserve">19. </w:t>
      </w:r>
      <w:r w:rsidRPr="00DF5271">
        <w:rPr>
          <w:rFonts w:eastAsiaTheme="minorEastAsia"/>
          <w:b/>
          <w:bCs/>
          <w:lang w:val="en-GB" w:eastAsia="ja-JP"/>
        </w:rPr>
        <w:tab/>
        <w:t xml:space="preserve">Patent policy </w:t>
      </w:r>
    </w:p>
    <w:p w14:paraId="7A8D6492" w14:textId="35F1AF47" w:rsidR="00B01D72" w:rsidRPr="00DF5271" w:rsidRDefault="00B01D72" w:rsidP="00B01D72">
      <w:pPr>
        <w:spacing w:before="120"/>
        <w:jc w:val="both"/>
        <w:rPr>
          <w:rFonts w:eastAsiaTheme="minorEastAsia"/>
          <w:lang w:val="en-GB" w:eastAsia="ja-JP"/>
        </w:rPr>
      </w:pPr>
      <w:r w:rsidRPr="00DF5271">
        <w:rPr>
          <w:rFonts w:eastAsiaTheme="minorEastAsia"/>
          <w:lang w:val="en-GB" w:eastAsia="ja-JP"/>
        </w:rPr>
        <w:t>See clause 9 of Recommendation ITU-T A.7.</w:t>
      </w:r>
      <w:r>
        <w:rPr>
          <w:rFonts w:eastAsiaTheme="minorEastAsia"/>
          <w:lang w:val="en-GB" w:eastAsia="ja-JP"/>
        </w:rPr>
        <w:t>]</w:t>
      </w:r>
    </w:p>
    <w:p w14:paraId="55FCDE91" w14:textId="311969A1" w:rsidR="009D1B37" w:rsidRPr="00703862" w:rsidRDefault="009D1B37" w:rsidP="009D1B37">
      <w:pPr>
        <w:jc w:val="both"/>
        <w:rPr>
          <w:rFonts w:asciiTheme="majorBidi" w:hAnsiTheme="majorBidi" w:cstheme="majorBidi"/>
          <w:lang w:val="en-US"/>
        </w:rPr>
      </w:pPr>
    </w:p>
    <w:p w14:paraId="60F34647" w14:textId="77777777" w:rsidR="00794F4F" w:rsidRPr="00703862" w:rsidRDefault="00394DBF" w:rsidP="001200A6">
      <w:pPr>
        <w:jc w:val="center"/>
        <w:rPr>
          <w:rFonts w:asciiTheme="majorBidi" w:hAnsiTheme="majorBidi" w:cstheme="majorBidi"/>
          <w:lang w:val="en-US"/>
        </w:rPr>
      </w:pPr>
      <w:r w:rsidRPr="00703862">
        <w:rPr>
          <w:rFonts w:asciiTheme="majorBidi" w:hAnsiTheme="majorBidi" w:cstheme="majorBidi"/>
          <w:lang w:val="en-US"/>
        </w:rPr>
        <w:t>_______________________</w:t>
      </w:r>
    </w:p>
    <w:sectPr w:rsidR="00794F4F" w:rsidRPr="00703862" w:rsidSect="001A2868">
      <w:headerReference w:type="even" r:id="rId28"/>
      <w:headerReference w:type="default" r:id="rId29"/>
      <w:footerReference w:type="even" r:id="rId30"/>
      <w:footerReference w:type="default" r:id="rId31"/>
      <w:headerReference w:type="first" r:id="rId32"/>
      <w:footerReference w:type="first" r:id="rId33"/>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784C3" w14:textId="77777777" w:rsidR="004525A9" w:rsidRDefault="004525A9" w:rsidP="00C42125">
      <w:r>
        <w:separator/>
      </w:r>
    </w:p>
  </w:endnote>
  <w:endnote w:type="continuationSeparator" w:id="0">
    <w:p w14:paraId="5EC3797A" w14:textId="77777777" w:rsidR="004525A9" w:rsidRDefault="004525A9" w:rsidP="00C4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8931" w14:textId="77777777" w:rsidR="00BE53AA" w:rsidRDefault="00BE5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B1A9" w14:textId="77777777" w:rsidR="00BE53AA" w:rsidRDefault="00BE53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6461C" w14:textId="77777777" w:rsidR="00BE53AA" w:rsidRDefault="00BE5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3F55E" w14:textId="77777777" w:rsidR="004525A9" w:rsidRDefault="004525A9" w:rsidP="00C42125">
      <w:r>
        <w:separator/>
      </w:r>
    </w:p>
  </w:footnote>
  <w:footnote w:type="continuationSeparator" w:id="0">
    <w:p w14:paraId="1BFBE654" w14:textId="77777777" w:rsidR="004525A9" w:rsidRDefault="004525A9" w:rsidP="00C42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BBB0" w14:textId="77777777" w:rsidR="00BE53AA" w:rsidRDefault="00BE5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B7D63" w14:textId="062FF083" w:rsidR="003B25D0" w:rsidRPr="001A2868" w:rsidRDefault="003B25D0" w:rsidP="001A2868">
    <w:pPr>
      <w:pStyle w:val="Header"/>
      <w:rPr>
        <w:sz w:val="18"/>
      </w:rPr>
    </w:pPr>
    <w:r w:rsidRPr="001A2868">
      <w:rPr>
        <w:sz w:val="18"/>
      </w:rPr>
      <w:t xml:space="preserve">- </w:t>
    </w:r>
    <w:r w:rsidRPr="001A2868">
      <w:rPr>
        <w:sz w:val="18"/>
      </w:rPr>
      <w:fldChar w:fldCharType="begin"/>
    </w:r>
    <w:r w:rsidRPr="001A2868">
      <w:rPr>
        <w:sz w:val="18"/>
      </w:rPr>
      <w:instrText xml:space="preserve"> PAGE  \* MERGEFORMAT </w:instrText>
    </w:r>
    <w:r w:rsidRPr="001A2868">
      <w:rPr>
        <w:sz w:val="18"/>
      </w:rPr>
      <w:fldChar w:fldCharType="separate"/>
    </w:r>
    <w:r w:rsidR="00BE53AA">
      <w:rPr>
        <w:noProof/>
        <w:sz w:val="18"/>
      </w:rPr>
      <w:t>2</w:t>
    </w:r>
    <w:r w:rsidRPr="001A2868">
      <w:rPr>
        <w:sz w:val="18"/>
      </w:rPr>
      <w:fldChar w:fldCharType="end"/>
    </w:r>
    <w:r w:rsidRPr="001A2868">
      <w:rPr>
        <w:sz w:val="18"/>
      </w:rPr>
      <w:t xml:space="preserve"> -</w:t>
    </w:r>
  </w:p>
  <w:p w14:paraId="3C55E661" w14:textId="28A25D45" w:rsidR="003B25D0" w:rsidRPr="001A2868" w:rsidRDefault="003B25D0" w:rsidP="00BE53AA">
    <w:pPr>
      <w:pStyle w:val="Header"/>
      <w:spacing w:after="240"/>
      <w:rPr>
        <w:sz w:val="18"/>
      </w:rPr>
    </w:pPr>
    <w:r>
      <w:rPr>
        <w:sz w:val="18"/>
      </w:rPr>
      <w:t>TSAG-TD</w:t>
    </w:r>
    <w:r w:rsidR="00BE53AA">
      <w:rPr>
        <w:sz w:val="18"/>
      </w:rPr>
      <w:t>635</w:t>
    </w:r>
    <w:bookmarkStart w:id="10" w:name="_GoBack"/>
    <w:bookmarkEnd w:id="1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C861" w14:textId="77777777" w:rsidR="00BE53AA" w:rsidRDefault="00BE5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D04A2"/>
    <w:multiLevelType w:val="hybridMultilevel"/>
    <w:tmpl w:val="C4C6863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2365D5"/>
    <w:multiLevelType w:val="hybridMultilevel"/>
    <w:tmpl w:val="BCEEA08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8A2526"/>
    <w:multiLevelType w:val="hybridMultilevel"/>
    <w:tmpl w:val="6576C53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FD141C"/>
    <w:multiLevelType w:val="hybridMultilevel"/>
    <w:tmpl w:val="6B1C7106"/>
    <w:lvl w:ilvl="0" w:tplc="B2CCB40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B3DF3"/>
    <w:multiLevelType w:val="multilevel"/>
    <w:tmpl w:val="534878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4DC64C0"/>
    <w:multiLevelType w:val="hybridMultilevel"/>
    <w:tmpl w:val="16288198"/>
    <w:lvl w:ilvl="0" w:tplc="B2CCB40C">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F14DD1"/>
    <w:multiLevelType w:val="hybridMultilevel"/>
    <w:tmpl w:val="790C3030"/>
    <w:lvl w:ilvl="0" w:tplc="66F8BA8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D16330"/>
    <w:multiLevelType w:val="hybridMultilevel"/>
    <w:tmpl w:val="4D18FF70"/>
    <w:lvl w:ilvl="0" w:tplc="02361C84">
      <w:start w:val="10"/>
      <w:numFmt w:val="bullet"/>
      <w:lvlText w:val="-"/>
      <w:lvlJc w:val="left"/>
      <w:pPr>
        <w:ind w:left="360" w:hanging="360"/>
      </w:pPr>
      <w:rPr>
        <w:rFonts w:ascii="Times New Roman" w:eastAsiaTheme="minorEastAsia"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EE34D49"/>
    <w:multiLevelType w:val="multilevel"/>
    <w:tmpl w:val="6EE34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E683D72"/>
    <w:multiLevelType w:val="hybridMultilevel"/>
    <w:tmpl w:val="F6F242BA"/>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5"/>
  </w:num>
  <w:num w:numId="14">
    <w:abstractNumId w:val="12"/>
  </w:num>
  <w:num w:numId="15">
    <w:abstractNumId w:val="10"/>
  </w:num>
  <w:num w:numId="16">
    <w:abstractNumId w:val="11"/>
  </w:num>
  <w:num w:numId="17">
    <w:abstractNumId w:val="19"/>
  </w:num>
  <w:num w:numId="18">
    <w:abstractNumId w:val="17"/>
  </w:num>
  <w:num w:numId="19">
    <w:abstractNumId w:val="14"/>
  </w:num>
  <w:num w:numId="20">
    <w:abstractNumId w:val="14"/>
  </w:num>
  <w:num w:numId="21">
    <w:abstractNumId w:val="1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99"/>
    <w:rsid w:val="00014F69"/>
    <w:rsid w:val="000171DB"/>
    <w:rsid w:val="00023D9A"/>
    <w:rsid w:val="0003582E"/>
    <w:rsid w:val="00043D75"/>
    <w:rsid w:val="00057000"/>
    <w:rsid w:val="000640E0"/>
    <w:rsid w:val="00086D80"/>
    <w:rsid w:val="000966A8"/>
    <w:rsid w:val="000A0A5C"/>
    <w:rsid w:val="000A5CA2"/>
    <w:rsid w:val="000E0A54"/>
    <w:rsid w:val="000E3C61"/>
    <w:rsid w:val="000E3E55"/>
    <w:rsid w:val="000E512E"/>
    <w:rsid w:val="000E6083"/>
    <w:rsid w:val="000E6125"/>
    <w:rsid w:val="00100BAF"/>
    <w:rsid w:val="001056C8"/>
    <w:rsid w:val="00113DBE"/>
    <w:rsid w:val="001200A6"/>
    <w:rsid w:val="001251DA"/>
    <w:rsid w:val="00125432"/>
    <w:rsid w:val="00136DDD"/>
    <w:rsid w:val="00137F40"/>
    <w:rsid w:val="00144BDF"/>
    <w:rsid w:val="00155DDC"/>
    <w:rsid w:val="0015653A"/>
    <w:rsid w:val="001871EC"/>
    <w:rsid w:val="001A20C3"/>
    <w:rsid w:val="001A2868"/>
    <w:rsid w:val="001A670F"/>
    <w:rsid w:val="001B6A45"/>
    <w:rsid w:val="001C1003"/>
    <w:rsid w:val="001C62B8"/>
    <w:rsid w:val="001D11A4"/>
    <w:rsid w:val="001D22D8"/>
    <w:rsid w:val="001D4296"/>
    <w:rsid w:val="001E7B0E"/>
    <w:rsid w:val="001F141D"/>
    <w:rsid w:val="00200A06"/>
    <w:rsid w:val="00200A98"/>
    <w:rsid w:val="00201AFA"/>
    <w:rsid w:val="00202687"/>
    <w:rsid w:val="002229F1"/>
    <w:rsid w:val="00233F75"/>
    <w:rsid w:val="00253DBE"/>
    <w:rsid w:val="00253DC6"/>
    <w:rsid w:val="0025489C"/>
    <w:rsid w:val="002622FA"/>
    <w:rsid w:val="00263518"/>
    <w:rsid w:val="0027552B"/>
    <w:rsid w:val="002759E7"/>
    <w:rsid w:val="00277326"/>
    <w:rsid w:val="002A11C4"/>
    <w:rsid w:val="002A399B"/>
    <w:rsid w:val="002C26C0"/>
    <w:rsid w:val="002C2BC5"/>
    <w:rsid w:val="002C6A3F"/>
    <w:rsid w:val="002D5811"/>
    <w:rsid w:val="002E0407"/>
    <w:rsid w:val="002E2C0B"/>
    <w:rsid w:val="002E79CB"/>
    <w:rsid w:val="002F0471"/>
    <w:rsid w:val="002F1714"/>
    <w:rsid w:val="002F7F55"/>
    <w:rsid w:val="00300F01"/>
    <w:rsid w:val="0030745F"/>
    <w:rsid w:val="00314630"/>
    <w:rsid w:val="0032090A"/>
    <w:rsid w:val="00321CDE"/>
    <w:rsid w:val="00333E15"/>
    <w:rsid w:val="00351A89"/>
    <w:rsid w:val="003571BC"/>
    <w:rsid w:val="0036090C"/>
    <w:rsid w:val="00364979"/>
    <w:rsid w:val="00385B9C"/>
    <w:rsid w:val="00385E5A"/>
    <w:rsid w:val="00385FB5"/>
    <w:rsid w:val="0038715D"/>
    <w:rsid w:val="00392E84"/>
    <w:rsid w:val="00394DBF"/>
    <w:rsid w:val="003957A6"/>
    <w:rsid w:val="003A43EF"/>
    <w:rsid w:val="003B25D0"/>
    <w:rsid w:val="003B60A2"/>
    <w:rsid w:val="003C7445"/>
    <w:rsid w:val="003E39A2"/>
    <w:rsid w:val="003E57AB"/>
    <w:rsid w:val="003F2BED"/>
    <w:rsid w:val="00400B49"/>
    <w:rsid w:val="004063C9"/>
    <w:rsid w:val="00443878"/>
    <w:rsid w:val="004525A9"/>
    <w:rsid w:val="004539A8"/>
    <w:rsid w:val="004712CA"/>
    <w:rsid w:val="0047422E"/>
    <w:rsid w:val="00485781"/>
    <w:rsid w:val="0049674B"/>
    <w:rsid w:val="004A3336"/>
    <w:rsid w:val="004C0673"/>
    <w:rsid w:val="004C4E4E"/>
    <w:rsid w:val="004E7BCC"/>
    <w:rsid w:val="004F3816"/>
    <w:rsid w:val="004F500A"/>
    <w:rsid w:val="005126A0"/>
    <w:rsid w:val="00543D41"/>
    <w:rsid w:val="00545472"/>
    <w:rsid w:val="005571A4"/>
    <w:rsid w:val="00566EDA"/>
    <w:rsid w:val="0057081A"/>
    <w:rsid w:val="00572654"/>
    <w:rsid w:val="005766A3"/>
    <w:rsid w:val="00577EB2"/>
    <w:rsid w:val="005976A1"/>
    <w:rsid w:val="005A34E7"/>
    <w:rsid w:val="005B5629"/>
    <w:rsid w:val="005C0300"/>
    <w:rsid w:val="005C27A2"/>
    <w:rsid w:val="005D4FEB"/>
    <w:rsid w:val="005D65ED"/>
    <w:rsid w:val="005E0E6C"/>
    <w:rsid w:val="005F4B6A"/>
    <w:rsid w:val="006010F3"/>
    <w:rsid w:val="00615A0A"/>
    <w:rsid w:val="006329A7"/>
    <w:rsid w:val="006333D4"/>
    <w:rsid w:val="006369B2"/>
    <w:rsid w:val="0063718D"/>
    <w:rsid w:val="00646D53"/>
    <w:rsid w:val="00647525"/>
    <w:rsid w:val="00647A71"/>
    <w:rsid w:val="006530A8"/>
    <w:rsid w:val="006570B0"/>
    <w:rsid w:val="0066022F"/>
    <w:rsid w:val="0066423B"/>
    <w:rsid w:val="006823F3"/>
    <w:rsid w:val="00687F51"/>
    <w:rsid w:val="0069210B"/>
    <w:rsid w:val="00695DD7"/>
    <w:rsid w:val="006A4055"/>
    <w:rsid w:val="006A59A6"/>
    <w:rsid w:val="006A7C27"/>
    <w:rsid w:val="006B2FE4"/>
    <w:rsid w:val="006B37B0"/>
    <w:rsid w:val="006C5641"/>
    <w:rsid w:val="006D1089"/>
    <w:rsid w:val="006D1B86"/>
    <w:rsid w:val="006D7355"/>
    <w:rsid w:val="006E0C20"/>
    <w:rsid w:val="006F7DEE"/>
    <w:rsid w:val="00702F58"/>
    <w:rsid w:val="00703862"/>
    <w:rsid w:val="00715CA6"/>
    <w:rsid w:val="00731135"/>
    <w:rsid w:val="007324AF"/>
    <w:rsid w:val="007409B4"/>
    <w:rsid w:val="00741974"/>
    <w:rsid w:val="007472DA"/>
    <w:rsid w:val="0075525E"/>
    <w:rsid w:val="00756D3D"/>
    <w:rsid w:val="007806C2"/>
    <w:rsid w:val="00781FEE"/>
    <w:rsid w:val="007903F8"/>
    <w:rsid w:val="00794F4F"/>
    <w:rsid w:val="007974BE"/>
    <w:rsid w:val="007A0916"/>
    <w:rsid w:val="007A0DFD"/>
    <w:rsid w:val="007C7122"/>
    <w:rsid w:val="007D3F11"/>
    <w:rsid w:val="007E2C69"/>
    <w:rsid w:val="007E53E4"/>
    <w:rsid w:val="007E656A"/>
    <w:rsid w:val="007F3CAA"/>
    <w:rsid w:val="007F3D0D"/>
    <w:rsid w:val="007F664D"/>
    <w:rsid w:val="008031D5"/>
    <w:rsid w:val="00837203"/>
    <w:rsid w:val="00842137"/>
    <w:rsid w:val="0085337D"/>
    <w:rsid w:val="00853F5F"/>
    <w:rsid w:val="00856C7A"/>
    <w:rsid w:val="008623ED"/>
    <w:rsid w:val="00875AA6"/>
    <w:rsid w:val="00880944"/>
    <w:rsid w:val="0089088E"/>
    <w:rsid w:val="00892297"/>
    <w:rsid w:val="008938C8"/>
    <w:rsid w:val="008964D6"/>
    <w:rsid w:val="008B5123"/>
    <w:rsid w:val="008D3F28"/>
    <w:rsid w:val="008E0172"/>
    <w:rsid w:val="00936852"/>
    <w:rsid w:val="0094045D"/>
    <w:rsid w:val="009406B5"/>
    <w:rsid w:val="00946166"/>
    <w:rsid w:val="00983164"/>
    <w:rsid w:val="009972EF"/>
    <w:rsid w:val="009B03F1"/>
    <w:rsid w:val="009B2D5A"/>
    <w:rsid w:val="009B5035"/>
    <w:rsid w:val="009C3160"/>
    <w:rsid w:val="009D1B37"/>
    <w:rsid w:val="009D644B"/>
    <w:rsid w:val="009E766E"/>
    <w:rsid w:val="009F1960"/>
    <w:rsid w:val="009F4B1A"/>
    <w:rsid w:val="009F626D"/>
    <w:rsid w:val="009F715E"/>
    <w:rsid w:val="00A10DBB"/>
    <w:rsid w:val="00A11720"/>
    <w:rsid w:val="00A13239"/>
    <w:rsid w:val="00A21247"/>
    <w:rsid w:val="00A27C85"/>
    <w:rsid w:val="00A31D47"/>
    <w:rsid w:val="00A35C40"/>
    <w:rsid w:val="00A4013E"/>
    <w:rsid w:val="00A4045F"/>
    <w:rsid w:val="00A427CD"/>
    <w:rsid w:val="00A45FEE"/>
    <w:rsid w:val="00A4600B"/>
    <w:rsid w:val="00A50506"/>
    <w:rsid w:val="00A51EF0"/>
    <w:rsid w:val="00A67A81"/>
    <w:rsid w:val="00A730A6"/>
    <w:rsid w:val="00A96899"/>
    <w:rsid w:val="00A971A0"/>
    <w:rsid w:val="00AA1186"/>
    <w:rsid w:val="00AA1F22"/>
    <w:rsid w:val="00AB26C8"/>
    <w:rsid w:val="00AB530C"/>
    <w:rsid w:val="00B01D72"/>
    <w:rsid w:val="00B05821"/>
    <w:rsid w:val="00B100D6"/>
    <w:rsid w:val="00B11FBE"/>
    <w:rsid w:val="00B164C9"/>
    <w:rsid w:val="00B26C28"/>
    <w:rsid w:val="00B33AE2"/>
    <w:rsid w:val="00B4174C"/>
    <w:rsid w:val="00B453F5"/>
    <w:rsid w:val="00B538EA"/>
    <w:rsid w:val="00B53B31"/>
    <w:rsid w:val="00B61624"/>
    <w:rsid w:val="00B66481"/>
    <w:rsid w:val="00B7189C"/>
    <w:rsid w:val="00B718A5"/>
    <w:rsid w:val="00B9695D"/>
    <w:rsid w:val="00BA788A"/>
    <w:rsid w:val="00BB4983"/>
    <w:rsid w:val="00BB7597"/>
    <w:rsid w:val="00BC62E2"/>
    <w:rsid w:val="00BE53AA"/>
    <w:rsid w:val="00C42125"/>
    <w:rsid w:val="00C501EA"/>
    <w:rsid w:val="00C52471"/>
    <w:rsid w:val="00C57225"/>
    <w:rsid w:val="00C62814"/>
    <w:rsid w:val="00C67B25"/>
    <w:rsid w:val="00C748F7"/>
    <w:rsid w:val="00C74937"/>
    <w:rsid w:val="00C76232"/>
    <w:rsid w:val="00CB2599"/>
    <w:rsid w:val="00CC386F"/>
    <w:rsid w:val="00CD2139"/>
    <w:rsid w:val="00CE5986"/>
    <w:rsid w:val="00D2379F"/>
    <w:rsid w:val="00D26477"/>
    <w:rsid w:val="00D647EF"/>
    <w:rsid w:val="00D72ABF"/>
    <w:rsid w:val="00D73137"/>
    <w:rsid w:val="00D94DC8"/>
    <w:rsid w:val="00D977A2"/>
    <w:rsid w:val="00DA1D47"/>
    <w:rsid w:val="00DA5D46"/>
    <w:rsid w:val="00DB0706"/>
    <w:rsid w:val="00DD50DE"/>
    <w:rsid w:val="00DE0EB4"/>
    <w:rsid w:val="00DE3062"/>
    <w:rsid w:val="00DF0D0C"/>
    <w:rsid w:val="00E0581D"/>
    <w:rsid w:val="00E1590B"/>
    <w:rsid w:val="00E204DD"/>
    <w:rsid w:val="00E21991"/>
    <w:rsid w:val="00E228B7"/>
    <w:rsid w:val="00E353EC"/>
    <w:rsid w:val="00E4605D"/>
    <w:rsid w:val="00E51F61"/>
    <w:rsid w:val="00E53C24"/>
    <w:rsid w:val="00E56E77"/>
    <w:rsid w:val="00EA0BE7"/>
    <w:rsid w:val="00EB444D"/>
    <w:rsid w:val="00ED294B"/>
    <w:rsid w:val="00EE1A06"/>
    <w:rsid w:val="00EE5C0D"/>
    <w:rsid w:val="00EE5EF4"/>
    <w:rsid w:val="00EF4792"/>
    <w:rsid w:val="00F02294"/>
    <w:rsid w:val="00F30DE7"/>
    <w:rsid w:val="00F35F57"/>
    <w:rsid w:val="00F50467"/>
    <w:rsid w:val="00F562A0"/>
    <w:rsid w:val="00F57FA4"/>
    <w:rsid w:val="00F653E1"/>
    <w:rsid w:val="00FA02CB"/>
    <w:rsid w:val="00FA2177"/>
    <w:rsid w:val="00FB00AA"/>
    <w:rsid w:val="00FB0783"/>
    <w:rsid w:val="00FB7A8B"/>
    <w:rsid w:val="00FC2485"/>
    <w:rsid w:val="00FD439E"/>
    <w:rsid w:val="00FD76CB"/>
    <w:rsid w:val="00FE152B"/>
    <w:rsid w:val="00FE239E"/>
    <w:rsid w:val="00FF1151"/>
    <w:rsid w:val="00FF4546"/>
    <w:rsid w:val="00FF538F"/>
    <w:rsid w:val="00FF6D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A7DEE"/>
  <w15:chartTrackingRefBased/>
  <w15:docId w15:val="{771BBDFE-E432-4368-8E63-B6D9973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ABF"/>
    <w:pPr>
      <w:spacing w:after="0" w:line="240" w:lineRule="auto"/>
    </w:pPr>
    <w:rPr>
      <w:rFonts w:ascii="Times New Roman" w:eastAsia="Times New Roman" w:hAnsi="Times New Roman" w:cs="Times New Roman"/>
      <w:sz w:val="24"/>
      <w:szCs w:val="24"/>
      <w:lang w:val="fr-CH" w:eastAsia="fr-FR"/>
    </w:rPr>
  </w:style>
  <w:style w:type="paragraph" w:styleId="Heading1">
    <w:name w:val="heading 1"/>
    <w:basedOn w:val="Normal"/>
    <w:next w:val="Normal"/>
    <w:link w:val="Heading1Char"/>
    <w:rsid w:val="005D65ED"/>
    <w:pPr>
      <w:keepNext/>
      <w:keepLines/>
      <w:numPr>
        <w:numId w:val="11"/>
      </w:numPr>
      <w:tabs>
        <w:tab w:val="left" w:pos="794"/>
        <w:tab w:val="left" w:pos="1191"/>
        <w:tab w:val="left" w:pos="1588"/>
        <w:tab w:val="left" w:pos="1985"/>
      </w:tabs>
      <w:overflowPunct w:val="0"/>
      <w:autoSpaceDE w:val="0"/>
      <w:autoSpaceDN w:val="0"/>
      <w:adjustRightInd w:val="0"/>
      <w:spacing w:before="360"/>
      <w:textAlignment w:val="baseline"/>
      <w:outlineLvl w:val="0"/>
    </w:pPr>
    <w:rPr>
      <w:b/>
      <w:szCs w:val="20"/>
      <w:lang w:eastAsia="en-US"/>
    </w:rPr>
  </w:style>
  <w:style w:type="paragraph" w:styleId="Heading2">
    <w:name w:val="heading 2"/>
    <w:basedOn w:val="Heading1"/>
    <w:next w:val="Normal"/>
    <w:link w:val="Heading2Char"/>
    <w:rsid w:val="005D65ED"/>
    <w:pPr>
      <w:numPr>
        <w:ilvl w:val="1"/>
      </w:numPr>
      <w:spacing w:before="240"/>
      <w:outlineLvl w:val="1"/>
    </w:pPr>
  </w:style>
  <w:style w:type="paragraph" w:styleId="Heading3">
    <w:name w:val="heading 3"/>
    <w:basedOn w:val="Heading1"/>
    <w:next w:val="Normal"/>
    <w:link w:val="Heading3Char"/>
    <w:rsid w:val="005D65ED"/>
    <w:pPr>
      <w:numPr>
        <w:ilvl w:val="2"/>
      </w:numPr>
      <w:spacing w:before="160"/>
      <w:outlineLvl w:val="2"/>
    </w:pPr>
  </w:style>
  <w:style w:type="paragraph" w:styleId="Heading4">
    <w:name w:val="heading 4"/>
    <w:basedOn w:val="Heading3"/>
    <w:next w:val="Normal"/>
    <w:link w:val="Heading4Char"/>
    <w:qFormat/>
    <w:rsid w:val="005D65ED"/>
    <w:pPr>
      <w:numPr>
        <w:ilvl w:val="3"/>
      </w:numPr>
      <w:tabs>
        <w:tab w:val="clear" w:pos="794"/>
        <w:tab w:val="left" w:pos="1021"/>
      </w:tabs>
      <w:outlineLvl w:val="3"/>
    </w:pPr>
  </w:style>
  <w:style w:type="paragraph" w:styleId="Heading5">
    <w:name w:val="heading 5"/>
    <w:basedOn w:val="Heading4"/>
    <w:next w:val="Normal"/>
    <w:link w:val="Heading5Char"/>
    <w:qFormat/>
    <w:rsid w:val="005D65ED"/>
    <w:pPr>
      <w:numPr>
        <w:ilvl w:val="4"/>
      </w:numPr>
      <w:outlineLvl w:val="4"/>
    </w:pPr>
  </w:style>
  <w:style w:type="paragraph" w:styleId="Heading6">
    <w:name w:val="heading 6"/>
    <w:basedOn w:val="Heading4"/>
    <w:next w:val="Normal"/>
    <w:link w:val="Heading6Char"/>
    <w:rsid w:val="005D65ED"/>
    <w:pPr>
      <w:numPr>
        <w:ilvl w:val="5"/>
      </w:numPr>
      <w:tabs>
        <w:tab w:val="clear" w:pos="1021"/>
        <w:tab w:val="clear" w:pos="1191"/>
      </w:tabs>
      <w:outlineLvl w:val="5"/>
    </w:pPr>
  </w:style>
  <w:style w:type="paragraph" w:styleId="Heading7">
    <w:name w:val="heading 7"/>
    <w:basedOn w:val="Heading6"/>
    <w:next w:val="Normal"/>
    <w:link w:val="Heading7Char"/>
    <w:rsid w:val="005D65ED"/>
    <w:pPr>
      <w:numPr>
        <w:ilvl w:val="6"/>
      </w:numPr>
      <w:outlineLvl w:val="6"/>
    </w:pPr>
  </w:style>
  <w:style w:type="paragraph" w:styleId="Heading8">
    <w:name w:val="heading 8"/>
    <w:basedOn w:val="Heading6"/>
    <w:next w:val="Normal"/>
    <w:link w:val="Heading8Char"/>
    <w:rsid w:val="005D65ED"/>
    <w:pPr>
      <w:numPr>
        <w:ilvl w:val="7"/>
      </w:numPr>
      <w:outlineLvl w:val="7"/>
    </w:pPr>
  </w:style>
  <w:style w:type="paragraph" w:styleId="Heading9">
    <w:name w:val="heading 9"/>
    <w:basedOn w:val="Heading6"/>
    <w:next w:val="Normal"/>
    <w:link w:val="Heading9Char"/>
    <w:rsid w:val="005D65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b/>
      <w:sz w:val="28"/>
      <w:szCs w:val="20"/>
      <w:lang w:eastAsia="en-US"/>
    </w:rPr>
  </w:style>
  <w:style w:type="paragraph" w:customStyle="1" w:styleId="AppendixNotitle">
    <w:name w:val="Appendix_No &amp; title"/>
    <w:basedOn w:val="AnnexNotitle"/>
    <w:next w:val="Normal"/>
    <w:rsid w:val="005D65ED"/>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b/>
      <w:i/>
      <w:sz w:val="20"/>
      <w:szCs w:val="20"/>
      <w:lang w:val="en-US" w:eastAsia="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b/>
      <w:i/>
      <w:sz w:val="20"/>
      <w:szCs w:val="20"/>
      <w:lang w:val="en-US" w:eastAsia="en-US"/>
    </w:rPr>
  </w:style>
  <w:style w:type="paragraph" w:customStyle="1" w:styleId="Figure">
    <w:name w:val="Figur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eastAsia="en-US"/>
    </w:rPr>
  </w:style>
  <w:style w:type="paragraph" w:customStyle="1" w:styleId="FigureNotitle">
    <w:name w:val="Figure_No &amp; title"/>
    <w:basedOn w:val="Normal"/>
    <w:next w:val="Normal"/>
    <w:qFormat/>
    <w:rsid w:val="005D65E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D65E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SimSun" w:hAnsi="Courier New"/>
      <w:noProof/>
      <w:sz w:val="20"/>
      <w:szCs w:val="20"/>
      <w:lang w:val="en-US" w:eastAsia="en-US"/>
    </w:rPr>
  </w:style>
  <w:style w:type="paragraph" w:customStyle="1" w:styleId="Headingb">
    <w:name w:val="Heading_b"/>
    <w:basedOn w:val="Normal"/>
    <w:next w:val="Normal"/>
    <w:qFormat/>
    <w:rsid w:val="005D65ED"/>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eastAsia="en-US"/>
    </w:rPr>
  </w:style>
  <w:style w:type="paragraph" w:customStyle="1" w:styleId="Headingi">
    <w:name w:val="Heading_i"/>
    <w:basedOn w:val="Normal"/>
    <w:next w:val="Normal"/>
    <w:rsid w:val="005D65ED"/>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eastAsia="en-US"/>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lang w:eastAsia="en-US"/>
    </w:rPr>
  </w:style>
  <w:style w:type="paragraph" w:customStyle="1" w:styleId="RecNo">
    <w:name w:val="Rec_No"/>
    <w:basedOn w:val="Normal"/>
    <w:next w:val="Normal"/>
    <w:rsid w:val="005D65ED"/>
    <w:pPr>
      <w:keepNext/>
      <w:keepLines/>
      <w:tabs>
        <w:tab w:val="left" w:pos="794"/>
        <w:tab w:val="left" w:pos="1191"/>
        <w:tab w:val="left" w:pos="1588"/>
        <w:tab w:val="left" w:pos="1985"/>
      </w:tabs>
      <w:overflowPunct w:val="0"/>
      <w:autoSpaceDE w:val="0"/>
      <w:autoSpaceDN w:val="0"/>
      <w:adjustRightInd w:val="0"/>
      <w:textAlignment w:val="baseline"/>
    </w:pPr>
    <w:rPr>
      <w:b/>
      <w:sz w:val="28"/>
      <w:szCs w:val="20"/>
    </w:rPr>
  </w:style>
  <w:style w:type="paragraph" w:customStyle="1" w:styleId="Rectitle">
    <w:name w:val="Rec_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D65ED"/>
    <w:pPr>
      <w:overflowPunct w:val="0"/>
      <w:autoSpaceDE w:val="0"/>
      <w:autoSpaceDN w:val="0"/>
      <w:adjustRightInd w:val="0"/>
      <w:ind w:left="2268" w:hanging="2268"/>
      <w:textAlignment w:val="baseline"/>
    </w:pPr>
    <w:rPr>
      <w:szCs w:val="20"/>
      <w:lang w:eastAsia="en-US"/>
    </w:rPr>
  </w:style>
  <w:style w:type="paragraph" w:customStyle="1" w:styleId="Tablehead">
    <w:name w:val="Table_head"/>
    <w:basedOn w:val="Normal"/>
    <w:next w:val="Normal"/>
    <w:rsid w:val="005D65E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eastAsia="en-US"/>
    </w:rPr>
  </w:style>
  <w:style w:type="paragraph" w:customStyle="1" w:styleId="Tablelegend">
    <w:name w:val="Table_legend"/>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sz w:val="22"/>
      <w:szCs w:val="20"/>
      <w:lang w:eastAsia="en-US"/>
    </w:rPr>
  </w:style>
  <w:style w:type="paragraph" w:customStyle="1" w:styleId="TableNotitle">
    <w:name w:val="Table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eastAsia="en-US"/>
    </w:rPr>
  </w:style>
  <w:style w:type="paragraph" w:styleId="TableofFigures">
    <w:name w:val="table of figures"/>
    <w:basedOn w:val="Normal"/>
    <w:next w:val="Normal"/>
    <w:uiPriority w:val="99"/>
    <w:rsid w:val="005D65ED"/>
    <w:pPr>
      <w:tabs>
        <w:tab w:val="right" w:leader="dot" w:pos="9639"/>
      </w:tabs>
    </w:pPr>
    <w:rPr>
      <w:rFonts w:eastAsia="MS Mincho"/>
    </w:rPr>
  </w:style>
  <w:style w:type="paragraph" w:styleId="TOC1">
    <w:name w:val="toc 1"/>
    <w:basedOn w:val="Normal"/>
    <w:rsid w:val="005D65E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D65ED"/>
    <w:pPr>
      <w:tabs>
        <w:tab w:val="clear" w:pos="964"/>
      </w:tabs>
      <w:spacing w:before="80"/>
      <w:ind w:left="1531" w:hanging="851"/>
    </w:pPr>
  </w:style>
  <w:style w:type="paragraph" w:styleId="TOC3">
    <w:name w:val="toc 3"/>
    <w:basedOn w:val="TOC2"/>
    <w:rsid w:val="005D65ED"/>
    <w:pPr>
      <w:ind w:left="2269"/>
    </w:pPr>
  </w:style>
  <w:style w:type="character" w:styleId="Hyperlink">
    <w:name w:val="Hyperlink"/>
    <w:basedOn w:val="DefaultParagraphFont"/>
    <w:rsid w:val="005D65ED"/>
    <w:rPr>
      <w:rFonts w:asciiTheme="majorBidi" w:hAnsiTheme="majorBidi"/>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5D65ED"/>
    <w:pPr>
      <w:spacing w:after="200"/>
    </w:pPr>
    <w:rPr>
      <w:i/>
      <w:iCs/>
      <w:color w:val="44546A" w:themeColor="text2"/>
      <w:sz w:val="18"/>
      <w:szCs w:val="18"/>
    </w:rPr>
  </w:style>
  <w:style w:type="paragraph" w:styleId="Header">
    <w:name w:val="header"/>
    <w:basedOn w:val="Normal"/>
    <w:link w:val="HeaderChar"/>
    <w:unhideWhenUsed/>
    <w:rsid w:val="005D65ED"/>
    <w:pPr>
      <w:tabs>
        <w:tab w:val="center" w:pos="4680"/>
        <w:tab w:val="right" w:pos="9360"/>
      </w:tabs>
      <w:jc w:val="center"/>
    </w:pPr>
    <w:rPr>
      <w:sz w:val="20"/>
      <w:szCs w:val="20"/>
    </w:rPr>
  </w:style>
  <w:style w:type="character" w:customStyle="1" w:styleId="HeaderChar">
    <w:name w:val="Header Char"/>
    <w:basedOn w:val="DefaultParagraphFont"/>
    <w:link w:val="Header"/>
    <w:rsid w:val="005D65ED"/>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5D65ED"/>
    <w:pPr>
      <w:tabs>
        <w:tab w:val="center" w:pos="4680"/>
        <w:tab w:val="right" w:pos="9360"/>
      </w:tabs>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character" w:customStyle="1" w:styleId="Mentionnonrsolue1">
    <w:name w:val="Mention non résolue1"/>
    <w:basedOn w:val="DefaultParagraphFont"/>
    <w:uiPriority w:val="99"/>
    <w:semiHidden/>
    <w:unhideWhenUsed/>
    <w:rsid w:val="00EE5EF4"/>
    <w:rPr>
      <w:color w:val="605E5C"/>
      <w:shd w:val="clear" w:color="auto" w:fill="E1DFDD"/>
    </w:rPr>
  </w:style>
  <w:style w:type="paragraph" w:styleId="ListParagraph">
    <w:name w:val="List Paragraph"/>
    <w:basedOn w:val="Normal"/>
    <w:uiPriority w:val="34"/>
    <w:qFormat/>
    <w:rsid w:val="00DF0D0C"/>
    <w:pPr>
      <w:ind w:left="720"/>
      <w:contextualSpacing/>
    </w:pPr>
  </w:style>
  <w:style w:type="table" w:styleId="TableGrid">
    <w:name w:val="Table Grid"/>
    <w:basedOn w:val="TableNormal"/>
    <w:uiPriority w:val="39"/>
    <w:rsid w:val="00B9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D5A"/>
    <w:rPr>
      <w:sz w:val="16"/>
      <w:szCs w:val="16"/>
    </w:rPr>
  </w:style>
  <w:style w:type="paragraph" w:styleId="CommentText">
    <w:name w:val="annotation text"/>
    <w:basedOn w:val="Normal"/>
    <w:link w:val="CommentTextChar"/>
    <w:uiPriority w:val="99"/>
    <w:semiHidden/>
    <w:unhideWhenUsed/>
    <w:rsid w:val="009B2D5A"/>
    <w:rPr>
      <w:sz w:val="20"/>
      <w:szCs w:val="20"/>
    </w:rPr>
  </w:style>
  <w:style w:type="character" w:customStyle="1" w:styleId="CommentTextChar">
    <w:name w:val="Comment Text Char"/>
    <w:basedOn w:val="DefaultParagraphFont"/>
    <w:link w:val="CommentText"/>
    <w:uiPriority w:val="99"/>
    <w:semiHidden/>
    <w:rsid w:val="009B2D5A"/>
    <w:rPr>
      <w:rFonts w:ascii="Times New Roman" w:eastAsia="Times New Roman" w:hAnsi="Times New Roman" w:cs="Times New Roman"/>
      <w:sz w:val="20"/>
      <w:szCs w:val="20"/>
      <w:lang w:val="fr-CH" w:eastAsia="fr-FR"/>
    </w:rPr>
  </w:style>
  <w:style w:type="paragraph" w:styleId="CommentSubject">
    <w:name w:val="annotation subject"/>
    <w:basedOn w:val="CommentText"/>
    <w:next w:val="CommentText"/>
    <w:link w:val="CommentSubjectChar"/>
    <w:uiPriority w:val="99"/>
    <w:semiHidden/>
    <w:unhideWhenUsed/>
    <w:rsid w:val="009B2D5A"/>
    <w:rPr>
      <w:b/>
      <w:bCs/>
    </w:rPr>
  </w:style>
  <w:style w:type="character" w:customStyle="1" w:styleId="CommentSubjectChar">
    <w:name w:val="Comment Subject Char"/>
    <w:basedOn w:val="CommentTextChar"/>
    <w:link w:val="CommentSubject"/>
    <w:uiPriority w:val="99"/>
    <w:semiHidden/>
    <w:rsid w:val="009B2D5A"/>
    <w:rPr>
      <w:rFonts w:ascii="Times New Roman" w:eastAsia="Times New Roman" w:hAnsi="Times New Roman" w:cs="Times New Roman"/>
      <w:b/>
      <w:bCs/>
      <w:sz w:val="20"/>
      <w:szCs w:val="20"/>
      <w:lang w:val="fr-CH" w:eastAsia="fr-FR"/>
    </w:rPr>
  </w:style>
  <w:style w:type="character" w:customStyle="1" w:styleId="UnresolvedMention">
    <w:name w:val="Unresolved Mention"/>
    <w:basedOn w:val="DefaultParagraphFont"/>
    <w:uiPriority w:val="99"/>
    <w:semiHidden/>
    <w:unhideWhenUsed/>
    <w:rsid w:val="004063C9"/>
    <w:rPr>
      <w:color w:val="605E5C"/>
      <w:shd w:val="clear" w:color="auto" w:fill="E1DFDD"/>
    </w:rPr>
  </w:style>
  <w:style w:type="paragraph" w:customStyle="1" w:styleId="1">
    <w:name w:val="列表段落1"/>
    <w:basedOn w:val="Normal"/>
    <w:uiPriority w:val="34"/>
    <w:qFormat/>
    <w:rsid w:val="001056C8"/>
    <w:pPr>
      <w:spacing w:before="120"/>
      <w:ind w:leftChars="400" w:left="800"/>
    </w:pPr>
    <w:rPr>
      <w:rFonts w:eastAsiaTheme="minorEastAsi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3165">
      <w:bodyDiv w:val="1"/>
      <w:marLeft w:val="0"/>
      <w:marRight w:val="0"/>
      <w:marTop w:val="0"/>
      <w:marBottom w:val="0"/>
      <w:divBdr>
        <w:top w:val="none" w:sz="0" w:space="0" w:color="auto"/>
        <w:left w:val="none" w:sz="0" w:space="0" w:color="auto"/>
        <w:bottom w:val="none" w:sz="0" w:space="0" w:color="auto"/>
        <w:right w:val="none" w:sz="0" w:space="0" w:color="auto"/>
      </w:divBdr>
    </w:div>
    <w:div w:id="538979319">
      <w:bodyDiv w:val="1"/>
      <w:marLeft w:val="0"/>
      <w:marRight w:val="0"/>
      <w:marTop w:val="0"/>
      <w:marBottom w:val="0"/>
      <w:divBdr>
        <w:top w:val="none" w:sz="0" w:space="0" w:color="auto"/>
        <w:left w:val="none" w:sz="0" w:space="0" w:color="auto"/>
        <w:bottom w:val="none" w:sz="0" w:space="0" w:color="auto"/>
        <w:right w:val="none" w:sz="0" w:space="0" w:color="auto"/>
      </w:divBdr>
    </w:div>
    <w:div w:id="577716792">
      <w:bodyDiv w:val="1"/>
      <w:marLeft w:val="0"/>
      <w:marRight w:val="0"/>
      <w:marTop w:val="0"/>
      <w:marBottom w:val="0"/>
      <w:divBdr>
        <w:top w:val="none" w:sz="0" w:space="0" w:color="auto"/>
        <w:left w:val="none" w:sz="0" w:space="0" w:color="auto"/>
        <w:bottom w:val="none" w:sz="0" w:space="0" w:color="auto"/>
        <w:right w:val="none" w:sz="0" w:space="0" w:color="auto"/>
      </w:divBdr>
    </w:div>
    <w:div w:id="1311136576">
      <w:bodyDiv w:val="1"/>
      <w:marLeft w:val="0"/>
      <w:marRight w:val="0"/>
      <w:marTop w:val="0"/>
      <w:marBottom w:val="0"/>
      <w:divBdr>
        <w:top w:val="none" w:sz="0" w:space="0" w:color="auto"/>
        <w:left w:val="none" w:sz="0" w:space="0" w:color="auto"/>
        <w:bottom w:val="none" w:sz="0" w:space="0" w:color="auto"/>
        <w:right w:val="none" w:sz="0" w:space="0" w:color="auto"/>
      </w:divBdr>
    </w:div>
    <w:div w:id="20630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meetingdoc.asp?lang=en&amp;parent=T17-TSAG-C-0097" TargetMode="External"/><Relationship Id="rId18" Type="http://schemas.openxmlformats.org/officeDocument/2006/relationships/hyperlink" Target="https://www.itu.int/md/meetingdoc.asp?lang=en&amp;parent=T17-TSAG-190923-TD-GEN-0620" TargetMode="External"/><Relationship Id="rId26" Type="http://schemas.openxmlformats.org/officeDocument/2006/relationships/hyperlink" Target="https://www.itu.int/md/meetingdoc.asp?lang=en&amp;parent=T17-TSAG-190923-TD-GEN-0632" TargetMode="External"/><Relationship Id="rId3" Type="http://schemas.openxmlformats.org/officeDocument/2006/relationships/customXml" Target="../customXml/item3.xml"/><Relationship Id="rId21" Type="http://schemas.openxmlformats.org/officeDocument/2006/relationships/hyperlink" Target="https://www.itu.int/md/meetingdoc.asp?lang=en&amp;parent=T17-TSAG-190923-TD-GEN-062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md/meetingdoc.asp?lang=en&amp;parent=T17-TSAG-C-0097" TargetMode="External"/><Relationship Id="rId17" Type="http://schemas.openxmlformats.org/officeDocument/2006/relationships/hyperlink" Target="https://www.itu.int/md/meetingdoc.asp?lang=en&amp;parent=T17-TSAG-190923-TD-GEN-0620" TargetMode="External"/><Relationship Id="rId25" Type="http://schemas.openxmlformats.org/officeDocument/2006/relationships/hyperlink" Target="https://www.itu.int/md/meetingdoc.asp?lang=en&amp;parent=T17-TSAG-190923-TD-GEN-0632"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meetingdoc.asp?lang=en&amp;parent=T17-TSAG-190923-TD-GEN-0620" TargetMode="External"/><Relationship Id="rId20" Type="http://schemas.openxmlformats.org/officeDocument/2006/relationships/hyperlink" Target="https://www.itu.int/md/meetingdoc.asp?lang=en&amp;parent=T17-TSAG-190923-TD-GEN-062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naud_Taddei@symantec.com" TargetMode="External"/><Relationship Id="rId24" Type="http://schemas.openxmlformats.org/officeDocument/2006/relationships/hyperlink" Target="https://www.itu.int/md/meetingdoc.asp?lang=en&amp;parent=T17-TSAG-190923-TD-GEN-0632"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itu.int/md/meetingdoc.asp?lang=en&amp;parent=T17-TSAG-190923-TD-GEN-0620" TargetMode="External"/><Relationship Id="rId23" Type="http://schemas.openxmlformats.org/officeDocument/2006/relationships/hyperlink" Target="https://www.itu.int/md/meetingdoc.asp?lang=en&amp;parent=T17-TSAG-190923-TD-GEN-0620"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www.itu.int/md/meetingdoc.asp?lang=en&amp;parent=T17-TSAG-190923-TD-GEN-0620"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meetingdoc.asp?lang=en&amp;parent=T17-TSAG-190923-TD-GEN-0619" TargetMode="External"/><Relationship Id="rId22" Type="http://schemas.openxmlformats.org/officeDocument/2006/relationships/hyperlink" Target="https://www.itu.int/md/meetingdoc.asp?lang=en&amp;parent=T17-TSAG-190923-TD-GEN-0634" TargetMode="External"/><Relationship Id="rId27" Type="http://schemas.openxmlformats.org/officeDocument/2006/relationships/hyperlink" Target="https://www.itu.int/md/T17-TSAG-181210-TD-GEN-0443/en"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59800AD439456F86001229E9F6B8CD"/>
        <w:category>
          <w:name w:val="General"/>
          <w:gallery w:val="placeholder"/>
        </w:category>
        <w:types>
          <w:type w:val="bbPlcHdr"/>
        </w:types>
        <w:behaviors>
          <w:behavior w:val="content"/>
        </w:behaviors>
        <w:guid w:val="{04CF0DCB-494C-42D1-836F-773D20172C47}"/>
      </w:docPartPr>
      <w:docPartBody>
        <w:p w:rsidR="00D93FE1" w:rsidRDefault="00FE399B">
          <w:pPr>
            <w:pStyle w:val="C259800AD439456F86001229E9F6B8CD"/>
          </w:pPr>
          <w:r w:rsidRPr="00136DDD">
            <w:rPr>
              <w:rStyle w:val="PlaceholderText"/>
            </w:rPr>
            <w:t>Insert keywords separated by semicolon (;)</w:t>
          </w:r>
        </w:p>
      </w:docPartBody>
    </w:docPart>
    <w:docPart>
      <w:docPartPr>
        <w:name w:val="492BE26494BC4227B909FEB578E10484"/>
        <w:category>
          <w:name w:val="General"/>
          <w:gallery w:val="placeholder"/>
        </w:category>
        <w:types>
          <w:type w:val="bbPlcHdr"/>
        </w:types>
        <w:behaviors>
          <w:behavior w:val="content"/>
        </w:behaviors>
        <w:guid w:val="{902D594D-3570-4461-A16E-8834FE2D6B47}"/>
      </w:docPartPr>
      <w:docPartBody>
        <w:p w:rsidR="00D93FE1" w:rsidRDefault="00FE399B">
          <w:pPr>
            <w:pStyle w:val="492BE26494BC4227B909FEB578E10484"/>
          </w:pPr>
          <w:r w:rsidRPr="00136DDD">
            <w:rPr>
              <w:rStyle w:val="PlaceholderText"/>
            </w:rPr>
            <w:t>Insert an abstract under 200 words that describes the content of the document, including a clear description of any proposals it may contain.</w:t>
          </w:r>
        </w:p>
      </w:docPartBody>
    </w:docPart>
    <w:docPart>
      <w:docPartPr>
        <w:name w:val="B66E9E9A7B01B34D95F35656D5261C12"/>
        <w:category>
          <w:name w:val="Général"/>
          <w:gallery w:val="placeholder"/>
        </w:category>
        <w:types>
          <w:type w:val="bbPlcHdr"/>
        </w:types>
        <w:behaviors>
          <w:behavior w:val="content"/>
        </w:behaviors>
        <w:guid w:val="{4E988662-307B-9F48-B684-29733BBDCF05}"/>
      </w:docPartPr>
      <w:docPartBody>
        <w:p w:rsidR="00D93FE1" w:rsidRDefault="00D93FE1" w:rsidP="00D93FE1">
          <w:pPr>
            <w:pStyle w:val="B66E9E9A7B01B34D95F35656D5261C12"/>
          </w:pPr>
          <w:r w:rsidRPr="001229A4">
            <w:rPr>
              <w:rStyle w:val="PlaceholderText"/>
            </w:rPr>
            <w:t>Click here to enter text.</w:t>
          </w:r>
        </w:p>
      </w:docPartBody>
    </w:docPart>
    <w:docPart>
      <w:docPartPr>
        <w:name w:val="C16155258CA0B14797F2CE749D1F2C83"/>
        <w:category>
          <w:name w:val="Général"/>
          <w:gallery w:val="placeholder"/>
        </w:category>
        <w:types>
          <w:type w:val="bbPlcHdr"/>
        </w:types>
        <w:behaviors>
          <w:behavior w:val="content"/>
        </w:behaviors>
        <w:guid w:val="{0C65CFA8-C7F0-6241-BBDD-8FB6D4ABE07D}"/>
      </w:docPartPr>
      <w:docPartBody>
        <w:p w:rsidR="00D93FE1" w:rsidRDefault="00D93FE1" w:rsidP="00D93FE1">
          <w:pPr>
            <w:pStyle w:val="C16155258CA0B14797F2CE749D1F2C83"/>
          </w:pPr>
          <w:r w:rsidRPr="001229A4">
            <w:rPr>
              <w:rStyle w:val="PlaceholderText"/>
            </w:rPr>
            <w:t>Click here to enter text.</w:t>
          </w:r>
        </w:p>
      </w:docPartBody>
    </w:docPart>
    <w:docPart>
      <w:docPartPr>
        <w:name w:val="F08A05733CB5B54DAEFB111F1B4088AE"/>
        <w:category>
          <w:name w:val="Général"/>
          <w:gallery w:val="placeholder"/>
        </w:category>
        <w:types>
          <w:type w:val="bbPlcHdr"/>
        </w:types>
        <w:behaviors>
          <w:behavior w:val="content"/>
        </w:behaviors>
        <w:guid w:val="{C8FDED57-5972-E342-818F-91507DDBC229}"/>
      </w:docPartPr>
      <w:docPartBody>
        <w:p w:rsidR="00D93FE1" w:rsidRDefault="00D93FE1" w:rsidP="00D93FE1">
          <w:pPr>
            <w:pStyle w:val="F08A05733CB5B54DAEFB111F1B4088AE"/>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9B"/>
    <w:rsid w:val="001815EC"/>
    <w:rsid w:val="001C34D9"/>
    <w:rsid w:val="00AA1E98"/>
    <w:rsid w:val="00BD079C"/>
    <w:rsid w:val="00C02385"/>
    <w:rsid w:val="00CA4DB1"/>
    <w:rsid w:val="00D93FE1"/>
    <w:rsid w:val="00FE3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FE1"/>
    <w:rPr>
      <w:rFonts w:ascii="Times New Roman" w:hAnsi="Times New Roman"/>
      <w:color w:val="808080"/>
    </w:rPr>
  </w:style>
  <w:style w:type="paragraph" w:customStyle="1" w:styleId="6BCFF663A1A4478B85DABE16B089F8C2">
    <w:name w:val="6BCFF663A1A4478B85DABE16B089F8C2"/>
  </w:style>
  <w:style w:type="paragraph" w:customStyle="1" w:styleId="F904D09AA5EE4A4489EE8DDBCD385FC6">
    <w:name w:val="F904D09AA5EE4A4489EE8DDBCD385FC6"/>
  </w:style>
  <w:style w:type="paragraph" w:customStyle="1" w:styleId="6D0FDD57E00E4FF994426B513F9C0CB9">
    <w:name w:val="6D0FDD57E00E4FF994426B513F9C0CB9"/>
  </w:style>
  <w:style w:type="paragraph" w:customStyle="1" w:styleId="9AB9E910FA0242D182C7C7D98CE5BDFA">
    <w:name w:val="9AB9E910FA0242D182C7C7D98CE5BDFA"/>
  </w:style>
  <w:style w:type="paragraph" w:customStyle="1" w:styleId="1778BD6C5D084ED7B76BC2C96783115B">
    <w:name w:val="1778BD6C5D084ED7B76BC2C96783115B"/>
  </w:style>
  <w:style w:type="paragraph" w:customStyle="1" w:styleId="2B4D4A15154A4F56A35A8A063E907690">
    <w:name w:val="2B4D4A15154A4F56A35A8A063E907690"/>
  </w:style>
  <w:style w:type="paragraph" w:customStyle="1" w:styleId="A91B5E6354D743CBB3191FC91212D428">
    <w:name w:val="A91B5E6354D743CBB3191FC91212D428"/>
  </w:style>
  <w:style w:type="paragraph" w:customStyle="1" w:styleId="437903216CDF42D8AFCFCB5DAA1ABCBD">
    <w:name w:val="437903216CDF42D8AFCFCB5DAA1ABCBD"/>
  </w:style>
  <w:style w:type="paragraph" w:customStyle="1" w:styleId="C259800AD439456F86001229E9F6B8CD">
    <w:name w:val="C259800AD439456F86001229E9F6B8CD"/>
  </w:style>
  <w:style w:type="paragraph" w:customStyle="1" w:styleId="492BE26494BC4227B909FEB578E10484">
    <w:name w:val="492BE26494BC4227B909FEB578E10484"/>
  </w:style>
  <w:style w:type="paragraph" w:customStyle="1" w:styleId="B66E9E9A7B01B34D95F35656D5261C12">
    <w:name w:val="B66E9E9A7B01B34D95F35656D5261C12"/>
    <w:rsid w:val="00D93FE1"/>
    <w:pPr>
      <w:spacing w:after="0" w:line="240" w:lineRule="auto"/>
    </w:pPr>
    <w:rPr>
      <w:sz w:val="24"/>
      <w:szCs w:val="24"/>
      <w:lang w:val="fr-CH" w:eastAsia="fr-FR"/>
    </w:rPr>
  </w:style>
  <w:style w:type="paragraph" w:customStyle="1" w:styleId="C16155258CA0B14797F2CE749D1F2C83">
    <w:name w:val="C16155258CA0B14797F2CE749D1F2C83"/>
    <w:rsid w:val="00D93FE1"/>
    <w:pPr>
      <w:spacing w:after="0" w:line="240" w:lineRule="auto"/>
    </w:pPr>
    <w:rPr>
      <w:sz w:val="24"/>
      <w:szCs w:val="24"/>
      <w:lang w:val="fr-CH" w:eastAsia="fr-FR"/>
    </w:rPr>
  </w:style>
  <w:style w:type="paragraph" w:customStyle="1" w:styleId="F08A05733CB5B54DAEFB111F1B4088AE">
    <w:name w:val="F08A05733CB5B54DAEFB111F1B4088AE"/>
    <w:rsid w:val="00D93FE1"/>
    <w:pPr>
      <w:spacing w:after="0" w:line="240" w:lineRule="auto"/>
    </w:pPr>
    <w:rPr>
      <w:sz w:val="24"/>
      <w:szCs w:val="24"/>
      <w:lang w:val="fr-CH"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gmtg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DocStatus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DocStatusText" ma:index="36" nillable="true" ma:displayName="DocStatusText" ma:internalName="DocStatus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TSAG</SgText>
    <IsRevision xmlns="3f6fad35-1f81-480e-a4e5-6e5474dcfb96">false</IsRevision>
    <Purpose1 xmlns="3f6fad35-1f81-480e-a4e5-6e5474dcfb96" xsi:nil="true"/>
    <Abstract xmlns="3f6fad35-1f81-480e-a4e5-6e5474dcfb96">This document carries the report from the Chairman of the Quantum Adhoc sessions to the TSAG closing plenary.</Abstract>
    <SourceRGM xmlns="3f6fad35-1f81-480e-a4e5-6e5474dcfb96" xsi:nil="true"/>
    <DocStatus xmlns="3f6fad35-1f81-480e-a4e5-6e5474dcfb96">pending</DocStatus>
    <IsAttachment xmlns="3f6fad35-1f81-480e-a4e5-6e5474dcfb96">false</IsAttachment>
    <StudyGroup xmlns="3f6fad35-1f81-480e-a4e5-6e5474dcfb96" xsi:nil="true"/>
    <DocType xmlns="3f6fad35-1f81-480e-a4e5-6e5474dcfb96">TD</DocType>
    <QuestionText xmlns="3f6fad35-1f81-480e-a4e5-6e5474dcfb96">N/A</QuestionText>
    <DocTypeText xmlns="3f6fad35-1f81-480e-a4e5-6e5474dcfb96">CONTRIBUTION</DocTypeText>
    <CategoryDescription xmlns="http://schemas.microsoft.com/sharepoint.v3" xsi:nil="true"/>
    <ShortName xmlns="3f6fad35-1f81-480e-a4e5-6e5474dcfb96"/>
    <Place xmlns="3f6fad35-1f81-480e-a4e5-6e5474dcfb96">Geneva, 10-14 December 2018</Place>
    <IsTooLateSubmitted xmlns="3f6fad35-1f81-480e-a4e5-6e5474dcfb96">false</IsTooLateSubmitted>
    <Observations xmlns="3f6fad35-1f81-480e-a4e5-6e5474dcfb96" xsi:nil="true"/>
    <DocumentSource xmlns="3f6fad35-1f81-480e-a4e5-6e5474dcfb96">Chairman, Quantum Adhoc Sessions</DocumentSource>
    <IsUpdated xmlns="3f6fad35-1f81-480e-a4e5-6e5474dcfb96">false</IsUpdated>
    <DocStatusText xmlns="3f6fad35-1f81-480e-a4e5-6e5474dcf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elements/1.1/"/>
    <ds:schemaRef ds:uri="http://schemas.microsoft.com/office/2006/metadata/properties"/>
    <ds:schemaRef ds:uri="3f6fad35-1f81-480e-a4e5-6e5474dcfb96"/>
    <ds:schemaRef ds:uri="http://www.w3.org/XML/1998/namespace"/>
    <ds:schemaRef ds:uri="http://purl.org/dc/dcmitype/"/>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StudyGroup_Document-v20170405.dotx</Template>
  <TotalTime>1</TotalTime>
  <Pages>10</Pages>
  <Words>3632</Words>
  <Characters>20708</Characters>
  <Application>Microsoft Office Word</Application>
  <DocSecurity>4</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Final report of the Quantum adhoc sessions for TSAG Closing Plenary</vt:lpstr>
      <vt:lpstr>Final report of the Quantum adhoc sessions for TSAG Closing Plenary</vt:lpstr>
    </vt:vector>
  </TitlesOfParts>
  <Manager>ITU-T</Manager>
  <Company>International Telecommunication Union (ITU)</Company>
  <LinksUpToDate>false</LinksUpToDate>
  <CharactersWithSpaces>24292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Quantum adhoc sessions for TSAG Closing Plenary</dc:title>
  <dc:subject/>
  <dc:creator>Chairman, Quantum Adhoc Sessions</dc:creator>
  <cp:keywords>Quantum; Focus Group; Final Report;</cp:keywords>
  <dc:description>TSAG-TD443  For: Geneva, 10-14 December 2018_x000d_Document date: _x000d_Saved by ITU51011769 at 08:43:03 on 14/12/2018</dc:description>
  <cp:lastModifiedBy>Al-Mnini, Lara</cp:lastModifiedBy>
  <cp:revision>2</cp:revision>
  <cp:lastPrinted>2016-12-23T12:52:00Z</cp:lastPrinted>
  <dcterms:created xsi:type="dcterms:W3CDTF">2019-09-27T08:32:00Z</dcterms:created>
  <dcterms:modified xsi:type="dcterms:W3CDTF">2019-09-27T08:32:00Z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TSAG-TD443</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10-14 December 2018</vt:lpwstr>
  </property>
  <property fmtid="{D5CDD505-2E9C-101B-9397-08002B2CF9AE}" pid="7" name="Docauthor">
    <vt:lpwstr>Chairman, Quantum Adhoc Sessions</vt:lpwstr>
  </property>
</Properties>
</file>