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026180" w:rsidTr="00FA7040">
        <w:trPr>
          <w:cantSplit/>
          <w:jc w:val="center"/>
        </w:trPr>
        <w:tc>
          <w:tcPr>
            <w:tcW w:w="1191" w:type="dxa"/>
            <w:vMerge w:val="restart"/>
          </w:tcPr>
          <w:p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noProof/>
                <w:sz w:val="20"/>
                <w:szCs w:val="20"/>
              </w:rPr>
              <w:drawing>
                <wp:inline distT="0" distB="0" distL="0" distR="0" wp14:anchorId="59452841" wp14:editId="4D26205A">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2" w:type="dxa"/>
            <w:gridSpan w:val="2"/>
            <w:vAlign w:val="center"/>
          </w:tcPr>
          <w:p w:rsidR="007A3C9B" w:rsidRPr="00026180" w:rsidRDefault="007A3C9B" w:rsidP="00811D66">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TSAG-TD</w:t>
            </w:r>
            <w:r w:rsidR="00811D66">
              <w:rPr>
                <w:rFonts w:ascii="Times New Roman" w:eastAsia="SimSun" w:hAnsi="Times New Roman" w:cs="Times New Roman"/>
                <w:b/>
                <w:sz w:val="32"/>
                <w:szCs w:val="20"/>
                <w:lang w:eastAsia="en-US"/>
              </w:rPr>
              <w:t>638</w:t>
            </w:r>
          </w:p>
        </w:tc>
      </w:tr>
      <w:tr w:rsidR="007A3C9B" w:rsidRPr="00026180" w:rsidTr="00FA7040">
        <w:trPr>
          <w:cantSplit/>
          <w:jc w:val="center"/>
        </w:trPr>
        <w:tc>
          <w:tcPr>
            <w:tcW w:w="1191" w:type="dxa"/>
            <w:vMerge/>
          </w:tcPr>
          <w:p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tr w:rsidR="007A3C9B" w:rsidRPr="00026180" w:rsidTr="00FA7040">
        <w:trPr>
          <w:cantSplit/>
          <w:jc w:val="center"/>
        </w:trPr>
        <w:tc>
          <w:tcPr>
            <w:tcW w:w="1191" w:type="dxa"/>
            <w:vMerge/>
            <w:tcBorders>
              <w:bottom w:val="single" w:sz="12" w:space="0" w:color="auto"/>
            </w:tcBorders>
          </w:tcPr>
          <w:p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7A3C9B" w:rsidRPr="007A3C9B" w:rsidTr="00FA7040">
        <w:trPr>
          <w:cantSplit/>
          <w:jc w:val="center"/>
        </w:trPr>
        <w:tc>
          <w:tcPr>
            <w:tcW w:w="1617" w:type="dxa"/>
            <w:gridSpan w:val="3"/>
          </w:tcPr>
          <w:p w:rsidR="007A3C9B" w:rsidRPr="007A3C9B"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7A3C9B">
              <w:rPr>
                <w:rFonts w:asciiTheme="majorBidi" w:eastAsia="SimSun" w:hAnsiTheme="majorBidi" w:cstheme="majorBidi"/>
                <w:b/>
                <w:bCs/>
                <w:sz w:val="24"/>
                <w:szCs w:val="24"/>
                <w:lang w:eastAsia="ja-JP"/>
              </w:rPr>
              <w:t>Question(s):</w:t>
            </w:r>
          </w:p>
        </w:tc>
        <w:tc>
          <w:tcPr>
            <w:tcW w:w="3624" w:type="dxa"/>
          </w:tcPr>
          <w:p w:rsidR="007A3C9B" w:rsidRPr="007A3C9B"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7A3C9B">
              <w:rPr>
                <w:rFonts w:asciiTheme="majorBidi" w:eastAsia="SimSun" w:hAnsiTheme="majorBidi" w:cstheme="majorBidi"/>
                <w:sz w:val="24"/>
                <w:szCs w:val="24"/>
                <w:lang w:eastAsia="ja-JP"/>
              </w:rPr>
              <w:t>N/A</w:t>
            </w:r>
          </w:p>
        </w:tc>
        <w:tc>
          <w:tcPr>
            <w:tcW w:w="4682" w:type="dxa"/>
            <w:gridSpan w:val="2"/>
          </w:tcPr>
          <w:p w:rsidR="007A3C9B" w:rsidRPr="007A3C9B" w:rsidRDefault="00BD2A3B" w:rsidP="00BD2A3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Pr>
                <w:rFonts w:asciiTheme="majorBidi" w:eastAsia="SimSun" w:hAnsiTheme="majorBidi" w:cstheme="majorBidi"/>
                <w:sz w:val="24"/>
                <w:szCs w:val="24"/>
                <w:lang w:eastAsia="ja-JP"/>
              </w:rPr>
              <w:t>Geneva, 23</w:t>
            </w:r>
            <w:r w:rsidR="007A3C9B" w:rsidRPr="007A3C9B">
              <w:rPr>
                <w:rFonts w:asciiTheme="majorBidi" w:eastAsia="SimSun" w:hAnsiTheme="majorBidi" w:cstheme="majorBidi"/>
                <w:sz w:val="24"/>
                <w:szCs w:val="24"/>
                <w:lang w:eastAsia="ja-JP"/>
              </w:rPr>
              <w:t>-</w:t>
            </w:r>
            <w:r>
              <w:rPr>
                <w:rFonts w:asciiTheme="majorBidi" w:eastAsia="SimSun" w:hAnsiTheme="majorBidi" w:cstheme="majorBidi"/>
                <w:sz w:val="24"/>
                <w:szCs w:val="24"/>
                <w:lang w:eastAsia="ja-JP"/>
              </w:rPr>
              <w:t>27 September</w:t>
            </w:r>
            <w:r w:rsidR="007A3C9B" w:rsidRPr="007A3C9B">
              <w:rPr>
                <w:rFonts w:asciiTheme="majorBidi" w:eastAsia="SimSun" w:hAnsiTheme="majorBidi" w:cstheme="majorBidi"/>
                <w:sz w:val="24"/>
                <w:szCs w:val="24"/>
                <w:lang w:eastAsia="ja-JP"/>
              </w:rPr>
              <w:t xml:space="preserve"> 201</w:t>
            </w:r>
            <w:r>
              <w:rPr>
                <w:rFonts w:asciiTheme="majorBidi" w:eastAsia="SimSun" w:hAnsiTheme="majorBidi" w:cstheme="majorBidi"/>
                <w:sz w:val="24"/>
                <w:szCs w:val="24"/>
                <w:lang w:eastAsia="ja-JP"/>
              </w:rPr>
              <w:t>9</w:t>
            </w:r>
          </w:p>
        </w:tc>
      </w:tr>
      <w:tr w:rsidR="007A3C9B" w:rsidRPr="007A3C9B" w:rsidTr="00FA7040">
        <w:trPr>
          <w:cantSplit/>
          <w:jc w:val="center"/>
        </w:trPr>
        <w:tc>
          <w:tcPr>
            <w:tcW w:w="9923" w:type="dxa"/>
            <w:gridSpan w:val="6"/>
          </w:tcPr>
          <w:p w:rsidR="007A3C9B" w:rsidRPr="007A3C9B"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7A3C9B">
              <w:rPr>
                <w:rFonts w:asciiTheme="majorBidi" w:eastAsia="SimSun" w:hAnsiTheme="majorBidi" w:cstheme="majorBidi"/>
                <w:b/>
                <w:bCs/>
                <w:sz w:val="24"/>
                <w:szCs w:val="24"/>
                <w:lang w:eastAsia="ja-JP"/>
              </w:rPr>
              <w:t>TD</w:t>
            </w:r>
          </w:p>
        </w:tc>
      </w:tr>
      <w:tr w:rsidR="007A3C9B" w:rsidRPr="007A3C9B" w:rsidTr="00FA7040">
        <w:trPr>
          <w:cantSplit/>
          <w:jc w:val="center"/>
        </w:trPr>
        <w:tc>
          <w:tcPr>
            <w:tcW w:w="1617" w:type="dxa"/>
            <w:gridSpan w:val="3"/>
          </w:tcPr>
          <w:p w:rsidR="007A3C9B" w:rsidRPr="007A3C9B"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7A3C9B">
              <w:rPr>
                <w:rFonts w:asciiTheme="majorBidi" w:eastAsia="SimSun" w:hAnsiTheme="majorBidi" w:cstheme="majorBidi"/>
                <w:b/>
                <w:bCs/>
                <w:sz w:val="24"/>
                <w:szCs w:val="24"/>
                <w:lang w:eastAsia="ja-JP"/>
              </w:rPr>
              <w:t>Source:</w:t>
            </w:r>
          </w:p>
        </w:tc>
        <w:tc>
          <w:tcPr>
            <w:tcW w:w="8306" w:type="dxa"/>
            <w:gridSpan w:val="3"/>
          </w:tcPr>
          <w:p w:rsidR="007A3C9B" w:rsidRPr="007A3C9B" w:rsidRDefault="007A3C9B" w:rsidP="007A3C9B">
            <w:pPr>
              <w:spacing w:before="120" w:after="0"/>
              <w:rPr>
                <w:rFonts w:ascii="Times New Roman" w:hAnsi="Times New Roman" w:cs="Times New Roman"/>
                <w:sz w:val="24"/>
                <w:szCs w:val="24"/>
              </w:rPr>
            </w:pPr>
            <w:r w:rsidRPr="007A3C9B">
              <w:rPr>
                <w:rFonts w:ascii="Times New Roman" w:hAnsi="Times New Roman" w:cs="Times New Roman"/>
                <w:sz w:val="24"/>
                <w:szCs w:val="24"/>
              </w:rPr>
              <w:t>TSB</w:t>
            </w:r>
          </w:p>
        </w:tc>
      </w:tr>
      <w:tr w:rsidR="007A3C9B" w:rsidRPr="007A3C9B" w:rsidTr="00FA7040">
        <w:trPr>
          <w:cantSplit/>
          <w:jc w:val="center"/>
        </w:trPr>
        <w:tc>
          <w:tcPr>
            <w:tcW w:w="1617" w:type="dxa"/>
            <w:gridSpan w:val="3"/>
          </w:tcPr>
          <w:p w:rsidR="007A3C9B" w:rsidRPr="007A3C9B"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7A3C9B">
              <w:rPr>
                <w:rFonts w:asciiTheme="majorBidi" w:eastAsia="SimSun" w:hAnsiTheme="majorBidi" w:cstheme="majorBidi"/>
                <w:b/>
                <w:bCs/>
                <w:sz w:val="24"/>
                <w:szCs w:val="24"/>
                <w:lang w:eastAsia="ja-JP"/>
              </w:rPr>
              <w:t>Title:</w:t>
            </w:r>
          </w:p>
        </w:tc>
        <w:tc>
          <w:tcPr>
            <w:tcW w:w="8306" w:type="dxa"/>
            <w:gridSpan w:val="3"/>
          </w:tcPr>
          <w:p w:rsidR="007A3C9B" w:rsidRPr="007A3C9B" w:rsidRDefault="00811D66" w:rsidP="007A3C9B">
            <w:pPr>
              <w:spacing w:before="120" w:after="0"/>
              <w:rPr>
                <w:rFonts w:ascii="Times New Roman" w:hAnsi="Times New Roman" w:cs="Times New Roman"/>
                <w:sz w:val="24"/>
                <w:szCs w:val="24"/>
              </w:rPr>
            </w:pPr>
            <w:r w:rsidRPr="00811D66">
              <w:rPr>
                <w:rFonts w:ascii="Times New Roman" w:hAnsi="Times New Roman" w:cs="Times New Roman"/>
                <w:sz w:val="24"/>
                <w:szCs w:val="24"/>
              </w:rPr>
              <w:t>Summary of contr</w:t>
            </w:r>
            <w:r w:rsidR="00AF7855">
              <w:rPr>
                <w:rFonts w:ascii="Times New Roman" w:hAnsi="Times New Roman" w:cs="Times New Roman"/>
                <w:sz w:val="24"/>
                <w:szCs w:val="24"/>
              </w:rPr>
              <w:t>ibutions considered during the four</w:t>
            </w:r>
            <w:r w:rsidRPr="00811D66">
              <w:rPr>
                <w:rFonts w:ascii="Times New Roman" w:hAnsi="Times New Roman" w:cs="Times New Roman"/>
                <w:sz w:val="24"/>
                <w:szCs w:val="24"/>
              </w:rPr>
              <w:t>th TSAG meeting</w:t>
            </w:r>
          </w:p>
        </w:tc>
      </w:tr>
      <w:tr w:rsidR="007A3C9B" w:rsidRPr="007A3C9B" w:rsidTr="00FA7040">
        <w:trPr>
          <w:cantSplit/>
          <w:jc w:val="center"/>
        </w:trPr>
        <w:tc>
          <w:tcPr>
            <w:tcW w:w="1617" w:type="dxa"/>
            <w:gridSpan w:val="3"/>
            <w:tcBorders>
              <w:bottom w:val="single" w:sz="8" w:space="0" w:color="auto"/>
            </w:tcBorders>
          </w:tcPr>
          <w:p w:rsidR="007A3C9B" w:rsidRPr="007A3C9B"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7A3C9B">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7A3C9B" w:rsidRPr="007A3C9B" w:rsidRDefault="007A3C9B" w:rsidP="007A3C9B">
            <w:pPr>
              <w:spacing w:before="120" w:after="0"/>
              <w:rPr>
                <w:rFonts w:ascii="Times New Roman" w:hAnsi="Times New Roman" w:cs="Times New Roman"/>
                <w:sz w:val="24"/>
                <w:szCs w:val="24"/>
              </w:rPr>
            </w:pPr>
            <w:r w:rsidRPr="007A3C9B">
              <w:rPr>
                <w:rFonts w:ascii="Times New Roman" w:hAnsi="Times New Roman" w:cs="Times New Roman"/>
                <w:sz w:val="24"/>
                <w:szCs w:val="24"/>
              </w:rPr>
              <w:t>Information</w:t>
            </w:r>
          </w:p>
        </w:tc>
      </w:tr>
      <w:tr w:rsidR="007A3C9B" w:rsidRPr="007A3C9B" w:rsidTr="00FA7040">
        <w:trPr>
          <w:cantSplit/>
          <w:jc w:val="center"/>
        </w:trPr>
        <w:tc>
          <w:tcPr>
            <w:tcW w:w="1608" w:type="dxa"/>
            <w:gridSpan w:val="2"/>
            <w:tcBorders>
              <w:top w:val="single" w:sz="8" w:space="0" w:color="auto"/>
              <w:bottom w:val="single" w:sz="8" w:space="0" w:color="auto"/>
            </w:tcBorders>
          </w:tcPr>
          <w:p w:rsidR="007A3C9B" w:rsidRPr="007A3C9B"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7A3C9B">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rsidR="007A3C9B" w:rsidRPr="007A3C9B" w:rsidRDefault="007A3C9B" w:rsidP="007A3C9B">
            <w:pPr>
              <w:spacing w:before="120" w:after="0"/>
              <w:rPr>
                <w:rFonts w:asciiTheme="majorBidi" w:hAnsiTheme="majorBidi" w:cstheme="majorBidi"/>
                <w:sz w:val="24"/>
                <w:szCs w:val="24"/>
                <w:lang w:val="es-ES_tradnl"/>
              </w:rPr>
            </w:pPr>
            <w:r w:rsidRPr="007A3C9B">
              <w:rPr>
                <w:rFonts w:asciiTheme="majorBidi" w:hAnsiTheme="majorBidi" w:cstheme="majorBidi"/>
                <w:sz w:val="24"/>
                <w:szCs w:val="24"/>
                <w:lang w:val="es-ES_tradnl" w:eastAsia="ja-JP"/>
              </w:rPr>
              <w:t>TSB</w:t>
            </w:r>
          </w:p>
        </w:tc>
        <w:tc>
          <w:tcPr>
            <w:tcW w:w="4537" w:type="dxa"/>
            <w:tcBorders>
              <w:top w:val="single" w:sz="8" w:space="0" w:color="auto"/>
              <w:bottom w:val="single" w:sz="8" w:space="0" w:color="auto"/>
            </w:tcBorders>
          </w:tcPr>
          <w:p w:rsidR="007A3C9B" w:rsidRPr="007A3C9B" w:rsidRDefault="007A3C9B" w:rsidP="006979FE">
            <w:pPr>
              <w:spacing w:before="120" w:after="0" w:line="240" w:lineRule="auto"/>
              <w:rPr>
                <w:rFonts w:asciiTheme="majorBidi" w:eastAsia="Batang" w:hAnsiTheme="majorBidi" w:cstheme="majorBidi"/>
                <w:sz w:val="24"/>
                <w:szCs w:val="24"/>
              </w:rPr>
            </w:pPr>
            <w:r w:rsidRPr="007A3C9B">
              <w:rPr>
                <w:rFonts w:asciiTheme="majorBidi" w:hAnsiTheme="majorBidi" w:cstheme="majorBidi"/>
                <w:sz w:val="24"/>
                <w:szCs w:val="24"/>
              </w:rPr>
              <w:t>Tel:</w:t>
            </w:r>
            <w:r w:rsidRPr="007A3C9B">
              <w:rPr>
                <w:rFonts w:asciiTheme="majorBidi" w:hAnsiTheme="majorBidi" w:cstheme="majorBidi"/>
                <w:sz w:val="24"/>
                <w:szCs w:val="24"/>
              </w:rPr>
              <w:tab/>
              <w:t>+41 22 730 5866</w:t>
            </w:r>
            <w:r w:rsidRPr="007A3C9B">
              <w:rPr>
                <w:rFonts w:asciiTheme="majorBidi" w:hAnsiTheme="majorBidi" w:cstheme="majorBidi"/>
                <w:sz w:val="24"/>
                <w:szCs w:val="24"/>
              </w:rPr>
              <w:br/>
              <w:t>Fax:</w:t>
            </w:r>
            <w:r w:rsidRPr="007A3C9B">
              <w:rPr>
                <w:rFonts w:asciiTheme="majorBidi" w:hAnsiTheme="majorBidi" w:cstheme="majorBidi"/>
                <w:sz w:val="24"/>
                <w:szCs w:val="24"/>
              </w:rPr>
              <w:tab/>
              <w:t>+41 22 730 5853</w:t>
            </w:r>
            <w:r w:rsidRPr="007A3C9B">
              <w:rPr>
                <w:rFonts w:asciiTheme="majorBidi" w:hAnsiTheme="majorBidi" w:cstheme="majorBidi"/>
                <w:sz w:val="24"/>
                <w:szCs w:val="24"/>
              </w:rPr>
              <w:br/>
              <w:t>E-mail:</w:t>
            </w:r>
            <w:r w:rsidR="00443641">
              <w:rPr>
                <w:rFonts w:asciiTheme="majorBidi" w:hAnsiTheme="majorBidi" w:cstheme="majorBidi"/>
                <w:sz w:val="24"/>
                <w:szCs w:val="24"/>
              </w:rPr>
              <w:t xml:space="preserve"> </w:t>
            </w:r>
            <w:hyperlink r:id="rId9" w:history="1">
              <w:r w:rsidRPr="007A3C9B">
                <w:rPr>
                  <w:rStyle w:val="Hyperlink"/>
                  <w:rFonts w:asciiTheme="majorBidi" w:hAnsiTheme="majorBidi" w:cstheme="majorBidi"/>
                  <w:sz w:val="24"/>
                  <w:szCs w:val="24"/>
                  <w:lang w:eastAsia="ja-JP"/>
                </w:rPr>
                <w:t>martin.euchner@itu.int</w:t>
              </w:r>
            </w:hyperlink>
          </w:p>
        </w:tc>
      </w:tr>
    </w:tbl>
    <w:p w:rsidR="007A3C9B" w:rsidRPr="007A3C9B" w:rsidRDefault="007A3C9B">
      <w:pPr>
        <w:rPr>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7A3C9B" w:rsidTr="007A3C9B">
        <w:trPr>
          <w:cantSplit/>
          <w:jc w:val="center"/>
        </w:trPr>
        <w:tc>
          <w:tcPr>
            <w:tcW w:w="1641" w:type="dxa"/>
          </w:tcPr>
          <w:p w:rsidR="00EC65BD" w:rsidRPr="007A3C9B" w:rsidRDefault="00EC65BD" w:rsidP="007A3C9B">
            <w:pPr>
              <w:spacing w:before="120" w:after="0" w:line="240" w:lineRule="auto"/>
              <w:rPr>
                <w:rFonts w:asciiTheme="majorBidi" w:hAnsiTheme="majorBidi" w:cstheme="majorBidi"/>
                <w:b/>
                <w:bCs/>
                <w:sz w:val="24"/>
                <w:szCs w:val="24"/>
              </w:rPr>
            </w:pPr>
            <w:r w:rsidRPr="007A3C9B">
              <w:rPr>
                <w:rFonts w:asciiTheme="majorBidi" w:hAnsiTheme="majorBidi" w:cstheme="majorBidi"/>
                <w:b/>
                <w:bCs/>
                <w:sz w:val="24"/>
                <w:szCs w:val="24"/>
              </w:rPr>
              <w:t>Keywords:</w:t>
            </w:r>
          </w:p>
        </w:tc>
        <w:tc>
          <w:tcPr>
            <w:tcW w:w="8282" w:type="dxa"/>
          </w:tcPr>
          <w:p w:rsidR="00EC65BD" w:rsidRPr="007A3C9B" w:rsidRDefault="006A501C" w:rsidP="00811D66">
            <w:pPr>
              <w:spacing w:before="120" w:after="0" w:line="240" w:lineRule="auto"/>
              <w:rPr>
                <w:rFonts w:asciiTheme="majorBidi" w:hAnsiTheme="majorBidi" w:cstheme="majorBidi"/>
                <w:sz w:val="24"/>
                <w:szCs w:val="24"/>
              </w:rPr>
            </w:pPr>
            <w:sdt>
              <w:sdtPr>
                <w:rPr>
                  <w:rFonts w:asciiTheme="majorBidi" w:hAnsiTheme="majorBidi" w:cstheme="majorBidi"/>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6979FE">
                  <w:rPr>
                    <w:rFonts w:asciiTheme="majorBidi" w:hAnsiTheme="majorBidi" w:cstheme="majorBidi"/>
                    <w:sz w:val="24"/>
                    <w:szCs w:val="24"/>
                  </w:rPr>
                  <w:t>Summary of contributions;</w:t>
                </w:r>
              </w:sdtContent>
            </w:sdt>
          </w:p>
        </w:tc>
      </w:tr>
      <w:tr w:rsidR="00EC65BD" w:rsidRPr="007A3C9B" w:rsidTr="007A3C9B">
        <w:trPr>
          <w:cantSplit/>
          <w:jc w:val="center"/>
        </w:trPr>
        <w:tc>
          <w:tcPr>
            <w:tcW w:w="1641" w:type="dxa"/>
          </w:tcPr>
          <w:p w:rsidR="00EC65BD" w:rsidRPr="007A3C9B" w:rsidRDefault="00EC65BD" w:rsidP="007A3C9B">
            <w:pPr>
              <w:spacing w:before="120" w:after="0" w:line="240" w:lineRule="auto"/>
              <w:rPr>
                <w:rFonts w:asciiTheme="majorBidi" w:hAnsiTheme="majorBidi" w:cstheme="majorBidi"/>
                <w:b/>
                <w:bCs/>
                <w:sz w:val="24"/>
                <w:szCs w:val="24"/>
              </w:rPr>
            </w:pPr>
            <w:r w:rsidRPr="007A3C9B">
              <w:rPr>
                <w:rFonts w:asciiTheme="majorBidi" w:hAnsiTheme="majorBidi" w:cstheme="majorBidi"/>
                <w:b/>
                <w:bCs/>
                <w:sz w:val="24"/>
                <w:szCs w:val="24"/>
              </w:rPr>
              <w:t>Abstract:</w:t>
            </w:r>
          </w:p>
        </w:tc>
        <w:sdt>
          <w:sdtPr>
            <w:rPr>
              <w:rFonts w:asciiTheme="majorBidi" w:eastAsia="Times New Roman" w:hAnsiTheme="majorBidi" w:cstheme="majorBidi"/>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rsidR="00EC65BD" w:rsidRPr="007A3C9B" w:rsidRDefault="00811D66" w:rsidP="00811D66">
                <w:pPr>
                  <w:spacing w:before="120" w:after="0" w:line="240" w:lineRule="auto"/>
                  <w:rPr>
                    <w:rFonts w:asciiTheme="majorBidi" w:hAnsiTheme="majorBidi" w:cstheme="majorBidi"/>
                    <w:sz w:val="24"/>
                    <w:szCs w:val="24"/>
                  </w:rPr>
                </w:pPr>
                <w:r w:rsidRPr="00811D66">
                  <w:rPr>
                    <w:rFonts w:asciiTheme="majorBidi" w:eastAsia="Times New Roman" w:hAnsiTheme="majorBidi" w:cstheme="majorBidi"/>
                    <w:sz w:val="24"/>
                    <w:szCs w:val="24"/>
                  </w:rPr>
                  <w:t xml:space="preserve">This TD </w:t>
                </w:r>
                <w:r>
                  <w:rPr>
                    <w:rFonts w:asciiTheme="majorBidi" w:eastAsia="Times New Roman" w:hAnsiTheme="majorBidi" w:cstheme="majorBidi"/>
                    <w:sz w:val="24"/>
                    <w:szCs w:val="24"/>
                  </w:rPr>
                  <w:t>provides the s</w:t>
                </w:r>
                <w:r w:rsidRPr="00811D66">
                  <w:rPr>
                    <w:rFonts w:asciiTheme="majorBidi" w:eastAsia="Times New Roman" w:hAnsiTheme="majorBidi" w:cstheme="majorBidi"/>
                    <w:sz w:val="24"/>
                    <w:szCs w:val="24"/>
                  </w:rPr>
                  <w:t>ummary of contrib</w:t>
                </w:r>
                <w:r w:rsidR="006979FE">
                  <w:rPr>
                    <w:rFonts w:asciiTheme="majorBidi" w:eastAsia="Times New Roman" w:hAnsiTheme="majorBidi" w:cstheme="majorBidi"/>
                    <w:sz w:val="24"/>
                    <w:szCs w:val="24"/>
                  </w:rPr>
                  <w:t>utions considered during the fourth</w:t>
                </w:r>
                <w:r w:rsidRPr="00811D66">
                  <w:rPr>
                    <w:rFonts w:asciiTheme="majorBidi" w:eastAsia="Times New Roman" w:hAnsiTheme="majorBidi" w:cstheme="majorBidi"/>
                    <w:sz w:val="24"/>
                    <w:szCs w:val="24"/>
                  </w:rPr>
                  <w:t xml:space="preserve"> TSAG meeting.</w:t>
                </w:r>
              </w:p>
            </w:tc>
          </w:sdtContent>
        </w:sdt>
      </w:tr>
    </w:tbl>
    <w:p w:rsidR="00FC28C7" w:rsidRDefault="00C00F38" w:rsidP="006979FE">
      <w:pPr>
        <w:spacing w:before="240" w:after="24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The t</w:t>
      </w:r>
      <w:r w:rsidR="00811D66">
        <w:rPr>
          <w:rFonts w:asciiTheme="majorBidi" w:eastAsia="Times New Roman" w:hAnsiTheme="majorBidi" w:cstheme="majorBidi"/>
          <w:sz w:val="24"/>
          <w:szCs w:val="24"/>
        </w:rPr>
        <w:t xml:space="preserve">able </w:t>
      </w:r>
      <w:r w:rsidR="00806E73" w:rsidRPr="007A3C9B">
        <w:rPr>
          <w:rFonts w:asciiTheme="majorBidi" w:eastAsia="Times New Roman" w:hAnsiTheme="majorBidi" w:cstheme="majorBidi"/>
          <w:sz w:val="24"/>
          <w:szCs w:val="24"/>
        </w:rPr>
        <w:t xml:space="preserve">below summarizes the </w:t>
      </w:r>
      <w:r w:rsidRPr="00C00F38">
        <w:rPr>
          <w:rFonts w:asciiTheme="majorBidi" w:eastAsia="Times New Roman" w:hAnsiTheme="majorBidi" w:cstheme="majorBidi"/>
          <w:sz w:val="24"/>
          <w:szCs w:val="24"/>
        </w:rPr>
        <w:t>contributions considered during the 4</w:t>
      </w:r>
      <w:r w:rsidRPr="006979FE">
        <w:rPr>
          <w:rFonts w:asciiTheme="majorBidi" w:eastAsia="Times New Roman" w:hAnsiTheme="majorBidi" w:cstheme="majorBidi"/>
          <w:sz w:val="24"/>
          <w:szCs w:val="24"/>
          <w:vertAlign w:val="superscript"/>
        </w:rPr>
        <w:t>th</w:t>
      </w:r>
      <w:r w:rsidR="006979FE">
        <w:rPr>
          <w:rFonts w:asciiTheme="majorBidi" w:eastAsia="Times New Roman" w:hAnsiTheme="majorBidi" w:cstheme="majorBidi"/>
          <w:sz w:val="24"/>
          <w:szCs w:val="24"/>
        </w:rPr>
        <w:t xml:space="preserve"> </w:t>
      </w:r>
      <w:r w:rsidRPr="00C00F38">
        <w:rPr>
          <w:rFonts w:asciiTheme="majorBidi" w:eastAsia="Times New Roman" w:hAnsiTheme="majorBidi" w:cstheme="majorBidi"/>
          <w:sz w:val="24"/>
          <w:szCs w:val="24"/>
        </w:rPr>
        <w:t>TSAG meeting</w:t>
      </w:r>
      <w:r w:rsidR="006C27BC" w:rsidRPr="007A3C9B">
        <w:rPr>
          <w:rFonts w:asciiTheme="majorBidi" w:eastAsia="Times New Roman" w:hAnsiTheme="majorBidi" w:cstheme="majorBidi"/>
          <w:sz w:val="24"/>
          <w:szCs w:val="24"/>
        </w:rPr>
        <w:t>.</w:t>
      </w:r>
    </w:p>
    <w:p w:rsidR="00811D66" w:rsidRPr="00811D66" w:rsidRDefault="00811D66" w:rsidP="006979FE">
      <w:pPr>
        <w:pStyle w:val="Heading1"/>
        <w:keepNext w:val="0"/>
        <w:keepLines w:val="0"/>
        <w:jc w:val="center"/>
        <w:rPr>
          <w:rFonts w:ascii="Times New Roman" w:hAnsi="Times New Roman" w:cs="Times New Roman"/>
          <w:bCs/>
        </w:rPr>
      </w:pPr>
      <w:bookmarkStart w:id="0" w:name="_Toc119897096"/>
      <w:bookmarkStart w:id="1" w:name="_Toc171418797"/>
      <w:bookmarkStart w:id="2" w:name="_Toc176158369"/>
      <w:bookmarkStart w:id="3" w:name="_Toc176159463"/>
      <w:bookmarkStart w:id="4" w:name="_Toc191696724"/>
      <w:bookmarkStart w:id="5" w:name="_Toc193689168"/>
      <w:bookmarkStart w:id="6" w:name="_Toc206239871"/>
      <w:bookmarkStart w:id="7" w:name="_Toc225226449"/>
      <w:bookmarkStart w:id="8" w:name="_Toc283919546"/>
      <w:r w:rsidRPr="00811D66">
        <w:rPr>
          <w:rFonts w:ascii="Times New Roman" w:hAnsi="Times New Roman" w:cs="Times New Roman"/>
        </w:rPr>
        <w:t>Summary of contributions considered during the 4</w:t>
      </w:r>
      <w:r w:rsidRPr="006979FE">
        <w:rPr>
          <w:rFonts w:ascii="Times New Roman" w:hAnsi="Times New Roman" w:cs="Times New Roman"/>
          <w:vertAlign w:val="superscript"/>
        </w:rPr>
        <w:t>th</w:t>
      </w:r>
      <w:r w:rsidR="006979FE">
        <w:rPr>
          <w:rFonts w:ascii="Times New Roman" w:hAnsi="Times New Roman" w:cs="Times New Roman"/>
        </w:rPr>
        <w:t xml:space="preserve"> </w:t>
      </w:r>
      <w:r w:rsidRPr="00811D66">
        <w:rPr>
          <w:rFonts w:ascii="Times New Roman" w:hAnsi="Times New Roman" w:cs="Times New Roman"/>
        </w:rPr>
        <w:t>TSAG meeting</w:t>
      </w:r>
    </w:p>
    <w:p w:rsidR="00811D66" w:rsidRDefault="00811D66" w:rsidP="00811D66">
      <w:pPr>
        <w:spacing w:after="120"/>
      </w:pPr>
    </w:p>
    <w:tbl>
      <w:tblPr>
        <w:tblStyle w:val="TableGrid"/>
        <w:tblW w:w="0" w:type="auto"/>
        <w:tblInd w:w="0" w:type="dxa"/>
        <w:tblLook w:val="04A0" w:firstRow="1" w:lastRow="0" w:firstColumn="1" w:lastColumn="0" w:noHBand="0" w:noVBand="1"/>
      </w:tblPr>
      <w:tblGrid>
        <w:gridCol w:w="1563"/>
        <w:gridCol w:w="2229"/>
        <w:gridCol w:w="1953"/>
        <w:gridCol w:w="3883"/>
      </w:tblGrid>
      <w:tr w:rsidR="00811D66" w:rsidTr="00811D66">
        <w:trPr>
          <w:tblHeader/>
        </w:trPr>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811D66">
            <w:pPr>
              <w:spacing w:after="120"/>
              <w:jc w:val="center"/>
              <w:textAlignment w:val="baseline"/>
              <w:rPr>
                <w:b/>
                <w:sz w:val="24"/>
                <w:szCs w:val="24"/>
              </w:rPr>
            </w:pPr>
            <w:r w:rsidRPr="00811D66">
              <w:rPr>
                <w:b/>
                <w:sz w:val="24"/>
                <w:szCs w:val="24"/>
              </w:rPr>
              <w:t>Contribution No.</w:t>
            </w:r>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pPr>
              <w:spacing w:after="120"/>
              <w:jc w:val="center"/>
              <w:textAlignment w:val="baseline"/>
              <w:rPr>
                <w:b/>
                <w:sz w:val="24"/>
                <w:szCs w:val="24"/>
              </w:rPr>
            </w:pPr>
            <w:r w:rsidRPr="00811D66">
              <w:rPr>
                <w:b/>
                <w:sz w:val="24"/>
                <w:szCs w:val="24"/>
              </w:rPr>
              <w:t>Source</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pPr>
              <w:spacing w:after="120"/>
              <w:jc w:val="center"/>
              <w:textAlignment w:val="baseline"/>
              <w:rPr>
                <w:b/>
                <w:sz w:val="24"/>
                <w:szCs w:val="24"/>
              </w:rPr>
            </w:pPr>
            <w:r w:rsidRPr="00811D66">
              <w:rPr>
                <w:b/>
                <w:sz w:val="24"/>
                <w:szCs w:val="24"/>
              </w:rPr>
              <w:t>Title</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pPr>
              <w:spacing w:after="120"/>
              <w:jc w:val="center"/>
              <w:textAlignment w:val="baseline"/>
              <w:rPr>
                <w:b/>
                <w:sz w:val="24"/>
                <w:szCs w:val="24"/>
              </w:rPr>
            </w:pPr>
            <w:r w:rsidRPr="00811D66">
              <w:rPr>
                <w:b/>
                <w:sz w:val="24"/>
                <w:szCs w:val="24"/>
              </w:rPr>
              <w:t>Abstract</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10" w:history="1">
              <w:r w:rsidR="00811D66" w:rsidRPr="00DB7243">
                <w:rPr>
                  <w:rStyle w:val="Hyperlink"/>
                  <w:sz w:val="24"/>
                  <w:szCs w:val="24"/>
                </w:rPr>
                <w:t>62</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Central African Republic</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Six official languages of the Union on an equal footing in the work of ITU-T</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Ensure the effective use of the six official languages of the Union on an equal footing in ITU-T work in order to effectively bridge the standardization gap between developing and developed countries.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11" w:history="1">
              <w:r w:rsidR="00811D66" w:rsidRPr="00DB7243">
                <w:rPr>
                  <w:rStyle w:val="Hyperlink"/>
                  <w:sz w:val="24"/>
                  <w:szCs w:val="24"/>
                </w:rPr>
                <w:t>63-R2</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236840">
            <w:pPr>
              <w:keepNext/>
              <w:keepLines/>
              <w:spacing w:after="120"/>
              <w:jc w:val="left"/>
              <w:textAlignment w:val="baseline"/>
              <w:rPr>
                <w:sz w:val="24"/>
                <w:szCs w:val="24"/>
              </w:rPr>
            </w:pPr>
            <w:r w:rsidRPr="00811D66">
              <w:rPr>
                <w:sz w:val="24"/>
                <w:szCs w:val="24"/>
              </w:rPr>
              <w:t xml:space="preserve">XPRIZE Foundation Inc. (United States), ADA Innovation Lab Limited (United Kingdom), Korea Advanced Institute of Science and Technology (KAIST) (Korea (Rep. of)), MILA - </w:t>
            </w:r>
            <w:proofErr w:type="spellStart"/>
            <w:r w:rsidRPr="00811D66">
              <w:rPr>
                <w:sz w:val="24"/>
                <w:szCs w:val="24"/>
              </w:rPr>
              <w:t>Institut</w:t>
            </w:r>
            <w:proofErr w:type="spellEnd"/>
            <w:r w:rsidRPr="00811D66">
              <w:rPr>
                <w:sz w:val="24"/>
                <w:szCs w:val="24"/>
              </w:rPr>
              <w:t xml:space="preserve"> </w:t>
            </w:r>
            <w:proofErr w:type="spellStart"/>
            <w:r w:rsidRPr="00811D66">
              <w:rPr>
                <w:sz w:val="24"/>
                <w:szCs w:val="24"/>
              </w:rPr>
              <w:t>québécois</w:t>
            </w:r>
            <w:proofErr w:type="spellEnd"/>
            <w:r w:rsidRPr="00811D66">
              <w:rPr>
                <w:sz w:val="24"/>
                <w:szCs w:val="24"/>
              </w:rPr>
              <w:t xml:space="preserve"> </w:t>
            </w:r>
            <w:proofErr w:type="spellStart"/>
            <w:r w:rsidRPr="00811D66">
              <w:rPr>
                <w:sz w:val="24"/>
                <w:szCs w:val="24"/>
              </w:rPr>
              <w:t>d'intelligence</w:t>
            </w:r>
            <w:proofErr w:type="spellEnd"/>
            <w:r w:rsidRPr="00811D66">
              <w:rPr>
                <w:sz w:val="24"/>
                <w:szCs w:val="24"/>
              </w:rPr>
              <w:t xml:space="preserve"> (Canada)</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Proposal to set up a new ITU-T Focus Group on AI and Data Commons</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proposes the creation of an ITU-T Focus Group on AI and Data Commons (FG-Commons), to gather momentum and perform the pre-standardization efforts and novelties collection that will form the basis for the future in</w:t>
            </w:r>
            <w:bookmarkStart w:id="9" w:name="_GoBack"/>
            <w:bookmarkEnd w:id="9"/>
            <w:r w:rsidRPr="00811D66">
              <w:rPr>
                <w:sz w:val="24"/>
                <w:szCs w:val="24"/>
              </w:rPr>
              <w:t>ternational standardization activities in this field.</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12" w:history="1">
              <w:r w:rsidR="00811D66" w:rsidRPr="00DB7243">
                <w:rPr>
                  <w:rStyle w:val="Hyperlink"/>
                  <w:sz w:val="24"/>
                  <w:szCs w:val="24"/>
                </w:rPr>
                <w:t>64</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Orange (France)</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Proposed changes to Rec. ITU-T A.1 under TAP consultation</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contains some changes that Orange would like to see applied to Rec. ITU-T A.1 during the resolution of TAP comments.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13" w:history="1">
              <w:r w:rsidR="00811D66" w:rsidRPr="00DB7243">
                <w:rPr>
                  <w:rStyle w:val="Hyperlink"/>
                  <w:sz w:val="24"/>
                  <w:szCs w:val="24"/>
                </w:rPr>
                <w:t>65</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Orange (France)</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Proposed changes to Rec. ITU-T A.13 under TAP consultation</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contains some changes that Orange would like to see applied to Rec. ITU-T A.13 during the resolution of TAP comments.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14" w:history="1">
              <w:r w:rsidR="00811D66" w:rsidRPr="00DB7243">
                <w:rPr>
                  <w:rStyle w:val="Hyperlink"/>
                  <w:sz w:val="24"/>
                  <w:szCs w:val="24"/>
                </w:rPr>
                <w:t>66</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United Kingdom</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 xml:space="preserve">National </w:t>
            </w:r>
            <w:proofErr w:type="spellStart"/>
            <w:r w:rsidRPr="00811D66">
              <w:rPr>
                <w:sz w:val="24"/>
                <w:szCs w:val="24"/>
              </w:rPr>
              <w:t>Multistakeholder</w:t>
            </w:r>
            <w:proofErr w:type="spellEnd"/>
            <w:r w:rsidRPr="00811D66">
              <w:rPr>
                <w:sz w:val="24"/>
                <w:szCs w:val="24"/>
              </w:rPr>
              <w:t xml:space="preserve"> Approaches at the ITU</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A number of ITU Member States are opening up their national delegations to include stakeholders from industry, academia and civil society. This paper considers the opportunities and benefits this approach can bring and it describes the experience of the UK. We hope that other countries will also share their experience of opening up their national delegations to stakeholders and that the discussion will provide an opportunity for all Member States to learn from one another as they consider their own preparatory processes.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15" w:history="1">
              <w:r w:rsidR="00811D66" w:rsidRPr="00DB7243">
                <w:rPr>
                  <w:rStyle w:val="Hyperlink"/>
                  <w:sz w:val="24"/>
                  <w:szCs w:val="24"/>
                </w:rPr>
                <w:t>67-R1</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Orange (France)</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Proposed changes to the Manual for rapporteurs and editors</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contains some editorial changes to the Manual for rapporteurs and editors.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16" w:history="1">
              <w:r w:rsidR="00811D66" w:rsidRPr="00DB7243">
                <w:rPr>
                  <w:rStyle w:val="Hyperlink"/>
                  <w:sz w:val="24"/>
                  <w:szCs w:val="24"/>
                </w:rPr>
                <w:t>68</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United States</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236840">
            <w:pPr>
              <w:keepNext/>
              <w:keepLines/>
              <w:spacing w:after="120"/>
              <w:jc w:val="left"/>
              <w:textAlignment w:val="baseline"/>
              <w:rPr>
                <w:sz w:val="24"/>
                <w:szCs w:val="24"/>
              </w:rPr>
            </w:pPr>
            <w:r w:rsidRPr="00811D66">
              <w:rPr>
                <w:sz w:val="24"/>
                <w:szCs w:val="24"/>
              </w:rPr>
              <w:t>United States of America response to TSB Circular 138: Consultation on Determined draft revised ITU-T A.1, ITU-T A.5, ITU-T A.13, and ITU-T A.25</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The United States assigns authority to TSAG to consider the text in A.1, A.5, and A.13 for approval.  The United States also assigns authority to TSAG to consider the text in A.25 for approval with the changes proposed in clauses 6.1.2.4 and 6.1.6.</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17" w:history="1">
              <w:r w:rsidR="00811D66" w:rsidRPr="00DB7243">
                <w:rPr>
                  <w:rStyle w:val="Hyperlink"/>
                  <w:sz w:val="24"/>
                  <w:szCs w:val="24"/>
                </w:rPr>
                <w:t>69</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Korea (Republic of)</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Considerations on joint rapporteur group in ITU-T Recommendation A.1</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Korea (Republic of) suggests TSAG to consider revising the relevant clause regarding the joint rapporteur group in Recommendation ITU-T A.1.</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18" w:history="1">
              <w:r w:rsidR="00811D66" w:rsidRPr="00DB7243">
                <w:rPr>
                  <w:rStyle w:val="Hyperlink"/>
                  <w:sz w:val="24"/>
                  <w:szCs w:val="24"/>
                </w:rPr>
                <w:t>70</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Korea (Republic of)</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Considerations on submission of inputs as TDs</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Korea (Republic of) suggests some considerations when chairmen and vice-chairmen of study groups and working parties submit inputs as TDs.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19" w:history="1">
              <w:r w:rsidR="00811D66" w:rsidRPr="00DB7243">
                <w:rPr>
                  <w:rStyle w:val="Hyperlink"/>
                  <w:sz w:val="24"/>
                  <w:szCs w:val="24"/>
                </w:rPr>
                <w:t>71</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China Telecommunications Corporation, Ministry of Industry and Information Technology (MIIT) (China)</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Proposal to add an e-meeting procedure and revise the correspondence work description in ITU-T Rapporteurs and Editors Manual, clause 7.1 and 8</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proposes to add an e-meeting procedure in clause 8 to guide the organization and chairmanship of an e-meeting, and to revise the correspondence work description in clause 7.1 to make clear the Rapporteur group meeting forms based on the Draft Revised ITU-T Rapporteurs and Editors Manual, as reflected in TD 491-att1 (also as RGWM-DOC2) produced at the TSAG RG-WM e-meeting on 20 June 2019. Inspired by the discussion regarding the ITU-T Rapporteurs and Editors Manual during the e-meeting of the TSAG RG-WM on 20 June 2019, the absence of an e-meeting procedure has been identified, and its clarification had been expected during the September TSAG meeting.</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20" w:history="1">
              <w:r w:rsidR="00811D66" w:rsidRPr="00DB7243">
                <w:rPr>
                  <w:rStyle w:val="Hyperlink"/>
                  <w:sz w:val="24"/>
                  <w:szCs w:val="24"/>
                </w:rPr>
                <w:t>72</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China Telecommunications Corporation, Ministry of Industry and Information Technology (MIIT) (China)</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236840">
            <w:pPr>
              <w:keepNext/>
              <w:keepLines/>
              <w:spacing w:after="120"/>
              <w:jc w:val="left"/>
              <w:textAlignment w:val="baseline"/>
              <w:rPr>
                <w:sz w:val="24"/>
                <w:szCs w:val="24"/>
              </w:rPr>
            </w:pPr>
            <w:r w:rsidRPr="00811D66">
              <w:rPr>
                <w:sz w:val="24"/>
                <w:szCs w:val="24"/>
              </w:rPr>
              <w:t>Proposal to refine the AAP summary description in ITU-T A.8, clause 3.3</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proposes to refine ITU-T A.8 in clause 3.3 to clarify the role of an AAP summary. The roles of AAP summary and Summary are considered the same or just slightly different in most Recommendations under AAP, and no clear guidance is given on the individual roles of an AAP summary and a summary in ITU-T A-series Recommendations.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21" w:history="1">
              <w:r w:rsidR="00811D66" w:rsidRPr="00DB7243">
                <w:rPr>
                  <w:rStyle w:val="Hyperlink"/>
                  <w:sz w:val="24"/>
                  <w:szCs w:val="24"/>
                </w:rPr>
                <w:t>73</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Germany</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Proposed revision of WTSA Res. 73: Information and communication technologies, environment and climate change</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proposes</w:t>
            </w:r>
          </w:p>
          <w:p w:rsidR="00811D66" w:rsidRPr="00811D66" w:rsidRDefault="00811D66" w:rsidP="00811D66">
            <w:pPr>
              <w:spacing w:after="120"/>
              <w:jc w:val="left"/>
              <w:textAlignment w:val="baseline"/>
              <w:rPr>
                <w:sz w:val="24"/>
                <w:szCs w:val="24"/>
              </w:rPr>
            </w:pPr>
            <w:r w:rsidRPr="00811D66">
              <w:rPr>
                <w:sz w:val="24"/>
                <w:szCs w:val="24"/>
              </w:rPr>
              <w:t>- to shorten the “preamble” part of WTSA Resolution 73 and</w:t>
            </w:r>
          </w:p>
          <w:p w:rsidR="00811D66" w:rsidRPr="00811D66" w:rsidRDefault="00811D66" w:rsidP="00811D66">
            <w:pPr>
              <w:spacing w:after="120"/>
              <w:jc w:val="left"/>
              <w:textAlignment w:val="baseline"/>
              <w:rPr>
                <w:sz w:val="24"/>
                <w:szCs w:val="24"/>
              </w:rPr>
            </w:pPr>
            <w:r w:rsidRPr="00811D66">
              <w:rPr>
                <w:sz w:val="24"/>
                <w:szCs w:val="24"/>
              </w:rPr>
              <w:t>- broaden its scope to cover also circular economy aspects.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22" w:history="1">
              <w:r w:rsidR="00811D66" w:rsidRPr="00DB7243">
                <w:rPr>
                  <w:rStyle w:val="Hyperlink"/>
                  <w:sz w:val="24"/>
                  <w:szCs w:val="24"/>
                </w:rPr>
                <w:t>74</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Germany</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Proposed  Revision of WTSA Res. 22 and Suppression of WTSA Res. 45</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Resolution 22 and 45 currently both address the authorization and role of TSAG in coordination of standardization work between WTSAs.</w:t>
            </w:r>
          </w:p>
          <w:p w:rsidR="00811D66" w:rsidRPr="00811D66" w:rsidRDefault="00811D66" w:rsidP="00811D66">
            <w:pPr>
              <w:spacing w:after="120"/>
              <w:jc w:val="left"/>
              <w:textAlignment w:val="baseline"/>
              <w:rPr>
                <w:sz w:val="24"/>
                <w:szCs w:val="24"/>
              </w:rPr>
            </w:pPr>
            <w:r w:rsidRPr="00811D66">
              <w:rPr>
                <w:sz w:val="24"/>
                <w:szCs w:val="24"/>
              </w:rPr>
              <w:t>In order to have the relevant provisions in one single resolution, it is suggested to incorporate elements of Resolution 45 into Resolution 22. Resolution 45 can be suppressed.</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23" w:history="1">
              <w:r w:rsidR="00811D66" w:rsidRPr="00DB7243">
                <w:rPr>
                  <w:rStyle w:val="Hyperlink"/>
                  <w:sz w:val="24"/>
                  <w:szCs w:val="24"/>
                </w:rPr>
                <w:t>75</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proofErr w:type="spellStart"/>
            <w:r w:rsidRPr="00811D66">
              <w:rPr>
                <w:sz w:val="24"/>
                <w:szCs w:val="24"/>
              </w:rPr>
              <w:t>Tarbiat</w:t>
            </w:r>
            <w:proofErr w:type="spellEnd"/>
            <w:r w:rsidRPr="00811D66">
              <w:rPr>
                <w:sz w:val="24"/>
                <w:szCs w:val="24"/>
              </w:rPr>
              <w:t xml:space="preserve"> </w:t>
            </w:r>
            <w:proofErr w:type="spellStart"/>
            <w:r w:rsidRPr="00811D66">
              <w:rPr>
                <w:sz w:val="24"/>
                <w:szCs w:val="24"/>
              </w:rPr>
              <w:t>Modares</w:t>
            </w:r>
            <w:proofErr w:type="spellEnd"/>
            <w:r w:rsidRPr="00811D66">
              <w:rPr>
                <w:sz w:val="24"/>
                <w:szCs w:val="24"/>
              </w:rPr>
              <w:t xml:space="preserve"> University (Iran (Islamic Republic of))</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Proposal to set up a new ITU-T Focus Group on AI and Data Commons</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supports the proposal in Document TSAG-C63.</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24" w:history="1">
              <w:r w:rsidR="00811D66" w:rsidRPr="00DB7243">
                <w:rPr>
                  <w:rStyle w:val="Hyperlink"/>
                  <w:sz w:val="24"/>
                  <w:szCs w:val="24"/>
                </w:rPr>
                <w:t>76</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University of Nigeria</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Implementation of WTSA-16 Resolution 44 and RESOLUTION 123 (Rev. DUBAI, 2018)</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236840">
            <w:pPr>
              <w:keepNext/>
              <w:keepLines/>
              <w:spacing w:after="120"/>
              <w:jc w:val="left"/>
              <w:textAlignment w:val="baseline"/>
              <w:rPr>
                <w:sz w:val="24"/>
                <w:szCs w:val="24"/>
              </w:rPr>
            </w:pPr>
            <w:r w:rsidRPr="00811D66">
              <w:rPr>
                <w:sz w:val="24"/>
                <w:szCs w:val="24"/>
              </w:rPr>
              <w:t xml:space="preserve">The spirit of Resolution 44 (Rev. </w:t>
            </w:r>
            <w:proofErr w:type="spellStart"/>
            <w:r w:rsidRPr="00811D66">
              <w:rPr>
                <w:sz w:val="24"/>
                <w:szCs w:val="24"/>
              </w:rPr>
              <w:t>Hammamet</w:t>
            </w:r>
            <w:proofErr w:type="spellEnd"/>
            <w:r w:rsidRPr="00811D66">
              <w:rPr>
                <w:sz w:val="24"/>
                <w:szCs w:val="24"/>
              </w:rPr>
              <w:t xml:space="preserve">, 2016) and RESOLUTION 123 (Rev. DUBAI, are to help mostly developing countries who may not have sufficient capacity to implement ITU-T recommendation. However it should be understood that some developed countries may also be finding it difficult to understand Resolution 44 (Rev. </w:t>
            </w:r>
            <w:proofErr w:type="spellStart"/>
            <w:r w:rsidRPr="00811D66">
              <w:rPr>
                <w:sz w:val="24"/>
                <w:szCs w:val="24"/>
              </w:rPr>
              <w:t>Hammamet</w:t>
            </w:r>
            <w:proofErr w:type="spellEnd"/>
            <w:r w:rsidRPr="00811D66">
              <w:rPr>
                <w:sz w:val="24"/>
                <w:szCs w:val="24"/>
              </w:rPr>
              <w:t>, 2016) because it is not well understood as not all ITU-T recommendations are well crafted. It is therefore believed that the lack of capacity to understand these recommendations contributes to low implementations of the recommendations.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25" w:history="1">
              <w:r w:rsidR="00811D66" w:rsidRPr="00DB7243">
                <w:rPr>
                  <w:rStyle w:val="Hyperlink"/>
                  <w:sz w:val="24"/>
                  <w:szCs w:val="24"/>
                </w:rPr>
                <w:t>77</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United Kingdom</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Clarification of process material</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Although there are rules that govern reconsideration of approval process, there are no procedures set out for the follow-on processes. Having these procedures set out would assist in ensuring appropriate process is followed across the ITU-T and provide clarity for members. This contribution proposes that TSAG review this issue.</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26" w:history="1">
              <w:r w:rsidR="00811D66" w:rsidRPr="00DB7243">
                <w:rPr>
                  <w:rStyle w:val="Hyperlink"/>
                  <w:sz w:val="24"/>
                  <w:szCs w:val="24"/>
                </w:rPr>
                <w:t>78</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United Kingdom</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Proposing clarification of rules governing study groups</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The rules governing the management and operation of the ITU-T study groups are dispersed across various document. This is a situation that is not conducive to good working. This submission identifies the various documents, the issues that accrue and proposes a way forward.</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27" w:history="1">
              <w:r w:rsidR="00811D66" w:rsidRPr="00DB7243">
                <w:rPr>
                  <w:rStyle w:val="Hyperlink"/>
                  <w:sz w:val="24"/>
                  <w:szCs w:val="24"/>
                </w:rPr>
                <w:t>79</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GSMA (United Kingdom)</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236840">
            <w:pPr>
              <w:keepNext/>
              <w:keepLines/>
              <w:spacing w:after="120"/>
              <w:jc w:val="left"/>
              <w:textAlignment w:val="baseline"/>
              <w:rPr>
                <w:sz w:val="24"/>
                <w:szCs w:val="24"/>
              </w:rPr>
            </w:pPr>
            <w:r w:rsidRPr="00811D66">
              <w:rPr>
                <w:sz w:val="24"/>
                <w:szCs w:val="24"/>
              </w:rPr>
              <w:t>Suggestions for the work of TSAG RG-CPTRG: participation of Sector Members in regional  study group meetings Sept 2019</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The GSMA offers some views to advance discussion in the TSAG Rapporteur Group on Creation, Participation &amp; Termination of Regional Groups (RG-CPTRG).</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28" w:history="1">
              <w:r w:rsidR="00811D66" w:rsidRPr="00DB7243">
                <w:rPr>
                  <w:rStyle w:val="Hyperlink"/>
                  <w:sz w:val="24"/>
                  <w:szCs w:val="24"/>
                </w:rPr>
                <w:t>80</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United States</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Observations and suggestions for the work of TSAG RG-CPTRG</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The United States offers some observations to advance discussion in the TSAG Rapporteur Group on Creation, Participation &amp; Termination of Regional Groups (RG-CPTRG), based on review of the incoming response liaisons to TSAG-LS18.</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29" w:history="1">
              <w:r w:rsidR="00811D66" w:rsidRPr="00DB7243">
                <w:rPr>
                  <w:rStyle w:val="Hyperlink"/>
                  <w:sz w:val="24"/>
                  <w:szCs w:val="24"/>
                </w:rPr>
                <w:t>81</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Ministry of Industry and Information Technology (MIIT) (China)</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Proposal to revise participation instruction in ITU T A.7</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Based on the discussion of practical problems encountered during the organization of the focus group meetings and workshops, the modification of participation instruction in ITU T A.7 is proposed.</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30" w:history="1">
              <w:r w:rsidR="00811D66" w:rsidRPr="00DB7243">
                <w:rPr>
                  <w:rStyle w:val="Hyperlink"/>
                  <w:sz w:val="24"/>
                  <w:szCs w:val="24"/>
                </w:rPr>
                <w:t>82</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Ministry of Industry and Information Technology (MIIT) (China)</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Survey on Chinese Members in ITU-T Activities and Suggestions for the New Study Period</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summarized the survey on participation of Chinese members in ITU-T activities and their suggestions on ITU-T structure optimization, working methods, working mechanisms, and the latest new technical trends in the new study period.</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31" w:history="1">
              <w:r w:rsidR="00811D66" w:rsidRPr="00DB7243">
                <w:rPr>
                  <w:rStyle w:val="Hyperlink"/>
                  <w:sz w:val="24"/>
                  <w:szCs w:val="24"/>
                </w:rPr>
                <w:t>83</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China Mobile Communications Corporation, China Unicom, Huawei Technologies Co., Ltd. (China), Ministry of Industry and Information Technology (MIIT) (China)</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“New IP, Shaping Future Network”: Propose to initiate the discussion of strategy transformation for ITU-T</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proposes a number of important strategic opportunities for ITU-T in the next study period and gives a suggestion to make a strategic transformation responding to the challenges faced. An ad-hoc meeting is suggested so that a tutorial can be given.</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32" w:history="1">
              <w:r w:rsidR="00811D66" w:rsidRPr="00DB7243">
                <w:rPr>
                  <w:rStyle w:val="Hyperlink"/>
                  <w:sz w:val="24"/>
                  <w:szCs w:val="24"/>
                </w:rPr>
                <w:t>84</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BlackBerry Limited (Canada), Ericsson Canada, Inc.</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ITU-T Industry participation metrics: Overall approach</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proposes an initial set of metrics for RG-</w:t>
            </w:r>
            <w:proofErr w:type="spellStart"/>
            <w:r w:rsidRPr="00811D66">
              <w:rPr>
                <w:sz w:val="24"/>
                <w:szCs w:val="24"/>
              </w:rPr>
              <w:t>StdsStrat</w:t>
            </w:r>
            <w:proofErr w:type="spellEnd"/>
            <w:r w:rsidRPr="00811D66">
              <w:rPr>
                <w:sz w:val="24"/>
                <w:szCs w:val="24"/>
              </w:rPr>
              <w:t xml:space="preserve"> to use to determine industry impact for the development of a strategy on the review of the structure and functioning of ITU-T. Companion contributions on ITU-T industry participation statistics: methodology and analysis (TSAG C0085) and ITU-T industry participation: detailed metrics (TSAGC0086) are submitted to complement the approach proposed in this contribution. A better understanding of the nature of participation in the study groups will be of benefit to the entire ITU-T membership in focusing resources into high priority activities for the next study period.</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33" w:history="1">
              <w:r w:rsidR="00811D66" w:rsidRPr="00DB7243">
                <w:rPr>
                  <w:rStyle w:val="Hyperlink"/>
                  <w:sz w:val="24"/>
                  <w:szCs w:val="24"/>
                </w:rPr>
                <w:t>85</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BlackBerry Limited (Canada), Ericsson Canada, Inc.</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ITU-T Industry participation statistics: Methodology and analysis</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In this companion contribution to the “ITU-T Industry participation metrics: Overall Approach” (TSAG C0084), a proposed data collection methodology is outlined in which participation in study group meetings during the 2017-2020 study period is measured and assessed.</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34" w:history="1">
              <w:r w:rsidR="00811D66" w:rsidRPr="00DB7243">
                <w:rPr>
                  <w:rStyle w:val="Hyperlink"/>
                  <w:sz w:val="24"/>
                  <w:szCs w:val="24"/>
                </w:rPr>
                <w:t>86</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BlackBerry Limited (Canada), Ericsson Canada, Inc.</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ITU-T Industry participation: Detailed metrics</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provides industry participation data which can be used as a benchmark for understanding the priorities of both industry and government in a future ITU-T structure. This is a companion document to the “ITU-T Industry participation metrics: Overall approach” (TSAG C0084), and the “ITU-T industry participation statistics: Methodology and analysis” (TSAG C0085).</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35" w:history="1">
              <w:r w:rsidR="00811D66" w:rsidRPr="00DB7243">
                <w:rPr>
                  <w:rStyle w:val="Hyperlink"/>
                  <w:sz w:val="24"/>
                  <w:szCs w:val="24"/>
                </w:rPr>
                <w:t>87</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AF7855" w:rsidRDefault="00811D66" w:rsidP="00811D66">
            <w:pPr>
              <w:spacing w:after="120"/>
              <w:jc w:val="left"/>
              <w:textAlignment w:val="baseline"/>
              <w:rPr>
                <w:sz w:val="24"/>
                <w:szCs w:val="24"/>
                <w:lang w:val="es-ES"/>
              </w:rPr>
            </w:pPr>
            <w:r w:rsidRPr="00AF7855">
              <w:rPr>
                <w:sz w:val="24"/>
                <w:szCs w:val="24"/>
                <w:lang w:val="es-ES"/>
              </w:rPr>
              <w:t xml:space="preserve">BlackBerry </w:t>
            </w:r>
            <w:proofErr w:type="spellStart"/>
            <w:r w:rsidRPr="00AF7855">
              <w:rPr>
                <w:sz w:val="24"/>
                <w:szCs w:val="24"/>
                <w:lang w:val="es-ES"/>
              </w:rPr>
              <w:t>Limited</w:t>
            </w:r>
            <w:proofErr w:type="spellEnd"/>
            <w:r w:rsidRPr="00AF7855">
              <w:rPr>
                <w:sz w:val="24"/>
                <w:szCs w:val="24"/>
                <w:lang w:val="es-ES"/>
              </w:rPr>
              <w:t xml:space="preserve"> (</w:t>
            </w:r>
            <w:proofErr w:type="spellStart"/>
            <w:r w:rsidRPr="00AF7855">
              <w:rPr>
                <w:sz w:val="24"/>
                <w:szCs w:val="24"/>
                <w:lang w:val="es-ES"/>
              </w:rPr>
              <w:t>Canada</w:t>
            </w:r>
            <w:proofErr w:type="spellEnd"/>
            <w:r w:rsidRPr="00AF7855">
              <w:rPr>
                <w:sz w:val="24"/>
                <w:szCs w:val="24"/>
                <w:lang w:val="es-ES"/>
              </w:rPr>
              <w:t xml:space="preserve">), </w:t>
            </w:r>
            <w:proofErr w:type="spellStart"/>
            <w:r w:rsidRPr="00AF7855">
              <w:rPr>
                <w:sz w:val="24"/>
                <w:szCs w:val="24"/>
                <w:lang w:val="es-ES"/>
              </w:rPr>
              <w:t>Ciena</w:t>
            </w:r>
            <w:proofErr w:type="spellEnd"/>
            <w:r w:rsidRPr="00AF7855">
              <w:rPr>
                <w:sz w:val="24"/>
                <w:szCs w:val="24"/>
                <w:lang w:val="es-ES"/>
              </w:rPr>
              <w:t xml:space="preserve"> </w:t>
            </w:r>
            <w:proofErr w:type="spellStart"/>
            <w:r w:rsidRPr="00AF7855">
              <w:rPr>
                <w:sz w:val="24"/>
                <w:szCs w:val="24"/>
                <w:lang w:val="es-ES"/>
              </w:rPr>
              <w:t>Canada</w:t>
            </w:r>
            <w:proofErr w:type="spellEnd"/>
            <w:r w:rsidRPr="00AF7855">
              <w:rPr>
                <w:sz w:val="24"/>
                <w:szCs w:val="24"/>
                <w:lang w:val="es-ES"/>
              </w:rPr>
              <w:t xml:space="preserve">, Ericsson </w:t>
            </w:r>
            <w:proofErr w:type="spellStart"/>
            <w:r w:rsidRPr="00AF7855">
              <w:rPr>
                <w:sz w:val="24"/>
                <w:szCs w:val="24"/>
                <w:lang w:val="es-ES"/>
              </w:rPr>
              <w:t>Canada</w:t>
            </w:r>
            <w:proofErr w:type="spellEnd"/>
            <w:r w:rsidRPr="00AF7855">
              <w:rPr>
                <w:sz w:val="24"/>
                <w:szCs w:val="24"/>
                <w:lang w:val="es-ES"/>
              </w:rPr>
              <w:t>, Inc.</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236840">
            <w:pPr>
              <w:keepNext/>
              <w:keepLines/>
              <w:spacing w:after="120"/>
              <w:jc w:val="left"/>
              <w:textAlignment w:val="baseline"/>
              <w:rPr>
                <w:sz w:val="24"/>
                <w:szCs w:val="24"/>
              </w:rPr>
            </w:pPr>
            <w:r w:rsidRPr="00811D66">
              <w:rPr>
                <w:sz w:val="24"/>
                <w:szCs w:val="24"/>
              </w:rPr>
              <w:t>ITU-T Industry participation metrics: Assessment and way forward</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236840">
            <w:pPr>
              <w:pageBreakBefore/>
              <w:spacing w:after="120"/>
              <w:jc w:val="left"/>
              <w:textAlignment w:val="baseline"/>
              <w:rPr>
                <w:sz w:val="24"/>
                <w:szCs w:val="24"/>
              </w:rPr>
            </w:pPr>
            <w:r w:rsidRPr="00811D66">
              <w:rPr>
                <w:sz w:val="24"/>
                <w:szCs w:val="24"/>
              </w:rPr>
              <w:t>This contribution proposes some findings based on the initial implementation of the participation metrics.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36" w:history="1">
              <w:r w:rsidR="00811D66" w:rsidRPr="00DB7243">
                <w:rPr>
                  <w:rStyle w:val="Hyperlink"/>
                  <w:sz w:val="24"/>
                  <w:szCs w:val="24"/>
                </w:rPr>
                <w:t>88</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Japan</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236840">
            <w:pPr>
              <w:keepNext/>
              <w:keepLines/>
              <w:spacing w:after="120"/>
              <w:jc w:val="left"/>
              <w:textAlignment w:val="baseline"/>
              <w:rPr>
                <w:sz w:val="24"/>
                <w:szCs w:val="24"/>
              </w:rPr>
            </w:pPr>
            <w:r w:rsidRPr="00811D66">
              <w:rPr>
                <w:sz w:val="24"/>
                <w:szCs w:val="24"/>
              </w:rPr>
              <w:t>Indicators for evaluating standardization activities in ITU-T</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236840">
            <w:pPr>
              <w:pageBreakBefore/>
              <w:spacing w:after="120"/>
              <w:jc w:val="left"/>
              <w:textAlignment w:val="baseline"/>
              <w:rPr>
                <w:sz w:val="24"/>
                <w:szCs w:val="24"/>
              </w:rPr>
            </w:pPr>
            <w:r w:rsidRPr="00811D66">
              <w:rPr>
                <w:sz w:val="24"/>
                <w:szCs w:val="24"/>
              </w:rPr>
              <w:t>This contribution proposes to add the statistics of the activities of the respective Questions in Study Groups to support discussions of strategic studies on the Question structure for the next study period to be defined in the WTSA-20, and appreciation is given for the TSB’s efforts to provide statistics data regarding ITU-T Study Group works at TSAG meetings such as TD294 and TD470.</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37" w:history="1">
              <w:r w:rsidR="00811D66" w:rsidRPr="00DB7243">
                <w:rPr>
                  <w:rStyle w:val="Hyperlink"/>
                  <w:sz w:val="24"/>
                  <w:szCs w:val="24"/>
                </w:rPr>
                <w:t>89</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Japan</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Discussion of classification of new work item proposal by declaration of commitment  to the SDG Targets</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proposes a mapping matrix of correspondence between SDGs and the Questions studied in Study Groups incorporating the expected impact to SDG Targets, to clarify how each Study Group can contribute to which SDGs as a standardization strategy in examining future new work items.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38" w:history="1">
              <w:r w:rsidR="00811D66" w:rsidRPr="00DB7243">
                <w:rPr>
                  <w:rStyle w:val="Hyperlink"/>
                  <w:sz w:val="24"/>
                  <w:szCs w:val="24"/>
                </w:rPr>
                <w:t>90</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Brazil</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Legal clarifications concerning the role of TSAG in the creation of regional groups of ITU-T Study Groups, and the rights of participation of sector members, associates and academia</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aims to advance the discussions on the procedures for creation of regional groups of ITU-T Study Groups and on the rights of participation of ITU-T Sector Members in the activities of the Sector.</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39" w:history="1">
              <w:r w:rsidR="00811D66" w:rsidRPr="00DB7243">
                <w:rPr>
                  <w:rStyle w:val="Hyperlink"/>
                  <w:sz w:val="24"/>
                  <w:szCs w:val="24"/>
                </w:rPr>
                <w:t>91</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Canada</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A-Series TAP comment reactions</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proposes some views on the comments of the Kingdom of Saudi Arabia.</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40" w:history="1">
              <w:r w:rsidR="00811D66" w:rsidRPr="00DB7243">
                <w:rPr>
                  <w:rStyle w:val="Hyperlink"/>
                  <w:sz w:val="24"/>
                  <w:szCs w:val="24"/>
                </w:rPr>
                <w:t>92</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Russian Federation</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Proposal on modification WTSA Resolution 18</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236840">
            <w:pPr>
              <w:keepNext/>
              <w:keepLines/>
              <w:spacing w:after="120"/>
              <w:jc w:val="left"/>
              <w:textAlignment w:val="baseline"/>
              <w:rPr>
                <w:sz w:val="24"/>
                <w:szCs w:val="24"/>
              </w:rPr>
            </w:pPr>
            <w:r w:rsidRPr="00811D66">
              <w:rPr>
                <w:sz w:val="24"/>
                <w:szCs w:val="24"/>
              </w:rPr>
              <w:t xml:space="preserve">This contribution proposes to modify WTSA Resolution 18 (Rev. </w:t>
            </w:r>
            <w:proofErr w:type="spellStart"/>
            <w:r w:rsidRPr="00811D66">
              <w:rPr>
                <w:sz w:val="24"/>
                <w:szCs w:val="24"/>
              </w:rPr>
              <w:t>Hammamet</w:t>
            </w:r>
            <w:proofErr w:type="spellEnd"/>
            <w:r w:rsidRPr="00811D66">
              <w:rPr>
                <w:sz w:val="24"/>
                <w:szCs w:val="24"/>
              </w:rPr>
              <w:t xml:space="preserve">, 2016) on Principles and procedures for the allocation of work to, and strengthening coordination and cooperation among, the ITU </w:t>
            </w:r>
            <w:proofErr w:type="spellStart"/>
            <w:r w:rsidRPr="00811D66">
              <w:rPr>
                <w:sz w:val="24"/>
                <w:szCs w:val="24"/>
              </w:rPr>
              <w:t>Radiocommunication</w:t>
            </w:r>
            <w:proofErr w:type="spellEnd"/>
            <w:r w:rsidRPr="00811D66">
              <w:rPr>
                <w:sz w:val="24"/>
                <w:szCs w:val="24"/>
              </w:rPr>
              <w:t>, ITU Telecommunication Standardization and ITU Telecommunication Development Sectors to streamline with the results of revision of appropriate PP-18 Resolutions.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41" w:history="1">
              <w:r w:rsidR="00811D66" w:rsidRPr="00DB7243">
                <w:rPr>
                  <w:rStyle w:val="Hyperlink"/>
                  <w:sz w:val="24"/>
                  <w:szCs w:val="24"/>
                </w:rPr>
                <w:t>93</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Russian Federation</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Proposal on modification WTSA Resolution 43</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 xml:space="preserve">This contribution proposes to modify WTSA Resolution 43 (Rev. </w:t>
            </w:r>
            <w:proofErr w:type="spellStart"/>
            <w:r w:rsidRPr="00811D66">
              <w:rPr>
                <w:sz w:val="24"/>
                <w:szCs w:val="24"/>
              </w:rPr>
              <w:t>Hammamet</w:t>
            </w:r>
            <w:proofErr w:type="spellEnd"/>
            <w:r w:rsidRPr="00811D66">
              <w:rPr>
                <w:sz w:val="24"/>
                <w:szCs w:val="24"/>
              </w:rPr>
              <w:t>, 2016) on regional preparations for world telecommunication standardization assemblies to streamline with the results of revision of appropriate PP-18 Resolutions.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42" w:history="1">
              <w:r w:rsidR="00811D66" w:rsidRPr="00DB7243">
                <w:rPr>
                  <w:rStyle w:val="Hyperlink"/>
                  <w:sz w:val="24"/>
                  <w:szCs w:val="24"/>
                </w:rPr>
                <w:t>94</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Russian Federation</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Proposal on modification WTSA Resolution 67</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 xml:space="preserve">This contribution proposes to modify WTSA Resolution 67 (Rev. </w:t>
            </w:r>
            <w:proofErr w:type="spellStart"/>
            <w:r w:rsidRPr="00811D66">
              <w:rPr>
                <w:sz w:val="24"/>
                <w:szCs w:val="24"/>
              </w:rPr>
              <w:t>Hammamet</w:t>
            </w:r>
            <w:proofErr w:type="spellEnd"/>
            <w:r w:rsidRPr="00811D66">
              <w:rPr>
                <w:sz w:val="24"/>
                <w:szCs w:val="24"/>
              </w:rPr>
              <w:t>, 2016) on use in the ITU Telecommunication Standardization Sector of the languages of the Union on an equal footing to streamline with the results of revision of appropriate PP-18 Resolutions.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43" w:history="1">
              <w:r w:rsidR="00811D66" w:rsidRPr="00DB7243">
                <w:rPr>
                  <w:rStyle w:val="Hyperlink"/>
                  <w:sz w:val="24"/>
                  <w:szCs w:val="24"/>
                </w:rPr>
                <w:t>95</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Russian Federation</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Proposal on modification WTSA Resolution 72</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 xml:space="preserve">This contribution proposes to modify WTSA Resolution 72 (Rev. </w:t>
            </w:r>
            <w:proofErr w:type="spellStart"/>
            <w:r w:rsidRPr="00811D66">
              <w:rPr>
                <w:sz w:val="24"/>
                <w:szCs w:val="24"/>
              </w:rPr>
              <w:t>Hammamet</w:t>
            </w:r>
            <w:proofErr w:type="spellEnd"/>
            <w:r w:rsidRPr="00811D66">
              <w:rPr>
                <w:sz w:val="24"/>
                <w:szCs w:val="24"/>
              </w:rPr>
              <w:t>, 2016) on measurement and assessment concerns related to human exposure to electromagnetic fields to streamline with the results of revision of appropriate PP-18 Resolutions.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44" w:history="1">
              <w:r w:rsidR="00811D66" w:rsidRPr="00DB7243">
                <w:rPr>
                  <w:rStyle w:val="Hyperlink"/>
                  <w:sz w:val="24"/>
                  <w:szCs w:val="24"/>
                </w:rPr>
                <w:t>96</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Russian Federation</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Proposal on modification WTSA Resolution 73</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 xml:space="preserve">This contribution proposes to modify WTSA Resolution 73 (Rev. </w:t>
            </w:r>
            <w:proofErr w:type="spellStart"/>
            <w:r w:rsidRPr="00811D66">
              <w:rPr>
                <w:sz w:val="24"/>
                <w:szCs w:val="24"/>
              </w:rPr>
              <w:t>Hammamet</w:t>
            </w:r>
            <w:proofErr w:type="spellEnd"/>
            <w:r w:rsidRPr="00811D66">
              <w:rPr>
                <w:sz w:val="24"/>
                <w:szCs w:val="24"/>
              </w:rPr>
              <w:t>, 2016) on information and communication technologies, environment and climate change to streamline with the results of revision of appropriate PP-18 Resolutions.</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45" w:history="1">
              <w:r w:rsidR="00811D66" w:rsidRPr="00DB7243">
                <w:rPr>
                  <w:rStyle w:val="Hyperlink"/>
                  <w:sz w:val="24"/>
                  <w:szCs w:val="24"/>
                </w:rPr>
                <w:t>97</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 xml:space="preserve">Beijing University of Posts and Telecommunications (China), CAS Quantum Network Co. Ltd. (China), China Information Communication Technologies Group, China Mobile Communications Corporation, China Telecommunications Corporation, China Unicom, Huawei Technologies Co., Ltd. (China), KT Corporation (Korea (Rep. of)), </w:t>
            </w:r>
            <w:proofErr w:type="spellStart"/>
            <w:r w:rsidRPr="00811D66">
              <w:rPr>
                <w:sz w:val="24"/>
                <w:szCs w:val="24"/>
              </w:rPr>
              <w:t>QuantumCTek</w:t>
            </w:r>
            <w:proofErr w:type="spellEnd"/>
            <w:r w:rsidRPr="00811D66">
              <w:rPr>
                <w:sz w:val="24"/>
                <w:szCs w:val="24"/>
              </w:rPr>
              <w:t xml:space="preserve"> Co., Ltd. (China), ZTE Corporation (China)</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Proposal to set up a new ITU-T Focus Group on Quantum Information Technology for Networks (FG-QIT4N)</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Following the previous Contribution (TSAG-C054), this contribution re-proposes to set up a new ITU-T Focus Group on Quantum Information Technology for Networks (FG-QIT4N).</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46" w:history="1">
              <w:r w:rsidR="00811D66" w:rsidRPr="00DB7243">
                <w:rPr>
                  <w:rStyle w:val="Hyperlink"/>
                  <w:sz w:val="24"/>
                  <w:szCs w:val="24"/>
                </w:rPr>
                <w:t>98</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Symantec Corporation (United States)</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Suggestions on improving the format to collect input on Hot Topics</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shares about the difficulties to input into the Hot Topics table and makes suggestions to improve its format.</w:t>
            </w:r>
          </w:p>
        </w:tc>
      </w:tr>
      <w:tr w:rsidR="00811D66" w:rsidTr="00811D66">
        <w:tc>
          <w:tcPr>
            <w:tcW w:w="1563" w:type="dxa"/>
            <w:tcBorders>
              <w:top w:val="single" w:sz="4" w:space="0" w:color="auto"/>
              <w:left w:val="single" w:sz="4" w:space="0" w:color="auto"/>
              <w:bottom w:val="single" w:sz="4" w:space="0" w:color="auto"/>
              <w:right w:val="single" w:sz="4" w:space="0" w:color="auto"/>
            </w:tcBorders>
            <w:hideMark/>
          </w:tcPr>
          <w:p w:rsidR="00811D66" w:rsidRPr="00811D66" w:rsidRDefault="006A501C" w:rsidP="00811D66">
            <w:pPr>
              <w:spacing w:after="120"/>
              <w:jc w:val="left"/>
              <w:textAlignment w:val="baseline"/>
              <w:rPr>
                <w:sz w:val="24"/>
                <w:szCs w:val="24"/>
              </w:rPr>
            </w:pPr>
            <w:hyperlink r:id="rId47" w:history="1">
              <w:r w:rsidR="00811D66" w:rsidRPr="00DB7243">
                <w:rPr>
                  <w:rStyle w:val="Hyperlink"/>
                  <w:sz w:val="24"/>
                  <w:szCs w:val="24"/>
                </w:rPr>
                <w:t>99</w:t>
              </w:r>
            </w:hyperlink>
          </w:p>
        </w:tc>
        <w:tc>
          <w:tcPr>
            <w:tcW w:w="1856"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 xml:space="preserve">Symantec Corporation </w:t>
            </w:r>
            <w:r w:rsidRPr="00236840">
              <w:rPr>
                <w:sz w:val="24"/>
                <w:szCs w:val="24"/>
              </w:rPr>
              <w:t>(United States)</w:t>
            </w:r>
          </w:p>
        </w:tc>
        <w:tc>
          <w:tcPr>
            <w:tcW w:w="1963"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Initial proposition for an Architecture Advisory Board (AAB)</w:t>
            </w:r>
          </w:p>
        </w:tc>
        <w:tc>
          <w:tcPr>
            <w:tcW w:w="4247" w:type="dxa"/>
            <w:tcBorders>
              <w:top w:val="single" w:sz="4" w:space="0" w:color="auto"/>
              <w:left w:val="single" w:sz="4" w:space="0" w:color="auto"/>
              <w:bottom w:val="single" w:sz="4" w:space="0" w:color="auto"/>
              <w:right w:val="single" w:sz="4" w:space="0" w:color="auto"/>
            </w:tcBorders>
            <w:hideMark/>
          </w:tcPr>
          <w:p w:rsidR="00811D66" w:rsidRPr="00811D66" w:rsidRDefault="00811D66" w:rsidP="00811D66">
            <w:pPr>
              <w:spacing w:after="120"/>
              <w:jc w:val="left"/>
              <w:textAlignment w:val="baseline"/>
              <w:rPr>
                <w:sz w:val="24"/>
                <w:szCs w:val="24"/>
              </w:rPr>
            </w:pPr>
            <w:r w:rsidRPr="00811D66">
              <w:rPr>
                <w:sz w:val="24"/>
                <w:szCs w:val="24"/>
              </w:rPr>
              <w:t>This contribution is an initial proposition for an Architecture Advisory Board (AAB).</w:t>
            </w:r>
          </w:p>
        </w:tc>
      </w:tr>
    </w:tbl>
    <w:bookmarkEnd w:id="0"/>
    <w:bookmarkEnd w:id="1"/>
    <w:bookmarkEnd w:id="2"/>
    <w:bookmarkEnd w:id="3"/>
    <w:bookmarkEnd w:id="4"/>
    <w:bookmarkEnd w:id="5"/>
    <w:bookmarkEnd w:id="6"/>
    <w:bookmarkEnd w:id="7"/>
    <w:bookmarkEnd w:id="8"/>
    <w:p w:rsidR="00AC00D8" w:rsidRPr="00BF071C" w:rsidRDefault="00AC00D8" w:rsidP="00AC00D8">
      <w:pPr>
        <w:jc w:val="center"/>
        <w:rPr>
          <w:rFonts w:asciiTheme="majorBidi" w:hAnsiTheme="majorBidi" w:cstheme="majorBidi"/>
        </w:rPr>
      </w:pPr>
      <w:r w:rsidRPr="00BF071C">
        <w:rPr>
          <w:rFonts w:asciiTheme="majorBidi" w:hAnsiTheme="majorBidi" w:cstheme="majorBidi"/>
        </w:rPr>
        <w:t>______________</w:t>
      </w:r>
    </w:p>
    <w:sectPr w:rsidR="00AC00D8" w:rsidRPr="00BF071C" w:rsidSect="007A3C9B">
      <w:headerReference w:type="default" r:id="rId48"/>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9FB" w:rsidRDefault="00D839FB" w:rsidP="00806E73">
      <w:pPr>
        <w:spacing w:after="0" w:line="240" w:lineRule="auto"/>
      </w:pPr>
      <w:r>
        <w:separator/>
      </w:r>
    </w:p>
  </w:endnote>
  <w:endnote w:type="continuationSeparator" w:id="0">
    <w:p w:rsidR="00D839FB" w:rsidRDefault="00D839FB"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9FB" w:rsidRDefault="00D839FB" w:rsidP="00806E73">
      <w:pPr>
        <w:spacing w:after="0" w:line="240" w:lineRule="auto"/>
      </w:pPr>
      <w:r>
        <w:separator/>
      </w:r>
    </w:p>
  </w:footnote>
  <w:footnote w:type="continuationSeparator" w:id="0">
    <w:p w:rsidR="00D839FB" w:rsidRDefault="00D839FB" w:rsidP="00806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69" w:rsidRPr="007A3C9B" w:rsidRDefault="007A3C9B"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6A501C">
      <w:rPr>
        <w:rFonts w:ascii="Times New Roman" w:hAnsi="Times New Roman" w:cs="Times New Roman"/>
        <w:noProof/>
        <w:sz w:val="18"/>
      </w:rPr>
      <w:t>6</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rsidR="006A501C" w:rsidRDefault="007A3C9B" w:rsidP="006A501C">
    <w:pPr>
      <w:pStyle w:val="Header"/>
      <w:spacing w:after="240"/>
      <w:jc w:val="center"/>
    </w:pPr>
    <w:r>
      <w:rPr>
        <w:rFonts w:ascii="Times New Roman" w:hAnsi="Times New Roman" w:cs="Times New Roman"/>
        <w:sz w:val="18"/>
      </w:rPr>
      <w:t>TSAG-</w:t>
    </w:r>
    <w:r w:rsidRPr="00A0125B">
      <w:rPr>
        <w:rFonts w:ascii="Times New Roman" w:hAnsi="Times New Roman" w:cs="Times New Roman"/>
        <w:sz w:val="18"/>
      </w:rPr>
      <w:t>TD</w:t>
    </w:r>
    <w:r w:rsidR="00811D66">
      <w:rPr>
        <w:rFonts w:ascii="Times New Roman" w:hAnsi="Times New Roman" w:cs="Times New Roman"/>
        <w:sz w:val="18"/>
      </w:rPr>
      <w:t>638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7"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3"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3"/>
  </w:num>
  <w:num w:numId="5">
    <w:abstractNumId w:val="11"/>
  </w:num>
  <w:num w:numId="6">
    <w:abstractNumId w:val="8"/>
  </w:num>
  <w:num w:numId="7">
    <w:abstractNumId w:val="10"/>
  </w:num>
  <w:num w:numId="8">
    <w:abstractNumId w:val="2"/>
  </w:num>
  <w:num w:numId="9">
    <w:abstractNumId w:val="5"/>
  </w:num>
  <w:num w:numId="10">
    <w:abstractNumId w:val="9"/>
  </w:num>
  <w:num w:numId="11">
    <w:abstractNumId w:val="0"/>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ES"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73"/>
    <w:rsid w:val="00000071"/>
    <w:rsid w:val="0000064B"/>
    <w:rsid w:val="00000D80"/>
    <w:rsid w:val="00000E3A"/>
    <w:rsid w:val="00001346"/>
    <w:rsid w:val="0000183E"/>
    <w:rsid w:val="00001A60"/>
    <w:rsid w:val="00002478"/>
    <w:rsid w:val="00002576"/>
    <w:rsid w:val="00002EF8"/>
    <w:rsid w:val="00003002"/>
    <w:rsid w:val="0000332E"/>
    <w:rsid w:val="00003C6C"/>
    <w:rsid w:val="00003E9A"/>
    <w:rsid w:val="00004B2B"/>
    <w:rsid w:val="0000517D"/>
    <w:rsid w:val="00005B1C"/>
    <w:rsid w:val="00005EA3"/>
    <w:rsid w:val="0000613F"/>
    <w:rsid w:val="000072D2"/>
    <w:rsid w:val="00007AB5"/>
    <w:rsid w:val="00007D5D"/>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B32"/>
    <w:rsid w:val="00035AA4"/>
    <w:rsid w:val="00035DE3"/>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3175"/>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BAB"/>
    <w:rsid w:val="000813DB"/>
    <w:rsid w:val="000816B4"/>
    <w:rsid w:val="00081DA0"/>
    <w:rsid w:val="00081F3B"/>
    <w:rsid w:val="00082248"/>
    <w:rsid w:val="00082734"/>
    <w:rsid w:val="00082C48"/>
    <w:rsid w:val="00083207"/>
    <w:rsid w:val="000838E5"/>
    <w:rsid w:val="0008454E"/>
    <w:rsid w:val="00084659"/>
    <w:rsid w:val="0008490E"/>
    <w:rsid w:val="0008491B"/>
    <w:rsid w:val="000850DC"/>
    <w:rsid w:val="000862B9"/>
    <w:rsid w:val="0008673D"/>
    <w:rsid w:val="000872DE"/>
    <w:rsid w:val="000879B4"/>
    <w:rsid w:val="000900D1"/>
    <w:rsid w:val="00091221"/>
    <w:rsid w:val="0009161E"/>
    <w:rsid w:val="00091D20"/>
    <w:rsid w:val="00091F9B"/>
    <w:rsid w:val="0009330F"/>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E75"/>
    <w:rsid w:val="000A473A"/>
    <w:rsid w:val="000A4BF7"/>
    <w:rsid w:val="000A4FD8"/>
    <w:rsid w:val="000A583C"/>
    <w:rsid w:val="000A5C06"/>
    <w:rsid w:val="000A78B2"/>
    <w:rsid w:val="000A7B1C"/>
    <w:rsid w:val="000A7EF9"/>
    <w:rsid w:val="000A7FF7"/>
    <w:rsid w:val="000B0876"/>
    <w:rsid w:val="000B1420"/>
    <w:rsid w:val="000B18B1"/>
    <w:rsid w:val="000B3128"/>
    <w:rsid w:val="000B32C2"/>
    <w:rsid w:val="000B3314"/>
    <w:rsid w:val="000B3AD8"/>
    <w:rsid w:val="000B3ECA"/>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40E"/>
    <w:rsid w:val="000C3A37"/>
    <w:rsid w:val="000C4037"/>
    <w:rsid w:val="000C453E"/>
    <w:rsid w:val="000C470F"/>
    <w:rsid w:val="000C47C1"/>
    <w:rsid w:val="000C500C"/>
    <w:rsid w:val="000C57E0"/>
    <w:rsid w:val="000C5EE7"/>
    <w:rsid w:val="000C670A"/>
    <w:rsid w:val="000C6AC9"/>
    <w:rsid w:val="000C7E6C"/>
    <w:rsid w:val="000D04E7"/>
    <w:rsid w:val="000D0A86"/>
    <w:rsid w:val="000D0E52"/>
    <w:rsid w:val="000D1439"/>
    <w:rsid w:val="000D2494"/>
    <w:rsid w:val="000D25A9"/>
    <w:rsid w:val="000D3126"/>
    <w:rsid w:val="000D39AE"/>
    <w:rsid w:val="000D3A06"/>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508E"/>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CFC"/>
    <w:rsid w:val="00141C05"/>
    <w:rsid w:val="00141FD9"/>
    <w:rsid w:val="00143A69"/>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2292"/>
    <w:rsid w:val="00152FC0"/>
    <w:rsid w:val="0015336B"/>
    <w:rsid w:val="00153763"/>
    <w:rsid w:val="0015391D"/>
    <w:rsid w:val="00154233"/>
    <w:rsid w:val="001544C5"/>
    <w:rsid w:val="00155D48"/>
    <w:rsid w:val="001563EB"/>
    <w:rsid w:val="00156ACB"/>
    <w:rsid w:val="00157B99"/>
    <w:rsid w:val="00157D27"/>
    <w:rsid w:val="001603C9"/>
    <w:rsid w:val="00160437"/>
    <w:rsid w:val="00160CCD"/>
    <w:rsid w:val="00160ED9"/>
    <w:rsid w:val="00161010"/>
    <w:rsid w:val="001626B2"/>
    <w:rsid w:val="001631F1"/>
    <w:rsid w:val="00164539"/>
    <w:rsid w:val="00164B64"/>
    <w:rsid w:val="00164DEF"/>
    <w:rsid w:val="00165065"/>
    <w:rsid w:val="001651E8"/>
    <w:rsid w:val="00165202"/>
    <w:rsid w:val="001658B6"/>
    <w:rsid w:val="00167233"/>
    <w:rsid w:val="001672EA"/>
    <w:rsid w:val="001673F3"/>
    <w:rsid w:val="0016743C"/>
    <w:rsid w:val="0016764A"/>
    <w:rsid w:val="00167776"/>
    <w:rsid w:val="00167A39"/>
    <w:rsid w:val="00167CE2"/>
    <w:rsid w:val="00167D31"/>
    <w:rsid w:val="001705EA"/>
    <w:rsid w:val="0017081C"/>
    <w:rsid w:val="0017153F"/>
    <w:rsid w:val="00171859"/>
    <w:rsid w:val="00172183"/>
    <w:rsid w:val="00172FE3"/>
    <w:rsid w:val="0017306C"/>
    <w:rsid w:val="0017335A"/>
    <w:rsid w:val="001734B1"/>
    <w:rsid w:val="00173EFE"/>
    <w:rsid w:val="00174273"/>
    <w:rsid w:val="001742D9"/>
    <w:rsid w:val="00174BDE"/>
    <w:rsid w:val="0017519B"/>
    <w:rsid w:val="00176611"/>
    <w:rsid w:val="001773CC"/>
    <w:rsid w:val="00177A0E"/>
    <w:rsid w:val="001803CA"/>
    <w:rsid w:val="001807AB"/>
    <w:rsid w:val="00180DE0"/>
    <w:rsid w:val="001816F4"/>
    <w:rsid w:val="00181AC3"/>
    <w:rsid w:val="00181BB4"/>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665D"/>
    <w:rsid w:val="001C6FD0"/>
    <w:rsid w:val="001C72D3"/>
    <w:rsid w:val="001C7586"/>
    <w:rsid w:val="001C7CE0"/>
    <w:rsid w:val="001D01C5"/>
    <w:rsid w:val="001D0CD5"/>
    <w:rsid w:val="001D1AFB"/>
    <w:rsid w:val="001D1DAE"/>
    <w:rsid w:val="001D1E29"/>
    <w:rsid w:val="001D2147"/>
    <w:rsid w:val="001D257A"/>
    <w:rsid w:val="001D25C6"/>
    <w:rsid w:val="001D2FAF"/>
    <w:rsid w:val="001D2FF3"/>
    <w:rsid w:val="001D35D7"/>
    <w:rsid w:val="001D3A60"/>
    <w:rsid w:val="001D3C58"/>
    <w:rsid w:val="001D486F"/>
    <w:rsid w:val="001D5F4B"/>
    <w:rsid w:val="001D658D"/>
    <w:rsid w:val="001D666E"/>
    <w:rsid w:val="001D6CDE"/>
    <w:rsid w:val="001D76C8"/>
    <w:rsid w:val="001E069F"/>
    <w:rsid w:val="001E0A3A"/>
    <w:rsid w:val="001E1CF1"/>
    <w:rsid w:val="001E27F8"/>
    <w:rsid w:val="001E32A9"/>
    <w:rsid w:val="001E3D2D"/>
    <w:rsid w:val="001E3FC1"/>
    <w:rsid w:val="001E4768"/>
    <w:rsid w:val="001E4D59"/>
    <w:rsid w:val="001E4D65"/>
    <w:rsid w:val="001E4D79"/>
    <w:rsid w:val="001E50D5"/>
    <w:rsid w:val="001E644F"/>
    <w:rsid w:val="001E7532"/>
    <w:rsid w:val="001E754C"/>
    <w:rsid w:val="001E7D21"/>
    <w:rsid w:val="001F1272"/>
    <w:rsid w:val="001F1359"/>
    <w:rsid w:val="001F1C59"/>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F4A"/>
    <w:rsid w:val="00215FC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50430"/>
    <w:rsid w:val="0025074F"/>
    <w:rsid w:val="002508DB"/>
    <w:rsid w:val="00251023"/>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F2E"/>
    <w:rsid w:val="002835A9"/>
    <w:rsid w:val="00283AF7"/>
    <w:rsid w:val="00284CD8"/>
    <w:rsid w:val="00285B64"/>
    <w:rsid w:val="00286C2A"/>
    <w:rsid w:val="00287640"/>
    <w:rsid w:val="0028786C"/>
    <w:rsid w:val="002901E3"/>
    <w:rsid w:val="002905CE"/>
    <w:rsid w:val="00290FF7"/>
    <w:rsid w:val="002928BB"/>
    <w:rsid w:val="00292A2A"/>
    <w:rsid w:val="00292A70"/>
    <w:rsid w:val="00292B22"/>
    <w:rsid w:val="002933C0"/>
    <w:rsid w:val="00293F30"/>
    <w:rsid w:val="00295125"/>
    <w:rsid w:val="00295606"/>
    <w:rsid w:val="0029731A"/>
    <w:rsid w:val="002A021D"/>
    <w:rsid w:val="002A057A"/>
    <w:rsid w:val="002A0B6F"/>
    <w:rsid w:val="002A0D6E"/>
    <w:rsid w:val="002A0DCC"/>
    <w:rsid w:val="002A116A"/>
    <w:rsid w:val="002A220B"/>
    <w:rsid w:val="002A2585"/>
    <w:rsid w:val="002A2CE2"/>
    <w:rsid w:val="002A349F"/>
    <w:rsid w:val="002A368F"/>
    <w:rsid w:val="002A430D"/>
    <w:rsid w:val="002A453B"/>
    <w:rsid w:val="002A4C65"/>
    <w:rsid w:val="002A4E7E"/>
    <w:rsid w:val="002A6A61"/>
    <w:rsid w:val="002A746E"/>
    <w:rsid w:val="002B0580"/>
    <w:rsid w:val="002B064B"/>
    <w:rsid w:val="002B0B19"/>
    <w:rsid w:val="002B19C3"/>
    <w:rsid w:val="002B2131"/>
    <w:rsid w:val="002B350F"/>
    <w:rsid w:val="002B4044"/>
    <w:rsid w:val="002B4403"/>
    <w:rsid w:val="002B4670"/>
    <w:rsid w:val="002B4A9C"/>
    <w:rsid w:val="002B4F8C"/>
    <w:rsid w:val="002B592C"/>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5DA"/>
    <w:rsid w:val="002C2FA5"/>
    <w:rsid w:val="002C3105"/>
    <w:rsid w:val="002C32D5"/>
    <w:rsid w:val="002C364B"/>
    <w:rsid w:val="002C36C9"/>
    <w:rsid w:val="002C48C9"/>
    <w:rsid w:val="002C556C"/>
    <w:rsid w:val="002C5861"/>
    <w:rsid w:val="002C5A85"/>
    <w:rsid w:val="002C608A"/>
    <w:rsid w:val="002C6130"/>
    <w:rsid w:val="002C6303"/>
    <w:rsid w:val="002C659F"/>
    <w:rsid w:val="002C65DF"/>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A7F"/>
    <w:rsid w:val="002D1ED9"/>
    <w:rsid w:val="002D2468"/>
    <w:rsid w:val="002D2FA5"/>
    <w:rsid w:val="002D3393"/>
    <w:rsid w:val="002D37C4"/>
    <w:rsid w:val="002D3CF2"/>
    <w:rsid w:val="002D3F4A"/>
    <w:rsid w:val="002D4FB9"/>
    <w:rsid w:val="002D57D9"/>
    <w:rsid w:val="002D5BF5"/>
    <w:rsid w:val="002D60D0"/>
    <w:rsid w:val="002D61AB"/>
    <w:rsid w:val="002D6C9B"/>
    <w:rsid w:val="002D7668"/>
    <w:rsid w:val="002D78CF"/>
    <w:rsid w:val="002D7BFD"/>
    <w:rsid w:val="002E0E42"/>
    <w:rsid w:val="002E1825"/>
    <w:rsid w:val="002E1CBB"/>
    <w:rsid w:val="002E2860"/>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C7"/>
    <w:rsid w:val="002F12B0"/>
    <w:rsid w:val="002F13F7"/>
    <w:rsid w:val="002F147D"/>
    <w:rsid w:val="002F164C"/>
    <w:rsid w:val="002F198D"/>
    <w:rsid w:val="002F1CF0"/>
    <w:rsid w:val="002F209B"/>
    <w:rsid w:val="002F31D9"/>
    <w:rsid w:val="002F359C"/>
    <w:rsid w:val="002F3BEE"/>
    <w:rsid w:val="002F3F8B"/>
    <w:rsid w:val="002F50CF"/>
    <w:rsid w:val="002F55EE"/>
    <w:rsid w:val="002F55FD"/>
    <w:rsid w:val="002F6503"/>
    <w:rsid w:val="002F6544"/>
    <w:rsid w:val="002F6681"/>
    <w:rsid w:val="002F6D95"/>
    <w:rsid w:val="002F6E38"/>
    <w:rsid w:val="002F6F1E"/>
    <w:rsid w:val="002F7CD8"/>
    <w:rsid w:val="003000F4"/>
    <w:rsid w:val="00300252"/>
    <w:rsid w:val="00300647"/>
    <w:rsid w:val="00300C2C"/>
    <w:rsid w:val="00300D1C"/>
    <w:rsid w:val="0030198F"/>
    <w:rsid w:val="00302B1E"/>
    <w:rsid w:val="00303003"/>
    <w:rsid w:val="00303212"/>
    <w:rsid w:val="0030363D"/>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B95"/>
    <w:rsid w:val="00310CA6"/>
    <w:rsid w:val="0031105A"/>
    <w:rsid w:val="003110E7"/>
    <w:rsid w:val="00311199"/>
    <w:rsid w:val="0031129C"/>
    <w:rsid w:val="00311470"/>
    <w:rsid w:val="003115A7"/>
    <w:rsid w:val="0031168D"/>
    <w:rsid w:val="00311AA4"/>
    <w:rsid w:val="003127C2"/>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17C7"/>
    <w:rsid w:val="00331C35"/>
    <w:rsid w:val="00332DA2"/>
    <w:rsid w:val="00332E3A"/>
    <w:rsid w:val="00334395"/>
    <w:rsid w:val="00334524"/>
    <w:rsid w:val="003345A4"/>
    <w:rsid w:val="00334649"/>
    <w:rsid w:val="00334885"/>
    <w:rsid w:val="00334C55"/>
    <w:rsid w:val="00335D96"/>
    <w:rsid w:val="00335F2A"/>
    <w:rsid w:val="00336093"/>
    <w:rsid w:val="0033671D"/>
    <w:rsid w:val="00336AE4"/>
    <w:rsid w:val="00337B2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15C"/>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D1"/>
    <w:rsid w:val="00372CFA"/>
    <w:rsid w:val="00372E30"/>
    <w:rsid w:val="00372F19"/>
    <w:rsid w:val="00373684"/>
    <w:rsid w:val="00373A8A"/>
    <w:rsid w:val="00373C23"/>
    <w:rsid w:val="00374C7D"/>
    <w:rsid w:val="0037639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FB1"/>
    <w:rsid w:val="003A58C5"/>
    <w:rsid w:val="003A5DDC"/>
    <w:rsid w:val="003A604E"/>
    <w:rsid w:val="003A617C"/>
    <w:rsid w:val="003A6F23"/>
    <w:rsid w:val="003A7948"/>
    <w:rsid w:val="003B0343"/>
    <w:rsid w:val="003B0840"/>
    <w:rsid w:val="003B1188"/>
    <w:rsid w:val="003B1380"/>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48D"/>
    <w:rsid w:val="003C44D8"/>
    <w:rsid w:val="003C4933"/>
    <w:rsid w:val="003C4E96"/>
    <w:rsid w:val="003C51D3"/>
    <w:rsid w:val="003C53E4"/>
    <w:rsid w:val="003C5B35"/>
    <w:rsid w:val="003C5D8E"/>
    <w:rsid w:val="003C5DC4"/>
    <w:rsid w:val="003C75EB"/>
    <w:rsid w:val="003C76F5"/>
    <w:rsid w:val="003C77BE"/>
    <w:rsid w:val="003C7FB8"/>
    <w:rsid w:val="003D092D"/>
    <w:rsid w:val="003D09FF"/>
    <w:rsid w:val="003D1A55"/>
    <w:rsid w:val="003D1AEE"/>
    <w:rsid w:val="003D1BDC"/>
    <w:rsid w:val="003D20F4"/>
    <w:rsid w:val="003D24DF"/>
    <w:rsid w:val="003D2816"/>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337D"/>
    <w:rsid w:val="003F483D"/>
    <w:rsid w:val="003F48A7"/>
    <w:rsid w:val="003F504E"/>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EBC"/>
    <w:rsid w:val="00405162"/>
    <w:rsid w:val="00406992"/>
    <w:rsid w:val="00406BD8"/>
    <w:rsid w:val="004073AF"/>
    <w:rsid w:val="00410684"/>
    <w:rsid w:val="00411BC8"/>
    <w:rsid w:val="00411CA3"/>
    <w:rsid w:val="00412110"/>
    <w:rsid w:val="004124BA"/>
    <w:rsid w:val="004125D6"/>
    <w:rsid w:val="0041263A"/>
    <w:rsid w:val="00412F23"/>
    <w:rsid w:val="00412F8D"/>
    <w:rsid w:val="004139B3"/>
    <w:rsid w:val="00414727"/>
    <w:rsid w:val="00414972"/>
    <w:rsid w:val="004149AD"/>
    <w:rsid w:val="004158C8"/>
    <w:rsid w:val="00416950"/>
    <w:rsid w:val="00416C0F"/>
    <w:rsid w:val="00417871"/>
    <w:rsid w:val="004178A7"/>
    <w:rsid w:val="00417A62"/>
    <w:rsid w:val="00417D43"/>
    <w:rsid w:val="004209E0"/>
    <w:rsid w:val="00420D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C1D"/>
    <w:rsid w:val="00441F5D"/>
    <w:rsid w:val="0044281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BAC"/>
    <w:rsid w:val="00477118"/>
    <w:rsid w:val="004772C9"/>
    <w:rsid w:val="004776B9"/>
    <w:rsid w:val="00477946"/>
    <w:rsid w:val="00477994"/>
    <w:rsid w:val="004779F8"/>
    <w:rsid w:val="00477F17"/>
    <w:rsid w:val="00480E3C"/>
    <w:rsid w:val="004812D3"/>
    <w:rsid w:val="00481B92"/>
    <w:rsid w:val="00483313"/>
    <w:rsid w:val="004833B1"/>
    <w:rsid w:val="004834AC"/>
    <w:rsid w:val="004834B2"/>
    <w:rsid w:val="004834F6"/>
    <w:rsid w:val="00484AD0"/>
    <w:rsid w:val="00485111"/>
    <w:rsid w:val="00485B95"/>
    <w:rsid w:val="0048616E"/>
    <w:rsid w:val="0048649F"/>
    <w:rsid w:val="00486597"/>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9BC"/>
    <w:rsid w:val="00496EB7"/>
    <w:rsid w:val="0049770A"/>
    <w:rsid w:val="00497A36"/>
    <w:rsid w:val="00497E8D"/>
    <w:rsid w:val="00497F20"/>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32AE"/>
    <w:rsid w:val="004B444E"/>
    <w:rsid w:val="004B452F"/>
    <w:rsid w:val="004B4A4F"/>
    <w:rsid w:val="004B4D88"/>
    <w:rsid w:val="004B5C8A"/>
    <w:rsid w:val="004B6EBA"/>
    <w:rsid w:val="004B72ED"/>
    <w:rsid w:val="004C12E8"/>
    <w:rsid w:val="004C131F"/>
    <w:rsid w:val="004C157F"/>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2CB3"/>
    <w:rsid w:val="004F2E6F"/>
    <w:rsid w:val="004F43FD"/>
    <w:rsid w:val="004F4819"/>
    <w:rsid w:val="004F4CC2"/>
    <w:rsid w:val="004F6148"/>
    <w:rsid w:val="004F61C4"/>
    <w:rsid w:val="004F65B2"/>
    <w:rsid w:val="004F6CC9"/>
    <w:rsid w:val="004F73DB"/>
    <w:rsid w:val="004F7EA9"/>
    <w:rsid w:val="00500313"/>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31DC"/>
    <w:rsid w:val="005433BB"/>
    <w:rsid w:val="0054362A"/>
    <w:rsid w:val="00543F6A"/>
    <w:rsid w:val="005441C0"/>
    <w:rsid w:val="00544FDC"/>
    <w:rsid w:val="005457D0"/>
    <w:rsid w:val="0054612B"/>
    <w:rsid w:val="0054682A"/>
    <w:rsid w:val="005472E3"/>
    <w:rsid w:val="00547871"/>
    <w:rsid w:val="005525A6"/>
    <w:rsid w:val="00552682"/>
    <w:rsid w:val="00553667"/>
    <w:rsid w:val="005545F1"/>
    <w:rsid w:val="005547F3"/>
    <w:rsid w:val="00554E11"/>
    <w:rsid w:val="00555D53"/>
    <w:rsid w:val="005560A1"/>
    <w:rsid w:val="005567DA"/>
    <w:rsid w:val="00556A40"/>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5A47"/>
    <w:rsid w:val="005761DA"/>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36B"/>
    <w:rsid w:val="0058444A"/>
    <w:rsid w:val="00584B48"/>
    <w:rsid w:val="00584C4D"/>
    <w:rsid w:val="0058567A"/>
    <w:rsid w:val="005861D1"/>
    <w:rsid w:val="0058647C"/>
    <w:rsid w:val="00587020"/>
    <w:rsid w:val="005875A6"/>
    <w:rsid w:val="005901BC"/>
    <w:rsid w:val="00591099"/>
    <w:rsid w:val="00592129"/>
    <w:rsid w:val="00592D03"/>
    <w:rsid w:val="00592DA6"/>
    <w:rsid w:val="00593C5E"/>
    <w:rsid w:val="00593F9D"/>
    <w:rsid w:val="00594970"/>
    <w:rsid w:val="00595255"/>
    <w:rsid w:val="005952F0"/>
    <w:rsid w:val="00595389"/>
    <w:rsid w:val="0059574C"/>
    <w:rsid w:val="005957A4"/>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4A9"/>
    <w:rsid w:val="005A46E9"/>
    <w:rsid w:val="005A512C"/>
    <w:rsid w:val="005A535B"/>
    <w:rsid w:val="005A5CBE"/>
    <w:rsid w:val="005A656C"/>
    <w:rsid w:val="005A66CB"/>
    <w:rsid w:val="005A6DC8"/>
    <w:rsid w:val="005A7109"/>
    <w:rsid w:val="005A76FC"/>
    <w:rsid w:val="005B058D"/>
    <w:rsid w:val="005B073B"/>
    <w:rsid w:val="005B0D2F"/>
    <w:rsid w:val="005B0D57"/>
    <w:rsid w:val="005B13EE"/>
    <w:rsid w:val="005B1EF6"/>
    <w:rsid w:val="005B2879"/>
    <w:rsid w:val="005B33F7"/>
    <w:rsid w:val="005B394C"/>
    <w:rsid w:val="005B3CCF"/>
    <w:rsid w:val="005B4147"/>
    <w:rsid w:val="005B44B7"/>
    <w:rsid w:val="005B4BDB"/>
    <w:rsid w:val="005B4FA7"/>
    <w:rsid w:val="005B596C"/>
    <w:rsid w:val="005B64D4"/>
    <w:rsid w:val="005B6809"/>
    <w:rsid w:val="005B7F00"/>
    <w:rsid w:val="005C03D4"/>
    <w:rsid w:val="005C09F9"/>
    <w:rsid w:val="005C0AF4"/>
    <w:rsid w:val="005C0B59"/>
    <w:rsid w:val="005C0D9D"/>
    <w:rsid w:val="005C1135"/>
    <w:rsid w:val="005C2515"/>
    <w:rsid w:val="005C3B9E"/>
    <w:rsid w:val="005C3F78"/>
    <w:rsid w:val="005C4665"/>
    <w:rsid w:val="005C51F7"/>
    <w:rsid w:val="005C698E"/>
    <w:rsid w:val="005C7583"/>
    <w:rsid w:val="005D000C"/>
    <w:rsid w:val="005D0F24"/>
    <w:rsid w:val="005D116B"/>
    <w:rsid w:val="005D2449"/>
    <w:rsid w:val="005D253E"/>
    <w:rsid w:val="005D370B"/>
    <w:rsid w:val="005D39F4"/>
    <w:rsid w:val="005D3CBB"/>
    <w:rsid w:val="005D4117"/>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6E4"/>
    <w:rsid w:val="005E3B79"/>
    <w:rsid w:val="005E5653"/>
    <w:rsid w:val="005E5AAC"/>
    <w:rsid w:val="005E5BE3"/>
    <w:rsid w:val="005E5D48"/>
    <w:rsid w:val="005E5EC3"/>
    <w:rsid w:val="005E5EFF"/>
    <w:rsid w:val="005E6BE9"/>
    <w:rsid w:val="005F00DD"/>
    <w:rsid w:val="005F0FA5"/>
    <w:rsid w:val="005F1143"/>
    <w:rsid w:val="005F1482"/>
    <w:rsid w:val="005F194A"/>
    <w:rsid w:val="005F26A3"/>
    <w:rsid w:val="005F3093"/>
    <w:rsid w:val="005F34F4"/>
    <w:rsid w:val="005F41E5"/>
    <w:rsid w:val="005F465F"/>
    <w:rsid w:val="005F4A9A"/>
    <w:rsid w:val="005F614D"/>
    <w:rsid w:val="005F63DC"/>
    <w:rsid w:val="005F669B"/>
    <w:rsid w:val="005F66D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F78"/>
    <w:rsid w:val="006410D8"/>
    <w:rsid w:val="006414B2"/>
    <w:rsid w:val="00641500"/>
    <w:rsid w:val="006421D1"/>
    <w:rsid w:val="00642B76"/>
    <w:rsid w:val="006434B2"/>
    <w:rsid w:val="00643778"/>
    <w:rsid w:val="00644580"/>
    <w:rsid w:val="00644FAA"/>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54B"/>
    <w:rsid w:val="00660558"/>
    <w:rsid w:val="006618BF"/>
    <w:rsid w:val="0066257F"/>
    <w:rsid w:val="00662F47"/>
    <w:rsid w:val="00663D26"/>
    <w:rsid w:val="0066480B"/>
    <w:rsid w:val="00664882"/>
    <w:rsid w:val="00664903"/>
    <w:rsid w:val="00665F81"/>
    <w:rsid w:val="00666B25"/>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2A2B"/>
    <w:rsid w:val="0068302D"/>
    <w:rsid w:val="00683A12"/>
    <w:rsid w:val="00683BCE"/>
    <w:rsid w:val="00684256"/>
    <w:rsid w:val="0068481B"/>
    <w:rsid w:val="00684D59"/>
    <w:rsid w:val="00684F62"/>
    <w:rsid w:val="00685177"/>
    <w:rsid w:val="0068578C"/>
    <w:rsid w:val="00685B8C"/>
    <w:rsid w:val="00685C71"/>
    <w:rsid w:val="00685E11"/>
    <w:rsid w:val="006867AA"/>
    <w:rsid w:val="00686D46"/>
    <w:rsid w:val="006900B9"/>
    <w:rsid w:val="006908F2"/>
    <w:rsid w:val="006926AE"/>
    <w:rsid w:val="0069348A"/>
    <w:rsid w:val="00693A59"/>
    <w:rsid w:val="00694323"/>
    <w:rsid w:val="006955E7"/>
    <w:rsid w:val="0069560F"/>
    <w:rsid w:val="00695C93"/>
    <w:rsid w:val="00696BB2"/>
    <w:rsid w:val="006973DD"/>
    <w:rsid w:val="006979FE"/>
    <w:rsid w:val="006A0B87"/>
    <w:rsid w:val="006A2012"/>
    <w:rsid w:val="006A24C2"/>
    <w:rsid w:val="006A288D"/>
    <w:rsid w:val="006A2A9C"/>
    <w:rsid w:val="006A2AC2"/>
    <w:rsid w:val="006A3242"/>
    <w:rsid w:val="006A3B1F"/>
    <w:rsid w:val="006A4E0F"/>
    <w:rsid w:val="006A501C"/>
    <w:rsid w:val="006A505F"/>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EDB"/>
    <w:rsid w:val="006C6DD6"/>
    <w:rsid w:val="006C6EA8"/>
    <w:rsid w:val="006C7E5E"/>
    <w:rsid w:val="006D0821"/>
    <w:rsid w:val="006D0CAD"/>
    <w:rsid w:val="006D14F4"/>
    <w:rsid w:val="006D1D6F"/>
    <w:rsid w:val="006D360B"/>
    <w:rsid w:val="006D368F"/>
    <w:rsid w:val="006D3DE0"/>
    <w:rsid w:val="006D4406"/>
    <w:rsid w:val="006D49CC"/>
    <w:rsid w:val="006D57C5"/>
    <w:rsid w:val="006D6C8E"/>
    <w:rsid w:val="006D6E77"/>
    <w:rsid w:val="006D7316"/>
    <w:rsid w:val="006D76E0"/>
    <w:rsid w:val="006D7D71"/>
    <w:rsid w:val="006D7E3B"/>
    <w:rsid w:val="006E0F0A"/>
    <w:rsid w:val="006E116B"/>
    <w:rsid w:val="006E1BD8"/>
    <w:rsid w:val="006E1D4A"/>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4442"/>
    <w:rsid w:val="007146A9"/>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75F5"/>
    <w:rsid w:val="00737B96"/>
    <w:rsid w:val="007409F5"/>
    <w:rsid w:val="00741611"/>
    <w:rsid w:val="00741667"/>
    <w:rsid w:val="007417A6"/>
    <w:rsid w:val="007418EC"/>
    <w:rsid w:val="00741A30"/>
    <w:rsid w:val="00741A50"/>
    <w:rsid w:val="00742004"/>
    <w:rsid w:val="007425B2"/>
    <w:rsid w:val="00742942"/>
    <w:rsid w:val="0074386E"/>
    <w:rsid w:val="00744B2A"/>
    <w:rsid w:val="00744C83"/>
    <w:rsid w:val="0074577A"/>
    <w:rsid w:val="0074596D"/>
    <w:rsid w:val="00746867"/>
    <w:rsid w:val="00746D25"/>
    <w:rsid w:val="00747217"/>
    <w:rsid w:val="0074769C"/>
    <w:rsid w:val="007476BA"/>
    <w:rsid w:val="00747C77"/>
    <w:rsid w:val="00747EE3"/>
    <w:rsid w:val="007502B7"/>
    <w:rsid w:val="0075237C"/>
    <w:rsid w:val="00752800"/>
    <w:rsid w:val="00752C92"/>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141E"/>
    <w:rsid w:val="007624CF"/>
    <w:rsid w:val="00762ABA"/>
    <w:rsid w:val="00762CA4"/>
    <w:rsid w:val="007631DE"/>
    <w:rsid w:val="007633B4"/>
    <w:rsid w:val="00763864"/>
    <w:rsid w:val="00763C05"/>
    <w:rsid w:val="00763CC2"/>
    <w:rsid w:val="00764150"/>
    <w:rsid w:val="007642F1"/>
    <w:rsid w:val="007649AE"/>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80AC9"/>
    <w:rsid w:val="00780B60"/>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62D5"/>
    <w:rsid w:val="007B6E79"/>
    <w:rsid w:val="007B7204"/>
    <w:rsid w:val="007B761C"/>
    <w:rsid w:val="007B7861"/>
    <w:rsid w:val="007B7D6D"/>
    <w:rsid w:val="007C02A7"/>
    <w:rsid w:val="007C09B0"/>
    <w:rsid w:val="007C1020"/>
    <w:rsid w:val="007C1583"/>
    <w:rsid w:val="007C3E99"/>
    <w:rsid w:val="007C4A64"/>
    <w:rsid w:val="007C4CBE"/>
    <w:rsid w:val="007C5326"/>
    <w:rsid w:val="007C5C58"/>
    <w:rsid w:val="007C5FC7"/>
    <w:rsid w:val="007C605A"/>
    <w:rsid w:val="007D0B58"/>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600C"/>
    <w:rsid w:val="007E69F8"/>
    <w:rsid w:val="007E6B5E"/>
    <w:rsid w:val="007E7128"/>
    <w:rsid w:val="007E76A3"/>
    <w:rsid w:val="007E786A"/>
    <w:rsid w:val="007E7887"/>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28E"/>
    <w:rsid w:val="00815DB2"/>
    <w:rsid w:val="0081630F"/>
    <w:rsid w:val="0081687D"/>
    <w:rsid w:val="008169F3"/>
    <w:rsid w:val="00816AB8"/>
    <w:rsid w:val="008173E9"/>
    <w:rsid w:val="00817ED9"/>
    <w:rsid w:val="008201A7"/>
    <w:rsid w:val="00821311"/>
    <w:rsid w:val="00821CD4"/>
    <w:rsid w:val="0082239F"/>
    <w:rsid w:val="008232CD"/>
    <w:rsid w:val="00823C67"/>
    <w:rsid w:val="00823E53"/>
    <w:rsid w:val="0082448C"/>
    <w:rsid w:val="0082516E"/>
    <w:rsid w:val="00825D86"/>
    <w:rsid w:val="008268A3"/>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EF0"/>
    <w:rsid w:val="008463FB"/>
    <w:rsid w:val="00846BC4"/>
    <w:rsid w:val="00846C93"/>
    <w:rsid w:val="008472EE"/>
    <w:rsid w:val="008474D4"/>
    <w:rsid w:val="00847835"/>
    <w:rsid w:val="0085021B"/>
    <w:rsid w:val="00851410"/>
    <w:rsid w:val="00851881"/>
    <w:rsid w:val="0085249E"/>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CF4"/>
    <w:rsid w:val="008A179A"/>
    <w:rsid w:val="008A2A22"/>
    <w:rsid w:val="008A35FB"/>
    <w:rsid w:val="008A3829"/>
    <w:rsid w:val="008A3A9E"/>
    <w:rsid w:val="008A43CB"/>
    <w:rsid w:val="008A49D7"/>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46A2"/>
    <w:rsid w:val="008B4D3C"/>
    <w:rsid w:val="008B4E28"/>
    <w:rsid w:val="008B4EFA"/>
    <w:rsid w:val="008B50E4"/>
    <w:rsid w:val="008B5337"/>
    <w:rsid w:val="008B5628"/>
    <w:rsid w:val="008B59D7"/>
    <w:rsid w:val="008B5BFD"/>
    <w:rsid w:val="008B6707"/>
    <w:rsid w:val="008B6C12"/>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73D"/>
    <w:rsid w:val="008E6CA9"/>
    <w:rsid w:val="008E6D81"/>
    <w:rsid w:val="008E7031"/>
    <w:rsid w:val="008E727D"/>
    <w:rsid w:val="008E72FA"/>
    <w:rsid w:val="008E7E43"/>
    <w:rsid w:val="008F0293"/>
    <w:rsid w:val="008F062F"/>
    <w:rsid w:val="008F0A99"/>
    <w:rsid w:val="008F0B06"/>
    <w:rsid w:val="008F0E23"/>
    <w:rsid w:val="008F27D0"/>
    <w:rsid w:val="008F2A1C"/>
    <w:rsid w:val="008F2B20"/>
    <w:rsid w:val="008F2BA2"/>
    <w:rsid w:val="008F2E5B"/>
    <w:rsid w:val="008F2FFF"/>
    <w:rsid w:val="008F32CA"/>
    <w:rsid w:val="008F33FF"/>
    <w:rsid w:val="008F34C7"/>
    <w:rsid w:val="008F39B1"/>
    <w:rsid w:val="008F4102"/>
    <w:rsid w:val="008F44D6"/>
    <w:rsid w:val="008F4F46"/>
    <w:rsid w:val="008F57A2"/>
    <w:rsid w:val="008F5B0D"/>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429A"/>
    <w:rsid w:val="00904781"/>
    <w:rsid w:val="00904F1B"/>
    <w:rsid w:val="00905150"/>
    <w:rsid w:val="00906DA8"/>
    <w:rsid w:val="009104BA"/>
    <w:rsid w:val="0091071A"/>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8C6"/>
    <w:rsid w:val="009229BC"/>
    <w:rsid w:val="00922AAC"/>
    <w:rsid w:val="00922C45"/>
    <w:rsid w:val="00922FC1"/>
    <w:rsid w:val="00923088"/>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5F3"/>
    <w:rsid w:val="0094209A"/>
    <w:rsid w:val="00942A0D"/>
    <w:rsid w:val="00942B11"/>
    <w:rsid w:val="00943765"/>
    <w:rsid w:val="00943F10"/>
    <w:rsid w:val="0094407D"/>
    <w:rsid w:val="00944D7D"/>
    <w:rsid w:val="00945024"/>
    <w:rsid w:val="00945344"/>
    <w:rsid w:val="009455F9"/>
    <w:rsid w:val="00945680"/>
    <w:rsid w:val="00945F02"/>
    <w:rsid w:val="00945FB9"/>
    <w:rsid w:val="009465E1"/>
    <w:rsid w:val="00946E10"/>
    <w:rsid w:val="0094733D"/>
    <w:rsid w:val="009501B9"/>
    <w:rsid w:val="00950403"/>
    <w:rsid w:val="00950BA4"/>
    <w:rsid w:val="00951519"/>
    <w:rsid w:val="00951620"/>
    <w:rsid w:val="00951DB3"/>
    <w:rsid w:val="00952102"/>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623"/>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E08"/>
    <w:rsid w:val="00990CD1"/>
    <w:rsid w:val="00990E48"/>
    <w:rsid w:val="00991457"/>
    <w:rsid w:val="00991CA2"/>
    <w:rsid w:val="00991CB1"/>
    <w:rsid w:val="00992196"/>
    <w:rsid w:val="009923C0"/>
    <w:rsid w:val="009929F9"/>
    <w:rsid w:val="00993109"/>
    <w:rsid w:val="00993175"/>
    <w:rsid w:val="00993644"/>
    <w:rsid w:val="009936DD"/>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696"/>
    <w:rsid w:val="009A6D52"/>
    <w:rsid w:val="009A7CBF"/>
    <w:rsid w:val="009A7FC1"/>
    <w:rsid w:val="009B032B"/>
    <w:rsid w:val="009B037E"/>
    <w:rsid w:val="009B03CD"/>
    <w:rsid w:val="009B1548"/>
    <w:rsid w:val="009B1610"/>
    <w:rsid w:val="009B3A1F"/>
    <w:rsid w:val="009B3BDC"/>
    <w:rsid w:val="009B476A"/>
    <w:rsid w:val="009B4C64"/>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75B0"/>
    <w:rsid w:val="009D7B48"/>
    <w:rsid w:val="009D7B62"/>
    <w:rsid w:val="009D7E43"/>
    <w:rsid w:val="009D7FCD"/>
    <w:rsid w:val="009E009D"/>
    <w:rsid w:val="009E051F"/>
    <w:rsid w:val="009E197C"/>
    <w:rsid w:val="009E1E47"/>
    <w:rsid w:val="009E28F2"/>
    <w:rsid w:val="009E388D"/>
    <w:rsid w:val="009E3F55"/>
    <w:rsid w:val="009E44E5"/>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CC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4661"/>
    <w:rsid w:val="00A049BC"/>
    <w:rsid w:val="00A04BA1"/>
    <w:rsid w:val="00A04C46"/>
    <w:rsid w:val="00A05874"/>
    <w:rsid w:val="00A07261"/>
    <w:rsid w:val="00A07A6C"/>
    <w:rsid w:val="00A10151"/>
    <w:rsid w:val="00A1057F"/>
    <w:rsid w:val="00A11CD3"/>
    <w:rsid w:val="00A11F56"/>
    <w:rsid w:val="00A1254F"/>
    <w:rsid w:val="00A1257F"/>
    <w:rsid w:val="00A13131"/>
    <w:rsid w:val="00A1327D"/>
    <w:rsid w:val="00A13763"/>
    <w:rsid w:val="00A13CD5"/>
    <w:rsid w:val="00A13E53"/>
    <w:rsid w:val="00A1450D"/>
    <w:rsid w:val="00A14998"/>
    <w:rsid w:val="00A15AE8"/>
    <w:rsid w:val="00A16F31"/>
    <w:rsid w:val="00A17172"/>
    <w:rsid w:val="00A17C2A"/>
    <w:rsid w:val="00A20FE3"/>
    <w:rsid w:val="00A20FF2"/>
    <w:rsid w:val="00A2132D"/>
    <w:rsid w:val="00A21770"/>
    <w:rsid w:val="00A22AD4"/>
    <w:rsid w:val="00A22ADB"/>
    <w:rsid w:val="00A22BBD"/>
    <w:rsid w:val="00A235BF"/>
    <w:rsid w:val="00A241C2"/>
    <w:rsid w:val="00A24A3D"/>
    <w:rsid w:val="00A2507D"/>
    <w:rsid w:val="00A2533D"/>
    <w:rsid w:val="00A260C9"/>
    <w:rsid w:val="00A26341"/>
    <w:rsid w:val="00A26711"/>
    <w:rsid w:val="00A27164"/>
    <w:rsid w:val="00A27351"/>
    <w:rsid w:val="00A276ED"/>
    <w:rsid w:val="00A27885"/>
    <w:rsid w:val="00A279B6"/>
    <w:rsid w:val="00A301E0"/>
    <w:rsid w:val="00A30559"/>
    <w:rsid w:val="00A30E0F"/>
    <w:rsid w:val="00A31FD6"/>
    <w:rsid w:val="00A33097"/>
    <w:rsid w:val="00A33162"/>
    <w:rsid w:val="00A33869"/>
    <w:rsid w:val="00A3485F"/>
    <w:rsid w:val="00A3577B"/>
    <w:rsid w:val="00A35DAB"/>
    <w:rsid w:val="00A360CF"/>
    <w:rsid w:val="00A36921"/>
    <w:rsid w:val="00A37223"/>
    <w:rsid w:val="00A3748D"/>
    <w:rsid w:val="00A3761F"/>
    <w:rsid w:val="00A37AB4"/>
    <w:rsid w:val="00A4028B"/>
    <w:rsid w:val="00A40A65"/>
    <w:rsid w:val="00A416A0"/>
    <w:rsid w:val="00A418C5"/>
    <w:rsid w:val="00A42021"/>
    <w:rsid w:val="00A430BE"/>
    <w:rsid w:val="00A435AF"/>
    <w:rsid w:val="00A4360F"/>
    <w:rsid w:val="00A4446D"/>
    <w:rsid w:val="00A44A79"/>
    <w:rsid w:val="00A45614"/>
    <w:rsid w:val="00A45E5A"/>
    <w:rsid w:val="00A45F0D"/>
    <w:rsid w:val="00A46667"/>
    <w:rsid w:val="00A4688D"/>
    <w:rsid w:val="00A468ED"/>
    <w:rsid w:val="00A47081"/>
    <w:rsid w:val="00A47088"/>
    <w:rsid w:val="00A51568"/>
    <w:rsid w:val="00A515C2"/>
    <w:rsid w:val="00A51B25"/>
    <w:rsid w:val="00A51B9E"/>
    <w:rsid w:val="00A51C56"/>
    <w:rsid w:val="00A52268"/>
    <w:rsid w:val="00A5253E"/>
    <w:rsid w:val="00A52720"/>
    <w:rsid w:val="00A52A3C"/>
    <w:rsid w:val="00A52BD8"/>
    <w:rsid w:val="00A535E5"/>
    <w:rsid w:val="00A5420E"/>
    <w:rsid w:val="00A54DF2"/>
    <w:rsid w:val="00A54ED3"/>
    <w:rsid w:val="00A55002"/>
    <w:rsid w:val="00A550BA"/>
    <w:rsid w:val="00A55963"/>
    <w:rsid w:val="00A5614B"/>
    <w:rsid w:val="00A56705"/>
    <w:rsid w:val="00A56EEE"/>
    <w:rsid w:val="00A571C4"/>
    <w:rsid w:val="00A5772F"/>
    <w:rsid w:val="00A6091A"/>
    <w:rsid w:val="00A61AD7"/>
    <w:rsid w:val="00A61FAF"/>
    <w:rsid w:val="00A63605"/>
    <w:rsid w:val="00A639EE"/>
    <w:rsid w:val="00A655A3"/>
    <w:rsid w:val="00A65FA8"/>
    <w:rsid w:val="00A663BA"/>
    <w:rsid w:val="00A66BF4"/>
    <w:rsid w:val="00A66F63"/>
    <w:rsid w:val="00A672CF"/>
    <w:rsid w:val="00A67938"/>
    <w:rsid w:val="00A67E92"/>
    <w:rsid w:val="00A70733"/>
    <w:rsid w:val="00A70987"/>
    <w:rsid w:val="00A71613"/>
    <w:rsid w:val="00A7208C"/>
    <w:rsid w:val="00A72687"/>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29D"/>
    <w:rsid w:val="00A90784"/>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B0C"/>
    <w:rsid w:val="00AE5D6B"/>
    <w:rsid w:val="00AE60B3"/>
    <w:rsid w:val="00AE75D6"/>
    <w:rsid w:val="00AE76AA"/>
    <w:rsid w:val="00AE797C"/>
    <w:rsid w:val="00AE7FD1"/>
    <w:rsid w:val="00AF0B29"/>
    <w:rsid w:val="00AF14FD"/>
    <w:rsid w:val="00AF2075"/>
    <w:rsid w:val="00AF314A"/>
    <w:rsid w:val="00AF33E6"/>
    <w:rsid w:val="00AF4DC8"/>
    <w:rsid w:val="00AF517F"/>
    <w:rsid w:val="00AF5876"/>
    <w:rsid w:val="00AF755D"/>
    <w:rsid w:val="00AF7714"/>
    <w:rsid w:val="00AF7855"/>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2083"/>
    <w:rsid w:val="00B127EF"/>
    <w:rsid w:val="00B12A44"/>
    <w:rsid w:val="00B12AD9"/>
    <w:rsid w:val="00B12BEA"/>
    <w:rsid w:val="00B1374B"/>
    <w:rsid w:val="00B13DE2"/>
    <w:rsid w:val="00B146D2"/>
    <w:rsid w:val="00B14A19"/>
    <w:rsid w:val="00B1562A"/>
    <w:rsid w:val="00B156E0"/>
    <w:rsid w:val="00B16552"/>
    <w:rsid w:val="00B16604"/>
    <w:rsid w:val="00B17069"/>
    <w:rsid w:val="00B17329"/>
    <w:rsid w:val="00B17673"/>
    <w:rsid w:val="00B17762"/>
    <w:rsid w:val="00B201A5"/>
    <w:rsid w:val="00B2070B"/>
    <w:rsid w:val="00B2099D"/>
    <w:rsid w:val="00B20E21"/>
    <w:rsid w:val="00B217BD"/>
    <w:rsid w:val="00B22733"/>
    <w:rsid w:val="00B251F1"/>
    <w:rsid w:val="00B2532D"/>
    <w:rsid w:val="00B255AE"/>
    <w:rsid w:val="00B2560B"/>
    <w:rsid w:val="00B25E5C"/>
    <w:rsid w:val="00B26782"/>
    <w:rsid w:val="00B268D6"/>
    <w:rsid w:val="00B26AA2"/>
    <w:rsid w:val="00B26BB1"/>
    <w:rsid w:val="00B274B4"/>
    <w:rsid w:val="00B279F0"/>
    <w:rsid w:val="00B27B10"/>
    <w:rsid w:val="00B30F90"/>
    <w:rsid w:val="00B31297"/>
    <w:rsid w:val="00B32438"/>
    <w:rsid w:val="00B3252E"/>
    <w:rsid w:val="00B34983"/>
    <w:rsid w:val="00B34D36"/>
    <w:rsid w:val="00B351E0"/>
    <w:rsid w:val="00B3618D"/>
    <w:rsid w:val="00B36289"/>
    <w:rsid w:val="00B363DC"/>
    <w:rsid w:val="00B36BB5"/>
    <w:rsid w:val="00B400FA"/>
    <w:rsid w:val="00B40117"/>
    <w:rsid w:val="00B405D6"/>
    <w:rsid w:val="00B4184E"/>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E3B"/>
    <w:rsid w:val="00B51F6E"/>
    <w:rsid w:val="00B52CD7"/>
    <w:rsid w:val="00B53DC4"/>
    <w:rsid w:val="00B54A31"/>
    <w:rsid w:val="00B54F47"/>
    <w:rsid w:val="00B552B1"/>
    <w:rsid w:val="00B555E0"/>
    <w:rsid w:val="00B55F16"/>
    <w:rsid w:val="00B56483"/>
    <w:rsid w:val="00B564AA"/>
    <w:rsid w:val="00B56783"/>
    <w:rsid w:val="00B60277"/>
    <w:rsid w:val="00B61005"/>
    <w:rsid w:val="00B651C2"/>
    <w:rsid w:val="00B65BCB"/>
    <w:rsid w:val="00B6603A"/>
    <w:rsid w:val="00B66AD5"/>
    <w:rsid w:val="00B66B49"/>
    <w:rsid w:val="00B66FD7"/>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BA9"/>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9F7"/>
    <w:rsid w:val="00BC0EA6"/>
    <w:rsid w:val="00BC10AD"/>
    <w:rsid w:val="00BC1FBE"/>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73A8"/>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472A"/>
    <w:rsid w:val="00C04CFB"/>
    <w:rsid w:val="00C05780"/>
    <w:rsid w:val="00C0585F"/>
    <w:rsid w:val="00C05F86"/>
    <w:rsid w:val="00C06F2D"/>
    <w:rsid w:val="00C0724B"/>
    <w:rsid w:val="00C0753B"/>
    <w:rsid w:val="00C07746"/>
    <w:rsid w:val="00C0797A"/>
    <w:rsid w:val="00C07B68"/>
    <w:rsid w:val="00C07ECE"/>
    <w:rsid w:val="00C106BF"/>
    <w:rsid w:val="00C10BDC"/>
    <w:rsid w:val="00C132B6"/>
    <w:rsid w:val="00C135E9"/>
    <w:rsid w:val="00C13617"/>
    <w:rsid w:val="00C1362E"/>
    <w:rsid w:val="00C14479"/>
    <w:rsid w:val="00C150B7"/>
    <w:rsid w:val="00C156CD"/>
    <w:rsid w:val="00C156E6"/>
    <w:rsid w:val="00C15A12"/>
    <w:rsid w:val="00C163C4"/>
    <w:rsid w:val="00C16EE0"/>
    <w:rsid w:val="00C17E29"/>
    <w:rsid w:val="00C17E2A"/>
    <w:rsid w:val="00C20823"/>
    <w:rsid w:val="00C21140"/>
    <w:rsid w:val="00C21B59"/>
    <w:rsid w:val="00C21BFB"/>
    <w:rsid w:val="00C22216"/>
    <w:rsid w:val="00C230A4"/>
    <w:rsid w:val="00C234A9"/>
    <w:rsid w:val="00C23752"/>
    <w:rsid w:val="00C23BC7"/>
    <w:rsid w:val="00C23F3F"/>
    <w:rsid w:val="00C245CA"/>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259A"/>
    <w:rsid w:val="00C42904"/>
    <w:rsid w:val="00C42AA0"/>
    <w:rsid w:val="00C42ABE"/>
    <w:rsid w:val="00C42C08"/>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5678"/>
    <w:rsid w:val="00C55F6F"/>
    <w:rsid w:val="00C576E1"/>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EE3"/>
    <w:rsid w:val="00C71141"/>
    <w:rsid w:val="00C71EBA"/>
    <w:rsid w:val="00C72730"/>
    <w:rsid w:val="00C729E0"/>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7019"/>
    <w:rsid w:val="00C87921"/>
    <w:rsid w:val="00C87BF9"/>
    <w:rsid w:val="00C87E16"/>
    <w:rsid w:val="00C9050A"/>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95B"/>
    <w:rsid w:val="00CA0E43"/>
    <w:rsid w:val="00CA1B35"/>
    <w:rsid w:val="00CA254F"/>
    <w:rsid w:val="00CA25B9"/>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A9B"/>
    <w:rsid w:val="00CE0BF6"/>
    <w:rsid w:val="00CE0F8F"/>
    <w:rsid w:val="00CE11EA"/>
    <w:rsid w:val="00CE135C"/>
    <w:rsid w:val="00CE14D1"/>
    <w:rsid w:val="00CE1629"/>
    <w:rsid w:val="00CE1882"/>
    <w:rsid w:val="00CE1887"/>
    <w:rsid w:val="00CE2CA2"/>
    <w:rsid w:val="00CE2CC4"/>
    <w:rsid w:val="00CE3BEE"/>
    <w:rsid w:val="00CE5B3C"/>
    <w:rsid w:val="00CE640A"/>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6EF"/>
    <w:rsid w:val="00D251DD"/>
    <w:rsid w:val="00D25201"/>
    <w:rsid w:val="00D25D0E"/>
    <w:rsid w:val="00D2617F"/>
    <w:rsid w:val="00D261F7"/>
    <w:rsid w:val="00D2658E"/>
    <w:rsid w:val="00D26AFF"/>
    <w:rsid w:val="00D270B4"/>
    <w:rsid w:val="00D27491"/>
    <w:rsid w:val="00D27E11"/>
    <w:rsid w:val="00D30946"/>
    <w:rsid w:val="00D31F74"/>
    <w:rsid w:val="00D327C7"/>
    <w:rsid w:val="00D337CA"/>
    <w:rsid w:val="00D33D87"/>
    <w:rsid w:val="00D34234"/>
    <w:rsid w:val="00D343A1"/>
    <w:rsid w:val="00D344D0"/>
    <w:rsid w:val="00D34A1D"/>
    <w:rsid w:val="00D34BA3"/>
    <w:rsid w:val="00D35F19"/>
    <w:rsid w:val="00D361D7"/>
    <w:rsid w:val="00D37952"/>
    <w:rsid w:val="00D4073B"/>
    <w:rsid w:val="00D4087E"/>
    <w:rsid w:val="00D40A7C"/>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14B6"/>
    <w:rsid w:val="00D514E5"/>
    <w:rsid w:val="00D5174F"/>
    <w:rsid w:val="00D5188A"/>
    <w:rsid w:val="00D522E0"/>
    <w:rsid w:val="00D525FB"/>
    <w:rsid w:val="00D52CE1"/>
    <w:rsid w:val="00D530CC"/>
    <w:rsid w:val="00D54845"/>
    <w:rsid w:val="00D551FD"/>
    <w:rsid w:val="00D55344"/>
    <w:rsid w:val="00D55732"/>
    <w:rsid w:val="00D55AED"/>
    <w:rsid w:val="00D55EBC"/>
    <w:rsid w:val="00D56519"/>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48AA"/>
    <w:rsid w:val="00D650F9"/>
    <w:rsid w:val="00D658D3"/>
    <w:rsid w:val="00D6590C"/>
    <w:rsid w:val="00D65A5D"/>
    <w:rsid w:val="00D67648"/>
    <w:rsid w:val="00D67B3E"/>
    <w:rsid w:val="00D67F1C"/>
    <w:rsid w:val="00D706DC"/>
    <w:rsid w:val="00D70732"/>
    <w:rsid w:val="00D70E3A"/>
    <w:rsid w:val="00D710B2"/>
    <w:rsid w:val="00D71673"/>
    <w:rsid w:val="00D718FB"/>
    <w:rsid w:val="00D71AD7"/>
    <w:rsid w:val="00D71B15"/>
    <w:rsid w:val="00D71DE9"/>
    <w:rsid w:val="00D72E3D"/>
    <w:rsid w:val="00D73299"/>
    <w:rsid w:val="00D7393B"/>
    <w:rsid w:val="00D741B7"/>
    <w:rsid w:val="00D74662"/>
    <w:rsid w:val="00D74F20"/>
    <w:rsid w:val="00D75926"/>
    <w:rsid w:val="00D762F3"/>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7E6"/>
    <w:rsid w:val="00DA2992"/>
    <w:rsid w:val="00DA2EA6"/>
    <w:rsid w:val="00DA304F"/>
    <w:rsid w:val="00DA3B52"/>
    <w:rsid w:val="00DA40B1"/>
    <w:rsid w:val="00DA4374"/>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830"/>
    <w:rsid w:val="00DC03E1"/>
    <w:rsid w:val="00DC1403"/>
    <w:rsid w:val="00DC15B5"/>
    <w:rsid w:val="00DC1AB6"/>
    <w:rsid w:val="00DC229C"/>
    <w:rsid w:val="00DC26A7"/>
    <w:rsid w:val="00DC349E"/>
    <w:rsid w:val="00DC3651"/>
    <w:rsid w:val="00DC3A20"/>
    <w:rsid w:val="00DC41B3"/>
    <w:rsid w:val="00DC46D2"/>
    <w:rsid w:val="00DC4DB7"/>
    <w:rsid w:val="00DC5ABD"/>
    <w:rsid w:val="00DC6518"/>
    <w:rsid w:val="00DC6D8A"/>
    <w:rsid w:val="00DC7421"/>
    <w:rsid w:val="00DC7777"/>
    <w:rsid w:val="00DC7C28"/>
    <w:rsid w:val="00DD0323"/>
    <w:rsid w:val="00DD09E1"/>
    <w:rsid w:val="00DD1598"/>
    <w:rsid w:val="00DD1D06"/>
    <w:rsid w:val="00DD2272"/>
    <w:rsid w:val="00DD2B1A"/>
    <w:rsid w:val="00DD3D14"/>
    <w:rsid w:val="00DD3D28"/>
    <w:rsid w:val="00DD3D86"/>
    <w:rsid w:val="00DD3EB5"/>
    <w:rsid w:val="00DD4F2A"/>
    <w:rsid w:val="00DD5533"/>
    <w:rsid w:val="00DD5981"/>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40E1"/>
    <w:rsid w:val="00DE4301"/>
    <w:rsid w:val="00DE43CB"/>
    <w:rsid w:val="00DE539D"/>
    <w:rsid w:val="00DE629C"/>
    <w:rsid w:val="00DE6650"/>
    <w:rsid w:val="00DE6EBF"/>
    <w:rsid w:val="00DF0484"/>
    <w:rsid w:val="00DF090F"/>
    <w:rsid w:val="00DF0982"/>
    <w:rsid w:val="00DF0CD1"/>
    <w:rsid w:val="00DF111E"/>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99E"/>
    <w:rsid w:val="00E27AC7"/>
    <w:rsid w:val="00E27D3E"/>
    <w:rsid w:val="00E27F4F"/>
    <w:rsid w:val="00E27F51"/>
    <w:rsid w:val="00E306A1"/>
    <w:rsid w:val="00E3088D"/>
    <w:rsid w:val="00E30B25"/>
    <w:rsid w:val="00E30B8F"/>
    <w:rsid w:val="00E30E77"/>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6E9"/>
    <w:rsid w:val="00E430D8"/>
    <w:rsid w:val="00E4336F"/>
    <w:rsid w:val="00E4348B"/>
    <w:rsid w:val="00E437DE"/>
    <w:rsid w:val="00E441F4"/>
    <w:rsid w:val="00E44390"/>
    <w:rsid w:val="00E44ABC"/>
    <w:rsid w:val="00E44E70"/>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ECF"/>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D0"/>
    <w:rsid w:val="00E71986"/>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8A9"/>
    <w:rsid w:val="00E82F6F"/>
    <w:rsid w:val="00E8427F"/>
    <w:rsid w:val="00E84CB8"/>
    <w:rsid w:val="00E85641"/>
    <w:rsid w:val="00E85933"/>
    <w:rsid w:val="00E85B1A"/>
    <w:rsid w:val="00E86944"/>
    <w:rsid w:val="00E86DB6"/>
    <w:rsid w:val="00E86DD8"/>
    <w:rsid w:val="00E87317"/>
    <w:rsid w:val="00E9044F"/>
    <w:rsid w:val="00E9053B"/>
    <w:rsid w:val="00E91AAF"/>
    <w:rsid w:val="00E91DEA"/>
    <w:rsid w:val="00E92277"/>
    <w:rsid w:val="00E92B10"/>
    <w:rsid w:val="00E93104"/>
    <w:rsid w:val="00E9334F"/>
    <w:rsid w:val="00E934E8"/>
    <w:rsid w:val="00E93743"/>
    <w:rsid w:val="00E93850"/>
    <w:rsid w:val="00E940BE"/>
    <w:rsid w:val="00E94AE1"/>
    <w:rsid w:val="00E96020"/>
    <w:rsid w:val="00E9728F"/>
    <w:rsid w:val="00E97790"/>
    <w:rsid w:val="00EA01F2"/>
    <w:rsid w:val="00EA064E"/>
    <w:rsid w:val="00EA146F"/>
    <w:rsid w:val="00EA18EB"/>
    <w:rsid w:val="00EA1922"/>
    <w:rsid w:val="00EA1BDB"/>
    <w:rsid w:val="00EA1BE5"/>
    <w:rsid w:val="00EA1F4C"/>
    <w:rsid w:val="00EA35B3"/>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C03D1"/>
    <w:rsid w:val="00EC0D87"/>
    <w:rsid w:val="00EC0DAD"/>
    <w:rsid w:val="00EC10D5"/>
    <w:rsid w:val="00EC21EF"/>
    <w:rsid w:val="00EC2E3B"/>
    <w:rsid w:val="00EC306B"/>
    <w:rsid w:val="00EC3742"/>
    <w:rsid w:val="00EC374E"/>
    <w:rsid w:val="00EC3B8D"/>
    <w:rsid w:val="00EC54D3"/>
    <w:rsid w:val="00EC65BD"/>
    <w:rsid w:val="00EC6F66"/>
    <w:rsid w:val="00EC7623"/>
    <w:rsid w:val="00EC7C65"/>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EAC"/>
    <w:rsid w:val="00EF1F4B"/>
    <w:rsid w:val="00EF1F7B"/>
    <w:rsid w:val="00EF338A"/>
    <w:rsid w:val="00EF3E68"/>
    <w:rsid w:val="00EF5416"/>
    <w:rsid w:val="00EF599C"/>
    <w:rsid w:val="00EF60CB"/>
    <w:rsid w:val="00EF6286"/>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471A"/>
    <w:rsid w:val="00F3480E"/>
    <w:rsid w:val="00F349BE"/>
    <w:rsid w:val="00F34B1D"/>
    <w:rsid w:val="00F34D7D"/>
    <w:rsid w:val="00F34EC1"/>
    <w:rsid w:val="00F35E23"/>
    <w:rsid w:val="00F3611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6285"/>
    <w:rsid w:val="00F47246"/>
    <w:rsid w:val="00F476CB"/>
    <w:rsid w:val="00F505BA"/>
    <w:rsid w:val="00F506D0"/>
    <w:rsid w:val="00F5072B"/>
    <w:rsid w:val="00F50776"/>
    <w:rsid w:val="00F50794"/>
    <w:rsid w:val="00F50A64"/>
    <w:rsid w:val="00F5139F"/>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105F"/>
    <w:rsid w:val="00F6246B"/>
    <w:rsid w:val="00F63028"/>
    <w:rsid w:val="00F6314C"/>
    <w:rsid w:val="00F63349"/>
    <w:rsid w:val="00F642E7"/>
    <w:rsid w:val="00F65E9C"/>
    <w:rsid w:val="00F662C0"/>
    <w:rsid w:val="00F663E0"/>
    <w:rsid w:val="00F669DC"/>
    <w:rsid w:val="00F66A2E"/>
    <w:rsid w:val="00F7001F"/>
    <w:rsid w:val="00F703FC"/>
    <w:rsid w:val="00F70D58"/>
    <w:rsid w:val="00F711BC"/>
    <w:rsid w:val="00F71D66"/>
    <w:rsid w:val="00F72C73"/>
    <w:rsid w:val="00F73785"/>
    <w:rsid w:val="00F73E8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51C4"/>
    <w:rsid w:val="00FA55CB"/>
    <w:rsid w:val="00FA649A"/>
    <w:rsid w:val="00FA68DE"/>
    <w:rsid w:val="00FA785B"/>
    <w:rsid w:val="00FA7B8E"/>
    <w:rsid w:val="00FB058B"/>
    <w:rsid w:val="00FB1014"/>
    <w:rsid w:val="00FB18BF"/>
    <w:rsid w:val="00FB2215"/>
    <w:rsid w:val="00FB3164"/>
    <w:rsid w:val="00FB3A6E"/>
    <w:rsid w:val="00FB4338"/>
    <w:rsid w:val="00FB459A"/>
    <w:rsid w:val="00FB48D9"/>
    <w:rsid w:val="00FB4963"/>
    <w:rsid w:val="00FB517B"/>
    <w:rsid w:val="00FB5310"/>
    <w:rsid w:val="00FB5602"/>
    <w:rsid w:val="00FB5A3A"/>
    <w:rsid w:val="00FB62BA"/>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122"/>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14F9"/>
    <w:rsid w:val="00FF19D4"/>
    <w:rsid w:val="00FF1A8A"/>
    <w:rsid w:val="00FF1B72"/>
    <w:rsid w:val="00FF200D"/>
    <w:rsid w:val="00FF312D"/>
    <w:rsid w:val="00FF3461"/>
    <w:rsid w:val="00FF3CDA"/>
    <w:rsid w:val="00FF419F"/>
    <w:rsid w:val="00FF4A27"/>
    <w:rsid w:val="00FF50B1"/>
    <w:rsid w:val="00FF5185"/>
    <w:rsid w:val="00FF5237"/>
    <w:rsid w:val="00FF53EF"/>
    <w:rsid w:val="00FF69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C-0065" TargetMode="External"/><Relationship Id="rId18" Type="http://schemas.openxmlformats.org/officeDocument/2006/relationships/hyperlink" Target="https://www.itu.int/md/meetingdoc.asp?lang=en&amp;parent=T17-TSAG-C-0070" TargetMode="External"/><Relationship Id="rId26" Type="http://schemas.openxmlformats.org/officeDocument/2006/relationships/hyperlink" Target="https://www.itu.int/md/meetingdoc.asp?lang=en&amp;parent=T17-TSAG-C-0078" TargetMode="External"/><Relationship Id="rId39" Type="http://schemas.openxmlformats.org/officeDocument/2006/relationships/hyperlink" Target="https://www.itu.int/md/meetingdoc.asp?lang=en&amp;parent=T17-TSAG-C-0091" TargetMode="External"/><Relationship Id="rId3" Type="http://schemas.openxmlformats.org/officeDocument/2006/relationships/styles" Target="styles.xml"/><Relationship Id="rId21" Type="http://schemas.openxmlformats.org/officeDocument/2006/relationships/hyperlink" Target="https://www.itu.int/md/meetingdoc.asp?lang=en&amp;parent=T17-TSAG-C-0073" TargetMode="External"/><Relationship Id="rId34" Type="http://schemas.openxmlformats.org/officeDocument/2006/relationships/hyperlink" Target="https://www.itu.int/md/meetingdoc.asp?lang=en&amp;parent=T17-TSAG-C-0086" TargetMode="External"/><Relationship Id="rId42" Type="http://schemas.openxmlformats.org/officeDocument/2006/relationships/hyperlink" Target="https://www.itu.int/md/meetingdoc.asp?lang=en&amp;parent=T17-TSAG-C-0094" TargetMode="External"/><Relationship Id="rId47" Type="http://schemas.openxmlformats.org/officeDocument/2006/relationships/hyperlink" Target="https://www.itu.int/md/meetingdoc.asp?lang=en&amp;parent=T17-TSAG-C-0099" TargetMode="Externa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tu.int/md/meetingdoc.asp?lang=en&amp;parent=T17-TSAG-C-0064" TargetMode="External"/><Relationship Id="rId17" Type="http://schemas.openxmlformats.org/officeDocument/2006/relationships/hyperlink" Target="https://www.itu.int/md/meetingdoc.asp?lang=en&amp;parent=T17-TSAG-C-0069" TargetMode="External"/><Relationship Id="rId25" Type="http://schemas.openxmlformats.org/officeDocument/2006/relationships/hyperlink" Target="https://www.itu.int/md/meetingdoc.asp?lang=en&amp;parent=T17-TSAG-C-0077" TargetMode="External"/><Relationship Id="rId33" Type="http://schemas.openxmlformats.org/officeDocument/2006/relationships/hyperlink" Target="https://www.itu.int/md/meetingdoc.asp?lang=en&amp;parent=T17-TSAG-C-0085" TargetMode="External"/><Relationship Id="rId38" Type="http://schemas.openxmlformats.org/officeDocument/2006/relationships/hyperlink" Target="https://www.itu.int/md/meetingdoc.asp?lang=en&amp;parent=T17-TSAG-C-0090" TargetMode="External"/><Relationship Id="rId46" Type="http://schemas.openxmlformats.org/officeDocument/2006/relationships/hyperlink" Target="https://www.itu.int/md/meetingdoc.asp?lang=en&amp;parent=T17-TSAG-C-0098" TargetMode="External"/><Relationship Id="rId2" Type="http://schemas.openxmlformats.org/officeDocument/2006/relationships/numbering" Target="numbering.xml"/><Relationship Id="rId16" Type="http://schemas.openxmlformats.org/officeDocument/2006/relationships/hyperlink" Target="https://www.itu.int/md/meetingdoc.asp?lang=en&amp;parent=T17-TSAG-C-0068" TargetMode="External"/><Relationship Id="rId20" Type="http://schemas.openxmlformats.org/officeDocument/2006/relationships/hyperlink" Target="https://www.itu.int/md/meetingdoc.asp?lang=en&amp;parent=T17-TSAG-C-0072" TargetMode="External"/><Relationship Id="rId29" Type="http://schemas.openxmlformats.org/officeDocument/2006/relationships/hyperlink" Target="https://www.itu.int/md/meetingdoc.asp?lang=en&amp;parent=T17-TSAG-C-0081" TargetMode="External"/><Relationship Id="rId41" Type="http://schemas.openxmlformats.org/officeDocument/2006/relationships/hyperlink" Target="https://www.itu.int/md/meetingdoc.asp?lang=en&amp;parent=T17-TSAG-C-00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17-TSAG-C-0063" TargetMode="External"/><Relationship Id="rId24" Type="http://schemas.openxmlformats.org/officeDocument/2006/relationships/hyperlink" Target="https://www.itu.int/md/meetingdoc.asp?lang=en&amp;parent=T17-TSAG-C-0076" TargetMode="External"/><Relationship Id="rId32" Type="http://schemas.openxmlformats.org/officeDocument/2006/relationships/hyperlink" Target="https://www.itu.int/md/meetingdoc.asp?lang=en&amp;parent=T17-TSAG-C-0084" TargetMode="External"/><Relationship Id="rId37" Type="http://schemas.openxmlformats.org/officeDocument/2006/relationships/hyperlink" Target="https://www.itu.int/md/meetingdoc.asp?lang=en&amp;parent=T17-TSAG-C-0089" TargetMode="External"/><Relationship Id="rId40" Type="http://schemas.openxmlformats.org/officeDocument/2006/relationships/hyperlink" Target="https://www.itu.int/md/meetingdoc.asp?lang=en&amp;parent=T17-TSAG-C-0092" TargetMode="External"/><Relationship Id="rId45" Type="http://schemas.openxmlformats.org/officeDocument/2006/relationships/hyperlink" Target="https://www.itu.int/md/meetingdoc.asp?lang=en&amp;parent=T17-TSAG-C-0097" TargetMode="External"/><Relationship Id="rId5" Type="http://schemas.openxmlformats.org/officeDocument/2006/relationships/webSettings" Target="webSettings.xml"/><Relationship Id="rId15" Type="http://schemas.openxmlformats.org/officeDocument/2006/relationships/hyperlink" Target="https://www.itu.int/md/meetingdoc.asp?lang=en&amp;parent=T17-TSAG-C-0067" TargetMode="External"/><Relationship Id="rId23" Type="http://schemas.openxmlformats.org/officeDocument/2006/relationships/hyperlink" Target="https://www.itu.int/md/meetingdoc.asp?lang=en&amp;parent=T17-TSAG-C-0075" TargetMode="External"/><Relationship Id="rId28" Type="http://schemas.openxmlformats.org/officeDocument/2006/relationships/hyperlink" Target="https://www.itu.int/md/meetingdoc.asp?lang=en&amp;parent=T17-TSAG-C-0080" TargetMode="External"/><Relationship Id="rId36" Type="http://schemas.openxmlformats.org/officeDocument/2006/relationships/hyperlink" Target="https://www.itu.int/md/meetingdoc.asp?lang=en&amp;parent=T17-TSAG-C-0088" TargetMode="External"/><Relationship Id="rId49" Type="http://schemas.openxmlformats.org/officeDocument/2006/relationships/fontTable" Target="fontTable.xml"/><Relationship Id="rId10" Type="http://schemas.openxmlformats.org/officeDocument/2006/relationships/hyperlink" Target="https://www.itu.int/md/meetingdoc.asp?lang=en&amp;parent=T17-TSAG-C-0062" TargetMode="External"/><Relationship Id="rId19" Type="http://schemas.openxmlformats.org/officeDocument/2006/relationships/hyperlink" Target="https://www.itu.int/md/meetingdoc.asp?lang=en&amp;parent=T17-TSAG-C-0071" TargetMode="External"/><Relationship Id="rId31" Type="http://schemas.openxmlformats.org/officeDocument/2006/relationships/hyperlink" Target="https://www.itu.int/md/meetingdoc.asp?lang=en&amp;parent=T17-TSAG-C-0083" TargetMode="External"/><Relationship Id="rId44" Type="http://schemas.openxmlformats.org/officeDocument/2006/relationships/hyperlink" Target="https://www.itu.int/md/meetingdoc.asp?lang=en&amp;parent=T17-TSAG-C-0096" TargetMode="Externa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yperlink" Target="https://www.itu.int/md/meetingdoc.asp?lang=en&amp;parent=T17-TSAG-C-0066" TargetMode="External"/><Relationship Id="rId22" Type="http://schemas.openxmlformats.org/officeDocument/2006/relationships/hyperlink" Target="https://www.itu.int/md/meetingdoc.asp?lang=en&amp;parent=T17-TSAG-C-0074" TargetMode="External"/><Relationship Id="rId27" Type="http://schemas.openxmlformats.org/officeDocument/2006/relationships/hyperlink" Target="https://www.itu.int/md/meetingdoc.asp?lang=en&amp;parent=T17-TSAG-C-0079" TargetMode="External"/><Relationship Id="rId30" Type="http://schemas.openxmlformats.org/officeDocument/2006/relationships/hyperlink" Target="https://www.itu.int/md/meetingdoc.asp?lang=en&amp;parent=T17-TSAG-C-0082" TargetMode="External"/><Relationship Id="rId35" Type="http://schemas.openxmlformats.org/officeDocument/2006/relationships/hyperlink" Target="https://www.itu.int/md/meetingdoc.asp?lang=en&amp;parent=T17-TSAG-C-0087" TargetMode="External"/><Relationship Id="rId43" Type="http://schemas.openxmlformats.org/officeDocument/2006/relationships/hyperlink" Target="https://www.itu.int/md/meetingdoc.asp?lang=en&amp;parent=T17-TSAG-C-0095" TargetMode="External"/><Relationship Id="rId48" Type="http://schemas.openxmlformats.org/officeDocument/2006/relationships/header" Target="header1.xml"/><Relationship Id="rId8" Type="http://schemas.openxmlformats.org/officeDocument/2006/relationships/image" Target="media/image1.gif"/><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38"/>
    <w:rsid w:val="00037E61"/>
    <w:rsid w:val="000A2EEC"/>
    <w:rsid w:val="000C2126"/>
    <w:rsid w:val="000E6492"/>
    <w:rsid w:val="00150E6D"/>
    <w:rsid w:val="00156025"/>
    <w:rsid w:val="001836DB"/>
    <w:rsid w:val="001B21B0"/>
    <w:rsid w:val="00242918"/>
    <w:rsid w:val="002442B0"/>
    <w:rsid w:val="0025369E"/>
    <w:rsid w:val="002A696F"/>
    <w:rsid w:val="002D45BE"/>
    <w:rsid w:val="0031628C"/>
    <w:rsid w:val="00323B9A"/>
    <w:rsid w:val="003241AD"/>
    <w:rsid w:val="00327E7F"/>
    <w:rsid w:val="00362BF8"/>
    <w:rsid w:val="0037188E"/>
    <w:rsid w:val="00374104"/>
    <w:rsid w:val="003A0F98"/>
    <w:rsid w:val="003B6A98"/>
    <w:rsid w:val="003E4E95"/>
    <w:rsid w:val="003F1E0E"/>
    <w:rsid w:val="00447ED0"/>
    <w:rsid w:val="004673FA"/>
    <w:rsid w:val="00471014"/>
    <w:rsid w:val="00474709"/>
    <w:rsid w:val="0048573C"/>
    <w:rsid w:val="004D7CC7"/>
    <w:rsid w:val="004E0388"/>
    <w:rsid w:val="00513DD1"/>
    <w:rsid w:val="00587263"/>
    <w:rsid w:val="005A6D32"/>
    <w:rsid w:val="005B40A3"/>
    <w:rsid w:val="005F48A0"/>
    <w:rsid w:val="006026F7"/>
    <w:rsid w:val="00661047"/>
    <w:rsid w:val="006C2207"/>
    <w:rsid w:val="006E6FBE"/>
    <w:rsid w:val="0070032C"/>
    <w:rsid w:val="0072073A"/>
    <w:rsid w:val="007208FE"/>
    <w:rsid w:val="00741DE0"/>
    <w:rsid w:val="0075041D"/>
    <w:rsid w:val="0078741C"/>
    <w:rsid w:val="007C4774"/>
    <w:rsid w:val="007F64DF"/>
    <w:rsid w:val="00852303"/>
    <w:rsid w:val="00852370"/>
    <w:rsid w:val="0086025F"/>
    <w:rsid w:val="00877A2E"/>
    <w:rsid w:val="008B04F3"/>
    <w:rsid w:val="008C37DE"/>
    <w:rsid w:val="008C7B0D"/>
    <w:rsid w:val="008D62D0"/>
    <w:rsid w:val="008E6B65"/>
    <w:rsid w:val="00903907"/>
    <w:rsid w:val="00903D96"/>
    <w:rsid w:val="00923394"/>
    <w:rsid w:val="00945550"/>
    <w:rsid w:val="009821F5"/>
    <w:rsid w:val="00990B49"/>
    <w:rsid w:val="009A3A0D"/>
    <w:rsid w:val="009A6438"/>
    <w:rsid w:val="009C2097"/>
    <w:rsid w:val="009C24B2"/>
    <w:rsid w:val="00A07BE1"/>
    <w:rsid w:val="00A25894"/>
    <w:rsid w:val="00A27010"/>
    <w:rsid w:val="00A30BCE"/>
    <w:rsid w:val="00A37642"/>
    <w:rsid w:val="00A423E9"/>
    <w:rsid w:val="00A80A46"/>
    <w:rsid w:val="00AE75C9"/>
    <w:rsid w:val="00AE762B"/>
    <w:rsid w:val="00B01D8A"/>
    <w:rsid w:val="00B2765F"/>
    <w:rsid w:val="00B32BFD"/>
    <w:rsid w:val="00B41FC7"/>
    <w:rsid w:val="00B608A8"/>
    <w:rsid w:val="00B863A5"/>
    <w:rsid w:val="00C13D18"/>
    <w:rsid w:val="00C24AD6"/>
    <w:rsid w:val="00C32F73"/>
    <w:rsid w:val="00C53F5F"/>
    <w:rsid w:val="00CB7873"/>
    <w:rsid w:val="00CC0B1B"/>
    <w:rsid w:val="00CF4961"/>
    <w:rsid w:val="00D01600"/>
    <w:rsid w:val="00D061E1"/>
    <w:rsid w:val="00D3574C"/>
    <w:rsid w:val="00D73DB5"/>
    <w:rsid w:val="00D74B32"/>
    <w:rsid w:val="00D909D5"/>
    <w:rsid w:val="00E42ED6"/>
    <w:rsid w:val="00E53957"/>
    <w:rsid w:val="00E56C09"/>
    <w:rsid w:val="00E86C6A"/>
    <w:rsid w:val="00EC04ED"/>
    <w:rsid w:val="00F07861"/>
    <w:rsid w:val="00F427FB"/>
    <w:rsid w:val="00F70364"/>
    <w:rsid w:val="00F72971"/>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9D5"/>
    <w:rPr>
      <w:rFonts w:ascii="Times New Roman" w:hAnsi="Times New Roman"/>
      <w:color w:val="808080"/>
    </w:rPr>
  </w:style>
  <w:style w:type="paragraph" w:customStyle="1" w:styleId="A88611770C1540B385C8CE7801D65E29">
    <w:name w:val="A88611770C1540B385C8CE7801D65E29"/>
    <w:rsid w:val="009A6438"/>
  </w:style>
  <w:style w:type="paragraph" w:customStyle="1" w:styleId="8DAB46DE40BF471E966E6CCB7EABE08D">
    <w:name w:val="8DAB46DE40BF471E966E6CCB7EABE08D"/>
    <w:rsid w:val="009A6438"/>
  </w:style>
  <w:style w:type="paragraph" w:customStyle="1" w:styleId="3003177059EB44CCA311854D5938590D">
    <w:name w:val="3003177059EB44CCA311854D5938590D"/>
    <w:rsid w:val="009A6438"/>
  </w:style>
  <w:style w:type="paragraph" w:customStyle="1" w:styleId="9F9DE929F054456B8400EDB7CB1489C7">
    <w:name w:val="9F9DE929F054456B8400EDB7CB1489C7"/>
    <w:rsid w:val="009A6438"/>
  </w:style>
  <w:style w:type="paragraph" w:customStyle="1" w:styleId="B74CEB598B2D4E8092DB0D4CEF12620F">
    <w:name w:val="B74CEB598B2D4E8092DB0D4CEF12620F"/>
    <w:rsid w:val="009A6438"/>
  </w:style>
  <w:style w:type="paragraph" w:customStyle="1" w:styleId="1D15D95C1A8B43F2816448750DC83E26">
    <w:name w:val="1D15D95C1A8B43F2816448750DC83E26"/>
    <w:rsid w:val="009A6438"/>
  </w:style>
  <w:style w:type="paragraph" w:customStyle="1" w:styleId="AFE37FD1BE08456AADB5DE4CE8CA4F28">
    <w:name w:val="AFE37FD1BE08456AADB5DE4CE8CA4F28"/>
    <w:rsid w:val="009A6438"/>
  </w:style>
  <w:style w:type="paragraph" w:customStyle="1" w:styleId="1602F68BAB6448E38B719875A281BCB6">
    <w:name w:val="1602F68BAB6448E38B719875A281BCB6"/>
    <w:rsid w:val="009A6438"/>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 w:type="paragraph" w:customStyle="1" w:styleId="5555D78F1E2F47C9B0C62CCF1FE29C98">
    <w:name w:val="5555D78F1E2F47C9B0C62CCF1FE29C98"/>
    <w:rsid w:val="00D909D5"/>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E9CB9-B9B8-4B67-97DD-D7C45B08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List of incoming and outgoing liaison statements</vt:lpstr>
    </vt:vector>
  </TitlesOfParts>
  <Manager>ITU-T</Manager>
  <Company>International Telecommunication Union (ITU)</Company>
  <LinksUpToDate>false</LinksUpToDate>
  <CharactersWithSpaces>18500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incoming and outgoing liaison statements</dc:title>
  <dc:creator>TSB</dc:creator>
  <cp:keywords>Summary of contributions;</cp:keywords>
  <dc:description>TSAG-TD328  For: Geneva, 10-14 December 2018_x000d_Document date: _x000d_Saved by ITU51011769 at 16:38:17 on 30/11/2018</dc:description>
  <cp:lastModifiedBy>Al-Mnini, Lara</cp:lastModifiedBy>
  <cp:revision>4</cp:revision>
  <cp:lastPrinted>2016-09-09T09:11:00Z</cp:lastPrinted>
  <dcterms:created xsi:type="dcterms:W3CDTF">2019-11-05T08:26:00Z</dcterms:created>
  <dcterms:modified xsi:type="dcterms:W3CDTF">2019-11-05T08:28:00Z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