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416"/>
        <w:gridCol w:w="10"/>
        <w:gridCol w:w="3625"/>
        <w:gridCol w:w="145"/>
        <w:gridCol w:w="4536"/>
      </w:tblGrid>
      <w:tr w:rsidR="00FB6C0F" w:rsidRPr="00FB6C0F" w14:paraId="5F9FD350" w14:textId="77777777" w:rsidTr="007A0583">
        <w:trPr>
          <w:cantSplit/>
        </w:trPr>
        <w:tc>
          <w:tcPr>
            <w:tcW w:w="1191" w:type="dxa"/>
            <w:vMerge w:val="restart"/>
          </w:tcPr>
          <w:p w14:paraId="05D682AC" w14:textId="77777777" w:rsidR="00FB6C0F" w:rsidRPr="00FB6C0F" w:rsidRDefault="00FB6C0F" w:rsidP="00FB6C0F">
            <w:pPr>
              <w:spacing w:before="120" w:after="0"/>
              <w:rPr>
                <w:rFonts w:asciiTheme="majorBidi" w:hAnsiTheme="majorBidi" w:cstheme="majorBidi"/>
                <w:sz w:val="20"/>
              </w:rPr>
            </w:pPr>
            <w:bookmarkStart w:id="0" w:name="dtableau"/>
            <w:r w:rsidRPr="00FB6C0F">
              <w:rPr>
                <w:rFonts w:asciiTheme="majorBidi" w:hAnsiTheme="majorBidi" w:cstheme="majorBidi"/>
                <w:noProof/>
                <w:sz w:val="20"/>
                <w:lang w:eastAsia="zh-CN"/>
              </w:rPr>
              <w:drawing>
                <wp:inline distT="0" distB="0" distL="0" distR="0" wp14:anchorId="650BC9E8" wp14:editId="104DA61F">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115FB9CF" w14:textId="77777777" w:rsidR="00FB6C0F" w:rsidRPr="00FB6C0F" w:rsidRDefault="00FB6C0F" w:rsidP="00FB6C0F">
            <w:pPr>
              <w:spacing w:before="120" w:after="0"/>
              <w:rPr>
                <w:rFonts w:asciiTheme="majorBidi" w:hAnsiTheme="majorBidi" w:cstheme="majorBidi"/>
                <w:sz w:val="16"/>
                <w:szCs w:val="16"/>
              </w:rPr>
            </w:pPr>
            <w:r w:rsidRPr="00FB6C0F">
              <w:rPr>
                <w:rFonts w:asciiTheme="majorBidi" w:hAnsiTheme="majorBidi" w:cstheme="majorBidi"/>
                <w:sz w:val="16"/>
                <w:szCs w:val="16"/>
              </w:rPr>
              <w:t>INTERNATIONAL TELECOMMUNICATION UNION</w:t>
            </w:r>
          </w:p>
          <w:p w14:paraId="2067EBF4" w14:textId="77777777" w:rsidR="00FB6C0F" w:rsidRPr="00FB6C0F" w:rsidRDefault="00FB6C0F" w:rsidP="00FB6C0F">
            <w:pPr>
              <w:spacing w:before="120" w:after="0"/>
              <w:rPr>
                <w:rFonts w:asciiTheme="majorBidi" w:hAnsiTheme="majorBidi" w:cstheme="majorBidi"/>
                <w:b/>
                <w:bCs/>
                <w:sz w:val="26"/>
                <w:szCs w:val="26"/>
              </w:rPr>
            </w:pPr>
            <w:r w:rsidRPr="00FB6C0F">
              <w:rPr>
                <w:rFonts w:asciiTheme="majorBidi" w:hAnsiTheme="majorBidi" w:cstheme="majorBidi"/>
                <w:b/>
                <w:bCs/>
                <w:sz w:val="26"/>
                <w:szCs w:val="26"/>
              </w:rPr>
              <w:t>TELECOMMUNICATION</w:t>
            </w:r>
            <w:r w:rsidRPr="00FB6C0F">
              <w:rPr>
                <w:rFonts w:asciiTheme="majorBidi" w:hAnsiTheme="majorBidi" w:cstheme="majorBidi"/>
                <w:b/>
                <w:bCs/>
                <w:sz w:val="26"/>
                <w:szCs w:val="26"/>
              </w:rPr>
              <w:br/>
              <w:t>STANDARDIZATION SECTOR</w:t>
            </w:r>
          </w:p>
          <w:p w14:paraId="4DD3BA7E" w14:textId="77777777" w:rsidR="00FB6C0F" w:rsidRPr="00FB6C0F" w:rsidRDefault="00FB6C0F" w:rsidP="00FB6C0F">
            <w:pPr>
              <w:spacing w:before="120" w:after="0"/>
              <w:rPr>
                <w:rFonts w:asciiTheme="majorBidi" w:hAnsiTheme="majorBidi" w:cstheme="majorBidi"/>
                <w:sz w:val="20"/>
              </w:rPr>
            </w:pPr>
            <w:r w:rsidRPr="00FB6C0F">
              <w:rPr>
                <w:rFonts w:asciiTheme="majorBidi" w:hAnsiTheme="majorBidi" w:cstheme="majorBidi"/>
                <w:sz w:val="20"/>
              </w:rPr>
              <w:t xml:space="preserve">STUDY PERIOD </w:t>
            </w:r>
            <w:bookmarkStart w:id="1" w:name="dstudyperiod"/>
            <w:r w:rsidRPr="00FB6C0F">
              <w:rPr>
                <w:rFonts w:asciiTheme="majorBidi" w:hAnsiTheme="majorBidi" w:cstheme="majorBidi"/>
                <w:sz w:val="20"/>
              </w:rPr>
              <w:t>2017-2020</w:t>
            </w:r>
            <w:bookmarkEnd w:id="1"/>
          </w:p>
        </w:tc>
        <w:tc>
          <w:tcPr>
            <w:tcW w:w="4681" w:type="dxa"/>
            <w:gridSpan w:val="2"/>
            <w:vAlign w:val="center"/>
          </w:tcPr>
          <w:p w14:paraId="4EA65F38" w14:textId="36D7A958" w:rsidR="00FB6C0F" w:rsidRPr="00FB6C0F" w:rsidRDefault="00FB6C0F" w:rsidP="00FB6C0F">
            <w:pPr>
              <w:pStyle w:val="Docnumber"/>
              <w:spacing w:before="120" w:after="0"/>
              <w:rPr>
                <w:rFonts w:asciiTheme="majorBidi" w:hAnsiTheme="majorBidi" w:cstheme="majorBidi"/>
                <w:sz w:val="32"/>
                <w:szCs w:val="32"/>
              </w:rPr>
            </w:pPr>
            <w:r w:rsidRPr="00FB6C0F">
              <w:rPr>
                <w:rFonts w:asciiTheme="majorBidi" w:hAnsiTheme="majorBidi" w:cstheme="majorBidi"/>
                <w:sz w:val="32"/>
                <w:szCs w:val="32"/>
              </w:rPr>
              <w:t>TSAG-TD</w:t>
            </w:r>
            <w:r>
              <w:rPr>
                <w:rFonts w:asciiTheme="majorBidi" w:hAnsiTheme="majorBidi" w:cstheme="majorBidi"/>
                <w:sz w:val="32"/>
                <w:szCs w:val="32"/>
              </w:rPr>
              <w:t>589</w:t>
            </w:r>
          </w:p>
        </w:tc>
      </w:tr>
      <w:tr w:rsidR="00FB6C0F" w:rsidRPr="00FB6C0F" w14:paraId="61E6865D" w14:textId="77777777" w:rsidTr="007A0583">
        <w:trPr>
          <w:cantSplit/>
        </w:trPr>
        <w:tc>
          <w:tcPr>
            <w:tcW w:w="1191" w:type="dxa"/>
            <w:vMerge/>
          </w:tcPr>
          <w:p w14:paraId="117A9A74" w14:textId="77777777" w:rsidR="00FB6C0F" w:rsidRPr="00FB6C0F" w:rsidRDefault="00FB6C0F" w:rsidP="00FB6C0F">
            <w:pPr>
              <w:spacing w:before="120" w:after="0"/>
              <w:rPr>
                <w:rFonts w:asciiTheme="majorBidi" w:hAnsiTheme="majorBidi" w:cstheme="majorBidi"/>
                <w:smallCaps/>
                <w:sz w:val="20"/>
              </w:rPr>
            </w:pPr>
            <w:bookmarkStart w:id="2" w:name="dsg" w:colFirst="2" w:colLast="2"/>
          </w:p>
        </w:tc>
        <w:tc>
          <w:tcPr>
            <w:tcW w:w="4051" w:type="dxa"/>
            <w:gridSpan w:val="3"/>
            <w:vMerge/>
          </w:tcPr>
          <w:p w14:paraId="27840752" w14:textId="77777777" w:rsidR="00FB6C0F" w:rsidRPr="00FB6C0F" w:rsidRDefault="00FB6C0F" w:rsidP="00FB6C0F">
            <w:pPr>
              <w:spacing w:before="120" w:after="0"/>
              <w:rPr>
                <w:rFonts w:asciiTheme="majorBidi" w:hAnsiTheme="majorBidi" w:cstheme="majorBidi"/>
                <w:smallCaps/>
                <w:sz w:val="20"/>
              </w:rPr>
            </w:pPr>
          </w:p>
        </w:tc>
        <w:tc>
          <w:tcPr>
            <w:tcW w:w="4681" w:type="dxa"/>
            <w:gridSpan w:val="2"/>
          </w:tcPr>
          <w:p w14:paraId="0F198A97" w14:textId="77777777" w:rsidR="00FB6C0F" w:rsidRPr="00FB6C0F" w:rsidRDefault="00FB6C0F" w:rsidP="00FB6C0F">
            <w:pPr>
              <w:spacing w:before="120" w:after="0"/>
              <w:jc w:val="right"/>
              <w:rPr>
                <w:rFonts w:asciiTheme="majorBidi" w:hAnsiTheme="majorBidi" w:cstheme="majorBidi"/>
                <w:b/>
                <w:bCs/>
                <w:smallCaps/>
                <w:sz w:val="28"/>
                <w:szCs w:val="28"/>
              </w:rPr>
            </w:pPr>
            <w:r w:rsidRPr="00FB6C0F">
              <w:rPr>
                <w:rFonts w:asciiTheme="majorBidi" w:hAnsiTheme="majorBidi" w:cstheme="majorBidi"/>
                <w:b/>
                <w:bCs/>
                <w:smallCaps/>
                <w:sz w:val="28"/>
                <w:szCs w:val="28"/>
              </w:rPr>
              <w:t>TSAG</w:t>
            </w:r>
          </w:p>
        </w:tc>
      </w:tr>
      <w:bookmarkEnd w:id="2"/>
      <w:tr w:rsidR="00FB6C0F" w:rsidRPr="00FB6C0F" w14:paraId="3EAB2635" w14:textId="77777777" w:rsidTr="007A0583">
        <w:trPr>
          <w:cantSplit/>
        </w:trPr>
        <w:tc>
          <w:tcPr>
            <w:tcW w:w="1191" w:type="dxa"/>
            <w:vMerge/>
            <w:tcBorders>
              <w:bottom w:val="single" w:sz="12" w:space="0" w:color="auto"/>
            </w:tcBorders>
          </w:tcPr>
          <w:p w14:paraId="63BD90E0" w14:textId="77777777" w:rsidR="00FB6C0F" w:rsidRPr="00FB6C0F" w:rsidRDefault="00FB6C0F" w:rsidP="00FB6C0F">
            <w:pPr>
              <w:spacing w:before="120" w:after="0"/>
              <w:rPr>
                <w:rFonts w:asciiTheme="majorBidi" w:hAnsiTheme="majorBidi" w:cstheme="majorBidi"/>
                <w:b/>
                <w:bCs/>
                <w:sz w:val="26"/>
              </w:rPr>
            </w:pPr>
          </w:p>
        </w:tc>
        <w:tc>
          <w:tcPr>
            <w:tcW w:w="4051" w:type="dxa"/>
            <w:gridSpan w:val="3"/>
            <w:vMerge/>
            <w:tcBorders>
              <w:bottom w:val="single" w:sz="12" w:space="0" w:color="auto"/>
            </w:tcBorders>
          </w:tcPr>
          <w:p w14:paraId="7A6BBB36" w14:textId="77777777" w:rsidR="00FB6C0F" w:rsidRPr="00FB6C0F" w:rsidRDefault="00FB6C0F" w:rsidP="00FB6C0F">
            <w:pPr>
              <w:spacing w:before="120" w:after="0"/>
              <w:rPr>
                <w:rFonts w:asciiTheme="majorBidi" w:hAnsiTheme="majorBidi" w:cstheme="majorBidi"/>
                <w:b/>
                <w:bCs/>
                <w:sz w:val="26"/>
              </w:rPr>
            </w:pPr>
          </w:p>
        </w:tc>
        <w:tc>
          <w:tcPr>
            <w:tcW w:w="4681" w:type="dxa"/>
            <w:gridSpan w:val="2"/>
            <w:tcBorders>
              <w:bottom w:val="single" w:sz="12" w:space="0" w:color="auto"/>
            </w:tcBorders>
            <w:vAlign w:val="center"/>
          </w:tcPr>
          <w:p w14:paraId="11F9FEA8" w14:textId="77777777" w:rsidR="00FB6C0F" w:rsidRPr="00FB6C0F" w:rsidRDefault="00FB6C0F" w:rsidP="00FB6C0F">
            <w:pPr>
              <w:spacing w:before="120" w:after="0"/>
              <w:jc w:val="right"/>
              <w:rPr>
                <w:rFonts w:asciiTheme="majorBidi" w:hAnsiTheme="majorBidi" w:cstheme="majorBidi"/>
                <w:b/>
                <w:bCs/>
                <w:sz w:val="28"/>
                <w:szCs w:val="28"/>
              </w:rPr>
            </w:pPr>
            <w:r w:rsidRPr="00FB6C0F">
              <w:rPr>
                <w:rFonts w:asciiTheme="majorBidi" w:hAnsiTheme="majorBidi" w:cstheme="majorBidi"/>
                <w:b/>
                <w:bCs/>
                <w:sz w:val="28"/>
                <w:szCs w:val="28"/>
              </w:rPr>
              <w:t>Original: English</w:t>
            </w:r>
          </w:p>
        </w:tc>
      </w:tr>
      <w:tr w:rsidR="00FB6C0F" w:rsidRPr="00FB6C0F" w14:paraId="4D49AF5B" w14:textId="77777777" w:rsidTr="007A0583">
        <w:trPr>
          <w:cantSplit/>
        </w:trPr>
        <w:tc>
          <w:tcPr>
            <w:tcW w:w="1617" w:type="dxa"/>
            <w:gridSpan w:val="3"/>
          </w:tcPr>
          <w:p w14:paraId="46E59B6A" w14:textId="77777777" w:rsidR="00FB6C0F" w:rsidRPr="00FB6C0F" w:rsidRDefault="00FB6C0F" w:rsidP="00FB6C0F">
            <w:pPr>
              <w:spacing w:before="120" w:after="0"/>
              <w:rPr>
                <w:rFonts w:asciiTheme="majorBidi" w:eastAsiaTheme="minorEastAsia" w:hAnsiTheme="majorBidi" w:cstheme="majorBidi"/>
                <w:b/>
                <w:bCs/>
                <w:sz w:val="24"/>
                <w:szCs w:val="24"/>
              </w:rPr>
            </w:pPr>
            <w:r w:rsidRPr="00FB6C0F">
              <w:rPr>
                <w:rFonts w:asciiTheme="majorBidi" w:eastAsiaTheme="minorEastAsia" w:hAnsiTheme="majorBidi" w:cstheme="majorBidi"/>
                <w:b/>
                <w:bCs/>
                <w:sz w:val="24"/>
                <w:szCs w:val="24"/>
              </w:rPr>
              <w:t>Question(s):</w:t>
            </w:r>
          </w:p>
        </w:tc>
        <w:tc>
          <w:tcPr>
            <w:tcW w:w="3625" w:type="dxa"/>
          </w:tcPr>
          <w:p w14:paraId="71881B61" w14:textId="77777777" w:rsidR="00FB6C0F" w:rsidRPr="00FB6C0F" w:rsidRDefault="00FB6C0F" w:rsidP="00FB6C0F">
            <w:pPr>
              <w:spacing w:before="120" w:after="0"/>
              <w:rPr>
                <w:rFonts w:asciiTheme="majorBidi" w:eastAsiaTheme="minorEastAsia" w:hAnsiTheme="majorBidi" w:cstheme="majorBidi"/>
                <w:sz w:val="24"/>
                <w:szCs w:val="24"/>
              </w:rPr>
            </w:pPr>
            <w:r w:rsidRPr="00FB6C0F">
              <w:rPr>
                <w:rFonts w:asciiTheme="majorBidi" w:eastAsiaTheme="minorEastAsia" w:hAnsiTheme="majorBidi" w:cstheme="majorBidi"/>
                <w:sz w:val="24"/>
                <w:szCs w:val="24"/>
              </w:rPr>
              <w:t>N/A</w:t>
            </w:r>
          </w:p>
        </w:tc>
        <w:tc>
          <w:tcPr>
            <w:tcW w:w="4681" w:type="dxa"/>
            <w:gridSpan w:val="2"/>
          </w:tcPr>
          <w:p w14:paraId="0D8F4B55" w14:textId="6E196F0E" w:rsidR="00FB6C0F" w:rsidRPr="00FB6C0F" w:rsidRDefault="00FB6C0F" w:rsidP="00BE49DB">
            <w:pPr>
              <w:spacing w:before="120" w:after="0"/>
              <w:jc w:val="right"/>
              <w:rPr>
                <w:rFonts w:asciiTheme="majorBidi" w:eastAsiaTheme="minorEastAsia" w:hAnsiTheme="majorBidi" w:cstheme="majorBidi"/>
                <w:sz w:val="24"/>
                <w:szCs w:val="24"/>
              </w:rPr>
            </w:pPr>
            <w:r w:rsidRPr="00FB6C0F">
              <w:rPr>
                <w:rFonts w:asciiTheme="majorBidi" w:eastAsiaTheme="minorEastAsia" w:hAnsiTheme="majorBidi" w:cstheme="majorBidi"/>
                <w:sz w:val="24"/>
                <w:szCs w:val="24"/>
              </w:rPr>
              <w:t>Geneva, 23</w:t>
            </w:r>
            <w:r w:rsidR="00BE49DB">
              <w:rPr>
                <w:rFonts w:asciiTheme="majorBidi" w:eastAsiaTheme="minorEastAsia" w:hAnsiTheme="majorBidi" w:cstheme="majorBidi"/>
                <w:sz w:val="24"/>
                <w:szCs w:val="24"/>
              </w:rPr>
              <w:t>-</w:t>
            </w:r>
            <w:r w:rsidRPr="00FB6C0F">
              <w:rPr>
                <w:rFonts w:asciiTheme="majorBidi" w:eastAsiaTheme="minorEastAsia" w:hAnsiTheme="majorBidi" w:cstheme="majorBidi"/>
                <w:sz w:val="24"/>
                <w:szCs w:val="24"/>
              </w:rPr>
              <w:t>27 September 2019</w:t>
            </w:r>
          </w:p>
        </w:tc>
      </w:tr>
      <w:tr w:rsidR="00FB6C0F" w:rsidRPr="00FB6C0F" w14:paraId="070A6A54" w14:textId="77777777" w:rsidTr="007A0583">
        <w:trPr>
          <w:cantSplit/>
        </w:trPr>
        <w:tc>
          <w:tcPr>
            <w:tcW w:w="9923" w:type="dxa"/>
            <w:gridSpan w:val="6"/>
          </w:tcPr>
          <w:p w14:paraId="1ED907BC" w14:textId="77777777" w:rsidR="00FB6C0F" w:rsidRPr="00FB6C0F" w:rsidRDefault="00FB6C0F" w:rsidP="00FB6C0F">
            <w:pPr>
              <w:spacing w:before="120" w:after="0"/>
              <w:jc w:val="center"/>
              <w:rPr>
                <w:rFonts w:asciiTheme="majorBidi" w:eastAsiaTheme="minorEastAsia" w:hAnsiTheme="majorBidi" w:cstheme="majorBidi"/>
                <w:b/>
                <w:bCs/>
                <w:sz w:val="24"/>
                <w:szCs w:val="24"/>
              </w:rPr>
            </w:pPr>
            <w:bookmarkStart w:id="3" w:name="ddoctype" w:colFirst="0" w:colLast="0"/>
            <w:r w:rsidRPr="00FB6C0F">
              <w:rPr>
                <w:rFonts w:asciiTheme="majorBidi" w:eastAsiaTheme="minorEastAsia" w:hAnsiTheme="majorBidi" w:cstheme="majorBidi"/>
                <w:b/>
                <w:bCs/>
                <w:sz w:val="24"/>
                <w:szCs w:val="24"/>
              </w:rPr>
              <w:t>TD</w:t>
            </w:r>
          </w:p>
        </w:tc>
      </w:tr>
      <w:tr w:rsidR="00FB6C0F" w:rsidRPr="00FB6C0F" w14:paraId="52342040" w14:textId="77777777" w:rsidTr="007A0583">
        <w:trPr>
          <w:cantSplit/>
        </w:trPr>
        <w:tc>
          <w:tcPr>
            <w:tcW w:w="1617" w:type="dxa"/>
            <w:gridSpan w:val="3"/>
          </w:tcPr>
          <w:p w14:paraId="359DC061" w14:textId="77777777" w:rsidR="00FB6C0F" w:rsidRPr="00FB6C0F" w:rsidRDefault="00FB6C0F" w:rsidP="00FB6C0F">
            <w:pPr>
              <w:spacing w:before="120" w:after="0"/>
              <w:rPr>
                <w:rFonts w:asciiTheme="majorBidi" w:eastAsiaTheme="minorEastAsia" w:hAnsiTheme="majorBidi" w:cstheme="majorBidi"/>
                <w:b/>
                <w:bCs/>
                <w:sz w:val="24"/>
                <w:szCs w:val="24"/>
              </w:rPr>
            </w:pPr>
            <w:bookmarkStart w:id="4" w:name="dsource" w:colFirst="1" w:colLast="1"/>
            <w:bookmarkEnd w:id="3"/>
            <w:r w:rsidRPr="00FB6C0F">
              <w:rPr>
                <w:rFonts w:asciiTheme="majorBidi" w:eastAsiaTheme="minorEastAsia" w:hAnsiTheme="majorBidi" w:cstheme="majorBidi"/>
                <w:b/>
                <w:bCs/>
                <w:sz w:val="24"/>
                <w:szCs w:val="24"/>
              </w:rPr>
              <w:t>Source:</w:t>
            </w:r>
          </w:p>
        </w:tc>
        <w:tc>
          <w:tcPr>
            <w:tcW w:w="8306" w:type="dxa"/>
            <w:gridSpan w:val="3"/>
          </w:tcPr>
          <w:p w14:paraId="7FEA14FD" w14:textId="290A38B6" w:rsidR="00FB6C0F" w:rsidRPr="00FB6C0F" w:rsidRDefault="00FB6C0F" w:rsidP="00FB6C0F">
            <w:pPr>
              <w:spacing w:before="120" w:after="0"/>
              <w:rPr>
                <w:rFonts w:asciiTheme="majorBidi" w:eastAsiaTheme="minorEastAsia" w:hAnsiTheme="majorBidi" w:cstheme="majorBidi"/>
                <w:sz w:val="24"/>
                <w:szCs w:val="24"/>
              </w:rPr>
            </w:pPr>
            <w:r w:rsidRPr="00FB6C0F">
              <w:rPr>
                <w:rFonts w:asciiTheme="majorBidi" w:eastAsiaTheme="minorEastAsia" w:hAnsiTheme="majorBidi" w:cstheme="majorBidi"/>
                <w:sz w:val="24"/>
                <w:szCs w:val="24"/>
              </w:rPr>
              <w:t>Chairman</w:t>
            </w:r>
            <w:r>
              <w:rPr>
                <w:rFonts w:asciiTheme="majorBidi" w:eastAsiaTheme="minorEastAsia" w:hAnsiTheme="majorBidi" w:cstheme="majorBidi"/>
                <w:sz w:val="24"/>
                <w:szCs w:val="24"/>
              </w:rPr>
              <w:t>,</w:t>
            </w:r>
            <w:r w:rsidRPr="00FB6C0F">
              <w:rPr>
                <w:rFonts w:asciiTheme="majorBidi" w:eastAsiaTheme="minorEastAsia" w:hAnsiTheme="majorBidi" w:cstheme="majorBidi"/>
                <w:sz w:val="24"/>
                <w:szCs w:val="24"/>
              </w:rPr>
              <w:t xml:space="preserve"> ISCG</w:t>
            </w:r>
          </w:p>
        </w:tc>
      </w:tr>
      <w:tr w:rsidR="00FB6C0F" w:rsidRPr="00FB6C0F" w14:paraId="0D86A871" w14:textId="77777777" w:rsidTr="007A0583">
        <w:trPr>
          <w:cantSplit/>
        </w:trPr>
        <w:tc>
          <w:tcPr>
            <w:tcW w:w="1617" w:type="dxa"/>
            <w:gridSpan w:val="3"/>
          </w:tcPr>
          <w:p w14:paraId="34C61848" w14:textId="77777777" w:rsidR="00FB6C0F" w:rsidRPr="00FB6C0F" w:rsidRDefault="00FB6C0F" w:rsidP="00FB6C0F">
            <w:pPr>
              <w:spacing w:before="120" w:after="0"/>
              <w:rPr>
                <w:rFonts w:asciiTheme="majorBidi" w:eastAsiaTheme="minorEastAsia" w:hAnsiTheme="majorBidi" w:cstheme="majorBidi"/>
                <w:sz w:val="24"/>
                <w:szCs w:val="24"/>
              </w:rPr>
            </w:pPr>
            <w:bookmarkStart w:id="5" w:name="dtitle1" w:colFirst="1" w:colLast="1"/>
            <w:bookmarkEnd w:id="4"/>
            <w:r w:rsidRPr="00FB6C0F">
              <w:rPr>
                <w:rFonts w:asciiTheme="majorBidi" w:eastAsiaTheme="minorEastAsia" w:hAnsiTheme="majorBidi" w:cstheme="majorBidi"/>
                <w:b/>
                <w:bCs/>
                <w:sz w:val="24"/>
                <w:szCs w:val="24"/>
              </w:rPr>
              <w:t>Title:</w:t>
            </w:r>
          </w:p>
        </w:tc>
        <w:tc>
          <w:tcPr>
            <w:tcW w:w="8306" w:type="dxa"/>
            <w:gridSpan w:val="3"/>
          </w:tcPr>
          <w:p w14:paraId="2E9E649D" w14:textId="13AB6625" w:rsidR="00FB6C0F" w:rsidRPr="00FB6C0F" w:rsidRDefault="00FF34B9" w:rsidP="00FF34B9">
            <w:pPr>
              <w:spacing w:before="120" w:after="0"/>
              <w:rPr>
                <w:rFonts w:asciiTheme="majorBidi" w:eastAsiaTheme="minorEastAsia" w:hAnsiTheme="majorBidi" w:cstheme="majorBidi"/>
                <w:sz w:val="24"/>
                <w:szCs w:val="24"/>
              </w:rPr>
            </w:pPr>
            <w:r w:rsidRPr="00FF34B9">
              <w:rPr>
                <w:rFonts w:asciiTheme="majorBidi" w:eastAsiaTheme="minorEastAsia" w:hAnsiTheme="majorBidi" w:cstheme="majorBidi"/>
                <w:sz w:val="24"/>
                <w:szCs w:val="24"/>
              </w:rPr>
              <w:t>P</w:t>
            </w:r>
            <w:r w:rsidRPr="00FF34B9">
              <w:rPr>
                <w:rFonts w:asciiTheme="majorBidi" w:eastAsiaTheme="minorEastAsia" w:hAnsiTheme="majorBidi" w:cstheme="majorBidi"/>
                <w:sz w:val="24"/>
                <w:szCs w:val="24"/>
              </w:rPr>
              <w:t>rogress report by the Inter-Sector Coordination GROUP (ISCG) on Issues of Mutual Interest</w:t>
            </w:r>
            <w:bookmarkStart w:id="6" w:name="_GoBack"/>
            <w:bookmarkEnd w:id="6"/>
          </w:p>
        </w:tc>
      </w:tr>
      <w:tr w:rsidR="00FB6C0F" w:rsidRPr="00FB6C0F" w14:paraId="4841C251" w14:textId="77777777" w:rsidTr="007A0583">
        <w:trPr>
          <w:cantSplit/>
        </w:trPr>
        <w:tc>
          <w:tcPr>
            <w:tcW w:w="1617" w:type="dxa"/>
            <w:gridSpan w:val="3"/>
            <w:tcBorders>
              <w:bottom w:val="single" w:sz="8" w:space="0" w:color="auto"/>
            </w:tcBorders>
          </w:tcPr>
          <w:p w14:paraId="01F89C85" w14:textId="77777777" w:rsidR="00FB6C0F" w:rsidRPr="00FB6C0F" w:rsidRDefault="00FB6C0F" w:rsidP="00FB6C0F">
            <w:pPr>
              <w:spacing w:before="120" w:after="0"/>
              <w:rPr>
                <w:rFonts w:asciiTheme="majorBidi" w:eastAsiaTheme="minorEastAsia" w:hAnsiTheme="majorBidi" w:cstheme="majorBidi"/>
                <w:b/>
                <w:bCs/>
                <w:sz w:val="24"/>
                <w:szCs w:val="24"/>
              </w:rPr>
            </w:pPr>
            <w:bookmarkStart w:id="7" w:name="dpurpose" w:colFirst="1" w:colLast="1"/>
            <w:bookmarkEnd w:id="5"/>
            <w:r w:rsidRPr="00FB6C0F">
              <w:rPr>
                <w:rFonts w:asciiTheme="majorBidi" w:eastAsiaTheme="minorEastAsia" w:hAnsiTheme="majorBidi" w:cstheme="majorBidi"/>
                <w:b/>
                <w:bCs/>
                <w:sz w:val="24"/>
                <w:szCs w:val="24"/>
              </w:rPr>
              <w:t>Purpose:</w:t>
            </w:r>
          </w:p>
        </w:tc>
        <w:tc>
          <w:tcPr>
            <w:tcW w:w="8306" w:type="dxa"/>
            <w:gridSpan w:val="3"/>
            <w:tcBorders>
              <w:bottom w:val="single" w:sz="8" w:space="0" w:color="auto"/>
            </w:tcBorders>
          </w:tcPr>
          <w:p w14:paraId="399946E6" w14:textId="77777777" w:rsidR="00FB6C0F" w:rsidRPr="00FB6C0F" w:rsidRDefault="00FB6C0F" w:rsidP="00FB6C0F">
            <w:pPr>
              <w:spacing w:before="120" w:after="0"/>
              <w:rPr>
                <w:rFonts w:asciiTheme="majorBidi" w:eastAsiaTheme="minorEastAsia" w:hAnsiTheme="majorBidi" w:cstheme="majorBidi"/>
                <w:sz w:val="24"/>
                <w:szCs w:val="24"/>
              </w:rPr>
            </w:pPr>
            <w:r w:rsidRPr="00FB6C0F">
              <w:rPr>
                <w:rFonts w:asciiTheme="majorBidi" w:eastAsiaTheme="minorEastAsia" w:hAnsiTheme="majorBidi" w:cstheme="majorBidi"/>
                <w:sz w:val="24"/>
                <w:szCs w:val="24"/>
              </w:rPr>
              <w:t>Information</w:t>
            </w:r>
          </w:p>
        </w:tc>
      </w:tr>
      <w:bookmarkEnd w:id="0"/>
      <w:bookmarkEnd w:id="7"/>
      <w:tr w:rsidR="00BE49DB" w:rsidRPr="00FB6C0F" w14:paraId="202830CC" w14:textId="77777777" w:rsidTr="007A0583">
        <w:trPr>
          <w:cantSplit/>
        </w:trPr>
        <w:tc>
          <w:tcPr>
            <w:tcW w:w="1607" w:type="dxa"/>
            <w:gridSpan w:val="2"/>
            <w:tcBorders>
              <w:top w:val="single" w:sz="8" w:space="0" w:color="auto"/>
              <w:bottom w:val="single" w:sz="8" w:space="0" w:color="auto"/>
            </w:tcBorders>
          </w:tcPr>
          <w:p w14:paraId="1DC88953" w14:textId="77777777" w:rsidR="00BE49DB" w:rsidRPr="00FB6C0F" w:rsidRDefault="00BE49DB" w:rsidP="00BE49DB">
            <w:pPr>
              <w:spacing w:before="120" w:after="0"/>
              <w:rPr>
                <w:rFonts w:asciiTheme="majorBidi" w:eastAsiaTheme="minorEastAsia" w:hAnsiTheme="majorBidi" w:cstheme="majorBidi"/>
                <w:b/>
                <w:bCs/>
                <w:sz w:val="24"/>
                <w:szCs w:val="24"/>
              </w:rPr>
            </w:pPr>
            <w:r w:rsidRPr="00FB6C0F">
              <w:rPr>
                <w:rFonts w:asciiTheme="majorBidi" w:eastAsiaTheme="minorEastAsia" w:hAnsiTheme="majorBidi" w:cstheme="majorBidi"/>
                <w:b/>
                <w:bCs/>
                <w:sz w:val="24"/>
                <w:szCs w:val="24"/>
              </w:rPr>
              <w:t>Contact:</w:t>
            </w:r>
          </w:p>
        </w:tc>
        <w:tc>
          <w:tcPr>
            <w:tcW w:w="3780" w:type="dxa"/>
            <w:gridSpan w:val="3"/>
            <w:tcBorders>
              <w:top w:val="single" w:sz="8" w:space="0" w:color="auto"/>
              <w:bottom w:val="single" w:sz="8" w:space="0" w:color="auto"/>
            </w:tcBorders>
          </w:tcPr>
          <w:p w14:paraId="3148FE35" w14:textId="04B350AB" w:rsidR="00BE49DB" w:rsidRPr="00BE49DB" w:rsidRDefault="00BE49DB" w:rsidP="00BE49DB">
            <w:pPr>
              <w:spacing w:before="120" w:after="0"/>
              <w:rPr>
                <w:rFonts w:asciiTheme="majorBidi" w:eastAsiaTheme="minorEastAsia" w:hAnsiTheme="majorBidi" w:cstheme="majorBidi"/>
                <w:sz w:val="24"/>
                <w:szCs w:val="24"/>
              </w:rPr>
            </w:pPr>
            <w:r w:rsidRPr="00BE49DB">
              <w:rPr>
                <w:rFonts w:asciiTheme="majorBidi" w:hAnsiTheme="majorBidi" w:cstheme="majorBidi"/>
                <w:sz w:val="24"/>
                <w:szCs w:val="24"/>
              </w:rPr>
              <w:t xml:space="preserve">Mr Fabio </w:t>
            </w:r>
            <w:proofErr w:type="spellStart"/>
            <w:r w:rsidRPr="00BE49DB">
              <w:rPr>
                <w:rFonts w:asciiTheme="majorBidi" w:hAnsiTheme="majorBidi" w:cstheme="majorBidi"/>
                <w:sz w:val="24"/>
                <w:szCs w:val="24"/>
              </w:rPr>
              <w:t>Bigi</w:t>
            </w:r>
            <w:proofErr w:type="spellEnd"/>
            <w:r w:rsidRPr="00BE49DB">
              <w:rPr>
                <w:rFonts w:asciiTheme="majorBidi" w:hAnsiTheme="majorBidi" w:cstheme="majorBidi"/>
                <w:sz w:val="24"/>
                <w:szCs w:val="24"/>
              </w:rPr>
              <w:br/>
              <w:t xml:space="preserve"> ISCG Chairman</w:t>
            </w:r>
          </w:p>
        </w:tc>
        <w:tc>
          <w:tcPr>
            <w:tcW w:w="4536" w:type="dxa"/>
            <w:tcBorders>
              <w:top w:val="single" w:sz="8" w:space="0" w:color="auto"/>
              <w:bottom w:val="single" w:sz="8" w:space="0" w:color="auto"/>
            </w:tcBorders>
          </w:tcPr>
          <w:p w14:paraId="584D14EA" w14:textId="6A1F230E" w:rsidR="00BE49DB" w:rsidRPr="00BE49DB" w:rsidRDefault="00BE49DB" w:rsidP="00BE49DB">
            <w:pPr>
              <w:spacing w:before="120" w:after="0"/>
              <w:rPr>
                <w:rFonts w:asciiTheme="majorBidi" w:eastAsiaTheme="minorEastAsia" w:hAnsiTheme="majorBidi" w:cstheme="majorBidi"/>
                <w:sz w:val="24"/>
                <w:szCs w:val="24"/>
              </w:rPr>
            </w:pPr>
            <w:r w:rsidRPr="00BE49DB">
              <w:rPr>
                <w:rFonts w:asciiTheme="majorBidi" w:hAnsiTheme="majorBidi" w:cstheme="majorBidi"/>
                <w:sz w:val="24"/>
                <w:szCs w:val="24"/>
              </w:rPr>
              <w:t xml:space="preserve">Email: </w:t>
            </w:r>
            <w:hyperlink r:id="rId12" w:history="1">
              <w:r w:rsidRPr="00BE49DB">
                <w:rPr>
                  <w:rStyle w:val="Hyperlink"/>
                  <w:rFonts w:asciiTheme="majorBidi" w:hAnsiTheme="majorBidi" w:cstheme="majorBidi"/>
                  <w:sz w:val="24"/>
                  <w:szCs w:val="24"/>
                </w:rPr>
                <w:t>fabio.bigi@virgilio.it</w:t>
              </w:r>
            </w:hyperlink>
            <w:r w:rsidRPr="00BE49DB">
              <w:rPr>
                <w:rFonts w:asciiTheme="majorBidi" w:hAnsiTheme="majorBidi" w:cstheme="majorBidi"/>
                <w:sz w:val="24"/>
                <w:szCs w:val="24"/>
              </w:rPr>
              <w:t xml:space="preserve"> </w:t>
            </w:r>
          </w:p>
        </w:tc>
      </w:tr>
    </w:tbl>
    <w:p w14:paraId="40E4C924" w14:textId="77777777" w:rsidR="00FB6C0F" w:rsidRPr="00FB6C0F" w:rsidRDefault="00FB6C0F" w:rsidP="00FB6C0F">
      <w:pPr>
        <w:rPr>
          <w:rFonts w:asciiTheme="majorBidi" w:eastAsiaTheme="minorEastAsia" w:hAnsiTheme="majorBidi" w:cstheme="majorBidi"/>
          <w:sz w:val="24"/>
          <w:szCs w:val="24"/>
        </w:rPr>
      </w:pPr>
    </w:p>
    <w:tbl>
      <w:tblPr>
        <w:tblW w:w="9923" w:type="dxa"/>
        <w:tblLayout w:type="fixed"/>
        <w:tblCellMar>
          <w:left w:w="57" w:type="dxa"/>
          <w:right w:w="57" w:type="dxa"/>
        </w:tblCellMar>
        <w:tblLook w:val="0000" w:firstRow="0" w:lastRow="0" w:firstColumn="0" w:lastColumn="0" w:noHBand="0" w:noVBand="0"/>
      </w:tblPr>
      <w:tblGrid>
        <w:gridCol w:w="1641"/>
        <w:gridCol w:w="8282"/>
      </w:tblGrid>
      <w:tr w:rsidR="00FB6C0F" w:rsidRPr="00FB6C0F" w14:paraId="57F1BC73" w14:textId="77777777" w:rsidTr="007A0583">
        <w:trPr>
          <w:cantSplit/>
        </w:trPr>
        <w:tc>
          <w:tcPr>
            <w:tcW w:w="1641" w:type="dxa"/>
          </w:tcPr>
          <w:p w14:paraId="24054B69" w14:textId="77777777" w:rsidR="00FB6C0F" w:rsidRPr="00056CD2" w:rsidRDefault="00FB6C0F" w:rsidP="00FB6C0F">
            <w:pPr>
              <w:spacing w:before="120" w:after="100" w:afterAutospacing="1"/>
              <w:rPr>
                <w:rFonts w:asciiTheme="majorBidi" w:hAnsiTheme="majorBidi" w:cstheme="majorBidi"/>
                <w:sz w:val="24"/>
                <w:szCs w:val="24"/>
              </w:rPr>
            </w:pPr>
            <w:r w:rsidRPr="00056CD2">
              <w:rPr>
                <w:rFonts w:asciiTheme="majorBidi" w:hAnsiTheme="majorBidi" w:cstheme="majorBidi"/>
                <w:sz w:val="24"/>
                <w:szCs w:val="24"/>
              </w:rPr>
              <w:t>Keywords:</w:t>
            </w:r>
          </w:p>
        </w:tc>
        <w:tc>
          <w:tcPr>
            <w:tcW w:w="8282" w:type="dxa"/>
          </w:tcPr>
          <w:p w14:paraId="7A2AD31B" w14:textId="5D1F9C44" w:rsidR="00FB6C0F" w:rsidRPr="00056CD2" w:rsidRDefault="00056CD2" w:rsidP="00551B6E">
            <w:pPr>
              <w:spacing w:before="120" w:after="100" w:afterAutospacing="1"/>
              <w:rPr>
                <w:rFonts w:asciiTheme="majorBidi" w:hAnsiTheme="majorBidi" w:cstheme="majorBidi"/>
                <w:sz w:val="24"/>
                <w:szCs w:val="24"/>
              </w:rPr>
            </w:pPr>
            <w:r w:rsidRPr="00056CD2">
              <w:rPr>
                <w:rFonts w:asciiTheme="majorBidi" w:hAnsiTheme="majorBidi" w:cstheme="majorBidi"/>
                <w:sz w:val="24"/>
                <w:szCs w:val="24"/>
              </w:rPr>
              <w:t>ISCG</w:t>
            </w:r>
            <w:r w:rsidR="00551B6E">
              <w:rPr>
                <w:rFonts w:asciiTheme="majorBidi" w:hAnsiTheme="majorBidi" w:cstheme="majorBidi"/>
                <w:sz w:val="24"/>
                <w:szCs w:val="24"/>
              </w:rPr>
              <w:t>;</w:t>
            </w:r>
            <w:r w:rsidRPr="00056CD2">
              <w:rPr>
                <w:rFonts w:asciiTheme="majorBidi" w:hAnsiTheme="majorBidi" w:cstheme="majorBidi"/>
                <w:sz w:val="24"/>
                <w:szCs w:val="24"/>
              </w:rPr>
              <w:t xml:space="preserve"> inter-Sector coordination;</w:t>
            </w:r>
          </w:p>
        </w:tc>
      </w:tr>
      <w:tr w:rsidR="00FB6C0F" w:rsidRPr="00FB6C0F" w14:paraId="1F0EF61A" w14:textId="77777777" w:rsidTr="007A0583">
        <w:trPr>
          <w:cantSplit/>
        </w:trPr>
        <w:tc>
          <w:tcPr>
            <w:tcW w:w="1641" w:type="dxa"/>
          </w:tcPr>
          <w:p w14:paraId="6FD77B8A" w14:textId="77777777" w:rsidR="00FB6C0F" w:rsidRPr="00056CD2" w:rsidRDefault="00FB6C0F" w:rsidP="00FB6C0F">
            <w:pPr>
              <w:spacing w:before="120" w:after="100" w:afterAutospacing="1"/>
              <w:rPr>
                <w:rFonts w:asciiTheme="majorBidi" w:hAnsiTheme="majorBidi" w:cstheme="majorBidi"/>
                <w:sz w:val="24"/>
                <w:szCs w:val="24"/>
              </w:rPr>
            </w:pPr>
            <w:r w:rsidRPr="00056CD2">
              <w:rPr>
                <w:rFonts w:asciiTheme="majorBidi" w:hAnsiTheme="majorBidi" w:cstheme="majorBidi"/>
                <w:sz w:val="24"/>
                <w:szCs w:val="24"/>
              </w:rPr>
              <w:t>Abstract:</w:t>
            </w:r>
          </w:p>
        </w:tc>
        <w:tc>
          <w:tcPr>
            <w:tcW w:w="8282" w:type="dxa"/>
          </w:tcPr>
          <w:p w14:paraId="30F45E1A" w14:textId="3E29D9A5" w:rsidR="00056CD2" w:rsidRPr="00056CD2" w:rsidRDefault="00056CD2" w:rsidP="00551B6E">
            <w:pPr>
              <w:shd w:val="clear" w:color="auto" w:fill="FFFFFF"/>
              <w:spacing w:before="120"/>
              <w:rPr>
                <w:rFonts w:asciiTheme="majorBidi" w:hAnsiTheme="majorBidi" w:cstheme="majorBidi"/>
                <w:sz w:val="24"/>
                <w:szCs w:val="24"/>
              </w:rPr>
            </w:pPr>
            <w:r w:rsidRPr="00056CD2">
              <w:rPr>
                <w:rFonts w:asciiTheme="majorBidi" w:hAnsiTheme="majorBidi" w:cstheme="majorBidi"/>
                <w:sz w:val="24"/>
                <w:szCs w:val="24"/>
              </w:rPr>
              <w:t>The Inter-Sector Coordination Group</w:t>
            </w:r>
            <w:r w:rsidRPr="00056CD2">
              <w:rPr>
                <w:rFonts w:asciiTheme="majorBidi" w:hAnsiTheme="majorBidi" w:cstheme="majorBidi"/>
                <w:sz w:val="24"/>
                <w:szCs w:val="24"/>
              </w:rPr>
              <w:footnoteReference w:customMarkFollows="1" w:id="1"/>
              <w:t>[1] (ISCG) on issues of mutual interest was established jointly by the Advisory Groups of all ITU Sectors –  </w:t>
            </w:r>
            <w:proofErr w:type="spellStart"/>
            <w:r w:rsidRPr="00056CD2">
              <w:rPr>
                <w:rFonts w:asciiTheme="majorBidi" w:hAnsiTheme="majorBidi" w:cstheme="majorBidi"/>
                <w:sz w:val="24"/>
                <w:szCs w:val="24"/>
              </w:rPr>
              <w:t>Radiocommunication</w:t>
            </w:r>
            <w:proofErr w:type="spellEnd"/>
            <w:r w:rsidRPr="00056CD2">
              <w:rPr>
                <w:rFonts w:asciiTheme="majorBidi" w:hAnsiTheme="majorBidi" w:cstheme="majorBidi"/>
                <w:sz w:val="24"/>
                <w:szCs w:val="24"/>
              </w:rPr>
              <w:t xml:space="preserve"> Advisory Group (RAG), the Telecommunication Standardization Advisory Group (TSAG), and the Telecommunication Development Advisory Group (TDAG) </w:t>
            </w:r>
          </w:p>
          <w:p w14:paraId="29CAE1C4" w14:textId="77777777" w:rsidR="00056CD2" w:rsidRPr="00056CD2" w:rsidRDefault="00056CD2" w:rsidP="00056CD2">
            <w:pPr>
              <w:shd w:val="clear" w:color="auto" w:fill="FFFFFF"/>
              <w:rPr>
                <w:rFonts w:asciiTheme="majorBidi" w:hAnsiTheme="majorBidi" w:cstheme="majorBidi"/>
                <w:sz w:val="24"/>
                <w:szCs w:val="24"/>
              </w:rPr>
            </w:pPr>
            <w:r w:rsidRPr="00056CD2">
              <w:rPr>
                <w:rFonts w:asciiTheme="majorBidi" w:hAnsiTheme="majorBidi" w:cstheme="majorBidi"/>
                <w:sz w:val="24"/>
                <w:szCs w:val="24"/>
              </w:rPr>
              <w:t>Resolution 191 (Rev. Dubai, 2018) of the Plenipotentiary Conference invited RAG, TSAG, and TDAG to continue to assist ISCG in identifying subjects common and mechanisms to enhance cooperation and collaboration on matters of mutual interest.</w:t>
            </w:r>
          </w:p>
          <w:p w14:paraId="6743D945" w14:textId="77777777" w:rsidR="00056CD2" w:rsidRPr="00056CD2" w:rsidRDefault="00056CD2" w:rsidP="00056CD2">
            <w:pPr>
              <w:shd w:val="clear" w:color="auto" w:fill="FFFFFF"/>
              <w:rPr>
                <w:rFonts w:asciiTheme="majorBidi" w:hAnsiTheme="majorBidi" w:cstheme="majorBidi"/>
                <w:sz w:val="24"/>
                <w:szCs w:val="24"/>
              </w:rPr>
            </w:pPr>
            <w:r w:rsidRPr="00056CD2">
              <w:rPr>
                <w:rFonts w:asciiTheme="majorBidi" w:hAnsiTheme="majorBidi" w:cstheme="majorBidi"/>
                <w:sz w:val="24"/>
                <w:szCs w:val="24"/>
              </w:rPr>
              <w:t>The group identifies subjects common to the three Sectors and the General Secretariat, or, bilaterally, and considers an updated list containing the areas of mutual interest to the three Sectors and the General Secretariat pursuant to the mandates assigned by each ITU assembly or conference, and in accordance with the objectives of the ITU Strategic Plan.</w:t>
            </w:r>
          </w:p>
          <w:p w14:paraId="30F30755" w14:textId="77777777" w:rsidR="00056CD2" w:rsidRPr="00056CD2" w:rsidRDefault="00056CD2" w:rsidP="00056CD2">
            <w:pPr>
              <w:shd w:val="clear" w:color="auto" w:fill="FFFFFF"/>
              <w:rPr>
                <w:rFonts w:asciiTheme="majorBidi" w:hAnsiTheme="majorBidi" w:cstheme="majorBidi"/>
                <w:sz w:val="24"/>
                <w:szCs w:val="24"/>
              </w:rPr>
            </w:pPr>
            <w:r w:rsidRPr="00056CD2">
              <w:rPr>
                <w:rFonts w:asciiTheme="majorBidi" w:hAnsiTheme="majorBidi" w:cstheme="majorBidi"/>
                <w:sz w:val="24"/>
                <w:szCs w:val="24"/>
              </w:rPr>
              <w:t>The group also identifies the necessary mechanisms to strengthen cooperation and joint activity among the three Sectors and the General Secretariat, or with each Sector, on issues of mutual interest.</w:t>
            </w:r>
          </w:p>
          <w:p w14:paraId="38AB4F53" w14:textId="310DF481" w:rsidR="00FB6C0F" w:rsidRPr="00056CD2" w:rsidRDefault="00056CD2" w:rsidP="00056CD2">
            <w:pPr>
              <w:rPr>
                <w:rFonts w:asciiTheme="majorBidi" w:hAnsiTheme="majorBidi" w:cstheme="majorBidi"/>
                <w:sz w:val="24"/>
                <w:szCs w:val="24"/>
              </w:rPr>
            </w:pPr>
            <w:r w:rsidRPr="00056CD2">
              <w:rPr>
                <w:rFonts w:asciiTheme="majorBidi" w:hAnsiTheme="majorBidi" w:cstheme="majorBidi"/>
                <w:sz w:val="24"/>
                <w:szCs w:val="24"/>
              </w:rPr>
              <w:t>This report provides an update on the work of the group undertaken since April 2019.</w:t>
            </w:r>
          </w:p>
        </w:tc>
      </w:tr>
    </w:tbl>
    <w:p w14:paraId="7F69CA88" w14:textId="77777777" w:rsidR="00056CD2" w:rsidRDefault="00056CD2" w:rsidP="00056CD2">
      <w:pPr>
        <w:tabs>
          <w:tab w:val="clear" w:pos="1134"/>
          <w:tab w:val="clear" w:pos="1871"/>
          <w:tab w:val="clear" w:pos="2268"/>
        </w:tabs>
        <w:overflowPunct/>
        <w:autoSpaceDE/>
        <w:autoSpaceDN/>
        <w:adjustRightInd/>
        <w:spacing w:after="0"/>
        <w:textAlignment w:val="auto"/>
        <w:rPr>
          <w:rFonts w:asciiTheme="majorBidi" w:eastAsiaTheme="minorEastAsia" w:hAnsiTheme="majorBidi" w:cstheme="majorBidi"/>
          <w:sz w:val="24"/>
          <w:szCs w:val="24"/>
        </w:rPr>
      </w:pPr>
    </w:p>
    <w:p w14:paraId="765DA475" w14:textId="77777777" w:rsidR="00056CD2" w:rsidRPr="00056CD2" w:rsidRDefault="00056CD2" w:rsidP="00056CD2">
      <w:pPr>
        <w:rPr>
          <w:rFonts w:asciiTheme="majorBidi" w:hAnsiTheme="majorBidi" w:cstheme="majorBidi"/>
          <w:b/>
          <w:bCs/>
          <w:sz w:val="24"/>
          <w:szCs w:val="24"/>
          <w:lang w:val="en-US"/>
        </w:rPr>
      </w:pPr>
      <w:r w:rsidRPr="00056CD2">
        <w:rPr>
          <w:rFonts w:asciiTheme="majorBidi" w:hAnsiTheme="majorBidi" w:cstheme="majorBidi"/>
          <w:b/>
          <w:bCs/>
          <w:sz w:val="24"/>
          <w:szCs w:val="24"/>
          <w:lang w:val="en-US"/>
        </w:rPr>
        <w:t xml:space="preserve">Action required: </w:t>
      </w:r>
    </w:p>
    <w:p w14:paraId="017B0FD3" w14:textId="77777777" w:rsidR="00056CD2" w:rsidRPr="00056CD2" w:rsidRDefault="00056CD2" w:rsidP="00056CD2">
      <w:pPr>
        <w:rPr>
          <w:rFonts w:asciiTheme="majorBidi" w:hAnsiTheme="majorBidi" w:cstheme="majorBidi"/>
          <w:sz w:val="24"/>
          <w:szCs w:val="24"/>
          <w:lang w:val="en-US"/>
        </w:rPr>
      </w:pPr>
      <w:r w:rsidRPr="00056CD2">
        <w:rPr>
          <w:rFonts w:asciiTheme="majorBidi" w:hAnsiTheme="majorBidi" w:cstheme="majorBidi"/>
          <w:sz w:val="24"/>
          <w:szCs w:val="24"/>
          <w:lang w:val="en-US"/>
        </w:rPr>
        <w:t>TSAG is invited to note the document.</w:t>
      </w:r>
    </w:p>
    <w:p w14:paraId="17C141CD" w14:textId="107D46B3" w:rsidR="00EF69CF" w:rsidRPr="00056CD2" w:rsidRDefault="00EF69CF" w:rsidP="00056CD2">
      <w:pPr>
        <w:tabs>
          <w:tab w:val="clear" w:pos="1134"/>
          <w:tab w:val="clear" w:pos="1871"/>
          <w:tab w:val="clear" w:pos="2268"/>
        </w:tabs>
        <w:overflowPunct/>
        <w:autoSpaceDE/>
        <w:autoSpaceDN/>
        <w:adjustRightInd/>
        <w:spacing w:after="0"/>
        <w:textAlignment w:val="auto"/>
        <w:rPr>
          <w:rFonts w:asciiTheme="majorBidi" w:hAnsiTheme="majorBidi" w:cstheme="majorBidi"/>
          <w:sz w:val="24"/>
          <w:szCs w:val="24"/>
        </w:rPr>
      </w:pPr>
      <w:r w:rsidRPr="00056CD2">
        <w:rPr>
          <w:rFonts w:asciiTheme="majorBidi" w:eastAsiaTheme="minorEastAsia" w:hAnsiTheme="majorBidi" w:cstheme="majorBidi"/>
          <w:sz w:val="24"/>
          <w:szCs w:val="24"/>
        </w:rPr>
        <w:br w:type="page"/>
      </w:r>
    </w:p>
    <w:tbl>
      <w:tblPr>
        <w:tblpPr w:leftFromText="180" w:rightFromText="180" w:vertAnchor="page" w:horzAnchor="margin" w:tblpY="1895"/>
        <w:tblW w:w="10031" w:type="dxa"/>
        <w:tblLayout w:type="fixed"/>
        <w:tblLook w:val="0000" w:firstRow="0" w:lastRow="0" w:firstColumn="0" w:lastColumn="0" w:noHBand="0" w:noVBand="0"/>
      </w:tblPr>
      <w:tblGrid>
        <w:gridCol w:w="6663"/>
        <w:gridCol w:w="3368"/>
      </w:tblGrid>
      <w:tr w:rsidR="001E252D" w:rsidRPr="00BD46AC" w14:paraId="5E058D3D" w14:textId="77777777" w:rsidTr="009B7AE7">
        <w:trPr>
          <w:cantSplit/>
          <w:trHeight w:val="1134"/>
        </w:trPr>
        <w:tc>
          <w:tcPr>
            <w:tcW w:w="6663" w:type="dxa"/>
          </w:tcPr>
          <w:p w14:paraId="485B8575" w14:textId="3E8F99B2" w:rsidR="00FF0DF8" w:rsidRPr="00BD46AC" w:rsidRDefault="00FF0DF8" w:rsidP="009B7AE7">
            <w:pPr>
              <w:tabs>
                <w:tab w:val="clear" w:pos="1134"/>
              </w:tabs>
              <w:spacing w:before="20" w:after="48" w:line="240" w:lineRule="atLeast"/>
              <w:ind w:left="34"/>
              <w:rPr>
                <w:b/>
                <w:bCs/>
                <w:sz w:val="32"/>
                <w:szCs w:val="32"/>
                <w:lang w:val="en-US"/>
              </w:rPr>
            </w:pPr>
            <w:r w:rsidRPr="00BD46AC">
              <w:rPr>
                <w:b/>
                <w:bCs/>
                <w:sz w:val="32"/>
                <w:szCs w:val="32"/>
                <w:lang w:val="en-US"/>
              </w:rPr>
              <w:lastRenderedPageBreak/>
              <w:t>Inter-Sector Coordination Group (ISCG)</w:t>
            </w:r>
            <w:r w:rsidR="00FC3E63">
              <w:rPr>
                <w:b/>
                <w:bCs/>
                <w:sz w:val="32"/>
                <w:szCs w:val="32"/>
                <w:lang w:val="en-US"/>
              </w:rPr>
              <w:br/>
            </w:r>
            <w:r w:rsidRPr="00BD46AC">
              <w:rPr>
                <w:b/>
                <w:bCs/>
                <w:sz w:val="32"/>
                <w:szCs w:val="32"/>
                <w:lang w:val="en-US"/>
              </w:rPr>
              <w:t>on issues of mutual interest</w:t>
            </w:r>
          </w:p>
          <w:p w14:paraId="619AF2F2" w14:textId="0E5E4734" w:rsidR="001E252D" w:rsidRPr="00BD46AC" w:rsidRDefault="00FF0DF8" w:rsidP="009B7AE7">
            <w:pPr>
              <w:tabs>
                <w:tab w:val="clear" w:pos="1134"/>
              </w:tabs>
              <w:spacing w:after="48" w:line="240" w:lineRule="atLeast"/>
              <w:ind w:left="34"/>
              <w:rPr>
                <w:b/>
                <w:bCs/>
                <w:sz w:val="28"/>
                <w:szCs w:val="28"/>
                <w:lang w:val="en-US"/>
              </w:rPr>
            </w:pPr>
            <w:r w:rsidRPr="00BD46AC">
              <w:rPr>
                <w:b/>
                <w:bCs/>
                <w:sz w:val="26"/>
                <w:szCs w:val="26"/>
                <w:lang w:val="en-US"/>
              </w:rPr>
              <w:t xml:space="preserve">Geneva, </w:t>
            </w:r>
            <w:r w:rsidR="00BD46AC" w:rsidRPr="00BD46AC">
              <w:rPr>
                <w:b/>
                <w:bCs/>
                <w:sz w:val="26"/>
                <w:szCs w:val="26"/>
                <w:lang w:val="en-US"/>
              </w:rPr>
              <w:t>25</w:t>
            </w:r>
            <w:r w:rsidRPr="00BD46AC">
              <w:rPr>
                <w:b/>
                <w:bCs/>
                <w:sz w:val="26"/>
                <w:szCs w:val="26"/>
                <w:lang w:val="en-US"/>
              </w:rPr>
              <w:t xml:space="preserve"> </w:t>
            </w:r>
            <w:r w:rsidR="00BD46AC" w:rsidRPr="00BD46AC">
              <w:rPr>
                <w:b/>
                <w:bCs/>
                <w:sz w:val="26"/>
                <w:szCs w:val="26"/>
                <w:lang w:val="en-US"/>
              </w:rPr>
              <w:t>September</w:t>
            </w:r>
            <w:r w:rsidRPr="00BD46AC">
              <w:rPr>
                <w:b/>
                <w:bCs/>
                <w:sz w:val="26"/>
                <w:szCs w:val="26"/>
                <w:lang w:val="en-US"/>
              </w:rPr>
              <w:t xml:space="preserve"> 2019</w:t>
            </w:r>
          </w:p>
        </w:tc>
        <w:tc>
          <w:tcPr>
            <w:tcW w:w="3368" w:type="dxa"/>
          </w:tcPr>
          <w:p w14:paraId="106717B7" w14:textId="36915EB3" w:rsidR="001E252D" w:rsidRPr="00BD46AC" w:rsidRDefault="00FF0DF8" w:rsidP="009B7AE7">
            <w:pPr>
              <w:spacing w:line="240" w:lineRule="atLeast"/>
              <w:jc w:val="right"/>
              <w:rPr>
                <w:rFonts w:cstheme="minorHAnsi"/>
                <w:lang w:val="en-US"/>
              </w:rPr>
            </w:pPr>
            <w:bookmarkStart w:id="8" w:name="ditulogo"/>
            <w:bookmarkEnd w:id="8"/>
            <w:r w:rsidRPr="00BD46AC">
              <w:rPr>
                <w:noProof/>
                <w:color w:val="3399FF"/>
                <w:lang w:eastAsia="zh-CN"/>
              </w:rPr>
              <w:drawing>
                <wp:inline distT="0" distB="0" distL="0" distR="0" wp14:anchorId="01EACC5A" wp14:editId="27AE4B93">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D83BF5" w:rsidRPr="00BD46AC" w14:paraId="6D037BDC" w14:textId="77777777" w:rsidTr="009B7AE7">
        <w:trPr>
          <w:cantSplit/>
        </w:trPr>
        <w:tc>
          <w:tcPr>
            <w:tcW w:w="6663" w:type="dxa"/>
            <w:tcBorders>
              <w:top w:val="single" w:sz="12" w:space="0" w:color="auto"/>
            </w:tcBorders>
          </w:tcPr>
          <w:p w14:paraId="16083B20" w14:textId="77777777" w:rsidR="00D83BF5" w:rsidRPr="00BD46AC" w:rsidRDefault="00D83BF5" w:rsidP="009B7AE7">
            <w:pPr>
              <w:spacing w:after="48" w:line="240" w:lineRule="atLeast"/>
              <w:rPr>
                <w:rFonts w:cstheme="minorHAnsi"/>
                <w:b/>
                <w:smallCaps/>
                <w:sz w:val="20"/>
                <w:lang w:val="en-US"/>
              </w:rPr>
            </w:pPr>
            <w:bookmarkStart w:id="9" w:name="dhead"/>
          </w:p>
        </w:tc>
        <w:tc>
          <w:tcPr>
            <w:tcW w:w="3368" w:type="dxa"/>
            <w:tcBorders>
              <w:top w:val="single" w:sz="12" w:space="0" w:color="auto"/>
            </w:tcBorders>
          </w:tcPr>
          <w:p w14:paraId="54D0E58F" w14:textId="77777777" w:rsidR="00D83BF5" w:rsidRPr="00BD46AC" w:rsidRDefault="00D83BF5" w:rsidP="009B7AE7">
            <w:pPr>
              <w:spacing w:line="240" w:lineRule="atLeast"/>
              <w:rPr>
                <w:rFonts w:cstheme="minorHAnsi"/>
                <w:sz w:val="20"/>
                <w:lang w:val="en-US"/>
              </w:rPr>
            </w:pPr>
          </w:p>
        </w:tc>
      </w:tr>
      <w:tr w:rsidR="00D83BF5" w:rsidRPr="00BD46AC" w14:paraId="3B561FBB" w14:textId="77777777" w:rsidTr="009B7AE7">
        <w:trPr>
          <w:cantSplit/>
          <w:trHeight w:val="23"/>
        </w:trPr>
        <w:tc>
          <w:tcPr>
            <w:tcW w:w="6663" w:type="dxa"/>
            <w:shd w:val="clear" w:color="auto" w:fill="auto"/>
          </w:tcPr>
          <w:p w14:paraId="39B389C1" w14:textId="77777777" w:rsidR="00D83BF5" w:rsidRPr="00BD46AC" w:rsidRDefault="00D83BF5" w:rsidP="009B7AE7">
            <w:pPr>
              <w:pStyle w:val="Committee"/>
              <w:framePr w:hSpace="0" w:wrap="auto" w:hAnchor="text" w:yAlign="inline"/>
              <w:rPr>
                <w:lang w:val="en-US"/>
              </w:rPr>
            </w:pPr>
            <w:bookmarkStart w:id="10" w:name="dnum" w:colFirst="1" w:colLast="1"/>
            <w:bookmarkStart w:id="11" w:name="dmeeting" w:colFirst="0" w:colLast="0"/>
            <w:bookmarkEnd w:id="9"/>
          </w:p>
        </w:tc>
        <w:tc>
          <w:tcPr>
            <w:tcW w:w="3368" w:type="dxa"/>
          </w:tcPr>
          <w:p w14:paraId="37B87B11" w14:textId="15842906" w:rsidR="00D83BF5" w:rsidRPr="00BD46AC" w:rsidRDefault="00D83BF5" w:rsidP="009B7AE7">
            <w:pPr>
              <w:tabs>
                <w:tab w:val="left" w:pos="851"/>
              </w:tabs>
              <w:spacing w:line="240" w:lineRule="atLeast"/>
              <w:rPr>
                <w:rFonts w:cstheme="minorHAnsi"/>
                <w:szCs w:val="24"/>
                <w:lang w:val="en-US"/>
              </w:rPr>
            </w:pPr>
            <w:r w:rsidRPr="00BD46AC">
              <w:rPr>
                <w:b/>
                <w:bCs/>
                <w:szCs w:val="24"/>
                <w:lang w:val="en-US"/>
              </w:rPr>
              <w:t>Document</w:t>
            </w:r>
            <w:r w:rsidR="0076332E">
              <w:rPr>
                <w:b/>
                <w:bCs/>
                <w:szCs w:val="24"/>
                <w:lang w:val="en-US"/>
              </w:rPr>
              <w:t xml:space="preserve"> </w:t>
            </w:r>
            <w:r w:rsidR="0076332E" w:rsidRPr="00C36221">
              <w:rPr>
                <w:b/>
                <w:bCs/>
                <w:szCs w:val="24"/>
                <w:lang w:val="en-US"/>
              </w:rPr>
              <w:t>TSAG</w:t>
            </w:r>
            <w:bookmarkStart w:id="12" w:name="DocRef1"/>
            <w:bookmarkEnd w:id="12"/>
            <w:r w:rsidR="006E065B" w:rsidRPr="00C36221">
              <w:rPr>
                <w:b/>
                <w:bCs/>
                <w:szCs w:val="24"/>
                <w:lang w:val="en-US"/>
              </w:rPr>
              <w:t>-</w:t>
            </w:r>
            <w:r w:rsidR="00C36221" w:rsidRPr="00C36221">
              <w:rPr>
                <w:b/>
                <w:bCs/>
                <w:szCs w:val="24"/>
                <w:lang w:val="en-US"/>
              </w:rPr>
              <w:t>TD589</w:t>
            </w:r>
            <w:r w:rsidR="0076332E">
              <w:rPr>
                <w:b/>
                <w:bCs/>
                <w:szCs w:val="24"/>
                <w:lang w:val="en-US"/>
              </w:rPr>
              <w:br/>
            </w:r>
            <w:r w:rsidR="006E065B">
              <w:rPr>
                <w:b/>
                <w:bCs/>
                <w:szCs w:val="24"/>
                <w:lang w:val="en-US"/>
              </w:rPr>
              <w:t>(</w:t>
            </w:r>
            <w:r w:rsidR="0076332E">
              <w:rPr>
                <w:b/>
                <w:bCs/>
                <w:szCs w:val="24"/>
                <w:lang w:val="en-US"/>
              </w:rPr>
              <w:t>ISCG-19</w:t>
            </w:r>
            <w:r w:rsidR="00A5672C" w:rsidRPr="00BD46AC">
              <w:rPr>
                <w:b/>
                <w:bCs/>
                <w:szCs w:val="24"/>
                <w:lang w:val="en-US"/>
              </w:rPr>
              <w:t>-</w:t>
            </w:r>
            <w:r w:rsidR="0076332E">
              <w:rPr>
                <w:b/>
                <w:bCs/>
                <w:szCs w:val="24"/>
                <w:lang w:val="en-US"/>
              </w:rPr>
              <w:t>2</w:t>
            </w:r>
            <w:r w:rsidRPr="00BD46AC">
              <w:rPr>
                <w:b/>
                <w:bCs/>
                <w:szCs w:val="24"/>
                <w:lang w:val="en-US"/>
              </w:rPr>
              <w:t>/</w:t>
            </w:r>
            <w:r w:rsidR="0076332E">
              <w:rPr>
                <w:b/>
                <w:bCs/>
                <w:szCs w:val="24"/>
                <w:lang w:val="en-US"/>
              </w:rPr>
              <w:t>05</w:t>
            </w:r>
            <w:r w:rsidRPr="00BD46AC">
              <w:rPr>
                <w:b/>
                <w:bCs/>
                <w:szCs w:val="24"/>
                <w:lang w:val="en-US"/>
              </w:rPr>
              <w:t>-E</w:t>
            </w:r>
            <w:r w:rsidR="006E065B">
              <w:rPr>
                <w:b/>
                <w:bCs/>
                <w:szCs w:val="24"/>
                <w:lang w:val="en-US"/>
              </w:rPr>
              <w:t>)</w:t>
            </w:r>
          </w:p>
        </w:tc>
      </w:tr>
      <w:tr w:rsidR="00D83BF5" w:rsidRPr="00BD46AC" w14:paraId="193391AD" w14:textId="77777777" w:rsidTr="009B7AE7">
        <w:trPr>
          <w:cantSplit/>
          <w:trHeight w:val="23"/>
        </w:trPr>
        <w:tc>
          <w:tcPr>
            <w:tcW w:w="6663" w:type="dxa"/>
            <w:shd w:val="clear" w:color="auto" w:fill="auto"/>
          </w:tcPr>
          <w:p w14:paraId="720C19A1" w14:textId="77777777" w:rsidR="00D83BF5" w:rsidRPr="00BD46AC" w:rsidRDefault="00D83BF5" w:rsidP="009B7AE7">
            <w:pPr>
              <w:tabs>
                <w:tab w:val="left" w:pos="851"/>
              </w:tabs>
              <w:spacing w:line="240" w:lineRule="atLeast"/>
              <w:rPr>
                <w:rFonts w:cstheme="minorHAnsi"/>
                <w:b/>
                <w:szCs w:val="24"/>
                <w:lang w:val="en-US"/>
              </w:rPr>
            </w:pPr>
            <w:bookmarkStart w:id="13" w:name="ddate" w:colFirst="1" w:colLast="1"/>
            <w:bookmarkStart w:id="14" w:name="dblank" w:colFirst="0" w:colLast="0"/>
            <w:bookmarkEnd w:id="10"/>
            <w:bookmarkEnd w:id="11"/>
          </w:p>
        </w:tc>
        <w:tc>
          <w:tcPr>
            <w:tcW w:w="3368" w:type="dxa"/>
          </w:tcPr>
          <w:p w14:paraId="55402761" w14:textId="58CB5AC7" w:rsidR="00D83BF5" w:rsidRPr="00BD46AC" w:rsidRDefault="00E13118" w:rsidP="009B7AE7">
            <w:pPr>
              <w:spacing w:line="240" w:lineRule="atLeast"/>
              <w:rPr>
                <w:rFonts w:cstheme="minorHAnsi"/>
                <w:szCs w:val="24"/>
                <w:lang w:val="en-US"/>
              </w:rPr>
            </w:pPr>
            <w:r w:rsidRPr="00BD46AC">
              <w:rPr>
                <w:b/>
                <w:bCs/>
                <w:szCs w:val="24"/>
                <w:lang w:val="en-US"/>
              </w:rPr>
              <w:t>2</w:t>
            </w:r>
            <w:r w:rsidR="00BD46AC" w:rsidRPr="00BD46AC">
              <w:rPr>
                <w:b/>
                <w:bCs/>
                <w:szCs w:val="24"/>
                <w:lang w:val="en-US"/>
              </w:rPr>
              <w:t>5</w:t>
            </w:r>
            <w:r w:rsidRPr="00BD46AC">
              <w:rPr>
                <w:b/>
                <w:bCs/>
                <w:szCs w:val="24"/>
                <w:lang w:val="en-US"/>
              </w:rPr>
              <w:t xml:space="preserve"> </w:t>
            </w:r>
            <w:r w:rsidR="00BD46AC" w:rsidRPr="00BD46AC">
              <w:rPr>
                <w:b/>
                <w:bCs/>
                <w:szCs w:val="24"/>
                <w:lang w:val="en-US"/>
              </w:rPr>
              <w:t>September</w:t>
            </w:r>
            <w:r w:rsidR="004F22CB" w:rsidRPr="00BD46AC">
              <w:rPr>
                <w:b/>
                <w:bCs/>
                <w:szCs w:val="24"/>
                <w:lang w:val="en-US"/>
              </w:rPr>
              <w:t xml:space="preserve"> </w:t>
            </w:r>
            <w:r w:rsidR="00930028" w:rsidRPr="00BD46AC">
              <w:rPr>
                <w:b/>
                <w:bCs/>
                <w:szCs w:val="24"/>
                <w:lang w:val="en-US"/>
              </w:rPr>
              <w:t>201</w:t>
            </w:r>
            <w:r w:rsidR="00A5672C" w:rsidRPr="00BD46AC">
              <w:rPr>
                <w:b/>
                <w:bCs/>
                <w:szCs w:val="24"/>
                <w:lang w:val="en-US"/>
              </w:rPr>
              <w:t>9</w:t>
            </w:r>
          </w:p>
        </w:tc>
      </w:tr>
      <w:tr w:rsidR="00D83BF5" w:rsidRPr="00BD46AC" w14:paraId="43F9ABB9" w14:textId="77777777" w:rsidTr="009B7AE7">
        <w:trPr>
          <w:cantSplit/>
          <w:trHeight w:val="23"/>
        </w:trPr>
        <w:tc>
          <w:tcPr>
            <w:tcW w:w="6663" w:type="dxa"/>
            <w:shd w:val="clear" w:color="auto" w:fill="auto"/>
          </w:tcPr>
          <w:p w14:paraId="6A6860BA" w14:textId="77777777" w:rsidR="00D83BF5" w:rsidRPr="00BD46AC" w:rsidRDefault="00D83BF5" w:rsidP="009B7AE7">
            <w:pPr>
              <w:tabs>
                <w:tab w:val="left" w:pos="851"/>
              </w:tabs>
              <w:spacing w:line="240" w:lineRule="atLeast"/>
              <w:rPr>
                <w:rFonts w:cstheme="minorHAnsi"/>
                <w:szCs w:val="24"/>
                <w:lang w:val="en-US"/>
              </w:rPr>
            </w:pPr>
            <w:bookmarkStart w:id="15" w:name="dbluepink" w:colFirst="0" w:colLast="0"/>
            <w:bookmarkStart w:id="16" w:name="dorlang" w:colFirst="1" w:colLast="1"/>
            <w:bookmarkEnd w:id="13"/>
            <w:bookmarkEnd w:id="14"/>
          </w:p>
        </w:tc>
        <w:tc>
          <w:tcPr>
            <w:tcW w:w="3368" w:type="dxa"/>
          </w:tcPr>
          <w:p w14:paraId="4153B954" w14:textId="77777777" w:rsidR="00D83BF5" w:rsidRPr="00BD46AC" w:rsidRDefault="00D83BF5" w:rsidP="009B7AE7">
            <w:pPr>
              <w:tabs>
                <w:tab w:val="left" w:pos="993"/>
              </w:tabs>
              <w:rPr>
                <w:rFonts w:cstheme="minorHAnsi"/>
                <w:b/>
                <w:szCs w:val="24"/>
                <w:lang w:val="en-US"/>
              </w:rPr>
            </w:pPr>
            <w:r w:rsidRPr="00BD46AC">
              <w:rPr>
                <w:b/>
                <w:bCs/>
                <w:szCs w:val="24"/>
                <w:lang w:val="en-US"/>
              </w:rPr>
              <w:t>Original: English</w:t>
            </w:r>
          </w:p>
        </w:tc>
      </w:tr>
      <w:tr w:rsidR="00D83BF5" w:rsidRPr="00BD46AC" w14:paraId="4731B908" w14:textId="77777777" w:rsidTr="009B7AE7">
        <w:trPr>
          <w:cantSplit/>
          <w:trHeight w:val="23"/>
        </w:trPr>
        <w:tc>
          <w:tcPr>
            <w:tcW w:w="10031" w:type="dxa"/>
            <w:gridSpan w:val="2"/>
            <w:shd w:val="clear" w:color="auto" w:fill="auto"/>
          </w:tcPr>
          <w:p w14:paraId="5C3DBABD" w14:textId="431332A1" w:rsidR="00D83BF5" w:rsidRPr="00BD46AC" w:rsidRDefault="006909FF" w:rsidP="009B7AE7">
            <w:pPr>
              <w:pStyle w:val="Source"/>
              <w:spacing w:before="240" w:after="240"/>
              <w:rPr>
                <w:lang w:val="en-US"/>
              </w:rPr>
            </w:pPr>
            <w:r w:rsidRPr="00BD46AC">
              <w:rPr>
                <w:lang w:val="en-US"/>
              </w:rPr>
              <w:t>Chairman</w:t>
            </w:r>
            <w:r w:rsidR="0076332E">
              <w:rPr>
                <w:lang w:val="en-US"/>
              </w:rPr>
              <w:t xml:space="preserve"> of the Inter-Sector Coordination Group (</w:t>
            </w:r>
            <w:r w:rsidRPr="00BD46AC">
              <w:rPr>
                <w:lang w:val="en-US"/>
              </w:rPr>
              <w:t>ISCG</w:t>
            </w:r>
            <w:r w:rsidR="0076332E">
              <w:rPr>
                <w:lang w:val="en-US"/>
              </w:rPr>
              <w:t>)</w:t>
            </w:r>
          </w:p>
        </w:tc>
      </w:tr>
      <w:tr w:rsidR="00D83BF5" w:rsidRPr="00BD46AC" w14:paraId="24F36D5B" w14:textId="77777777" w:rsidTr="009B7AE7">
        <w:trPr>
          <w:cantSplit/>
          <w:trHeight w:val="23"/>
        </w:trPr>
        <w:tc>
          <w:tcPr>
            <w:tcW w:w="10031" w:type="dxa"/>
            <w:gridSpan w:val="2"/>
            <w:shd w:val="clear" w:color="auto" w:fill="auto"/>
            <w:vAlign w:val="center"/>
          </w:tcPr>
          <w:p w14:paraId="59942F9D" w14:textId="38C46F42" w:rsidR="00D83BF5" w:rsidRPr="00BD46AC" w:rsidRDefault="006D6EAC" w:rsidP="009B7AE7">
            <w:pPr>
              <w:pStyle w:val="Title1"/>
              <w:spacing w:before="120"/>
              <w:rPr>
                <w:lang w:val="en-US"/>
              </w:rPr>
            </w:pPr>
            <w:r w:rsidRPr="00BD46AC">
              <w:rPr>
                <w:szCs w:val="28"/>
                <w:lang w:val="en-US"/>
              </w:rPr>
              <w:t xml:space="preserve">progress report </w:t>
            </w:r>
            <w:r w:rsidR="0076332E">
              <w:rPr>
                <w:szCs w:val="28"/>
                <w:lang w:val="en-US"/>
              </w:rPr>
              <w:br/>
            </w:r>
            <w:r w:rsidRPr="00BD46AC">
              <w:rPr>
                <w:szCs w:val="28"/>
                <w:lang w:val="en-US"/>
              </w:rPr>
              <w:t xml:space="preserve">by the </w:t>
            </w:r>
            <w:r w:rsidR="00175B36" w:rsidRPr="00BD46AC">
              <w:rPr>
                <w:szCs w:val="28"/>
                <w:lang w:val="en-US"/>
              </w:rPr>
              <w:t xml:space="preserve">Inter-Sector Coordination </w:t>
            </w:r>
            <w:r w:rsidR="000D2FD9" w:rsidRPr="00BD46AC">
              <w:rPr>
                <w:szCs w:val="28"/>
                <w:lang w:val="en-US"/>
              </w:rPr>
              <w:t>GROUP</w:t>
            </w:r>
            <w:r w:rsidRPr="00BD46AC">
              <w:rPr>
                <w:szCs w:val="28"/>
                <w:lang w:val="en-US"/>
              </w:rPr>
              <w:t xml:space="preserve"> (ISCG)</w:t>
            </w:r>
            <w:r w:rsidR="00175B36" w:rsidRPr="00BD46AC">
              <w:rPr>
                <w:szCs w:val="28"/>
                <w:lang w:val="en-US"/>
              </w:rPr>
              <w:t xml:space="preserve"> </w:t>
            </w:r>
            <w:r w:rsidR="00FF0DF8" w:rsidRPr="00BD46AC">
              <w:rPr>
                <w:szCs w:val="28"/>
                <w:lang w:val="en-US"/>
              </w:rPr>
              <w:br/>
            </w:r>
            <w:r w:rsidR="00175B36" w:rsidRPr="00BD46AC">
              <w:rPr>
                <w:szCs w:val="28"/>
                <w:lang w:val="en-US"/>
              </w:rPr>
              <w:t>on Issues of Mutual Interest</w:t>
            </w:r>
          </w:p>
        </w:tc>
      </w:tr>
      <w:tr w:rsidR="00D83BF5" w:rsidRPr="00BD46AC" w14:paraId="6FB8EB42" w14:textId="77777777" w:rsidTr="009B7AE7">
        <w:trPr>
          <w:cantSplit/>
          <w:trHeight w:val="23"/>
        </w:trPr>
        <w:tc>
          <w:tcPr>
            <w:tcW w:w="10031" w:type="dxa"/>
            <w:gridSpan w:val="2"/>
            <w:tcBorders>
              <w:bottom w:val="single" w:sz="4" w:space="0" w:color="auto"/>
            </w:tcBorders>
            <w:shd w:val="clear" w:color="auto" w:fill="auto"/>
          </w:tcPr>
          <w:p w14:paraId="29B7154D" w14:textId="77777777" w:rsidR="00D83BF5" w:rsidRPr="00BD46AC" w:rsidRDefault="00D83BF5" w:rsidP="009B7AE7">
            <w:pPr>
              <w:pStyle w:val="Title1"/>
              <w:spacing w:before="120"/>
              <w:jc w:val="left"/>
              <w:rPr>
                <w:rFonts w:cs="Times New Roman Bold"/>
                <w:caps w:val="0"/>
                <w:szCs w:val="28"/>
                <w:lang w:val="en-US"/>
              </w:rPr>
            </w:pPr>
          </w:p>
        </w:tc>
      </w:tr>
      <w:tr w:rsidR="001E252D" w:rsidRPr="00BD46AC" w14:paraId="3B8F0ADA" w14:textId="77777777" w:rsidTr="009B7AE7">
        <w:trPr>
          <w:cantSplit/>
          <w:trHeight w:val="23"/>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36929DCE" w14:textId="77777777" w:rsidR="00922804" w:rsidRPr="00BD46AC" w:rsidRDefault="001E252D" w:rsidP="009B7AE7">
            <w:pPr>
              <w:shd w:val="clear" w:color="auto" w:fill="FFFFFF"/>
              <w:jc w:val="both"/>
              <w:rPr>
                <w:rFonts w:cs="Arial"/>
                <w:szCs w:val="24"/>
                <w:lang w:val="en-US"/>
              </w:rPr>
            </w:pPr>
            <w:r w:rsidRPr="00BD46AC">
              <w:rPr>
                <w:b/>
                <w:bCs/>
                <w:szCs w:val="24"/>
                <w:lang w:val="en-US"/>
              </w:rPr>
              <w:t>Summary:</w:t>
            </w:r>
            <w:r w:rsidR="000D4875" w:rsidRPr="00BD46AC">
              <w:rPr>
                <w:szCs w:val="24"/>
                <w:lang w:val="en-US"/>
              </w:rPr>
              <w:t xml:space="preserve"> </w:t>
            </w:r>
          </w:p>
          <w:p w14:paraId="24263D56" w14:textId="4BCFE833" w:rsidR="00C846EB" w:rsidRPr="00BD46AC" w:rsidRDefault="000D2FD9" w:rsidP="009B7AE7">
            <w:pPr>
              <w:shd w:val="clear" w:color="auto" w:fill="FFFFFF"/>
              <w:rPr>
                <w:rFonts w:cs="Arial"/>
                <w:szCs w:val="24"/>
                <w:lang w:val="en-US"/>
              </w:rPr>
            </w:pPr>
            <w:r w:rsidRPr="00BD46AC">
              <w:rPr>
                <w:rFonts w:cs="Arial"/>
                <w:szCs w:val="24"/>
                <w:lang w:val="en-US"/>
              </w:rPr>
              <w:t>The I</w:t>
            </w:r>
            <w:r w:rsidR="00C846EB" w:rsidRPr="00BD46AC">
              <w:rPr>
                <w:rFonts w:cs="Arial"/>
                <w:szCs w:val="24"/>
                <w:lang w:val="en-US"/>
              </w:rPr>
              <w:t xml:space="preserve">nter-Sector Coordination </w:t>
            </w:r>
            <w:r w:rsidRPr="00BD46AC">
              <w:rPr>
                <w:rFonts w:cs="Arial"/>
                <w:szCs w:val="24"/>
                <w:lang w:val="en-US"/>
              </w:rPr>
              <w:t>Group</w:t>
            </w:r>
            <w:r w:rsidR="00346951" w:rsidRPr="00BD46AC">
              <w:rPr>
                <w:rStyle w:val="FootnoteReference"/>
                <w:rFonts w:cs="Arial"/>
                <w:szCs w:val="24"/>
                <w:lang w:val="en-US"/>
              </w:rPr>
              <w:footnoteReference w:id="2"/>
            </w:r>
            <w:r w:rsidR="00DC2CEF">
              <w:rPr>
                <w:rFonts w:cs="Arial"/>
                <w:szCs w:val="24"/>
                <w:lang w:val="en-US"/>
              </w:rPr>
              <w:t xml:space="preserve"> (ISCG)</w:t>
            </w:r>
            <w:r w:rsidR="00346951" w:rsidRPr="00BD46AC">
              <w:rPr>
                <w:rFonts w:cs="Arial"/>
                <w:szCs w:val="24"/>
                <w:lang w:val="en-US"/>
              </w:rPr>
              <w:t xml:space="preserve"> </w:t>
            </w:r>
            <w:r w:rsidRPr="00BD46AC">
              <w:rPr>
                <w:rFonts w:cs="Arial"/>
                <w:szCs w:val="24"/>
                <w:lang w:val="en-US"/>
              </w:rPr>
              <w:t>on i</w:t>
            </w:r>
            <w:r w:rsidR="00C846EB" w:rsidRPr="00BD46AC">
              <w:rPr>
                <w:rFonts w:cs="Arial"/>
                <w:szCs w:val="24"/>
                <w:lang w:val="en-US"/>
              </w:rPr>
              <w:t xml:space="preserve">ssues of </w:t>
            </w:r>
            <w:r w:rsidRPr="00BD46AC">
              <w:rPr>
                <w:rFonts w:cs="Arial"/>
                <w:szCs w:val="24"/>
                <w:lang w:val="en-US"/>
              </w:rPr>
              <w:t>m</w:t>
            </w:r>
            <w:r w:rsidR="00C846EB" w:rsidRPr="00BD46AC">
              <w:rPr>
                <w:rFonts w:cs="Arial"/>
                <w:szCs w:val="24"/>
                <w:lang w:val="en-US"/>
              </w:rPr>
              <w:t xml:space="preserve">utual </w:t>
            </w:r>
            <w:r w:rsidRPr="00BD46AC">
              <w:rPr>
                <w:rFonts w:cs="Arial"/>
                <w:szCs w:val="24"/>
                <w:lang w:val="en-US"/>
              </w:rPr>
              <w:t>i</w:t>
            </w:r>
            <w:r w:rsidR="00C846EB" w:rsidRPr="00BD46AC">
              <w:rPr>
                <w:rFonts w:cs="Arial"/>
                <w:szCs w:val="24"/>
                <w:lang w:val="en-US"/>
              </w:rPr>
              <w:t xml:space="preserve">nterest was established </w:t>
            </w:r>
            <w:r w:rsidR="0052453A" w:rsidRPr="00BD46AC">
              <w:rPr>
                <w:rFonts w:cs="Arial"/>
                <w:szCs w:val="24"/>
                <w:lang w:val="en-US"/>
              </w:rPr>
              <w:t xml:space="preserve">jointly </w:t>
            </w:r>
            <w:r w:rsidR="00C846EB" w:rsidRPr="00BD46AC">
              <w:rPr>
                <w:rFonts w:cs="Arial"/>
                <w:szCs w:val="24"/>
                <w:lang w:val="en-US"/>
              </w:rPr>
              <w:t xml:space="preserve">by the Advisory Groups of all </w:t>
            </w:r>
            <w:r w:rsidR="007F2F0A" w:rsidRPr="00BD46AC">
              <w:rPr>
                <w:rFonts w:cs="Arial"/>
                <w:szCs w:val="24"/>
                <w:lang w:val="en-US"/>
              </w:rPr>
              <w:t xml:space="preserve">ITU </w:t>
            </w:r>
            <w:r w:rsidR="00C846EB" w:rsidRPr="00BD46AC">
              <w:rPr>
                <w:rFonts w:cs="Arial"/>
                <w:szCs w:val="24"/>
                <w:lang w:val="en-US"/>
              </w:rPr>
              <w:t>Sectors</w:t>
            </w:r>
            <w:r w:rsidR="005C66B8" w:rsidRPr="00BD46AC">
              <w:rPr>
                <w:rFonts w:cs="Arial"/>
                <w:szCs w:val="24"/>
                <w:lang w:val="en-US"/>
              </w:rPr>
              <w:t xml:space="preserve"> – </w:t>
            </w:r>
            <w:r w:rsidR="00157E2D">
              <w:t xml:space="preserve"> </w:t>
            </w:r>
            <w:proofErr w:type="spellStart"/>
            <w:r w:rsidR="00157E2D">
              <w:t>Radiocommunication</w:t>
            </w:r>
            <w:proofErr w:type="spellEnd"/>
            <w:r w:rsidR="00157E2D">
              <w:t xml:space="preserve"> Advisory Group (RAG), the Telecommunication Standardization Advisory Group (TSAG), and the Telecommunication Development Advisory Group (TDAG)</w:t>
            </w:r>
            <w:r w:rsidR="00C846EB" w:rsidRPr="00BD46AC">
              <w:rPr>
                <w:rFonts w:cs="Arial"/>
                <w:szCs w:val="24"/>
                <w:lang w:val="en-US"/>
              </w:rPr>
              <w:t xml:space="preserve"> </w:t>
            </w:r>
          </w:p>
          <w:p w14:paraId="3D63D10D" w14:textId="77777777" w:rsidR="00DC2CEF" w:rsidRDefault="00DC2CEF" w:rsidP="009B7AE7">
            <w:pPr>
              <w:shd w:val="clear" w:color="auto" w:fill="FFFFFF"/>
            </w:pPr>
            <w:r>
              <w:t>Resolution 191 (Rev. Dubai, 2018) of the Plenipotentiary Conference invited RAG, TSAG, and TDAG to continue to assist ISCG in identifying subjects common and mechanisms to enhance cooperation and collaboration on matters of mutual interest.</w:t>
            </w:r>
          </w:p>
          <w:p w14:paraId="3D8597C1" w14:textId="23ECED39" w:rsidR="000D2FD9" w:rsidRDefault="009D21F3" w:rsidP="009B7AE7">
            <w:pPr>
              <w:shd w:val="clear" w:color="auto" w:fill="FFFFFF"/>
              <w:rPr>
                <w:lang w:val="en-US"/>
              </w:rPr>
            </w:pPr>
            <w:r>
              <w:rPr>
                <w:rFonts w:cs="Arial"/>
                <w:szCs w:val="24"/>
                <w:lang w:val="en-US"/>
              </w:rPr>
              <w:t>T</w:t>
            </w:r>
            <w:r w:rsidR="00C846EB" w:rsidRPr="00BD46AC">
              <w:rPr>
                <w:rFonts w:cs="Arial"/>
                <w:szCs w:val="24"/>
                <w:lang w:val="en-US"/>
              </w:rPr>
              <w:t xml:space="preserve">he </w:t>
            </w:r>
            <w:r w:rsidR="00235BA4" w:rsidRPr="00BD46AC">
              <w:rPr>
                <w:rFonts w:cs="Arial"/>
                <w:szCs w:val="24"/>
                <w:lang w:val="en-US"/>
              </w:rPr>
              <w:t>g</w:t>
            </w:r>
            <w:r w:rsidR="000D2FD9" w:rsidRPr="00BD46AC">
              <w:rPr>
                <w:rFonts w:cs="Arial"/>
                <w:szCs w:val="24"/>
                <w:lang w:val="en-US"/>
              </w:rPr>
              <w:t xml:space="preserve">roup </w:t>
            </w:r>
            <w:r w:rsidR="00C846EB" w:rsidRPr="00BD46AC">
              <w:rPr>
                <w:rFonts w:cs="Arial"/>
                <w:szCs w:val="24"/>
                <w:lang w:val="en-US"/>
              </w:rPr>
              <w:t xml:space="preserve">identifies </w:t>
            </w:r>
            <w:r w:rsidR="000D2FD9" w:rsidRPr="00BD46AC">
              <w:rPr>
                <w:lang w:val="en-US"/>
              </w:rPr>
              <w:t>subjects common to the three Sectors and the General Secretariat, or, bilaterally</w:t>
            </w:r>
            <w:r>
              <w:rPr>
                <w:lang w:val="en-US"/>
              </w:rPr>
              <w:t xml:space="preserve">, and </w:t>
            </w:r>
            <w:r w:rsidR="00FC3E63">
              <w:rPr>
                <w:lang w:val="en-US"/>
              </w:rPr>
              <w:t xml:space="preserve">considers an updated list </w:t>
            </w:r>
            <w:r w:rsidR="000D2FD9" w:rsidRPr="00BD46AC">
              <w:rPr>
                <w:lang w:val="en-US"/>
              </w:rPr>
              <w:t>containing the areas of mutual interest to the three Sectors and the General Secretariat pursuant to the mandates assigned by each ITU assembly or conference, and in accordance with the objectives of the ITU Strategic Plan.</w:t>
            </w:r>
          </w:p>
          <w:p w14:paraId="301425F4" w14:textId="1E9D7B08" w:rsidR="009D21F3" w:rsidRDefault="009D21F3" w:rsidP="009B7AE7">
            <w:pPr>
              <w:shd w:val="clear" w:color="auto" w:fill="FFFFFF"/>
              <w:rPr>
                <w:lang w:val="en-US"/>
              </w:rPr>
            </w:pPr>
            <w:r>
              <w:rPr>
                <w:lang w:val="en-US"/>
              </w:rPr>
              <w:t xml:space="preserve">The group also </w:t>
            </w:r>
            <w:r w:rsidRPr="009D21F3">
              <w:rPr>
                <w:lang w:val="en-US"/>
              </w:rPr>
              <w:t>identif</w:t>
            </w:r>
            <w:r>
              <w:rPr>
                <w:lang w:val="en-US"/>
              </w:rPr>
              <w:t>ies</w:t>
            </w:r>
            <w:r w:rsidRPr="009D21F3">
              <w:rPr>
                <w:lang w:val="en-US"/>
              </w:rPr>
              <w:t xml:space="preserve"> the necessary mechanisms to strengthen cooperation and joint activity among the three Sectors and the General Secretariat, or with each Sector, on issues of mutual interest</w:t>
            </w:r>
            <w:r>
              <w:rPr>
                <w:lang w:val="en-US"/>
              </w:rPr>
              <w:t>.</w:t>
            </w:r>
          </w:p>
          <w:p w14:paraId="6358DE63" w14:textId="25230F30" w:rsidR="007866D3" w:rsidRPr="00BD46AC" w:rsidRDefault="007866D3" w:rsidP="009B7AE7">
            <w:pPr>
              <w:tabs>
                <w:tab w:val="left" w:pos="567"/>
                <w:tab w:val="left" w:pos="851"/>
              </w:tabs>
              <w:rPr>
                <w:szCs w:val="24"/>
                <w:lang w:val="en-US"/>
              </w:rPr>
            </w:pPr>
            <w:r w:rsidRPr="00BD46AC">
              <w:rPr>
                <w:lang w:val="en-US"/>
              </w:rPr>
              <w:t xml:space="preserve">This report </w:t>
            </w:r>
            <w:r w:rsidR="0076332E">
              <w:rPr>
                <w:lang w:val="en-US"/>
              </w:rPr>
              <w:t xml:space="preserve">provides an update on the work of the group </w:t>
            </w:r>
            <w:r w:rsidRPr="0076332E">
              <w:rPr>
                <w:lang w:val="en-US"/>
              </w:rPr>
              <w:t xml:space="preserve">undertaken since </w:t>
            </w:r>
            <w:r w:rsidR="00C410BC" w:rsidRPr="0076332E">
              <w:rPr>
                <w:lang w:val="en-US"/>
              </w:rPr>
              <w:t>April</w:t>
            </w:r>
            <w:r w:rsidR="00BA538A" w:rsidRPr="0076332E">
              <w:rPr>
                <w:lang w:val="en-US"/>
              </w:rPr>
              <w:t xml:space="preserve"> 201</w:t>
            </w:r>
            <w:r w:rsidR="00BD46AC" w:rsidRPr="0076332E">
              <w:rPr>
                <w:lang w:val="en-US"/>
              </w:rPr>
              <w:t>9</w:t>
            </w:r>
            <w:r w:rsidRPr="0076332E">
              <w:rPr>
                <w:lang w:val="en-US"/>
              </w:rPr>
              <w:t>.</w:t>
            </w:r>
          </w:p>
          <w:p w14:paraId="675E6CB8" w14:textId="77777777" w:rsidR="00922804" w:rsidRPr="00BD46AC" w:rsidRDefault="001E252D" w:rsidP="009B7AE7">
            <w:pPr>
              <w:rPr>
                <w:b/>
                <w:bCs/>
                <w:lang w:val="en-US"/>
              </w:rPr>
            </w:pPr>
            <w:r w:rsidRPr="00BD46AC">
              <w:rPr>
                <w:b/>
                <w:bCs/>
                <w:lang w:val="en-US"/>
              </w:rPr>
              <w:t>Action required:</w:t>
            </w:r>
            <w:r w:rsidR="000D4875" w:rsidRPr="00BD46AC">
              <w:rPr>
                <w:b/>
                <w:bCs/>
                <w:lang w:val="en-US"/>
              </w:rPr>
              <w:t xml:space="preserve"> </w:t>
            </w:r>
          </w:p>
          <w:p w14:paraId="53A35AAC" w14:textId="2311C434" w:rsidR="001E252D" w:rsidRPr="00BD46AC" w:rsidRDefault="0076332E" w:rsidP="009B7AE7">
            <w:pPr>
              <w:rPr>
                <w:szCs w:val="24"/>
                <w:lang w:val="en-US"/>
              </w:rPr>
            </w:pPr>
            <w:r>
              <w:rPr>
                <w:szCs w:val="24"/>
                <w:lang w:val="en-US"/>
              </w:rPr>
              <w:t>TSAG</w:t>
            </w:r>
            <w:r w:rsidR="00C846EB" w:rsidRPr="00BD46AC">
              <w:rPr>
                <w:szCs w:val="24"/>
                <w:lang w:val="en-US"/>
              </w:rPr>
              <w:t xml:space="preserve"> is</w:t>
            </w:r>
            <w:r w:rsidR="009B6FD5" w:rsidRPr="00BD46AC">
              <w:rPr>
                <w:szCs w:val="24"/>
                <w:lang w:val="en-US"/>
              </w:rPr>
              <w:t xml:space="preserve"> </w:t>
            </w:r>
            <w:r w:rsidR="00C846EB" w:rsidRPr="00BD46AC">
              <w:rPr>
                <w:szCs w:val="24"/>
                <w:lang w:val="en-US"/>
              </w:rPr>
              <w:t xml:space="preserve">invited to note the </w:t>
            </w:r>
            <w:r w:rsidR="00987DDA" w:rsidRPr="00BD46AC">
              <w:rPr>
                <w:szCs w:val="24"/>
                <w:lang w:val="en-US"/>
              </w:rPr>
              <w:t>document</w:t>
            </w:r>
            <w:r w:rsidR="00FF0DF8" w:rsidRPr="00BD46AC">
              <w:rPr>
                <w:szCs w:val="24"/>
                <w:lang w:val="en-US"/>
              </w:rPr>
              <w:t>.</w:t>
            </w:r>
          </w:p>
          <w:p w14:paraId="70186111" w14:textId="5C5226B3" w:rsidR="00922804" w:rsidRPr="00BD46AC" w:rsidRDefault="007866D3" w:rsidP="009B7AE7">
            <w:pPr>
              <w:tabs>
                <w:tab w:val="clear" w:pos="1871"/>
                <w:tab w:val="clear" w:pos="2268"/>
                <w:tab w:val="left" w:pos="4450"/>
              </w:tabs>
              <w:rPr>
                <w:b/>
                <w:bCs/>
                <w:szCs w:val="24"/>
                <w:lang w:val="en-US"/>
              </w:rPr>
            </w:pPr>
            <w:r w:rsidRPr="00BD46AC">
              <w:rPr>
                <w:b/>
                <w:bCs/>
                <w:szCs w:val="24"/>
                <w:lang w:val="en-US"/>
              </w:rPr>
              <w:t>References:</w:t>
            </w:r>
            <w:r w:rsidR="000A14F6" w:rsidRPr="00BD46AC">
              <w:rPr>
                <w:b/>
                <w:bCs/>
                <w:szCs w:val="24"/>
                <w:lang w:val="en-US"/>
              </w:rPr>
              <w:t xml:space="preserve"> </w:t>
            </w:r>
            <w:r w:rsidR="009B7AE7">
              <w:rPr>
                <w:b/>
                <w:bCs/>
                <w:szCs w:val="24"/>
                <w:lang w:val="en-US"/>
              </w:rPr>
              <w:tab/>
            </w:r>
            <w:r w:rsidR="009B7AE7">
              <w:rPr>
                <w:b/>
                <w:bCs/>
                <w:szCs w:val="24"/>
                <w:lang w:val="en-US"/>
              </w:rPr>
              <w:tab/>
            </w:r>
          </w:p>
          <w:p w14:paraId="3E897D0C" w14:textId="3E7E9AE4" w:rsidR="001E252D" w:rsidRPr="00BD46AC" w:rsidRDefault="001C6F1A" w:rsidP="009B7AE7">
            <w:pPr>
              <w:rPr>
                <w:lang w:val="en-US"/>
              </w:rPr>
            </w:pPr>
            <w:r w:rsidRPr="00BD46AC">
              <w:rPr>
                <w:rFonts w:cs="Arial"/>
                <w:szCs w:val="24"/>
                <w:lang w:val="en-US"/>
              </w:rPr>
              <w:t>PP Resolution 191 (Rev. Dubai, 2018)</w:t>
            </w:r>
          </w:p>
        </w:tc>
      </w:tr>
      <w:bookmarkEnd w:id="15"/>
      <w:bookmarkEnd w:id="16"/>
    </w:tbl>
    <w:p w14:paraId="57732A26" w14:textId="77777777" w:rsidR="00A5672C" w:rsidRDefault="00A5672C" w:rsidP="00EF5560">
      <w:pPr>
        <w:rPr>
          <w:lang w:val="en-US"/>
        </w:rPr>
      </w:pPr>
    </w:p>
    <w:p w14:paraId="60CAF62D" w14:textId="65530F96" w:rsidR="00875710" w:rsidRDefault="00875710">
      <w:pPr>
        <w:tabs>
          <w:tab w:val="clear" w:pos="1134"/>
          <w:tab w:val="clear" w:pos="1871"/>
          <w:tab w:val="clear" w:pos="2268"/>
        </w:tabs>
        <w:overflowPunct/>
        <w:autoSpaceDE/>
        <w:autoSpaceDN/>
        <w:adjustRightInd/>
        <w:spacing w:after="0"/>
        <w:textAlignment w:val="auto"/>
        <w:rPr>
          <w:lang w:val="en-US"/>
        </w:rPr>
      </w:pPr>
      <w:r>
        <w:rPr>
          <w:lang w:val="en-US"/>
        </w:rPr>
        <w:br w:type="page"/>
      </w:r>
    </w:p>
    <w:p w14:paraId="37857FE5" w14:textId="53D3E8BC" w:rsidR="00EF5560" w:rsidRPr="00BD46AC" w:rsidRDefault="00F73D16" w:rsidP="0051032C">
      <w:pPr>
        <w:pStyle w:val="ListParagraph"/>
        <w:numPr>
          <w:ilvl w:val="0"/>
          <w:numId w:val="28"/>
        </w:numPr>
        <w:spacing w:before="240" w:after="60"/>
        <w:ind w:left="357" w:hanging="357"/>
        <w:contextualSpacing w:val="0"/>
        <w:rPr>
          <w:b/>
          <w:bCs/>
          <w:lang w:val="en-US"/>
        </w:rPr>
      </w:pPr>
      <w:r w:rsidRPr="00BD46AC">
        <w:rPr>
          <w:b/>
          <w:bCs/>
          <w:lang w:val="en-US"/>
        </w:rPr>
        <w:lastRenderedPageBreak/>
        <w:t>Background</w:t>
      </w:r>
      <w:r w:rsidR="0075694A">
        <w:rPr>
          <w:b/>
          <w:bCs/>
          <w:lang w:val="en-US"/>
        </w:rPr>
        <w:t xml:space="preserve"> / 1st meeting for 2019 during TDAG</w:t>
      </w:r>
    </w:p>
    <w:p w14:paraId="1AC6C0CF" w14:textId="66AF6C2B" w:rsidR="0075694A" w:rsidRDefault="00C410BC" w:rsidP="00875710">
      <w:pPr>
        <w:rPr>
          <w:lang w:val="en-US"/>
        </w:rPr>
      </w:pPr>
      <w:r>
        <w:rPr>
          <w:lang w:val="en-US"/>
        </w:rPr>
        <w:t xml:space="preserve">During its meeting </w:t>
      </w:r>
      <w:r w:rsidR="0075694A">
        <w:rPr>
          <w:lang w:val="en-US"/>
        </w:rPr>
        <w:t>o</w:t>
      </w:r>
      <w:r>
        <w:rPr>
          <w:lang w:val="en-US"/>
        </w:rPr>
        <w:t xml:space="preserve">n </w:t>
      </w:r>
      <w:r w:rsidR="0075694A">
        <w:rPr>
          <w:lang w:val="en-US"/>
        </w:rPr>
        <w:t xml:space="preserve">4 </w:t>
      </w:r>
      <w:r>
        <w:rPr>
          <w:lang w:val="en-US"/>
        </w:rPr>
        <w:t xml:space="preserve">April </w:t>
      </w:r>
      <w:r w:rsidR="00BD46AC">
        <w:rPr>
          <w:lang w:val="en-US"/>
        </w:rPr>
        <w:t xml:space="preserve">2019, the ISCG </w:t>
      </w:r>
      <w:r w:rsidR="00157E2D">
        <w:t xml:space="preserve">updated the </w:t>
      </w:r>
      <w:proofErr w:type="spellStart"/>
      <w:r w:rsidR="00157E2D">
        <w:t>ToR</w:t>
      </w:r>
      <w:proofErr w:type="spellEnd"/>
      <w:r w:rsidR="00157E2D">
        <w:t xml:space="preserve"> to include General Secretariat in the scope of work. ISCG reviewed the mappings of common interest areas of work between ITU-D and ITU-R study groups, in addition to, between ITU-D and ITU-T study groups and between ITU-R and ITU-T study groups.</w:t>
      </w:r>
      <w:r w:rsidR="00157E2D" w:rsidRPr="008C5BAC">
        <w:rPr>
          <w:rFonts w:eastAsia="MS Mincho"/>
        </w:rPr>
        <w:t xml:space="preserve"> This mapping table is posted on the </w:t>
      </w:r>
      <w:hyperlink r:id="rId14" w:history="1">
        <w:r w:rsidR="00157E2D" w:rsidRPr="000F6134">
          <w:rPr>
            <w:rStyle w:val="Hyperlink"/>
            <w:rFonts w:eastAsia="MS Mincho"/>
          </w:rPr>
          <w:t>ISCG website</w:t>
        </w:r>
      </w:hyperlink>
      <w:r w:rsidR="00157E2D" w:rsidRPr="008C5BAC">
        <w:rPr>
          <w:rFonts w:eastAsia="MS Mincho"/>
        </w:rPr>
        <w:t xml:space="preserve"> and RAG, TSAG and TDAG are requested to update this table regularly at their meetings by adding the updated Questions and studies carried out in the relevant study groups.</w:t>
      </w:r>
      <w:r w:rsidR="00157E2D">
        <w:t xml:space="preserve"> ISCG also reviewed the mapping of resolutions of PP, RA/WRC, WTSA and WTDC.</w:t>
      </w:r>
      <w:r w:rsidR="00157E2D" w:rsidRPr="008C5BAC">
        <w:rPr>
          <w:rFonts w:eastAsia="MS Mincho"/>
        </w:rPr>
        <w:t xml:space="preserve"> </w:t>
      </w:r>
      <w:r w:rsidR="00157E2D" w:rsidRPr="008C5BAC">
        <w:t xml:space="preserve">This mapping table is also posted on the </w:t>
      </w:r>
      <w:hyperlink r:id="rId15" w:history="1">
        <w:r w:rsidR="00157E2D" w:rsidRPr="008C5BAC">
          <w:rPr>
            <w:rFonts w:eastAsia="MS Mincho"/>
            <w:color w:val="0000FF"/>
            <w:u w:val="single"/>
          </w:rPr>
          <w:t>ISCG website</w:t>
        </w:r>
      </w:hyperlink>
      <w:r w:rsidR="00157E2D" w:rsidRPr="008C5BAC">
        <w:t xml:space="preserve"> and each Sector is invited to review, provide comments and make use of this mapping table with a view to streamlining resolutions.</w:t>
      </w:r>
    </w:p>
    <w:p w14:paraId="1E5A4DF3" w14:textId="77777777" w:rsidR="00875710" w:rsidRDefault="00875710" w:rsidP="00875710">
      <w:pPr>
        <w:pStyle w:val="ListParagraph"/>
        <w:numPr>
          <w:ilvl w:val="0"/>
          <w:numId w:val="28"/>
        </w:numPr>
        <w:spacing w:before="240" w:after="60"/>
        <w:ind w:left="357" w:hanging="357"/>
        <w:contextualSpacing w:val="0"/>
        <w:rPr>
          <w:b/>
          <w:bCs/>
          <w:lang w:val="en-US"/>
        </w:rPr>
      </w:pPr>
      <w:r>
        <w:rPr>
          <w:b/>
          <w:bCs/>
          <w:lang w:val="en-US"/>
        </w:rPr>
        <w:t>ISCG 2</w:t>
      </w:r>
      <w:r w:rsidRPr="0051032C">
        <w:rPr>
          <w:b/>
          <w:bCs/>
          <w:lang w:val="en-US"/>
        </w:rPr>
        <w:t>nd</w:t>
      </w:r>
      <w:r>
        <w:rPr>
          <w:b/>
          <w:bCs/>
          <w:lang w:val="en-US"/>
        </w:rPr>
        <w:t xml:space="preserve"> Meeting for 2019</w:t>
      </w:r>
    </w:p>
    <w:p w14:paraId="35126931" w14:textId="4AFB89C7" w:rsidR="00875710" w:rsidRDefault="00875710" w:rsidP="00875710">
      <w:pPr>
        <w:keepNext/>
        <w:spacing w:before="240" w:after="60"/>
        <w:rPr>
          <w:b/>
          <w:bCs/>
          <w:lang w:val="en-US"/>
        </w:rPr>
      </w:pPr>
      <w:r>
        <w:rPr>
          <w:b/>
          <w:bCs/>
          <w:lang w:val="en-US"/>
        </w:rPr>
        <w:t>Opening remarks by the Deputy Secretary-General</w:t>
      </w:r>
    </w:p>
    <w:p w14:paraId="7A0A2B63" w14:textId="7ED445A7" w:rsidR="00875710" w:rsidRPr="00875710" w:rsidRDefault="00875710" w:rsidP="00152C20">
      <w:pPr>
        <w:rPr>
          <w:lang w:val="en-US"/>
        </w:rPr>
      </w:pPr>
      <w:r>
        <w:rPr>
          <w:lang w:val="en-US"/>
        </w:rPr>
        <w:t>The Deputy Secretary-General welcomed the participants and highlighted the importance of having the meetings of this group</w:t>
      </w:r>
      <w:r w:rsidR="00152C20">
        <w:rPr>
          <w:lang w:val="en-US"/>
        </w:rPr>
        <w:t xml:space="preserve"> to take</w:t>
      </w:r>
      <w:r>
        <w:rPr>
          <w:lang w:val="en-US"/>
        </w:rPr>
        <w:t xml:space="preserve"> place during every Sector advisory group meeting, following the Council’s discussions. </w:t>
      </w:r>
      <w:r w:rsidR="00AB450A">
        <w:rPr>
          <w:lang w:val="en-US"/>
        </w:rPr>
        <w:t xml:space="preserve">The work of the Secretariat was </w:t>
      </w:r>
      <w:r>
        <w:rPr>
          <w:lang w:val="en-US"/>
        </w:rPr>
        <w:t xml:space="preserve">emphasized </w:t>
      </w:r>
      <w:r w:rsidR="00AB450A">
        <w:rPr>
          <w:lang w:val="en-US"/>
        </w:rPr>
        <w:t>providing</w:t>
      </w:r>
      <w:r>
        <w:rPr>
          <w:lang w:val="en-US"/>
        </w:rPr>
        <w:t xml:space="preserve"> common secretariat support </w:t>
      </w:r>
      <w:r w:rsidR="00AB450A">
        <w:rPr>
          <w:lang w:val="en-US"/>
        </w:rPr>
        <w:t xml:space="preserve">to </w:t>
      </w:r>
      <w:r w:rsidRPr="00875710">
        <w:rPr>
          <w:lang w:val="en-US"/>
        </w:rPr>
        <w:t xml:space="preserve">the Inter-Sectoral Coordination Task Force (ISC-TF) and </w:t>
      </w:r>
      <w:r>
        <w:rPr>
          <w:lang w:val="en-US"/>
        </w:rPr>
        <w:t>ISCG</w:t>
      </w:r>
      <w:r w:rsidRPr="00875710">
        <w:rPr>
          <w:lang w:val="en-US"/>
        </w:rPr>
        <w:t>, in order to enhance coordinat</w:t>
      </w:r>
      <w:r>
        <w:rPr>
          <w:lang w:val="en-US"/>
        </w:rPr>
        <w:t>ion and exchange of information</w:t>
      </w:r>
      <w:r w:rsidR="00AB450A">
        <w:rPr>
          <w:lang w:val="en-US"/>
        </w:rPr>
        <w:t xml:space="preserve">, and integrating </w:t>
      </w:r>
      <w:r>
        <w:rPr>
          <w:lang w:val="en-US"/>
        </w:rPr>
        <w:t xml:space="preserve">the </w:t>
      </w:r>
      <w:r w:rsidRPr="00875710">
        <w:rPr>
          <w:lang w:val="en-US"/>
        </w:rPr>
        <w:t xml:space="preserve">web-page </w:t>
      </w:r>
      <w:r>
        <w:rPr>
          <w:lang w:val="en-US"/>
        </w:rPr>
        <w:t xml:space="preserve">for ISCG </w:t>
      </w:r>
      <w:r w:rsidRPr="00875710">
        <w:rPr>
          <w:lang w:val="en-US"/>
        </w:rPr>
        <w:t>under the common section on Inter-Sectoral Coordination under the General Secretariat’s page</w:t>
      </w:r>
      <w:r w:rsidR="005E7FFA">
        <w:rPr>
          <w:lang w:val="en-US"/>
        </w:rPr>
        <w:t xml:space="preserve"> (</w:t>
      </w:r>
      <w:hyperlink r:id="rId16" w:history="1">
        <w:r w:rsidR="005E7FFA" w:rsidRPr="00377C01">
          <w:rPr>
            <w:rStyle w:val="Hyperlink"/>
            <w:lang w:val="en-US"/>
          </w:rPr>
          <w:t>https://www.itu.int/en/general-secretariat/Pages/intersectoral-coordination.aspx</w:t>
        </w:r>
      </w:hyperlink>
      <w:r w:rsidR="005E7FFA">
        <w:rPr>
          <w:lang w:val="en-US"/>
        </w:rPr>
        <w:t>)</w:t>
      </w:r>
      <w:r w:rsidR="00AB450A">
        <w:rPr>
          <w:lang w:val="en-US"/>
        </w:rPr>
        <w:t>,</w:t>
      </w:r>
      <w:r w:rsidRPr="00875710">
        <w:rPr>
          <w:lang w:val="en-US"/>
        </w:rPr>
        <w:t xml:space="preserve"> so that all information </w:t>
      </w:r>
      <w:r w:rsidR="00AB450A">
        <w:rPr>
          <w:lang w:val="en-US"/>
        </w:rPr>
        <w:t xml:space="preserve">to </w:t>
      </w:r>
      <w:r w:rsidRPr="00875710">
        <w:rPr>
          <w:lang w:val="en-US"/>
        </w:rPr>
        <w:t>be found at the same place.</w:t>
      </w:r>
      <w:r>
        <w:rPr>
          <w:lang w:val="en-US"/>
        </w:rPr>
        <w:t xml:space="preserve"> </w:t>
      </w:r>
      <w:r w:rsidR="009C0EED">
        <w:rPr>
          <w:lang w:val="en-US"/>
        </w:rPr>
        <w:t>The group was informed that t</w:t>
      </w:r>
      <w:r w:rsidR="00AB450A">
        <w:rPr>
          <w:lang w:val="en-US"/>
        </w:rPr>
        <w:t xml:space="preserve">he </w:t>
      </w:r>
      <w:r>
        <w:rPr>
          <w:lang w:val="en-US"/>
        </w:rPr>
        <w:t xml:space="preserve">work on </w:t>
      </w:r>
      <w:r w:rsidRPr="00875710">
        <w:rPr>
          <w:lang w:val="en-US"/>
        </w:rPr>
        <w:t xml:space="preserve">Inter-Sector Coordination </w:t>
      </w:r>
      <w:r w:rsidR="00AB450A">
        <w:rPr>
          <w:lang w:val="en-US"/>
        </w:rPr>
        <w:t xml:space="preserve">had </w:t>
      </w:r>
      <w:r w:rsidRPr="00875710">
        <w:rPr>
          <w:lang w:val="en-US"/>
        </w:rPr>
        <w:t xml:space="preserve">also </w:t>
      </w:r>
      <w:r w:rsidR="00AB450A">
        <w:rPr>
          <w:lang w:val="en-US"/>
        </w:rPr>
        <w:t xml:space="preserve">been </w:t>
      </w:r>
      <w:r w:rsidRPr="00875710">
        <w:rPr>
          <w:lang w:val="en-US"/>
        </w:rPr>
        <w:t xml:space="preserve">discussed during the CWG-FHR meeting </w:t>
      </w:r>
      <w:r>
        <w:rPr>
          <w:lang w:val="en-US"/>
        </w:rPr>
        <w:t>the week before,</w:t>
      </w:r>
      <w:r w:rsidR="009C0EED">
        <w:rPr>
          <w:lang w:val="en-US"/>
        </w:rPr>
        <w:t xml:space="preserve"> where ISC-TF had submitted its contribution,</w:t>
      </w:r>
      <w:r>
        <w:rPr>
          <w:lang w:val="en-US"/>
        </w:rPr>
        <w:t xml:space="preserve"> and that </w:t>
      </w:r>
      <w:r w:rsidR="009C0EED">
        <w:rPr>
          <w:lang w:val="en-US"/>
        </w:rPr>
        <w:t xml:space="preserve">CWG-FHR had </w:t>
      </w:r>
      <w:r w:rsidRPr="00875710">
        <w:rPr>
          <w:lang w:val="en-US"/>
        </w:rPr>
        <w:t xml:space="preserve">invited the secretariat, as well as </w:t>
      </w:r>
      <w:r w:rsidR="00AB450A">
        <w:rPr>
          <w:lang w:val="en-US"/>
        </w:rPr>
        <w:t>I</w:t>
      </w:r>
      <w:r>
        <w:rPr>
          <w:lang w:val="en-US"/>
        </w:rPr>
        <w:t>S</w:t>
      </w:r>
      <w:r w:rsidR="00AB450A">
        <w:rPr>
          <w:lang w:val="en-US"/>
        </w:rPr>
        <w:t>C</w:t>
      </w:r>
      <w:r>
        <w:rPr>
          <w:lang w:val="en-US"/>
        </w:rPr>
        <w:t>G</w:t>
      </w:r>
      <w:r w:rsidRPr="00875710">
        <w:rPr>
          <w:lang w:val="en-US"/>
        </w:rPr>
        <w:t xml:space="preserve">, to submit a report to </w:t>
      </w:r>
      <w:r w:rsidR="009C0EED">
        <w:rPr>
          <w:lang w:val="en-US"/>
        </w:rPr>
        <w:t xml:space="preserve">its </w:t>
      </w:r>
      <w:r w:rsidRPr="00875710">
        <w:rPr>
          <w:lang w:val="en-US"/>
        </w:rPr>
        <w:t>meeting in February 2020.</w:t>
      </w:r>
      <w:r>
        <w:rPr>
          <w:lang w:val="en-US"/>
        </w:rPr>
        <w:t xml:space="preserve"> </w:t>
      </w:r>
      <w:r w:rsidR="009C0EED">
        <w:rPr>
          <w:lang w:val="en-US"/>
        </w:rPr>
        <w:t xml:space="preserve">The Deputy Secretary-General </w:t>
      </w:r>
      <w:r w:rsidRPr="00875710">
        <w:rPr>
          <w:lang w:val="en-US"/>
        </w:rPr>
        <w:t>reiterate</w:t>
      </w:r>
      <w:r>
        <w:rPr>
          <w:lang w:val="en-US"/>
        </w:rPr>
        <w:t>d</w:t>
      </w:r>
      <w:r w:rsidRPr="00875710">
        <w:rPr>
          <w:lang w:val="en-US"/>
        </w:rPr>
        <w:t xml:space="preserve"> </w:t>
      </w:r>
      <w:r>
        <w:rPr>
          <w:lang w:val="en-US"/>
        </w:rPr>
        <w:t xml:space="preserve">the secretariat’s </w:t>
      </w:r>
      <w:r w:rsidRPr="00875710">
        <w:rPr>
          <w:lang w:val="en-US"/>
        </w:rPr>
        <w:t>commitment to support membership in its coordination</w:t>
      </w:r>
      <w:r w:rsidR="009C0EED">
        <w:rPr>
          <w:lang w:val="en-US"/>
        </w:rPr>
        <w:t xml:space="preserve"> efforts</w:t>
      </w:r>
      <w:r w:rsidRPr="00875710">
        <w:rPr>
          <w:lang w:val="en-US"/>
        </w:rPr>
        <w:t>.</w:t>
      </w:r>
    </w:p>
    <w:p w14:paraId="636D36B0" w14:textId="010F59BE" w:rsidR="001056CB" w:rsidRDefault="00876324" w:rsidP="001056CB">
      <w:pPr>
        <w:keepNext/>
        <w:spacing w:before="240" w:after="60"/>
        <w:rPr>
          <w:b/>
          <w:bCs/>
          <w:lang w:val="en-US"/>
        </w:rPr>
      </w:pPr>
      <w:r>
        <w:rPr>
          <w:b/>
          <w:bCs/>
          <w:lang w:val="en-US"/>
        </w:rPr>
        <w:t xml:space="preserve">Outcomes of the 2019 Session of Council – </w:t>
      </w:r>
      <w:hyperlink r:id="rId17" w:history="1">
        <w:r w:rsidR="001056CB" w:rsidRPr="004B1272">
          <w:rPr>
            <w:rStyle w:val="Hyperlink"/>
          </w:rPr>
          <w:t>ISCG/19-2/02</w:t>
        </w:r>
      </w:hyperlink>
      <w:r w:rsidR="001056CB">
        <w:rPr>
          <w:b/>
          <w:bCs/>
          <w:lang w:val="en-US"/>
        </w:rPr>
        <w:t xml:space="preserve"> and Follow-up</w:t>
      </w:r>
    </w:p>
    <w:p w14:paraId="0476AB5F" w14:textId="40117462" w:rsidR="001056CB" w:rsidRDefault="00353D05" w:rsidP="004F5DCF">
      <w:pPr>
        <w:rPr>
          <w:lang w:val="en-US"/>
        </w:rPr>
      </w:pPr>
      <w:r>
        <w:rPr>
          <w:lang w:val="en-US"/>
        </w:rPr>
        <w:t xml:space="preserve">The </w:t>
      </w:r>
      <w:r w:rsidR="00876324">
        <w:rPr>
          <w:lang w:val="en-US"/>
        </w:rPr>
        <w:t xml:space="preserve">Secretariat provided an update on the outcomes of Council on the </w:t>
      </w:r>
      <w:r>
        <w:rPr>
          <w:lang w:val="en-US"/>
        </w:rPr>
        <w:t>topic</w:t>
      </w:r>
      <w:r w:rsidR="00876324">
        <w:rPr>
          <w:lang w:val="en-US"/>
        </w:rPr>
        <w:t xml:space="preserve"> of inter-sectoral coordination</w:t>
      </w:r>
      <w:r w:rsidR="001056CB">
        <w:rPr>
          <w:lang w:val="en-US"/>
        </w:rPr>
        <w:t>:</w:t>
      </w:r>
      <w:r w:rsidR="00876324">
        <w:rPr>
          <w:lang w:val="en-US"/>
        </w:rPr>
        <w:t xml:space="preserve"> </w:t>
      </w:r>
      <w:r w:rsidR="001056CB" w:rsidRPr="001056CB">
        <w:rPr>
          <w:i/>
          <w:iCs/>
          <w:lang w:val="en-US"/>
        </w:rPr>
        <w:t>a)</w:t>
      </w:r>
      <w:r w:rsidR="001056CB">
        <w:rPr>
          <w:lang w:val="en-US"/>
        </w:rPr>
        <w:t xml:space="preserve"> </w:t>
      </w:r>
      <w:r>
        <w:rPr>
          <w:lang w:val="en-US"/>
        </w:rPr>
        <w:t>the proposal to have ISCG meetings during TSAG and RAG, not only TDAG</w:t>
      </w:r>
      <w:r w:rsidR="00876324">
        <w:rPr>
          <w:lang w:val="en-US"/>
        </w:rPr>
        <w:t xml:space="preserve">; </w:t>
      </w:r>
      <w:r w:rsidR="001056CB" w:rsidRPr="001056CB">
        <w:rPr>
          <w:i/>
          <w:iCs/>
          <w:lang w:val="en-US"/>
        </w:rPr>
        <w:t xml:space="preserve">b) </w:t>
      </w:r>
      <w:r w:rsidR="00876324">
        <w:rPr>
          <w:lang w:val="en-US"/>
        </w:rPr>
        <w:t xml:space="preserve">the integration of </w:t>
      </w:r>
      <w:r w:rsidR="0051032C">
        <w:rPr>
          <w:lang w:val="en-US"/>
        </w:rPr>
        <w:t>the web-pages of the ISC-TF and ISCG</w:t>
      </w:r>
      <w:r w:rsidR="001056CB">
        <w:rPr>
          <w:lang w:val="en-US"/>
        </w:rPr>
        <w:t>;</w:t>
      </w:r>
      <w:r w:rsidR="00876324">
        <w:rPr>
          <w:lang w:val="en-US"/>
        </w:rPr>
        <w:t xml:space="preserve"> </w:t>
      </w:r>
      <w:r w:rsidR="001056CB" w:rsidRPr="001056CB">
        <w:rPr>
          <w:i/>
          <w:iCs/>
          <w:lang w:val="en-US"/>
        </w:rPr>
        <w:t>c)</w:t>
      </w:r>
      <w:r w:rsidR="001056CB">
        <w:rPr>
          <w:lang w:val="en-US"/>
        </w:rPr>
        <w:t xml:space="preserve"> the provision of common secretariat </w:t>
      </w:r>
      <w:r w:rsidR="00876324">
        <w:rPr>
          <w:lang w:val="en-US"/>
        </w:rPr>
        <w:t xml:space="preserve">support </w:t>
      </w:r>
      <w:r w:rsidR="001056CB">
        <w:rPr>
          <w:lang w:val="en-US"/>
        </w:rPr>
        <w:t>for IS</w:t>
      </w:r>
      <w:r w:rsidR="00876324">
        <w:rPr>
          <w:lang w:val="en-US"/>
        </w:rPr>
        <w:t>;</w:t>
      </w:r>
      <w:r w:rsidR="001056CB">
        <w:rPr>
          <w:lang w:val="en-US"/>
        </w:rPr>
        <w:t xml:space="preserve"> and</w:t>
      </w:r>
      <w:r w:rsidR="001056CB" w:rsidRPr="001056CB">
        <w:rPr>
          <w:i/>
          <w:iCs/>
          <w:lang w:val="en-US"/>
        </w:rPr>
        <w:t xml:space="preserve"> d)</w:t>
      </w:r>
      <w:r w:rsidR="00876324">
        <w:rPr>
          <w:lang w:val="en-US"/>
        </w:rPr>
        <w:t xml:space="preserve"> Council’s Decision to revise the Terms of Reference of the CWG on Financial and Human Resources to include issues of inter-sectoral coordination</w:t>
      </w:r>
      <w:r w:rsidR="00F268FB">
        <w:rPr>
          <w:lang w:val="en-US"/>
        </w:rPr>
        <w:t xml:space="preserve">. </w:t>
      </w:r>
      <w:r w:rsidR="00AB450A">
        <w:rPr>
          <w:lang w:val="en-US"/>
        </w:rPr>
        <w:t>M</w:t>
      </w:r>
      <w:r w:rsidR="00F268FB">
        <w:rPr>
          <w:lang w:val="en-US"/>
        </w:rPr>
        <w:t xml:space="preserve">ore information on </w:t>
      </w:r>
      <w:r w:rsidR="001056CB">
        <w:rPr>
          <w:lang w:val="en-US"/>
        </w:rPr>
        <w:t xml:space="preserve">the follow-up actions </w:t>
      </w:r>
      <w:r w:rsidR="00F268FB">
        <w:rPr>
          <w:lang w:val="en-US"/>
        </w:rPr>
        <w:t xml:space="preserve">undertaken </w:t>
      </w:r>
      <w:r w:rsidR="001056CB">
        <w:rPr>
          <w:lang w:val="en-US"/>
        </w:rPr>
        <w:t>to respond to the above</w:t>
      </w:r>
      <w:r w:rsidR="00AB450A">
        <w:rPr>
          <w:lang w:val="en-US"/>
        </w:rPr>
        <w:t xml:space="preserve"> </w:t>
      </w:r>
      <w:r w:rsidR="004F5DCF">
        <w:rPr>
          <w:lang w:val="en-US"/>
        </w:rPr>
        <w:t>requests were</w:t>
      </w:r>
      <w:r w:rsidR="00AB450A">
        <w:rPr>
          <w:lang w:val="en-US"/>
        </w:rPr>
        <w:t xml:space="preserve"> also provided</w:t>
      </w:r>
      <w:r w:rsidR="001056CB">
        <w:rPr>
          <w:lang w:val="en-US"/>
        </w:rPr>
        <w:t>.</w:t>
      </w:r>
    </w:p>
    <w:p w14:paraId="2356C018" w14:textId="2B56E091" w:rsidR="001056CB" w:rsidRDefault="001056CB" w:rsidP="004F5DCF">
      <w:pPr>
        <w:rPr>
          <w:lang w:val="en-US"/>
        </w:rPr>
      </w:pPr>
      <w:r>
        <w:rPr>
          <w:lang w:val="en-US"/>
        </w:rPr>
        <w:t xml:space="preserve">The group appreciated the work </w:t>
      </w:r>
      <w:r w:rsidR="004F5DCF">
        <w:rPr>
          <w:lang w:val="en-US"/>
        </w:rPr>
        <w:t xml:space="preserve">and the common web-page that was created, however it </w:t>
      </w:r>
      <w:r>
        <w:rPr>
          <w:lang w:val="en-US"/>
        </w:rPr>
        <w:t>invited</w:t>
      </w:r>
      <w:r w:rsidR="00F268FB">
        <w:rPr>
          <w:lang w:val="en-US"/>
        </w:rPr>
        <w:t xml:space="preserve"> all the Sectors</w:t>
      </w:r>
      <w:r>
        <w:rPr>
          <w:lang w:val="en-US"/>
        </w:rPr>
        <w:t>, to try to align the links from all the Sector advisory groups to the new web-page on inter-sectoral coordination, by having them in a more visible place in their respective web-sites.</w:t>
      </w:r>
      <w:r w:rsidR="00F268FB">
        <w:rPr>
          <w:lang w:val="en-US"/>
        </w:rPr>
        <w:t xml:space="preserve"> The group also noted that the formats themselves of the web pages of the </w:t>
      </w:r>
      <w:r w:rsidR="004F5DCF">
        <w:rPr>
          <w:lang w:val="en-US"/>
        </w:rPr>
        <w:t>three</w:t>
      </w:r>
      <w:r w:rsidR="00F268FB">
        <w:rPr>
          <w:lang w:val="en-US"/>
        </w:rPr>
        <w:t xml:space="preserve"> Sector advisory groups are quite different, and they would need to be harmonized.</w:t>
      </w:r>
    </w:p>
    <w:p w14:paraId="7637BDBB" w14:textId="00CCCE14" w:rsidR="00876324" w:rsidRPr="00876324" w:rsidRDefault="00876324" w:rsidP="00876324">
      <w:pPr>
        <w:keepNext/>
        <w:spacing w:before="240" w:after="60"/>
        <w:rPr>
          <w:b/>
          <w:bCs/>
          <w:lang w:val="en-US"/>
        </w:rPr>
      </w:pPr>
      <w:r w:rsidRPr="00876324">
        <w:rPr>
          <w:b/>
          <w:bCs/>
          <w:lang w:val="en-US"/>
        </w:rPr>
        <w:t>Report on the implementation of Res.191 to Council</w:t>
      </w:r>
      <w:r>
        <w:rPr>
          <w:b/>
          <w:bCs/>
          <w:lang w:val="en-US"/>
        </w:rPr>
        <w:t xml:space="preserve"> – </w:t>
      </w:r>
      <w:hyperlink r:id="rId18" w:history="1">
        <w:r w:rsidRPr="00D40E79">
          <w:rPr>
            <w:rStyle w:val="Hyperlink"/>
          </w:rPr>
          <w:t>C19/38 Rev.1</w:t>
        </w:r>
      </w:hyperlink>
      <w:r w:rsidRPr="00876324">
        <w:rPr>
          <w:b/>
          <w:bCs/>
          <w:lang w:val="en-US"/>
        </w:rPr>
        <w:t xml:space="preserve"> / Information document on </w:t>
      </w:r>
      <w:proofErr w:type="gramStart"/>
      <w:r w:rsidRPr="00876324">
        <w:rPr>
          <w:b/>
          <w:bCs/>
          <w:lang w:val="en-US"/>
        </w:rPr>
        <w:t>Possible</w:t>
      </w:r>
      <w:proofErr w:type="gramEnd"/>
      <w:r w:rsidRPr="00876324">
        <w:rPr>
          <w:b/>
          <w:bCs/>
          <w:lang w:val="en-US"/>
        </w:rPr>
        <w:t xml:space="preserve"> areas of mutual interest to the three Sectors and the General Secretariat</w:t>
      </w:r>
      <w:r>
        <w:rPr>
          <w:b/>
          <w:bCs/>
          <w:lang w:val="en-US"/>
        </w:rPr>
        <w:t xml:space="preserve"> – </w:t>
      </w:r>
      <w:hyperlink r:id="rId19" w:history="1">
        <w:r w:rsidRPr="00D40E79">
          <w:rPr>
            <w:rStyle w:val="Hyperlink"/>
          </w:rPr>
          <w:t>C19/INF/06</w:t>
        </w:r>
      </w:hyperlink>
    </w:p>
    <w:p w14:paraId="6307A015" w14:textId="77777777" w:rsidR="004F5DCF" w:rsidRDefault="00876324" w:rsidP="004F5DCF">
      <w:pPr>
        <w:rPr>
          <w:lang w:val="en-US"/>
        </w:rPr>
      </w:pPr>
      <w:r>
        <w:rPr>
          <w:lang w:val="en-US"/>
        </w:rPr>
        <w:t xml:space="preserve">The Chief of the Strategic Planning and Membership Dept. of the General Secretariat introduced the two documents that </w:t>
      </w:r>
      <w:r w:rsidRPr="00876324">
        <w:rPr>
          <w:lang w:val="en-US"/>
        </w:rPr>
        <w:t>report</w:t>
      </w:r>
      <w:r>
        <w:rPr>
          <w:lang w:val="en-US"/>
        </w:rPr>
        <w:t>ed</w:t>
      </w:r>
      <w:r w:rsidR="001056CB">
        <w:rPr>
          <w:lang w:val="en-US"/>
        </w:rPr>
        <w:t xml:space="preserve"> on:</w:t>
      </w:r>
      <w:r w:rsidRPr="00876324">
        <w:rPr>
          <w:lang w:val="en-US"/>
        </w:rPr>
        <w:t xml:space="preserve"> </w:t>
      </w:r>
      <w:r w:rsidR="001056CB">
        <w:rPr>
          <w:i/>
          <w:iCs/>
          <w:lang w:val="en-US"/>
        </w:rPr>
        <w:t>a</w:t>
      </w:r>
      <w:r w:rsidR="001056CB" w:rsidRPr="001056CB">
        <w:rPr>
          <w:i/>
          <w:iCs/>
          <w:lang w:val="en-US"/>
        </w:rPr>
        <w:t xml:space="preserve">) </w:t>
      </w:r>
      <w:r>
        <w:rPr>
          <w:lang w:val="en-US"/>
        </w:rPr>
        <w:t>the implementation of Res.</w:t>
      </w:r>
      <w:r w:rsidRPr="00876324">
        <w:rPr>
          <w:lang w:val="en-US"/>
        </w:rPr>
        <w:t xml:space="preserve"> 191 (Rev. Dubai, 2018) on the strategy for the coordination of efforts among the three Sectors of the Union</w:t>
      </w:r>
      <w:r>
        <w:rPr>
          <w:lang w:val="en-US"/>
        </w:rPr>
        <w:t xml:space="preserve">, and </w:t>
      </w:r>
      <w:r w:rsidR="001056CB" w:rsidRPr="001056CB">
        <w:rPr>
          <w:i/>
          <w:iCs/>
          <w:lang w:val="en-US"/>
        </w:rPr>
        <w:t xml:space="preserve">b) </w:t>
      </w:r>
      <w:r>
        <w:rPr>
          <w:lang w:val="en-US"/>
        </w:rPr>
        <w:t xml:space="preserve">the information document that presented: </w:t>
      </w:r>
      <w:proofErr w:type="spellStart"/>
      <w:r w:rsidR="001056CB">
        <w:rPr>
          <w:i/>
          <w:iCs/>
          <w:lang w:val="en-US"/>
        </w:rPr>
        <w:t>i</w:t>
      </w:r>
      <w:proofErr w:type="spellEnd"/>
      <w:r w:rsidRPr="00876324">
        <w:rPr>
          <w:i/>
          <w:iCs/>
          <w:lang w:val="en-US"/>
        </w:rPr>
        <w:t>)</w:t>
      </w:r>
      <w:r w:rsidRPr="00876324">
        <w:rPr>
          <w:lang w:val="en-US"/>
        </w:rPr>
        <w:t xml:space="preserve"> a list of possible areas of mutual interest to the three Sector</w:t>
      </w:r>
      <w:r w:rsidR="001056CB">
        <w:rPr>
          <w:lang w:val="en-US"/>
        </w:rPr>
        <w:t xml:space="preserve">s and the General Secretariat; </w:t>
      </w:r>
      <w:r w:rsidR="001056CB" w:rsidRPr="001056CB">
        <w:rPr>
          <w:i/>
          <w:iCs/>
          <w:lang w:val="en-US"/>
        </w:rPr>
        <w:t>ii</w:t>
      </w:r>
      <w:r w:rsidRPr="001056CB">
        <w:rPr>
          <w:i/>
          <w:iCs/>
          <w:lang w:val="en-US"/>
        </w:rPr>
        <w:t>)</w:t>
      </w:r>
      <w:r w:rsidRPr="00876324">
        <w:rPr>
          <w:lang w:val="en-US"/>
        </w:rPr>
        <w:t xml:space="preserve"> a mapping of Resolutions fr</w:t>
      </w:r>
      <w:r w:rsidR="001056CB">
        <w:rPr>
          <w:lang w:val="en-US"/>
        </w:rPr>
        <w:t xml:space="preserve">om PP, RA, WTSA, and WTDC; and </w:t>
      </w:r>
      <w:r w:rsidR="001056CB" w:rsidRPr="001056CB">
        <w:rPr>
          <w:i/>
          <w:iCs/>
          <w:lang w:val="en-US"/>
        </w:rPr>
        <w:t>iii</w:t>
      </w:r>
      <w:r w:rsidRPr="00876324">
        <w:rPr>
          <w:lang w:val="en-US"/>
        </w:rPr>
        <w:t>) mappings of common interest areas of work among the ITU-R, ITU-T and ITU-D Study Groups</w:t>
      </w:r>
      <w:r w:rsidR="001056CB">
        <w:rPr>
          <w:lang w:val="en-US"/>
        </w:rPr>
        <w:t>.</w:t>
      </w:r>
    </w:p>
    <w:p w14:paraId="7998BA22" w14:textId="36952098" w:rsidR="00876324" w:rsidRDefault="00F268FB" w:rsidP="004F5DCF">
      <w:pPr>
        <w:rPr>
          <w:lang w:val="en-US"/>
        </w:rPr>
      </w:pPr>
      <w:r>
        <w:rPr>
          <w:lang w:val="en-US"/>
        </w:rPr>
        <w:t xml:space="preserve">A summary of the areas of common interest presented in the document are included in the </w:t>
      </w:r>
      <w:r w:rsidR="004C26E5">
        <w:rPr>
          <w:lang w:val="en-US"/>
        </w:rPr>
        <w:t>ANNEX</w:t>
      </w:r>
      <w:r>
        <w:rPr>
          <w:lang w:val="en-US"/>
        </w:rPr>
        <w:t xml:space="preserve"> </w:t>
      </w:r>
      <w:r w:rsidR="004C26E5">
        <w:rPr>
          <w:lang w:val="en-US"/>
        </w:rPr>
        <w:t>to</w:t>
      </w:r>
      <w:r>
        <w:rPr>
          <w:lang w:val="en-US"/>
        </w:rPr>
        <w:t xml:space="preserve"> this Report.</w:t>
      </w:r>
    </w:p>
    <w:p w14:paraId="47306100" w14:textId="278D46CB" w:rsidR="00876324" w:rsidRDefault="00F268FB" w:rsidP="005572DB">
      <w:pPr>
        <w:rPr>
          <w:lang w:val="en-US"/>
        </w:rPr>
      </w:pPr>
      <w:r>
        <w:rPr>
          <w:lang w:val="en-US"/>
        </w:rPr>
        <w:lastRenderedPageBreak/>
        <w:t>The Chairman of TSAG updated the group on the discussions that took place during the TSAG rapporteur groups on the issue of the mapping tables</w:t>
      </w:r>
      <w:r w:rsidR="005572DB">
        <w:rPr>
          <w:lang w:val="en-US"/>
        </w:rPr>
        <w:t xml:space="preserve"> for Study Group questions</w:t>
      </w:r>
      <w:r>
        <w:rPr>
          <w:lang w:val="en-US"/>
        </w:rPr>
        <w:t>, and informed the group that a Liaison Statement should be expected by ISCG</w:t>
      </w:r>
      <w:r w:rsidR="005572DB">
        <w:rPr>
          <w:lang w:val="en-US"/>
        </w:rPr>
        <w:t>, ISC-TF, the other Sector advisory groups and the Study Groups</w:t>
      </w:r>
      <w:r>
        <w:rPr>
          <w:lang w:val="en-US"/>
        </w:rPr>
        <w:t>.</w:t>
      </w:r>
    </w:p>
    <w:p w14:paraId="7A7F957D" w14:textId="56B0B259" w:rsidR="005572DB" w:rsidRDefault="005572DB" w:rsidP="00E37B53">
      <w:pPr>
        <w:rPr>
          <w:lang w:val="en-US"/>
        </w:rPr>
      </w:pPr>
      <w:r>
        <w:rPr>
          <w:lang w:val="en-US"/>
        </w:rPr>
        <w:t xml:space="preserve">The group also discussed the issue of the reference to Inter-Sector Coordination Groups in Res.1 of the RA, which is an old concept that does not exist anymore. The Chairman of TSAG suggested that the reference to ISCG </w:t>
      </w:r>
      <w:r w:rsidR="004F5DCF">
        <w:rPr>
          <w:lang w:val="en-US"/>
        </w:rPr>
        <w:t>in Res.1 of RA</w:t>
      </w:r>
      <w:r>
        <w:rPr>
          <w:lang w:val="en-US"/>
        </w:rPr>
        <w:t xml:space="preserve"> should be deleted, as well as the Annex 3 of Res.6 of the RA. It was clarified that in order for </w:t>
      </w:r>
      <w:r w:rsidR="004F5DCF">
        <w:rPr>
          <w:lang w:val="en-US"/>
        </w:rPr>
        <w:t>any</w:t>
      </w:r>
      <w:r>
        <w:rPr>
          <w:lang w:val="en-US"/>
        </w:rPr>
        <w:t xml:space="preserve"> suggestions to be taken into consideration by the RA, an input/contribution by a Member State should be </w:t>
      </w:r>
      <w:r w:rsidR="00E37B53">
        <w:rPr>
          <w:lang w:val="en-US"/>
        </w:rPr>
        <w:t xml:space="preserve">formally </w:t>
      </w:r>
      <w:r>
        <w:rPr>
          <w:lang w:val="en-US"/>
        </w:rPr>
        <w:t>submitted.</w:t>
      </w:r>
    </w:p>
    <w:p w14:paraId="59FDC764" w14:textId="24F0B535" w:rsidR="001056CB" w:rsidRPr="001056CB" w:rsidRDefault="001056CB" w:rsidP="001056CB">
      <w:pPr>
        <w:keepNext/>
        <w:spacing w:before="240" w:after="60"/>
        <w:rPr>
          <w:b/>
          <w:bCs/>
          <w:lang w:val="en-US"/>
        </w:rPr>
      </w:pPr>
      <w:r w:rsidRPr="001056CB">
        <w:rPr>
          <w:b/>
          <w:bCs/>
          <w:lang w:val="en-US"/>
        </w:rPr>
        <w:t>Discussion on strengthening cooperation and joint activity on issues of mutual interest</w:t>
      </w:r>
    </w:p>
    <w:p w14:paraId="77D7231D" w14:textId="0EF701DD" w:rsidR="001056CB" w:rsidRPr="005572DB" w:rsidRDefault="005572DB" w:rsidP="005572DB">
      <w:pPr>
        <w:spacing w:after="0"/>
        <w:rPr>
          <w:i/>
          <w:iCs/>
          <w:u w:val="single"/>
          <w:lang w:val="en-US"/>
        </w:rPr>
      </w:pPr>
      <w:r w:rsidRPr="005572DB">
        <w:rPr>
          <w:i/>
          <w:iCs/>
          <w:u w:val="single"/>
          <w:lang w:val="en-US"/>
        </w:rPr>
        <w:t>Input from ISC-TF: Secretariat’s Proposal for Strengthening Inter-Sectoral Coordination</w:t>
      </w:r>
    </w:p>
    <w:p w14:paraId="22C52469" w14:textId="2D530A64" w:rsidR="004C26E5" w:rsidRDefault="005572DB" w:rsidP="00415EA7">
      <w:pPr>
        <w:rPr>
          <w:lang w:val="en-US"/>
        </w:rPr>
      </w:pPr>
      <w:r>
        <w:rPr>
          <w:lang w:val="en-US"/>
        </w:rPr>
        <w:t xml:space="preserve">The Secretariat introduced the presentation </w:t>
      </w:r>
      <w:r w:rsidR="00ED5702">
        <w:rPr>
          <w:lang w:val="en-US"/>
        </w:rPr>
        <w:t>aiming to further enhance i</w:t>
      </w:r>
      <w:r w:rsidRPr="005572DB">
        <w:rPr>
          <w:lang w:val="en-US"/>
        </w:rPr>
        <w:t>nter-</w:t>
      </w:r>
      <w:r w:rsidR="00ED5702">
        <w:rPr>
          <w:lang w:val="en-US"/>
        </w:rPr>
        <w:t>s</w:t>
      </w:r>
      <w:r w:rsidRPr="005572DB">
        <w:rPr>
          <w:lang w:val="en-US"/>
        </w:rPr>
        <w:t xml:space="preserve">ectoral </w:t>
      </w:r>
      <w:r w:rsidR="00ED5702">
        <w:rPr>
          <w:lang w:val="en-US"/>
        </w:rPr>
        <w:t>c</w:t>
      </w:r>
      <w:r w:rsidRPr="005572DB">
        <w:rPr>
          <w:lang w:val="en-US"/>
        </w:rPr>
        <w:t>oordination, highlighting the continued efforts within the secretariat in this area. The context and guiding principles provided by Res</w:t>
      </w:r>
      <w:r>
        <w:rPr>
          <w:lang w:val="en-US"/>
        </w:rPr>
        <w:t>.</w:t>
      </w:r>
      <w:r w:rsidRPr="005572DB">
        <w:rPr>
          <w:lang w:val="en-US"/>
        </w:rPr>
        <w:t xml:space="preserve"> 191 (Rev. Dubai, 2018), as well as the relevant parts of the ITU </w:t>
      </w:r>
      <w:r w:rsidR="00ED5702">
        <w:rPr>
          <w:lang w:val="en-US"/>
        </w:rPr>
        <w:t>s</w:t>
      </w:r>
      <w:r w:rsidRPr="005572DB">
        <w:rPr>
          <w:lang w:val="en-US"/>
        </w:rPr>
        <w:t xml:space="preserve">trategic and </w:t>
      </w:r>
      <w:r w:rsidR="00ED5702">
        <w:rPr>
          <w:lang w:val="en-US"/>
        </w:rPr>
        <w:t>o</w:t>
      </w:r>
      <w:r w:rsidRPr="005572DB">
        <w:rPr>
          <w:lang w:val="en-US"/>
        </w:rPr>
        <w:t xml:space="preserve">perational </w:t>
      </w:r>
      <w:r w:rsidR="00ED5702">
        <w:rPr>
          <w:lang w:val="en-US"/>
        </w:rPr>
        <w:t>p</w:t>
      </w:r>
      <w:r w:rsidRPr="005572DB">
        <w:rPr>
          <w:lang w:val="en-US"/>
        </w:rPr>
        <w:t xml:space="preserve">lans were reminded to the </w:t>
      </w:r>
      <w:r>
        <w:rPr>
          <w:lang w:val="en-US"/>
        </w:rPr>
        <w:t>group</w:t>
      </w:r>
      <w:r w:rsidRPr="005572DB">
        <w:rPr>
          <w:lang w:val="en-US"/>
        </w:rPr>
        <w:t xml:space="preserve">, while further improvements to the existing model for inter-sectoral coordination were presented. </w:t>
      </w:r>
      <w:r w:rsidR="004C26E5">
        <w:rPr>
          <w:lang w:val="en-US"/>
        </w:rPr>
        <w:t>More clarifications and concrete examples of improved coordination</w:t>
      </w:r>
      <w:r w:rsidR="00ED5702">
        <w:rPr>
          <w:lang w:val="en-US"/>
        </w:rPr>
        <w:t xml:space="preserve"> </w:t>
      </w:r>
      <w:r w:rsidR="00415EA7">
        <w:rPr>
          <w:lang w:val="en-US"/>
        </w:rPr>
        <w:t xml:space="preserve">since the creation of the ISC-TF </w:t>
      </w:r>
      <w:r w:rsidR="00ED5702">
        <w:rPr>
          <w:lang w:val="en-US"/>
        </w:rPr>
        <w:t xml:space="preserve">within the secretariat </w:t>
      </w:r>
      <w:r w:rsidR="004C26E5">
        <w:rPr>
          <w:lang w:val="en-US"/>
        </w:rPr>
        <w:t>were provided to the group</w:t>
      </w:r>
      <w:r w:rsidR="00415EA7">
        <w:rPr>
          <w:lang w:val="en-US"/>
        </w:rPr>
        <w:t xml:space="preserve">, and the </w:t>
      </w:r>
      <w:r w:rsidR="004C26E5">
        <w:rPr>
          <w:lang w:val="en-US"/>
        </w:rPr>
        <w:t>proposed</w:t>
      </w:r>
      <w:r w:rsidR="00415EA7">
        <w:rPr>
          <w:lang w:val="en-US"/>
        </w:rPr>
        <w:t xml:space="preserve"> </w:t>
      </w:r>
      <w:r w:rsidR="004C26E5">
        <w:rPr>
          <w:lang w:val="en-US"/>
        </w:rPr>
        <w:t>improvements to the model</w:t>
      </w:r>
      <w:r w:rsidR="00415EA7">
        <w:rPr>
          <w:lang w:val="en-US"/>
        </w:rPr>
        <w:t xml:space="preserve"> were explained in more detail by the Deputy Secretary-General</w:t>
      </w:r>
      <w:r w:rsidR="004C26E5">
        <w:rPr>
          <w:lang w:val="en-US"/>
        </w:rPr>
        <w:t>.</w:t>
      </w:r>
    </w:p>
    <w:p w14:paraId="0673AF27" w14:textId="1276F4E8" w:rsidR="004C26E5" w:rsidRPr="004C26E5" w:rsidRDefault="004C26E5" w:rsidP="004C26E5">
      <w:pPr>
        <w:spacing w:after="0"/>
        <w:rPr>
          <w:i/>
          <w:iCs/>
          <w:u w:val="single"/>
          <w:lang w:val="en-US"/>
        </w:rPr>
      </w:pPr>
      <w:r w:rsidRPr="004C26E5">
        <w:rPr>
          <w:i/>
          <w:iCs/>
          <w:u w:val="single"/>
          <w:lang w:val="en-US"/>
        </w:rPr>
        <w:t>Process to identify and eliminate duplication among ITU structural bodies – Pilot theme(s)</w:t>
      </w:r>
    </w:p>
    <w:p w14:paraId="1DC3572F" w14:textId="56DADAA1" w:rsidR="004C26E5" w:rsidRPr="004C26E5" w:rsidRDefault="004C26E5" w:rsidP="00E360B9">
      <w:pPr>
        <w:rPr>
          <w:lang w:val="en-US"/>
        </w:rPr>
      </w:pPr>
      <w:r>
        <w:rPr>
          <w:lang w:val="en-US"/>
        </w:rPr>
        <w:t xml:space="preserve">The group reflected on its role and contribution to the efforts to improve </w:t>
      </w:r>
      <w:r w:rsidR="00E360B9">
        <w:rPr>
          <w:lang w:val="en-US"/>
        </w:rPr>
        <w:t xml:space="preserve">coordination, and discussed how to </w:t>
      </w:r>
      <w:r>
        <w:rPr>
          <w:lang w:val="en-US"/>
        </w:rPr>
        <w:t xml:space="preserve">contribute to </w:t>
      </w:r>
      <w:r w:rsidR="00E360B9">
        <w:rPr>
          <w:lang w:val="en-US"/>
        </w:rPr>
        <w:t xml:space="preserve">Output 6.1 of the new Inter-Sectoral Objective 6 of the </w:t>
      </w:r>
      <w:r w:rsidRPr="004C26E5">
        <w:rPr>
          <w:lang w:val="en-US"/>
        </w:rPr>
        <w:t xml:space="preserve">ITU Strategic plan 2020-23 </w:t>
      </w:r>
      <w:r w:rsidR="00E360B9">
        <w:rPr>
          <w:lang w:val="en-US"/>
        </w:rPr>
        <w:t>(</w:t>
      </w:r>
      <w:r w:rsidR="00E360B9" w:rsidRPr="00E360B9">
        <w:rPr>
          <w:i/>
          <w:iCs/>
          <w:lang w:val="en-US"/>
        </w:rPr>
        <w:t>Process to identify and eliminate all forms and instances of duplication of functions and activities between all ITU structural bodies, optimizing, inter alia, management methods, logistics, coordination and support by the Secretariat</w:t>
      </w:r>
      <w:r w:rsidR="00E360B9" w:rsidRPr="00E360B9">
        <w:rPr>
          <w:lang w:val="en-US"/>
        </w:rPr>
        <w:t>).</w:t>
      </w:r>
    </w:p>
    <w:p w14:paraId="155DBDE6" w14:textId="422D6D7F" w:rsidR="00E360B9" w:rsidRDefault="00E360B9" w:rsidP="00415EA7">
      <w:pPr>
        <w:rPr>
          <w:lang w:val="en-US"/>
        </w:rPr>
      </w:pPr>
      <w:r>
        <w:rPr>
          <w:lang w:val="en-US"/>
        </w:rPr>
        <w:t xml:space="preserve">The </w:t>
      </w:r>
      <w:r w:rsidR="00415EA7">
        <w:rPr>
          <w:lang w:val="en-US"/>
        </w:rPr>
        <w:t xml:space="preserve">group discussed the </w:t>
      </w:r>
      <w:r>
        <w:rPr>
          <w:lang w:val="en-US"/>
        </w:rPr>
        <w:t>idea</w:t>
      </w:r>
      <w:r w:rsidR="00415EA7">
        <w:rPr>
          <w:lang w:val="en-US"/>
        </w:rPr>
        <w:t xml:space="preserve"> </w:t>
      </w:r>
      <w:r>
        <w:rPr>
          <w:lang w:val="en-US"/>
        </w:rPr>
        <w:t>to p</w:t>
      </w:r>
      <w:r w:rsidRPr="00E360B9">
        <w:rPr>
          <w:lang w:val="en-US"/>
        </w:rPr>
        <w:t xml:space="preserve">ossibly identify </w:t>
      </w:r>
      <w:r>
        <w:rPr>
          <w:lang w:val="en-US"/>
        </w:rPr>
        <w:t xml:space="preserve">some </w:t>
      </w:r>
      <w:r w:rsidRPr="00E360B9">
        <w:rPr>
          <w:lang w:val="en-US"/>
        </w:rPr>
        <w:t>‘pilot themes’ of inter-sectoral coordination</w:t>
      </w:r>
      <w:r>
        <w:rPr>
          <w:lang w:val="en-US"/>
        </w:rPr>
        <w:t xml:space="preserve">, where all actors (including </w:t>
      </w:r>
      <w:r w:rsidRPr="00E360B9">
        <w:rPr>
          <w:lang w:val="en-US"/>
        </w:rPr>
        <w:t>Sector advisory groups</w:t>
      </w:r>
      <w:r>
        <w:rPr>
          <w:lang w:val="en-US"/>
        </w:rPr>
        <w:t xml:space="preserve">, the </w:t>
      </w:r>
      <w:r w:rsidRPr="00E360B9">
        <w:rPr>
          <w:lang w:val="en-US"/>
        </w:rPr>
        <w:t>ITU-R</w:t>
      </w:r>
      <w:r>
        <w:rPr>
          <w:lang w:val="en-US"/>
        </w:rPr>
        <w:t xml:space="preserve">, ITU-T and ITU-D Study Groups, the </w:t>
      </w:r>
      <w:r w:rsidR="00415EA7">
        <w:rPr>
          <w:lang w:val="en-US"/>
        </w:rPr>
        <w:t>c</w:t>
      </w:r>
      <w:r>
        <w:rPr>
          <w:lang w:val="en-US"/>
        </w:rPr>
        <w:t xml:space="preserve">ounsellors and the </w:t>
      </w:r>
      <w:r w:rsidR="00415EA7">
        <w:rPr>
          <w:lang w:val="en-US"/>
        </w:rPr>
        <w:t>s</w:t>
      </w:r>
      <w:r>
        <w:rPr>
          <w:lang w:val="en-US"/>
        </w:rPr>
        <w:t xml:space="preserve">ecretariat) would be involved to </w:t>
      </w:r>
      <w:r w:rsidRPr="00E360B9">
        <w:rPr>
          <w:lang w:val="en-US"/>
        </w:rPr>
        <w:t>identify methods of improved collaboration</w:t>
      </w:r>
      <w:r>
        <w:rPr>
          <w:lang w:val="en-US"/>
        </w:rPr>
        <w:t>,</w:t>
      </w:r>
      <w:r w:rsidRPr="00E360B9">
        <w:rPr>
          <w:lang w:val="en-US"/>
        </w:rPr>
        <w:t xml:space="preserve"> </w:t>
      </w:r>
      <w:r>
        <w:rPr>
          <w:lang w:val="en-US"/>
        </w:rPr>
        <w:t>aiming at</w:t>
      </w:r>
      <w:r w:rsidRPr="00E360B9">
        <w:rPr>
          <w:lang w:val="en-US"/>
        </w:rPr>
        <w:t xml:space="preserve"> avoid</w:t>
      </w:r>
      <w:r>
        <w:rPr>
          <w:lang w:val="en-US"/>
        </w:rPr>
        <w:t>ing</w:t>
      </w:r>
      <w:r w:rsidRPr="00E360B9">
        <w:rPr>
          <w:lang w:val="en-US"/>
        </w:rPr>
        <w:t xml:space="preserve"> duplication</w:t>
      </w:r>
      <w:r>
        <w:rPr>
          <w:lang w:val="en-US"/>
        </w:rPr>
        <w:t xml:space="preserve"> of work, </w:t>
      </w:r>
      <w:r w:rsidR="00415EA7">
        <w:rPr>
          <w:lang w:val="en-US"/>
        </w:rPr>
        <w:t>and proposing</w:t>
      </w:r>
      <w:r w:rsidRPr="00E360B9">
        <w:rPr>
          <w:lang w:val="en-US"/>
        </w:rPr>
        <w:t xml:space="preserve"> </w:t>
      </w:r>
      <w:r>
        <w:rPr>
          <w:lang w:val="en-US"/>
        </w:rPr>
        <w:t xml:space="preserve">the </w:t>
      </w:r>
      <w:r w:rsidRPr="00E360B9">
        <w:rPr>
          <w:lang w:val="en-US"/>
        </w:rPr>
        <w:t>way forward</w:t>
      </w:r>
      <w:r>
        <w:rPr>
          <w:lang w:val="en-US"/>
        </w:rPr>
        <w:t xml:space="preserve">. </w:t>
      </w:r>
      <w:r w:rsidR="00415EA7">
        <w:rPr>
          <w:lang w:val="en-US"/>
        </w:rPr>
        <w:t>Advic</w:t>
      </w:r>
      <w:r w:rsidRPr="00E360B9">
        <w:rPr>
          <w:lang w:val="en-US"/>
        </w:rPr>
        <w:t xml:space="preserve">e </w:t>
      </w:r>
      <w:r>
        <w:rPr>
          <w:lang w:val="en-US"/>
        </w:rPr>
        <w:t>and possible</w:t>
      </w:r>
      <w:r w:rsidRPr="00E360B9">
        <w:rPr>
          <w:lang w:val="en-US"/>
        </w:rPr>
        <w:t xml:space="preserve"> recommendations </w:t>
      </w:r>
      <w:r w:rsidR="00415EA7">
        <w:rPr>
          <w:lang w:val="en-US"/>
        </w:rPr>
        <w:t xml:space="preserve">could then be developed, for consideration </w:t>
      </w:r>
      <w:r w:rsidRPr="00E360B9">
        <w:rPr>
          <w:lang w:val="en-US"/>
        </w:rPr>
        <w:t xml:space="preserve">by </w:t>
      </w:r>
      <w:r>
        <w:rPr>
          <w:lang w:val="en-US"/>
        </w:rPr>
        <w:t xml:space="preserve">the </w:t>
      </w:r>
      <w:r w:rsidRPr="00E360B9">
        <w:rPr>
          <w:lang w:val="en-US"/>
        </w:rPr>
        <w:t>Member States when preparing inputs to the World Conferences and PP-22</w:t>
      </w:r>
      <w:r>
        <w:rPr>
          <w:lang w:val="en-US"/>
        </w:rPr>
        <w:t>.</w:t>
      </w:r>
    </w:p>
    <w:p w14:paraId="3764E168" w14:textId="00E3A05A" w:rsidR="00E360B9" w:rsidRPr="00E360B9" w:rsidRDefault="00E360B9" w:rsidP="00415EA7">
      <w:pPr>
        <w:rPr>
          <w:lang w:val="en-US"/>
        </w:rPr>
      </w:pPr>
      <w:r>
        <w:rPr>
          <w:lang w:val="en-US"/>
        </w:rPr>
        <w:t xml:space="preserve">The Chair of ISCG requested for ideas on pilot themes to be pursued, and following </w:t>
      </w:r>
      <w:r w:rsidR="00415EA7">
        <w:rPr>
          <w:lang w:val="en-US"/>
        </w:rPr>
        <w:t xml:space="preserve">the proposal of </w:t>
      </w:r>
      <w:r>
        <w:rPr>
          <w:lang w:val="en-US"/>
        </w:rPr>
        <w:t xml:space="preserve">several topics by the delegates, the group decided to </w:t>
      </w:r>
      <w:r w:rsidR="004305F2">
        <w:rPr>
          <w:lang w:val="en-US"/>
        </w:rPr>
        <w:t xml:space="preserve">focus on the topic of </w:t>
      </w:r>
      <w:r w:rsidR="00415EA7">
        <w:rPr>
          <w:lang w:val="en-US"/>
        </w:rPr>
        <w:t>c</w:t>
      </w:r>
      <w:r w:rsidR="004305F2">
        <w:rPr>
          <w:lang w:val="en-US"/>
        </w:rPr>
        <w:t xml:space="preserve">limate </w:t>
      </w:r>
      <w:r w:rsidR="00415EA7">
        <w:rPr>
          <w:lang w:val="en-US"/>
        </w:rPr>
        <w:t>c</w:t>
      </w:r>
      <w:r w:rsidR="004305F2">
        <w:rPr>
          <w:lang w:val="en-US"/>
        </w:rPr>
        <w:t>hange.</w:t>
      </w:r>
    </w:p>
    <w:p w14:paraId="4740DE59" w14:textId="2B208219" w:rsidR="004C26E5" w:rsidRDefault="004305F2" w:rsidP="00E360B9">
      <w:pPr>
        <w:rPr>
          <w:lang w:val="en-US"/>
        </w:rPr>
      </w:pPr>
      <w:r>
        <w:rPr>
          <w:lang w:val="en-US"/>
        </w:rPr>
        <w:t>The group also discussed the issue of the detailed information to be included in the Mapping Tables for the Study Groups, and reiterated TSAG’s suggestion not to include details on the Working Items, but to provide the information on the mappings at the level of Study Group questions.</w:t>
      </w:r>
    </w:p>
    <w:p w14:paraId="6DC34C45" w14:textId="53720E1C" w:rsidR="005040D2" w:rsidRDefault="005040D2" w:rsidP="00C44353">
      <w:pPr>
        <w:rPr>
          <w:lang w:val="en-US"/>
        </w:rPr>
      </w:pPr>
      <w:r>
        <w:rPr>
          <w:lang w:val="en-US"/>
        </w:rPr>
        <w:t xml:space="preserve">The group concluded its work with the Chair </w:t>
      </w:r>
      <w:r w:rsidR="00C44353">
        <w:rPr>
          <w:lang w:val="en-US"/>
        </w:rPr>
        <w:t xml:space="preserve">of ISCG </w:t>
      </w:r>
      <w:r>
        <w:rPr>
          <w:lang w:val="en-US"/>
        </w:rPr>
        <w:t>thanking all the participants –including those joining via remote participation, for their contributions</w:t>
      </w:r>
      <w:r w:rsidR="00C44353">
        <w:rPr>
          <w:lang w:val="en-US"/>
        </w:rPr>
        <w:t xml:space="preserve"> and the fruitful discussion</w:t>
      </w:r>
      <w:r>
        <w:rPr>
          <w:lang w:val="en-US"/>
        </w:rPr>
        <w:t>.</w:t>
      </w:r>
    </w:p>
    <w:p w14:paraId="3AB7D4F3" w14:textId="77777777" w:rsidR="004C26E5" w:rsidRDefault="004C26E5" w:rsidP="004C26E5">
      <w:pPr>
        <w:rPr>
          <w:lang w:val="en-US"/>
        </w:rPr>
      </w:pPr>
    </w:p>
    <w:p w14:paraId="01503024" w14:textId="4779AC13" w:rsidR="0075694A" w:rsidRPr="00962652" w:rsidRDefault="00F268FB" w:rsidP="005572DB">
      <w:pPr>
        <w:pStyle w:val="Title1"/>
        <w:pageBreakBefore/>
        <w:spacing w:before="120"/>
        <w:rPr>
          <w:szCs w:val="28"/>
          <w:lang w:val="en-US"/>
        </w:rPr>
      </w:pPr>
      <w:r w:rsidRPr="00962652">
        <w:rPr>
          <w:szCs w:val="28"/>
          <w:lang w:val="en-US"/>
        </w:rPr>
        <w:lastRenderedPageBreak/>
        <w:t xml:space="preserve">ANNEX: </w:t>
      </w:r>
      <w:r w:rsidR="00962652" w:rsidRPr="00962652">
        <w:rPr>
          <w:szCs w:val="28"/>
          <w:lang w:val="en-US"/>
        </w:rPr>
        <w:t>Identifying Possible Areas of Common Interest</w:t>
      </w:r>
    </w:p>
    <w:p w14:paraId="52F3FF3B" w14:textId="75A52DBF" w:rsidR="00F268FB" w:rsidRPr="00962652" w:rsidRDefault="00F268FB" w:rsidP="00962652">
      <w:pPr>
        <w:pStyle w:val="ListParagraph"/>
        <w:numPr>
          <w:ilvl w:val="0"/>
          <w:numId w:val="36"/>
        </w:numPr>
        <w:spacing w:before="240" w:after="60"/>
        <w:rPr>
          <w:b/>
          <w:bCs/>
          <w:lang w:val="en-US"/>
        </w:rPr>
      </w:pPr>
      <w:r w:rsidRPr="00962652">
        <w:rPr>
          <w:b/>
          <w:bCs/>
          <w:lang w:val="en-US"/>
        </w:rPr>
        <w:t>Identifying Possible Areas of Common Interest</w:t>
      </w:r>
    </w:p>
    <w:p w14:paraId="75936F2B" w14:textId="77777777" w:rsidR="00F268FB" w:rsidRPr="00F727BA" w:rsidRDefault="00F268FB" w:rsidP="00F268FB">
      <w:pPr>
        <w:pStyle w:val="ListParagraph"/>
        <w:numPr>
          <w:ilvl w:val="1"/>
          <w:numId w:val="36"/>
        </w:numPr>
        <w:tabs>
          <w:tab w:val="clear" w:pos="1134"/>
          <w:tab w:val="clear" w:pos="1871"/>
          <w:tab w:val="clear" w:pos="2268"/>
        </w:tabs>
        <w:overflowPunct/>
        <w:autoSpaceDE/>
        <w:autoSpaceDN/>
        <w:adjustRightInd/>
        <w:snapToGrid w:val="0"/>
        <w:spacing w:before="120"/>
        <w:ind w:left="0" w:firstLine="0"/>
        <w:contextualSpacing w:val="0"/>
        <w:jc w:val="both"/>
        <w:textAlignment w:val="auto"/>
      </w:pPr>
      <w:r w:rsidRPr="00F727BA">
        <w:t>This Information Document aims at identifying possible areas of mutual interest to the three ITU Sectors and the General Secretariat.</w:t>
      </w:r>
    </w:p>
    <w:p w14:paraId="341CC4AD" w14:textId="77777777" w:rsidR="00F268FB" w:rsidRPr="00F727BA" w:rsidRDefault="00F268FB" w:rsidP="00F268FB">
      <w:pPr>
        <w:pStyle w:val="ListParagraph"/>
        <w:numPr>
          <w:ilvl w:val="1"/>
          <w:numId w:val="36"/>
        </w:numPr>
        <w:tabs>
          <w:tab w:val="clear" w:pos="1134"/>
          <w:tab w:val="clear" w:pos="1871"/>
          <w:tab w:val="clear" w:pos="2268"/>
        </w:tabs>
        <w:overflowPunct/>
        <w:autoSpaceDE/>
        <w:autoSpaceDN/>
        <w:adjustRightInd/>
        <w:snapToGrid w:val="0"/>
        <w:spacing w:before="120"/>
        <w:ind w:left="0" w:firstLine="0"/>
        <w:contextualSpacing w:val="0"/>
        <w:jc w:val="both"/>
        <w:textAlignment w:val="auto"/>
      </w:pPr>
      <w:r w:rsidRPr="00F727BA">
        <w:t>The following areas of common interest have been identified within the secretariat and are thematic topics of the Inter-Sectoral Coordination Task Force (ISC-TF):</w:t>
      </w:r>
    </w:p>
    <w:p w14:paraId="4EB1E4A8" w14:textId="77777777" w:rsidR="00F268FB" w:rsidRPr="00F727BA" w:rsidRDefault="00F268FB" w:rsidP="00F268FB">
      <w:pPr>
        <w:keepNext/>
        <w:tabs>
          <w:tab w:val="clear" w:pos="1134"/>
          <w:tab w:val="clear" w:pos="2268"/>
        </w:tabs>
        <w:overflowPunct/>
        <w:autoSpaceDE/>
        <w:autoSpaceDN/>
        <w:adjustRightInd/>
        <w:snapToGrid w:val="0"/>
        <w:jc w:val="both"/>
        <w:textAlignment w:val="auto"/>
      </w:pPr>
      <w:r w:rsidRPr="00F727BA">
        <w:t>(</w:t>
      </w:r>
      <w:proofErr w:type="gramStart"/>
      <w:r w:rsidRPr="00F727BA">
        <w:t>subject</w:t>
      </w:r>
      <w:proofErr w:type="gramEnd"/>
      <w:r w:rsidRPr="00F727BA">
        <w:t xml:space="preserve"> areas of work)</w:t>
      </w:r>
    </w:p>
    <w:p w14:paraId="199DE9A2"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Accessibility</w:t>
      </w:r>
    </w:p>
    <w:p w14:paraId="5A18B535"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Artificial Intelligence</w:t>
      </w:r>
    </w:p>
    <w:p w14:paraId="00EC856E" w14:textId="77777777" w:rsidR="00F268FB"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Bridging the Standards Gap</w:t>
      </w:r>
    </w:p>
    <w:p w14:paraId="0CC771E7"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t>Community Networks</w:t>
      </w:r>
    </w:p>
    <w:p w14:paraId="5A697373"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Emergency Telecommunications</w:t>
      </w:r>
    </w:p>
    <w:p w14:paraId="1A7EE187"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Environment and Smart Sustainable Cities</w:t>
      </w:r>
    </w:p>
    <w:p w14:paraId="109EB2A4" w14:textId="77777777" w:rsidR="00F268FB"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Gender</w:t>
      </w:r>
    </w:p>
    <w:p w14:paraId="3337F2B4"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t>Geospatial Activities</w:t>
      </w:r>
    </w:p>
    <w:p w14:paraId="0466B4EB" w14:textId="77777777" w:rsidR="00F268FB" w:rsidRPr="00F727BA" w:rsidRDefault="00F268FB" w:rsidP="00F268FB">
      <w:pPr>
        <w:keepNext/>
        <w:tabs>
          <w:tab w:val="clear" w:pos="1134"/>
          <w:tab w:val="clear" w:pos="2268"/>
        </w:tabs>
        <w:overflowPunct/>
        <w:autoSpaceDE/>
        <w:autoSpaceDN/>
        <w:adjustRightInd/>
        <w:snapToGrid w:val="0"/>
        <w:jc w:val="both"/>
        <w:textAlignment w:val="auto"/>
      </w:pPr>
      <w:r w:rsidRPr="00F727BA">
        <w:t>(</w:t>
      </w:r>
      <w:proofErr w:type="gramStart"/>
      <w:r w:rsidRPr="00F727BA">
        <w:t>administrative</w:t>
      </w:r>
      <w:proofErr w:type="gramEnd"/>
      <w:r w:rsidRPr="00F727BA">
        <w:t xml:space="preserve"> and support themes)</w:t>
      </w:r>
    </w:p>
    <w:p w14:paraId="73374075"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Communications &amp; Web Editorial</w:t>
      </w:r>
    </w:p>
    <w:p w14:paraId="29B0C556"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Emerging trends</w:t>
      </w:r>
    </w:p>
    <w:p w14:paraId="7D8F3F64"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Membership / Resource Mobilization / SMEs</w:t>
      </w:r>
    </w:p>
    <w:p w14:paraId="7B7FE6A5"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contextualSpacing w:val="0"/>
        <w:jc w:val="both"/>
        <w:textAlignment w:val="auto"/>
      </w:pPr>
      <w:r w:rsidRPr="00F727BA">
        <w:t>Events Coordination.</w:t>
      </w:r>
    </w:p>
    <w:p w14:paraId="74C049F0" w14:textId="77777777" w:rsidR="00F268FB" w:rsidRPr="00F727BA" w:rsidRDefault="00F268FB" w:rsidP="00F268FB">
      <w:pPr>
        <w:pStyle w:val="ListParagraph"/>
        <w:numPr>
          <w:ilvl w:val="1"/>
          <w:numId w:val="36"/>
        </w:numPr>
        <w:tabs>
          <w:tab w:val="clear" w:pos="1134"/>
          <w:tab w:val="clear" w:pos="1871"/>
          <w:tab w:val="clear" w:pos="2268"/>
        </w:tabs>
        <w:overflowPunct/>
        <w:autoSpaceDE/>
        <w:autoSpaceDN/>
        <w:adjustRightInd/>
        <w:snapToGrid w:val="0"/>
        <w:spacing w:before="120"/>
        <w:ind w:left="0" w:firstLine="0"/>
        <w:contextualSpacing w:val="0"/>
        <w:jc w:val="both"/>
        <w:textAlignment w:val="auto"/>
      </w:pPr>
      <w:r w:rsidRPr="00F727BA">
        <w:t>The following areas of common interest, which form cross-sectoral groups or task forces have also been identified:</w:t>
      </w:r>
    </w:p>
    <w:p w14:paraId="0FE18216"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Internet Governance Group</w:t>
      </w:r>
    </w:p>
    <w:p w14:paraId="5948503F"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Cybersecurity / building confidence &amp; security in ICTs</w:t>
      </w:r>
    </w:p>
    <w:p w14:paraId="463B5AF3"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Revenue Generation Group (Annex 2 Decision 5)</w:t>
      </w:r>
    </w:p>
    <w:p w14:paraId="6E1D02DA"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WSIS &amp; SDGs Task Force</w:t>
      </w:r>
    </w:p>
    <w:p w14:paraId="6A035895"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Study &amp; Evaluation of the Translation Procedures</w:t>
      </w:r>
    </w:p>
    <w:p w14:paraId="1D6A41D8"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ITU ICT Committee (ICTC)</w:t>
      </w:r>
    </w:p>
    <w:p w14:paraId="106CBCA9"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ITU Publications Policy Committee (IPPC)</w:t>
      </w:r>
    </w:p>
    <w:p w14:paraId="368E53EC"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CRM Implementation Committee</w:t>
      </w:r>
    </w:p>
    <w:p w14:paraId="0D3644E0"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New Building M</w:t>
      </w:r>
      <w:r>
        <w:t>ana</w:t>
      </w:r>
      <w:r w:rsidRPr="00F727BA">
        <w:t>g</w:t>
      </w:r>
      <w:r>
        <w:t>e</w:t>
      </w:r>
      <w:r w:rsidRPr="00F727BA">
        <w:t>m</w:t>
      </w:r>
      <w:r>
        <w:t>en</w:t>
      </w:r>
      <w:r w:rsidRPr="00F727BA">
        <w:t>t Board</w:t>
      </w:r>
    </w:p>
    <w:p w14:paraId="75FD0B6E"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New Building Requirements Group</w:t>
      </w:r>
    </w:p>
    <w:p w14:paraId="07AC74CC"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ind w:left="357" w:hanging="357"/>
        <w:contextualSpacing w:val="0"/>
        <w:jc w:val="both"/>
        <w:textAlignment w:val="auto"/>
      </w:pPr>
      <w:r w:rsidRPr="00F727BA">
        <w:t>Access Control Systems / Secured Identity Mgmt.</w:t>
      </w:r>
    </w:p>
    <w:p w14:paraId="7E097712" w14:textId="77777777" w:rsidR="00F268FB" w:rsidRPr="00F727BA" w:rsidRDefault="00F268FB" w:rsidP="00F268FB">
      <w:pPr>
        <w:pStyle w:val="ListParagraph"/>
        <w:numPr>
          <w:ilvl w:val="1"/>
          <w:numId w:val="36"/>
        </w:numPr>
        <w:tabs>
          <w:tab w:val="clear" w:pos="1134"/>
          <w:tab w:val="clear" w:pos="1871"/>
          <w:tab w:val="clear" w:pos="2268"/>
        </w:tabs>
        <w:overflowPunct/>
        <w:autoSpaceDE/>
        <w:autoSpaceDN/>
        <w:adjustRightInd/>
        <w:snapToGrid w:val="0"/>
        <w:spacing w:before="120"/>
        <w:ind w:left="0" w:firstLine="0"/>
        <w:contextualSpacing w:val="0"/>
        <w:jc w:val="both"/>
        <w:textAlignment w:val="auto"/>
      </w:pPr>
      <w:r w:rsidRPr="00F727BA">
        <w:t>The following possible areas have been additionally identified from the mapping of PP, RA</w:t>
      </w:r>
      <w:r>
        <w:t>/WRC</w:t>
      </w:r>
      <w:r w:rsidRPr="00F727BA">
        <w:t>, WTSA, and WTDC Resolutions (presented in Annex 1 to this document below):</w:t>
      </w:r>
    </w:p>
    <w:p w14:paraId="4C29D9E3"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Alternative calling procedures</w:t>
      </w:r>
    </w:p>
    <w:p w14:paraId="7C98A61D"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Regional presence</w:t>
      </w:r>
    </w:p>
    <w:p w14:paraId="07299FC6"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Assistance to developing countries (including Least developed countries)</w:t>
      </w:r>
    </w:p>
    <w:p w14:paraId="62E31E82"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Regional preparations of conferences</w:t>
      </w:r>
    </w:p>
    <w:p w14:paraId="3E16482E"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Non-discriminatory access</w:t>
      </w:r>
    </w:p>
    <w:p w14:paraId="77DBD636"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ITU publications</w:t>
      </w:r>
    </w:p>
    <w:p w14:paraId="47B5DD16"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Gender</w:t>
      </w:r>
    </w:p>
    <w:p w14:paraId="26EF7E6B"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Strategic plan</w:t>
      </w:r>
    </w:p>
    <w:p w14:paraId="4CD19827"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Dispute settlement</w:t>
      </w:r>
    </w:p>
    <w:p w14:paraId="1FC6DC5F"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Scheduling conferences</w:t>
      </w:r>
    </w:p>
    <w:p w14:paraId="2B00F7F0" w14:textId="77777777" w:rsidR="00F268FB"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lastRenderedPageBreak/>
        <w:t xml:space="preserve">Internet-related issues (Internet-protocol based networks, </w:t>
      </w:r>
      <w:r>
        <w:t xml:space="preserve">international public policy issues pertaining to the Internet and the management of Internet resources; </w:t>
      </w:r>
      <w:r w:rsidRPr="00F727BA">
        <w:t>IPv6 deployment &amp; adoption</w:t>
      </w:r>
      <w:r>
        <w:t xml:space="preserve">; </w:t>
      </w:r>
      <w:r w:rsidRPr="00647116">
        <w:t>internationali</w:t>
      </w:r>
      <w:r>
        <w:t>zed (multilingual) domain names)</w:t>
      </w:r>
    </w:p>
    <w:p w14:paraId="5F347A58"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Sector Advisory Groups</w:t>
      </w:r>
    </w:p>
    <w:p w14:paraId="7B4658BB"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Bridging Standardization Gap (BSG)</w:t>
      </w:r>
    </w:p>
    <w:p w14:paraId="54C70B2C"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Confidence &amp; (cyber) Security, including National incident response teams</w:t>
      </w:r>
    </w:p>
    <w:p w14:paraId="73047FF5"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Disaster risk reduction and management (including relief, emergency, humanitarian assistance)</w:t>
      </w:r>
    </w:p>
    <w:p w14:paraId="0EADC634"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Future Networks</w:t>
      </w:r>
    </w:p>
    <w:p w14:paraId="3B997775"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Bridging digital divide, inclusive information society</w:t>
      </w:r>
    </w:p>
    <w:p w14:paraId="098890AF"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Sector Membership (including Sector Members, Associates, Academia)</w:t>
      </w:r>
    </w:p>
    <w:p w14:paraId="5723407F"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WSIS &amp; SDGs</w:t>
      </w:r>
    </w:p>
    <w:p w14:paraId="7E6E2771"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International Telecommunication Regulations (ITR), regulatory aspects</w:t>
      </w:r>
    </w:p>
    <w:p w14:paraId="62EC1C0D"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6 UN Languages</w:t>
      </w:r>
    </w:p>
    <w:p w14:paraId="16FCFE42"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Electronic working methods, e-meetings</w:t>
      </w:r>
    </w:p>
    <w:p w14:paraId="02B2F429"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Accessibility for persons with disabilities and special needs</w:t>
      </w:r>
    </w:p>
    <w:p w14:paraId="264D75A1"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Electromagnetic fields (EMF)</w:t>
      </w:r>
    </w:p>
    <w:p w14:paraId="04A665D4"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Conformance &amp; Interoperability</w:t>
      </w:r>
    </w:p>
    <w:p w14:paraId="7E9D334E"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Child Online Protection</w:t>
      </w:r>
    </w:p>
    <w:p w14:paraId="6FC62780"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Climate Change</w:t>
      </w:r>
    </w:p>
    <w:p w14:paraId="1FE6568F"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e-health</w:t>
      </w:r>
    </w:p>
    <w:p w14:paraId="62936591"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Illicit use of ICTs / Counterfeit / Mobile device theft / (misappropriation, misuse of) International telecommunication resources</w:t>
      </w:r>
    </w:p>
    <w:p w14:paraId="4BAC5FAA"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User/consumer protection</w:t>
      </w:r>
    </w:p>
    <w:p w14:paraId="2EDEDD7E"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Internet-of-things (</w:t>
      </w:r>
      <w:proofErr w:type="spellStart"/>
      <w:r w:rsidRPr="00F727BA">
        <w:t>IoT</w:t>
      </w:r>
      <w:proofErr w:type="spellEnd"/>
      <w:r w:rsidRPr="00F727BA">
        <w:t>), Smart Cities</w:t>
      </w:r>
    </w:p>
    <w:p w14:paraId="36E3F15B"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Youth</w:t>
      </w:r>
    </w:p>
    <w:p w14:paraId="61AF0DF1"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Software-defined networking (SDN)</w:t>
      </w:r>
    </w:p>
    <w:p w14:paraId="13B6C73F"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Connect 2030 Agenda / broadband connectivity</w:t>
      </w:r>
    </w:p>
    <w:p w14:paraId="6606768E"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Enabling environment for ICTs</w:t>
      </w:r>
    </w:p>
    <w:p w14:paraId="20FF080B"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OTTs</w:t>
      </w:r>
    </w:p>
    <w:p w14:paraId="72E45B65"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Financial inclusion gap</w:t>
      </w:r>
    </w:p>
    <w:p w14:paraId="3D9323E2"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Fellowships</w:t>
      </w:r>
    </w:p>
    <w:p w14:paraId="50D4680C"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SMEs</w:t>
      </w:r>
    </w:p>
    <w:p w14:paraId="7FA8711E"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Appointment of Chairmen and vice-chairmen of all groups</w:t>
      </w:r>
    </w:p>
    <w:p w14:paraId="7C088727"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Innovation for digital economy and society</w:t>
      </w:r>
    </w:p>
    <w:p w14:paraId="6E35DBBA"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Research &amp; Technology transfer</w:t>
      </w:r>
    </w:p>
    <w:p w14:paraId="233B5274"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727BA">
        <w:t xml:space="preserve">Charging principles, </w:t>
      </w:r>
      <w:proofErr w:type="spellStart"/>
      <w:r w:rsidRPr="00F727BA">
        <w:t>QoS</w:t>
      </w:r>
      <w:proofErr w:type="spellEnd"/>
    </w:p>
    <w:p w14:paraId="35D6E490" w14:textId="77777777" w:rsidR="00F268FB" w:rsidRPr="00F727BA"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ind w:left="357" w:hanging="357"/>
        <w:contextualSpacing w:val="0"/>
        <w:jc w:val="both"/>
        <w:textAlignment w:val="auto"/>
      </w:pPr>
      <w:r w:rsidRPr="00F727BA">
        <w:t>IMT-2020/5G, mobile networks.</w:t>
      </w:r>
    </w:p>
    <w:p w14:paraId="100B398A" w14:textId="77777777" w:rsidR="00F268FB" w:rsidRPr="00F727BA" w:rsidRDefault="00F268FB" w:rsidP="00F268FB">
      <w:pPr>
        <w:pStyle w:val="ListParagraph"/>
        <w:numPr>
          <w:ilvl w:val="1"/>
          <w:numId w:val="36"/>
        </w:numPr>
        <w:tabs>
          <w:tab w:val="clear" w:pos="1134"/>
          <w:tab w:val="clear" w:pos="1871"/>
          <w:tab w:val="clear" w:pos="2268"/>
        </w:tabs>
        <w:overflowPunct/>
        <w:autoSpaceDE/>
        <w:autoSpaceDN/>
        <w:adjustRightInd/>
        <w:snapToGrid w:val="0"/>
        <w:spacing w:before="120"/>
        <w:ind w:left="0" w:firstLine="0"/>
        <w:contextualSpacing w:val="0"/>
        <w:jc w:val="both"/>
        <w:textAlignment w:val="auto"/>
      </w:pPr>
      <w:r w:rsidRPr="00F727BA">
        <w:t>Inter Sectoral Coordination Group (ISCG) on issues of mutual interest has developed the revised list of areas of mutual interest, which it is making available below:</w:t>
      </w:r>
    </w:p>
    <w:p w14:paraId="19AB12B7" w14:textId="77777777" w:rsidR="00F268FB" w:rsidRPr="00F268FB" w:rsidRDefault="00F268FB" w:rsidP="00F268FB">
      <w:pPr>
        <w:keepNext/>
        <w:ind w:left="567"/>
        <w:contextualSpacing/>
        <w:rPr>
          <w:rFonts w:cstheme="majorBidi"/>
          <w:szCs w:val="22"/>
        </w:rPr>
      </w:pPr>
      <w:r w:rsidRPr="00F268FB">
        <w:rPr>
          <w:szCs w:val="22"/>
        </w:rPr>
        <w:t>1.</w:t>
      </w:r>
      <w:r w:rsidRPr="00F268FB">
        <w:rPr>
          <w:rFonts w:cstheme="majorBidi"/>
          <w:szCs w:val="22"/>
        </w:rPr>
        <w:tab/>
        <w:t>Participation</w:t>
      </w:r>
    </w:p>
    <w:p w14:paraId="52F9B711" w14:textId="77777777" w:rsidR="00F268FB" w:rsidRPr="00F268FB" w:rsidRDefault="00F268FB" w:rsidP="00F268FB">
      <w:pPr>
        <w:spacing w:after="60"/>
        <w:ind w:left="1701" w:hanging="567"/>
        <w:contextualSpacing/>
        <w:rPr>
          <w:rFonts w:cstheme="majorBidi"/>
          <w:szCs w:val="22"/>
        </w:rPr>
      </w:pPr>
      <w:r w:rsidRPr="00F268FB">
        <w:rPr>
          <w:rFonts w:cstheme="majorBidi"/>
          <w:szCs w:val="22"/>
        </w:rPr>
        <w:t>1.1</w:t>
      </w:r>
      <w:r w:rsidRPr="00F268FB">
        <w:rPr>
          <w:rFonts w:cstheme="majorBidi"/>
          <w:szCs w:val="22"/>
        </w:rPr>
        <w:tab/>
        <w:t>Remote participation.</w:t>
      </w:r>
    </w:p>
    <w:p w14:paraId="50F0F70B" w14:textId="77777777" w:rsidR="00F268FB" w:rsidRPr="00F268FB" w:rsidRDefault="00F268FB" w:rsidP="00F268FB">
      <w:pPr>
        <w:spacing w:after="60"/>
        <w:ind w:left="1701" w:hanging="567"/>
        <w:contextualSpacing/>
        <w:rPr>
          <w:rFonts w:cstheme="majorBidi"/>
          <w:szCs w:val="22"/>
        </w:rPr>
      </w:pPr>
      <w:r w:rsidRPr="00F268FB">
        <w:rPr>
          <w:rFonts w:cstheme="majorBidi"/>
          <w:szCs w:val="22"/>
        </w:rPr>
        <w:t>1.2</w:t>
      </w:r>
      <w:r w:rsidRPr="00F268FB">
        <w:rPr>
          <w:rFonts w:cstheme="majorBidi"/>
          <w:szCs w:val="22"/>
        </w:rPr>
        <w:tab/>
        <w:t>E-meetings, e-correspondence groups.</w:t>
      </w:r>
    </w:p>
    <w:p w14:paraId="4742421A" w14:textId="77777777" w:rsidR="00F268FB" w:rsidRPr="00F268FB" w:rsidRDefault="00F268FB" w:rsidP="00F268FB">
      <w:pPr>
        <w:spacing w:after="60"/>
        <w:ind w:left="1701" w:hanging="567"/>
        <w:contextualSpacing/>
        <w:rPr>
          <w:rFonts w:cstheme="majorBidi"/>
          <w:szCs w:val="22"/>
        </w:rPr>
      </w:pPr>
      <w:r w:rsidRPr="00F268FB">
        <w:rPr>
          <w:rFonts w:cstheme="majorBidi"/>
          <w:szCs w:val="22"/>
        </w:rPr>
        <w:t>1.3</w:t>
      </w:r>
      <w:r w:rsidRPr="00F268FB">
        <w:rPr>
          <w:rFonts w:cstheme="majorBidi"/>
          <w:szCs w:val="22"/>
        </w:rPr>
        <w:tab/>
        <w:t>Increasing involvement of developing countries.</w:t>
      </w:r>
    </w:p>
    <w:p w14:paraId="53EEC8DE" w14:textId="77777777" w:rsidR="00F268FB" w:rsidRPr="00F268FB" w:rsidRDefault="00F268FB" w:rsidP="00F268FB">
      <w:pPr>
        <w:spacing w:after="60"/>
        <w:ind w:left="1701" w:hanging="567"/>
        <w:contextualSpacing/>
        <w:rPr>
          <w:szCs w:val="22"/>
        </w:rPr>
      </w:pPr>
      <w:r w:rsidRPr="00F268FB">
        <w:rPr>
          <w:szCs w:val="22"/>
        </w:rPr>
        <w:t xml:space="preserve">1.4 </w:t>
      </w:r>
      <w:r w:rsidRPr="00F268FB">
        <w:rPr>
          <w:szCs w:val="22"/>
        </w:rPr>
        <w:tab/>
        <w:t>Participation issues, including vice-chairmen tasks.</w:t>
      </w:r>
    </w:p>
    <w:p w14:paraId="0A9CDC4C" w14:textId="77777777" w:rsidR="00F268FB" w:rsidRPr="00F268FB" w:rsidRDefault="00F268FB" w:rsidP="00F268FB">
      <w:pPr>
        <w:spacing w:after="60"/>
        <w:ind w:left="1701" w:hanging="567"/>
        <w:contextualSpacing/>
        <w:rPr>
          <w:rFonts w:cstheme="majorBidi"/>
          <w:szCs w:val="22"/>
        </w:rPr>
      </w:pPr>
      <w:r w:rsidRPr="00F268FB">
        <w:rPr>
          <w:szCs w:val="22"/>
        </w:rPr>
        <w:t>1.5</w:t>
      </w:r>
      <w:r w:rsidRPr="00F268FB">
        <w:rPr>
          <w:szCs w:val="22"/>
        </w:rPr>
        <w:tab/>
        <w:t>Non-member participation.</w:t>
      </w:r>
    </w:p>
    <w:p w14:paraId="3EBBF573" w14:textId="77777777" w:rsidR="00F268FB" w:rsidRPr="00F268FB" w:rsidRDefault="00F268FB" w:rsidP="00F268FB">
      <w:pPr>
        <w:keepNext/>
        <w:ind w:left="567"/>
        <w:contextualSpacing/>
        <w:rPr>
          <w:rFonts w:cstheme="majorBidi"/>
          <w:szCs w:val="22"/>
        </w:rPr>
      </w:pPr>
      <w:r w:rsidRPr="00F268FB">
        <w:rPr>
          <w:rFonts w:cstheme="majorBidi"/>
          <w:szCs w:val="22"/>
        </w:rPr>
        <w:t>2.</w:t>
      </w:r>
      <w:r w:rsidRPr="00F268FB">
        <w:rPr>
          <w:rFonts w:cstheme="majorBidi"/>
          <w:szCs w:val="22"/>
        </w:rPr>
        <w:tab/>
        <w:t>Document handling</w:t>
      </w:r>
    </w:p>
    <w:p w14:paraId="4BC40C33" w14:textId="4461299A" w:rsidR="00F268FB" w:rsidRPr="00F268FB" w:rsidRDefault="00F268FB" w:rsidP="00F268FB">
      <w:pPr>
        <w:spacing w:after="60"/>
        <w:ind w:left="1701" w:hanging="567"/>
        <w:contextualSpacing/>
        <w:rPr>
          <w:rFonts w:cstheme="majorBidi"/>
          <w:szCs w:val="22"/>
        </w:rPr>
      </w:pPr>
      <w:r w:rsidRPr="00F268FB">
        <w:rPr>
          <w:rFonts w:cstheme="majorBidi"/>
          <w:szCs w:val="22"/>
        </w:rPr>
        <w:t>2.1</w:t>
      </w:r>
      <w:r w:rsidRPr="00F268FB">
        <w:rPr>
          <w:rFonts w:cstheme="majorBidi"/>
          <w:szCs w:val="22"/>
        </w:rPr>
        <w:tab/>
        <w:t>Electronic document handling.</w:t>
      </w:r>
    </w:p>
    <w:p w14:paraId="3B14EF0C" w14:textId="5E85C692" w:rsidR="00F268FB" w:rsidRPr="00F268FB" w:rsidRDefault="00F268FB" w:rsidP="00F268FB">
      <w:pPr>
        <w:spacing w:after="60"/>
        <w:ind w:left="1701" w:hanging="567"/>
        <w:contextualSpacing/>
        <w:rPr>
          <w:rFonts w:cstheme="majorBidi"/>
          <w:szCs w:val="22"/>
        </w:rPr>
      </w:pPr>
      <w:r w:rsidRPr="00F268FB">
        <w:rPr>
          <w:rFonts w:cstheme="majorBidi"/>
          <w:szCs w:val="22"/>
        </w:rPr>
        <w:t>2.2</w:t>
      </w:r>
      <w:r w:rsidRPr="00F268FB">
        <w:rPr>
          <w:rFonts w:cstheme="majorBidi"/>
          <w:szCs w:val="22"/>
        </w:rPr>
        <w:tab/>
        <w:t>Deadline for submission of secretariat contributions for action.</w:t>
      </w:r>
    </w:p>
    <w:p w14:paraId="2D237621" w14:textId="4D1FAFC5" w:rsidR="00F268FB" w:rsidRPr="00F268FB" w:rsidRDefault="00F268FB" w:rsidP="00F268FB">
      <w:pPr>
        <w:spacing w:after="60"/>
        <w:ind w:left="1701" w:hanging="567"/>
        <w:contextualSpacing/>
        <w:rPr>
          <w:rFonts w:cstheme="majorBidi"/>
          <w:szCs w:val="22"/>
        </w:rPr>
      </w:pPr>
      <w:r w:rsidRPr="00F268FB">
        <w:rPr>
          <w:rFonts w:cstheme="majorBidi"/>
          <w:szCs w:val="22"/>
        </w:rPr>
        <w:t>2.3</w:t>
      </w:r>
      <w:r w:rsidRPr="00F268FB">
        <w:rPr>
          <w:rFonts w:cstheme="majorBidi"/>
          <w:szCs w:val="22"/>
        </w:rPr>
        <w:tab/>
        <w:t>Electronic access to documents, including the application of the access policy of the documents decided by the Council.</w:t>
      </w:r>
    </w:p>
    <w:p w14:paraId="44779080" w14:textId="77777777" w:rsidR="00F268FB" w:rsidRPr="00F268FB" w:rsidRDefault="00F268FB" w:rsidP="00F268FB">
      <w:pPr>
        <w:keepNext/>
        <w:ind w:left="567"/>
        <w:contextualSpacing/>
        <w:rPr>
          <w:rFonts w:cstheme="majorBidi"/>
          <w:szCs w:val="22"/>
        </w:rPr>
      </w:pPr>
      <w:r w:rsidRPr="00F268FB">
        <w:rPr>
          <w:rFonts w:cstheme="majorBidi"/>
          <w:szCs w:val="22"/>
        </w:rPr>
        <w:lastRenderedPageBreak/>
        <w:t>3.</w:t>
      </w:r>
      <w:r w:rsidRPr="00F268FB">
        <w:rPr>
          <w:rFonts w:cstheme="majorBidi"/>
          <w:szCs w:val="22"/>
        </w:rPr>
        <w:tab/>
        <w:t>Registration</w:t>
      </w:r>
    </w:p>
    <w:p w14:paraId="39EF6766" w14:textId="53A70583" w:rsidR="00F268FB" w:rsidRPr="00F268FB" w:rsidRDefault="00F268FB" w:rsidP="00F268FB">
      <w:pPr>
        <w:spacing w:after="60"/>
        <w:ind w:left="1701" w:hanging="567"/>
        <w:contextualSpacing/>
        <w:rPr>
          <w:rFonts w:cstheme="majorBidi"/>
          <w:szCs w:val="22"/>
        </w:rPr>
      </w:pPr>
      <w:r w:rsidRPr="00F268FB">
        <w:rPr>
          <w:rFonts w:cstheme="majorBidi"/>
          <w:szCs w:val="22"/>
        </w:rPr>
        <w:t>3.1</w:t>
      </w:r>
      <w:r w:rsidRPr="00F268FB">
        <w:rPr>
          <w:rFonts w:cstheme="majorBidi"/>
          <w:szCs w:val="22"/>
        </w:rPr>
        <w:tab/>
        <w:t>Harmonization of registration.</w:t>
      </w:r>
    </w:p>
    <w:p w14:paraId="305E9949" w14:textId="498B507A" w:rsidR="00F268FB" w:rsidRPr="00F268FB" w:rsidRDefault="00F268FB" w:rsidP="00F268FB">
      <w:pPr>
        <w:spacing w:after="60"/>
        <w:ind w:left="1701" w:hanging="567"/>
        <w:contextualSpacing/>
        <w:rPr>
          <w:rFonts w:cstheme="majorBidi"/>
          <w:szCs w:val="22"/>
        </w:rPr>
      </w:pPr>
      <w:r w:rsidRPr="00F268FB">
        <w:rPr>
          <w:rFonts w:cstheme="majorBidi"/>
          <w:szCs w:val="22"/>
        </w:rPr>
        <w:t>3.2</w:t>
      </w:r>
      <w:r w:rsidRPr="00F268FB">
        <w:rPr>
          <w:rFonts w:cstheme="majorBidi"/>
          <w:szCs w:val="22"/>
        </w:rPr>
        <w:tab/>
        <w:t>Registration for participation in meetings, including for remote participants.</w:t>
      </w:r>
    </w:p>
    <w:p w14:paraId="382B4835" w14:textId="77777777" w:rsidR="00F268FB" w:rsidRPr="00F268FB" w:rsidRDefault="00F268FB" w:rsidP="00F268FB">
      <w:pPr>
        <w:keepNext/>
        <w:keepLines/>
        <w:ind w:left="1361" w:hanging="794"/>
        <w:contextualSpacing/>
        <w:rPr>
          <w:rFonts w:eastAsia="SimSun" w:cstheme="majorBidi"/>
          <w:szCs w:val="22"/>
        </w:rPr>
      </w:pPr>
      <w:r w:rsidRPr="00F268FB">
        <w:rPr>
          <w:rFonts w:cstheme="majorBidi"/>
          <w:szCs w:val="22"/>
        </w:rPr>
        <w:t>4.</w:t>
      </w:r>
      <w:r w:rsidRPr="00F268FB">
        <w:rPr>
          <w:rFonts w:cstheme="majorBidi"/>
          <w:szCs w:val="22"/>
        </w:rPr>
        <w:tab/>
      </w:r>
      <w:r w:rsidRPr="00F268FB">
        <w:rPr>
          <w:rFonts w:eastAsia="SimSun" w:cstheme="majorBidi"/>
          <w:szCs w:val="22"/>
        </w:rPr>
        <w:t>Improvement of the ITU webpages in official ITU languages taking into account best practices.</w:t>
      </w:r>
    </w:p>
    <w:p w14:paraId="6F7DE60E" w14:textId="009B22A7" w:rsidR="00F268FB" w:rsidRPr="00F268FB" w:rsidRDefault="00F268FB" w:rsidP="00F268FB">
      <w:pPr>
        <w:keepNext/>
        <w:keepLines/>
        <w:spacing w:after="60"/>
        <w:ind w:left="1701" w:hanging="567"/>
        <w:contextualSpacing/>
        <w:rPr>
          <w:rFonts w:eastAsia="SimSun" w:cstheme="majorBidi"/>
          <w:szCs w:val="22"/>
        </w:rPr>
      </w:pPr>
      <w:r w:rsidRPr="00F268FB">
        <w:rPr>
          <w:szCs w:val="22"/>
        </w:rPr>
        <w:t>4.1</w:t>
      </w:r>
      <w:r w:rsidRPr="00F268FB">
        <w:rPr>
          <w:szCs w:val="22"/>
        </w:rPr>
        <w:tab/>
        <w:t>Language issues</w:t>
      </w:r>
    </w:p>
    <w:p w14:paraId="4BEF87E5" w14:textId="77777777" w:rsidR="00F268FB" w:rsidRPr="00F268FB" w:rsidRDefault="00F268FB" w:rsidP="00F268FB">
      <w:pPr>
        <w:pStyle w:val="PlainText"/>
        <w:tabs>
          <w:tab w:val="left" w:pos="567"/>
          <w:tab w:val="left" w:pos="1134"/>
          <w:tab w:val="left" w:pos="1701"/>
        </w:tabs>
        <w:ind w:left="1361" w:hanging="794"/>
        <w:contextualSpacing/>
        <w:rPr>
          <w:rFonts w:asciiTheme="minorHAnsi" w:hAnsiTheme="minorHAnsi" w:cs="Times New Roman"/>
          <w:szCs w:val="22"/>
          <w:lang w:val="en-GB"/>
        </w:rPr>
      </w:pPr>
      <w:r w:rsidRPr="00F268FB">
        <w:rPr>
          <w:rFonts w:asciiTheme="minorHAnsi" w:hAnsiTheme="minorHAnsi"/>
          <w:szCs w:val="22"/>
          <w:lang w:val="en-GB"/>
        </w:rPr>
        <w:t>5</w:t>
      </w:r>
      <w:r w:rsidRPr="00F268FB">
        <w:rPr>
          <w:rFonts w:asciiTheme="minorHAnsi" w:hAnsiTheme="minorHAnsi" w:cs="Times New Roman"/>
          <w:szCs w:val="22"/>
          <w:lang w:val="en-GB"/>
        </w:rPr>
        <w:t>.</w:t>
      </w:r>
      <w:r w:rsidRPr="00F268FB">
        <w:rPr>
          <w:rFonts w:asciiTheme="minorHAnsi" w:hAnsiTheme="minorHAnsi" w:cs="Times New Roman"/>
          <w:szCs w:val="22"/>
          <w:lang w:val="en-GB"/>
        </w:rPr>
        <w:tab/>
      </w:r>
      <w:r w:rsidRPr="00F268FB">
        <w:rPr>
          <w:rFonts w:asciiTheme="minorHAnsi" w:hAnsiTheme="minorHAnsi" w:cs="Times New Roman"/>
          <w:szCs w:val="22"/>
          <w:lang w:eastAsia="ja-JP"/>
        </w:rPr>
        <w:t>Meeting planning.</w:t>
      </w:r>
    </w:p>
    <w:p w14:paraId="3F3D29BE" w14:textId="77777777" w:rsidR="00F268FB" w:rsidRPr="00F268FB" w:rsidRDefault="00F268FB" w:rsidP="00F268FB">
      <w:pPr>
        <w:pStyle w:val="PlainText"/>
        <w:tabs>
          <w:tab w:val="left" w:pos="567"/>
          <w:tab w:val="left" w:pos="1134"/>
          <w:tab w:val="left" w:pos="1701"/>
        </w:tabs>
        <w:overflowPunct w:val="0"/>
        <w:autoSpaceDE w:val="0"/>
        <w:autoSpaceDN w:val="0"/>
        <w:adjustRightInd w:val="0"/>
        <w:spacing w:after="60"/>
        <w:ind w:left="1701" w:hanging="567"/>
        <w:contextualSpacing/>
        <w:textAlignment w:val="baseline"/>
        <w:rPr>
          <w:rFonts w:asciiTheme="minorHAnsi" w:hAnsiTheme="minorHAnsi"/>
          <w:szCs w:val="22"/>
        </w:rPr>
      </w:pPr>
      <w:r w:rsidRPr="00F268FB">
        <w:rPr>
          <w:rFonts w:asciiTheme="minorHAnsi" w:hAnsiTheme="minorHAnsi" w:cs="Times New Roman"/>
          <w:szCs w:val="22"/>
          <w:lang w:val="en-GB"/>
        </w:rPr>
        <w:t>5.1</w:t>
      </w:r>
      <w:r w:rsidRPr="00F268FB">
        <w:rPr>
          <w:rFonts w:asciiTheme="minorHAnsi" w:hAnsiTheme="minorHAnsi" w:cs="Times New Roman"/>
          <w:szCs w:val="22"/>
          <w:lang w:val="en-GB"/>
        </w:rPr>
        <w:tab/>
        <w:t>Preparation to conferences and meetings.</w:t>
      </w:r>
    </w:p>
    <w:p w14:paraId="287737CA" w14:textId="77777777" w:rsidR="00F268FB" w:rsidRPr="00F268FB" w:rsidRDefault="00F268FB" w:rsidP="00F268FB">
      <w:pPr>
        <w:spacing w:after="60"/>
        <w:ind w:left="1701" w:hanging="567"/>
        <w:contextualSpacing/>
        <w:rPr>
          <w:rFonts w:cstheme="majorBidi"/>
          <w:szCs w:val="22"/>
        </w:rPr>
      </w:pPr>
      <w:r w:rsidRPr="00F268FB">
        <w:rPr>
          <w:rFonts w:cstheme="majorBidi"/>
          <w:szCs w:val="22"/>
        </w:rPr>
        <w:t>5.2</w:t>
      </w:r>
      <w:r w:rsidRPr="00F268FB">
        <w:rPr>
          <w:rFonts w:cstheme="majorBidi"/>
          <w:szCs w:val="22"/>
        </w:rPr>
        <w:tab/>
        <w:t>Further enhancement and optimization of seminars/symposia/workshops/capacity building.</w:t>
      </w:r>
    </w:p>
    <w:p w14:paraId="00A40B17" w14:textId="77777777" w:rsidR="00F268FB" w:rsidRPr="00F268FB" w:rsidRDefault="00F268FB" w:rsidP="00F268FB">
      <w:pPr>
        <w:spacing w:after="60"/>
        <w:ind w:left="1701" w:hanging="567"/>
        <w:contextualSpacing/>
        <w:rPr>
          <w:rFonts w:cstheme="majorBidi"/>
          <w:szCs w:val="22"/>
        </w:rPr>
      </w:pPr>
      <w:r w:rsidRPr="00F268FB">
        <w:rPr>
          <w:rFonts w:cstheme="majorBidi"/>
          <w:szCs w:val="22"/>
        </w:rPr>
        <w:t>5.3</w:t>
      </w:r>
      <w:r w:rsidRPr="00F268FB">
        <w:rPr>
          <w:rFonts w:cstheme="majorBidi"/>
          <w:szCs w:val="22"/>
        </w:rPr>
        <w:tab/>
      </w:r>
      <w:r w:rsidRPr="00F268FB">
        <w:rPr>
          <w:szCs w:val="22"/>
          <w:lang w:eastAsia="ja-JP"/>
        </w:rPr>
        <w:t>Collaboration and cooperation on events.</w:t>
      </w:r>
    </w:p>
    <w:p w14:paraId="304A2881" w14:textId="77777777" w:rsidR="00F268FB" w:rsidRPr="00F268FB" w:rsidRDefault="00F268FB" w:rsidP="00F268FB">
      <w:pPr>
        <w:pStyle w:val="PlainText"/>
        <w:tabs>
          <w:tab w:val="left" w:pos="567"/>
          <w:tab w:val="left" w:pos="1134"/>
          <w:tab w:val="left" w:pos="1701"/>
        </w:tabs>
        <w:spacing w:after="0"/>
        <w:ind w:left="1361" w:hanging="794"/>
        <w:contextualSpacing/>
        <w:rPr>
          <w:rFonts w:asciiTheme="minorHAnsi" w:hAnsiTheme="minorHAnsi" w:cs="Times New Roman"/>
          <w:szCs w:val="22"/>
          <w:lang w:eastAsia="ja-JP"/>
        </w:rPr>
      </w:pPr>
      <w:r w:rsidRPr="00F268FB">
        <w:rPr>
          <w:rFonts w:asciiTheme="minorHAnsi" w:hAnsiTheme="minorHAnsi" w:cs="Times New Roman"/>
          <w:szCs w:val="22"/>
          <w:lang w:val="en-GB" w:eastAsia="ja-JP"/>
        </w:rPr>
        <w:t>6</w:t>
      </w:r>
      <w:r w:rsidRPr="00F268FB">
        <w:rPr>
          <w:rFonts w:asciiTheme="minorHAnsi" w:hAnsiTheme="minorHAnsi" w:cs="Times New Roman"/>
          <w:szCs w:val="22"/>
          <w:lang w:eastAsia="ja-JP"/>
        </w:rPr>
        <w:t>.</w:t>
      </w:r>
      <w:r w:rsidRPr="00F268FB">
        <w:rPr>
          <w:rFonts w:asciiTheme="minorHAnsi" w:hAnsiTheme="minorHAnsi" w:cs="Times New Roman"/>
          <w:szCs w:val="22"/>
          <w:lang w:eastAsia="ja-JP"/>
        </w:rPr>
        <w:tab/>
        <w:t>Streamlined establishment procedures of inter-Sector Rapporteur group (IRG).</w:t>
      </w:r>
    </w:p>
    <w:p w14:paraId="2800AAB7" w14:textId="77777777" w:rsidR="00F268FB" w:rsidRPr="00F268FB" w:rsidRDefault="00F268FB" w:rsidP="00F268FB">
      <w:pPr>
        <w:spacing w:after="0"/>
        <w:ind w:left="1701" w:hanging="567"/>
        <w:contextualSpacing/>
        <w:rPr>
          <w:rFonts w:cstheme="majorBidi"/>
          <w:szCs w:val="22"/>
        </w:rPr>
      </w:pPr>
      <w:r w:rsidRPr="00F268FB">
        <w:rPr>
          <w:rFonts w:cstheme="majorBidi"/>
          <w:szCs w:val="22"/>
        </w:rPr>
        <w:t>6.1</w:t>
      </w:r>
      <w:r w:rsidRPr="00F268FB">
        <w:rPr>
          <w:rFonts w:cstheme="majorBidi"/>
          <w:szCs w:val="22"/>
        </w:rPr>
        <w:tab/>
        <w:t>Liaison statement handling of Inter-Sector Rapporteur Groups</w:t>
      </w:r>
    </w:p>
    <w:p w14:paraId="3CA20942" w14:textId="77777777" w:rsidR="00F268FB" w:rsidRPr="00F268FB" w:rsidRDefault="00F268FB" w:rsidP="00F268FB">
      <w:pPr>
        <w:pStyle w:val="PlainText"/>
        <w:keepNext/>
        <w:tabs>
          <w:tab w:val="left" w:pos="567"/>
          <w:tab w:val="left" w:pos="1134"/>
          <w:tab w:val="left" w:pos="1701"/>
        </w:tabs>
        <w:ind w:left="1361" w:hanging="794"/>
        <w:contextualSpacing/>
        <w:rPr>
          <w:rFonts w:asciiTheme="minorHAnsi" w:hAnsiTheme="minorHAnsi" w:cstheme="majorBidi"/>
          <w:szCs w:val="22"/>
        </w:rPr>
      </w:pPr>
      <w:r w:rsidRPr="00F268FB">
        <w:rPr>
          <w:rFonts w:asciiTheme="minorHAnsi" w:hAnsiTheme="minorHAnsi" w:cs="Times New Roman"/>
          <w:szCs w:val="22"/>
          <w:lang w:eastAsia="ja-JP"/>
        </w:rPr>
        <w:t>7.</w:t>
      </w:r>
      <w:r w:rsidRPr="00F268FB">
        <w:rPr>
          <w:rFonts w:asciiTheme="minorHAnsi" w:hAnsiTheme="minorHAnsi" w:cs="Times New Roman"/>
          <w:szCs w:val="22"/>
          <w:lang w:eastAsia="ja-JP"/>
        </w:rPr>
        <w:tab/>
        <w:t xml:space="preserve">Identification of technical issues with common interests. </w:t>
      </w:r>
    </w:p>
    <w:p w14:paraId="2F49F1D8" w14:textId="77777777" w:rsidR="00F268FB" w:rsidRPr="00F268FB" w:rsidRDefault="00F268FB" w:rsidP="00F268FB">
      <w:pPr>
        <w:pStyle w:val="PlainText"/>
        <w:tabs>
          <w:tab w:val="left" w:pos="567"/>
          <w:tab w:val="left" w:pos="1134"/>
          <w:tab w:val="left" w:pos="1701"/>
        </w:tabs>
        <w:spacing w:after="0"/>
        <w:ind w:left="1361" w:hanging="794"/>
        <w:contextualSpacing/>
        <w:rPr>
          <w:rFonts w:asciiTheme="minorHAnsi" w:hAnsiTheme="minorHAnsi" w:cs="Times New Roman"/>
          <w:szCs w:val="22"/>
          <w:lang w:eastAsia="ja-JP"/>
        </w:rPr>
      </w:pPr>
      <w:r w:rsidRPr="00F268FB">
        <w:rPr>
          <w:rFonts w:asciiTheme="minorHAnsi" w:hAnsiTheme="minorHAnsi" w:cs="Times New Roman"/>
          <w:szCs w:val="22"/>
          <w:lang w:eastAsia="ja-JP"/>
        </w:rPr>
        <w:t>8.</w:t>
      </w:r>
      <w:r w:rsidRPr="00F268FB">
        <w:rPr>
          <w:rFonts w:asciiTheme="minorHAnsi" w:hAnsiTheme="minorHAnsi" w:cs="Times New Roman"/>
          <w:szCs w:val="22"/>
          <w:lang w:eastAsia="ja-JP"/>
        </w:rPr>
        <w:tab/>
        <w:t>Exchange of information on related study activities</w:t>
      </w:r>
    </w:p>
    <w:p w14:paraId="42CFCAED" w14:textId="77777777" w:rsidR="00F268FB" w:rsidRPr="00F268FB" w:rsidRDefault="00F268FB" w:rsidP="00F268FB">
      <w:pPr>
        <w:spacing w:after="0"/>
        <w:ind w:left="1701" w:hanging="567"/>
        <w:contextualSpacing/>
        <w:rPr>
          <w:rFonts w:cstheme="majorBidi"/>
          <w:szCs w:val="22"/>
        </w:rPr>
      </w:pPr>
      <w:r w:rsidRPr="00F268FB">
        <w:rPr>
          <w:rFonts w:cstheme="majorBidi"/>
          <w:szCs w:val="22"/>
        </w:rPr>
        <w:t>8.1</w:t>
      </w:r>
      <w:r w:rsidRPr="00F268FB">
        <w:rPr>
          <w:rFonts w:cstheme="majorBidi"/>
          <w:szCs w:val="22"/>
        </w:rPr>
        <w:tab/>
        <w:t>Improvement of interaction between working parties and study groups of different Sectors.</w:t>
      </w:r>
    </w:p>
    <w:p w14:paraId="38A8CFAC" w14:textId="77777777" w:rsidR="00F268FB" w:rsidRPr="00F268FB" w:rsidRDefault="00F268FB" w:rsidP="00F268FB">
      <w:pPr>
        <w:pStyle w:val="PlainText"/>
        <w:tabs>
          <w:tab w:val="left" w:pos="567"/>
          <w:tab w:val="left" w:pos="1134"/>
          <w:tab w:val="left" w:pos="1701"/>
        </w:tabs>
        <w:ind w:left="567"/>
        <w:contextualSpacing/>
        <w:rPr>
          <w:rFonts w:asciiTheme="minorHAnsi" w:hAnsiTheme="minorHAnsi" w:cs="Times New Roman"/>
          <w:szCs w:val="22"/>
          <w:lang w:val="en-GB"/>
        </w:rPr>
      </w:pPr>
      <w:r w:rsidRPr="00F268FB">
        <w:rPr>
          <w:rFonts w:asciiTheme="minorHAnsi" w:hAnsiTheme="minorHAnsi" w:cs="Times New Roman"/>
          <w:szCs w:val="22"/>
          <w:lang w:eastAsia="ja-JP"/>
        </w:rPr>
        <w:t>9.</w:t>
      </w:r>
      <w:r w:rsidRPr="00F268FB">
        <w:rPr>
          <w:rFonts w:asciiTheme="minorHAnsi" w:hAnsiTheme="minorHAnsi" w:cs="Times New Roman"/>
          <w:szCs w:val="22"/>
          <w:lang w:eastAsia="ja-JP"/>
        </w:rPr>
        <w:tab/>
      </w:r>
      <w:r w:rsidRPr="00F268FB">
        <w:rPr>
          <w:rFonts w:asciiTheme="minorHAnsi" w:hAnsiTheme="minorHAnsi" w:cs="Times New Roman"/>
          <w:szCs w:val="22"/>
          <w:lang w:val="en-GB"/>
        </w:rPr>
        <w:t>Working methods (Resolution 1) of the three Sectors and application of best practices.</w:t>
      </w:r>
    </w:p>
    <w:p w14:paraId="3F33D0B4" w14:textId="77777777" w:rsidR="00F268FB" w:rsidRPr="00F268FB" w:rsidRDefault="00F268FB" w:rsidP="00F268FB">
      <w:pPr>
        <w:pStyle w:val="PlainText"/>
        <w:tabs>
          <w:tab w:val="left" w:pos="567"/>
          <w:tab w:val="left" w:pos="1134"/>
          <w:tab w:val="left" w:pos="1701"/>
        </w:tabs>
        <w:ind w:left="567"/>
        <w:rPr>
          <w:rFonts w:asciiTheme="minorHAnsi" w:hAnsiTheme="minorHAnsi" w:cs="Times New Roman"/>
          <w:szCs w:val="22"/>
          <w:lang w:val="en-GB"/>
        </w:rPr>
      </w:pPr>
      <w:r w:rsidRPr="00F268FB">
        <w:rPr>
          <w:rFonts w:asciiTheme="minorHAnsi" w:hAnsiTheme="minorHAnsi" w:cs="Times New Roman"/>
          <w:szCs w:val="22"/>
          <w:lang w:val="en-GB"/>
        </w:rPr>
        <w:t>10.</w:t>
      </w:r>
      <w:r w:rsidRPr="00F268FB">
        <w:rPr>
          <w:rFonts w:asciiTheme="minorHAnsi" w:hAnsiTheme="minorHAnsi" w:cs="Times New Roman"/>
          <w:szCs w:val="22"/>
          <w:lang w:val="en-GB"/>
        </w:rPr>
        <w:tab/>
        <w:t>Sector membership.</w:t>
      </w:r>
    </w:p>
    <w:p w14:paraId="41DA4D5A" w14:textId="77777777" w:rsidR="00F268FB" w:rsidRDefault="00F268FB" w:rsidP="00F268FB">
      <w:pPr>
        <w:pStyle w:val="ListParagraph"/>
        <w:numPr>
          <w:ilvl w:val="1"/>
          <w:numId w:val="36"/>
        </w:numPr>
        <w:tabs>
          <w:tab w:val="clear" w:pos="1134"/>
          <w:tab w:val="clear" w:pos="1871"/>
          <w:tab w:val="clear" w:pos="2268"/>
        </w:tabs>
        <w:overflowPunct/>
        <w:autoSpaceDE/>
        <w:autoSpaceDN/>
        <w:adjustRightInd/>
        <w:snapToGrid w:val="0"/>
        <w:spacing w:before="120"/>
        <w:ind w:left="0" w:firstLine="0"/>
        <w:contextualSpacing w:val="0"/>
        <w:jc w:val="both"/>
        <w:textAlignment w:val="auto"/>
      </w:pPr>
      <w:r>
        <w:t>The following issues of mutual interest to the three Sectors are also covered by current (or recently formed) Council Working Groups and Expert Groups, with corresponding resolutions indicated under specific subject areas of Annex 2:</w:t>
      </w:r>
    </w:p>
    <w:p w14:paraId="6ED645DE" w14:textId="77777777" w:rsidR="00F268FB"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t>Financial and Human Resources</w:t>
      </w:r>
    </w:p>
    <w:p w14:paraId="2D433D20" w14:textId="77777777" w:rsidR="00F268FB"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t>International Internet-related Public Policy Issues</w:t>
      </w:r>
    </w:p>
    <w:p w14:paraId="078CC8A0" w14:textId="77777777" w:rsidR="00F268FB"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t>WSIS and SDGs</w:t>
      </w:r>
    </w:p>
    <w:p w14:paraId="3EF946FD" w14:textId="77777777" w:rsidR="00F268FB"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t>Child Online Protection</w:t>
      </w:r>
    </w:p>
    <w:p w14:paraId="7C253FD5" w14:textId="77777777" w:rsidR="00F268FB"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t>Use of the Six Official Languages of the Union</w:t>
      </w:r>
    </w:p>
    <w:p w14:paraId="3C0ECC1C" w14:textId="77777777" w:rsidR="00F268FB"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t>Decision 482 (c</w:t>
      </w:r>
      <w:r w:rsidRPr="00FA0295">
        <w:t xml:space="preserve">ost </w:t>
      </w:r>
      <w:r>
        <w:t>r</w:t>
      </w:r>
      <w:r w:rsidRPr="00FA0295">
        <w:t>ecovery for satellite network filings</w:t>
      </w:r>
      <w:r>
        <w:t>)</w:t>
      </w:r>
    </w:p>
    <w:p w14:paraId="1EB92039" w14:textId="77777777" w:rsidR="00F268FB"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t>ITRs</w:t>
      </w:r>
    </w:p>
    <w:p w14:paraId="3F15DA36" w14:textId="77777777" w:rsidR="00F268FB" w:rsidRPr="00FA0295" w:rsidRDefault="00F268FB" w:rsidP="00F268FB">
      <w:pPr>
        <w:pStyle w:val="ListParagraph"/>
        <w:numPr>
          <w:ilvl w:val="0"/>
          <w:numId w:val="37"/>
        </w:numPr>
        <w:tabs>
          <w:tab w:val="clear" w:pos="1134"/>
          <w:tab w:val="clear" w:pos="1871"/>
          <w:tab w:val="clear" w:pos="2268"/>
        </w:tabs>
        <w:overflowPunct/>
        <w:autoSpaceDE/>
        <w:autoSpaceDN/>
        <w:adjustRightInd/>
        <w:snapToGrid w:val="0"/>
        <w:spacing w:before="120"/>
        <w:jc w:val="both"/>
        <w:textAlignment w:val="auto"/>
      </w:pPr>
      <w:r w:rsidRPr="00FA0295">
        <w:t>Stra</w:t>
      </w:r>
      <w:r>
        <w:t>t</w:t>
      </w:r>
      <w:r w:rsidRPr="00FA0295">
        <w:t>egic an</w:t>
      </w:r>
      <w:r>
        <w:t>d Financial Plans of the Union.</w:t>
      </w:r>
    </w:p>
    <w:p w14:paraId="078110BA" w14:textId="77777777" w:rsidR="006E065B" w:rsidRDefault="006E065B" w:rsidP="004D378F">
      <w:pPr>
        <w:pStyle w:val="NormalWeb"/>
        <w:shd w:val="clear" w:color="auto" w:fill="FFFFFF"/>
        <w:spacing w:before="120" w:beforeAutospacing="0" w:after="0" w:afterAutospacing="0"/>
        <w:rPr>
          <w:rFonts w:asciiTheme="minorHAnsi" w:hAnsiTheme="minorHAnsi" w:cs="Segoe UI"/>
          <w:lang w:val="en-US"/>
        </w:rPr>
      </w:pPr>
    </w:p>
    <w:p w14:paraId="220B38EA" w14:textId="2F996FCB" w:rsidR="00753970" w:rsidRPr="00BD46AC" w:rsidRDefault="00346951" w:rsidP="00346951">
      <w:pPr>
        <w:jc w:val="center"/>
        <w:rPr>
          <w:lang w:val="en-US"/>
        </w:rPr>
      </w:pPr>
      <w:bookmarkStart w:id="17" w:name="_Toc460838088"/>
      <w:r w:rsidRPr="00BD46AC">
        <w:rPr>
          <w:lang w:val="en-US"/>
        </w:rPr>
        <w:t>________________</w:t>
      </w:r>
      <w:bookmarkEnd w:id="17"/>
      <w:r w:rsidR="00551B6E">
        <w:rPr>
          <w:lang w:val="en-US"/>
        </w:rPr>
        <w:t>___</w:t>
      </w:r>
    </w:p>
    <w:sectPr w:rsidR="00753970" w:rsidRPr="00BD46AC" w:rsidSect="009B7AE7">
      <w:headerReference w:type="default" r:id="rId20"/>
      <w:footerReference w:type="even" r:id="rId21"/>
      <w:pgSz w:w="11907" w:h="16840" w:code="9"/>
      <w:pgMar w:top="1440" w:right="1134" w:bottom="1134" w:left="1134" w:header="720" w:footer="720" w:gutter="0"/>
      <w:paperSrc w:first="7" w:other="7"/>
      <w:pgNumType w:fmt="numberInDash"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205AD" w14:textId="77777777" w:rsidR="00C70D0A" w:rsidRDefault="00C70D0A">
      <w:r>
        <w:separator/>
      </w:r>
    </w:p>
  </w:endnote>
  <w:endnote w:type="continuationSeparator" w:id="0">
    <w:p w14:paraId="312A2562" w14:textId="77777777" w:rsidR="00C70D0A" w:rsidRDefault="00C7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493FD" w14:textId="77777777" w:rsidR="00E45D05" w:rsidRDefault="00E45D05">
    <w:pPr>
      <w:framePr w:wrap="around" w:vAnchor="text" w:hAnchor="margin" w:xAlign="right" w:y="1"/>
    </w:pPr>
    <w:r>
      <w:fldChar w:fldCharType="begin"/>
    </w:r>
    <w:r>
      <w:instrText xml:space="preserve">PAGE  </w:instrText>
    </w:r>
    <w:r>
      <w:fldChar w:fldCharType="end"/>
    </w:r>
  </w:p>
  <w:p w14:paraId="1C3E3EC2" w14:textId="258E13C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CE19EB">
      <w:rPr>
        <w:noProof/>
        <w:lang w:val="en-US"/>
      </w:rPr>
      <w:t>P:\SUP_ADM\2-EVENTS-BDT\TDAG\TDAG-2019\DOCUMENTS\ISCG_E.docx</w:t>
    </w:r>
    <w:r>
      <w:fldChar w:fldCharType="end"/>
    </w:r>
    <w:r w:rsidRPr="0041348E">
      <w:rPr>
        <w:lang w:val="en-US"/>
      </w:rPr>
      <w:tab/>
    </w:r>
    <w:r>
      <w:fldChar w:fldCharType="begin"/>
    </w:r>
    <w:r>
      <w:instrText xml:space="preserve"> SAVEDATE \@ DD.MM.YY </w:instrText>
    </w:r>
    <w:r>
      <w:fldChar w:fldCharType="separate"/>
    </w:r>
    <w:r w:rsidR="00FF34B9">
      <w:rPr>
        <w:noProof/>
      </w:rPr>
      <w:t>26.09.19</w:t>
    </w:r>
    <w:r>
      <w:fldChar w:fldCharType="end"/>
    </w:r>
    <w:r w:rsidRPr="0041348E">
      <w:rPr>
        <w:lang w:val="en-US"/>
      </w:rPr>
      <w:tab/>
    </w:r>
    <w:r>
      <w:fldChar w:fldCharType="begin"/>
    </w:r>
    <w:r>
      <w:instrText xml:space="preserve"> PRINTDATE \@ DD.MM.YY </w:instrText>
    </w:r>
    <w:r>
      <w:fldChar w:fldCharType="separate"/>
    </w:r>
    <w:r w:rsidR="00CE19EB">
      <w:rPr>
        <w:noProof/>
      </w:rPr>
      <w:t>21.02.19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889A3" w14:textId="77777777" w:rsidR="00C70D0A" w:rsidRDefault="00C70D0A">
      <w:r>
        <w:rPr>
          <w:b/>
        </w:rPr>
        <w:t>_______________</w:t>
      </w:r>
    </w:p>
  </w:footnote>
  <w:footnote w:type="continuationSeparator" w:id="0">
    <w:p w14:paraId="476C25BA" w14:textId="77777777" w:rsidR="00C70D0A" w:rsidRDefault="00C70D0A">
      <w:r>
        <w:continuationSeparator/>
      </w:r>
    </w:p>
  </w:footnote>
  <w:footnote w:id="1">
    <w:p w14:paraId="4F5253F4" w14:textId="18E7D258" w:rsidR="00056CD2" w:rsidRDefault="00056CD2" w:rsidP="00056CD2">
      <w:pPr>
        <w:pStyle w:val="FootnoteText"/>
        <w:rPr>
          <w:rFonts w:eastAsiaTheme="minorEastAsia"/>
          <w:lang w:val="en-US"/>
        </w:rPr>
      </w:pPr>
    </w:p>
  </w:footnote>
  <w:footnote w:id="2">
    <w:p w14:paraId="04E0CF1E" w14:textId="5FB0A959" w:rsidR="00346951" w:rsidRPr="00757F38" w:rsidRDefault="00346951" w:rsidP="00346951">
      <w:pPr>
        <w:pStyle w:val="FootnoteText"/>
        <w:rPr>
          <w:sz w:val="20"/>
          <w:lang w:val="en-US"/>
        </w:rPr>
      </w:pPr>
      <w:r w:rsidRPr="00757F38">
        <w:rPr>
          <w:rStyle w:val="FootnoteReference"/>
          <w:sz w:val="20"/>
        </w:rPr>
        <w:footnoteRef/>
      </w:r>
      <w:r w:rsidRPr="00757F38">
        <w:rPr>
          <w:sz w:val="20"/>
        </w:rPr>
        <w:t xml:space="preserve"> Formerly known as the Inter-Sector Coordination Team on Issues of Mutual Interest (ISCT).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635925"/>
      <w:docPartObj>
        <w:docPartGallery w:val="Page Numbers (Top of Page)"/>
        <w:docPartUnique/>
      </w:docPartObj>
    </w:sdtPr>
    <w:sdtEndPr>
      <w:rPr>
        <w:noProof/>
      </w:rPr>
    </w:sdtEndPr>
    <w:sdtContent>
      <w:p w14:paraId="508C2503" w14:textId="093C16EA" w:rsidR="009B7AE7" w:rsidRDefault="009B7AE7">
        <w:pPr>
          <w:pStyle w:val="Header"/>
        </w:pPr>
        <w:r w:rsidRPr="009B7AE7">
          <w:rPr>
            <w:rFonts w:asciiTheme="majorBidi" w:hAnsiTheme="majorBidi" w:cstheme="majorBidi"/>
          </w:rPr>
          <w:fldChar w:fldCharType="begin"/>
        </w:r>
        <w:r w:rsidRPr="009B7AE7">
          <w:rPr>
            <w:rFonts w:asciiTheme="majorBidi" w:hAnsiTheme="majorBidi" w:cstheme="majorBidi"/>
          </w:rPr>
          <w:instrText xml:space="preserve"> PAGE   \* MERGEFORMAT </w:instrText>
        </w:r>
        <w:r w:rsidRPr="009B7AE7">
          <w:rPr>
            <w:rFonts w:asciiTheme="majorBidi" w:hAnsiTheme="majorBidi" w:cstheme="majorBidi"/>
          </w:rPr>
          <w:fldChar w:fldCharType="separate"/>
        </w:r>
        <w:r w:rsidR="00FF34B9">
          <w:rPr>
            <w:rFonts w:asciiTheme="majorBidi" w:hAnsiTheme="majorBidi" w:cstheme="majorBidi"/>
            <w:noProof/>
          </w:rPr>
          <w:t>- 7 -</w:t>
        </w:r>
        <w:r w:rsidRPr="009B7AE7">
          <w:rPr>
            <w:rFonts w:asciiTheme="majorBidi" w:hAnsiTheme="majorBidi" w:cstheme="majorBidi"/>
            <w:noProof/>
          </w:rPr>
          <w:fldChar w:fldCharType="end"/>
        </w:r>
        <w:r>
          <w:rPr>
            <w:rFonts w:asciiTheme="majorBidi" w:hAnsiTheme="majorBidi" w:cstheme="majorBidi"/>
            <w:noProof/>
          </w:rPr>
          <w:br/>
          <w:t>TSAG-TD589</w:t>
        </w:r>
      </w:p>
    </w:sdtContent>
  </w:sdt>
  <w:p w14:paraId="68FC97C6" w14:textId="34B49AD4" w:rsidR="006D1A91" w:rsidRPr="009B7AE7" w:rsidRDefault="006D1A91" w:rsidP="009B7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09F0C49"/>
    <w:multiLevelType w:val="hybridMultilevel"/>
    <w:tmpl w:val="98BC1356"/>
    <w:lvl w:ilvl="0" w:tplc="4A74B008">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B28F5"/>
    <w:multiLevelType w:val="multilevel"/>
    <w:tmpl w:val="0F36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949AF"/>
    <w:multiLevelType w:val="multilevel"/>
    <w:tmpl w:val="F98C1F32"/>
    <w:lvl w:ilvl="0">
      <w:start w:val="5"/>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5"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A4C0580"/>
    <w:multiLevelType w:val="hybridMultilevel"/>
    <w:tmpl w:val="7820D6B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FD0D00"/>
    <w:multiLevelType w:val="hybridMultilevel"/>
    <w:tmpl w:val="70B671F2"/>
    <w:lvl w:ilvl="0" w:tplc="7C508986">
      <w:start w:val="10"/>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AA62AF"/>
    <w:multiLevelType w:val="multilevel"/>
    <w:tmpl w:val="801C1032"/>
    <w:lvl w:ilvl="0">
      <w:start w:val="9"/>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9C65A2"/>
    <w:multiLevelType w:val="hybridMultilevel"/>
    <w:tmpl w:val="0528140A"/>
    <w:lvl w:ilvl="0" w:tplc="08090011">
      <w:start w:val="1"/>
      <w:numFmt w:val="decimal"/>
      <w:lvlText w:val="%1)"/>
      <w:lvlJc w:val="left"/>
      <w:pPr>
        <w:ind w:left="360" w:hanging="360"/>
      </w:pPr>
      <w:rPr>
        <w:rFonts w:eastAsia="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4C217F"/>
    <w:multiLevelType w:val="multilevel"/>
    <w:tmpl w:val="6AEC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51487D"/>
    <w:multiLevelType w:val="multilevel"/>
    <w:tmpl w:val="B464EC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F4704A7"/>
    <w:multiLevelType w:val="multilevel"/>
    <w:tmpl w:val="685AE2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FC26616"/>
    <w:multiLevelType w:val="hybridMultilevel"/>
    <w:tmpl w:val="319C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B48AF"/>
    <w:multiLevelType w:val="multilevel"/>
    <w:tmpl w:val="5E625D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4C753E"/>
    <w:multiLevelType w:val="hybridMultilevel"/>
    <w:tmpl w:val="1A4C2D14"/>
    <w:lvl w:ilvl="0" w:tplc="9CDC48F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90E7C08"/>
    <w:multiLevelType w:val="hybridMultilevel"/>
    <w:tmpl w:val="3494A43C"/>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17" w15:restartNumberingAfterBreak="0">
    <w:nsid w:val="40972E3E"/>
    <w:multiLevelType w:val="hybridMultilevel"/>
    <w:tmpl w:val="8200D9D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A4F0709"/>
    <w:multiLevelType w:val="hybridMultilevel"/>
    <w:tmpl w:val="3AD6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00B93"/>
    <w:multiLevelType w:val="hybridMultilevel"/>
    <w:tmpl w:val="55005578"/>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5D49E1"/>
    <w:multiLevelType w:val="multilevel"/>
    <w:tmpl w:val="1E76E4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4A1617F"/>
    <w:multiLevelType w:val="hybridMultilevel"/>
    <w:tmpl w:val="45F669EE"/>
    <w:lvl w:ilvl="0" w:tplc="D5BAE092">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54738E"/>
    <w:multiLevelType w:val="hybridMultilevel"/>
    <w:tmpl w:val="D3AA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82EB4"/>
    <w:multiLevelType w:val="hybridMultilevel"/>
    <w:tmpl w:val="FA4CDA50"/>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781690"/>
    <w:multiLevelType w:val="hybridMultilevel"/>
    <w:tmpl w:val="B69E8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6" w15:restartNumberingAfterBreak="0">
    <w:nsid w:val="5E8F602E"/>
    <w:multiLevelType w:val="multilevel"/>
    <w:tmpl w:val="B13CCE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F4B0B61"/>
    <w:multiLevelType w:val="hybridMultilevel"/>
    <w:tmpl w:val="993C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B73F3"/>
    <w:multiLevelType w:val="hybridMultilevel"/>
    <w:tmpl w:val="AB3465E2"/>
    <w:lvl w:ilvl="0" w:tplc="0F1027DC">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4E85CED"/>
    <w:multiLevelType w:val="hybridMultilevel"/>
    <w:tmpl w:val="5DC019CC"/>
    <w:lvl w:ilvl="0" w:tplc="9CDC48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993F06"/>
    <w:multiLevelType w:val="hybridMultilevel"/>
    <w:tmpl w:val="1DF810B6"/>
    <w:lvl w:ilvl="0" w:tplc="9CDC48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367ADB"/>
    <w:multiLevelType w:val="multilevel"/>
    <w:tmpl w:val="E0CA2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25A3197"/>
    <w:multiLevelType w:val="hybridMultilevel"/>
    <w:tmpl w:val="6864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B0100"/>
    <w:multiLevelType w:val="multilevel"/>
    <w:tmpl w:val="F8F0966E"/>
    <w:lvl w:ilvl="0">
      <w:start w:val="1"/>
      <w:numFmt w:val="bullet"/>
      <w:lvlText w:val=""/>
      <w:lvlJc w:val="left"/>
      <w:pPr>
        <w:ind w:left="1080" w:hanging="360"/>
      </w:pPr>
      <w:rPr>
        <w:rFonts w:ascii="Symbol" w:hAnsi="Symbol" w:hint="default"/>
        <w:i w:val="0"/>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5" w15:restartNumberingAfterBreak="0">
    <w:nsid w:val="748B548F"/>
    <w:multiLevelType w:val="hybridMultilevel"/>
    <w:tmpl w:val="90D00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5C77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1"/>
  </w:num>
  <w:num w:numId="4">
    <w:abstractNumId w:val="5"/>
  </w:num>
  <w:num w:numId="5">
    <w:abstractNumId w:val="25"/>
  </w:num>
  <w:num w:numId="6">
    <w:abstractNumId w:val="23"/>
  </w:num>
  <w:num w:numId="7">
    <w:abstractNumId w:val="3"/>
  </w:num>
  <w:num w:numId="8">
    <w:abstractNumId w:val="35"/>
  </w:num>
  <w:num w:numId="9">
    <w:abstractNumId w:val="33"/>
  </w:num>
  <w:num w:numId="10">
    <w:abstractNumId w:val="27"/>
  </w:num>
  <w:num w:numId="11">
    <w:abstractNumId w:val="28"/>
  </w:num>
  <w:num w:numId="12">
    <w:abstractNumId w:val="19"/>
  </w:num>
  <w:num w:numId="13">
    <w:abstractNumId w:val="16"/>
  </w:num>
  <w:num w:numId="14">
    <w:abstractNumId w:val="22"/>
  </w:num>
  <w:num w:numId="15">
    <w:abstractNumId w:val="14"/>
  </w:num>
  <w:num w:numId="16">
    <w:abstractNumId w:val="34"/>
  </w:num>
  <w:num w:numId="17">
    <w:abstractNumId w:val="8"/>
  </w:num>
  <w:num w:numId="18">
    <w:abstractNumId w:val="9"/>
  </w:num>
  <w:num w:numId="19">
    <w:abstractNumId w:val="32"/>
  </w:num>
  <w:num w:numId="20">
    <w:abstractNumId w:val="10"/>
  </w:num>
  <w:num w:numId="21">
    <w:abstractNumId w:val="17"/>
  </w:num>
  <w:num w:numId="22">
    <w:abstractNumId w:val="24"/>
  </w:num>
  <w:num w:numId="23">
    <w:abstractNumId w:val="18"/>
  </w:num>
  <w:num w:numId="24">
    <w:abstractNumId w:val="13"/>
  </w:num>
  <w:num w:numId="25">
    <w:abstractNumId w:val="4"/>
  </w:num>
  <w:num w:numId="26">
    <w:abstractNumId w:val="6"/>
  </w:num>
  <w:num w:numId="27">
    <w:abstractNumId w:val="26"/>
  </w:num>
  <w:num w:numId="28">
    <w:abstractNumId w:val="36"/>
  </w:num>
  <w:num w:numId="29">
    <w:abstractNumId w:val="29"/>
  </w:num>
  <w:num w:numId="30">
    <w:abstractNumId w:val="30"/>
  </w:num>
  <w:num w:numId="31">
    <w:abstractNumId w:val="15"/>
  </w:num>
  <w:num w:numId="32">
    <w:abstractNumId w:val="7"/>
  </w:num>
  <w:num w:numId="33">
    <w:abstractNumId w:val="12"/>
  </w:num>
  <w:num w:numId="34">
    <w:abstractNumId w:val="20"/>
  </w:num>
  <w:num w:numId="35">
    <w:abstractNumId w:val="2"/>
  </w:num>
  <w:num w:numId="36">
    <w:abstractNumId w:val="1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1E93"/>
    <w:rsid w:val="000041EA"/>
    <w:rsid w:val="00005B63"/>
    <w:rsid w:val="000063DE"/>
    <w:rsid w:val="00022A29"/>
    <w:rsid w:val="00031642"/>
    <w:rsid w:val="000355FD"/>
    <w:rsid w:val="00051E39"/>
    <w:rsid w:val="00056CD2"/>
    <w:rsid w:val="000667DC"/>
    <w:rsid w:val="00067717"/>
    <w:rsid w:val="00075C63"/>
    <w:rsid w:val="00077239"/>
    <w:rsid w:val="00080905"/>
    <w:rsid w:val="000822BE"/>
    <w:rsid w:val="0008334F"/>
    <w:rsid w:val="00086491"/>
    <w:rsid w:val="00091346"/>
    <w:rsid w:val="000974EF"/>
    <w:rsid w:val="000A0536"/>
    <w:rsid w:val="000A0A0B"/>
    <w:rsid w:val="000A14F6"/>
    <w:rsid w:val="000A5701"/>
    <w:rsid w:val="000B1234"/>
    <w:rsid w:val="000B14A3"/>
    <w:rsid w:val="000B722F"/>
    <w:rsid w:val="000D0C8B"/>
    <w:rsid w:val="000D2FD9"/>
    <w:rsid w:val="000D4875"/>
    <w:rsid w:val="000D6C15"/>
    <w:rsid w:val="000E7EDD"/>
    <w:rsid w:val="000F6134"/>
    <w:rsid w:val="000F73FF"/>
    <w:rsid w:val="001028EB"/>
    <w:rsid w:val="001056CB"/>
    <w:rsid w:val="00114CF7"/>
    <w:rsid w:val="00123B68"/>
    <w:rsid w:val="00126F2E"/>
    <w:rsid w:val="00136046"/>
    <w:rsid w:val="00146F6F"/>
    <w:rsid w:val="00147DA1"/>
    <w:rsid w:val="00152957"/>
    <w:rsid w:val="00152C20"/>
    <w:rsid w:val="00157E2D"/>
    <w:rsid w:val="00170809"/>
    <w:rsid w:val="00175B36"/>
    <w:rsid w:val="001841BE"/>
    <w:rsid w:val="00184439"/>
    <w:rsid w:val="00187AEB"/>
    <w:rsid w:val="00187BD9"/>
    <w:rsid w:val="00190B55"/>
    <w:rsid w:val="0019272E"/>
    <w:rsid w:val="00194CFB"/>
    <w:rsid w:val="00195A3A"/>
    <w:rsid w:val="001B2ED3"/>
    <w:rsid w:val="001B7EA3"/>
    <w:rsid w:val="001C1D23"/>
    <w:rsid w:val="001C3B5F"/>
    <w:rsid w:val="001C6CC2"/>
    <w:rsid w:val="001C6F1A"/>
    <w:rsid w:val="001D058F"/>
    <w:rsid w:val="001D10E9"/>
    <w:rsid w:val="001D4841"/>
    <w:rsid w:val="001E18FC"/>
    <w:rsid w:val="001E252D"/>
    <w:rsid w:val="001E786F"/>
    <w:rsid w:val="002009EA"/>
    <w:rsid w:val="00202CA0"/>
    <w:rsid w:val="00206396"/>
    <w:rsid w:val="0021427F"/>
    <w:rsid w:val="002154A6"/>
    <w:rsid w:val="002162CD"/>
    <w:rsid w:val="002208C5"/>
    <w:rsid w:val="002255B3"/>
    <w:rsid w:val="00232E17"/>
    <w:rsid w:val="00235BA4"/>
    <w:rsid w:val="00236E8A"/>
    <w:rsid w:val="002418DA"/>
    <w:rsid w:val="00242567"/>
    <w:rsid w:val="002440AF"/>
    <w:rsid w:val="00261F3D"/>
    <w:rsid w:val="00271316"/>
    <w:rsid w:val="0027136B"/>
    <w:rsid w:val="00274FE7"/>
    <w:rsid w:val="00277D6B"/>
    <w:rsid w:val="0028165F"/>
    <w:rsid w:val="00296313"/>
    <w:rsid w:val="002B3C84"/>
    <w:rsid w:val="002B5016"/>
    <w:rsid w:val="002D1EAD"/>
    <w:rsid w:val="002D58BE"/>
    <w:rsid w:val="002E0474"/>
    <w:rsid w:val="002F0C67"/>
    <w:rsid w:val="002F431E"/>
    <w:rsid w:val="00300B65"/>
    <w:rsid w:val="003013EE"/>
    <w:rsid w:val="00311954"/>
    <w:rsid w:val="00323893"/>
    <w:rsid w:val="00330CDD"/>
    <w:rsid w:val="00334223"/>
    <w:rsid w:val="003363B2"/>
    <w:rsid w:val="003376C2"/>
    <w:rsid w:val="00337CA1"/>
    <w:rsid w:val="00345A9C"/>
    <w:rsid w:val="00346951"/>
    <w:rsid w:val="00346DB2"/>
    <w:rsid w:val="00353D05"/>
    <w:rsid w:val="00355F0E"/>
    <w:rsid w:val="00364BC6"/>
    <w:rsid w:val="0037079E"/>
    <w:rsid w:val="00375F06"/>
    <w:rsid w:val="00376AB6"/>
    <w:rsid w:val="00377BD3"/>
    <w:rsid w:val="00384088"/>
    <w:rsid w:val="0038489B"/>
    <w:rsid w:val="0039169B"/>
    <w:rsid w:val="00395E4E"/>
    <w:rsid w:val="003975D4"/>
    <w:rsid w:val="003A12A1"/>
    <w:rsid w:val="003A7F8C"/>
    <w:rsid w:val="003B41E7"/>
    <w:rsid w:val="003B4E7E"/>
    <w:rsid w:val="003B532E"/>
    <w:rsid w:val="003B6F14"/>
    <w:rsid w:val="003C2A71"/>
    <w:rsid w:val="003C6CD1"/>
    <w:rsid w:val="003C77F2"/>
    <w:rsid w:val="003D0F8B"/>
    <w:rsid w:val="003D47E1"/>
    <w:rsid w:val="003E76B9"/>
    <w:rsid w:val="003E7D6C"/>
    <w:rsid w:val="004028A5"/>
    <w:rsid w:val="00405FAB"/>
    <w:rsid w:val="00412780"/>
    <w:rsid w:val="004131D4"/>
    <w:rsid w:val="0041348E"/>
    <w:rsid w:val="00415E9A"/>
    <w:rsid w:val="00415EA7"/>
    <w:rsid w:val="00416FF7"/>
    <w:rsid w:val="00427CCE"/>
    <w:rsid w:val="004305F2"/>
    <w:rsid w:val="00435753"/>
    <w:rsid w:val="004367E7"/>
    <w:rsid w:val="004430F0"/>
    <w:rsid w:val="00447308"/>
    <w:rsid w:val="0046241F"/>
    <w:rsid w:val="00466BE9"/>
    <w:rsid w:val="004730A6"/>
    <w:rsid w:val="004765FF"/>
    <w:rsid w:val="00492075"/>
    <w:rsid w:val="004969AD"/>
    <w:rsid w:val="004A48E0"/>
    <w:rsid w:val="004A4D1D"/>
    <w:rsid w:val="004B13CB"/>
    <w:rsid w:val="004B4FDF"/>
    <w:rsid w:val="004C26E5"/>
    <w:rsid w:val="004D378F"/>
    <w:rsid w:val="004D5D5C"/>
    <w:rsid w:val="004E13E6"/>
    <w:rsid w:val="004F22CB"/>
    <w:rsid w:val="004F5DCF"/>
    <w:rsid w:val="004F65AF"/>
    <w:rsid w:val="004F7D61"/>
    <w:rsid w:val="0050139F"/>
    <w:rsid w:val="005040D2"/>
    <w:rsid w:val="0051032C"/>
    <w:rsid w:val="00521223"/>
    <w:rsid w:val="0052283D"/>
    <w:rsid w:val="0052453A"/>
    <w:rsid w:val="00524DF1"/>
    <w:rsid w:val="00536D49"/>
    <w:rsid w:val="0055140B"/>
    <w:rsid w:val="00551B6E"/>
    <w:rsid w:val="00553AEB"/>
    <w:rsid w:val="00554C4F"/>
    <w:rsid w:val="00555DA0"/>
    <w:rsid w:val="005572DB"/>
    <w:rsid w:val="00561D72"/>
    <w:rsid w:val="005634B0"/>
    <w:rsid w:val="005673C3"/>
    <w:rsid w:val="00573A46"/>
    <w:rsid w:val="005769BF"/>
    <w:rsid w:val="005843AB"/>
    <w:rsid w:val="00584F0C"/>
    <w:rsid w:val="00585620"/>
    <w:rsid w:val="005903DF"/>
    <w:rsid w:val="005964AB"/>
    <w:rsid w:val="005B3488"/>
    <w:rsid w:val="005B44F5"/>
    <w:rsid w:val="005C01D4"/>
    <w:rsid w:val="005C099A"/>
    <w:rsid w:val="005C31A5"/>
    <w:rsid w:val="005C616B"/>
    <w:rsid w:val="005C66B8"/>
    <w:rsid w:val="005D6724"/>
    <w:rsid w:val="005E10C9"/>
    <w:rsid w:val="005E61DD"/>
    <w:rsid w:val="005E6321"/>
    <w:rsid w:val="005E7FFA"/>
    <w:rsid w:val="005F0B50"/>
    <w:rsid w:val="005F653E"/>
    <w:rsid w:val="005F690D"/>
    <w:rsid w:val="006023DF"/>
    <w:rsid w:val="00604803"/>
    <w:rsid w:val="006048BC"/>
    <w:rsid w:val="00620068"/>
    <w:rsid w:val="00627B19"/>
    <w:rsid w:val="00637F78"/>
    <w:rsid w:val="0064322F"/>
    <w:rsid w:val="00657DE0"/>
    <w:rsid w:val="0066096D"/>
    <w:rsid w:val="0067199F"/>
    <w:rsid w:val="00677048"/>
    <w:rsid w:val="00685313"/>
    <w:rsid w:val="0068776A"/>
    <w:rsid w:val="006909FF"/>
    <w:rsid w:val="00691B03"/>
    <w:rsid w:val="006A3A12"/>
    <w:rsid w:val="006A6E9B"/>
    <w:rsid w:val="006B7C2A"/>
    <w:rsid w:val="006B7EDC"/>
    <w:rsid w:val="006C23DA"/>
    <w:rsid w:val="006C3582"/>
    <w:rsid w:val="006D1A91"/>
    <w:rsid w:val="006D6EAC"/>
    <w:rsid w:val="006E065B"/>
    <w:rsid w:val="006E3D45"/>
    <w:rsid w:val="006F1991"/>
    <w:rsid w:val="006F50B2"/>
    <w:rsid w:val="00703208"/>
    <w:rsid w:val="00707D4C"/>
    <w:rsid w:val="007149F9"/>
    <w:rsid w:val="00716F38"/>
    <w:rsid w:val="00733A30"/>
    <w:rsid w:val="00736FBD"/>
    <w:rsid w:val="00745AEE"/>
    <w:rsid w:val="007479EA"/>
    <w:rsid w:val="00750F10"/>
    <w:rsid w:val="007525D8"/>
    <w:rsid w:val="00753970"/>
    <w:rsid w:val="0075694A"/>
    <w:rsid w:val="00757F38"/>
    <w:rsid w:val="0076332E"/>
    <w:rsid w:val="00764EFA"/>
    <w:rsid w:val="00772676"/>
    <w:rsid w:val="007742CA"/>
    <w:rsid w:val="007763E8"/>
    <w:rsid w:val="007866D3"/>
    <w:rsid w:val="00795835"/>
    <w:rsid w:val="007A756C"/>
    <w:rsid w:val="007B010F"/>
    <w:rsid w:val="007B20F8"/>
    <w:rsid w:val="007B4B66"/>
    <w:rsid w:val="007B599A"/>
    <w:rsid w:val="007C3E83"/>
    <w:rsid w:val="007D06F0"/>
    <w:rsid w:val="007D0EA9"/>
    <w:rsid w:val="007D45E3"/>
    <w:rsid w:val="007D5320"/>
    <w:rsid w:val="007F2F0A"/>
    <w:rsid w:val="007F735C"/>
    <w:rsid w:val="00800972"/>
    <w:rsid w:val="00804475"/>
    <w:rsid w:val="00811633"/>
    <w:rsid w:val="00821CEF"/>
    <w:rsid w:val="0082690D"/>
    <w:rsid w:val="00832828"/>
    <w:rsid w:val="0083285F"/>
    <w:rsid w:val="0083645A"/>
    <w:rsid w:val="00840B0F"/>
    <w:rsid w:val="00843F2C"/>
    <w:rsid w:val="008440A9"/>
    <w:rsid w:val="0084568A"/>
    <w:rsid w:val="00846915"/>
    <w:rsid w:val="00866362"/>
    <w:rsid w:val="00867493"/>
    <w:rsid w:val="008711AE"/>
    <w:rsid w:val="00872FC8"/>
    <w:rsid w:val="00875710"/>
    <w:rsid w:val="00876324"/>
    <w:rsid w:val="008801D3"/>
    <w:rsid w:val="00882DD4"/>
    <w:rsid w:val="008845D0"/>
    <w:rsid w:val="008A7BFF"/>
    <w:rsid w:val="008B43F2"/>
    <w:rsid w:val="008B61EA"/>
    <w:rsid w:val="008B6CFF"/>
    <w:rsid w:val="008C0468"/>
    <w:rsid w:val="008E38BE"/>
    <w:rsid w:val="008E39F7"/>
    <w:rsid w:val="008E42B3"/>
    <w:rsid w:val="008E78D4"/>
    <w:rsid w:val="008F5229"/>
    <w:rsid w:val="008F7AD5"/>
    <w:rsid w:val="009046C3"/>
    <w:rsid w:val="00904D92"/>
    <w:rsid w:val="00910B26"/>
    <w:rsid w:val="00922804"/>
    <w:rsid w:val="009254A7"/>
    <w:rsid w:val="009274B4"/>
    <w:rsid w:val="00930028"/>
    <w:rsid w:val="009322AF"/>
    <w:rsid w:val="00932726"/>
    <w:rsid w:val="00934EA2"/>
    <w:rsid w:val="00935E6E"/>
    <w:rsid w:val="009409B2"/>
    <w:rsid w:val="00944A5C"/>
    <w:rsid w:val="00947EB6"/>
    <w:rsid w:val="00952A66"/>
    <w:rsid w:val="00960C5E"/>
    <w:rsid w:val="00961B68"/>
    <w:rsid w:val="00962652"/>
    <w:rsid w:val="00967AA8"/>
    <w:rsid w:val="00971203"/>
    <w:rsid w:val="00977A55"/>
    <w:rsid w:val="00987DDA"/>
    <w:rsid w:val="00997854"/>
    <w:rsid w:val="009A0D2D"/>
    <w:rsid w:val="009B6FD5"/>
    <w:rsid w:val="009B7AE7"/>
    <w:rsid w:val="009C0EED"/>
    <w:rsid w:val="009C4019"/>
    <w:rsid w:val="009C4154"/>
    <w:rsid w:val="009C469D"/>
    <w:rsid w:val="009C56E5"/>
    <w:rsid w:val="009D1405"/>
    <w:rsid w:val="009D21F3"/>
    <w:rsid w:val="009D3081"/>
    <w:rsid w:val="009D3FF3"/>
    <w:rsid w:val="009D419D"/>
    <w:rsid w:val="009E5FC8"/>
    <w:rsid w:val="009E687A"/>
    <w:rsid w:val="009F5134"/>
    <w:rsid w:val="009F52C6"/>
    <w:rsid w:val="00A03C5C"/>
    <w:rsid w:val="00A04E81"/>
    <w:rsid w:val="00A066F1"/>
    <w:rsid w:val="00A10315"/>
    <w:rsid w:val="00A141AF"/>
    <w:rsid w:val="00A16D29"/>
    <w:rsid w:val="00A179D6"/>
    <w:rsid w:val="00A20E5E"/>
    <w:rsid w:val="00A30305"/>
    <w:rsid w:val="00A30BA5"/>
    <w:rsid w:val="00A31D2D"/>
    <w:rsid w:val="00A4600A"/>
    <w:rsid w:val="00A538A6"/>
    <w:rsid w:val="00A54C25"/>
    <w:rsid w:val="00A5672C"/>
    <w:rsid w:val="00A710E7"/>
    <w:rsid w:val="00A7372E"/>
    <w:rsid w:val="00A90668"/>
    <w:rsid w:val="00A93B85"/>
    <w:rsid w:val="00AA0B18"/>
    <w:rsid w:val="00AA666F"/>
    <w:rsid w:val="00AB16CB"/>
    <w:rsid w:val="00AB450A"/>
    <w:rsid w:val="00AB4927"/>
    <w:rsid w:val="00AC034F"/>
    <w:rsid w:val="00AC5F64"/>
    <w:rsid w:val="00AD1BE7"/>
    <w:rsid w:val="00AE0F26"/>
    <w:rsid w:val="00B004E5"/>
    <w:rsid w:val="00B06A9E"/>
    <w:rsid w:val="00B129D4"/>
    <w:rsid w:val="00B15F9D"/>
    <w:rsid w:val="00B25AA1"/>
    <w:rsid w:val="00B46A30"/>
    <w:rsid w:val="00B639E9"/>
    <w:rsid w:val="00B651F4"/>
    <w:rsid w:val="00B724AF"/>
    <w:rsid w:val="00B817CD"/>
    <w:rsid w:val="00B911B2"/>
    <w:rsid w:val="00B92249"/>
    <w:rsid w:val="00B93246"/>
    <w:rsid w:val="00B94FA5"/>
    <w:rsid w:val="00B951D0"/>
    <w:rsid w:val="00B95DA2"/>
    <w:rsid w:val="00BA1EAA"/>
    <w:rsid w:val="00BA40AE"/>
    <w:rsid w:val="00BA538A"/>
    <w:rsid w:val="00BA5B4C"/>
    <w:rsid w:val="00BB29C8"/>
    <w:rsid w:val="00BB3A95"/>
    <w:rsid w:val="00BC0382"/>
    <w:rsid w:val="00BD157D"/>
    <w:rsid w:val="00BD179F"/>
    <w:rsid w:val="00BD46AC"/>
    <w:rsid w:val="00BD62C6"/>
    <w:rsid w:val="00BD65E1"/>
    <w:rsid w:val="00BE49DB"/>
    <w:rsid w:val="00BF0FA2"/>
    <w:rsid w:val="00BF1106"/>
    <w:rsid w:val="00BF2666"/>
    <w:rsid w:val="00BF41BF"/>
    <w:rsid w:val="00C0018F"/>
    <w:rsid w:val="00C03B69"/>
    <w:rsid w:val="00C20466"/>
    <w:rsid w:val="00C214ED"/>
    <w:rsid w:val="00C21BE0"/>
    <w:rsid w:val="00C234E6"/>
    <w:rsid w:val="00C261B7"/>
    <w:rsid w:val="00C3105D"/>
    <w:rsid w:val="00C324A8"/>
    <w:rsid w:val="00C34369"/>
    <w:rsid w:val="00C36221"/>
    <w:rsid w:val="00C410BC"/>
    <w:rsid w:val="00C413BF"/>
    <w:rsid w:val="00C44353"/>
    <w:rsid w:val="00C4748F"/>
    <w:rsid w:val="00C4763C"/>
    <w:rsid w:val="00C518DA"/>
    <w:rsid w:val="00C54517"/>
    <w:rsid w:val="00C64C29"/>
    <w:rsid w:val="00C64CD8"/>
    <w:rsid w:val="00C70392"/>
    <w:rsid w:val="00C70D0A"/>
    <w:rsid w:val="00C76F3D"/>
    <w:rsid w:val="00C811C8"/>
    <w:rsid w:val="00C845EF"/>
    <w:rsid w:val="00C846EB"/>
    <w:rsid w:val="00C94908"/>
    <w:rsid w:val="00C97C68"/>
    <w:rsid w:val="00CA1A47"/>
    <w:rsid w:val="00CA3D13"/>
    <w:rsid w:val="00CC247A"/>
    <w:rsid w:val="00CC2ACE"/>
    <w:rsid w:val="00CE19EB"/>
    <w:rsid w:val="00CE5E47"/>
    <w:rsid w:val="00CE726F"/>
    <w:rsid w:val="00CF020F"/>
    <w:rsid w:val="00CF0764"/>
    <w:rsid w:val="00CF1D39"/>
    <w:rsid w:val="00CF2B5B"/>
    <w:rsid w:val="00D067C9"/>
    <w:rsid w:val="00D06DAF"/>
    <w:rsid w:val="00D14CE0"/>
    <w:rsid w:val="00D212CF"/>
    <w:rsid w:val="00D240ED"/>
    <w:rsid w:val="00D33ACF"/>
    <w:rsid w:val="00D3460C"/>
    <w:rsid w:val="00D36333"/>
    <w:rsid w:val="00D4498E"/>
    <w:rsid w:val="00D44C79"/>
    <w:rsid w:val="00D5651D"/>
    <w:rsid w:val="00D656CB"/>
    <w:rsid w:val="00D72DD9"/>
    <w:rsid w:val="00D74898"/>
    <w:rsid w:val="00D7605C"/>
    <w:rsid w:val="00D801ED"/>
    <w:rsid w:val="00D83BF5"/>
    <w:rsid w:val="00D85009"/>
    <w:rsid w:val="00D8593B"/>
    <w:rsid w:val="00D87C86"/>
    <w:rsid w:val="00D925C2"/>
    <w:rsid w:val="00D936BC"/>
    <w:rsid w:val="00D9621A"/>
    <w:rsid w:val="00D96530"/>
    <w:rsid w:val="00D96B4B"/>
    <w:rsid w:val="00DA2345"/>
    <w:rsid w:val="00DA453A"/>
    <w:rsid w:val="00DA7078"/>
    <w:rsid w:val="00DB25CC"/>
    <w:rsid w:val="00DC2CEF"/>
    <w:rsid w:val="00DD08B4"/>
    <w:rsid w:val="00DD44AF"/>
    <w:rsid w:val="00DE0182"/>
    <w:rsid w:val="00DE2AC3"/>
    <w:rsid w:val="00DE434C"/>
    <w:rsid w:val="00DE5692"/>
    <w:rsid w:val="00DE7105"/>
    <w:rsid w:val="00DE7C83"/>
    <w:rsid w:val="00DF6AC2"/>
    <w:rsid w:val="00DF6F8E"/>
    <w:rsid w:val="00E03C94"/>
    <w:rsid w:val="00E07105"/>
    <w:rsid w:val="00E10AC5"/>
    <w:rsid w:val="00E13118"/>
    <w:rsid w:val="00E172F5"/>
    <w:rsid w:val="00E22198"/>
    <w:rsid w:val="00E26226"/>
    <w:rsid w:val="00E27475"/>
    <w:rsid w:val="00E2769A"/>
    <w:rsid w:val="00E347EF"/>
    <w:rsid w:val="00E35DD9"/>
    <w:rsid w:val="00E360B9"/>
    <w:rsid w:val="00E37B53"/>
    <w:rsid w:val="00E4165C"/>
    <w:rsid w:val="00E4291E"/>
    <w:rsid w:val="00E4421F"/>
    <w:rsid w:val="00E45D05"/>
    <w:rsid w:val="00E51D90"/>
    <w:rsid w:val="00E55816"/>
    <w:rsid w:val="00E55AEF"/>
    <w:rsid w:val="00E60BCC"/>
    <w:rsid w:val="00E66D9A"/>
    <w:rsid w:val="00E7322D"/>
    <w:rsid w:val="00E73C5C"/>
    <w:rsid w:val="00E82A6A"/>
    <w:rsid w:val="00E84AC1"/>
    <w:rsid w:val="00E94828"/>
    <w:rsid w:val="00E976C1"/>
    <w:rsid w:val="00EA12E5"/>
    <w:rsid w:val="00EA2C4F"/>
    <w:rsid w:val="00EA3846"/>
    <w:rsid w:val="00EA55DF"/>
    <w:rsid w:val="00EB07E8"/>
    <w:rsid w:val="00EB446C"/>
    <w:rsid w:val="00EC7F94"/>
    <w:rsid w:val="00ED536A"/>
    <w:rsid w:val="00ED5702"/>
    <w:rsid w:val="00EE768C"/>
    <w:rsid w:val="00EF21AE"/>
    <w:rsid w:val="00EF5560"/>
    <w:rsid w:val="00EF69CF"/>
    <w:rsid w:val="00EF6DEE"/>
    <w:rsid w:val="00F00506"/>
    <w:rsid w:val="00F02766"/>
    <w:rsid w:val="00F0349E"/>
    <w:rsid w:val="00F04067"/>
    <w:rsid w:val="00F05BD4"/>
    <w:rsid w:val="00F10EF9"/>
    <w:rsid w:val="00F11A98"/>
    <w:rsid w:val="00F12E70"/>
    <w:rsid w:val="00F21A1D"/>
    <w:rsid w:val="00F26304"/>
    <w:rsid w:val="00F268FB"/>
    <w:rsid w:val="00F37D92"/>
    <w:rsid w:val="00F47B66"/>
    <w:rsid w:val="00F638E3"/>
    <w:rsid w:val="00F65C19"/>
    <w:rsid w:val="00F70F69"/>
    <w:rsid w:val="00F73D16"/>
    <w:rsid w:val="00F94621"/>
    <w:rsid w:val="00FA0F25"/>
    <w:rsid w:val="00FA6FFD"/>
    <w:rsid w:val="00FB6C0F"/>
    <w:rsid w:val="00FC3E63"/>
    <w:rsid w:val="00FD2546"/>
    <w:rsid w:val="00FD772E"/>
    <w:rsid w:val="00FD7849"/>
    <w:rsid w:val="00FE25B3"/>
    <w:rsid w:val="00FE3926"/>
    <w:rsid w:val="00FE78C7"/>
    <w:rsid w:val="00FF047C"/>
    <w:rsid w:val="00FF0DF8"/>
    <w:rsid w:val="00FF34B9"/>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6C7E27"/>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FFA"/>
    <w:pPr>
      <w:tabs>
        <w:tab w:val="left" w:pos="1134"/>
        <w:tab w:val="left" w:pos="1871"/>
        <w:tab w:val="left" w:pos="2268"/>
      </w:tabs>
      <w:overflowPunct w:val="0"/>
      <w:autoSpaceDE w:val="0"/>
      <w:autoSpaceDN w:val="0"/>
      <w:adjustRightInd w:val="0"/>
      <w:spacing w:after="120"/>
      <w:textAlignment w:val="baseline"/>
    </w:pPr>
    <w:rPr>
      <w:rFonts w:asciiTheme="minorHAnsi" w:hAnsiTheme="minorHAnsi"/>
      <w:sz w:val="22"/>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jc w:val="center"/>
    </w:pPr>
    <w:rPr>
      <w:caps/>
      <w:sz w:val="20"/>
    </w:rPr>
  </w:style>
  <w:style w:type="paragraph" w:customStyle="1" w:styleId="Figuretitle">
    <w:name w:val="Figure_title"/>
    <w:basedOn w:val="Normal"/>
    <w:next w:val="Normal"/>
    <w:rsid w:val="002154A6"/>
    <w:pPr>
      <w:keepNext/>
      <w:keepLines/>
      <w:spacing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Style 12,(NECG) Footnote Reference,Style 124,o,fr,Style 13,FR,Style 17,Appel note de bas de p + 11 pt,Italic,Footnote,Appel note de bas de p1"/>
    <w:basedOn w:val="DefaultParagraphFont"/>
    <w:uiPriority w:val="99"/>
    <w:rsid w:val="002154A6"/>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qFormat/>
    <w:rsid w:val="00745AEE"/>
    <w:rPr>
      <w:rFonts w:ascii="Times New Roman" w:hAnsi="Times New Roman"/>
      <w:sz w:val="24"/>
      <w:lang w:val="en-GB" w:eastAsia="en-US"/>
    </w:rPr>
  </w:style>
  <w:style w:type="paragraph" w:styleId="Header">
    <w:name w:val="header"/>
    <w:basedOn w:val="Normal"/>
    <w:link w:val="HeaderChar"/>
    <w:uiPriority w:val="99"/>
    <w:rsid w:val="00745AEE"/>
    <w:pPr>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jc w:val="center"/>
    </w:pPr>
    <w:rPr>
      <w:b/>
      <w:sz w:val="20"/>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rsid w:val="006E3D45"/>
  </w:style>
  <w:style w:type="paragraph" w:customStyle="1" w:styleId="AppArttitle">
    <w:name w:val="App_Art_title"/>
    <w:basedOn w:val="Arttitle"/>
    <w:qFormat/>
    <w:rsid w:val="00A066F1"/>
  </w:style>
  <w:style w:type="paragraph" w:styleId="ListParagraph">
    <w:name w:val="List Paragraph"/>
    <w:aliases w:val="Recommendation,List Paragraph11"/>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textAlignment w:val="auto"/>
    </w:pPr>
    <w:rPr>
      <w:b/>
      <w:sz w:val="28"/>
      <w:lang w:val="en-US"/>
    </w:rPr>
  </w:style>
  <w:style w:type="paragraph" w:styleId="BalloonText">
    <w:name w:val="Balloon Text"/>
    <w:basedOn w:val="Normal"/>
    <w:link w:val="BalloonTextChar"/>
    <w:rsid w:val="004131D4"/>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line="240" w:lineRule="atLeast"/>
    </w:pPr>
    <w:rPr>
      <w:rFonts w:cstheme="minorHAnsi"/>
      <w:b/>
      <w:szCs w:val="24"/>
    </w:rPr>
  </w:style>
  <w:style w:type="character" w:styleId="Hyperlink">
    <w:name w:val="Hyperlink"/>
    <w:aliases w:val="CEO_Hyperlink,超级链接,超?级链,Style 58,超????,하이퍼링크2,超链接1"/>
    <w:qFormat/>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EONormal">
    <w:name w:val="CEO_Normal"/>
    <w:link w:val="CEONormalChar"/>
    <w:rsid w:val="00175B36"/>
    <w:rPr>
      <w:rFonts w:ascii="Verdana" w:eastAsia="SimSun" w:hAnsi="Verdana"/>
      <w:sz w:val="19"/>
      <w:szCs w:val="19"/>
      <w:lang w:val="en-GB" w:eastAsia="en-US"/>
    </w:rPr>
  </w:style>
  <w:style w:type="character" w:customStyle="1" w:styleId="CEONormalChar">
    <w:name w:val="CEO_Normal Char"/>
    <w:link w:val="CEONormal"/>
    <w:rsid w:val="00175B36"/>
    <w:rPr>
      <w:rFonts w:ascii="Verdana" w:eastAsia="SimSun" w:hAnsi="Verdana"/>
      <w:sz w:val="19"/>
      <w:szCs w:val="19"/>
      <w:lang w:val="en-GB" w:eastAsia="en-US"/>
    </w:rPr>
  </w:style>
  <w:style w:type="paragraph" w:styleId="PlainText">
    <w:name w:val="Plain Text"/>
    <w:basedOn w:val="Normal"/>
    <w:link w:val="PlainTextChar"/>
    <w:uiPriority w:val="99"/>
    <w:unhideWhenUsed/>
    <w:rsid w:val="00175B36"/>
    <w:pPr>
      <w:tabs>
        <w:tab w:val="clear" w:pos="1134"/>
        <w:tab w:val="clear" w:pos="1871"/>
        <w:tab w:val="clear" w:pos="2268"/>
      </w:tabs>
      <w:overflowPunct/>
      <w:autoSpaceDE/>
      <w:autoSpaceDN/>
      <w:adjustRightInd/>
      <w:textAlignment w:val="auto"/>
    </w:pPr>
    <w:rPr>
      <w:rFonts w:ascii="Calibri" w:eastAsia="SimSun" w:hAnsi="Calibri" w:cs="Arial"/>
      <w:szCs w:val="21"/>
      <w:lang w:val="en-US" w:eastAsia="zh-CN"/>
    </w:rPr>
  </w:style>
  <w:style w:type="character" w:customStyle="1" w:styleId="PlainTextChar">
    <w:name w:val="Plain Text Char"/>
    <w:basedOn w:val="DefaultParagraphFont"/>
    <w:link w:val="PlainText"/>
    <w:uiPriority w:val="99"/>
    <w:rsid w:val="00175B36"/>
    <w:rPr>
      <w:rFonts w:ascii="Calibri" w:eastAsia="SimSun" w:hAnsi="Calibri" w:cs="Arial"/>
      <w:sz w:val="22"/>
      <w:szCs w:val="21"/>
    </w:rPr>
  </w:style>
  <w:style w:type="character" w:customStyle="1" w:styleId="RestitleChar">
    <w:name w:val="Res_title Char"/>
    <w:basedOn w:val="DefaultParagraphFont"/>
    <w:link w:val="Restitle"/>
    <w:rsid w:val="00EC7F94"/>
    <w:rPr>
      <w:rFonts w:asciiTheme="minorHAnsi" w:hAnsiTheme="minorHAnsi"/>
      <w:b/>
      <w:sz w:val="28"/>
      <w:lang w:val="en-GB" w:eastAsia="en-US"/>
    </w:rPr>
  </w:style>
  <w:style w:type="character" w:styleId="FollowedHyperlink">
    <w:name w:val="FollowedHyperlink"/>
    <w:basedOn w:val="DefaultParagraphFont"/>
    <w:semiHidden/>
    <w:unhideWhenUsed/>
    <w:rsid w:val="007D0EA9"/>
    <w:rPr>
      <w:color w:val="800080" w:themeColor="followedHyperlink"/>
      <w:u w:val="single"/>
    </w:rPr>
  </w:style>
  <w:style w:type="character" w:customStyle="1" w:styleId="ListParagraphChar">
    <w:name w:val="List Paragraph Char"/>
    <w:aliases w:val="Recommendation Char,List Paragraph11 Char"/>
    <w:basedOn w:val="DefaultParagraphFont"/>
    <w:link w:val="ListParagraph"/>
    <w:uiPriority w:val="34"/>
    <w:rsid w:val="007866D3"/>
    <w:rPr>
      <w:rFonts w:asciiTheme="minorHAnsi" w:hAnsiTheme="minorHAnsi"/>
      <w:sz w:val="24"/>
      <w:lang w:val="en-GB" w:eastAsia="en-US"/>
    </w:rPr>
  </w:style>
  <w:style w:type="character" w:customStyle="1" w:styleId="Bold">
    <w:name w:val="Bold"/>
    <w:rsid w:val="007866D3"/>
    <w:rPr>
      <w:b/>
      <w:lang w:val="en-US" w:eastAsia="x-none"/>
    </w:rPr>
  </w:style>
  <w:style w:type="character" w:styleId="CommentReference">
    <w:name w:val="annotation reference"/>
    <w:basedOn w:val="DefaultParagraphFont"/>
    <w:semiHidden/>
    <w:unhideWhenUsed/>
    <w:rsid w:val="00D06DAF"/>
    <w:rPr>
      <w:sz w:val="16"/>
      <w:szCs w:val="16"/>
    </w:rPr>
  </w:style>
  <w:style w:type="paragraph" w:styleId="CommentText">
    <w:name w:val="annotation text"/>
    <w:basedOn w:val="Normal"/>
    <w:link w:val="CommentTextChar"/>
    <w:semiHidden/>
    <w:unhideWhenUsed/>
    <w:rsid w:val="00D06DAF"/>
    <w:pPr>
      <w:tabs>
        <w:tab w:val="clear" w:pos="1871"/>
        <w:tab w:val="left" w:pos="567"/>
        <w:tab w:val="left" w:pos="1701"/>
        <w:tab w:val="left" w:pos="2835"/>
      </w:tabs>
    </w:pPr>
    <w:rPr>
      <w:rFonts w:ascii="Calibri" w:hAnsi="Calibri"/>
      <w:sz w:val="20"/>
    </w:rPr>
  </w:style>
  <w:style w:type="character" w:customStyle="1" w:styleId="CommentTextChar">
    <w:name w:val="Comment Text Char"/>
    <w:basedOn w:val="DefaultParagraphFont"/>
    <w:link w:val="CommentText"/>
    <w:semiHidden/>
    <w:rsid w:val="00D06DAF"/>
    <w:rPr>
      <w:rFonts w:ascii="Calibri" w:hAnsi="Calibri"/>
      <w:lang w:val="en-GB" w:eastAsia="en-US"/>
    </w:rPr>
  </w:style>
  <w:style w:type="character" w:customStyle="1" w:styleId="Heading2Char">
    <w:name w:val="Heading 2 Char"/>
    <w:basedOn w:val="DefaultParagraphFont"/>
    <w:link w:val="Heading2"/>
    <w:locked/>
    <w:rsid w:val="00067717"/>
    <w:rPr>
      <w:rFonts w:asciiTheme="minorHAnsi" w:hAnsiTheme="minorHAnsi"/>
      <w:b/>
      <w:sz w:val="24"/>
      <w:lang w:val="en-GB" w:eastAsia="en-US"/>
    </w:rPr>
  </w:style>
  <w:style w:type="paragraph" w:styleId="NormalWeb">
    <w:name w:val="Normal (Web)"/>
    <w:basedOn w:val="Normal"/>
    <w:uiPriority w:val="99"/>
    <w:unhideWhenUsed/>
    <w:rsid w:val="005673C3"/>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MS Mincho" w:hAnsi="Times New Roman"/>
      <w:szCs w:val="24"/>
      <w:lang w:eastAsia="zh-CN"/>
    </w:rPr>
  </w:style>
  <w:style w:type="character" w:customStyle="1" w:styleId="Heading1Char">
    <w:name w:val="Heading 1 Char"/>
    <w:basedOn w:val="DefaultParagraphFont"/>
    <w:link w:val="Heading1"/>
    <w:rsid w:val="001E786F"/>
    <w:rPr>
      <w:rFonts w:asciiTheme="minorHAnsi" w:hAnsiTheme="minorHAnsi"/>
      <w:b/>
      <w:sz w:val="28"/>
      <w:lang w:val="en-GB" w:eastAsia="en-US"/>
    </w:rPr>
  </w:style>
  <w:style w:type="character" w:styleId="Strong">
    <w:name w:val="Strong"/>
    <w:uiPriority w:val="22"/>
    <w:qFormat/>
    <w:rsid w:val="00753970"/>
    <w:rPr>
      <w:b/>
      <w:bCs/>
    </w:rPr>
  </w:style>
  <w:style w:type="paragraph" w:customStyle="1" w:styleId="Docnumber">
    <w:name w:val="Docnumber"/>
    <w:basedOn w:val="Normal"/>
    <w:link w:val="DocnumberChar"/>
    <w:qFormat/>
    <w:rsid w:val="00753970"/>
    <w:pPr>
      <w:tabs>
        <w:tab w:val="clear" w:pos="1134"/>
        <w:tab w:val="clear" w:pos="1871"/>
        <w:tab w:val="clear" w:pos="2268"/>
        <w:tab w:val="left" w:pos="794"/>
        <w:tab w:val="left" w:pos="1191"/>
        <w:tab w:val="left" w:pos="1588"/>
        <w:tab w:val="left" w:pos="1985"/>
      </w:tabs>
      <w:jc w:val="right"/>
    </w:pPr>
    <w:rPr>
      <w:rFonts w:ascii="Times New Roman" w:eastAsia="SimSun" w:hAnsi="Times New Roman"/>
      <w:b/>
      <w:sz w:val="40"/>
    </w:rPr>
  </w:style>
  <w:style w:type="character" w:customStyle="1" w:styleId="DocnumberChar">
    <w:name w:val="Docnumber Char"/>
    <w:link w:val="Docnumber"/>
    <w:rsid w:val="00753970"/>
    <w:rPr>
      <w:rFonts w:ascii="Times New Roman" w:eastAsia="SimSun" w:hAnsi="Times New Roman"/>
      <w:b/>
      <w:sz w:val="40"/>
      <w:lang w:val="en-GB" w:eastAsia="en-US"/>
    </w:rPr>
  </w:style>
  <w:style w:type="character" w:customStyle="1" w:styleId="UnresolvedMention">
    <w:name w:val="Unresolved Mention"/>
    <w:basedOn w:val="DefaultParagraphFont"/>
    <w:uiPriority w:val="99"/>
    <w:semiHidden/>
    <w:unhideWhenUsed/>
    <w:rsid w:val="000F6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5473">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851142090">
      <w:bodyDiv w:val="1"/>
      <w:marLeft w:val="0"/>
      <w:marRight w:val="0"/>
      <w:marTop w:val="0"/>
      <w:marBottom w:val="0"/>
      <w:divBdr>
        <w:top w:val="none" w:sz="0" w:space="0" w:color="auto"/>
        <w:left w:val="none" w:sz="0" w:space="0" w:color="auto"/>
        <w:bottom w:val="none" w:sz="0" w:space="0" w:color="auto"/>
        <w:right w:val="none" w:sz="0" w:space="0" w:color="auto"/>
      </w:divBdr>
    </w:div>
    <w:div w:id="1169060600">
      <w:bodyDiv w:val="1"/>
      <w:marLeft w:val="0"/>
      <w:marRight w:val="0"/>
      <w:marTop w:val="0"/>
      <w:marBottom w:val="0"/>
      <w:divBdr>
        <w:top w:val="none" w:sz="0" w:space="0" w:color="auto"/>
        <w:left w:val="none" w:sz="0" w:space="0" w:color="auto"/>
        <w:bottom w:val="none" w:sz="0" w:space="0" w:color="auto"/>
        <w:right w:val="none" w:sz="0" w:space="0" w:color="auto"/>
      </w:divBdr>
      <w:divsChild>
        <w:div w:id="1678193936">
          <w:marLeft w:val="0"/>
          <w:marRight w:val="0"/>
          <w:marTop w:val="0"/>
          <w:marBottom w:val="0"/>
          <w:divBdr>
            <w:top w:val="none" w:sz="0" w:space="0" w:color="auto"/>
            <w:left w:val="none" w:sz="0" w:space="0" w:color="auto"/>
            <w:bottom w:val="none" w:sz="0" w:space="0" w:color="auto"/>
            <w:right w:val="none" w:sz="0" w:space="0" w:color="auto"/>
          </w:divBdr>
          <w:divsChild>
            <w:div w:id="909198143">
              <w:marLeft w:val="0"/>
              <w:marRight w:val="0"/>
              <w:marTop w:val="0"/>
              <w:marBottom w:val="0"/>
              <w:divBdr>
                <w:top w:val="none" w:sz="0" w:space="0" w:color="auto"/>
                <w:left w:val="none" w:sz="0" w:space="0" w:color="auto"/>
                <w:bottom w:val="none" w:sz="0" w:space="0" w:color="auto"/>
                <w:right w:val="none" w:sz="0" w:space="0" w:color="auto"/>
              </w:divBdr>
              <w:divsChild>
                <w:div w:id="821198625">
                  <w:marLeft w:val="0"/>
                  <w:marRight w:val="0"/>
                  <w:marTop w:val="0"/>
                  <w:marBottom w:val="0"/>
                  <w:divBdr>
                    <w:top w:val="none" w:sz="0" w:space="0" w:color="auto"/>
                    <w:left w:val="none" w:sz="0" w:space="0" w:color="auto"/>
                    <w:bottom w:val="none" w:sz="0" w:space="0" w:color="auto"/>
                    <w:right w:val="none" w:sz="0" w:space="0" w:color="auto"/>
                  </w:divBdr>
                  <w:divsChild>
                    <w:div w:id="1298755149">
                      <w:marLeft w:val="0"/>
                      <w:marRight w:val="0"/>
                      <w:marTop w:val="0"/>
                      <w:marBottom w:val="0"/>
                      <w:divBdr>
                        <w:top w:val="none" w:sz="0" w:space="0" w:color="auto"/>
                        <w:left w:val="none" w:sz="0" w:space="0" w:color="auto"/>
                        <w:bottom w:val="none" w:sz="0" w:space="0" w:color="auto"/>
                        <w:right w:val="none" w:sz="0" w:space="0" w:color="auto"/>
                      </w:divBdr>
                      <w:divsChild>
                        <w:div w:id="1850292413">
                          <w:marLeft w:val="0"/>
                          <w:marRight w:val="0"/>
                          <w:marTop w:val="0"/>
                          <w:marBottom w:val="0"/>
                          <w:divBdr>
                            <w:top w:val="none" w:sz="0" w:space="0" w:color="auto"/>
                            <w:left w:val="none" w:sz="0" w:space="0" w:color="auto"/>
                            <w:bottom w:val="none" w:sz="0" w:space="0" w:color="auto"/>
                            <w:right w:val="none" w:sz="0" w:space="0" w:color="auto"/>
                          </w:divBdr>
                          <w:divsChild>
                            <w:div w:id="98068984">
                              <w:marLeft w:val="0"/>
                              <w:marRight w:val="0"/>
                              <w:marTop w:val="0"/>
                              <w:marBottom w:val="0"/>
                              <w:divBdr>
                                <w:top w:val="none" w:sz="0" w:space="0" w:color="auto"/>
                                <w:left w:val="none" w:sz="0" w:space="0" w:color="auto"/>
                                <w:bottom w:val="none" w:sz="0" w:space="0" w:color="auto"/>
                                <w:right w:val="none" w:sz="0" w:space="0" w:color="auto"/>
                              </w:divBdr>
                              <w:divsChild>
                                <w:div w:id="1021930340">
                                  <w:marLeft w:val="0"/>
                                  <w:marRight w:val="0"/>
                                  <w:marTop w:val="0"/>
                                  <w:marBottom w:val="0"/>
                                  <w:divBdr>
                                    <w:top w:val="none" w:sz="0" w:space="0" w:color="auto"/>
                                    <w:left w:val="none" w:sz="0" w:space="0" w:color="auto"/>
                                    <w:bottom w:val="none" w:sz="0" w:space="0" w:color="auto"/>
                                    <w:right w:val="none" w:sz="0" w:space="0" w:color="auto"/>
                                  </w:divBdr>
                                  <w:divsChild>
                                    <w:div w:id="749232807">
                                      <w:marLeft w:val="0"/>
                                      <w:marRight w:val="0"/>
                                      <w:marTop w:val="0"/>
                                      <w:marBottom w:val="0"/>
                                      <w:divBdr>
                                        <w:top w:val="none" w:sz="0" w:space="0" w:color="auto"/>
                                        <w:left w:val="none" w:sz="0" w:space="0" w:color="auto"/>
                                        <w:bottom w:val="none" w:sz="0" w:space="0" w:color="auto"/>
                                        <w:right w:val="none" w:sz="0" w:space="0" w:color="auto"/>
                                      </w:divBdr>
                                      <w:divsChild>
                                        <w:div w:id="13446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494832001">
      <w:bodyDiv w:val="1"/>
      <w:marLeft w:val="0"/>
      <w:marRight w:val="0"/>
      <w:marTop w:val="0"/>
      <w:marBottom w:val="0"/>
      <w:divBdr>
        <w:top w:val="none" w:sz="0" w:space="0" w:color="auto"/>
        <w:left w:val="none" w:sz="0" w:space="0" w:color="auto"/>
        <w:bottom w:val="none" w:sz="0" w:space="0" w:color="auto"/>
        <w:right w:val="none" w:sz="0" w:space="0" w:color="auto"/>
      </w:divBdr>
    </w:div>
    <w:div w:id="1666201869">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itu.int/md/S19-CL-C-0038/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fabio.bigi@virgilio.it" TargetMode="External"/><Relationship Id="rId17" Type="http://schemas.openxmlformats.org/officeDocument/2006/relationships/hyperlink" Target="https://www.itu.int/en/general-secretariat/Documents/Intersectoral_Coordination/Meetings/20190925/ISCG-19-2-02_Council2019-on-InterSectoralCoordination.docx" TargetMode="External"/><Relationship Id="rId2" Type="http://schemas.openxmlformats.org/officeDocument/2006/relationships/customXml" Target="../customXml/item2.xml"/><Relationship Id="rId16" Type="http://schemas.openxmlformats.org/officeDocument/2006/relationships/hyperlink" Target="https://www.itu.int/en/general-secretariat/Pages/intersectoral-coordination.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itu.int/en/general-secretariat/Pages/ISCG/ISCT_Documents-Mapping_Tables.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md/S19-CL-INF-0006/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general-secretariat/Pages/ISCG/ISCT_Documents-Mapping_Table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B05A47F470443B71AECCE3604B4A8" ma:contentTypeVersion="2" ma:contentTypeDescription="Create a new document." ma:contentTypeScope="" ma:versionID="e9d20211b9e2e1e97593708635e5bdc7">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869391a2569e129e3f2cb770d8dd0f2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E152E-8750-44EC-8557-F54160822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ea1ea-72e4-4374-b05e-72e2f16f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3.xml><?xml version="1.0" encoding="utf-8"?>
<ds:datastoreItem xmlns:ds="http://schemas.openxmlformats.org/officeDocument/2006/customXml" ds:itemID="{8A7C67D6-CEFE-4AFE-8EC3-4585BFEF5BAE}">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1aaea1ea-72e4-4374-b05e-72e2f16fb7ae"/>
    <ds:schemaRef ds:uri="http://www.w3.org/XML/1998/namespace"/>
    <ds:schemaRef ds:uri="http://purl.org/dc/dcmitype/"/>
  </ds:schemaRefs>
</ds:datastoreItem>
</file>

<file path=customXml/itemProps4.xml><?xml version="1.0" encoding="utf-8"?>
<ds:datastoreItem xmlns:ds="http://schemas.openxmlformats.org/officeDocument/2006/customXml" ds:itemID="{EB9CB635-5D90-434C-B912-57B8DD2F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2375</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16544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Al-Mnini, Lara</cp:lastModifiedBy>
  <cp:revision>9</cp:revision>
  <cp:lastPrinted>2019-02-20T23:11:00Z</cp:lastPrinted>
  <dcterms:created xsi:type="dcterms:W3CDTF">2019-09-26T09:55:00Z</dcterms:created>
  <dcterms:modified xsi:type="dcterms:W3CDTF">2019-09-26T13:22:00Z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0x010100DEDB05A47F470443B71AECCE3604B4A8</vt:lpwstr>
  </property>
  <property fmtid="{D5CDD505-2E9C-101B-9397-08002B2CF9AE}" pid="10" name="_dlc_DocIdItemGuid">
    <vt:lpwstr>1277586e-23f4-4a9c-8b22-c68c4fc349db</vt:lpwstr>
  </property>
</Properties>
</file>