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dnum" w:colFirst="2" w:colLast="2"/>
            <w:bookmarkStart w:id="1" w:name="dsg" w:colFirst="1" w:colLast="1"/>
            <w:bookmarkStart w:id="2" w:name="dtableau"/>
            <w:bookmarkStart w:id="3" w:name="_GoBack"/>
            <w:r>
              <w:rPr>
                <w:noProof/>
                <w:sz w:val="20"/>
                <w:szCs w:val="20"/>
                <w:lang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ED99504" w:rsidR="00691C94" w:rsidRPr="00314630" w:rsidRDefault="00036477" w:rsidP="00D23DC6">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D23DC6">
                  <w:t>SG12-</w:t>
                </w:r>
                <w:r w:rsidR="00D23DC6">
                  <w:rPr>
                    <w:lang w:val="en-US"/>
                  </w:rPr>
                  <w:t>TD776</w:t>
                </w:r>
              </w:sdtContent>
            </w:sdt>
          </w:p>
        </w:tc>
      </w:tr>
      <w:bookmarkEnd w:id="0"/>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4"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0A598C08" w:rsidR="00691C94" w:rsidRPr="00715CA6" w:rsidRDefault="00691C94" w:rsidP="00DC6DF5">
                <w:pPr>
                  <w:jc w:val="right"/>
                  <w:rPr>
                    <w:b/>
                    <w:bCs/>
                    <w:sz w:val="28"/>
                    <w:szCs w:val="28"/>
                  </w:rPr>
                </w:pPr>
                <w:r w:rsidRPr="00DC6DF5">
                  <w:rPr>
                    <w:b/>
                    <w:bCs/>
                    <w:sz w:val="28"/>
                    <w:szCs w:val="28"/>
                    <w:lang w:val="en-US"/>
                  </w:rPr>
                  <w:t xml:space="preserve">STUDY GROUP </w:t>
                </w:r>
                <w:r w:rsidR="00DC6DF5" w:rsidRPr="00DC6DF5">
                  <w:rPr>
                    <w:b/>
                    <w:bCs/>
                    <w:sz w:val="28"/>
                    <w:szCs w:val="28"/>
                    <w:lang w:val="en-US"/>
                  </w:rPr>
                  <w:t>12</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5" w:name="dorlang" w:colFirst="2" w:colLast="2"/>
            <w:bookmarkEnd w:id="4"/>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6" w:name="dbluepink" w:colFirst="1" w:colLast="1"/>
            <w:bookmarkStart w:id="7" w:name="dmeeting" w:colFirst="2" w:colLast="2"/>
            <w:bookmarkEnd w:id="5"/>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0DEF7702" w:rsidR="00691C94" w:rsidRPr="0037415F" w:rsidRDefault="00CF5B4E" w:rsidP="00CF5B4E">
                <w:r>
                  <w:t>17/12</w:t>
                </w:r>
              </w:p>
            </w:tc>
          </w:sdtContent>
        </w:sdt>
        <w:tc>
          <w:tcPr>
            <w:tcW w:w="4395" w:type="dxa"/>
            <w:gridSpan w:val="2"/>
          </w:tcPr>
          <w:p w14:paraId="31155891" w14:textId="7364132F" w:rsidR="00691C94" w:rsidRPr="0037415F" w:rsidRDefault="00036477" w:rsidP="00F12B27">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23DC6">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12B27">
                  <w:t>7-16 May 2019</w:t>
                </w:r>
              </w:sdtContent>
            </w:sdt>
          </w:p>
        </w:tc>
      </w:tr>
      <w:bookmarkStart w:id="8" w:name="dtitle" w:colFirst="0" w:colLast="0"/>
      <w:bookmarkEnd w:id="6"/>
      <w:bookmarkEnd w:id="7"/>
      <w:tr w:rsidR="00691C94" w:rsidRPr="00A4045F" w14:paraId="345A6F48" w14:textId="77777777" w:rsidTr="00BC1FAE">
        <w:trPr>
          <w:cantSplit/>
          <w:jc w:val="center"/>
        </w:trPr>
        <w:tc>
          <w:tcPr>
            <w:tcW w:w="9640" w:type="dxa"/>
            <w:gridSpan w:val="6"/>
          </w:tcPr>
          <w:p w14:paraId="0C4E5689" w14:textId="7CB43CD0" w:rsidR="00CF5B4E" w:rsidRPr="007E656A" w:rsidRDefault="00036477" w:rsidP="009030A5">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8104C">
                  <w:rPr>
                    <w:b/>
                    <w:bCs/>
                  </w:rPr>
                  <w:t>TD</w:t>
                </w:r>
              </w:sdtContent>
            </w:sdt>
            <w:r w:rsidR="009030A5">
              <w:rPr>
                <w:b/>
                <w:bCs/>
              </w:rPr>
              <w:br/>
            </w:r>
            <w:r w:rsidR="00CF5B4E">
              <w:rPr>
                <w:b/>
                <w:bCs/>
              </w:rPr>
              <w:t>Ref: SG12-C275</w:t>
            </w:r>
            <w:r w:rsidR="00DD4D18">
              <w:rPr>
                <w:b/>
                <w:bCs/>
              </w:rPr>
              <w:t xml:space="preserve">, </w:t>
            </w:r>
            <w:r w:rsidR="00DD4D18" w:rsidRPr="00DD4D18">
              <w:rPr>
                <w:b/>
                <w:bCs/>
              </w:rPr>
              <w:t>TD627</w:t>
            </w:r>
            <w:r w:rsidR="00DD4D18">
              <w:rPr>
                <w:b/>
                <w:bCs/>
              </w:rPr>
              <w:t>,</w:t>
            </w:r>
            <w:r w:rsidR="00DD4D18" w:rsidRPr="00DD4D18">
              <w:rPr>
                <w:b/>
                <w:bCs/>
              </w:rPr>
              <w:t xml:space="preserve"> and TD701</w:t>
            </w:r>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bookmarkStart w:id="9" w:name="dsource" w:colFirst="1" w:colLast="1"/>
            <w:bookmarkEnd w:id="8"/>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7338E0B1" w:rsidR="00691C94" w:rsidRDefault="0078104C" w:rsidP="00D56598">
                <w:r>
                  <w:t>Rapporteur</w:t>
                </w:r>
                <w:r w:rsidR="00CF5B4E">
                  <w:t xml:space="preserve"> Q17/12</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bookmarkStart w:id="10" w:name="dtitle1" w:colFirst="1" w:colLast="1"/>
            <w:bookmarkEnd w:id="9"/>
            <w:r w:rsidRPr="0037415F">
              <w:rPr>
                <w:b/>
                <w:bCs/>
              </w:rPr>
              <w:t>Title:</w:t>
            </w:r>
          </w:p>
        </w:tc>
        <w:tc>
          <w:tcPr>
            <w:tcW w:w="8222" w:type="dxa"/>
            <w:gridSpan w:val="4"/>
          </w:tcPr>
          <w:p w14:paraId="10D9B5C7" w14:textId="4CC8D96C" w:rsidR="00691C94" w:rsidRPr="0037415F" w:rsidRDefault="00036477" w:rsidP="00DD4D18">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082D3A">
                  <w:t xml:space="preserve">Summary </w:t>
                </w:r>
                <w:r w:rsidR="00470F47">
                  <w:t>Contribution on Lab Evaluation Methods and Additional Lab Results</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bookmarkStart w:id="11" w:name="dpurpose" w:colFirst="1" w:colLast="1"/>
            <w:bookmarkEnd w:id="10"/>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43FE42E3" w:rsidR="00691C94" w:rsidRPr="00B4174C" w:rsidRDefault="00D56598" w:rsidP="00691C94">
                <w:r>
                  <w:t>Proposal</w:t>
                </w:r>
              </w:p>
            </w:tc>
          </w:sdtContent>
        </w:sdt>
      </w:tr>
      <w:bookmarkEnd w:id="2"/>
      <w:bookmarkEnd w:id="11"/>
      <w:tr w:rsidR="00691C94" w:rsidRPr="00F12B27"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3B8DDD8B" w14:textId="3DD1FE84" w:rsidR="00691C94" w:rsidRPr="001618E5" w:rsidRDefault="00036477" w:rsidP="00CF5B4E">
            <w:sdt>
              <w:sdtPr>
                <w:alias w:val="ContactNameOrgCountry"/>
                <w:tag w:val="ContactNameOrgCountry"/>
                <w:id w:val="-450624836"/>
                <w:placeholder>
                  <w:docPart w:val="B83B1DB948E34C538D1C0FE920AD6F8A"/>
                </w:placeholder>
                <w:text w:multiLine="1"/>
              </w:sdtPr>
              <w:sdtEndPr/>
              <w:sdtContent>
                <w:r w:rsidR="00D56598" w:rsidRPr="001618E5">
                  <w:t>A.C.Morton</w:t>
                </w:r>
                <w:r w:rsidR="00D56598" w:rsidRPr="001618E5">
                  <w:br/>
                  <w:t>AT&amp;T</w:t>
                </w:r>
                <w:r w:rsidR="00D56598" w:rsidRPr="001618E5">
                  <w:br/>
                  <w:t xml:space="preserve">USA </w:t>
                </w:r>
              </w:sdtContent>
            </w:sdt>
          </w:p>
        </w:tc>
        <w:sdt>
          <w:sdtPr>
            <w:alias w:val="ContactTelFaxEmail"/>
            <w:tag w:val="ContactTelFaxEmail"/>
            <w:id w:val="-1400744340"/>
            <w:placeholder>
              <w:docPart w:val="07782924B77D4DFBA735CF55B079A719"/>
            </w:placeholder>
          </w:sdtPr>
          <w:sdtEndPr/>
          <w:sdtContent>
            <w:sdt>
              <w:sdtPr>
                <w:alias w:val="ContactTelFaxEmail"/>
                <w:tag w:val="ContactTelFaxEmail"/>
                <w:id w:val="-2140561428"/>
                <w:placeholder>
                  <w:docPart w:val="86A4E44EC2D945DCB1947CB5E9B06C24"/>
                </w:placeholder>
              </w:sdtPr>
              <w:sdtEndPr/>
              <w:sdtContent>
                <w:tc>
                  <w:tcPr>
                    <w:tcW w:w="4111" w:type="dxa"/>
                    <w:tcBorders>
                      <w:top w:val="single" w:sz="6" w:space="0" w:color="auto"/>
                      <w:bottom w:val="single" w:sz="6" w:space="0" w:color="auto"/>
                    </w:tcBorders>
                  </w:tcPr>
                  <w:p w14:paraId="4C78E534" w14:textId="64C328E7" w:rsidR="00691C94" w:rsidRPr="00CF5B4E" w:rsidRDefault="00D56598" w:rsidP="00691C94">
                    <w:pPr>
                      <w:rPr>
                        <w:lang w:val="de-DE"/>
                      </w:rPr>
                    </w:pPr>
                    <w:r>
                      <w:rPr>
                        <w:lang w:val="pt-BR"/>
                      </w:rPr>
                      <w:t>Tel: +1 723 420 1571</w:t>
                    </w:r>
                    <w:r>
                      <w:rPr>
                        <w:lang w:val="pt-BR"/>
                      </w:rPr>
                      <w:br/>
                      <w:t xml:space="preserve">E-mail: </w:t>
                    </w:r>
                    <w:hyperlink r:id="rId11" w:history="1">
                      <w:r w:rsidR="00F55173" w:rsidRPr="00AD57FD">
                        <w:rPr>
                          <w:rStyle w:val="Hyperlink"/>
                          <w:rFonts w:ascii="Times New Roman" w:hAnsi="Times New Roman"/>
                          <w:lang w:val="pt-BR"/>
                        </w:rPr>
                        <w:t>acm@research.att.com</w:t>
                      </w:r>
                    </w:hyperlink>
                    <w:r>
                      <w:rPr>
                        <w:lang w:val="pt-BR"/>
                      </w:rPr>
                      <w:t xml:space="preserve"> </w:t>
                    </w:r>
                  </w:p>
                </w:tc>
              </w:sdtContent>
            </w:sdt>
          </w:sdtContent>
        </w:sdt>
      </w:tr>
    </w:tbl>
    <w:p w14:paraId="1AA96A45" w14:textId="77777777" w:rsidR="0089088E" w:rsidRPr="00CF5B4E" w:rsidRDefault="0089088E"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8E4851">
            <w:pPr>
              <w:rPr>
                <w:b/>
                <w:bCs/>
              </w:rPr>
            </w:pPr>
            <w:r w:rsidRPr="008F7104">
              <w:rPr>
                <w:b/>
                <w:bCs/>
              </w:rPr>
              <w:t>Keywords:</w:t>
            </w:r>
          </w:p>
        </w:tc>
        <w:tc>
          <w:tcPr>
            <w:tcW w:w="8222" w:type="dxa"/>
          </w:tcPr>
          <w:p w14:paraId="75E3B1EF" w14:textId="352BC346" w:rsidR="0089088E" w:rsidRDefault="00036477" w:rsidP="008E485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CD1673">
                  <w:t>Experiment Design; Test Results;</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8E4851">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5BA90B53" w:rsidR="0089088E" w:rsidRDefault="00D23DC6" w:rsidP="00D23DC6">
                <w:r w:rsidRPr="0036734D">
                  <w:t>New Annex A of Rec Y.1540 documents the plan to qualify and compare access measurement metrics, methods, models, and tools in a stable and repeatable laboratory environment.</w:t>
                </w:r>
                <w:r w:rsidRPr="0036734D">
                  <w:br/>
                </w:r>
                <w:r w:rsidRPr="0036734D">
                  <w:br/>
                  <w:t xml:space="preserve">This </w:t>
                </w:r>
                <w:r>
                  <w:t>document</w:t>
                </w:r>
                <w:r w:rsidRPr="0036734D">
                  <w:t xml:space="preserve"> provides a graphical summary of recent tests, through January 2019, as part of the Y.1540 Phase 1 Lab Evaluation: IP Capacity</w:t>
                </w:r>
                <w:r>
                  <w:t xml:space="preserve"> and Latency Assessment. Diff-Marks highlight</w:t>
                </w:r>
                <w:r w:rsidRPr="0036734D">
                  <w:t xml:space="preserve"> new tests </w:t>
                </w:r>
                <w:r>
                  <w:t xml:space="preserve">conducted </w:t>
                </w:r>
                <w:r w:rsidRPr="0036734D">
                  <w:t>to investigate questions raised at STQ#60 (in the appropriate section of the contribution).</w:t>
                </w:r>
              </w:p>
            </w:tc>
          </w:sdtContent>
        </w:sdt>
      </w:tr>
    </w:tbl>
    <w:p w14:paraId="58589E1E" w14:textId="7B2A27FA" w:rsidR="0089088E" w:rsidRDefault="0089088E" w:rsidP="0089088E"/>
    <w:p w14:paraId="2337EAB6" w14:textId="77777777" w:rsidR="00C76BEB" w:rsidRPr="00C76BEB" w:rsidRDefault="00C76BEB" w:rsidP="00C76BEB">
      <w:pPr>
        <w:rPr>
          <w:rFonts w:eastAsia="SimSun"/>
          <w:b/>
        </w:rPr>
      </w:pPr>
      <w:r w:rsidRPr="00C76BEB">
        <w:rPr>
          <w:rFonts w:eastAsia="SimSun"/>
          <w:b/>
        </w:rPr>
        <w:t>Introduction</w:t>
      </w:r>
    </w:p>
    <w:p w14:paraId="33340CFA" w14:textId="77777777" w:rsidR="00C76BEB" w:rsidRPr="00C76BEB" w:rsidRDefault="00C76BEB" w:rsidP="00C76BEB">
      <w:pPr>
        <w:rPr>
          <w:rFonts w:eastAsia="SimSun"/>
        </w:rPr>
      </w:pPr>
      <w:r w:rsidRPr="00C76BEB">
        <w:rPr>
          <w:rFonts w:eastAsia="SimSun"/>
        </w:rPr>
        <w:t xml:space="preserve">In their April 2018 Interim meeting, and the ad hoc meetings during the SG 12 Plenary that followed in May 2018, Question 17/12 agreed on a plan to develop Metrics (a.k.a. parameters) and Methods of Measurement for IP Capacity assessment (along with Packet Latency and Loss, other key performance metrics). The work began with development of a Plan for Laboratory evaluation of some existing metrics and methods. New Annex A of Rec Y.1540 documents the plan to qualify and compare access measurement metrics, methods, models, and tools in a stable and repeatable laboratory environment. The work is guided by the current parameters in section 6.11/Y.1540, and the requirements of section 6.12/Y.540. </w:t>
      </w:r>
    </w:p>
    <w:p w14:paraId="6EE2A9E2" w14:textId="77777777" w:rsidR="00C76BEB" w:rsidRPr="00C76BEB" w:rsidRDefault="00C76BEB" w:rsidP="00C76BEB">
      <w:pPr>
        <w:rPr>
          <w:rFonts w:eastAsia="SimSun"/>
        </w:rPr>
      </w:pPr>
      <w:r w:rsidRPr="00C76BEB">
        <w:rPr>
          <w:rFonts w:eastAsia="SimSun"/>
        </w:rPr>
        <w:t>As work proceeded, it became clear that a parallel effort to Harmonize Standardized IP Performance across multiple SDOs would be needed to achieve both wide and prompt Industry Adoption. These efforts included the proposal of New Work in TC ETSI STQ, and a call for collaboration in the IETF IP Performance Measurements working group (with 2 volunteers). Other SDOs (ITU-T SG 11, ETSI TC INT, and BBF) have received multiple liaisons describing current progress.</w:t>
      </w:r>
    </w:p>
    <w:p w14:paraId="089C45DB" w14:textId="77777777" w:rsidR="00C76BEB" w:rsidRPr="00C76BEB" w:rsidRDefault="00C76BEB" w:rsidP="00C76BEB">
      <w:pPr>
        <w:rPr>
          <w:rFonts w:eastAsia="SimSun"/>
        </w:rPr>
      </w:pPr>
      <w:r w:rsidRPr="00C76BEB">
        <w:rPr>
          <w:rFonts w:eastAsia="SimSun"/>
        </w:rPr>
        <w:t>Meetings in the autumn of 2018 produced the decision to divide the evaluation plan into two Phases, and collected the first test results of Phase 1. The Phase 1 test plan was informed by the BEREC evaluation of Internet access measurement systems are available in [BEREC], where Requirement 127 described Mandatory testing of speed accuracy using “</w:t>
      </w:r>
      <w:r w:rsidRPr="00C76BEB">
        <w:rPr>
          <w:rFonts w:eastAsia="SimSun"/>
          <w:lang w:val="en-US"/>
        </w:rPr>
        <w:t xml:space="preserve">traffic shaping software or hardware” at multiple speeds up to 500Mbps. There were no other details, and the critical factor of </w:t>
      </w:r>
      <w:r w:rsidRPr="00C76BEB">
        <w:rPr>
          <w:rFonts w:eastAsia="SimSun"/>
          <w:lang w:val="en-US"/>
        </w:rPr>
        <w:lastRenderedPageBreak/>
        <w:t xml:space="preserve">Latency was omitted. </w:t>
      </w:r>
      <w:r w:rsidRPr="00C76BEB">
        <w:rPr>
          <w:rFonts w:eastAsia="SimSun"/>
        </w:rPr>
        <w:t>New Annex A of Rec Y.1540 addresses this and other omissions of the BEREC plan. The Phase 2 evaluation will investigate the Phase 1 conclusions on access networks.</w:t>
      </w:r>
    </w:p>
    <w:p w14:paraId="6E3094AF" w14:textId="77777777" w:rsidR="00C76BEB" w:rsidRPr="00C76BEB" w:rsidRDefault="00C76BEB" w:rsidP="00C76BEB">
      <w:pPr>
        <w:rPr>
          <w:rFonts w:eastAsia="SimSun"/>
        </w:rPr>
      </w:pPr>
      <w:r w:rsidRPr="00C76BEB">
        <w:rPr>
          <w:rFonts w:eastAsia="SimSun"/>
        </w:rPr>
        <w:t>The contributions to Q17/12 have also included two surveys of academic research on Internet Access performance measurement. The most recent survey is available, along with points from the Nov 2018 SG12 Workshop, and several key points are summarized at the end of this contribution, the most relevant being that UDP-based tests are considered the benchmark for Capacity.</w:t>
      </w:r>
    </w:p>
    <w:p w14:paraId="58C4EB45" w14:textId="77777777" w:rsidR="00C76BEB" w:rsidRPr="00C76BEB" w:rsidRDefault="00C76BEB" w:rsidP="00C76BEB">
      <w:pPr>
        <w:rPr>
          <w:rFonts w:eastAsia="SimSun"/>
        </w:rPr>
      </w:pPr>
      <w:r w:rsidRPr="00C76BEB">
        <w:rPr>
          <w:rFonts w:eastAsia="SimSun"/>
        </w:rPr>
        <w:t>This contribution summarizes tests and results from SG12-C275, TD627, and TD701 R2, through January 2019.  A companion contribution follows-up on discussion and questions at the Q17 Interim Meeting (Virtual, Jan 2019), and provides new lab results for multiple metrics, tools and methods of measurement.</w:t>
      </w:r>
    </w:p>
    <w:p w14:paraId="15828CE9" w14:textId="77777777" w:rsidR="00C76BEB" w:rsidRPr="00C76BEB" w:rsidRDefault="00C76BEB" w:rsidP="00C76BEB">
      <w:pPr>
        <w:rPr>
          <w:rFonts w:eastAsia="SimSun"/>
          <w:b/>
        </w:rPr>
      </w:pPr>
      <w:r w:rsidRPr="00C76BEB">
        <w:rPr>
          <w:rFonts w:eastAsia="SimSun"/>
          <w:b/>
        </w:rPr>
        <w:t>Phase 1 Lab Test Set-up</w:t>
      </w:r>
    </w:p>
    <w:p w14:paraId="4C648E20" w14:textId="77777777" w:rsidR="00C76BEB" w:rsidRPr="00C76BEB" w:rsidRDefault="00C76BEB" w:rsidP="00C76BEB">
      <w:pPr>
        <w:rPr>
          <w:rFonts w:eastAsia="SimSun"/>
        </w:rPr>
      </w:pPr>
      <w:r w:rsidRPr="00C76BEB">
        <w:rPr>
          <w:rFonts w:eastAsia="SimSun"/>
        </w:rPr>
        <w:t>This section describes two main alternatives to create a controlled and isolated test environment as a foundation for repeatable comparisons between test methods.</w:t>
      </w:r>
    </w:p>
    <w:p w14:paraId="48AD4667" w14:textId="77777777" w:rsidR="00C76BEB" w:rsidRPr="00C76BEB" w:rsidRDefault="00C76BEB" w:rsidP="00C76BEB">
      <w:pPr>
        <w:rPr>
          <w:rFonts w:eastAsia="SimSun"/>
        </w:rPr>
      </w:pPr>
      <w:r w:rsidRPr="00C76BEB">
        <w:rPr>
          <w:rFonts w:eastAsia="SimSun"/>
        </w:rPr>
        <w:t>The Figure below illustrates two different utilities providing flexible traffic/rate control on a general purpose computing platform. The different traffic control utilities can be applied in three ways.</w:t>
      </w:r>
    </w:p>
    <w:p w14:paraId="3A72C305" w14:textId="77777777" w:rsidR="00C76BEB" w:rsidRPr="00C76BEB" w:rsidRDefault="00C76BEB" w:rsidP="00C76BEB">
      <w:pPr>
        <w:rPr>
          <w:rFonts w:eastAsia="SimSun"/>
        </w:rPr>
      </w:pPr>
    </w:p>
    <w:p w14:paraId="5FB07C58" w14:textId="77777777" w:rsidR="00C76BEB" w:rsidRPr="00C76BEB" w:rsidRDefault="00C76BEB" w:rsidP="00C76BEB">
      <w:pPr>
        <w:rPr>
          <w:rFonts w:eastAsia="SimSun"/>
        </w:rPr>
      </w:pPr>
      <w:r w:rsidRPr="00C76BEB">
        <w:rPr>
          <w:rFonts w:eastAsia="SimSun"/>
          <w:noProof/>
          <w:lang w:eastAsia="zh-CN"/>
        </w:rPr>
        <w:drawing>
          <wp:inline distT="0" distB="0" distL="0" distR="0" wp14:anchorId="28A6DA3B" wp14:editId="240ED484">
            <wp:extent cx="6420485" cy="186364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84456" cy="1882218"/>
                    </a:xfrm>
                    <a:prstGeom prst="rect">
                      <a:avLst/>
                    </a:prstGeom>
                    <a:noFill/>
                  </pic:spPr>
                </pic:pic>
              </a:graphicData>
            </a:graphic>
          </wp:inline>
        </w:drawing>
      </w:r>
    </w:p>
    <w:p w14:paraId="109F1A88" w14:textId="77777777" w:rsidR="00C76BEB" w:rsidRPr="00C76BEB" w:rsidRDefault="00C76BEB" w:rsidP="00C76BEB">
      <w:pPr>
        <w:jc w:val="center"/>
        <w:rPr>
          <w:rFonts w:eastAsia="SimSun"/>
          <w:b/>
        </w:rPr>
      </w:pPr>
      <w:r w:rsidRPr="00C76BEB">
        <w:rPr>
          <w:rFonts w:eastAsia="SimSun"/>
          <w:b/>
        </w:rPr>
        <w:t>Figure 1   Three Possible Test Paths on a General Purpose Computing Platform</w:t>
      </w:r>
    </w:p>
    <w:p w14:paraId="42C98FB9" w14:textId="77777777" w:rsidR="00C76BEB" w:rsidRPr="00C76BEB" w:rsidRDefault="00C76BEB" w:rsidP="00C76BEB">
      <w:pPr>
        <w:rPr>
          <w:rFonts w:eastAsia="SimSun"/>
        </w:rPr>
      </w:pPr>
      <w:r w:rsidRPr="00C76BEB">
        <w:rPr>
          <w:rFonts w:eastAsia="SimSun"/>
        </w:rPr>
        <w:t>In Figure 1, the test device is connected to a general purpose host via physical links at 10 Gbps. The test device is also a general purpose host, but it is completely isolated from the host performing traffic control, allowing each node to dedicate resources to their unique roles in the test environment. Different implementations of candidate measurement methods can be installed and tested through the traffic control node.</w:t>
      </w:r>
    </w:p>
    <w:p w14:paraId="499B8E83" w14:textId="77777777" w:rsidR="00C76BEB" w:rsidRPr="00C76BEB" w:rsidRDefault="00C76BEB" w:rsidP="00C76BEB">
      <w:pPr>
        <w:rPr>
          <w:rFonts w:eastAsia="SimSun"/>
        </w:rPr>
      </w:pPr>
      <w:r w:rsidRPr="00C76BEB">
        <w:rPr>
          <w:rFonts w:eastAsia="SimSun"/>
        </w:rPr>
        <w:t xml:space="preserve">There are three alternatives to implement the traffic shaper function. The first on the left employs the linux kernel-equipped emulator, netem, which can emulate delay and assist with the traffic control after configuration for the correct NIC and physical interfaces. The vSwitch simply switches frames between its two ports. This configuration is commonly referred to as “phy2phy”. </w:t>
      </w:r>
    </w:p>
    <w:p w14:paraId="6FB71D6A" w14:textId="77777777" w:rsidR="00C76BEB" w:rsidRPr="00C76BEB" w:rsidRDefault="00C76BEB" w:rsidP="00C76BEB">
      <w:pPr>
        <w:rPr>
          <w:rFonts w:eastAsia="SimSun"/>
        </w:rPr>
      </w:pPr>
      <w:r w:rsidRPr="00C76BEB">
        <w:rPr>
          <w:rFonts w:eastAsia="SimSun"/>
        </w:rPr>
        <w:t>The phy2phy configuration was used for the tests and results described below. See the draft text of Annex A/Y.1540 for description of the remaining configurations (using the Intel DPDK testpmd).</w:t>
      </w:r>
    </w:p>
    <w:p w14:paraId="5EF065F0" w14:textId="77777777" w:rsidR="00C76BEB" w:rsidRPr="00C76BEB" w:rsidRDefault="00C76BEB" w:rsidP="00C76BEB">
      <w:pPr>
        <w:overflowPunct w:val="0"/>
        <w:autoSpaceDE w:val="0"/>
        <w:autoSpaceDN w:val="0"/>
        <w:adjustRightInd w:val="0"/>
        <w:ind w:left="567" w:hanging="567"/>
        <w:textAlignment w:val="baseline"/>
        <w:rPr>
          <w:rFonts w:eastAsia="SimSun"/>
          <w:b/>
        </w:rPr>
      </w:pPr>
    </w:p>
    <w:p w14:paraId="4783A0E6" w14:textId="77777777" w:rsidR="00C76BEB" w:rsidRPr="00C76BEB" w:rsidRDefault="00C76BEB" w:rsidP="00C76BEB">
      <w:pPr>
        <w:overflowPunct w:val="0"/>
        <w:autoSpaceDE w:val="0"/>
        <w:autoSpaceDN w:val="0"/>
        <w:adjustRightInd w:val="0"/>
        <w:ind w:left="567" w:hanging="567"/>
        <w:textAlignment w:val="baseline"/>
        <w:rPr>
          <w:rFonts w:eastAsia="SimSun"/>
          <w:b/>
        </w:rPr>
      </w:pPr>
      <w:r w:rsidRPr="00C76BEB">
        <w:rPr>
          <w:rFonts w:eastAsia="SimSun"/>
          <w:b/>
        </w:rPr>
        <w:t xml:space="preserve">Detailed Test Setup </w:t>
      </w:r>
    </w:p>
    <w:p w14:paraId="1FC062EF" w14:textId="77777777" w:rsidR="00C76BEB" w:rsidRPr="00C76BEB" w:rsidRDefault="00C76BEB" w:rsidP="00C76BEB">
      <w:pPr>
        <w:rPr>
          <w:rFonts w:eastAsia="SimSun"/>
        </w:rPr>
      </w:pPr>
      <w:r w:rsidRPr="00C76BEB">
        <w:rPr>
          <w:rFonts w:eastAsia="SimSun"/>
        </w:rPr>
        <w:t>The figure below illustrates the details of the “phy2phy” test setup with 2 Host Nodes, Measurement Systems, Network Interfaces with 10 Gbps links, and configurations including network namespace and Open Virtual Switch (OVS). The hosts are located in an OPNFV Lab hosted by Intel [Pod12].</w:t>
      </w:r>
    </w:p>
    <w:p w14:paraId="32A03A53" w14:textId="77777777" w:rsidR="00C76BEB" w:rsidRPr="00C76BEB" w:rsidRDefault="00C76BEB" w:rsidP="00C76BEB">
      <w:pPr>
        <w:rPr>
          <w:rFonts w:eastAsia="SimSun"/>
        </w:rPr>
      </w:pPr>
      <w:r w:rsidRPr="00C76BEB">
        <w:rPr>
          <w:rFonts w:eastAsia="SimSun"/>
          <w:noProof/>
          <w:lang w:eastAsia="zh-CN"/>
        </w:rPr>
        <w:lastRenderedPageBreak/>
        <w:drawing>
          <wp:inline distT="0" distB="0" distL="0" distR="0" wp14:anchorId="67FB7F94" wp14:editId="365A3060">
            <wp:extent cx="6160135" cy="28148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0814" cy="2828884"/>
                    </a:xfrm>
                    <a:prstGeom prst="rect">
                      <a:avLst/>
                    </a:prstGeom>
                    <a:noFill/>
                  </pic:spPr>
                </pic:pic>
              </a:graphicData>
            </a:graphic>
          </wp:inline>
        </w:drawing>
      </w:r>
    </w:p>
    <w:p w14:paraId="47EA5147" w14:textId="77777777" w:rsidR="00C76BEB" w:rsidRPr="00C76BEB" w:rsidRDefault="00C76BEB" w:rsidP="00C76BEB">
      <w:pPr>
        <w:jc w:val="center"/>
        <w:rPr>
          <w:rFonts w:eastAsia="SimSun"/>
          <w:b/>
        </w:rPr>
      </w:pPr>
      <w:r w:rsidRPr="00C76BEB">
        <w:rPr>
          <w:rFonts w:eastAsia="SimSun"/>
          <w:b/>
        </w:rPr>
        <w:t>Figure 2   Test Setup with iPerf, Calibrated Network (DUT) and Competing (Meas.) Traffic</w:t>
      </w:r>
    </w:p>
    <w:p w14:paraId="033CE371" w14:textId="77777777" w:rsidR="00C76BEB" w:rsidRPr="00C76BEB" w:rsidRDefault="00C76BEB" w:rsidP="00C76BEB">
      <w:pPr>
        <w:rPr>
          <w:rFonts w:eastAsia="SimSun"/>
        </w:rPr>
      </w:pPr>
      <w:r w:rsidRPr="00C76BEB">
        <w:rPr>
          <w:rFonts w:eastAsia="SimSun"/>
        </w:rPr>
        <w:t>The network namespace is essential to force traffic to exit on the associated network interfaces and avoid internal routing through the kernel. The Netprobe tool can provide both competing UDP traffic and a sub-stream of the overall traffic with per-packet loss and latency measurements (both 1-way and round-trip in millisecond resolution).</w:t>
      </w:r>
    </w:p>
    <w:p w14:paraId="51EE26F0" w14:textId="77777777" w:rsidR="00C76BEB" w:rsidRPr="00C76BEB" w:rsidRDefault="00C76BEB" w:rsidP="00C76BEB">
      <w:pPr>
        <w:rPr>
          <w:rFonts w:eastAsia="SimSun"/>
        </w:rPr>
      </w:pPr>
    </w:p>
    <w:p w14:paraId="3858AA92"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Test Tools</w:t>
      </w:r>
    </w:p>
    <w:p w14:paraId="3C94644D"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Multiple open-source measurement tools have been used in evaluations that lead to the present summary and decisions along the way.  These are Cisco’s T-rex, iPerf 2, iPerf 3, NetProbe, and a new tool yet to be named. Traffic shaper and policer functions are part of the typical Linux distribution, as is the netem network impairment emulator.</w:t>
      </w:r>
    </w:p>
    <w:p w14:paraId="23D8BFD5"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Early UDP tests with T-rex supported the Phase 1 evaluation, and deployed the Binary Search with Loss Verification (BSwLV) advanced search algorithm specified in [TST009]. However, methodological choices (loss determined using un-synchronized Tx and Rx counters) and difficult activation of TCP testing encouraged investigation of other tools.</w:t>
      </w:r>
    </w:p>
    <w:p w14:paraId="4D440A65"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Although iPerf 2 has been succeeded by the development of iPerf 3, current testing has determined that iPerf 2 is more predictable to configure, once a few tricks have been learned. iPerf 2 is used throughout this Summary. MTU-sized packets are used throughout. iPerf 3 on Linux has some “features” which appear to need sorting-out (some configurations encounter sending rate limits).</w:t>
      </w:r>
    </w:p>
    <w:p w14:paraId="464FB17D"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NetProbe has been used exclusively as a complimentary measurement system (providing measurements of latency that iPerf 2/3 does not), and as a competing traffic generator (with measurement capability).</w:t>
      </w:r>
    </w:p>
    <w:p w14:paraId="7A58D85B"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3D7113FE" w14:textId="77777777" w:rsidR="00C76BEB" w:rsidRPr="00C76BEB" w:rsidRDefault="00C76BEB" w:rsidP="00C76BEB">
      <w:pPr>
        <w:rPr>
          <w:rFonts w:eastAsia="SimSun"/>
          <w:b/>
        </w:rPr>
      </w:pPr>
      <w:r w:rsidRPr="00C76BEB">
        <w:rPr>
          <w:rFonts w:eastAsia="SimSun"/>
          <w:b/>
        </w:rPr>
        <w:t>Calibration of Reported Results with iPerf 2</w:t>
      </w:r>
    </w:p>
    <w:p w14:paraId="3618D7B5" w14:textId="3BE0FA24" w:rsidR="00C76BEB" w:rsidRPr="00C76BEB" w:rsidRDefault="00C76BEB" w:rsidP="00C76BEB">
      <w:pPr>
        <w:rPr>
          <w:rFonts w:eastAsia="SimSun"/>
        </w:rPr>
      </w:pPr>
      <w:r w:rsidRPr="00C76BEB">
        <w:rPr>
          <w:rFonts w:eastAsia="SimSun"/>
        </w:rPr>
        <w:t>iPerf 2 reports rate measurements based on the transport payload bytes delivered (above the UDP or TCP layer). The TBF rate is specified in “</w:t>
      </w:r>
      <w:r w:rsidRPr="00684691">
        <w:rPr>
          <w:rFonts w:eastAsia="SimSun"/>
          <w:highlight w:val="yellow"/>
        </w:rPr>
        <w:t xml:space="preserve">bits </w:t>
      </w:r>
      <w:r w:rsidR="00684691">
        <w:rPr>
          <w:rFonts w:eastAsia="SimSun"/>
        </w:rPr>
        <w:t>in Layer 2 frames</w:t>
      </w:r>
      <w:r w:rsidR="00F117C8">
        <w:rPr>
          <w:rFonts w:eastAsia="SimSun"/>
        </w:rPr>
        <w:t xml:space="preserve"> without ETH CRC</w:t>
      </w:r>
      <w:r w:rsidRPr="00C76BEB">
        <w:rPr>
          <w:rFonts w:eastAsia="SimSun"/>
        </w:rPr>
        <w:t>”, so the headers added to transport payloads are included in TBF calculations (the rate includes ETH, IP and Transport header bits).</w:t>
      </w:r>
    </w:p>
    <w:p w14:paraId="72180BD3" w14:textId="406EBF80" w:rsidR="00C76BEB" w:rsidRPr="00C76BEB" w:rsidRDefault="00C76BEB" w:rsidP="00C76BEB">
      <w:pPr>
        <w:rPr>
          <w:rFonts w:eastAsia="SimSun"/>
        </w:rPr>
      </w:pPr>
      <w:r w:rsidRPr="00C76BEB">
        <w:rPr>
          <w:rFonts w:eastAsia="SimSun"/>
        </w:rPr>
        <w:t>Received Rate Calculations “with OH” include the per packet overhead of octets in the following headers: ETH (</w:t>
      </w:r>
      <w:r w:rsidR="00F117C8">
        <w:rPr>
          <w:rFonts w:eastAsia="SimSun"/>
        </w:rPr>
        <w:t>14</w:t>
      </w:r>
      <w:r w:rsidRPr="00C76BEB">
        <w:rPr>
          <w:rFonts w:eastAsia="SimSun"/>
        </w:rPr>
        <w:t xml:space="preserve">), IP(20), and UDP(8) or TCP(20). A typical UDP payload rate of </w:t>
      </w:r>
      <w:r w:rsidRPr="00C76BEB">
        <w:rPr>
          <w:rFonts w:eastAsia="SimSun"/>
          <w:u w:val="single"/>
        </w:rPr>
        <w:t>972Mbps corrected for overhead (</w:t>
      </w:r>
      <w:r w:rsidR="00F117C8">
        <w:rPr>
          <w:rFonts w:eastAsia="SimSun"/>
          <w:u w:val="single"/>
        </w:rPr>
        <w:t>1.0286</w:t>
      </w:r>
      <w:r w:rsidRPr="00C76BEB">
        <w:rPr>
          <w:rFonts w:eastAsia="SimSun"/>
          <w:u w:val="single"/>
        </w:rPr>
        <w:t>) is</w:t>
      </w:r>
      <w:r w:rsidR="00F117C8">
        <w:rPr>
          <w:rFonts w:eastAsia="SimSun"/>
          <w:u w:val="single"/>
        </w:rPr>
        <w:t xml:space="preserve"> 999.799</w:t>
      </w:r>
      <w:r w:rsidRPr="00C76BEB">
        <w:rPr>
          <w:rFonts w:eastAsia="SimSun"/>
          <w:u w:val="single"/>
        </w:rPr>
        <w:t xml:space="preserve"> Mbps</w:t>
      </w:r>
      <w:r w:rsidRPr="00C76BEB">
        <w:rPr>
          <w:rFonts w:eastAsia="SimSun"/>
        </w:rPr>
        <w:t xml:space="preserve">. </w:t>
      </w:r>
    </w:p>
    <w:p w14:paraId="138DEE41" w14:textId="77777777" w:rsidR="00F117C8" w:rsidRDefault="00C76BEB" w:rsidP="00C76BEB">
      <w:pPr>
        <w:spacing w:after="120"/>
        <w:rPr>
          <w:rFonts w:eastAsia="SimSun"/>
        </w:rPr>
      </w:pPr>
      <w:r w:rsidRPr="00C76BEB">
        <w:rPr>
          <w:rFonts w:eastAsia="SimSun"/>
        </w:rPr>
        <w:lastRenderedPageBreak/>
        <w:t xml:space="preserve">TCP Frame size is variable, because iPerf 2 submits an 8kB block to the sender which results in five frames at MTU size and 892 bytes left for the remaining frame to complete the block. The correction factor for overhead (OH) on TCP streams is </w:t>
      </w:r>
    </w:p>
    <w:p w14:paraId="7E0EB8E9" w14:textId="28383F80" w:rsidR="00F117C8" w:rsidRDefault="00FA6F8E" w:rsidP="00C76BEB">
      <w:pPr>
        <w:spacing w:after="120"/>
        <w:rPr>
          <w:rFonts w:eastAsia="SimSun"/>
        </w:rPr>
      </w:pPr>
      <w:r>
        <w:rPr>
          <w:rFonts w:eastAsia="SimSun"/>
        </w:rPr>
        <w:t>54+1460 x5 = 7354 + 946 = 8300   8300/8192 = 1.01318</w:t>
      </w:r>
      <w:r w:rsidR="000C59F6">
        <w:rPr>
          <w:rFonts w:eastAsia="SimSun"/>
        </w:rPr>
        <w:t xml:space="preserve">  (but this needs further confirmation with a packet trace)</w:t>
      </w:r>
    </w:p>
    <w:p w14:paraId="1F8A8C06" w14:textId="1379080C" w:rsidR="00C76BEB" w:rsidRPr="00C76BEB" w:rsidRDefault="00FA6F8E" w:rsidP="00C76BEB">
      <w:pPr>
        <w:spacing w:after="120"/>
        <w:rPr>
          <w:rFonts w:eastAsia="SimSun"/>
        </w:rPr>
      </w:pPr>
      <w:r>
        <w:rPr>
          <w:rFonts w:eastAsia="SimSun"/>
        </w:rPr>
        <w:t>1.01318</w:t>
      </w:r>
      <w:r w:rsidR="00C76BEB" w:rsidRPr="00C76BEB">
        <w:rPr>
          <w:rFonts w:eastAsia="SimSun"/>
        </w:rPr>
        <w:t xml:space="preserve">* the measured TCP payload rate. A high TCP payload rate with 3 connections (with no delay) of </w:t>
      </w:r>
      <w:r w:rsidR="00C76BEB" w:rsidRPr="00C76BEB">
        <w:rPr>
          <w:rFonts w:eastAsia="SimSun"/>
          <w:u w:val="single"/>
        </w:rPr>
        <w:t>956Mbps is 9</w:t>
      </w:r>
      <w:r>
        <w:rPr>
          <w:rFonts w:eastAsia="SimSun"/>
          <w:u w:val="single"/>
        </w:rPr>
        <w:t>68</w:t>
      </w:r>
      <w:r w:rsidR="00C76BEB" w:rsidRPr="00C76BEB">
        <w:rPr>
          <w:rFonts w:eastAsia="SimSun"/>
          <w:u w:val="single"/>
        </w:rPr>
        <w:t>Mbps</w:t>
      </w:r>
      <w:r w:rsidR="00C76BEB" w:rsidRPr="00C76BEB">
        <w:rPr>
          <w:rFonts w:eastAsia="SimSun"/>
        </w:rPr>
        <w:t xml:space="preserve"> when corrected for overhead.</w:t>
      </w:r>
    </w:p>
    <w:p w14:paraId="212A8B16"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There is also some inconsistency between calculated TCP maximum receive window size (RWIN) reported by iPerf 2 and the measured value with 20ms RTT.  One test with 3 TCP connections yielded:</w:t>
      </w:r>
    </w:p>
    <w:p w14:paraId="78269AB6" w14:textId="77777777" w:rsidR="00C76BEB" w:rsidRPr="00C76BEB" w:rsidRDefault="00C76BEB" w:rsidP="00C76BEB">
      <w:pPr>
        <w:rPr>
          <w:rFonts w:eastAsia="SimSun"/>
        </w:rPr>
      </w:pPr>
      <w:r w:rsidRPr="00C76BEB">
        <w:rPr>
          <w:rFonts w:eastAsia="SimSun"/>
        </w:rPr>
        <w:t>956Mbps/3 connections = 318,666,666 bps per connection</w:t>
      </w:r>
    </w:p>
    <w:p w14:paraId="7C0A4282" w14:textId="77777777" w:rsidR="00C76BEB" w:rsidRPr="00C76BEB" w:rsidRDefault="00C76BEB" w:rsidP="00C76BEB">
      <w:pPr>
        <w:rPr>
          <w:rFonts w:eastAsia="SimSun"/>
        </w:rPr>
      </w:pPr>
      <w:r w:rsidRPr="00C76BEB">
        <w:rPr>
          <w:rFonts w:eastAsia="SimSun"/>
        </w:rPr>
        <w:t xml:space="preserve">318,666,666 / 50 windows per sec = 6,373,333.32 bits in RWIN </w:t>
      </w:r>
    </w:p>
    <w:p w14:paraId="30A661F3" w14:textId="77777777" w:rsidR="00C76BEB" w:rsidRPr="00C76BEB" w:rsidRDefault="00C76BEB" w:rsidP="00C76BEB">
      <w:pPr>
        <w:rPr>
          <w:rFonts w:eastAsia="SimSun"/>
        </w:rPr>
      </w:pPr>
      <w:r w:rsidRPr="00C76BEB">
        <w:rPr>
          <w:rFonts w:eastAsia="SimSun"/>
        </w:rPr>
        <w:t xml:space="preserve">                                               or 796,666 bytes ~ 0.8 MBytes (not 0.08 MBytes as iPerf 2 reported)</w:t>
      </w:r>
    </w:p>
    <w:p w14:paraId="7A087054" w14:textId="77777777" w:rsidR="00C76BEB" w:rsidRPr="00C76BEB" w:rsidRDefault="00C76BEB" w:rsidP="00C76BEB">
      <w:pPr>
        <w:rPr>
          <w:rFonts w:eastAsia="SimSun"/>
        </w:rPr>
      </w:pPr>
    </w:p>
    <w:p w14:paraId="30CA4A8A"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5B9A6C12" w14:textId="77777777" w:rsidR="00C76BEB" w:rsidRPr="00C76BEB" w:rsidRDefault="00C76BEB" w:rsidP="00C76BEB">
      <w:pPr>
        <w:overflowPunct w:val="0"/>
        <w:autoSpaceDE w:val="0"/>
        <w:autoSpaceDN w:val="0"/>
        <w:adjustRightInd w:val="0"/>
        <w:ind w:left="567" w:hanging="567"/>
        <w:textAlignment w:val="baseline"/>
        <w:rPr>
          <w:rFonts w:eastAsia="SimSun"/>
          <w:b/>
        </w:rPr>
      </w:pPr>
      <w:r w:rsidRPr="00C76BEB">
        <w:rPr>
          <w:rFonts w:eastAsia="SimSun"/>
          <w:b/>
        </w:rPr>
        <w:t>Summary of Test Approach and Results</w:t>
      </w:r>
    </w:p>
    <w:p w14:paraId="4E30C382" w14:textId="77777777" w:rsidR="00C76BEB" w:rsidRPr="00C76BEB" w:rsidRDefault="00C76BEB" w:rsidP="00C76BEB">
      <w:pPr>
        <w:overflowPunct w:val="0"/>
        <w:autoSpaceDE w:val="0"/>
        <w:autoSpaceDN w:val="0"/>
        <w:adjustRightInd w:val="0"/>
        <w:ind w:left="567" w:hanging="567"/>
        <w:textAlignment w:val="baseline"/>
        <w:rPr>
          <w:rFonts w:eastAsia="SimSun"/>
        </w:rPr>
      </w:pPr>
      <w:r w:rsidRPr="00C76BEB">
        <w:rPr>
          <w:rFonts w:eastAsia="SimSun"/>
        </w:rPr>
        <w:t>The following Figure summarizes part of the testing thus far.</w:t>
      </w:r>
    </w:p>
    <w:p w14:paraId="3FC92B51" w14:textId="77777777" w:rsidR="00C76BEB" w:rsidRPr="00C76BEB" w:rsidRDefault="00C76BEB" w:rsidP="00C76BEB">
      <w:pPr>
        <w:overflowPunct w:val="0"/>
        <w:autoSpaceDE w:val="0"/>
        <w:autoSpaceDN w:val="0"/>
        <w:adjustRightInd w:val="0"/>
        <w:ind w:left="567" w:hanging="567"/>
        <w:jc w:val="center"/>
        <w:textAlignment w:val="baseline"/>
        <w:rPr>
          <w:rFonts w:eastAsia="SimSun"/>
        </w:rPr>
      </w:pPr>
      <w:r w:rsidRPr="00C76BEB">
        <w:rPr>
          <w:rFonts w:eastAsia="SimSun"/>
          <w:noProof/>
          <w:lang w:eastAsia="zh-CN"/>
        </w:rPr>
        <w:drawing>
          <wp:inline distT="0" distB="0" distL="0" distR="0" wp14:anchorId="3CFEA406" wp14:editId="0FE74928">
            <wp:extent cx="5427445" cy="3593917"/>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51442" cy="3609807"/>
                    </a:xfrm>
                    <a:prstGeom prst="rect">
                      <a:avLst/>
                    </a:prstGeom>
                    <a:noFill/>
                  </pic:spPr>
                </pic:pic>
              </a:graphicData>
            </a:graphic>
          </wp:inline>
        </w:drawing>
      </w:r>
    </w:p>
    <w:p w14:paraId="238F9B25" w14:textId="77777777" w:rsidR="00C76BEB" w:rsidRPr="00C76BEB" w:rsidRDefault="00C76BEB" w:rsidP="00C76BEB">
      <w:pPr>
        <w:overflowPunct w:val="0"/>
        <w:autoSpaceDE w:val="0"/>
        <w:autoSpaceDN w:val="0"/>
        <w:adjustRightInd w:val="0"/>
        <w:ind w:left="567" w:hanging="567"/>
        <w:jc w:val="center"/>
        <w:textAlignment w:val="baseline"/>
        <w:rPr>
          <w:rFonts w:eastAsia="SimSun"/>
          <w:b/>
        </w:rPr>
      </w:pPr>
      <w:r w:rsidRPr="00C76BEB">
        <w:rPr>
          <w:rFonts w:eastAsia="SimSun"/>
          <w:b/>
        </w:rPr>
        <w:t>Figure 3 Testing Summary</w:t>
      </w:r>
    </w:p>
    <w:p w14:paraId="573F9050"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3C903DE8"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04A3B5E4"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Summary of Tests Comparing Measured Capacity vs Calibrated PHY Rates</w:t>
      </w:r>
    </w:p>
    <w:p w14:paraId="17859FAE"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SimSun"/>
        </w:rPr>
        <w:t>The test setup and configuration (described in Figure 2 above) uses a Token Bucket Filter (TBF) in Node 4 eno4 with configurable target rate, and allows some burstiness, but also sets the maximum time any packet can stay in processing (typically 4ms). 100Mbps is one of the higher rates that [BEREC] intended to use for verifications in Req-127. Most of the results in this section were influenced by simulated delay (in netem).</w:t>
      </w:r>
    </w:p>
    <w:p w14:paraId="7C4BA45C" w14:textId="77777777" w:rsidR="00C76BEB" w:rsidRPr="00C76BEB" w:rsidRDefault="00C76BEB" w:rsidP="00C76BEB">
      <w:pPr>
        <w:rPr>
          <w:rFonts w:eastAsia="SimSun"/>
          <w:b/>
        </w:rPr>
      </w:pPr>
    </w:p>
    <w:p w14:paraId="7CED4891" w14:textId="77777777" w:rsidR="00C76BEB" w:rsidRPr="00C76BEB" w:rsidRDefault="00C76BEB" w:rsidP="00C76BEB">
      <w:pPr>
        <w:jc w:val="center"/>
        <w:rPr>
          <w:rFonts w:eastAsia="SimSun"/>
          <w:b/>
        </w:rPr>
      </w:pPr>
      <w:r w:rsidRPr="00C76BEB">
        <w:rPr>
          <w:rFonts w:eastAsia="SimSun"/>
          <w:b/>
          <w:noProof/>
          <w:lang w:eastAsia="zh-CN"/>
        </w:rPr>
        <w:drawing>
          <wp:inline distT="0" distB="0" distL="0" distR="0" wp14:anchorId="36EE483E" wp14:editId="6E563BA7">
            <wp:extent cx="6120765" cy="20605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060575"/>
                    </a:xfrm>
                    <a:prstGeom prst="rect">
                      <a:avLst/>
                    </a:prstGeom>
                    <a:noFill/>
                  </pic:spPr>
                </pic:pic>
              </a:graphicData>
            </a:graphic>
          </wp:inline>
        </w:drawing>
      </w:r>
    </w:p>
    <w:p w14:paraId="3605D94A" w14:textId="77777777" w:rsidR="00C76BEB" w:rsidRPr="00C76BEB" w:rsidRDefault="00C76BEB" w:rsidP="00C76BEB">
      <w:pPr>
        <w:overflowPunct w:val="0"/>
        <w:autoSpaceDE w:val="0"/>
        <w:autoSpaceDN w:val="0"/>
        <w:adjustRightInd w:val="0"/>
        <w:ind w:left="567" w:hanging="567"/>
        <w:jc w:val="center"/>
        <w:textAlignment w:val="baseline"/>
        <w:rPr>
          <w:rFonts w:eastAsia="SimSun"/>
          <w:b/>
        </w:rPr>
      </w:pPr>
      <w:r w:rsidRPr="00C76BEB">
        <w:rPr>
          <w:rFonts w:eastAsia="SimSun"/>
          <w:b/>
        </w:rPr>
        <w:t>Figure 4 Summary of Measured Capacity vs Calibrated Rates</w:t>
      </w:r>
    </w:p>
    <w:p w14:paraId="196DB40B"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20A0BA67"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 xml:space="preserve">As Figure 4 shows, iPerf 2 UDP-based methods operate approximately loss-free at the rate configured in the Token Bucket Filter (TBF), e,g,. 972Mbps in UDP payloads (which corrects to 1001Mbps taking the headers into account). Measurements with 3 TCP connections are sensitive to the round-trip delay, particularly as the TBF rate increases to 1000Mbps (and the header correction is not sufficient to compensate (although TCP start-up time is a factor, 956Mbps achieved after 2 seconds).  </w:t>
      </w:r>
    </w:p>
    <w:p w14:paraId="511BC1EE" w14:textId="325458C3"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The measurements of 10,000Mbps (10Gbps) links alone (with no TBF or netem) represent a very practical source of rate-limiting. Tests with 3 TCP connections and 5 TCP connections under these realistic conditions continued to underestimate the PHY rate after applying header correction factors. iPerf 2 and T-rex were unable to generate a single UDP stream above ~5Gbps in this test setup (this finding was investigated further: two iPerf 2 Clients simultaneously generated 3.94 + 4.18 = 8.12 Gbps, and a third stream appears to be needed).</w:t>
      </w:r>
    </w:p>
    <w:p w14:paraId="30EBB05D"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5CD99EA6"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Summary of Tests Comparing Measured Capacity vs Round-trip Delay</w:t>
      </w:r>
    </w:p>
    <w:p w14:paraId="23A82F5B" w14:textId="77777777" w:rsidR="00C76BEB" w:rsidRPr="00C76BEB" w:rsidRDefault="00C76BEB" w:rsidP="00C76BEB">
      <w:pPr>
        <w:spacing w:before="0" w:after="120"/>
        <w:rPr>
          <w:rFonts w:eastAsia="Times New Roman"/>
          <w:lang w:val="en-US" w:eastAsia="en-US"/>
        </w:rPr>
      </w:pPr>
      <w:r w:rsidRPr="00C76BEB">
        <w:rPr>
          <w:rFonts w:eastAsia="Times New Roman"/>
          <w:lang w:val="en-US" w:eastAsia="en-US"/>
        </w:rPr>
        <w:t xml:space="preserve">Using a single Target TBF rate of 1Gbps, constant delay was emulated in the round-trip path (on Node 4 eno3) using netem. </w:t>
      </w:r>
    </w:p>
    <w:p w14:paraId="062D82DD" w14:textId="77777777" w:rsidR="00C76BEB" w:rsidRPr="00C76BEB" w:rsidRDefault="00C76BEB" w:rsidP="00C76BEB">
      <w:pPr>
        <w:rPr>
          <w:rFonts w:eastAsia="SimSun"/>
          <w:b/>
        </w:rPr>
      </w:pPr>
      <w:r w:rsidRPr="00C76BEB">
        <w:rPr>
          <w:rFonts w:eastAsia="Times New Roman"/>
          <w:noProof/>
          <w:sz w:val="20"/>
          <w:szCs w:val="20"/>
          <w:lang w:eastAsia="zh-CN"/>
        </w:rPr>
        <w:drawing>
          <wp:inline distT="0" distB="0" distL="0" distR="0" wp14:anchorId="7D3B5A4B" wp14:editId="6903ED59">
            <wp:extent cx="6120130" cy="23393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339340"/>
                    </a:xfrm>
                    <a:prstGeom prst="rect">
                      <a:avLst/>
                    </a:prstGeom>
                  </pic:spPr>
                </pic:pic>
              </a:graphicData>
            </a:graphic>
          </wp:inline>
        </w:drawing>
      </w:r>
    </w:p>
    <w:p w14:paraId="1B0212BB" w14:textId="77777777" w:rsidR="00C76BEB" w:rsidRPr="00C76BEB" w:rsidRDefault="00C76BEB" w:rsidP="00C76BEB">
      <w:pPr>
        <w:overflowPunct w:val="0"/>
        <w:autoSpaceDE w:val="0"/>
        <w:autoSpaceDN w:val="0"/>
        <w:adjustRightInd w:val="0"/>
        <w:ind w:left="567" w:hanging="567"/>
        <w:jc w:val="center"/>
        <w:textAlignment w:val="baseline"/>
        <w:rPr>
          <w:rFonts w:eastAsia="SimSun"/>
          <w:b/>
        </w:rPr>
      </w:pPr>
      <w:r w:rsidRPr="00C76BEB">
        <w:rPr>
          <w:rFonts w:eastAsia="SimSun"/>
          <w:b/>
        </w:rPr>
        <w:t>Figure 5 Summary of Measured Capacity vs Round-trip Delay @1Gbps</w:t>
      </w:r>
    </w:p>
    <w:p w14:paraId="39955D7C" w14:textId="77777777" w:rsidR="00C76BEB" w:rsidRPr="00C76BEB" w:rsidRDefault="00C76BEB" w:rsidP="00C76BEB">
      <w:pPr>
        <w:rPr>
          <w:rFonts w:eastAsia="SimSun"/>
        </w:rPr>
      </w:pPr>
      <w:r w:rsidRPr="00C76BEB">
        <w:rPr>
          <w:rFonts w:eastAsia="SimSun"/>
        </w:rPr>
        <w:t xml:space="preserve">Netprobe Latency measurements (see the next section) confirm that when the TBF is limiting Rate (and some packets are dropped), the configured TBF Latency adds as much as 4ms to the netem latency (20 or 40 ms, above) for some packets. UDP Capacity test results are immune to Latency, </w:t>
      </w:r>
      <w:r w:rsidRPr="00C76BEB">
        <w:rPr>
          <w:rFonts w:eastAsia="SimSun"/>
        </w:rPr>
        <w:lastRenderedPageBreak/>
        <w:t xml:space="preserve">but allow UDP Latency measurements to be added conveniently. However, the TCP flow-control loop is sensitive to Latency (specifically, the Round-trip time), and its Capacity measurements suffer with increasing delay (especially when the BW*Delay product exceeds the Max Receive window size configuration, see measurements at 40ms in Figure 5). </w:t>
      </w:r>
    </w:p>
    <w:p w14:paraId="323037D0" w14:textId="77777777" w:rsidR="00C76BEB" w:rsidRPr="00C76BEB" w:rsidRDefault="00C76BEB" w:rsidP="00C76BEB">
      <w:pPr>
        <w:rPr>
          <w:rFonts w:eastAsia="SimSun"/>
        </w:rPr>
      </w:pPr>
      <w:r w:rsidRPr="00C76BEB">
        <w:rPr>
          <w:rFonts w:eastAsia="Times New Roman"/>
          <w:lang w:eastAsia="en-US"/>
        </w:rPr>
        <w:t>At the request of ETSI STQ members, tests of TCP at 5 ms and 10ms were conducted, and all tests from 0ms to 20ms were repeated. The results show that TCP-based measurement has variable results, and delay tends to increase the potential variability. [RFC8337] notes this issue for measurements with TCP flow control, in section 4.</w:t>
      </w:r>
    </w:p>
    <w:p w14:paraId="7ED9F143" w14:textId="77777777" w:rsidR="00C76BEB" w:rsidRPr="00C76BEB" w:rsidRDefault="00C76BEB" w:rsidP="00C76BEB">
      <w:pPr>
        <w:rPr>
          <w:rFonts w:eastAsia="SimSun"/>
        </w:rPr>
      </w:pPr>
    </w:p>
    <w:p w14:paraId="0A099B38"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Summary of Tests with Competing Traffic</w:t>
      </w:r>
    </w:p>
    <w:p w14:paraId="2D945AD5" w14:textId="77777777" w:rsidR="00C76BEB" w:rsidRPr="00C76BEB" w:rsidRDefault="00C76BEB" w:rsidP="00C76BEB">
      <w:pPr>
        <w:spacing w:before="0" w:after="120"/>
        <w:rPr>
          <w:rFonts w:eastAsia="Times New Roman"/>
          <w:lang w:val="en-US" w:eastAsia="en-US"/>
        </w:rPr>
      </w:pPr>
      <w:r w:rsidRPr="00C76BEB">
        <w:rPr>
          <w:rFonts w:eastAsia="Times New Roman"/>
          <w:lang w:val="en-US" w:eastAsia="en-US"/>
        </w:rPr>
        <w:t xml:space="preserve">This section summarizes three tests where UDP and TCP streams attempt to make IP Capacity measurements in the presence of a competing traffic stream (a constant bit rate stream from NetProbe, which enables measurement of Packet Delay and Packet Delay Variation, or PDV). </w:t>
      </w:r>
    </w:p>
    <w:p w14:paraId="2F6D6CA8" w14:textId="77777777" w:rsidR="00C76BEB" w:rsidRPr="00C76BEB" w:rsidRDefault="00C76BEB" w:rsidP="00C76BEB">
      <w:pPr>
        <w:rPr>
          <w:rFonts w:eastAsia="SimSun"/>
        </w:rPr>
      </w:pPr>
    </w:p>
    <w:p w14:paraId="13EE2341" w14:textId="77777777" w:rsidR="00C76BEB" w:rsidRPr="00C76BEB" w:rsidRDefault="00C76BEB" w:rsidP="00C76BEB">
      <w:pPr>
        <w:jc w:val="center"/>
        <w:rPr>
          <w:rFonts w:eastAsia="SimSun"/>
          <w:b/>
        </w:rPr>
      </w:pPr>
      <w:r w:rsidRPr="00C76BEB">
        <w:rPr>
          <w:rFonts w:eastAsia="SimSun"/>
          <w:b/>
        </w:rPr>
        <w:t>Table 1 Competing 1Mbps with 1000 Mbps Token Bucket Filter+Delay “phy2phy”</w:t>
      </w:r>
    </w:p>
    <w:p w14:paraId="31CB2D43" w14:textId="77777777" w:rsidR="00C76BEB" w:rsidRPr="00C76BEB" w:rsidRDefault="00C76BEB" w:rsidP="00C76BEB">
      <w:pPr>
        <w:rPr>
          <w:rFonts w:eastAsia="SimSun"/>
        </w:rPr>
      </w:pPr>
    </w:p>
    <w:tbl>
      <w:tblPr>
        <w:tblStyle w:val="TableGrid1"/>
        <w:tblW w:w="0" w:type="auto"/>
        <w:tblInd w:w="85" w:type="dxa"/>
        <w:tblLayout w:type="fixed"/>
        <w:tblLook w:val="04A0" w:firstRow="1" w:lastRow="0" w:firstColumn="1" w:lastColumn="0" w:noHBand="0" w:noVBand="1"/>
      </w:tblPr>
      <w:tblGrid>
        <w:gridCol w:w="1037"/>
        <w:gridCol w:w="1117"/>
        <w:gridCol w:w="899"/>
        <w:gridCol w:w="899"/>
        <w:gridCol w:w="957"/>
        <w:gridCol w:w="1084"/>
        <w:gridCol w:w="1027"/>
        <w:gridCol w:w="720"/>
        <w:gridCol w:w="900"/>
        <w:gridCol w:w="904"/>
      </w:tblGrid>
      <w:tr w:rsidR="00C76BEB" w:rsidRPr="00C76BEB" w14:paraId="062FF515" w14:textId="77777777" w:rsidTr="001D2BF0">
        <w:tc>
          <w:tcPr>
            <w:tcW w:w="1037" w:type="dxa"/>
          </w:tcPr>
          <w:p w14:paraId="5A94231A"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Notes</w:t>
            </w:r>
          </w:p>
        </w:tc>
        <w:tc>
          <w:tcPr>
            <w:tcW w:w="1117" w:type="dxa"/>
          </w:tcPr>
          <w:p w14:paraId="00138C64"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TBF Rate</w:t>
            </w:r>
          </w:p>
        </w:tc>
        <w:tc>
          <w:tcPr>
            <w:tcW w:w="899" w:type="dxa"/>
          </w:tcPr>
          <w:p w14:paraId="08FD9A0B"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TBF burst, Latency</w:t>
            </w:r>
          </w:p>
        </w:tc>
        <w:tc>
          <w:tcPr>
            <w:tcW w:w="899" w:type="dxa"/>
          </w:tcPr>
          <w:p w14:paraId="040B56F1"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Netem RT Latency</w:t>
            </w:r>
          </w:p>
        </w:tc>
        <w:tc>
          <w:tcPr>
            <w:tcW w:w="957" w:type="dxa"/>
          </w:tcPr>
          <w:p w14:paraId="42130C7F"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Tool</w:t>
            </w:r>
          </w:p>
        </w:tc>
        <w:tc>
          <w:tcPr>
            <w:tcW w:w="1084" w:type="dxa"/>
          </w:tcPr>
          <w:p w14:paraId="6FD34D94"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Frame size, bytes</w:t>
            </w:r>
          </w:p>
        </w:tc>
        <w:tc>
          <w:tcPr>
            <w:tcW w:w="1027" w:type="dxa"/>
          </w:tcPr>
          <w:p w14:paraId="18540E8B"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Rx Rate, Mbps</w:t>
            </w:r>
          </w:p>
        </w:tc>
        <w:tc>
          <w:tcPr>
            <w:tcW w:w="720" w:type="dxa"/>
          </w:tcPr>
          <w:p w14:paraId="6BBEB400"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Meas Lat</w:t>
            </w:r>
          </w:p>
        </w:tc>
        <w:tc>
          <w:tcPr>
            <w:tcW w:w="900" w:type="dxa"/>
          </w:tcPr>
          <w:p w14:paraId="0E0C451C"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Loss Count</w:t>
            </w:r>
          </w:p>
        </w:tc>
        <w:tc>
          <w:tcPr>
            <w:tcW w:w="904" w:type="dxa"/>
          </w:tcPr>
          <w:p w14:paraId="07C4063D" w14:textId="77777777" w:rsidR="00C76BEB" w:rsidRPr="00C76BEB" w:rsidRDefault="00C76BEB" w:rsidP="00C76BEB">
            <w:pPr>
              <w:overflowPunct w:val="0"/>
              <w:autoSpaceDE w:val="0"/>
              <w:autoSpaceDN w:val="0"/>
              <w:adjustRightInd w:val="0"/>
              <w:textAlignment w:val="baseline"/>
              <w:rPr>
                <w:sz w:val="22"/>
                <w:lang w:val="en-US"/>
              </w:rPr>
            </w:pPr>
            <w:r w:rsidRPr="00C76BEB">
              <w:rPr>
                <w:b/>
                <w:sz w:val="18"/>
                <w:lang w:val="en-US"/>
              </w:rPr>
              <w:t xml:space="preserve">Rate </w:t>
            </w:r>
            <w:r w:rsidRPr="00C76BEB">
              <w:rPr>
                <w:b/>
                <w:sz w:val="16"/>
                <w:lang w:val="en-US"/>
              </w:rPr>
              <w:t>Accuracy</w:t>
            </w:r>
          </w:p>
        </w:tc>
      </w:tr>
      <w:tr w:rsidR="00C76BEB" w:rsidRPr="00C76BEB" w14:paraId="268C254B" w14:textId="77777777" w:rsidTr="001D2BF0">
        <w:tc>
          <w:tcPr>
            <w:tcW w:w="1037" w:type="dxa"/>
          </w:tcPr>
          <w:p w14:paraId="78D9CC77"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27 Jan with netprobe sending 1,156,800 bps</w:t>
            </w:r>
          </w:p>
        </w:tc>
        <w:tc>
          <w:tcPr>
            <w:tcW w:w="1117" w:type="dxa"/>
            <w:vMerge w:val="restart"/>
          </w:tcPr>
          <w:p w14:paraId="5685E704"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1000 Mbps</w:t>
            </w:r>
          </w:p>
        </w:tc>
        <w:tc>
          <w:tcPr>
            <w:tcW w:w="899" w:type="dxa"/>
            <w:vMerge w:val="restart"/>
          </w:tcPr>
          <w:p w14:paraId="69FC72F8"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5kb 4.0ms</w:t>
            </w:r>
          </w:p>
        </w:tc>
        <w:tc>
          <w:tcPr>
            <w:tcW w:w="899" w:type="dxa"/>
          </w:tcPr>
          <w:p w14:paraId="14D3913A"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40 ms (eno3)</w:t>
            </w:r>
          </w:p>
        </w:tc>
        <w:tc>
          <w:tcPr>
            <w:tcW w:w="957" w:type="dxa"/>
          </w:tcPr>
          <w:p w14:paraId="13771E96" w14:textId="77777777" w:rsidR="00C76BEB" w:rsidRPr="00F12B27" w:rsidRDefault="00C76BEB" w:rsidP="00C76BEB">
            <w:pPr>
              <w:overflowPunct w:val="0"/>
              <w:autoSpaceDE w:val="0"/>
              <w:autoSpaceDN w:val="0"/>
              <w:adjustRightInd w:val="0"/>
              <w:textAlignment w:val="baseline"/>
              <w:rPr>
                <w:sz w:val="22"/>
                <w:lang w:val="en-US"/>
              </w:rPr>
            </w:pPr>
            <w:r w:rsidRPr="00F12B27">
              <w:rPr>
                <w:sz w:val="22"/>
                <w:lang w:val="en-US"/>
              </w:rPr>
              <w:t xml:space="preserve">iPerf2; UDP uni-dir </w:t>
            </w:r>
            <w:r w:rsidRPr="00F12B27">
              <w:rPr>
                <w:b/>
                <w:sz w:val="22"/>
                <w:lang w:val="en-US"/>
              </w:rPr>
              <w:t>–b 972000000</w:t>
            </w:r>
          </w:p>
        </w:tc>
        <w:tc>
          <w:tcPr>
            <w:tcW w:w="1084" w:type="dxa"/>
          </w:tcPr>
          <w:p w14:paraId="5BDD2307"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1470 data</w:t>
            </w:r>
          </w:p>
        </w:tc>
        <w:tc>
          <w:tcPr>
            <w:tcW w:w="1027" w:type="dxa"/>
          </w:tcPr>
          <w:p w14:paraId="4D95A8C5"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971 Mbps</w:t>
            </w:r>
          </w:p>
        </w:tc>
        <w:tc>
          <w:tcPr>
            <w:tcW w:w="720" w:type="dxa"/>
          </w:tcPr>
          <w:p w14:paraId="0178769F"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Fig 6</w:t>
            </w:r>
          </w:p>
        </w:tc>
        <w:tc>
          <w:tcPr>
            <w:tcW w:w="900" w:type="dxa"/>
          </w:tcPr>
          <w:p w14:paraId="056B5834"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798 in most of test</w:t>
            </w:r>
          </w:p>
        </w:tc>
        <w:tc>
          <w:tcPr>
            <w:tcW w:w="904" w:type="dxa"/>
          </w:tcPr>
          <w:p w14:paraId="02237D57"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0.971</w:t>
            </w:r>
          </w:p>
        </w:tc>
      </w:tr>
      <w:tr w:rsidR="00C76BEB" w:rsidRPr="00C76BEB" w14:paraId="2CB83734" w14:textId="77777777" w:rsidTr="001D2BF0">
        <w:tc>
          <w:tcPr>
            <w:tcW w:w="1037" w:type="dxa"/>
          </w:tcPr>
          <w:p w14:paraId="697F68AB"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27 Jan with netprobe sending 1,156,800 bps</w:t>
            </w:r>
          </w:p>
        </w:tc>
        <w:tc>
          <w:tcPr>
            <w:tcW w:w="1117" w:type="dxa"/>
            <w:vMerge/>
          </w:tcPr>
          <w:p w14:paraId="57DF4CE6" w14:textId="77777777" w:rsidR="00C76BEB" w:rsidRPr="00C76BEB" w:rsidRDefault="00C76BEB" w:rsidP="00C76BEB">
            <w:pPr>
              <w:overflowPunct w:val="0"/>
              <w:autoSpaceDE w:val="0"/>
              <w:autoSpaceDN w:val="0"/>
              <w:adjustRightInd w:val="0"/>
              <w:textAlignment w:val="baseline"/>
              <w:rPr>
                <w:sz w:val="22"/>
                <w:lang w:val="en-US"/>
              </w:rPr>
            </w:pPr>
          </w:p>
        </w:tc>
        <w:tc>
          <w:tcPr>
            <w:tcW w:w="899" w:type="dxa"/>
            <w:vMerge/>
          </w:tcPr>
          <w:p w14:paraId="2C95F929" w14:textId="77777777" w:rsidR="00C76BEB" w:rsidRPr="00C76BEB" w:rsidRDefault="00C76BEB" w:rsidP="00C76BEB">
            <w:pPr>
              <w:overflowPunct w:val="0"/>
              <w:autoSpaceDE w:val="0"/>
              <w:autoSpaceDN w:val="0"/>
              <w:adjustRightInd w:val="0"/>
              <w:textAlignment w:val="baseline"/>
              <w:rPr>
                <w:sz w:val="22"/>
                <w:lang w:val="en-US"/>
              </w:rPr>
            </w:pPr>
          </w:p>
        </w:tc>
        <w:tc>
          <w:tcPr>
            <w:tcW w:w="899" w:type="dxa"/>
          </w:tcPr>
          <w:p w14:paraId="10845910"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40 ms (eno3)</w:t>
            </w:r>
          </w:p>
        </w:tc>
        <w:tc>
          <w:tcPr>
            <w:tcW w:w="957" w:type="dxa"/>
          </w:tcPr>
          <w:p w14:paraId="40597302" w14:textId="77777777" w:rsidR="00C76BEB" w:rsidRPr="00C76BEB" w:rsidRDefault="00C76BEB" w:rsidP="00C76BEB">
            <w:pPr>
              <w:overflowPunct w:val="0"/>
              <w:autoSpaceDE w:val="0"/>
              <w:autoSpaceDN w:val="0"/>
              <w:adjustRightInd w:val="0"/>
              <w:textAlignment w:val="baseline"/>
              <w:rPr>
                <w:sz w:val="22"/>
                <w:lang w:val="fr-CH"/>
              </w:rPr>
            </w:pPr>
            <w:r w:rsidRPr="00F12B27">
              <w:rPr>
                <w:sz w:val="22"/>
                <w:lang w:val="en-US"/>
              </w:rPr>
              <w:t xml:space="preserve">iPerf2; UDP uni-dir </w:t>
            </w:r>
            <w:r w:rsidRPr="00F12B27">
              <w:rPr>
                <w:b/>
                <w:sz w:val="22"/>
                <w:lang w:val="en-US"/>
              </w:rPr>
              <w:t>–b 971000000</w:t>
            </w:r>
          </w:p>
        </w:tc>
        <w:tc>
          <w:tcPr>
            <w:tcW w:w="1084" w:type="dxa"/>
          </w:tcPr>
          <w:p w14:paraId="429DF668"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1470 data</w:t>
            </w:r>
          </w:p>
        </w:tc>
        <w:tc>
          <w:tcPr>
            <w:tcW w:w="1027" w:type="dxa"/>
          </w:tcPr>
          <w:p w14:paraId="4102D616"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971 Mbps</w:t>
            </w:r>
          </w:p>
        </w:tc>
        <w:tc>
          <w:tcPr>
            <w:tcW w:w="720" w:type="dxa"/>
          </w:tcPr>
          <w:p w14:paraId="24DBEFD2"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Fig 7</w:t>
            </w:r>
          </w:p>
        </w:tc>
        <w:tc>
          <w:tcPr>
            <w:tcW w:w="900" w:type="dxa"/>
          </w:tcPr>
          <w:p w14:paraId="248C1F5C"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245 (in 1</w:t>
            </w:r>
            <w:r w:rsidRPr="00C76BEB">
              <w:rPr>
                <w:sz w:val="22"/>
                <w:vertAlign w:val="superscript"/>
                <w:lang w:val="en-US"/>
              </w:rPr>
              <w:t>st</w:t>
            </w:r>
            <w:r w:rsidRPr="00C76BEB">
              <w:rPr>
                <w:sz w:val="22"/>
                <w:lang w:val="en-US"/>
              </w:rPr>
              <w:t xml:space="preserve"> sec only)</w:t>
            </w:r>
          </w:p>
        </w:tc>
        <w:tc>
          <w:tcPr>
            <w:tcW w:w="904" w:type="dxa"/>
          </w:tcPr>
          <w:p w14:paraId="2E9BDE9F"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0.971</w:t>
            </w:r>
          </w:p>
        </w:tc>
      </w:tr>
      <w:tr w:rsidR="00C76BEB" w:rsidRPr="00C76BEB" w14:paraId="6E96E72B" w14:textId="77777777" w:rsidTr="001D2BF0">
        <w:tc>
          <w:tcPr>
            <w:tcW w:w="1037" w:type="dxa"/>
          </w:tcPr>
          <w:p w14:paraId="322A9DA2"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27 Jan with netprobe sending 1,156,800 bps</w:t>
            </w:r>
          </w:p>
        </w:tc>
        <w:tc>
          <w:tcPr>
            <w:tcW w:w="1117" w:type="dxa"/>
            <w:vMerge/>
          </w:tcPr>
          <w:p w14:paraId="27EE1E3A" w14:textId="77777777" w:rsidR="00C76BEB" w:rsidRPr="00C76BEB" w:rsidRDefault="00C76BEB" w:rsidP="00C76BEB">
            <w:pPr>
              <w:overflowPunct w:val="0"/>
              <w:autoSpaceDE w:val="0"/>
              <w:autoSpaceDN w:val="0"/>
              <w:adjustRightInd w:val="0"/>
              <w:textAlignment w:val="baseline"/>
              <w:rPr>
                <w:sz w:val="22"/>
                <w:lang w:val="en-US"/>
              </w:rPr>
            </w:pPr>
          </w:p>
        </w:tc>
        <w:tc>
          <w:tcPr>
            <w:tcW w:w="899" w:type="dxa"/>
            <w:vMerge/>
          </w:tcPr>
          <w:p w14:paraId="750A70C2" w14:textId="77777777" w:rsidR="00C76BEB" w:rsidRPr="00C76BEB" w:rsidRDefault="00C76BEB" w:rsidP="00C76BEB">
            <w:pPr>
              <w:overflowPunct w:val="0"/>
              <w:autoSpaceDE w:val="0"/>
              <w:autoSpaceDN w:val="0"/>
              <w:adjustRightInd w:val="0"/>
              <w:textAlignment w:val="baseline"/>
              <w:rPr>
                <w:sz w:val="22"/>
                <w:lang w:val="en-US"/>
              </w:rPr>
            </w:pPr>
          </w:p>
        </w:tc>
        <w:tc>
          <w:tcPr>
            <w:tcW w:w="899" w:type="dxa"/>
          </w:tcPr>
          <w:p w14:paraId="2C94AC94"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20 ms (eno3)</w:t>
            </w:r>
          </w:p>
        </w:tc>
        <w:tc>
          <w:tcPr>
            <w:tcW w:w="957" w:type="dxa"/>
          </w:tcPr>
          <w:p w14:paraId="5EAD6508" w14:textId="77777777" w:rsidR="00C76BEB" w:rsidRPr="00C76BEB" w:rsidRDefault="00C76BEB" w:rsidP="00C76BEB">
            <w:pPr>
              <w:overflowPunct w:val="0"/>
              <w:autoSpaceDE w:val="0"/>
              <w:autoSpaceDN w:val="0"/>
              <w:adjustRightInd w:val="0"/>
              <w:textAlignment w:val="baseline"/>
              <w:rPr>
                <w:sz w:val="22"/>
                <w:lang w:val="fr-CH"/>
              </w:rPr>
            </w:pPr>
            <w:r w:rsidRPr="00C76BEB">
              <w:rPr>
                <w:sz w:val="22"/>
                <w:lang w:val="fr-CH"/>
              </w:rPr>
              <w:t>iPerf2; TCP 3 connect uni-dir 12 sec</w:t>
            </w:r>
          </w:p>
        </w:tc>
        <w:tc>
          <w:tcPr>
            <w:tcW w:w="1084" w:type="dxa"/>
          </w:tcPr>
          <w:p w14:paraId="3D09D7BF"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5@MTU + remain 892</w:t>
            </w:r>
          </w:p>
        </w:tc>
        <w:tc>
          <w:tcPr>
            <w:tcW w:w="1027" w:type="dxa"/>
          </w:tcPr>
          <w:p w14:paraId="3DA68D2F" w14:textId="77777777" w:rsidR="00C76BEB" w:rsidRPr="00C76BEB" w:rsidRDefault="00C76BEB" w:rsidP="00C76BEB">
            <w:pPr>
              <w:overflowPunct w:val="0"/>
              <w:autoSpaceDE w:val="0"/>
              <w:autoSpaceDN w:val="0"/>
              <w:adjustRightInd w:val="0"/>
              <w:textAlignment w:val="baseline"/>
              <w:rPr>
                <w:b/>
                <w:sz w:val="22"/>
                <w:lang w:val="en-US"/>
              </w:rPr>
            </w:pPr>
            <w:r w:rsidRPr="00C76BEB">
              <w:rPr>
                <w:b/>
                <w:sz w:val="22"/>
                <w:lang w:val="en-US"/>
              </w:rPr>
              <w:t>786Mbps Ave</w:t>
            </w:r>
          </w:p>
          <w:p w14:paraId="398312E6"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reached 955M after 10 seconds</w:t>
            </w:r>
          </w:p>
        </w:tc>
        <w:tc>
          <w:tcPr>
            <w:tcW w:w="720" w:type="dxa"/>
          </w:tcPr>
          <w:p w14:paraId="7478DEB0"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Fig 8</w:t>
            </w:r>
          </w:p>
        </w:tc>
        <w:tc>
          <w:tcPr>
            <w:tcW w:w="900" w:type="dxa"/>
          </w:tcPr>
          <w:p w14:paraId="5C03FDAC"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X</w:t>
            </w:r>
          </w:p>
        </w:tc>
        <w:tc>
          <w:tcPr>
            <w:tcW w:w="904" w:type="dxa"/>
          </w:tcPr>
          <w:p w14:paraId="20279384"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0.786 ave</w:t>
            </w:r>
          </w:p>
          <w:p w14:paraId="2952F53D" w14:textId="77777777" w:rsidR="00C76BEB" w:rsidRPr="00C76BEB" w:rsidRDefault="00C76BEB" w:rsidP="00C76BEB">
            <w:pPr>
              <w:overflowPunct w:val="0"/>
              <w:autoSpaceDE w:val="0"/>
              <w:autoSpaceDN w:val="0"/>
              <w:adjustRightInd w:val="0"/>
              <w:textAlignment w:val="baseline"/>
              <w:rPr>
                <w:sz w:val="22"/>
                <w:lang w:val="en-US"/>
              </w:rPr>
            </w:pPr>
            <w:r w:rsidRPr="00C76BEB">
              <w:rPr>
                <w:sz w:val="22"/>
                <w:lang w:val="en-US"/>
              </w:rPr>
              <w:t>0.955 peak</w:t>
            </w:r>
          </w:p>
        </w:tc>
      </w:tr>
    </w:tbl>
    <w:p w14:paraId="2E2F5DCD" w14:textId="77777777" w:rsidR="00C76BEB" w:rsidRPr="00C76BEB" w:rsidRDefault="00C76BEB" w:rsidP="00C76BEB">
      <w:pPr>
        <w:rPr>
          <w:rFonts w:eastAsia="SimSun"/>
        </w:rPr>
      </w:pPr>
    </w:p>
    <w:p w14:paraId="6A2E3AA4" w14:textId="77777777" w:rsidR="00C76BEB" w:rsidRPr="00C76BEB" w:rsidRDefault="00C76BEB" w:rsidP="00C76BEB">
      <w:pPr>
        <w:jc w:val="center"/>
        <w:rPr>
          <w:rFonts w:eastAsia="SimSun"/>
        </w:rPr>
      </w:pPr>
      <w:r w:rsidRPr="00C76BEB">
        <w:rPr>
          <w:rFonts w:eastAsia="SimSun"/>
          <w:noProof/>
          <w:lang w:eastAsia="zh-CN"/>
        </w:rPr>
        <w:lastRenderedPageBreak/>
        <w:drawing>
          <wp:inline distT="0" distB="0" distL="0" distR="0" wp14:anchorId="56B56425" wp14:editId="07CFC01A">
            <wp:extent cx="4584700" cy="27559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A8C9620" w14:textId="77777777" w:rsidR="00C76BEB" w:rsidRPr="00C76BEB" w:rsidRDefault="00C76BEB" w:rsidP="00C76BEB">
      <w:pPr>
        <w:jc w:val="center"/>
        <w:rPr>
          <w:rFonts w:eastAsia="SimSun"/>
          <w:b/>
        </w:rPr>
      </w:pPr>
      <w:r w:rsidRPr="00C76BEB">
        <w:rPr>
          <w:rFonts w:eastAsia="SimSun"/>
          <w:b/>
        </w:rPr>
        <w:t>Figure 6  NetProbe measurement of Packet Delay Variation during 11 Sec UDP @972mbps</w:t>
      </w:r>
    </w:p>
    <w:p w14:paraId="4E67F65B" w14:textId="77777777" w:rsidR="00C76BEB" w:rsidRPr="00C76BEB" w:rsidRDefault="00C76BEB" w:rsidP="00C76BEB">
      <w:pPr>
        <w:rPr>
          <w:rFonts w:eastAsia="SimSun"/>
        </w:rPr>
      </w:pPr>
      <w:r w:rsidRPr="00C76BEB">
        <w:rPr>
          <w:rFonts w:eastAsia="SimSun"/>
        </w:rPr>
        <w:t>NetProbe measurements illustrate the delay encountered when the token-bucket filter rate is exceeded (by about 1mbps) during the 11 second iPerf UDP test duration (during the 30 second NetProbe test). There were 3 packet losses on the NetProbe Stream, sending 1,156,800 bps. The UDP Rate assessment is reduced by the amount of the competing traffic in this test. The Figure 6 Latency (one-way PDV) measurements indicate that the TBF maximum Latency was encountered a few seconds after the iPerf 2 stream began.</w:t>
      </w:r>
    </w:p>
    <w:p w14:paraId="0562EBC3" w14:textId="77777777" w:rsidR="00C76BEB" w:rsidRPr="00C76BEB" w:rsidRDefault="00C76BEB" w:rsidP="00C76BEB">
      <w:pPr>
        <w:rPr>
          <w:rFonts w:eastAsia="SimSun"/>
        </w:rPr>
      </w:pPr>
    </w:p>
    <w:p w14:paraId="3EFB3E21" w14:textId="77777777" w:rsidR="00C76BEB" w:rsidRPr="00C76BEB" w:rsidRDefault="00C76BEB" w:rsidP="00C76BEB">
      <w:pPr>
        <w:jc w:val="center"/>
        <w:rPr>
          <w:rFonts w:eastAsia="SimSun"/>
        </w:rPr>
      </w:pPr>
      <w:r w:rsidRPr="00C76BEB">
        <w:rPr>
          <w:rFonts w:eastAsia="SimSun"/>
          <w:noProof/>
          <w:lang w:eastAsia="zh-CN"/>
        </w:rPr>
        <w:drawing>
          <wp:inline distT="0" distB="0" distL="0" distR="0" wp14:anchorId="4809650F" wp14:editId="2B76D275">
            <wp:extent cx="5675630" cy="2755900"/>
            <wp:effectExtent l="0" t="0" r="127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5630" cy="2755900"/>
                    </a:xfrm>
                    <a:prstGeom prst="rect">
                      <a:avLst/>
                    </a:prstGeom>
                    <a:noFill/>
                  </pic:spPr>
                </pic:pic>
              </a:graphicData>
            </a:graphic>
          </wp:inline>
        </w:drawing>
      </w:r>
    </w:p>
    <w:p w14:paraId="478B4ADC" w14:textId="77777777" w:rsidR="00C76BEB" w:rsidRPr="00C76BEB" w:rsidRDefault="00C76BEB" w:rsidP="00C76BEB">
      <w:pPr>
        <w:jc w:val="center"/>
        <w:rPr>
          <w:rFonts w:eastAsia="SimSun"/>
          <w:b/>
        </w:rPr>
      </w:pPr>
      <w:r w:rsidRPr="00C76BEB">
        <w:rPr>
          <w:rFonts w:eastAsia="SimSun"/>
          <w:b/>
        </w:rPr>
        <w:t>Figure 7 NetProbe measurement of Packet Delay Variation during 11 Sec UDP @971mbps</w:t>
      </w:r>
    </w:p>
    <w:p w14:paraId="45C3AFB7" w14:textId="77777777" w:rsidR="00C76BEB" w:rsidRPr="00C76BEB" w:rsidRDefault="00C76BEB" w:rsidP="00C76BEB">
      <w:pPr>
        <w:rPr>
          <w:rFonts w:eastAsia="SimSun"/>
        </w:rPr>
      </w:pPr>
      <w:r w:rsidRPr="00C76BEB">
        <w:rPr>
          <w:rFonts w:eastAsia="SimSun"/>
        </w:rPr>
        <w:t xml:space="preserve">NetProbe measurements illustrate the delay encountered when the token-bucket filter rate is reached during the 11 second iPerf UDP test duration (during the 30 second NetProbe test). There were zero packet losses on the NetProbe Stream, sending 1,156,800 bps. </w:t>
      </w:r>
    </w:p>
    <w:p w14:paraId="7F38D87E" w14:textId="77777777" w:rsidR="00C76BEB" w:rsidRPr="00C76BEB" w:rsidRDefault="00C76BEB" w:rsidP="00C76BEB">
      <w:pPr>
        <w:rPr>
          <w:rFonts w:eastAsia="SimSun"/>
        </w:rPr>
      </w:pPr>
      <w:r w:rsidRPr="00C76BEB">
        <w:rPr>
          <w:rFonts w:eastAsia="SimSun"/>
        </w:rPr>
        <w:t>The UDP sending rate was reduced to accommodate the competing traffic, indicating that the previous (Fig 6) test correctly assessed the remaining Capacity when competing traffic was present. The combined streams more closely match the TBF rate. Figure 7 Latency (one-way PDV) measurements indicate that the TBF max Latency was not observed (and that Latency can be a useful input to a rate searching algorithm [TST009], in addition to packet loss).</w:t>
      </w:r>
    </w:p>
    <w:p w14:paraId="42D651E2" w14:textId="77777777" w:rsidR="00C76BEB" w:rsidRPr="00C76BEB" w:rsidRDefault="00C76BEB" w:rsidP="00C76BEB">
      <w:pPr>
        <w:rPr>
          <w:rFonts w:eastAsia="SimSun"/>
        </w:rPr>
      </w:pPr>
    </w:p>
    <w:p w14:paraId="33102B89" w14:textId="77777777" w:rsidR="00C76BEB" w:rsidRPr="00C76BEB" w:rsidRDefault="00C76BEB" w:rsidP="00C76BEB">
      <w:pPr>
        <w:jc w:val="center"/>
        <w:rPr>
          <w:rFonts w:eastAsia="SimSun"/>
        </w:rPr>
      </w:pPr>
      <w:r w:rsidRPr="00C76BEB">
        <w:rPr>
          <w:rFonts w:eastAsia="SimSun"/>
          <w:noProof/>
          <w:lang w:eastAsia="zh-CN"/>
        </w:rPr>
        <w:drawing>
          <wp:inline distT="0" distB="0" distL="0" distR="0" wp14:anchorId="08749C76" wp14:editId="7CA3190E">
            <wp:extent cx="5675630" cy="275590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75630" cy="2755900"/>
                    </a:xfrm>
                    <a:prstGeom prst="rect">
                      <a:avLst/>
                    </a:prstGeom>
                    <a:noFill/>
                  </pic:spPr>
                </pic:pic>
              </a:graphicData>
            </a:graphic>
          </wp:inline>
        </w:drawing>
      </w:r>
    </w:p>
    <w:p w14:paraId="0E62F7D8" w14:textId="77777777" w:rsidR="00C76BEB" w:rsidRPr="00C76BEB" w:rsidRDefault="00C76BEB" w:rsidP="00C76BEB">
      <w:pPr>
        <w:jc w:val="center"/>
        <w:rPr>
          <w:rFonts w:eastAsia="SimSun"/>
          <w:b/>
        </w:rPr>
      </w:pPr>
      <w:r w:rsidRPr="00C76BEB">
        <w:rPr>
          <w:rFonts w:eastAsia="SimSun"/>
          <w:b/>
        </w:rPr>
        <w:t>Figure 8 NetProbe measurement of PDV during 12 Sec of three TCP Connections</w:t>
      </w:r>
    </w:p>
    <w:p w14:paraId="05CAE17B" w14:textId="77777777" w:rsidR="00C76BEB" w:rsidRPr="00C76BEB" w:rsidRDefault="00C76BEB" w:rsidP="00C76BEB">
      <w:pPr>
        <w:rPr>
          <w:rFonts w:eastAsia="SimSun"/>
        </w:rPr>
      </w:pPr>
      <w:r w:rsidRPr="00C76BEB">
        <w:rPr>
          <w:rFonts w:eastAsia="SimSun"/>
        </w:rPr>
        <w:t>NetProbe measurements illustrate the delay encountered when the token-bucket filter rate is reached during the 12 second iPerf TCP 3 connection test duration (during the 30 second NetProbe test). There were zero packet losses on the NetProbe Stream, sending 1,156,800 bps. Near the end of the 12 second TCP test, the 3 connections appear to have synchronized and NetProbe PDV indicates a delay saw tooth at the TBF (possibly following the AIMD pattern), up to the Max TBF Latency of 4ms.</w:t>
      </w:r>
    </w:p>
    <w:p w14:paraId="5338CE26" w14:textId="77777777" w:rsidR="00C76BEB" w:rsidRPr="00C76BEB" w:rsidRDefault="00C76BEB" w:rsidP="00C76BEB">
      <w:pPr>
        <w:rPr>
          <w:rFonts w:eastAsia="SimSun"/>
        </w:rPr>
      </w:pPr>
    </w:p>
    <w:p w14:paraId="454976EC"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Preliminary Summary of Work-in-progress</w:t>
      </w:r>
    </w:p>
    <w:p w14:paraId="2E6423E3"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iPerf 2 TCP-based assessments tend to underestimate the Calibrated Capacity, and the estimates are:</w:t>
      </w:r>
    </w:p>
    <w:p w14:paraId="52C1815F" w14:textId="77777777" w:rsidR="00C76BEB" w:rsidRPr="00C76BEB" w:rsidRDefault="00C76BEB" w:rsidP="00C76BEB">
      <w:pPr>
        <w:numPr>
          <w:ilvl w:val="0"/>
          <w:numId w:val="12"/>
        </w:numPr>
        <w:tabs>
          <w:tab w:val="left" w:pos="794"/>
          <w:tab w:val="left" w:pos="1191"/>
          <w:tab w:val="left" w:pos="1588"/>
          <w:tab w:val="left" w:pos="1985"/>
        </w:tabs>
        <w:overflowPunct w:val="0"/>
        <w:autoSpaceDE w:val="0"/>
        <w:autoSpaceDN w:val="0"/>
        <w:adjustRightInd w:val="0"/>
        <w:spacing w:before="0" w:after="120"/>
        <w:textAlignment w:val="baseline"/>
        <w:rPr>
          <w:rFonts w:eastAsia="MS Mincho"/>
          <w:lang w:eastAsia="en-US"/>
        </w:rPr>
      </w:pPr>
      <w:r w:rsidRPr="00C76BEB">
        <w:rPr>
          <w:rFonts w:eastAsia="MS Mincho"/>
          <w:lang w:eastAsia="en-US"/>
        </w:rPr>
        <w:t>Less accurate than UDP for high rates, such as 1 Gbps (the present state of the art for many)</w:t>
      </w:r>
    </w:p>
    <w:p w14:paraId="648D0568" w14:textId="77777777" w:rsidR="00C76BEB" w:rsidRPr="00C76BEB" w:rsidRDefault="00C76BEB" w:rsidP="00C76BEB">
      <w:pPr>
        <w:numPr>
          <w:ilvl w:val="0"/>
          <w:numId w:val="12"/>
        </w:numPr>
        <w:tabs>
          <w:tab w:val="left" w:pos="794"/>
          <w:tab w:val="left" w:pos="1191"/>
          <w:tab w:val="left" w:pos="1588"/>
          <w:tab w:val="left" w:pos="1985"/>
        </w:tabs>
        <w:overflowPunct w:val="0"/>
        <w:autoSpaceDE w:val="0"/>
        <w:autoSpaceDN w:val="0"/>
        <w:adjustRightInd w:val="0"/>
        <w:spacing w:before="0" w:after="120"/>
        <w:textAlignment w:val="baseline"/>
        <w:rPr>
          <w:rFonts w:eastAsia="MS Mincho"/>
          <w:lang w:eastAsia="en-US"/>
        </w:rPr>
      </w:pPr>
      <w:r w:rsidRPr="00C76BEB">
        <w:rPr>
          <w:rFonts w:eastAsia="MS Mincho"/>
          <w:lang w:eastAsia="en-US"/>
        </w:rPr>
        <w:t>More sensitive to Round-Trip Delay than UDP, especially as it pertains to TCP measurement variability, due to TCP’s flow-control.</w:t>
      </w:r>
    </w:p>
    <w:p w14:paraId="11155634" w14:textId="77777777" w:rsidR="00C76BEB" w:rsidRPr="00C76BEB" w:rsidRDefault="00C76BEB" w:rsidP="00C76BEB">
      <w:pPr>
        <w:numPr>
          <w:ilvl w:val="0"/>
          <w:numId w:val="12"/>
        </w:numPr>
        <w:tabs>
          <w:tab w:val="left" w:pos="794"/>
          <w:tab w:val="left" w:pos="1191"/>
          <w:tab w:val="left" w:pos="1588"/>
          <w:tab w:val="left" w:pos="1985"/>
        </w:tabs>
        <w:overflowPunct w:val="0"/>
        <w:autoSpaceDE w:val="0"/>
        <w:autoSpaceDN w:val="0"/>
        <w:adjustRightInd w:val="0"/>
        <w:spacing w:before="0" w:after="120"/>
        <w:textAlignment w:val="baseline"/>
        <w:rPr>
          <w:rFonts w:eastAsia="MS Mincho"/>
          <w:lang w:eastAsia="en-US"/>
        </w:rPr>
      </w:pPr>
      <w:r w:rsidRPr="00C76BEB">
        <w:rPr>
          <w:rFonts w:eastAsia="MS Mincho"/>
          <w:lang w:eastAsia="en-US"/>
        </w:rPr>
        <w:t>More sensitive to competing traffic, resulting in low average measurement due to longer time needed to achieve equilibrium.</w:t>
      </w:r>
    </w:p>
    <w:p w14:paraId="7A98C02F"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 xml:space="preserve">iPerf 2 UDP measurements confirm the status of “benchmark” for Capacity assessment, aligned with Calibrated rates (the experimental “ground-truth”) and substantial research with lower-rate access technologies/speeds. </w:t>
      </w:r>
    </w:p>
    <w:p w14:paraId="5111CD39"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SimSun"/>
        </w:rPr>
        <w:t>Latency can be a useful input to a UDP-based rate searching algorithm, in addition to packet loss, as speculated in [TST009].</w:t>
      </w:r>
    </w:p>
    <w:p w14:paraId="32FAF12E"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600333A5" w14:textId="77777777" w:rsidR="00C76BEB" w:rsidRPr="00C76BEB" w:rsidRDefault="00C76BEB" w:rsidP="00C76BEB">
      <w:pPr>
        <w:spacing w:before="0" w:after="120"/>
        <w:rPr>
          <w:rFonts w:eastAsia="Times New Roman"/>
          <w:b/>
          <w:lang w:val="en-US" w:eastAsia="en-US"/>
        </w:rPr>
      </w:pPr>
      <w:r w:rsidRPr="00C76BEB">
        <w:rPr>
          <w:rFonts w:eastAsia="Times New Roman"/>
          <w:b/>
          <w:lang w:val="en-US" w:eastAsia="en-US"/>
        </w:rPr>
        <w:t>References</w:t>
      </w:r>
    </w:p>
    <w:p w14:paraId="75E13B25" w14:textId="77777777" w:rsidR="00C76BEB" w:rsidRPr="00C76BEB" w:rsidRDefault="00C76BEB" w:rsidP="00C76BEB">
      <w:pPr>
        <w:spacing w:before="0" w:after="120"/>
        <w:rPr>
          <w:rFonts w:eastAsia="Times New Roman"/>
          <w:lang w:val="en-US" w:eastAsia="en-US"/>
        </w:rPr>
      </w:pPr>
      <w:r w:rsidRPr="00C76BEB">
        <w:rPr>
          <w:rFonts w:eastAsia="Times New Roman"/>
          <w:lang w:val="en-US" w:eastAsia="en-US"/>
        </w:rPr>
        <w:t>[BEREC] BoR (18) 32: TENDER SPECIFICATIONS, No BEREC/2018/01/OT Net Neutrality Measurement Tool, March 2018</w:t>
      </w:r>
    </w:p>
    <w:p w14:paraId="5CA70475" w14:textId="77777777" w:rsidR="00C76BEB" w:rsidRPr="00F12B27" w:rsidRDefault="00C76BEB" w:rsidP="00C76BEB">
      <w:pPr>
        <w:spacing w:before="0" w:after="120"/>
        <w:rPr>
          <w:rFonts w:eastAsia="Times New Roman"/>
          <w:lang w:val="en-US" w:eastAsia="en-US"/>
        </w:rPr>
      </w:pPr>
      <w:r w:rsidRPr="00F12B27">
        <w:rPr>
          <w:rFonts w:eastAsia="Times New Roman"/>
          <w:lang w:val="en-US" w:eastAsia="en-US"/>
        </w:rPr>
        <w:t>[TST009] https://docbox.etsi.org/ISG/NFV/Open/Drafts/TST009_NFVI_Benchmarks</w:t>
      </w:r>
    </w:p>
    <w:p w14:paraId="0E62ECD3" w14:textId="77777777" w:rsidR="00C76BEB" w:rsidRPr="00F12B27" w:rsidRDefault="00C76BEB" w:rsidP="00C76BEB">
      <w:pPr>
        <w:spacing w:before="0" w:after="120"/>
        <w:rPr>
          <w:rFonts w:eastAsia="Times New Roman"/>
          <w:color w:val="0000FF"/>
          <w:u w:val="single"/>
          <w:lang w:val="en-US" w:eastAsia="en-US"/>
        </w:rPr>
      </w:pPr>
      <w:r w:rsidRPr="00F12B27">
        <w:rPr>
          <w:rFonts w:eastAsia="Times New Roman"/>
          <w:lang w:val="en-US" w:eastAsia="en-US"/>
        </w:rPr>
        <w:t xml:space="preserve">[Pod12]  OPNFV Pharos, Intel Pod 12 </w:t>
      </w:r>
      <w:hyperlink r:id="rId20" w:history="1">
        <w:r w:rsidRPr="00F12B27">
          <w:rPr>
            <w:rFonts w:eastAsia="Times New Roman"/>
            <w:color w:val="0000FF"/>
            <w:u w:val="single"/>
            <w:lang w:val="en-US" w:eastAsia="en-US"/>
          </w:rPr>
          <w:t>https://wiki.opnfv.org/display/pharos/Intel+POD12</w:t>
        </w:r>
      </w:hyperlink>
    </w:p>
    <w:p w14:paraId="042418D9" w14:textId="77777777" w:rsidR="00C76BEB" w:rsidRPr="00C76BEB" w:rsidRDefault="00C76BEB" w:rsidP="00C76BEB">
      <w:pPr>
        <w:spacing w:before="0" w:after="120"/>
        <w:rPr>
          <w:rFonts w:eastAsia="Times New Roman"/>
          <w:lang w:val="en-US" w:eastAsia="en-US"/>
        </w:rPr>
      </w:pPr>
      <w:r w:rsidRPr="00C76BEB">
        <w:rPr>
          <w:rFonts w:eastAsia="Times New Roman"/>
          <w:color w:val="0000FF"/>
          <w:u w:val="single"/>
          <w:lang w:val="en-US" w:eastAsia="en-US"/>
        </w:rPr>
        <w:t xml:space="preserve">[RFC8337] Model-Based Metrics for Bulk Transport Capacity, M.Mathis and A.Morton, March 2018, </w:t>
      </w:r>
      <w:hyperlink r:id="rId21" w:history="1">
        <w:r w:rsidRPr="00C76BEB">
          <w:rPr>
            <w:rFonts w:eastAsia="Times New Roman"/>
            <w:color w:val="0000FF"/>
            <w:u w:val="single"/>
            <w:lang w:val="en-US" w:eastAsia="en-US"/>
          </w:rPr>
          <w:t>https://tools.ietf.org/html/rfc8337</w:t>
        </w:r>
      </w:hyperlink>
      <w:r w:rsidRPr="00C76BEB">
        <w:rPr>
          <w:rFonts w:eastAsia="Times New Roman"/>
          <w:color w:val="0000FF"/>
          <w:u w:val="single"/>
          <w:lang w:val="en-US" w:eastAsia="en-US"/>
        </w:rPr>
        <w:t xml:space="preserve"> .</w:t>
      </w:r>
    </w:p>
    <w:p w14:paraId="77D9E72A" w14:textId="77777777" w:rsidR="00C76BEB" w:rsidRPr="00C76BEB" w:rsidRDefault="00C76BEB" w:rsidP="00C76BEB">
      <w:pPr>
        <w:overflowPunct w:val="0"/>
        <w:autoSpaceDE w:val="0"/>
        <w:autoSpaceDN w:val="0"/>
        <w:adjustRightInd w:val="0"/>
        <w:spacing w:before="0"/>
        <w:textAlignment w:val="baseline"/>
        <w:rPr>
          <w:rFonts w:ascii="Arial" w:eastAsia="Times New Roman" w:hAnsi="Arial" w:cs="Arial"/>
          <w:sz w:val="20"/>
          <w:szCs w:val="20"/>
          <w:lang w:eastAsia="en-US"/>
        </w:rPr>
      </w:pPr>
    </w:p>
    <w:p w14:paraId="7D862825" w14:textId="77777777" w:rsidR="00C76BEB" w:rsidRPr="00C76BEB" w:rsidRDefault="00C76BEB" w:rsidP="00C76BEB">
      <w:pPr>
        <w:spacing w:before="0" w:after="120"/>
        <w:rPr>
          <w:rFonts w:eastAsia="Times New Roman"/>
          <w:b/>
          <w:lang w:val="en-US" w:eastAsia="en-US"/>
        </w:rPr>
      </w:pPr>
      <w:r w:rsidRPr="00C76BEB">
        <w:rPr>
          <w:rFonts w:eastAsia="Times New Roman"/>
          <w:b/>
        </w:rPr>
        <w:t>Summary of DT’s C 299</w:t>
      </w:r>
      <w:r w:rsidRPr="00C76BEB">
        <w:rPr>
          <w:rFonts w:eastAsia="Times New Roman"/>
        </w:rPr>
        <w:t>, “</w:t>
      </w:r>
      <w:r w:rsidRPr="00C76BEB">
        <w:rPr>
          <w:rFonts w:eastAsia="Times New Roman"/>
          <w:b/>
        </w:rPr>
        <w:t>A brief survey on Internet Access related QoS and QoE research</w:t>
      </w:r>
      <w:r w:rsidRPr="00C76BEB">
        <w:rPr>
          <w:rFonts w:eastAsia="Times New Roman"/>
        </w:rPr>
        <w:t xml:space="preserve">” </w:t>
      </w:r>
    </w:p>
    <w:p w14:paraId="1EBF173E" w14:textId="77777777" w:rsidR="00C76BEB" w:rsidRPr="00C76BEB" w:rsidRDefault="00C76BEB" w:rsidP="00C76BEB">
      <w:pPr>
        <w:overflowPunct w:val="0"/>
        <w:autoSpaceDE w:val="0"/>
        <w:autoSpaceDN w:val="0"/>
        <w:adjustRightInd w:val="0"/>
        <w:spacing w:before="0"/>
        <w:textAlignment w:val="baseline"/>
        <w:rPr>
          <w:rFonts w:eastAsia="Times New Roman"/>
        </w:rPr>
      </w:pPr>
      <w:r w:rsidRPr="00C76BEB">
        <w:rPr>
          <w:rFonts w:eastAsia="Times New Roman"/>
        </w:rPr>
        <w:t>Q17/12 developed a list of detailed factors that influence measurement of Internet performance (listed in the report). Several conclusions include:</w:t>
      </w:r>
    </w:p>
    <w:p w14:paraId="23EB6C7C" w14:textId="77777777" w:rsidR="00C76BEB" w:rsidRPr="00C76BEB" w:rsidRDefault="00C76BEB" w:rsidP="00C76BEB">
      <w:pPr>
        <w:numPr>
          <w:ilvl w:val="0"/>
          <w:numId w:val="11"/>
        </w:numPr>
        <w:tabs>
          <w:tab w:val="left" w:pos="794"/>
          <w:tab w:val="left" w:pos="1191"/>
          <w:tab w:val="left" w:pos="1588"/>
          <w:tab w:val="left" w:pos="1985"/>
        </w:tabs>
        <w:overflowPunct w:val="0"/>
        <w:autoSpaceDE w:val="0"/>
        <w:autoSpaceDN w:val="0"/>
        <w:adjustRightInd w:val="0"/>
        <w:spacing w:before="0"/>
        <w:textAlignment w:val="baseline"/>
        <w:rPr>
          <w:rFonts w:eastAsia="MS Mincho"/>
          <w:szCs w:val="20"/>
        </w:rPr>
      </w:pPr>
      <w:r w:rsidRPr="00C76BEB">
        <w:rPr>
          <w:rFonts w:eastAsia="MS Mincho"/>
          <w:szCs w:val="20"/>
        </w:rPr>
        <w:t>UDP-based tests are considered the benchmark for Capacity, while TCP only produced an estimate of capacity in the different studies, and are referred to as flooding tests due to the TCP sender behaviour.</w:t>
      </w:r>
    </w:p>
    <w:p w14:paraId="19AD850D" w14:textId="77777777" w:rsidR="00C76BEB" w:rsidRPr="00C76BEB" w:rsidRDefault="00C76BEB" w:rsidP="00C76BEB">
      <w:pPr>
        <w:numPr>
          <w:ilvl w:val="0"/>
          <w:numId w:val="11"/>
        </w:numPr>
        <w:tabs>
          <w:tab w:val="left" w:pos="794"/>
          <w:tab w:val="left" w:pos="1191"/>
          <w:tab w:val="left" w:pos="1588"/>
          <w:tab w:val="left" w:pos="1985"/>
        </w:tabs>
        <w:overflowPunct w:val="0"/>
        <w:autoSpaceDE w:val="0"/>
        <w:autoSpaceDN w:val="0"/>
        <w:adjustRightInd w:val="0"/>
        <w:spacing w:before="0"/>
        <w:textAlignment w:val="baseline"/>
        <w:rPr>
          <w:rFonts w:eastAsia="MS Mincho"/>
          <w:szCs w:val="20"/>
        </w:rPr>
      </w:pPr>
      <w:r w:rsidRPr="00C76BEB">
        <w:rPr>
          <w:rFonts w:eastAsia="MS Mincho"/>
          <w:szCs w:val="20"/>
        </w:rPr>
        <w:t>Latency must also be measured, ideally while Capacity is tested for best applicability.</w:t>
      </w:r>
    </w:p>
    <w:p w14:paraId="30D5F973" w14:textId="77777777" w:rsidR="00C76BEB" w:rsidRPr="00C76BEB" w:rsidRDefault="00C76BEB" w:rsidP="00C76BEB">
      <w:pPr>
        <w:numPr>
          <w:ilvl w:val="0"/>
          <w:numId w:val="11"/>
        </w:numPr>
        <w:tabs>
          <w:tab w:val="left" w:pos="794"/>
          <w:tab w:val="left" w:pos="1191"/>
          <w:tab w:val="left" w:pos="1588"/>
          <w:tab w:val="left" w:pos="1985"/>
        </w:tabs>
        <w:overflowPunct w:val="0"/>
        <w:autoSpaceDE w:val="0"/>
        <w:autoSpaceDN w:val="0"/>
        <w:adjustRightInd w:val="0"/>
        <w:spacing w:before="0"/>
        <w:textAlignment w:val="baseline"/>
        <w:rPr>
          <w:rFonts w:eastAsia="MS Mincho"/>
          <w:szCs w:val="20"/>
        </w:rPr>
      </w:pPr>
      <w:r w:rsidRPr="00C76BEB">
        <w:rPr>
          <w:rFonts w:eastAsia="MS Mincho"/>
          <w:szCs w:val="20"/>
        </w:rPr>
        <w:t>Mobile measurements indicate that Capacity fluctuations may be more important than Peak Capacity to users.</w:t>
      </w:r>
    </w:p>
    <w:p w14:paraId="1BCF6D52" w14:textId="77777777" w:rsidR="00C76BEB" w:rsidRPr="00C76BEB" w:rsidRDefault="00C76BEB" w:rsidP="00C76BEB">
      <w:pPr>
        <w:numPr>
          <w:ilvl w:val="0"/>
          <w:numId w:val="11"/>
        </w:numPr>
        <w:tabs>
          <w:tab w:val="left" w:pos="794"/>
          <w:tab w:val="left" w:pos="1191"/>
          <w:tab w:val="left" w:pos="1588"/>
          <w:tab w:val="left" w:pos="1985"/>
        </w:tabs>
        <w:overflowPunct w:val="0"/>
        <w:autoSpaceDE w:val="0"/>
        <w:autoSpaceDN w:val="0"/>
        <w:adjustRightInd w:val="0"/>
        <w:spacing w:before="0"/>
        <w:textAlignment w:val="baseline"/>
        <w:rPr>
          <w:rFonts w:eastAsia="MS Mincho"/>
          <w:szCs w:val="20"/>
        </w:rPr>
      </w:pPr>
      <w:r w:rsidRPr="00C76BEB">
        <w:rPr>
          <w:rFonts w:eastAsia="MS Mincho"/>
          <w:szCs w:val="20"/>
        </w:rPr>
        <w:t>Many Applications can be supported at Capacity of 4 Mbps, and this rate is sufficient to satisfy many users: in some cases this is due to adaptation built into applications.</w:t>
      </w:r>
    </w:p>
    <w:p w14:paraId="7FA1B3A2"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p>
    <w:p w14:paraId="79754DAD" w14:textId="77777777" w:rsidR="00C76BEB" w:rsidRPr="00C76BEB" w:rsidRDefault="00C76BEB" w:rsidP="00C76BEB">
      <w:pPr>
        <w:overflowPunct w:val="0"/>
        <w:autoSpaceDE w:val="0"/>
        <w:autoSpaceDN w:val="0"/>
        <w:adjustRightInd w:val="0"/>
        <w:spacing w:before="0" w:after="120"/>
        <w:textAlignment w:val="baseline"/>
        <w:rPr>
          <w:rFonts w:eastAsia="Times New Roman"/>
          <w:lang w:eastAsia="en-US"/>
        </w:rPr>
      </w:pPr>
      <w:r w:rsidRPr="00C76BEB">
        <w:rPr>
          <w:rFonts w:eastAsia="Times New Roman"/>
          <w:lang w:eastAsia="en-US"/>
        </w:rPr>
        <w:t>Further, there are reports of at least one Regulator terminating their Internet access Speed measurement program due to lack of interest, once the capacity sufficient for all user applications was routinely exceeded. Latency then becomes the critical QoS parameter, for the user’s QoE with many applications depends on Latency and Round-trip time.</w:t>
      </w:r>
    </w:p>
    <w:p w14:paraId="2431E18E" w14:textId="77777777" w:rsidR="00C76BEB" w:rsidRPr="00C76BEB" w:rsidRDefault="00C76BEB" w:rsidP="00C76BEB">
      <w:pPr>
        <w:overflowPunct w:val="0"/>
        <w:autoSpaceDE w:val="0"/>
        <w:autoSpaceDN w:val="0"/>
        <w:adjustRightInd w:val="0"/>
        <w:spacing w:before="0"/>
        <w:textAlignment w:val="baseline"/>
        <w:rPr>
          <w:rFonts w:ascii="Arial" w:eastAsia="Times New Roman" w:hAnsi="Arial" w:cs="Arial"/>
          <w:sz w:val="20"/>
          <w:szCs w:val="20"/>
          <w:lang w:eastAsia="en-US"/>
        </w:rPr>
      </w:pPr>
    </w:p>
    <w:p w14:paraId="216EB831" w14:textId="77777777" w:rsidR="00693C16" w:rsidRDefault="00693C16" w:rsidP="0084341D"/>
    <w:p w14:paraId="198C0226" w14:textId="77777777" w:rsidR="00394DBF" w:rsidRDefault="00394DBF" w:rsidP="00394DBF">
      <w:pPr>
        <w:jc w:val="center"/>
      </w:pPr>
      <w:r>
        <w:t>_______________________</w:t>
      </w:r>
    </w:p>
    <w:bookmarkEnd w:id="3"/>
    <w:p w14:paraId="2B3B28A6" w14:textId="77777777" w:rsidR="00794F4F" w:rsidRDefault="00794F4F" w:rsidP="0089088E"/>
    <w:sectPr w:rsidR="00794F4F" w:rsidSect="00C42125">
      <w:headerReference w:type="default" r:id="rId22"/>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CB8F3" w14:textId="77777777" w:rsidR="004B1E93" w:rsidRDefault="004B1E93" w:rsidP="00C42125">
      <w:pPr>
        <w:spacing w:before="0"/>
      </w:pPr>
      <w:r>
        <w:separator/>
      </w:r>
    </w:p>
  </w:endnote>
  <w:endnote w:type="continuationSeparator" w:id="0">
    <w:p w14:paraId="5665E636" w14:textId="77777777" w:rsidR="004B1E93" w:rsidRDefault="004B1E9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53306" w14:textId="77777777" w:rsidR="004B1E93" w:rsidRDefault="004B1E93" w:rsidP="00C42125">
      <w:pPr>
        <w:spacing w:before="0"/>
      </w:pPr>
      <w:r>
        <w:separator/>
      </w:r>
    </w:p>
  </w:footnote>
  <w:footnote w:type="continuationSeparator" w:id="0">
    <w:p w14:paraId="114B10DA" w14:textId="77777777" w:rsidR="004B1E93" w:rsidRDefault="004B1E9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4EFE19B" w:rsidR="004A5AB7" w:rsidRPr="00C42125" w:rsidRDefault="004A5AB7"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36477">
      <w:rPr>
        <w:noProof/>
      </w:rPr>
      <w:t>2</w:t>
    </w:r>
    <w:r w:rsidRPr="00C42125">
      <w:fldChar w:fldCharType="end"/>
    </w:r>
    <w:r w:rsidRPr="00C42125">
      <w:t xml:space="preserve"> -</w:t>
    </w:r>
  </w:p>
  <w:p w14:paraId="2360415B" w14:textId="0B834601" w:rsidR="004A5AB7" w:rsidRPr="00C42125" w:rsidRDefault="004A5AB7" w:rsidP="007E53E4">
    <w:pPr>
      <w:pStyle w:val="Header"/>
    </w:pPr>
    <w:r>
      <w:fldChar w:fldCharType="begin"/>
    </w:r>
    <w:r>
      <w:instrText xml:space="preserve"> STYLEREF  Docnumber  </w:instrText>
    </w:r>
    <w:r>
      <w:fldChar w:fldCharType="separate"/>
    </w:r>
    <w:r w:rsidR="00036477">
      <w:rPr>
        <w:noProof/>
      </w:rPr>
      <w:t>SG12-TD776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6B2643"/>
    <w:multiLevelType w:val="hybridMultilevel"/>
    <w:tmpl w:val="3CA26B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F20A0D"/>
    <w:multiLevelType w:val="hybridMultilevel"/>
    <w:tmpl w:val="6878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n-US" w:vendorID="64" w:dllVersion="131078" w:nlCheck="1" w:checkStyle="1"/>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BB"/>
    <w:rsid w:val="000171DB"/>
    <w:rsid w:val="00022404"/>
    <w:rsid w:val="00023D9A"/>
    <w:rsid w:val="0002490E"/>
    <w:rsid w:val="00036477"/>
    <w:rsid w:val="00037538"/>
    <w:rsid w:val="0004289C"/>
    <w:rsid w:val="00043D75"/>
    <w:rsid w:val="00052325"/>
    <w:rsid w:val="00057000"/>
    <w:rsid w:val="00057242"/>
    <w:rsid w:val="00057E02"/>
    <w:rsid w:val="000640E0"/>
    <w:rsid w:val="00082D3A"/>
    <w:rsid w:val="00083A59"/>
    <w:rsid w:val="000A2B84"/>
    <w:rsid w:val="000A56E6"/>
    <w:rsid w:val="000A5CA2"/>
    <w:rsid w:val="000B25B1"/>
    <w:rsid w:val="000C326A"/>
    <w:rsid w:val="000C59F6"/>
    <w:rsid w:val="000D71A9"/>
    <w:rsid w:val="000F27CF"/>
    <w:rsid w:val="000F6A49"/>
    <w:rsid w:val="00106856"/>
    <w:rsid w:val="00114985"/>
    <w:rsid w:val="00114F91"/>
    <w:rsid w:val="001251DA"/>
    <w:rsid w:val="00125432"/>
    <w:rsid w:val="00136FA8"/>
    <w:rsid w:val="00137F40"/>
    <w:rsid w:val="00147A86"/>
    <w:rsid w:val="00152ECD"/>
    <w:rsid w:val="001618E5"/>
    <w:rsid w:val="0017099E"/>
    <w:rsid w:val="001871EC"/>
    <w:rsid w:val="001979B6"/>
    <w:rsid w:val="001A670F"/>
    <w:rsid w:val="001A775F"/>
    <w:rsid w:val="001B2ECD"/>
    <w:rsid w:val="001B4D6C"/>
    <w:rsid w:val="001B7276"/>
    <w:rsid w:val="001C4727"/>
    <w:rsid w:val="001C62B8"/>
    <w:rsid w:val="001E7B0E"/>
    <w:rsid w:val="001F141D"/>
    <w:rsid w:val="00200A06"/>
    <w:rsid w:val="00212FD4"/>
    <w:rsid w:val="002402CF"/>
    <w:rsid w:val="00241832"/>
    <w:rsid w:val="00243332"/>
    <w:rsid w:val="00246CAB"/>
    <w:rsid w:val="00246DA0"/>
    <w:rsid w:val="00252AAF"/>
    <w:rsid w:val="00253DBE"/>
    <w:rsid w:val="002622FA"/>
    <w:rsid w:val="00263518"/>
    <w:rsid w:val="002759E7"/>
    <w:rsid w:val="00275ED1"/>
    <w:rsid w:val="00277326"/>
    <w:rsid w:val="002A49E0"/>
    <w:rsid w:val="002B5550"/>
    <w:rsid w:val="002B56A5"/>
    <w:rsid w:val="002B5D4D"/>
    <w:rsid w:val="002C015C"/>
    <w:rsid w:val="002C26C0"/>
    <w:rsid w:val="002C2BC5"/>
    <w:rsid w:val="002C46A6"/>
    <w:rsid w:val="002E1A44"/>
    <w:rsid w:val="002E3B5A"/>
    <w:rsid w:val="002E7421"/>
    <w:rsid w:val="002E79CB"/>
    <w:rsid w:val="002F5D50"/>
    <w:rsid w:val="002F7F55"/>
    <w:rsid w:val="00300B15"/>
    <w:rsid w:val="003031CC"/>
    <w:rsid w:val="0030745F"/>
    <w:rsid w:val="00311D06"/>
    <w:rsid w:val="00314630"/>
    <w:rsid w:val="0032090A"/>
    <w:rsid w:val="00321CDE"/>
    <w:rsid w:val="0032306E"/>
    <w:rsid w:val="00333322"/>
    <w:rsid w:val="00333E15"/>
    <w:rsid w:val="00334A93"/>
    <w:rsid w:val="00336046"/>
    <w:rsid w:val="003409EE"/>
    <w:rsid w:val="00350492"/>
    <w:rsid w:val="0036734D"/>
    <w:rsid w:val="003734BC"/>
    <w:rsid w:val="0037422B"/>
    <w:rsid w:val="00382BB8"/>
    <w:rsid w:val="0038715D"/>
    <w:rsid w:val="00394DBF"/>
    <w:rsid w:val="003957A6"/>
    <w:rsid w:val="00395C05"/>
    <w:rsid w:val="003A43EF"/>
    <w:rsid w:val="003A6571"/>
    <w:rsid w:val="003C7445"/>
    <w:rsid w:val="003D2CC8"/>
    <w:rsid w:val="003E50BF"/>
    <w:rsid w:val="003F2BED"/>
    <w:rsid w:val="00443878"/>
    <w:rsid w:val="004453D5"/>
    <w:rsid w:val="0045103F"/>
    <w:rsid w:val="004539A8"/>
    <w:rsid w:val="00470F47"/>
    <w:rsid w:val="004712CA"/>
    <w:rsid w:val="0047422E"/>
    <w:rsid w:val="00475473"/>
    <w:rsid w:val="0049674B"/>
    <w:rsid w:val="004A5AB7"/>
    <w:rsid w:val="004B1E93"/>
    <w:rsid w:val="004C0673"/>
    <w:rsid w:val="004C4E4E"/>
    <w:rsid w:val="004D237E"/>
    <w:rsid w:val="004E25D3"/>
    <w:rsid w:val="004E5921"/>
    <w:rsid w:val="004F3816"/>
    <w:rsid w:val="005062EF"/>
    <w:rsid w:val="00534489"/>
    <w:rsid w:val="00543D41"/>
    <w:rsid w:val="00552142"/>
    <w:rsid w:val="0055782F"/>
    <w:rsid w:val="005648A9"/>
    <w:rsid w:val="00566EDA"/>
    <w:rsid w:val="00572654"/>
    <w:rsid w:val="005748C2"/>
    <w:rsid w:val="00583CED"/>
    <w:rsid w:val="00595BF0"/>
    <w:rsid w:val="00597EBC"/>
    <w:rsid w:val="005B3023"/>
    <w:rsid w:val="005B5629"/>
    <w:rsid w:val="005C0300"/>
    <w:rsid w:val="005E18EC"/>
    <w:rsid w:val="005E4FC6"/>
    <w:rsid w:val="005F4B6A"/>
    <w:rsid w:val="006010F3"/>
    <w:rsid w:val="00610F5F"/>
    <w:rsid w:val="00615A0A"/>
    <w:rsid w:val="006333D4"/>
    <w:rsid w:val="006353E1"/>
    <w:rsid w:val="006369B2"/>
    <w:rsid w:val="00641669"/>
    <w:rsid w:val="00647525"/>
    <w:rsid w:val="006570B0"/>
    <w:rsid w:val="00660C41"/>
    <w:rsid w:val="00662C8F"/>
    <w:rsid w:val="00665518"/>
    <w:rsid w:val="00684691"/>
    <w:rsid w:val="00687876"/>
    <w:rsid w:val="00691C94"/>
    <w:rsid w:val="0069210B"/>
    <w:rsid w:val="00693C16"/>
    <w:rsid w:val="006A4055"/>
    <w:rsid w:val="006B3855"/>
    <w:rsid w:val="006C0924"/>
    <w:rsid w:val="006C5641"/>
    <w:rsid w:val="006C7825"/>
    <w:rsid w:val="006D1089"/>
    <w:rsid w:val="006D1B86"/>
    <w:rsid w:val="006D7355"/>
    <w:rsid w:val="006F030E"/>
    <w:rsid w:val="006F2ACE"/>
    <w:rsid w:val="00715CA6"/>
    <w:rsid w:val="00720827"/>
    <w:rsid w:val="00726879"/>
    <w:rsid w:val="00731135"/>
    <w:rsid w:val="007324AF"/>
    <w:rsid w:val="0073488A"/>
    <w:rsid w:val="007409B4"/>
    <w:rsid w:val="00741974"/>
    <w:rsid w:val="0075525E"/>
    <w:rsid w:val="0075614B"/>
    <w:rsid w:val="00756D3D"/>
    <w:rsid w:val="00770446"/>
    <w:rsid w:val="007745D0"/>
    <w:rsid w:val="007800BB"/>
    <w:rsid w:val="007806C2"/>
    <w:rsid w:val="0078104C"/>
    <w:rsid w:val="007903F8"/>
    <w:rsid w:val="00794F4F"/>
    <w:rsid w:val="00796CE4"/>
    <w:rsid w:val="007974BE"/>
    <w:rsid w:val="007A0916"/>
    <w:rsid w:val="007A0DFD"/>
    <w:rsid w:val="007A6329"/>
    <w:rsid w:val="007A6474"/>
    <w:rsid w:val="007B5DF2"/>
    <w:rsid w:val="007C7122"/>
    <w:rsid w:val="007D3F11"/>
    <w:rsid w:val="007E53E4"/>
    <w:rsid w:val="007E656A"/>
    <w:rsid w:val="007E691C"/>
    <w:rsid w:val="007F664D"/>
    <w:rsid w:val="008030C1"/>
    <w:rsid w:val="00806F43"/>
    <w:rsid w:val="00812262"/>
    <w:rsid w:val="008128CE"/>
    <w:rsid w:val="00841217"/>
    <w:rsid w:val="00842137"/>
    <w:rsid w:val="0084341D"/>
    <w:rsid w:val="00853018"/>
    <w:rsid w:val="008600F8"/>
    <w:rsid w:val="00872047"/>
    <w:rsid w:val="0089088E"/>
    <w:rsid w:val="00892297"/>
    <w:rsid w:val="008A67E3"/>
    <w:rsid w:val="008B6F4A"/>
    <w:rsid w:val="008E0172"/>
    <w:rsid w:val="008E2E77"/>
    <w:rsid w:val="008E469E"/>
    <w:rsid w:val="008E4851"/>
    <w:rsid w:val="00901E2C"/>
    <w:rsid w:val="00902DE8"/>
    <w:rsid w:val="009030A5"/>
    <w:rsid w:val="00914912"/>
    <w:rsid w:val="00934DBC"/>
    <w:rsid w:val="009406B5"/>
    <w:rsid w:val="009453B5"/>
    <w:rsid w:val="00946166"/>
    <w:rsid w:val="0095031F"/>
    <w:rsid w:val="00965682"/>
    <w:rsid w:val="00971D93"/>
    <w:rsid w:val="00983164"/>
    <w:rsid w:val="00983C38"/>
    <w:rsid w:val="009972EF"/>
    <w:rsid w:val="009B4B5F"/>
    <w:rsid w:val="009B75B3"/>
    <w:rsid w:val="009C0C2D"/>
    <w:rsid w:val="009C3160"/>
    <w:rsid w:val="009E766E"/>
    <w:rsid w:val="009F1960"/>
    <w:rsid w:val="009F715E"/>
    <w:rsid w:val="00A10DBB"/>
    <w:rsid w:val="00A11675"/>
    <w:rsid w:val="00A31D47"/>
    <w:rsid w:val="00A31E90"/>
    <w:rsid w:val="00A4013E"/>
    <w:rsid w:val="00A402E4"/>
    <w:rsid w:val="00A4045F"/>
    <w:rsid w:val="00A427CD"/>
    <w:rsid w:val="00A43A41"/>
    <w:rsid w:val="00A4600B"/>
    <w:rsid w:val="00A50506"/>
    <w:rsid w:val="00A51EF0"/>
    <w:rsid w:val="00A564F8"/>
    <w:rsid w:val="00A61675"/>
    <w:rsid w:val="00A67A81"/>
    <w:rsid w:val="00A730A6"/>
    <w:rsid w:val="00A73F91"/>
    <w:rsid w:val="00A8083B"/>
    <w:rsid w:val="00A84380"/>
    <w:rsid w:val="00A929DB"/>
    <w:rsid w:val="00A971A0"/>
    <w:rsid w:val="00AA1F22"/>
    <w:rsid w:val="00AB0B51"/>
    <w:rsid w:val="00AB3FC7"/>
    <w:rsid w:val="00AB7B0F"/>
    <w:rsid w:val="00AD2718"/>
    <w:rsid w:val="00B05821"/>
    <w:rsid w:val="00B10E53"/>
    <w:rsid w:val="00B26C28"/>
    <w:rsid w:val="00B4174C"/>
    <w:rsid w:val="00B453F5"/>
    <w:rsid w:val="00B53283"/>
    <w:rsid w:val="00B61624"/>
    <w:rsid w:val="00B718A5"/>
    <w:rsid w:val="00B80A80"/>
    <w:rsid w:val="00B86B9A"/>
    <w:rsid w:val="00BA4F61"/>
    <w:rsid w:val="00BB6323"/>
    <w:rsid w:val="00BC1FAE"/>
    <w:rsid w:val="00BC62E2"/>
    <w:rsid w:val="00BD377A"/>
    <w:rsid w:val="00BF246F"/>
    <w:rsid w:val="00BF65D0"/>
    <w:rsid w:val="00C42125"/>
    <w:rsid w:val="00C62814"/>
    <w:rsid w:val="00C72BB8"/>
    <w:rsid w:val="00C74937"/>
    <w:rsid w:val="00C76BEB"/>
    <w:rsid w:val="00C91491"/>
    <w:rsid w:val="00CB65F2"/>
    <w:rsid w:val="00CD1673"/>
    <w:rsid w:val="00CE3D02"/>
    <w:rsid w:val="00CF5B4E"/>
    <w:rsid w:val="00D01C08"/>
    <w:rsid w:val="00D10B9B"/>
    <w:rsid w:val="00D10C52"/>
    <w:rsid w:val="00D17C4B"/>
    <w:rsid w:val="00D23DC6"/>
    <w:rsid w:val="00D300FB"/>
    <w:rsid w:val="00D30672"/>
    <w:rsid w:val="00D45924"/>
    <w:rsid w:val="00D54C2C"/>
    <w:rsid w:val="00D55EA4"/>
    <w:rsid w:val="00D56598"/>
    <w:rsid w:val="00D57D7F"/>
    <w:rsid w:val="00D6567C"/>
    <w:rsid w:val="00D73137"/>
    <w:rsid w:val="00D93CB2"/>
    <w:rsid w:val="00D97E2A"/>
    <w:rsid w:val="00DB1307"/>
    <w:rsid w:val="00DC000A"/>
    <w:rsid w:val="00DC6DF5"/>
    <w:rsid w:val="00DD4D18"/>
    <w:rsid w:val="00DD50DE"/>
    <w:rsid w:val="00DE3062"/>
    <w:rsid w:val="00E12721"/>
    <w:rsid w:val="00E204DD"/>
    <w:rsid w:val="00E2145E"/>
    <w:rsid w:val="00E24268"/>
    <w:rsid w:val="00E26910"/>
    <w:rsid w:val="00E353EC"/>
    <w:rsid w:val="00E53C24"/>
    <w:rsid w:val="00E625BC"/>
    <w:rsid w:val="00EB326D"/>
    <w:rsid w:val="00EB444D"/>
    <w:rsid w:val="00ED30A9"/>
    <w:rsid w:val="00EF7BB1"/>
    <w:rsid w:val="00F02294"/>
    <w:rsid w:val="00F106E9"/>
    <w:rsid w:val="00F117C8"/>
    <w:rsid w:val="00F12B27"/>
    <w:rsid w:val="00F21C7B"/>
    <w:rsid w:val="00F25254"/>
    <w:rsid w:val="00F35F0C"/>
    <w:rsid w:val="00F35F57"/>
    <w:rsid w:val="00F50467"/>
    <w:rsid w:val="00F54A47"/>
    <w:rsid w:val="00F55173"/>
    <w:rsid w:val="00F562A0"/>
    <w:rsid w:val="00F7582D"/>
    <w:rsid w:val="00F90546"/>
    <w:rsid w:val="00F95282"/>
    <w:rsid w:val="00FA2177"/>
    <w:rsid w:val="00FA6F8E"/>
    <w:rsid w:val="00FB0A28"/>
    <w:rsid w:val="00FB1C7B"/>
    <w:rsid w:val="00FD01DA"/>
    <w:rsid w:val="00FD3019"/>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2BB8"/>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table" w:styleId="TableGrid">
    <w:name w:val="Table Grid"/>
    <w:basedOn w:val="TableNormal"/>
    <w:uiPriority w:val="39"/>
    <w:rsid w:val="004E5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C76B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23DC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3DC6"/>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tools.ietf.org/html/rfc8337"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wiki.opnfv.org/display/pharos/Intel+POD1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cm@research.att.com"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gif"/><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86A4E44EC2D945DCB1947CB5E9B06C24"/>
        <w:category>
          <w:name w:val="General"/>
          <w:gallery w:val="placeholder"/>
        </w:category>
        <w:types>
          <w:type w:val="bbPlcHdr"/>
        </w:types>
        <w:behaviors>
          <w:behavior w:val="content"/>
        </w:behaviors>
        <w:guid w:val="{A20CB7B8-C0E3-42ED-9B29-1EBB35A555C9}"/>
      </w:docPartPr>
      <w:docPartBody>
        <w:p w:rsidR="002C53C2" w:rsidRDefault="00DF2349" w:rsidP="00DF2349">
          <w:pPr>
            <w:pStyle w:val="86A4E44EC2D945DCB1947CB5E9B06C24"/>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2256B"/>
    <w:rsid w:val="00037F0A"/>
    <w:rsid w:val="000A36B3"/>
    <w:rsid w:val="0014188D"/>
    <w:rsid w:val="001D4F9F"/>
    <w:rsid w:val="00256D54"/>
    <w:rsid w:val="00257077"/>
    <w:rsid w:val="002C53C2"/>
    <w:rsid w:val="00325869"/>
    <w:rsid w:val="003C03C2"/>
    <w:rsid w:val="003C09BA"/>
    <w:rsid w:val="003D3BA1"/>
    <w:rsid w:val="003E3757"/>
    <w:rsid w:val="003E74AA"/>
    <w:rsid w:val="003F520B"/>
    <w:rsid w:val="003F6571"/>
    <w:rsid w:val="00400FFE"/>
    <w:rsid w:val="00403A9C"/>
    <w:rsid w:val="004E6EBE"/>
    <w:rsid w:val="00592221"/>
    <w:rsid w:val="00597798"/>
    <w:rsid w:val="005B38F3"/>
    <w:rsid w:val="005B40DC"/>
    <w:rsid w:val="005E3104"/>
    <w:rsid w:val="00602DFB"/>
    <w:rsid w:val="006431B1"/>
    <w:rsid w:val="006D39A2"/>
    <w:rsid w:val="006F099E"/>
    <w:rsid w:val="00726DDE"/>
    <w:rsid w:val="00731377"/>
    <w:rsid w:val="0074581D"/>
    <w:rsid w:val="00747A76"/>
    <w:rsid w:val="0076446A"/>
    <w:rsid w:val="007E7151"/>
    <w:rsid w:val="00825C56"/>
    <w:rsid w:val="00841C9F"/>
    <w:rsid w:val="00883915"/>
    <w:rsid w:val="008A3D52"/>
    <w:rsid w:val="008D554D"/>
    <w:rsid w:val="00900301"/>
    <w:rsid w:val="00947D8D"/>
    <w:rsid w:val="00A33DD7"/>
    <w:rsid w:val="00A3586C"/>
    <w:rsid w:val="00AB3EE4"/>
    <w:rsid w:val="00AC7F00"/>
    <w:rsid w:val="00AF3CAC"/>
    <w:rsid w:val="00B374A4"/>
    <w:rsid w:val="00B72209"/>
    <w:rsid w:val="00C537FF"/>
    <w:rsid w:val="00C57C12"/>
    <w:rsid w:val="00C7519D"/>
    <w:rsid w:val="00CA39E8"/>
    <w:rsid w:val="00D0423C"/>
    <w:rsid w:val="00D40096"/>
    <w:rsid w:val="00D76683"/>
    <w:rsid w:val="00DF2349"/>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2349"/>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6A4E44EC2D945DCB1947CB5E9B06C24">
    <w:name w:val="86A4E44EC2D945DCB1947CB5E9B06C24"/>
    <w:rsid w:val="00DF2349"/>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7-16 May 2019</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Proposal</Purpose1>
    <Abstract xmlns="3f6fad35-1f81-480e-a4e5-6e5474dcfb96">New Annex A of Rec Y.1540 documents the plan to qualify and compare access measurement metrics, methods, models, and tools in a stable and repeatable laboratory environment.
This document provides a graphical summary of recent tests, through January 2019, as part of the Y.1540 Phase 1 Lab Evaluation: IP Capacity and Latency Assessment. Diff-Marks highlight new tests conducted to investigate questions raised at STQ#60 (in the appropriate section of the contribution).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17/12</QuestionText>
    <DocTypeText xmlns="3f6fad35-1f81-480e-a4e5-6e5474dcfb96">TD</DocTypeText>
    <CategoryDescription xmlns="http://schemas.microsoft.com/sharepoint.v3" xsi:nil="true"/>
    <ShortName xmlns="3f6fad35-1f81-480e-a4e5-6e5474dcfb96">SG12-TD776</ShortName>
    <Place xmlns="3f6fad35-1f81-480e-a4e5-6e5474dcfb96">Geneva</Place>
    <IsTooLateSubmitted xmlns="3f6fad35-1f81-480e-a4e5-6e5474dcfb96">false</IsTooLateSubmitted>
    <Observations xmlns="3f6fad35-1f81-480e-a4e5-6e5474dcfb96" xsi:nil="true"/>
    <DocumentSource xmlns="3f6fad35-1f81-480e-a4e5-6e5474dcfb96">Rapporteur Q17/12</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www.w3.org/XML/1998/namespace"/>
    <ds:schemaRef ds:uri="3f6fad35-1f81-480e-a4e5-6e5474dcfb96"/>
    <ds:schemaRef ds:uri="http://schemas.microsoft.com/office/2006/documentManagement/types"/>
    <ds:schemaRef ds:uri="http://schemas.microsoft.com/sharepoint.v3"/>
    <ds:schemaRef ds:uri="http://schemas.openxmlformats.org/package/2006/metadata/core-properties"/>
    <ds:schemaRef ds:uri="http://schemas.microsoft.com/office/infopath/2007/PartnerControls"/>
    <ds:schemaRef ds:uri="http://purl.org/dc/elements/1.1/"/>
    <ds:schemaRef ds:uri="http://purl.org/dc/dcmityp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9</Pages>
  <Words>2543</Words>
  <Characters>14498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Summary Contribution on Lab Evaluation Methods and Additional Lab Results</vt:lpstr>
    </vt:vector>
  </TitlesOfParts>
  <Manager>ITU-T</Manager>
  <Company>International Telecommunication Union (ITU)</Company>
  <LinksUpToDate>false</LinksUpToDate>
  <CharactersWithSpaces>17007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Contribution on Lab Evaluation Methods and Additional Lab Results</dc:title>
  <dc:subject/>
  <dc:creator>Rapporteur Q17/12</dc:creator>
  <cp:keywords>Experiment Design; Test Results;</cp:keywords>
  <dc:description>SG12-TD776  For: Geneva, 7-16 May 2019_x000d_Document date: STUDY GROUP 12_x000d_Saved by ITU51011775 at 10:57:12 on 13/03/2019</dc:description>
  <cp:lastModifiedBy>TSB </cp:lastModifiedBy>
  <cp:revision>4</cp:revision>
  <cp:lastPrinted>2017-02-22T09:55:00Z</cp:lastPrinted>
  <dcterms:created xsi:type="dcterms:W3CDTF">2019-03-13T09:55:00Z</dcterms:created>
  <dcterms:modified xsi:type="dcterms:W3CDTF">2019-03-13T14:43:00Z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SG12-TD776</vt:lpwstr>
  </property>
  <property fmtid="{D5CDD505-2E9C-101B-9397-08002B2CF9AE}" pid="11" name="Docdate">
    <vt:lpwstr>STUDY GROUP 12</vt:lpwstr>
  </property>
  <property fmtid="{D5CDD505-2E9C-101B-9397-08002B2CF9AE}" pid="12" name="Docorlang">
    <vt:lpwstr>Original: English</vt:lpwstr>
  </property>
  <property fmtid="{D5CDD505-2E9C-101B-9397-08002B2CF9AE}" pid="13" name="Docbluepink">
    <vt:lpwstr>17/12</vt:lpwstr>
  </property>
  <property fmtid="{D5CDD505-2E9C-101B-9397-08002B2CF9AE}" pid="14" name="Docdest">
    <vt:lpwstr>Geneva, 7-16 May 2019</vt:lpwstr>
  </property>
  <property fmtid="{D5CDD505-2E9C-101B-9397-08002B2CF9AE}" pid="15" name="Docauthor">
    <vt:lpwstr>Rapporteur Q17/12</vt:lpwstr>
  </property>
</Properties>
</file>