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913"/>
        <w:gridCol w:w="4394"/>
      </w:tblGrid>
      <w:tr w:rsidR="006944F8" w:rsidRPr="00C1421E" w14:paraId="31E7B619" w14:textId="77777777" w:rsidTr="00D4706C">
        <w:trPr>
          <w:cantSplit/>
        </w:trPr>
        <w:tc>
          <w:tcPr>
            <w:tcW w:w="1190" w:type="dxa"/>
            <w:vMerge w:val="restart"/>
          </w:tcPr>
          <w:p w14:paraId="5D5FDED9" w14:textId="77777777" w:rsidR="006944F8" w:rsidRPr="001C37A8" w:rsidRDefault="006944F8" w:rsidP="00071381">
            <w:pPr>
              <w:rPr>
                <w:rFonts w:eastAsiaTheme="minorEastAsia"/>
                <w:lang w:val="en-GB"/>
              </w:rPr>
            </w:pPr>
            <w:r w:rsidRPr="001C37A8">
              <w:rPr>
                <w:rFonts w:eastAsiaTheme="minorEastAsia"/>
                <w:noProof/>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9" w:type="dxa"/>
            <w:gridSpan w:val="3"/>
            <w:vMerge w:val="restart"/>
          </w:tcPr>
          <w:p w14:paraId="41F51934" w14:textId="4E63FA53" w:rsidR="006944F8" w:rsidRPr="00D4706C" w:rsidRDefault="00D4706C" w:rsidP="00071381">
            <w:pPr>
              <w:rPr>
                <w:rFonts w:eastAsiaTheme="minorEastAsia"/>
                <w:sz w:val="16"/>
                <w:szCs w:val="12"/>
                <w:lang w:val="es-ES"/>
              </w:rPr>
            </w:pPr>
            <w:r w:rsidRPr="00D4706C">
              <w:rPr>
                <w:rFonts w:eastAsiaTheme="minorEastAsia"/>
                <w:sz w:val="16"/>
                <w:szCs w:val="12"/>
                <w:lang w:val="es-ES"/>
              </w:rPr>
              <w:t>UNIÓN INTERNACIONAL DE TELECOMUNICACIONES</w:t>
            </w:r>
          </w:p>
          <w:p w14:paraId="72D4A8B8" w14:textId="67F696C1" w:rsidR="006944F8" w:rsidRPr="00D4706C" w:rsidRDefault="00D4706C" w:rsidP="00071381">
            <w:pPr>
              <w:rPr>
                <w:rFonts w:eastAsiaTheme="minorEastAsia"/>
                <w:b/>
                <w:bCs/>
                <w:sz w:val="26"/>
                <w:szCs w:val="22"/>
                <w:lang w:val="es-ES"/>
              </w:rPr>
            </w:pPr>
            <w:r w:rsidRPr="00D4706C">
              <w:rPr>
                <w:rFonts w:eastAsiaTheme="minorEastAsia"/>
                <w:b/>
                <w:bCs/>
                <w:sz w:val="26"/>
                <w:szCs w:val="22"/>
                <w:lang w:val="es-ES"/>
              </w:rPr>
              <w:t>SECTOR DE NORMALIZACI</w:t>
            </w:r>
            <w:r>
              <w:rPr>
                <w:rFonts w:eastAsiaTheme="minorEastAsia"/>
                <w:b/>
                <w:bCs/>
                <w:sz w:val="26"/>
                <w:szCs w:val="22"/>
                <w:lang w:val="es-ES"/>
              </w:rPr>
              <w:t>ÓN</w:t>
            </w:r>
            <w:r w:rsidR="006944F8" w:rsidRPr="00D4706C">
              <w:rPr>
                <w:rFonts w:eastAsiaTheme="minorEastAsia"/>
                <w:b/>
                <w:bCs/>
                <w:sz w:val="26"/>
                <w:szCs w:val="22"/>
                <w:lang w:val="es-ES"/>
              </w:rPr>
              <w:br/>
            </w:r>
            <w:r>
              <w:rPr>
                <w:rFonts w:eastAsiaTheme="minorEastAsia"/>
                <w:b/>
                <w:bCs/>
                <w:sz w:val="26"/>
                <w:szCs w:val="22"/>
                <w:lang w:val="es-ES"/>
              </w:rPr>
              <w:t>DE LAS TELECOMUNICACIONES</w:t>
            </w:r>
          </w:p>
          <w:p w14:paraId="635989F6" w14:textId="2275D285" w:rsidR="006944F8" w:rsidRPr="001C37A8" w:rsidRDefault="00D4706C" w:rsidP="00071381">
            <w:pPr>
              <w:rPr>
                <w:rFonts w:eastAsiaTheme="minorEastAsia"/>
                <w:lang w:val="en-GB"/>
              </w:rPr>
            </w:pPr>
            <w:r>
              <w:rPr>
                <w:rFonts w:eastAsiaTheme="minorEastAsia"/>
                <w:sz w:val="20"/>
                <w:szCs w:val="16"/>
                <w:lang w:val="en-GB"/>
              </w:rPr>
              <w:t>PERIODO DE ESTUDIOS</w:t>
            </w:r>
            <w:r w:rsidR="006944F8" w:rsidRPr="001C37A8">
              <w:rPr>
                <w:rFonts w:eastAsiaTheme="minorEastAsia"/>
                <w:sz w:val="20"/>
                <w:szCs w:val="16"/>
                <w:lang w:val="en-GB"/>
              </w:rPr>
              <w:t xml:space="preserve"> </w:t>
            </w:r>
            <w:bookmarkStart w:id="0" w:name="dstudyperiod"/>
            <w:r w:rsidR="006944F8" w:rsidRPr="001C37A8">
              <w:rPr>
                <w:rFonts w:eastAsiaTheme="minorEastAsia"/>
                <w:sz w:val="20"/>
                <w:szCs w:val="16"/>
                <w:lang w:val="en-GB"/>
              </w:rPr>
              <w:t>2017-2020</w:t>
            </w:r>
            <w:bookmarkEnd w:id="0"/>
          </w:p>
        </w:tc>
        <w:tc>
          <w:tcPr>
            <w:tcW w:w="4394" w:type="dxa"/>
            <w:vAlign w:val="center"/>
          </w:tcPr>
          <w:p w14:paraId="7D0E8A97" w14:textId="67ADE6FB" w:rsidR="006944F8" w:rsidRPr="00C1421E" w:rsidRDefault="006F110A" w:rsidP="006F110A">
            <w:pPr>
              <w:pStyle w:val="Docnumber"/>
            </w:pPr>
            <w:r w:rsidRPr="00C1421E">
              <w:t>TSAG-</w:t>
            </w:r>
            <w:r w:rsidR="00F15725" w:rsidRPr="00C1421E">
              <w:t>TD466</w:t>
            </w:r>
          </w:p>
        </w:tc>
      </w:tr>
      <w:tr w:rsidR="006944F8" w:rsidRPr="001C37A8" w14:paraId="7B4CAC96" w14:textId="77777777" w:rsidTr="00D4706C">
        <w:trPr>
          <w:cantSplit/>
        </w:trPr>
        <w:tc>
          <w:tcPr>
            <w:tcW w:w="1190" w:type="dxa"/>
            <w:vMerge/>
          </w:tcPr>
          <w:p w14:paraId="21419EA6" w14:textId="77777777" w:rsidR="006944F8" w:rsidRPr="00C1421E" w:rsidRDefault="006944F8" w:rsidP="00071381">
            <w:pPr>
              <w:rPr>
                <w:rFonts w:asciiTheme="majorBidi" w:eastAsiaTheme="minorEastAsia" w:hAnsiTheme="majorBidi" w:cstheme="majorBidi"/>
                <w:smallCaps/>
                <w:sz w:val="20"/>
                <w:szCs w:val="24"/>
                <w:lang w:val="en-GB" w:eastAsia="ja-JP"/>
              </w:rPr>
            </w:pPr>
          </w:p>
        </w:tc>
        <w:tc>
          <w:tcPr>
            <w:tcW w:w="4339" w:type="dxa"/>
            <w:gridSpan w:val="3"/>
            <w:vMerge/>
          </w:tcPr>
          <w:p w14:paraId="6D6FF74E" w14:textId="77777777" w:rsidR="006944F8" w:rsidRPr="00C1421E" w:rsidRDefault="006944F8" w:rsidP="00071381">
            <w:pPr>
              <w:rPr>
                <w:rFonts w:asciiTheme="majorBidi" w:eastAsiaTheme="minorEastAsia" w:hAnsiTheme="majorBidi" w:cstheme="majorBidi"/>
                <w:smallCaps/>
                <w:sz w:val="20"/>
                <w:szCs w:val="24"/>
                <w:lang w:val="en-GB" w:eastAsia="ja-JP"/>
              </w:rPr>
            </w:pPr>
          </w:p>
        </w:tc>
        <w:tc>
          <w:tcPr>
            <w:tcW w:w="4394" w:type="dxa"/>
          </w:tcPr>
          <w:p w14:paraId="7B6F6398" w14:textId="77777777" w:rsidR="006944F8" w:rsidRPr="001C37A8" w:rsidRDefault="006944F8" w:rsidP="00071381">
            <w:pPr>
              <w:jc w:val="right"/>
              <w:rPr>
                <w:rFonts w:eastAsiaTheme="minorEastAsia"/>
                <w:b/>
                <w:bCs/>
                <w:sz w:val="28"/>
                <w:szCs w:val="24"/>
                <w:lang w:val="en-GB"/>
              </w:rPr>
            </w:pPr>
            <w:r w:rsidRPr="001C37A8">
              <w:rPr>
                <w:rFonts w:eastAsiaTheme="minorEastAsia"/>
                <w:b/>
                <w:bCs/>
                <w:sz w:val="28"/>
                <w:szCs w:val="24"/>
                <w:lang w:val="en-GB"/>
              </w:rPr>
              <w:t>TSAG</w:t>
            </w:r>
          </w:p>
        </w:tc>
      </w:tr>
      <w:tr w:rsidR="006944F8" w:rsidRPr="00C1421E" w14:paraId="1623B925" w14:textId="77777777" w:rsidTr="00D4706C">
        <w:trPr>
          <w:cantSplit/>
        </w:trPr>
        <w:tc>
          <w:tcPr>
            <w:tcW w:w="1190" w:type="dxa"/>
            <w:vMerge/>
            <w:tcBorders>
              <w:bottom w:val="single" w:sz="12" w:space="0" w:color="auto"/>
            </w:tcBorders>
          </w:tcPr>
          <w:p w14:paraId="4785E5C3" w14:textId="77777777" w:rsidR="006944F8" w:rsidRPr="00C1421E" w:rsidRDefault="006944F8" w:rsidP="00071381">
            <w:pPr>
              <w:rPr>
                <w:rFonts w:asciiTheme="majorBidi" w:eastAsiaTheme="minorEastAsia" w:hAnsiTheme="majorBidi" w:cstheme="majorBidi"/>
                <w:b/>
                <w:bCs/>
                <w:sz w:val="26"/>
                <w:szCs w:val="24"/>
                <w:lang w:val="en-GB" w:eastAsia="ja-JP"/>
              </w:rPr>
            </w:pPr>
          </w:p>
        </w:tc>
        <w:tc>
          <w:tcPr>
            <w:tcW w:w="4339" w:type="dxa"/>
            <w:gridSpan w:val="3"/>
            <w:vMerge/>
            <w:tcBorders>
              <w:bottom w:val="single" w:sz="12" w:space="0" w:color="auto"/>
            </w:tcBorders>
          </w:tcPr>
          <w:p w14:paraId="76CC39A3" w14:textId="77777777" w:rsidR="006944F8" w:rsidRPr="00C1421E" w:rsidRDefault="006944F8" w:rsidP="00071381">
            <w:pPr>
              <w:rPr>
                <w:rFonts w:asciiTheme="majorBidi" w:eastAsiaTheme="minorEastAsia" w:hAnsiTheme="majorBidi" w:cstheme="majorBidi"/>
                <w:b/>
                <w:bCs/>
                <w:sz w:val="26"/>
                <w:szCs w:val="24"/>
                <w:lang w:val="en-GB" w:eastAsia="ja-JP"/>
              </w:rPr>
            </w:pPr>
          </w:p>
        </w:tc>
        <w:tc>
          <w:tcPr>
            <w:tcW w:w="4394" w:type="dxa"/>
            <w:tcBorders>
              <w:bottom w:val="single" w:sz="12" w:space="0" w:color="auto"/>
            </w:tcBorders>
            <w:vAlign w:val="center"/>
          </w:tcPr>
          <w:p w14:paraId="13CC0D37" w14:textId="5652C7E0" w:rsidR="006944F8" w:rsidRPr="001C37A8" w:rsidRDefault="006944F8" w:rsidP="00071381">
            <w:pPr>
              <w:jc w:val="right"/>
              <w:rPr>
                <w:rFonts w:eastAsiaTheme="minorEastAsia"/>
                <w:b/>
                <w:bCs/>
                <w:lang w:val="en-GB"/>
              </w:rPr>
            </w:pPr>
            <w:r w:rsidRPr="001C37A8">
              <w:rPr>
                <w:rFonts w:eastAsiaTheme="minorEastAsia"/>
                <w:b/>
                <w:bCs/>
                <w:sz w:val="28"/>
                <w:szCs w:val="24"/>
                <w:lang w:val="en-GB"/>
              </w:rPr>
              <w:t xml:space="preserve">Original: </w:t>
            </w:r>
            <w:proofErr w:type="spellStart"/>
            <w:r w:rsidR="00D4706C">
              <w:rPr>
                <w:rFonts w:eastAsiaTheme="minorEastAsia"/>
                <w:b/>
                <w:bCs/>
                <w:sz w:val="28"/>
                <w:szCs w:val="24"/>
                <w:lang w:val="en-GB"/>
              </w:rPr>
              <w:t>inglés</w:t>
            </w:r>
            <w:proofErr w:type="spellEnd"/>
          </w:p>
        </w:tc>
      </w:tr>
      <w:tr w:rsidR="006944F8" w:rsidRPr="00C1421E" w14:paraId="214F4F7D" w14:textId="77777777" w:rsidTr="00D4706C">
        <w:trPr>
          <w:cantSplit/>
        </w:trPr>
        <w:tc>
          <w:tcPr>
            <w:tcW w:w="1616" w:type="dxa"/>
            <w:gridSpan w:val="3"/>
          </w:tcPr>
          <w:p w14:paraId="738282D3" w14:textId="2DCCB593" w:rsidR="006944F8" w:rsidRPr="001C37A8" w:rsidRDefault="00D4706C" w:rsidP="00071381">
            <w:pPr>
              <w:rPr>
                <w:rFonts w:eastAsiaTheme="minorEastAsia"/>
                <w:b/>
                <w:bCs/>
                <w:lang w:val="en-GB"/>
              </w:rPr>
            </w:pPr>
            <w:proofErr w:type="spellStart"/>
            <w:r>
              <w:rPr>
                <w:rFonts w:eastAsiaTheme="minorEastAsia"/>
                <w:b/>
                <w:bCs/>
                <w:lang w:val="en-GB"/>
              </w:rPr>
              <w:t>Cuestión</w:t>
            </w:r>
            <w:proofErr w:type="spellEnd"/>
            <w:r w:rsidR="006944F8" w:rsidRPr="001C37A8">
              <w:rPr>
                <w:rFonts w:eastAsiaTheme="minorEastAsia"/>
                <w:b/>
                <w:bCs/>
                <w:lang w:val="en-GB"/>
              </w:rPr>
              <w:t>(</w:t>
            </w:r>
            <w:proofErr w:type="spellStart"/>
            <w:r>
              <w:rPr>
                <w:rFonts w:eastAsiaTheme="minorEastAsia"/>
                <w:b/>
                <w:bCs/>
                <w:lang w:val="en-GB"/>
              </w:rPr>
              <w:t>e</w:t>
            </w:r>
            <w:r w:rsidR="006944F8" w:rsidRPr="001C37A8">
              <w:rPr>
                <w:rFonts w:eastAsiaTheme="minorEastAsia"/>
                <w:b/>
                <w:bCs/>
                <w:lang w:val="en-GB"/>
              </w:rPr>
              <w:t>s</w:t>
            </w:r>
            <w:proofErr w:type="spellEnd"/>
            <w:r w:rsidR="006944F8" w:rsidRPr="001C37A8">
              <w:rPr>
                <w:rFonts w:eastAsiaTheme="minorEastAsia"/>
                <w:b/>
                <w:bCs/>
                <w:lang w:val="en-GB"/>
              </w:rPr>
              <w:t>):</w:t>
            </w:r>
          </w:p>
        </w:tc>
        <w:tc>
          <w:tcPr>
            <w:tcW w:w="3913" w:type="dxa"/>
          </w:tcPr>
          <w:p w14:paraId="70E1D64E" w14:textId="77777777" w:rsidR="006944F8" w:rsidRPr="001C37A8" w:rsidRDefault="006944F8" w:rsidP="00071381">
            <w:pPr>
              <w:rPr>
                <w:rFonts w:eastAsiaTheme="minorEastAsia"/>
                <w:lang w:val="en-GB"/>
              </w:rPr>
            </w:pPr>
            <w:r w:rsidRPr="001C37A8">
              <w:rPr>
                <w:rFonts w:eastAsiaTheme="minorEastAsia"/>
                <w:lang w:val="en-GB"/>
              </w:rPr>
              <w:t>N/A</w:t>
            </w:r>
          </w:p>
        </w:tc>
        <w:tc>
          <w:tcPr>
            <w:tcW w:w="4394" w:type="dxa"/>
          </w:tcPr>
          <w:p w14:paraId="22E75FB4" w14:textId="45F049ED" w:rsidR="006944F8" w:rsidRPr="001C37A8" w:rsidRDefault="00D4706C" w:rsidP="007064AE">
            <w:pPr>
              <w:jc w:val="right"/>
              <w:rPr>
                <w:rFonts w:eastAsiaTheme="minorEastAsia"/>
                <w:lang w:val="en-GB"/>
              </w:rPr>
            </w:pPr>
            <w:proofErr w:type="spellStart"/>
            <w:r>
              <w:rPr>
                <w:rFonts w:eastAsiaTheme="minorEastAsia"/>
                <w:lang w:val="en-GB"/>
              </w:rPr>
              <w:t>Ginebra</w:t>
            </w:r>
            <w:proofErr w:type="spellEnd"/>
            <w:r w:rsidR="00D66513" w:rsidRPr="001C37A8">
              <w:rPr>
                <w:rFonts w:eastAsiaTheme="minorEastAsia"/>
                <w:lang w:val="en-GB"/>
              </w:rPr>
              <w:t>, 23</w:t>
            </w:r>
            <w:r w:rsidR="007064AE">
              <w:rPr>
                <w:rFonts w:eastAsiaTheme="minorEastAsia"/>
                <w:lang w:val="en-GB"/>
              </w:rPr>
              <w:t>-</w:t>
            </w:r>
            <w:r w:rsidR="00D66513" w:rsidRPr="001C37A8">
              <w:rPr>
                <w:rFonts w:eastAsiaTheme="minorEastAsia"/>
                <w:lang w:val="en-GB"/>
              </w:rPr>
              <w:t>27</w:t>
            </w:r>
            <w:r w:rsidR="009E6FD5" w:rsidRPr="001C37A8">
              <w:rPr>
                <w:rFonts w:eastAsiaTheme="minorEastAsia"/>
                <w:lang w:val="en-GB"/>
              </w:rPr>
              <w:t xml:space="preserve"> </w:t>
            </w:r>
            <w:r>
              <w:rPr>
                <w:rFonts w:eastAsiaTheme="minorEastAsia"/>
                <w:lang w:val="en-GB"/>
              </w:rPr>
              <w:t xml:space="preserve">de </w:t>
            </w:r>
            <w:proofErr w:type="spellStart"/>
            <w:r>
              <w:rPr>
                <w:rFonts w:eastAsiaTheme="minorEastAsia"/>
                <w:lang w:val="en-GB"/>
              </w:rPr>
              <w:t>septiembre</w:t>
            </w:r>
            <w:proofErr w:type="spellEnd"/>
            <w:r w:rsidR="006944F8" w:rsidRPr="001C37A8">
              <w:rPr>
                <w:rFonts w:eastAsiaTheme="minorEastAsia"/>
                <w:lang w:val="en-GB"/>
              </w:rPr>
              <w:t xml:space="preserve"> 201</w:t>
            </w:r>
            <w:r w:rsidR="0093401C" w:rsidRPr="001C37A8">
              <w:rPr>
                <w:rFonts w:eastAsiaTheme="minorEastAsia"/>
                <w:lang w:val="en-GB"/>
              </w:rPr>
              <w:t>9</w:t>
            </w:r>
          </w:p>
        </w:tc>
      </w:tr>
      <w:tr w:rsidR="006944F8" w:rsidRPr="00C1421E" w14:paraId="480C960A" w14:textId="77777777" w:rsidTr="002E2A0B">
        <w:trPr>
          <w:cantSplit/>
        </w:trPr>
        <w:tc>
          <w:tcPr>
            <w:tcW w:w="9923" w:type="dxa"/>
            <w:gridSpan w:val="5"/>
          </w:tcPr>
          <w:p w14:paraId="7AA932BE" w14:textId="77777777" w:rsidR="006944F8" w:rsidRPr="001C37A8" w:rsidRDefault="006944F8" w:rsidP="00071381">
            <w:pPr>
              <w:jc w:val="center"/>
              <w:rPr>
                <w:rFonts w:eastAsiaTheme="minorEastAsia"/>
                <w:b/>
                <w:bCs/>
                <w:lang w:val="en-GB"/>
              </w:rPr>
            </w:pPr>
            <w:bookmarkStart w:id="1" w:name="ddoctype" w:colFirst="0" w:colLast="0"/>
            <w:r w:rsidRPr="001C37A8">
              <w:rPr>
                <w:rFonts w:eastAsiaTheme="minorEastAsia"/>
                <w:b/>
                <w:bCs/>
                <w:lang w:val="en-GB"/>
              </w:rPr>
              <w:t>TD</w:t>
            </w:r>
          </w:p>
        </w:tc>
      </w:tr>
      <w:bookmarkEnd w:id="1"/>
      <w:tr w:rsidR="006944F8" w:rsidRPr="001C37A8" w14:paraId="088F01F1" w14:textId="77777777" w:rsidTr="002E2A0B">
        <w:trPr>
          <w:cantSplit/>
        </w:trPr>
        <w:tc>
          <w:tcPr>
            <w:tcW w:w="1616" w:type="dxa"/>
            <w:gridSpan w:val="3"/>
          </w:tcPr>
          <w:p w14:paraId="25E4D095" w14:textId="7DB8852A" w:rsidR="006944F8" w:rsidRPr="001C37A8" w:rsidRDefault="00D4706C" w:rsidP="001C37A8">
            <w:pPr>
              <w:rPr>
                <w:rFonts w:eastAsiaTheme="minorEastAsia"/>
                <w:b/>
                <w:bCs/>
              </w:rPr>
            </w:pPr>
            <w:r>
              <w:rPr>
                <w:rFonts w:eastAsiaTheme="minorEastAsia"/>
                <w:b/>
                <w:bCs/>
              </w:rPr>
              <w:t>Origen</w:t>
            </w:r>
            <w:r w:rsidR="006944F8" w:rsidRPr="001C37A8">
              <w:rPr>
                <w:rFonts w:eastAsiaTheme="minorEastAsia"/>
                <w:b/>
                <w:bCs/>
              </w:rPr>
              <w:t>:</w:t>
            </w:r>
          </w:p>
        </w:tc>
        <w:tc>
          <w:tcPr>
            <w:tcW w:w="8307" w:type="dxa"/>
            <w:gridSpan w:val="2"/>
          </w:tcPr>
          <w:p w14:paraId="56229A87" w14:textId="54A31993" w:rsidR="006944F8" w:rsidRPr="001C37A8" w:rsidRDefault="006944F8" w:rsidP="001C37A8">
            <w:pPr>
              <w:rPr>
                <w:rFonts w:eastAsiaTheme="minorEastAsia"/>
              </w:rPr>
            </w:pPr>
            <w:r w:rsidRPr="001C37A8">
              <w:rPr>
                <w:rFonts w:eastAsiaTheme="minorEastAsia"/>
              </w:rPr>
              <w:t>Director</w:t>
            </w:r>
            <w:r w:rsidR="003A54A6">
              <w:rPr>
                <w:rFonts w:eastAsiaTheme="minorEastAsia"/>
              </w:rPr>
              <w:t xml:space="preserve"> de la</w:t>
            </w:r>
            <w:r w:rsidRPr="001C37A8">
              <w:rPr>
                <w:rFonts w:eastAsiaTheme="minorEastAsia"/>
              </w:rPr>
              <w:t xml:space="preserve"> TSB</w:t>
            </w:r>
          </w:p>
        </w:tc>
      </w:tr>
      <w:tr w:rsidR="006944F8" w:rsidRPr="00EA6961" w14:paraId="28F240B5" w14:textId="77777777" w:rsidTr="002E2A0B">
        <w:trPr>
          <w:cantSplit/>
        </w:trPr>
        <w:tc>
          <w:tcPr>
            <w:tcW w:w="1616" w:type="dxa"/>
            <w:gridSpan w:val="3"/>
          </w:tcPr>
          <w:p w14:paraId="714A264E" w14:textId="580F7A6A" w:rsidR="006944F8" w:rsidRPr="001C37A8" w:rsidRDefault="00D4706C" w:rsidP="001C37A8">
            <w:pPr>
              <w:rPr>
                <w:rFonts w:eastAsiaTheme="minorEastAsia"/>
                <w:b/>
                <w:bCs/>
              </w:rPr>
            </w:pPr>
            <w:proofErr w:type="spellStart"/>
            <w:r>
              <w:rPr>
                <w:rFonts w:eastAsiaTheme="minorEastAsia"/>
                <w:b/>
                <w:bCs/>
              </w:rPr>
              <w:t>Título</w:t>
            </w:r>
            <w:proofErr w:type="spellEnd"/>
            <w:r w:rsidR="006944F8" w:rsidRPr="001C37A8">
              <w:rPr>
                <w:rFonts w:eastAsiaTheme="minorEastAsia"/>
                <w:b/>
                <w:bCs/>
              </w:rPr>
              <w:t>:</w:t>
            </w:r>
          </w:p>
        </w:tc>
        <w:tc>
          <w:tcPr>
            <w:tcW w:w="8307" w:type="dxa"/>
            <w:gridSpan w:val="2"/>
          </w:tcPr>
          <w:p w14:paraId="44AC8189" w14:textId="5F6A9856" w:rsidR="006944F8" w:rsidRPr="00F54903" w:rsidRDefault="00F54903" w:rsidP="001C37A8">
            <w:pPr>
              <w:rPr>
                <w:lang w:val="es-ES"/>
              </w:rPr>
            </w:pPr>
            <w:r w:rsidRPr="00F54903">
              <w:rPr>
                <w:lang w:val="es-ES"/>
              </w:rPr>
              <w:t xml:space="preserve">Informe sobre las actividades del </w:t>
            </w:r>
            <w:r>
              <w:rPr>
                <w:lang w:val="es-ES"/>
              </w:rPr>
              <w:t>UIT</w:t>
            </w:r>
            <w:r w:rsidR="006944F8" w:rsidRPr="00F54903">
              <w:rPr>
                <w:lang w:val="es-ES"/>
              </w:rPr>
              <w:t>-T (</w:t>
            </w:r>
            <w:r>
              <w:rPr>
                <w:lang w:val="es-ES"/>
              </w:rPr>
              <w:t xml:space="preserve">de octubre de </w:t>
            </w:r>
            <w:r w:rsidR="009E6FD5" w:rsidRPr="00F54903">
              <w:rPr>
                <w:lang w:val="es-ES"/>
              </w:rPr>
              <w:t>2018</w:t>
            </w:r>
            <w:r w:rsidR="006944F8" w:rsidRPr="00F54903">
              <w:rPr>
                <w:lang w:val="es-ES"/>
              </w:rPr>
              <w:t xml:space="preserve"> </w:t>
            </w:r>
            <w:r>
              <w:rPr>
                <w:lang w:val="es-ES"/>
              </w:rPr>
              <w:t xml:space="preserve">a agosto de </w:t>
            </w:r>
            <w:r w:rsidR="006944F8" w:rsidRPr="00F54903">
              <w:rPr>
                <w:lang w:val="es-ES"/>
              </w:rPr>
              <w:t>201</w:t>
            </w:r>
            <w:r w:rsidR="009E6FD5" w:rsidRPr="00F54903">
              <w:rPr>
                <w:lang w:val="es-ES"/>
              </w:rPr>
              <w:t>9</w:t>
            </w:r>
            <w:r w:rsidR="006944F8" w:rsidRPr="00F54903">
              <w:rPr>
                <w:lang w:val="es-ES"/>
              </w:rPr>
              <w:t>)</w:t>
            </w:r>
          </w:p>
        </w:tc>
      </w:tr>
      <w:tr w:rsidR="006944F8" w:rsidRPr="001C37A8" w14:paraId="2ABF1A67" w14:textId="77777777" w:rsidTr="002E2A0B">
        <w:trPr>
          <w:cantSplit/>
        </w:trPr>
        <w:tc>
          <w:tcPr>
            <w:tcW w:w="1616" w:type="dxa"/>
            <w:gridSpan w:val="3"/>
            <w:tcBorders>
              <w:bottom w:val="single" w:sz="8" w:space="0" w:color="auto"/>
            </w:tcBorders>
          </w:tcPr>
          <w:p w14:paraId="70A934B8" w14:textId="30C1F761" w:rsidR="006944F8" w:rsidRPr="001C37A8" w:rsidRDefault="00D4706C" w:rsidP="001C37A8">
            <w:pPr>
              <w:rPr>
                <w:rFonts w:eastAsiaTheme="minorEastAsia"/>
                <w:b/>
                <w:bCs/>
              </w:rPr>
            </w:pPr>
            <w:bookmarkStart w:id="2" w:name="dpurpose" w:colFirst="1" w:colLast="1"/>
            <w:proofErr w:type="spellStart"/>
            <w:r>
              <w:rPr>
                <w:rFonts w:eastAsiaTheme="minorEastAsia"/>
                <w:b/>
                <w:bCs/>
              </w:rPr>
              <w:t>Asunto</w:t>
            </w:r>
            <w:proofErr w:type="spellEnd"/>
            <w:r w:rsidR="006944F8" w:rsidRPr="001C37A8">
              <w:rPr>
                <w:rFonts w:eastAsiaTheme="minorEastAsia"/>
                <w:b/>
                <w:bCs/>
              </w:rPr>
              <w:t>:</w:t>
            </w:r>
          </w:p>
        </w:tc>
        <w:tc>
          <w:tcPr>
            <w:tcW w:w="8307" w:type="dxa"/>
            <w:gridSpan w:val="2"/>
            <w:tcBorders>
              <w:bottom w:val="single" w:sz="8" w:space="0" w:color="auto"/>
            </w:tcBorders>
          </w:tcPr>
          <w:p w14:paraId="2658764C" w14:textId="7B0F3631" w:rsidR="006944F8" w:rsidRPr="001C37A8" w:rsidRDefault="006944F8" w:rsidP="001C37A8">
            <w:pPr>
              <w:rPr>
                <w:rFonts w:eastAsiaTheme="minorEastAsia"/>
              </w:rPr>
            </w:pPr>
            <w:proofErr w:type="spellStart"/>
            <w:r w:rsidRPr="001C37A8">
              <w:rPr>
                <w:rFonts w:eastAsiaTheme="minorEastAsia"/>
              </w:rPr>
              <w:t>Informa</w:t>
            </w:r>
            <w:r w:rsidR="00F54903">
              <w:rPr>
                <w:rFonts w:eastAsiaTheme="minorEastAsia"/>
              </w:rPr>
              <w:t>ción</w:t>
            </w:r>
            <w:proofErr w:type="spellEnd"/>
          </w:p>
        </w:tc>
      </w:tr>
      <w:bookmarkEnd w:id="2"/>
      <w:tr w:rsidR="006944F8" w:rsidRPr="00EA6961" w14:paraId="7D7943CD" w14:textId="77777777" w:rsidTr="00D4706C">
        <w:trPr>
          <w:cantSplit/>
        </w:trPr>
        <w:tc>
          <w:tcPr>
            <w:tcW w:w="1607" w:type="dxa"/>
            <w:gridSpan w:val="2"/>
            <w:tcBorders>
              <w:top w:val="single" w:sz="8" w:space="0" w:color="auto"/>
              <w:bottom w:val="single" w:sz="8" w:space="0" w:color="auto"/>
            </w:tcBorders>
          </w:tcPr>
          <w:p w14:paraId="00649E44" w14:textId="7F505B7B" w:rsidR="006944F8" w:rsidRPr="001C37A8" w:rsidRDefault="006944F8" w:rsidP="001C37A8">
            <w:pPr>
              <w:rPr>
                <w:rFonts w:eastAsiaTheme="minorEastAsia"/>
                <w:b/>
                <w:bCs/>
              </w:rPr>
            </w:pPr>
            <w:proofErr w:type="spellStart"/>
            <w:r w:rsidRPr="001C37A8">
              <w:rPr>
                <w:rFonts w:eastAsiaTheme="minorEastAsia"/>
                <w:b/>
                <w:bCs/>
              </w:rPr>
              <w:t>Contact</w:t>
            </w:r>
            <w:r w:rsidR="00D4706C">
              <w:rPr>
                <w:rFonts w:eastAsiaTheme="minorEastAsia"/>
                <w:b/>
                <w:bCs/>
              </w:rPr>
              <w:t>o</w:t>
            </w:r>
            <w:proofErr w:type="spellEnd"/>
            <w:r w:rsidRPr="001C37A8">
              <w:rPr>
                <w:rFonts w:eastAsiaTheme="minorEastAsia"/>
                <w:b/>
                <w:bCs/>
              </w:rPr>
              <w:t>:</w:t>
            </w:r>
          </w:p>
        </w:tc>
        <w:tc>
          <w:tcPr>
            <w:tcW w:w="3922" w:type="dxa"/>
            <w:gridSpan w:val="2"/>
            <w:tcBorders>
              <w:top w:val="single" w:sz="8" w:space="0" w:color="auto"/>
              <w:bottom w:val="single" w:sz="8" w:space="0" w:color="auto"/>
            </w:tcBorders>
          </w:tcPr>
          <w:p w14:paraId="2F1836B3" w14:textId="7A9728E7" w:rsidR="006944F8" w:rsidRPr="001C37A8" w:rsidRDefault="006944F8" w:rsidP="001C37A8">
            <w:pPr>
              <w:rPr>
                <w:rFonts w:eastAsiaTheme="minorEastAsia"/>
              </w:rPr>
            </w:pPr>
            <w:r w:rsidRPr="001C37A8">
              <w:rPr>
                <w:rFonts w:eastAsiaTheme="minorEastAsia"/>
              </w:rPr>
              <w:t>TSB</w:t>
            </w:r>
          </w:p>
        </w:tc>
        <w:tc>
          <w:tcPr>
            <w:tcW w:w="4394" w:type="dxa"/>
            <w:tcBorders>
              <w:top w:val="single" w:sz="8" w:space="0" w:color="auto"/>
              <w:bottom w:val="single" w:sz="8" w:space="0" w:color="auto"/>
            </w:tcBorders>
          </w:tcPr>
          <w:p w14:paraId="4EF73A02" w14:textId="053026C1" w:rsidR="006944F8" w:rsidRPr="00D4706C" w:rsidRDefault="00D4706C" w:rsidP="001C37A8">
            <w:pPr>
              <w:rPr>
                <w:rFonts w:eastAsiaTheme="minorEastAsia"/>
                <w:lang w:val="es-ES"/>
              </w:rPr>
            </w:pPr>
            <w:r w:rsidRPr="00D4706C">
              <w:rPr>
                <w:rFonts w:eastAsiaTheme="minorEastAsia"/>
                <w:lang w:val="es-ES"/>
              </w:rPr>
              <w:t>Correo-e</w:t>
            </w:r>
            <w:r w:rsidR="006944F8" w:rsidRPr="00D4706C">
              <w:rPr>
                <w:rFonts w:eastAsiaTheme="minorEastAsia"/>
                <w:lang w:val="es-ES"/>
              </w:rPr>
              <w:t xml:space="preserve">: </w:t>
            </w:r>
            <w:hyperlink r:id="rId12" w:history="1">
              <w:r w:rsidR="006944F8" w:rsidRPr="00D4706C">
                <w:rPr>
                  <w:rStyle w:val="Hyperlink"/>
                  <w:rFonts w:eastAsiaTheme="minorEastAsia"/>
                  <w:lang w:val="es-ES"/>
                </w:rPr>
                <w:t>tsbtsag@itu.int</w:t>
              </w:r>
            </w:hyperlink>
          </w:p>
        </w:tc>
      </w:tr>
    </w:tbl>
    <w:p w14:paraId="302B10F3" w14:textId="77777777" w:rsidR="006944F8" w:rsidRPr="00D4706C" w:rsidRDefault="006944F8" w:rsidP="006944F8">
      <w:pPr>
        <w:rPr>
          <w:highlight w:val="yellow"/>
          <w:lang w:val="es-E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EA6961" w14:paraId="2AEC0594" w14:textId="77777777" w:rsidTr="00EA6961">
        <w:trPr>
          <w:cantSplit/>
        </w:trPr>
        <w:tc>
          <w:tcPr>
            <w:tcW w:w="1607" w:type="dxa"/>
          </w:tcPr>
          <w:p w14:paraId="7F360F51" w14:textId="75AA59B8" w:rsidR="006944F8" w:rsidRPr="001C37A8" w:rsidRDefault="00D4706C" w:rsidP="00071381">
            <w:pPr>
              <w:rPr>
                <w:rFonts w:eastAsiaTheme="minorEastAsia"/>
                <w:b/>
                <w:bCs/>
                <w:lang w:val="en-GB"/>
              </w:rPr>
            </w:pPr>
            <w:r>
              <w:rPr>
                <w:rFonts w:eastAsiaTheme="minorEastAsia"/>
                <w:b/>
                <w:bCs/>
                <w:lang w:val="en-GB"/>
              </w:rPr>
              <w:t>Palabras clave</w:t>
            </w:r>
            <w:r w:rsidR="006944F8" w:rsidRPr="001C37A8">
              <w:rPr>
                <w:rFonts w:eastAsiaTheme="minorEastAsia"/>
                <w:b/>
                <w:bCs/>
                <w:lang w:val="en-GB"/>
              </w:rPr>
              <w:t>:</w:t>
            </w:r>
          </w:p>
        </w:tc>
        <w:tc>
          <w:tcPr>
            <w:tcW w:w="8316" w:type="dxa"/>
          </w:tcPr>
          <w:p w14:paraId="57F69CD9" w14:textId="6D7D7140" w:rsidR="006944F8" w:rsidRPr="00F54903" w:rsidRDefault="00F54903" w:rsidP="00071381">
            <w:pPr>
              <w:rPr>
                <w:rFonts w:eastAsiaTheme="minorEastAsia"/>
                <w:lang w:val="es-ES"/>
              </w:rPr>
            </w:pPr>
            <w:r w:rsidRPr="00F54903">
              <w:rPr>
                <w:lang w:val="es-ES"/>
              </w:rPr>
              <w:t>Normalización; Comisiones de Estudio; Informe de actividad; principales resultados</w:t>
            </w:r>
            <w:r w:rsidR="00EA6961">
              <w:rPr>
                <w:lang w:val="es-ES"/>
              </w:rPr>
              <w:t>;</w:t>
            </w:r>
          </w:p>
        </w:tc>
      </w:tr>
      <w:tr w:rsidR="006944F8" w:rsidRPr="00EA6961" w14:paraId="109E832D" w14:textId="77777777" w:rsidTr="00EA6961">
        <w:trPr>
          <w:cantSplit/>
        </w:trPr>
        <w:tc>
          <w:tcPr>
            <w:tcW w:w="1607" w:type="dxa"/>
          </w:tcPr>
          <w:p w14:paraId="3B9EC2F3" w14:textId="24D67E3D" w:rsidR="006944F8" w:rsidRPr="001C37A8" w:rsidRDefault="00D4706C" w:rsidP="00071381">
            <w:pPr>
              <w:rPr>
                <w:rFonts w:eastAsiaTheme="minorEastAsia"/>
                <w:b/>
                <w:bCs/>
                <w:lang w:val="en-GB"/>
              </w:rPr>
            </w:pPr>
            <w:proofErr w:type="spellStart"/>
            <w:r>
              <w:rPr>
                <w:rFonts w:eastAsiaTheme="minorEastAsia"/>
                <w:b/>
                <w:bCs/>
                <w:lang w:val="en-GB"/>
              </w:rPr>
              <w:t>Resumen</w:t>
            </w:r>
            <w:proofErr w:type="spellEnd"/>
            <w:r w:rsidR="006944F8" w:rsidRPr="001C37A8">
              <w:rPr>
                <w:rFonts w:eastAsiaTheme="minorEastAsia"/>
                <w:b/>
                <w:bCs/>
                <w:lang w:val="en-GB"/>
              </w:rPr>
              <w:t>:</w:t>
            </w:r>
          </w:p>
        </w:tc>
        <w:sdt>
          <w:sdtPr>
            <w:rPr>
              <w:lang w:val="es-ES"/>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316" w:type="dxa"/>
              </w:tcPr>
              <w:p w14:paraId="54A9C95B" w14:textId="6EB7E1D0" w:rsidR="006944F8" w:rsidRPr="00F54903" w:rsidRDefault="00F54903" w:rsidP="001E2DAD">
                <w:pPr>
                  <w:rPr>
                    <w:rFonts w:eastAsiaTheme="minorEastAsia"/>
                    <w:lang w:val="es-ES"/>
                  </w:rPr>
                </w:pPr>
                <w:r w:rsidRPr="00F54903">
                  <w:rPr>
                    <w:lang w:val="es-ES"/>
                  </w:rPr>
                  <w:t xml:space="preserve">En este Informe se resumen los avances logrados en las actividades de normalización del UIT-T entre octubre de </w:t>
                </w:r>
                <w:r w:rsidR="0037553F" w:rsidRPr="00F54903" w:rsidDel="0033393D">
                  <w:rPr>
                    <w:lang w:val="es-ES"/>
                  </w:rPr>
                  <w:t xml:space="preserve">2018 </w:t>
                </w:r>
                <w:r>
                  <w:rPr>
                    <w:lang w:val="es-ES"/>
                  </w:rPr>
                  <w:t xml:space="preserve">y agosto de </w:t>
                </w:r>
                <w:r w:rsidR="0037553F" w:rsidRPr="00F54903" w:rsidDel="0033393D">
                  <w:rPr>
                    <w:lang w:val="es-ES"/>
                  </w:rPr>
                  <w:t>201</w:t>
                </w:r>
                <w:r w:rsidR="00976DA8" w:rsidRPr="00F54903">
                  <w:rPr>
                    <w:lang w:val="es-ES"/>
                  </w:rPr>
                  <w:t>9</w:t>
                </w:r>
                <w:r w:rsidR="0037553F" w:rsidRPr="00F54903" w:rsidDel="0033393D">
                  <w:rPr>
                    <w:lang w:val="es-ES"/>
                  </w:rPr>
                  <w:t xml:space="preserve">, </w:t>
                </w:r>
                <w:r>
                  <w:rPr>
                    <w:lang w:val="es-ES"/>
                  </w:rPr>
                  <w:t xml:space="preserve">así como las medidas adoptadas por la </w:t>
                </w:r>
                <w:r w:rsidR="0037553F" w:rsidRPr="00F54903" w:rsidDel="0033393D">
                  <w:rPr>
                    <w:lang w:val="es-ES"/>
                  </w:rPr>
                  <w:t xml:space="preserve">TSB </w:t>
                </w:r>
                <w:r>
                  <w:rPr>
                    <w:lang w:val="es-ES"/>
                  </w:rPr>
                  <w:t>para mejorar la plataforma de normalización del UIT</w:t>
                </w:r>
                <w:r w:rsidR="0037553F" w:rsidRPr="00F54903" w:rsidDel="0033393D">
                  <w:rPr>
                    <w:lang w:val="es-ES"/>
                  </w:rPr>
                  <w:t>-T.</w:t>
                </w:r>
              </w:p>
            </w:tc>
          </w:sdtContent>
        </w:sdt>
      </w:tr>
    </w:tbl>
    <w:p w14:paraId="5B7D36C9" w14:textId="77777777" w:rsidR="001C37A8" w:rsidRPr="00F54903" w:rsidRDefault="001C37A8" w:rsidP="001C37A8">
      <w:pPr>
        <w:rPr>
          <w:lang w:val="es-ES"/>
        </w:rPr>
      </w:pPr>
    </w:p>
    <w:p w14:paraId="2376609A" w14:textId="37A41D90" w:rsidR="006944F8" w:rsidRPr="001C37A8" w:rsidRDefault="003E5F03" w:rsidP="006944F8">
      <w:pPr>
        <w:pageBreakBefore/>
        <w:jc w:val="center"/>
        <w:rPr>
          <w:lang w:val="en-GB"/>
        </w:rPr>
      </w:pPr>
      <w:r>
        <w:rPr>
          <w:lang w:val="en-GB"/>
        </w:rPr>
        <w:lastRenderedPageBreak/>
        <w:t>ÍNDICE</w:t>
      </w:r>
    </w:p>
    <w:p w14:paraId="0F64C88B" w14:textId="328A3B7E" w:rsidR="006944F8" w:rsidRPr="00C1421E" w:rsidRDefault="002E357F" w:rsidP="006944F8">
      <w:pPr>
        <w:ind w:right="567"/>
        <w:jc w:val="right"/>
        <w:rPr>
          <w:lang w:val="en-GB"/>
        </w:rPr>
      </w:pPr>
      <w:proofErr w:type="spellStart"/>
      <w:r>
        <w:rPr>
          <w:lang w:val="en-GB"/>
        </w:rPr>
        <w:t>Página</w:t>
      </w:r>
      <w:proofErr w:type="spellEnd"/>
    </w:p>
    <w:p w14:paraId="2DAF0DA4" w14:textId="20E452D8" w:rsidR="00660CDF" w:rsidRDefault="006944F8">
      <w:pPr>
        <w:pStyle w:val="TOC1"/>
        <w:rPr>
          <w:rFonts w:asciiTheme="minorHAnsi" w:eastAsiaTheme="minorEastAsia" w:hAnsiTheme="minorHAnsi" w:cstheme="minorBidi"/>
          <w:noProof/>
          <w:sz w:val="22"/>
          <w:szCs w:val="22"/>
          <w:lang w:val="en-GB" w:eastAsia="en-GB"/>
        </w:rPr>
      </w:pPr>
      <w:r w:rsidRPr="00C1421E">
        <w:rPr>
          <w:rFonts w:asciiTheme="majorBidi" w:eastAsia="Malgun Gothic" w:hAnsiTheme="majorBidi" w:cstheme="majorBidi"/>
          <w:highlight w:val="yellow"/>
          <w:lang w:val="en-GB" w:eastAsia="ko-KR"/>
        </w:rPr>
        <w:fldChar w:fldCharType="begin"/>
      </w:r>
      <w:r w:rsidRPr="00C1421E">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C1421E">
        <w:rPr>
          <w:rFonts w:asciiTheme="majorBidi" w:eastAsia="Malgun Gothic" w:hAnsiTheme="majorBidi" w:cstheme="majorBidi"/>
          <w:highlight w:val="yellow"/>
          <w:lang w:val="en-GB" w:eastAsia="ko-KR"/>
        </w:rPr>
        <w:fldChar w:fldCharType="separate"/>
      </w:r>
      <w:hyperlink w:anchor="_Toc18509733" w:history="1">
        <w:r w:rsidR="002E357F" w:rsidRPr="003E5F03">
          <w:rPr>
            <w:lang w:val="es-ES"/>
          </w:rPr>
          <w:t>Resumen ejecutivo</w:t>
        </w:r>
        <w:r w:rsidR="00660CDF">
          <w:rPr>
            <w:noProof/>
            <w:webHidden/>
          </w:rPr>
          <w:tab/>
        </w:r>
        <w:r w:rsidR="00660CDF">
          <w:rPr>
            <w:noProof/>
            <w:webHidden/>
          </w:rPr>
          <w:fldChar w:fldCharType="begin"/>
        </w:r>
        <w:r w:rsidR="00660CDF">
          <w:rPr>
            <w:noProof/>
            <w:webHidden/>
          </w:rPr>
          <w:instrText xml:space="preserve"> PAGEREF _Toc18509733 \h </w:instrText>
        </w:r>
        <w:r w:rsidR="00660CDF">
          <w:rPr>
            <w:noProof/>
            <w:webHidden/>
          </w:rPr>
        </w:r>
        <w:r w:rsidR="00660CDF">
          <w:rPr>
            <w:noProof/>
            <w:webHidden/>
          </w:rPr>
          <w:fldChar w:fldCharType="separate"/>
        </w:r>
        <w:r w:rsidR="00281171">
          <w:rPr>
            <w:b/>
            <w:bCs/>
            <w:noProof/>
            <w:webHidden/>
          </w:rPr>
          <w:t>Error! Bookmark not defined.</w:t>
        </w:r>
        <w:r w:rsidR="00660CDF">
          <w:rPr>
            <w:noProof/>
            <w:webHidden/>
          </w:rPr>
          <w:fldChar w:fldCharType="end"/>
        </w:r>
      </w:hyperlink>
    </w:p>
    <w:p w14:paraId="2FAB1A48" w14:textId="256A0E53" w:rsidR="00660CDF" w:rsidRDefault="00267090">
      <w:pPr>
        <w:pStyle w:val="TOC1"/>
        <w:rPr>
          <w:rFonts w:asciiTheme="minorHAnsi" w:eastAsiaTheme="minorEastAsia" w:hAnsiTheme="minorHAnsi" w:cstheme="minorBidi"/>
          <w:noProof/>
          <w:sz w:val="22"/>
          <w:szCs w:val="22"/>
          <w:lang w:val="en-GB" w:eastAsia="en-GB"/>
        </w:rPr>
      </w:pPr>
      <w:hyperlink w:anchor="_Toc18509734" w:history="1">
        <w:r w:rsidR="00660CDF" w:rsidRPr="00896444">
          <w:rPr>
            <w:rStyle w:val="Hyperlink"/>
            <w:bCs/>
            <w:noProof/>
          </w:rPr>
          <w:t>Annex – Full Report of activities in ITU-T (from October 2018 to August 2019)</w:t>
        </w:r>
        <w:r w:rsidR="00660CDF">
          <w:rPr>
            <w:noProof/>
            <w:webHidden/>
          </w:rPr>
          <w:tab/>
        </w:r>
        <w:r w:rsidR="00660CDF">
          <w:rPr>
            <w:noProof/>
            <w:webHidden/>
          </w:rPr>
          <w:fldChar w:fldCharType="begin"/>
        </w:r>
        <w:r w:rsidR="00660CDF">
          <w:rPr>
            <w:noProof/>
            <w:webHidden/>
          </w:rPr>
          <w:instrText xml:space="preserve"> PAGEREF _Toc18509734 \h </w:instrText>
        </w:r>
        <w:r w:rsidR="00660CDF">
          <w:rPr>
            <w:noProof/>
            <w:webHidden/>
          </w:rPr>
        </w:r>
        <w:r w:rsidR="00660CDF">
          <w:rPr>
            <w:noProof/>
            <w:webHidden/>
          </w:rPr>
          <w:fldChar w:fldCharType="separate"/>
        </w:r>
        <w:r w:rsidR="00281171">
          <w:rPr>
            <w:noProof/>
            <w:webHidden/>
          </w:rPr>
          <w:t>7</w:t>
        </w:r>
        <w:r w:rsidR="00660CDF">
          <w:rPr>
            <w:noProof/>
            <w:webHidden/>
          </w:rPr>
          <w:fldChar w:fldCharType="end"/>
        </w:r>
      </w:hyperlink>
    </w:p>
    <w:p w14:paraId="521BFD7E" w14:textId="4EFF310B" w:rsidR="00660CDF" w:rsidRDefault="00267090">
      <w:pPr>
        <w:pStyle w:val="TOC1"/>
        <w:rPr>
          <w:rFonts w:asciiTheme="minorHAnsi" w:eastAsiaTheme="minorEastAsia" w:hAnsiTheme="minorHAnsi" w:cstheme="minorBidi"/>
          <w:noProof/>
          <w:sz w:val="22"/>
          <w:szCs w:val="22"/>
          <w:lang w:val="en-GB" w:eastAsia="en-GB"/>
        </w:rPr>
      </w:pPr>
      <w:hyperlink w:anchor="_Toc18509735" w:history="1">
        <w:r w:rsidR="00660CDF" w:rsidRPr="00896444">
          <w:rPr>
            <w:rStyle w:val="Hyperlink"/>
            <w:noProof/>
          </w:rPr>
          <w:t>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Selection of achievements in ITU-T standardization</w:t>
        </w:r>
        <w:r w:rsidR="00660CDF">
          <w:rPr>
            <w:noProof/>
            <w:webHidden/>
          </w:rPr>
          <w:tab/>
        </w:r>
        <w:r w:rsidR="00660CDF">
          <w:rPr>
            <w:noProof/>
            <w:webHidden/>
          </w:rPr>
          <w:fldChar w:fldCharType="begin"/>
        </w:r>
        <w:r w:rsidR="00660CDF">
          <w:rPr>
            <w:noProof/>
            <w:webHidden/>
          </w:rPr>
          <w:instrText xml:space="preserve"> PAGEREF _Toc18509735 \h </w:instrText>
        </w:r>
        <w:r w:rsidR="00660CDF">
          <w:rPr>
            <w:noProof/>
            <w:webHidden/>
          </w:rPr>
        </w:r>
        <w:r w:rsidR="00660CDF">
          <w:rPr>
            <w:noProof/>
            <w:webHidden/>
          </w:rPr>
          <w:fldChar w:fldCharType="separate"/>
        </w:r>
        <w:r w:rsidR="00281171">
          <w:rPr>
            <w:noProof/>
            <w:webHidden/>
          </w:rPr>
          <w:t>7</w:t>
        </w:r>
        <w:r w:rsidR="00660CDF">
          <w:rPr>
            <w:noProof/>
            <w:webHidden/>
          </w:rPr>
          <w:fldChar w:fldCharType="end"/>
        </w:r>
      </w:hyperlink>
    </w:p>
    <w:p w14:paraId="16D8B39A" w14:textId="1667964B" w:rsidR="00660CDF" w:rsidRDefault="00267090">
      <w:pPr>
        <w:pStyle w:val="TOC1"/>
        <w:rPr>
          <w:rFonts w:asciiTheme="minorHAnsi" w:eastAsiaTheme="minorEastAsia" w:hAnsiTheme="minorHAnsi" w:cstheme="minorBidi"/>
          <w:noProof/>
          <w:sz w:val="22"/>
          <w:szCs w:val="22"/>
          <w:lang w:val="en-GB" w:eastAsia="en-GB"/>
        </w:rPr>
      </w:pPr>
      <w:hyperlink w:anchor="_Toc18509736" w:history="1">
        <w:r w:rsidR="00660CDF" w:rsidRPr="00896444">
          <w:rPr>
            <w:rStyle w:val="Hyperlink"/>
            <w:noProof/>
          </w:rPr>
          <w:t>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Conformity, interoperability and testing</w:t>
        </w:r>
        <w:r w:rsidR="00660CDF">
          <w:rPr>
            <w:noProof/>
            <w:webHidden/>
          </w:rPr>
          <w:tab/>
        </w:r>
        <w:r w:rsidR="00660CDF">
          <w:rPr>
            <w:noProof/>
            <w:webHidden/>
          </w:rPr>
          <w:fldChar w:fldCharType="begin"/>
        </w:r>
        <w:r w:rsidR="00660CDF">
          <w:rPr>
            <w:noProof/>
            <w:webHidden/>
          </w:rPr>
          <w:instrText xml:space="preserve"> PAGEREF _Toc18509736 \h </w:instrText>
        </w:r>
        <w:r w:rsidR="00660CDF">
          <w:rPr>
            <w:noProof/>
            <w:webHidden/>
          </w:rPr>
        </w:r>
        <w:r w:rsidR="00660CDF">
          <w:rPr>
            <w:noProof/>
            <w:webHidden/>
          </w:rPr>
          <w:fldChar w:fldCharType="separate"/>
        </w:r>
        <w:r w:rsidR="00281171">
          <w:rPr>
            <w:noProof/>
            <w:webHidden/>
          </w:rPr>
          <w:t>10</w:t>
        </w:r>
        <w:r w:rsidR="00660CDF">
          <w:rPr>
            <w:noProof/>
            <w:webHidden/>
          </w:rPr>
          <w:fldChar w:fldCharType="end"/>
        </w:r>
      </w:hyperlink>
    </w:p>
    <w:p w14:paraId="126ED2D8" w14:textId="7A908C42" w:rsidR="00660CDF" w:rsidRDefault="00267090">
      <w:pPr>
        <w:pStyle w:val="TOC2"/>
        <w:rPr>
          <w:rFonts w:asciiTheme="minorHAnsi" w:eastAsiaTheme="minorEastAsia" w:hAnsiTheme="minorHAnsi" w:cstheme="minorBidi"/>
          <w:noProof/>
          <w:sz w:val="22"/>
          <w:szCs w:val="22"/>
          <w:lang w:val="en-GB" w:eastAsia="en-GB"/>
        </w:rPr>
      </w:pPr>
      <w:hyperlink w:anchor="_Toc18509737" w:history="1">
        <w:r w:rsidR="00660CDF" w:rsidRPr="00896444">
          <w:rPr>
            <w:rStyle w:val="Hyperlink"/>
            <w:noProof/>
          </w:rPr>
          <w:t>2.1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Conformity Assessment Steering Committee (CASC)</w:t>
        </w:r>
        <w:r w:rsidR="00660CDF">
          <w:rPr>
            <w:noProof/>
            <w:webHidden/>
          </w:rPr>
          <w:tab/>
        </w:r>
        <w:r w:rsidR="00660CDF">
          <w:rPr>
            <w:noProof/>
            <w:webHidden/>
          </w:rPr>
          <w:fldChar w:fldCharType="begin"/>
        </w:r>
        <w:r w:rsidR="00660CDF">
          <w:rPr>
            <w:noProof/>
            <w:webHidden/>
          </w:rPr>
          <w:instrText xml:space="preserve"> PAGEREF _Toc18509737 \h </w:instrText>
        </w:r>
        <w:r w:rsidR="00660CDF">
          <w:rPr>
            <w:noProof/>
            <w:webHidden/>
          </w:rPr>
        </w:r>
        <w:r w:rsidR="00660CDF">
          <w:rPr>
            <w:noProof/>
            <w:webHidden/>
          </w:rPr>
          <w:fldChar w:fldCharType="separate"/>
        </w:r>
        <w:r w:rsidR="00281171">
          <w:rPr>
            <w:noProof/>
            <w:webHidden/>
          </w:rPr>
          <w:t>10</w:t>
        </w:r>
        <w:r w:rsidR="00660CDF">
          <w:rPr>
            <w:noProof/>
            <w:webHidden/>
          </w:rPr>
          <w:fldChar w:fldCharType="end"/>
        </w:r>
      </w:hyperlink>
    </w:p>
    <w:p w14:paraId="409B6F47" w14:textId="3BE05B72" w:rsidR="00660CDF" w:rsidRDefault="00267090">
      <w:pPr>
        <w:pStyle w:val="TOC2"/>
        <w:rPr>
          <w:rFonts w:asciiTheme="minorHAnsi" w:eastAsiaTheme="minorEastAsia" w:hAnsiTheme="minorHAnsi" w:cstheme="minorBidi"/>
          <w:noProof/>
          <w:sz w:val="22"/>
          <w:szCs w:val="22"/>
          <w:lang w:val="en-GB" w:eastAsia="en-GB"/>
        </w:rPr>
      </w:pPr>
      <w:hyperlink w:anchor="_Toc18509738" w:history="1">
        <w:r w:rsidR="00660CDF" w:rsidRPr="00896444">
          <w:rPr>
            <w:rStyle w:val="Hyperlink"/>
            <w:noProof/>
          </w:rPr>
          <w:t>2.2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ICT product conformity database</w:t>
        </w:r>
        <w:r w:rsidR="00660CDF">
          <w:rPr>
            <w:noProof/>
            <w:webHidden/>
          </w:rPr>
          <w:tab/>
        </w:r>
        <w:r w:rsidR="00660CDF">
          <w:rPr>
            <w:noProof/>
            <w:webHidden/>
          </w:rPr>
          <w:fldChar w:fldCharType="begin"/>
        </w:r>
        <w:r w:rsidR="00660CDF">
          <w:rPr>
            <w:noProof/>
            <w:webHidden/>
          </w:rPr>
          <w:instrText xml:space="preserve"> PAGEREF _Toc18509738 \h </w:instrText>
        </w:r>
        <w:r w:rsidR="00660CDF">
          <w:rPr>
            <w:noProof/>
            <w:webHidden/>
          </w:rPr>
        </w:r>
        <w:r w:rsidR="00660CDF">
          <w:rPr>
            <w:noProof/>
            <w:webHidden/>
          </w:rPr>
          <w:fldChar w:fldCharType="separate"/>
        </w:r>
        <w:r w:rsidR="00281171">
          <w:rPr>
            <w:noProof/>
            <w:webHidden/>
          </w:rPr>
          <w:t>11</w:t>
        </w:r>
        <w:r w:rsidR="00660CDF">
          <w:rPr>
            <w:noProof/>
            <w:webHidden/>
          </w:rPr>
          <w:fldChar w:fldCharType="end"/>
        </w:r>
      </w:hyperlink>
    </w:p>
    <w:p w14:paraId="2608C339" w14:textId="7128BC65" w:rsidR="00660CDF" w:rsidRDefault="00267090">
      <w:pPr>
        <w:pStyle w:val="TOC2"/>
        <w:rPr>
          <w:rFonts w:asciiTheme="minorHAnsi" w:eastAsiaTheme="minorEastAsia" w:hAnsiTheme="minorHAnsi" w:cstheme="minorBidi"/>
          <w:noProof/>
          <w:sz w:val="22"/>
          <w:szCs w:val="22"/>
          <w:lang w:val="en-GB" w:eastAsia="en-GB"/>
        </w:rPr>
      </w:pPr>
      <w:hyperlink w:anchor="_Toc18509739" w:history="1">
        <w:r w:rsidR="00660CDF" w:rsidRPr="00896444">
          <w:rPr>
            <w:rStyle w:val="Hyperlink"/>
            <w:noProof/>
          </w:rPr>
          <w:t>2.3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Testing Internet of Things</w:t>
        </w:r>
        <w:r w:rsidR="00660CDF">
          <w:rPr>
            <w:noProof/>
            <w:webHidden/>
          </w:rPr>
          <w:tab/>
        </w:r>
        <w:r w:rsidR="00660CDF">
          <w:rPr>
            <w:noProof/>
            <w:webHidden/>
          </w:rPr>
          <w:fldChar w:fldCharType="begin"/>
        </w:r>
        <w:r w:rsidR="00660CDF">
          <w:rPr>
            <w:noProof/>
            <w:webHidden/>
          </w:rPr>
          <w:instrText xml:space="preserve"> PAGEREF _Toc18509739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39361FAC" w14:textId="50A2BFDE" w:rsidR="00660CDF" w:rsidRDefault="00267090">
      <w:pPr>
        <w:pStyle w:val="TOC1"/>
        <w:rPr>
          <w:rFonts w:asciiTheme="minorHAnsi" w:eastAsiaTheme="minorEastAsia" w:hAnsiTheme="minorHAnsi" w:cstheme="minorBidi"/>
          <w:noProof/>
          <w:sz w:val="22"/>
          <w:szCs w:val="22"/>
          <w:lang w:val="en-GB" w:eastAsia="en-GB"/>
        </w:rPr>
      </w:pPr>
      <w:hyperlink w:anchor="_Toc18509740" w:history="1">
        <w:r w:rsidR="00660CDF" w:rsidRPr="00896444">
          <w:rPr>
            <w:rStyle w:val="Hyperlink"/>
            <w:noProof/>
          </w:rPr>
          <w:t>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Accessible ITU-T meetings</w:t>
        </w:r>
        <w:r w:rsidR="00660CDF">
          <w:rPr>
            <w:noProof/>
            <w:webHidden/>
          </w:rPr>
          <w:tab/>
        </w:r>
        <w:r w:rsidR="00660CDF">
          <w:rPr>
            <w:noProof/>
            <w:webHidden/>
          </w:rPr>
          <w:fldChar w:fldCharType="begin"/>
        </w:r>
        <w:r w:rsidR="00660CDF">
          <w:rPr>
            <w:noProof/>
            <w:webHidden/>
          </w:rPr>
          <w:instrText xml:space="preserve"> PAGEREF _Toc18509740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6C69EBA3" w14:textId="4B61871B" w:rsidR="00660CDF" w:rsidRDefault="00267090">
      <w:pPr>
        <w:pStyle w:val="TOC1"/>
        <w:rPr>
          <w:rFonts w:asciiTheme="minorHAnsi" w:eastAsiaTheme="minorEastAsia" w:hAnsiTheme="minorHAnsi" w:cstheme="minorBidi"/>
          <w:noProof/>
          <w:sz w:val="22"/>
          <w:szCs w:val="22"/>
          <w:lang w:val="en-GB" w:eastAsia="en-GB"/>
        </w:rPr>
      </w:pPr>
      <w:hyperlink w:anchor="_Toc18509741" w:history="1">
        <w:r w:rsidR="00660CDF" w:rsidRPr="00896444">
          <w:rPr>
            <w:rStyle w:val="Hyperlink"/>
            <w:noProof/>
          </w:rPr>
          <w:t>4</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Intellectual property rights</w:t>
        </w:r>
        <w:r w:rsidR="00660CDF">
          <w:rPr>
            <w:noProof/>
            <w:webHidden/>
          </w:rPr>
          <w:tab/>
        </w:r>
        <w:r w:rsidR="00660CDF">
          <w:rPr>
            <w:noProof/>
            <w:webHidden/>
          </w:rPr>
          <w:fldChar w:fldCharType="begin"/>
        </w:r>
        <w:r w:rsidR="00660CDF">
          <w:rPr>
            <w:noProof/>
            <w:webHidden/>
          </w:rPr>
          <w:instrText xml:space="preserve"> PAGEREF _Toc18509741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3681CA78" w14:textId="5E7E9FB4" w:rsidR="00660CDF" w:rsidRDefault="00267090">
      <w:pPr>
        <w:pStyle w:val="TOC1"/>
        <w:rPr>
          <w:rFonts w:asciiTheme="minorHAnsi" w:eastAsiaTheme="minorEastAsia" w:hAnsiTheme="minorHAnsi" w:cstheme="minorBidi"/>
          <w:noProof/>
          <w:sz w:val="22"/>
          <w:szCs w:val="22"/>
          <w:lang w:val="en-GB" w:eastAsia="en-GB"/>
        </w:rPr>
      </w:pPr>
      <w:hyperlink w:anchor="_Toc18509742" w:history="1">
        <w:r w:rsidR="00660CDF" w:rsidRPr="00896444">
          <w:rPr>
            <w:rStyle w:val="Hyperlink"/>
            <w:noProof/>
          </w:rPr>
          <w:t>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 Focus Groups: Exploring new directions in ITU standardization</w:t>
        </w:r>
        <w:r w:rsidR="00660CDF">
          <w:rPr>
            <w:noProof/>
            <w:webHidden/>
          </w:rPr>
          <w:tab/>
        </w:r>
        <w:r w:rsidR="00660CDF">
          <w:rPr>
            <w:noProof/>
            <w:webHidden/>
          </w:rPr>
          <w:fldChar w:fldCharType="begin"/>
        </w:r>
        <w:r w:rsidR="00660CDF">
          <w:rPr>
            <w:noProof/>
            <w:webHidden/>
          </w:rPr>
          <w:instrText xml:space="preserve"> PAGEREF _Toc18509742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2C4139FB" w14:textId="32AF8472" w:rsidR="00660CDF" w:rsidRDefault="00267090">
      <w:pPr>
        <w:pStyle w:val="TOC2"/>
        <w:rPr>
          <w:rFonts w:asciiTheme="minorHAnsi" w:eastAsiaTheme="minorEastAsia" w:hAnsiTheme="minorHAnsi" w:cstheme="minorBidi"/>
          <w:noProof/>
          <w:sz w:val="22"/>
          <w:szCs w:val="22"/>
          <w:lang w:val="en-GB" w:eastAsia="en-GB"/>
        </w:rPr>
      </w:pPr>
      <w:hyperlink w:anchor="_Toc18509743" w:history="1">
        <w:r w:rsidR="00660CDF" w:rsidRPr="00896444">
          <w:rPr>
            <w:rStyle w:val="Hyperlink"/>
            <w:noProof/>
          </w:rPr>
          <w:t>5.1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Data Processing and Management to support IoT and Smart Cities &amp; Communities</w:t>
        </w:r>
        <w:r w:rsidR="00660CDF">
          <w:rPr>
            <w:noProof/>
            <w:webHidden/>
          </w:rPr>
          <w:tab/>
        </w:r>
        <w:r w:rsidR="00660CDF">
          <w:rPr>
            <w:noProof/>
            <w:webHidden/>
          </w:rPr>
          <w:fldChar w:fldCharType="begin"/>
        </w:r>
        <w:r w:rsidR="00660CDF">
          <w:rPr>
            <w:noProof/>
            <w:webHidden/>
          </w:rPr>
          <w:instrText xml:space="preserve"> PAGEREF _Toc18509743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5D5A2A99" w14:textId="43D83918" w:rsidR="00660CDF" w:rsidRDefault="00267090">
      <w:pPr>
        <w:pStyle w:val="TOC2"/>
        <w:rPr>
          <w:rFonts w:asciiTheme="minorHAnsi" w:eastAsiaTheme="minorEastAsia" w:hAnsiTheme="minorHAnsi" w:cstheme="minorBidi"/>
          <w:noProof/>
          <w:sz w:val="22"/>
          <w:szCs w:val="22"/>
          <w:lang w:val="en-GB" w:eastAsia="en-GB"/>
        </w:rPr>
      </w:pPr>
      <w:hyperlink w:anchor="_Toc18509744" w:history="1">
        <w:r w:rsidR="00660CDF" w:rsidRPr="00896444">
          <w:rPr>
            <w:rStyle w:val="Hyperlink"/>
            <w:noProof/>
          </w:rPr>
          <w:t>5.2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Digital Currency including Digital Fiat Currency</w:t>
        </w:r>
        <w:r w:rsidR="00660CDF">
          <w:rPr>
            <w:noProof/>
            <w:webHidden/>
          </w:rPr>
          <w:tab/>
        </w:r>
        <w:r w:rsidR="00660CDF">
          <w:rPr>
            <w:noProof/>
            <w:webHidden/>
          </w:rPr>
          <w:fldChar w:fldCharType="begin"/>
        </w:r>
        <w:r w:rsidR="00660CDF">
          <w:rPr>
            <w:noProof/>
            <w:webHidden/>
          </w:rPr>
          <w:instrText xml:space="preserve"> PAGEREF _Toc18509744 \h </w:instrText>
        </w:r>
        <w:r w:rsidR="00660CDF">
          <w:rPr>
            <w:noProof/>
            <w:webHidden/>
          </w:rPr>
        </w:r>
        <w:r w:rsidR="00660CDF">
          <w:rPr>
            <w:noProof/>
            <w:webHidden/>
          </w:rPr>
          <w:fldChar w:fldCharType="separate"/>
        </w:r>
        <w:r w:rsidR="00281171">
          <w:rPr>
            <w:noProof/>
            <w:webHidden/>
          </w:rPr>
          <w:t>12</w:t>
        </w:r>
        <w:r w:rsidR="00660CDF">
          <w:rPr>
            <w:noProof/>
            <w:webHidden/>
          </w:rPr>
          <w:fldChar w:fldCharType="end"/>
        </w:r>
      </w:hyperlink>
    </w:p>
    <w:p w14:paraId="6721164F" w14:textId="4F0F688D" w:rsidR="00660CDF" w:rsidRDefault="00267090">
      <w:pPr>
        <w:pStyle w:val="TOC2"/>
        <w:rPr>
          <w:rFonts w:asciiTheme="minorHAnsi" w:eastAsiaTheme="minorEastAsia" w:hAnsiTheme="minorHAnsi" w:cstheme="minorBidi"/>
          <w:noProof/>
          <w:sz w:val="22"/>
          <w:szCs w:val="22"/>
          <w:lang w:val="en-GB" w:eastAsia="en-GB"/>
        </w:rPr>
      </w:pPr>
      <w:hyperlink w:anchor="_Toc18509745" w:history="1">
        <w:r w:rsidR="00660CDF" w:rsidRPr="00896444">
          <w:rPr>
            <w:rStyle w:val="Hyperlink"/>
            <w:noProof/>
          </w:rPr>
          <w:t>5.3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Application of Distributed Ledger Technology</w:t>
        </w:r>
        <w:r w:rsidR="00660CDF">
          <w:rPr>
            <w:noProof/>
            <w:webHidden/>
          </w:rPr>
          <w:tab/>
        </w:r>
        <w:r w:rsidR="00660CDF">
          <w:rPr>
            <w:noProof/>
            <w:webHidden/>
          </w:rPr>
          <w:fldChar w:fldCharType="begin"/>
        </w:r>
        <w:r w:rsidR="00660CDF">
          <w:rPr>
            <w:noProof/>
            <w:webHidden/>
          </w:rPr>
          <w:instrText xml:space="preserve"> PAGEREF _Toc18509745 \h </w:instrText>
        </w:r>
        <w:r w:rsidR="00660CDF">
          <w:rPr>
            <w:noProof/>
            <w:webHidden/>
          </w:rPr>
        </w:r>
        <w:r w:rsidR="00660CDF">
          <w:rPr>
            <w:noProof/>
            <w:webHidden/>
          </w:rPr>
          <w:fldChar w:fldCharType="separate"/>
        </w:r>
        <w:r w:rsidR="00281171">
          <w:rPr>
            <w:noProof/>
            <w:webHidden/>
          </w:rPr>
          <w:t>13</w:t>
        </w:r>
        <w:r w:rsidR="00660CDF">
          <w:rPr>
            <w:noProof/>
            <w:webHidden/>
          </w:rPr>
          <w:fldChar w:fldCharType="end"/>
        </w:r>
      </w:hyperlink>
    </w:p>
    <w:p w14:paraId="7B61AFA9" w14:textId="0E16BCA4" w:rsidR="00660CDF" w:rsidRDefault="00267090">
      <w:pPr>
        <w:pStyle w:val="TOC2"/>
        <w:rPr>
          <w:rFonts w:asciiTheme="minorHAnsi" w:eastAsiaTheme="minorEastAsia" w:hAnsiTheme="minorHAnsi" w:cstheme="minorBidi"/>
          <w:noProof/>
          <w:sz w:val="22"/>
          <w:szCs w:val="22"/>
          <w:lang w:val="en-GB" w:eastAsia="en-GB"/>
        </w:rPr>
      </w:pPr>
      <w:hyperlink w:anchor="_Toc18509746" w:history="1">
        <w:r w:rsidR="00660CDF" w:rsidRPr="00896444">
          <w:rPr>
            <w:rStyle w:val="Hyperlink"/>
            <w:noProof/>
          </w:rPr>
          <w:t>5.4</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Machine Learning for Future Networks including 5G</w:t>
        </w:r>
        <w:r w:rsidR="00660CDF">
          <w:rPr>
            <w:noProof/>
            <w:webHidden/>
          </w:rPr>
          <w:tab/>
        </w:r>
        <w:r w:rsidR="00660CDF">
          <w:rPr>
            <w:noProof/>
            <w:webHidden/>
          </w:rPr>
          <w:fldChar w:fldCharType="begin"/>
        </w:r>
        <w:r w:rsidR="00660CDF">
          <w:rPr>
            <w:noProof/>
            <w:webHidden/>
          </w:rPr>
          <w:instrText xml:space="preserve"> PAGEREF _Toc18509746 \h </w:instrText>
        </w:r>
        <w:r w:rsidR="00660CDF">
          <w:rPr>
            <w:noProof/>
            <w:webHidden/>
          </w:rPr>
        </w:r>
        <w:r w:rsidR="00660CDF">
          <w:rPr>
            <w:noProof/>
            <w:webHidden/>
          </w:rPr>
          <w:fldChar w:fldCharType="separate"/>
        </w:r>
        <w:r w:rsidR="00281171">
          <w:rPr>
            <w:noProof/>
            <w:webHidden/>
          </w:rPr>
          <w:t>13</w:t>
        </w:r>
        <w:r w:rsidR="00660CDF">
          <w:rPr>
            <w:noProof/>
            <w:webHidden/>
          </w:rPr>
          <w:fldChar w:fldCharType="end"/>
        </w:r>
      </w:hyperlink>
    </w:p>
    <w:p w14:paraId="6D9CD3DD" w14:textId="1DBAC6E6" w:rsidR="00660CDF" w:rsidRDefault="00267090">
      <w:pPr>
        <w:pStyle w:val="TOC2"/>
        <w:rPr>
          <w:rFonts w:asciiTheme="minorHAnsi" w:eastAsiaTheme="minorEastAsia" w:hAnsiTheme="minorHAnsi" w:cstheme="minorBidi"/>
          <w:noProof/>
          <w:sz w:val="22"/>
          <w:szCs w:val="22"/>
          <w:lang w:val="en-GB" w:eastAsia="en-GB"/>
        </w:rPr>
      </w:pPr>
      <w:hyperlink w:anchor="_Toc18509747" w:history="1">
        <w:r w:rsidR="00660CDF" w:rsidRPr="00896444">
          <w:rPr>
            <w:rStyle w:val="Hyperlink"/>
            <w:noProof/>
          </w:rPr>
          <w:t>5.5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Technologies for Network 2030</w:t>
        </w:r>
        <w:r w:rsidR="00660CDF">
          <w:rPr>
            <w:noProof/>
            <w:webHidden/>
          </w:rPr>
          <w:tab/>
        </w:r>
        <w:r w:rsidR="00660CDF">
          <w:rPr>
            <w:noProof/>
            <w:webHidden/>
          </w:rPr>
          <w:fldChar w:fldCharType="begin"/>
        </w:r>
        <w:r w:rsidR="00660CDF">
          <w:rPr>
            <w:noProof/>
            <w:webHidden/>
          </w:rPr>
          <w:instrText xml:space="preserve"> PAGEREF _Toc18509747 \h </w:instrText>
        </w:r>
        <w:r w:rsidR="00660CDF">
          <w:rPr>
            <w:noProof/>
            <w:webHidden/>
          </w:rPr>
        </w:r>
        <w:r w:rsidR="00660CDF">
          <w:rPr>
            <w:noProof/>
            <w:webHidden/>
          </w:rPr>
          <w:fldChar w:fldCharType="separate"/>
        </w:r>
        <w:r w:rsidR="00281171">
          <w:rPr>
            <w:noProof/>
            <w:webHidden/>
          </w:rPr>
          <w:t>13</w:t>
        </w:r>
        <w:r w:rsidR="00660CDF">
          <w:rPr>
            <w:noProof/>
            <w:webHidden/>
          </w:rPr>
          <w:fldChar w:fldCharType="end"/>
        </w:r>
      </w:hyperlink>
    </w:p>
    <w:p w14:paraId="3478ADA9" w14:textId="71325BE7" w:rsidR="00660CDF" w:rsidRDefault="00267090">
      <w:pPr>
        <w:pStyle w:val="TOC2"/>
        <w:rPr>
          <w:rFonts w:asciiTheme="minorHAnsi" w:eastAsiaTheme="minorEastAsia" w:hAnsiTheme="minorHAnsi" w:cstheme="minorBidi"/>
          <w:noProof/>
          <w:sz w:val="22"/>
          <w:szCs w:val="22"/>
          <w:lang w:val="en-GB" w:eastAsia="en-GB"/>
        </w:rPr>
      </w:pPr>
      <w:hyperlink w:anchor="_Toc18509748" w:history="1">
        <w:r w:rsidR="00660CDF" w:rsidRPr="00896444">
          <w:rPr>
            <w:rStyle w:val="Hyperlink"/>
            <w:noProof/>
          </w:rPr>
          <w:t>5.6</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Artificial Intelligence for Health</w:t>
        </w:r>
        <w:r w:rsidR="00660CDF">
          <w:rPr>
            <w:noProof/>
            <w:webHidden/>
          </w:rPr>
          <w:tab/>
        </w:r>
        <w:r w:rsidR="00660CDF">
          <w:rPr>
            <w:noProof/>
            <w:webHidden/>
          </w:rPr>
          <w:fldChar w:fldCharType="begin"/>
        </w:r>
        <w:r w:rsidR="00660CDF">
          <w:rPr>
            <w:noProof/>
            <w:webHidden/>
          </w:rPr>
          <w:instrText xml:space="preserve"> PAGEREF _Toc18509748 \h </w:instrText>
        </w:r>
        <w:r w:rsidR="00660CDF">
          <w:rPr>
            <w:noProof/>
            <w:webHidden/>
          </w:rPr>
        </w:r>
        <w:r w:rsidR="00660CDF">
          <w:rPr>
            <w:noProof/>
            <w:webHidden/>
          </w:rPr>
          <w:fldChar w:fldCharType="separate"/>
        </w:r>
        <w:r w:rsidR="00281171">
          <w:rPr>
            <w:noProof/>
            <w:webHidden/>
          </w:rPr>
          <w:t>14</w:t>
        </w:r>
        <w:r w:rsidR="00660CDF">
          <w:rPr>
            <w:noProof/>
            <w:webHidden/>
          </w:rPr>
          <w:fldChar w:fldCharType="end"/>
        </w:r>
      </w:hyperlink>
    </w:p>
    <w:p w14:paraId="14AB0749" w14:textId="7F17552E" w:rsidR="00660CDF" w:rsidRDefault="00267090">
      <w:pPr>
        <w:pStyle w:val="TOC2"/>
        <w:rPr>
          <w:rFonts w:asciiTheme="minorHAnsi" w:eastAsiaTheme="minorEastAsia" w:hAnsiTheme="minorHAnsi" w:cstheme="minorBidi"/>
          <w:noProof/>
          <w:sz w:val="22"/>
          <w:szCs w:val="22"/>
          <w:lang w:val="en-GB" w:eastAsia="en-GB"/>
        </w:rPr>
      </w:pPr>
      <w:hyperlink w:anchor="_Toc18509749" w:history="1">
        <w:r w:rsidR="00660CDF" w:rsidRPr="00896444">
          <w:rPr>
            <w:rStyle w:val="Hyperlink"/>
            <w:noProof/>
          </w:rPr>
          <w:t>5.7</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Vehicular Multimedia</w:t>
        </w:r>
        <w:r w:rsidR="00660CDF">
          <w:rPr>
            <w:noProof/>
            <w:webHidden/>
          </w:rPr>
          <w:tab/>
        </w:r>
        <w:r w:rsidR="00660CDF">
          <w:rPr>
            <w:noProof/>
            <w:webHidden/>
          </w:rPr>
          <w:fldChar w:fldCharType="begin"/>
        </w:r>
        <w:r w:rsidR="00660CDF">
          <w:rPr>
            <w:noProof/>
            <w:webHidden/>
          </w:rPr>
          <w:instrText xml:space="preserve"> PAGEREF _Toc18509749 \h </w:instrText>
        </w:r>
        <w:r w:rsidR="00660CDF">
          <w:rPr>
            <w:noProof/>
            <w:webHidden/>
          </w:rPr>
        </w:r>
        <w:r w:rsidR="00660CDF">
          <w:rPr>
            <w:noProof/>
            <w:webHidden/>
          </w:rPr>
          <w:fldChar w:fldCharType="separate"/>
        </w:r>
        <w:r w:rsidR="00281171">
          <w:rPr>
            <w:noProof/>
            <w:webHidden/>
          </w:rPr>
          <w:t>14</w:t>
        </w:r>
        <w:r w:rsidR="00660CDF">
          <w:rPr>
            <w:noProof/>
            <w:webHidden/>
          </w:rPr>
          <w:fldChar w:fldCharType="end"/>
        </w:r>
      </w:hyperlink>
    </w:p>
    <w:p w14:paraId="00433BAA" w14:textId="5043B723" w:rsidR="00660CDF" w:rsidRDefault="00267090">
      <w:pPr>
        <w:pStyle w:val="TOC2"/>
        <w:rPr>
          <w:rFonts w:asciiTheme="minorHAnsi" w:eastAsiaTheme="minorEastAsia" w:hAnsiTheme="minorHAnsi" w:cstheme="minorBidi"/>
          <w:noProof/>
          <w:sz w:val="22"/>
          <w:szCs w:val="22"/>
          <w:lang w:val="en-GB" w:eastAsia="en-GB"/>
        </w:rPr>
      </w:pPr>
      <w:hyperlink w:anchor="_Toc18509750" w:history="1">
        <w:r w:rsidR="00660CDF" w:rsidRPr="00896444">
          <w:rPr>
            <w:rStyle w:val="Hyperlink"/>
            <w:noProof/>
          </w:rPr>
          <w:t>5.8</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Environmental Efficiency for Artificial Intelligence and other Emerging Technologies</w:t>
        </w:r>
        <w:r w:rsidR="00660CDF">
          <w:rPr>
            <w:noProof/>
            <w:webHidden/>
          </w:rPr>
          <w:tab/>
        </w:r>
        <w:r w:rsidR="00660CDF">
          <w:rPr>
            <w:noProof/>
            <w:webHidden/>
          </w:rPr>
          <w:fldChar w:fldCharType="begin"/>
        </w:r>
        <w:r w:rsidR="00660CDF">
          <w:rPr>
            <w:noProof/>
            <w:webHidden/>
          </w:rPr>
          <w:instrText xml:space="preserve"> PAGEREF _Toc18509750 \h </w:instrText>
        </w:r>
        <w:r w:rsidR="00660CDF">
          <w:rPr>
            <w:noProof/>
            <w:webHidden/>
          </w:rPr>
        </w:r>
        <w:r w:rsidR="00660CDF">
          <w:rPr>
            <w:noProof/>
            <w:webHidden/>
          </w:rPr>
          <w:fldChar w:fldCharType="separate"/>
        </w:r>
        <w:r w:rsidR="00281171">
          <w:rPr>
            <w:noProof/>
            <w:webHidden/>
          </w:rPr>
          <w:t>14</w:t>
        </w:r>
        <w:r w:rsidR="00660CDF">
          <w:rPr>
            <w:noProof/>
            <w:webHidden/>
          </w:rPr>
          <w:fldChar w:fldCharType="end"/>
        </w:r>
      </w:hyperlink>
    </w:p>
    <w:p w14:paraId="2E548874" w14:textId="2AB03599" w:rsidR="00660CDF" w:rsidRDefault="00267090">
      <w:pPr>
        <w:pStyle w:val="TOC1"/>
        <w:rPr>
          <w:rFonts w:asciiTheme="minorHAnsi" w:eastAsiaTheme="minorEastAsia" w:hAnsiTheme="minorHAnsi" w:cstheme="minorBidi"/>
          <w:noProof/>
          <w:sz w:val="22"/>
          <w:szCs w:val="22"/>
          <w:lang w:val="en-GB" w:eastAsia="en-GB"/>
        </w:rPr>
      </w:pPr>
      <w:hyperlink w:anchor="_Toc18509751" w:history="1">
        <w:r w:rsidR="00660CDF" w:rsidRPr="00896444">
          <w:rPr>
            <w:rStyle w:val="Hyperlink"/>
            <w:noProof/>
          </w:rPr>
          <w:t>6</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Collaboration in standardization</w:t>
        </w:r>
        <w:r w:rsidR="00660CDF">
          <w:rPr>
            <w:noProof/>
            <w:webHidden/>
          </w:rPr>
          <w:tab/>
        </w:r>
        <w:r w:rsidR="00660CDF">
          <w:rPr>
            <w:noProof/>
            <w:webHidden/>
          </w:rPr>
          <w:fldChar w:fldCharType="begin"/>
        </w:r>
        <w:r w:rsidR="00660CDF">
          <w:rPr>
            <w:noProof/>
            <w:webHidden/>
          </w:rPr>
          <w:instrText xml:space="preserve"> PAGEREF _Toc18509751 \h </w:instrText>
        </w:r>
        <w:r w:rsidR="00660CDF">
          <w:rPr>
            <w:noProof/>
            <w:webHidden/>
          </w:rPr>
        </w:r>
        <w:r w:rsidR="00660CDF">
          <w:rPr>
            <w:noProof/>
            <w:webHidden/>
          </w:rPr>
          <w:fldChar w:fldCharType="separate"/>
        </w:r>
        <w:r w:rsidR="00281171">
          <w:rPr>
            <w:noProof/>
            <w:webHidden/>
          </w:rPr>
          <w:t>14</w:t>
        </w:r>
        <w:r w:rsidR="00660CDF">
          <w:rPr>
            <w:noProof/>
            <w:webHidden/>
          </w:rPr>
          <w:fldChar w:fldCharType="end"/>
        </w:r>
      </w:hyperlink>
    </w:p>
    <w:p w14:paraId="7C039D9C" w14:textId="6B7A5BEA" w:rsidR="00660CDF" w:rsidRDefault="00267090">
      <w:pPr>
        <w:pStyle w:val="TOC2"/>
        <w:rPr>
          <w:rFonts w:asciiTheme="minorHAnsi" w:eastAsiaTheme="minorEastAsia" w:hAnsiTheme="minorHAnsi" w:cstheme="minorBidi"/>
          <w:noProof/>
          <w:sz w:val="22"/>
          <w:szCs w:val="22"/>
          <w:lang w:val="en-GB" w:eastAsia="en-GB"/>
        </w:rPr>
      </w:pPr>
      <w:hyperlink w:anchor="_Toc18509752" w:history="1">
        <w:r w:rsidR="00660CDF" w:rsidRPr="00896444">
          <w:rPr>
            <w:rStyle w:val="Hyperlink"/>
            <w:noProof/>
          </w:rPr>
          <w:t>6.1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Coordination and cooperation among ITU Sectors</w:t>
        </w:r>
        <w:r w:rsidR="00660CDF">
          <w:rPr>
            <w:noProof/>
            <w:webHidden/>
          </w:rPr>
          <w:tab/>
        </w:r>
        <w:r w:rsidR="00660CDF">
          <w:rPr>
            <w:noProof/>
            <w:webHidden/>
          </w:rPr>
          <w:fldChar w:fldCharType="begin"/>
        </w:r>
        <w:r w:rsidR="00660CDF">
          <w:rPr>
            <w:noProof/>
            <w:webHidden/>
          </w:rPr>
          <w:instrText xml:space="preserve"> PAGEREF _Toc18509752 \h </w:instrText>
        </w:r>
        <w:r w:rsidR="00660CDF">
          <w:rPr>
            <w:noProof/>
            <w:webHidden/>
          </w:rPr>
        </w:r>
        <w:r w:rsidR="00660CDF">
          <w:rPr>
            <w:noProof/>
            <w:webHidden/>
          </w:rPr>
          <w:fldChar w:fldCharType="separate"/>
        </w:r>
        <w:r w:rsidR="00281171">
          <w:rPr>
            <w:noProof/>
            <w:webHidden/>
          </w:rPr>
          <w:t>14</w:t>
        </w:r>
        <w:r w:rsidR="00660CDF">
          <w:rPr>
            <w:noProof/>
            <w:webHidden/>
          </w:rPr>
          <w:fldChar w:fldCharType="end"/>
        </w:r>
      </w:hyperlink>
    </w:p>
    <w:p w14:paraId="31C25F3C" w14:textId="3A0CB80E" w:rsidR="00660CDF" w:rsidRDefault="00267090">
      <w:pPr>
        <w:pStyle w:val="TOC2"/>
        <w:rPr>
          <w:rFonts w:asciiTheme="minorHAnsi" w:eastAsiaTheme="minorEastAsia" w:hAnsiTheme="minorHAnsi" w:cstheme="minorBidi"/>
          <w:noProof/>
          <w:sz w:val="22"/>
          <w:szCs w:val="22"/>
          <w:lang w:val="en-GB" w:eastAsia="en-GB"/>
        </w:rPr>
      </w:pPr>
      <w:hyperlink w:anchor="_Toc18509753" w:history="1">
        <w:r w:rsidR="00660CDF" w:rsidRPr="00896444">
          <w:rPr>
            <w:rStyle w:val="Hyperlink"/>
            <w:noProof/>
          </w:rPr>
          <w:t>6.2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Coordination and cooperation with the Regions and the Regional Offices</w:t>
        </w:r>
        <w:r w:rsidR="00660CDF">
          <w:rPr>
            <w:noProof/>
            <w:webHidden/>
          </w:rPr>
          <w:tab/>
        </w:r>
        <w:r w:rsidR="00660CDF">
          <w:rPr>
            <w:noProof/>
            <w:webHidden/>
          </w:rPr>
          <w:fldChar w:fldCharType="begin"/>
        </w:r>
        <w:r w:rsidR="00660CDF">
          <w:rPr>
            <w:noProof/>
            <w:webHidden/>
          </w:rPr>
          <w:instrText xml:space="preserve"> PAGEREF _Toc18509753 \h </w:instrText>
        </w:r>
        <w:r w:rsidR="00660CDF">
          <w:rPr>
            <w:noProof/>
            <w:webHidden/>
          </w:rPr>
        </w:r>
        <w:r w:rsidR="00660CDF">
          <w:rPr>
            <w:noProof/>
            <w:webHidden/>
          </w:rPr>
          <w:fldChar w:fldCharType="separate"/>
        </w:r>
        <w:r w:rsidR="00281171">
          <w:rPr>
            <w:noProof/>
            <w:webHidden/>
          </w:rPr>
          <w:t>15</w:t>
        </w:r>
        <w:r w:rsidR="00660CDF">
          <w:rPr>
            <w:noProof/>
            <w:webHidden/>
          </w:rPr>
          <w:fldChar w:fldCharType="end"/>
        </w:r>
      </w:hyperlink>
    </w:p>
    <w:p w14:paraId="08CC5A7D" w14:textId="64707986" w:rsidR="00660CDF" w:rsidRDefault="00267090">
      <w:pPr>
        <w:pStyle w:val="TOC2"/>
        <w:rPr>
          <w:rFonts w:asciiTheme="minorHAnsi" w:eastAsiaTheme="minorEastAsia" w:hAnsiTheme="minorHAnsi" w:cstheme="minorBidi"/>
          <w:noProof/>
          <w:sz w:val="22"/>
          <w:szCs w:val="22"/>
          <w:lang w:val="en-GB" w:eastAsia="en-GB"/>
        </w:rPr>
      </w:pPr>
      <w:hyperlink w:anchor="_Toc18509754" w:history="1">
        <w:r w:rsidR="00660CDF" w:rsidRPr="00896444">
          <w:rPr>
            <w:rStyle w:val="Hyperlink"/>
            <w:noProof/>
          </w:rPr>
          <w:t>6.3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General assistance and cooperation</w:t>
        </w:r>
        <w:r w:rsidR="00660CDF">
          <w:rPr>
            <w:noProof/>
            <w:webHidden/>
          </w:rPr>
          <w:tab/>
        </w:r>
        <w:r w:rsidR="00660CDF">
          <w:rPr>
            <w:noProof/>
            <w:webHidden/>
          </w:rPr>
          <w:fldChar w:fldCharType="begin"/>
        </w:r>
        <w:r w:rsidR="00660CDF">
          <w:rPr>
            <w:noProof/>
            <w:webHidden/>
          </w:rPr>
          <w:instrText xml:space="preserve"> PAGEREF _Toc18509754 \h </w:instrText>
        </w:r>
        <w:r w:rsidR="00660CDF">
          <w:rPr>
            <w:noProof/>
            <w:webHidden/>
          </w:rPr>
        </w:r>
        <w:r w:rsidR="00660CDF">
          <w:rPr>
            <w:noProof/>
            <w:webHidden/>
          </w:rPr>
          <w:fldChar w:fldCharType="separate"/>
        </w:r>
        <w:r w:rsidR="00281171">
          <w:rPr>
            <w:noProof/>
            <w:webHidden/>
          </w:rPr>
          <w:t>15</w:t>
        </w:r>
        <w:r w:rsidR="00660CDF">
          <w:rPr>
            <w:noProof/>
            <w:webHidden/>
          </w:rPr>
          <w:fldChar w:fldCharType="end"/>
        </w:r>
      </w:hyperlink>
    </w:p>
    <w:p w14:paraId="22B83126" w14:textId="06349550" w:rsidR="00660CDF" w:rsidRDefault="00267090">
      <w:pPr>
        <w:pStyle w:val="TOC2"/>
        <w:rPr>
          <w:rFonts w:asciiTheme="minorHAnsi" w:eastAsiaTheme="minorEastAsia" w:hAnsiTheme="minorHAnsi" w:cstheme="minorBidi"/>
          <w:noProof/>
          <w:sz w:val="22"/>
          <w:szCs w:val="22"/>
          <w:lang w:val="en-GB" w:eastAsia="en-GB"/>
        </w:rPr>
      </w:pPr>
      <w:hyperlink w:anchor="_Toc18509755" w:history="1">
        <w:r w:rsidR="00660CDF" w:rsidRPr="00896444">
          <w:rPr>
            <w:rStyle w:val="Hyperlink"/>
            <w:noProof/>
          </w:rPr>
          <w:t>6.5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Cooperation with national and regional standardization organizations</w:t>
        </w:r>
        <w:r w:rsidR="00660CDF">
          <w:rPr>
            <w:noProof/>
            <w:webHidden/>
          </w:rPr>
          <w:tab/>
        </w:r>
        <w:r w:rsidR="00660CDF">
          <w:rPr>
            <w:noProof/>
            <w:webHidden/>
          </w:rPr>
          <w:fldChar w:fldCharType="begin"/>
        </w:r>
        <w:r w:rsidR="00660CDF">
          <w:rPr>
            <w:noProof/>
            <w:webHidden/>
          </w:rPr>
          <w:instrText xml:space="preserve"> PAGEREF _Toc18509755 \h </w:instrText>
        </w:r>
        <w:r w:rsidR="00660CDF">
          <w:rPr>
            <w:noProof/>
            <w:webHidden/>
          </w:rPr>
        </w:r>
        <w:r w:rsidR="00660CDF">
          <w:rPr>
            <w:noProof/>
            <w:webHidden/>
          </w:rPr>
          <w:fldChar w:fldCharType="separate"/>
        </w:r>
        <w:r w:rsidR="00281171">
          <w:rPr>
            <w:noProof/>
            <w:webHidden/>
          </w:rPr>
          <w:t>17</w:t>
        </w:r>
        <w:r w:rsidR="00660CDF">
          <w:rPr>
            <w:noProof/>
            <w:webHidden/>
          </w:rPr>
          <w:fldChar w:fldCharType="end"/>
        </w:r>
      </w:hyperlink>
    </w:p>
    <w:p w14:paraId="0F423A14" w14:textId="772AA7D5" w:rsidR="00660CDF" w:rsidRDefault="00267090">
      <w:pPr>
        <w:pStyle w:val="TOC1"/>
        <w:rPr>
          <w:rFonts w:asciiTheme="minorHAnsi" w:eastAsiaTheme="minorEastAsia" w:hAnsiTheme="minorHAnsi" w:cstheme="minorBidi"/>
          <w:noProof/>
          <w:sz w:val="22"/>
          <w:szCs w:val="22"/>
          <w:lang w:val="en-GB" w:eastAsia="en-GB"/>
        </w:rPr>
      </w:pPr>
      <w:hyperlink w:anchor="_Toc18509756" w:history="1">
        <w:r w:rsidR="00660CDF" w:rsidRPr="00896444">
          <w:rPr>
            <w:rStyle w:val="Hyperlink"/>
            <w:noProof/>
          </w:rPr>
          <w:t>7</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Bridging the standardization gap</w:t>
        </w:r>
        <w:r w:rsidR="00660CDF">
          <w:rPr>
            <w:noProof/>
            <w:webHidden/>
          </w:rPr>
          <w:tab/>
        </w:r>
        <w:r w:rsidR="00660CDF">
          <w:rPr>
            <w:noProof/>
            <w:webHidden/>
          </w:rPr>
          <w:fldChar w:fldCharType="begin"/>
        </w:r>
        <w:r w:rsidR="00660CDF">
          <w:rPr>
            <w:noProof/>
            <w:webHidden/>
          </w:rPr>
          <w:instrText xml:space="preserve"> PAGEREF _Toc18509756 \h </w:instrText>
        </w:r>
        <w:r w:rsidR="00660CDF">
          <w:rPr>
            <w:noProof/>
            <w:webHidden/>
          </w:rPr>
        </w:r>
        <w:r w:rsidR="00660CDF">
          <w:rPr>
            <w:noProof/>
            <w:webHidden/>
          </w:rPr>
          <w:fldChar w:fldCharType="separate"/>
        </w:r>
        <w:r w:rsidR="00281171">
          <w:rPr>
            <w:noProof/>
            <w:webHidden/>
          </w:rPr>
          <w:t>18</w:t>
        </w:r>
        <w:r w:rsidR="00660CDF">
          <w:rPr>
            <w:noProof/>
            <w:webHidden/>
          </w:rPr>
          <w:fldChar w:fldCharType="end"/>
        </w:r>
      </w:hyperlink>
    </w:p>
    <w:p w14:paraId="7ABAB860" w14:textId="48E5A8EB" w:rsidR="00660CDF" w:rsidRDefault="00267090">
      <w:pPr>
        <w:pStyle w:val="TOC2"/>
        <w:rPr>
          <w:rFonts w:asciiTheme="minorHAnsi" w:eastAsiaTheme="minorEastAsia" w:hAnsiTheme="minorHAnsi" w:cstheme="minorBidi"/>
          <w:noProof/>
          <w:sz w:val="22"/>
          <w:szCs w:val="22"/>
          <w:lang w:val="en-GB" w:eastAsia="en-GB"/>
        </w:rPr>
      </w:pPr>
      <w:hyperlink w:anchor="_Toc18509757" w:history="1">
        <w:r w:rsidR="00660CDF" w:rsidRPr="00896444">
          <w:rPr>
            <w:rStyle w:val="Hyperlink"/>
            <w:noProof/>
          </w:rPr>
          <w:t>7.1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BSG hands-on training sessions</w:t>
        </w:r>
        <w:r w:rsidR="00660CDF">
          <w:rPr>
            <w:noProof/>
            <w:webHidden/>
          </w:rPr>
          <w:tab/>
        </w:r>
        <w:r w:rsidR="00660CDF">
          <w:rPr>
            <w:noProof/>
            <w:webHidden/>
          </w:rPr>
          <w:fldChar w:fldCharType="begin"/>
        </w:r>
        <w:r w:rsidR="00660CDF">
          <w:rPr>
            <w:noProof/>
            <w:webHidden/>
          </w:rPr>
          <w:instrText xml:space="preserve"> PAGEREF _Toc18509757 \h </w:instrText>
        </w:r>
        <w:r w:rsidR="00660CDF">
          <w:rPr>
            <w:noProof/>
            <w:webHidden/>
          </w:rPr>
        </w:r>
        <w:r w:rsidR="00660CDF">
          <w:rPr>
            <w:noProof/>
            <w:webHidden/>
          </w:rPr>
          <w:fldChar w:fldCharType="separate"/>
        </w:r>
        <w:r w:rsidR="00281171">
          <w:rPr>
            <w:noProof/>
            <w:webHidden/>
          </w:rPr>
          <w:t>19</w:t>
        </w:r>
        <w:r w:rsidR="00660CDF">
          <w:rPr>
            <w:noProof/>
            <w:webHidden/>
          </w:rPr>
          <w:fldChar w:fldCharType="end"/>
        </w:r>
      </w:hyperlink>
    </w:p>
    <w:p w14:paraId="68403408" w14:textId="3E5EAA51" w:rsidR="00660CDF" w:rsidRDefault="00267090">
      <w:pPr>
        <w:pStyle w:val="TOC2"/>
        <w:rPr>
          <w:rFonts w:asciiTheme="minorHAnsi" w:eastAsiaTheme="minorEastAsia" w:hAnsiTheme="minorHAnsi" w:cstheme="minorBidi"/>
          <w:noProof/>
          <w:sz w:val="22"/>
          <w:szCs w:val="22"/>
          <w:lang w:val="en-GB" w:eastAsia="en-GB"/>
        </w:rPr>
      </w:pPr>
      <w:hyperlink w:anchor="_Toc18509758" w:history="1">
        <w:r w:rsidR="00660CDF" w:rsidRPr="00896444">
          <w:rPr>
            <w:rStyle w:val="Hyperlink"/>
            <w:noProof/>
          </w:rPr>
          <w:t>7.2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Regional Groups</w:t>
        </w:r>
        <w:r w:rsidR="00660CDF">
          <w:rPr>
            <w:noProof/>
            <w:webHidden/>
          </w:rPr>
          <w:tab/>
        </w:r>
        <w:r w:rsidR="00660CDF">
          <w:rPr>
            <w:noProof/>
            <w:webHidden/>
          </w:rPr>
          <w:fldChar w:fldCharType="begin"/>
        </w:r>
        <w:r w:rsidR="00660CDF">
          <w:rPr>
            <w:noProof/>
            <w:webHidden/>
          </w:rPr>
          <w:instrText xml:space="preserve"> PAGEREF _Toc18509758 \h </w:instrText>
        </w:r>
        <w:r w:rsidR="00660CDF">
          <w:rPr>
            <w:noProof/>
            <w:webHidden/>
          </w:rPr>
        </w:r>
        <w:r w:rsidR="00660CDF">
          <w:rPr>
            <w:noProof/>
            <w:webHidden/>
          </w:rPr>
          <w:fldChar w:fldCharType="separate"/>
        </w:r>
        <w:r w:rsidR="00281171">
          <w:rPr>
            <w:noProof/>
            <w:webHidden/>
          </w:rPr>
          <w:t>19</w:t>
        </w:r>
        <w:r w:rsidR="00660CDF">
          <w:rPr>
            <w:noProof/>
            <w:webHidden/>
          </w:rPr>
          <w:fldChar w:fldCharType="end"/>
        </w:r>
      </w:hyperlink>
    </w:p>
    <w:p w14:paraId="02190C2C" w14:textId="5A6EC6CC" w:rsidR="00660CDF" w:rsidRDefault="00267090">
      <w:pPr>
        <w:pStyle w:val="TOC2"/>
        <w:rPr>
          <w:rFonts w:asciiTheme="minorHAnsi" w:eastAsiaTheme="minorEastAsia" w:hAnsiTheme="minorHAnsi" w:cstheme="minorBidi"/>
          <w:noProof/>
          <w:sz w:val="22"/>
          <w:szCs w:val="22"/>
          <w:lang w:val="en-GB" w:eastAsia="en-GB"/>
        </w:rPr>
      </w:pPr>
      <w:hyperlink w:anchor="_Toc18509759" w:history="1">
        <w:r w:rsidR="00660CDF" w:rsidRPr="00896444">
          <w:rPr>
            <w:rStyle w:val="Hyperlink"/>
            <w:noProof/>
          </w:rPr>
          <w:t>7.3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Regional Standardization Forums</w:t>
        </w:r>
        <w:r w:rsidR="00660CDF">
          <w:rPr>
            <w:noProof/>
            <w:webHidden/>
          </w:rPr>
          <w:tab/>
        </w:r>
        <w:r w:rsidR="00660CDF">
          <w:rPr>
            <w:noProof/>
            <w:webHidden/>
          </w:rPr>
          <w:fldChar w:fldCharType="begin"/>
        </w:r>
        <w:r w:rsidR="00660CDF">
          <w:rPr>
            <w:noProof/>
            <w:webHidden/>
          </w:rPr>
          <w:instrText xml:space="preserve"> PAGEREF _Toc18509759 \h </w:instrText>
        </w:r>
        <w:r w:rsidR="00660CDF">
          <w:rPr>
            <w:noProof/>
            <w:webHidden/>
          </w:rPr>
        </w:r>
        <w:r w:rsidR="00660CDF">
          <w:rPr>
            <w:noProof/>
            <w:webHidden/>
          </w:rPr>
          <w:fldChar w:fldCharType="separate"/>
        </w:r>
        <w:r w:rsidR="00281171">
          <w:rPr>
            <w:noProof/>
            <w:webHidden/>
          </w:rPr>
          <w:t>20</w:t>
        </w:r>
        <w:r w:rsidR="00660CDF">
          <w:rPr>
            <w:noProof/>
            <w:webHidden/>
          </w:rPr>
          <w:fldChar w:fldCharType="end"/>
        </w:r>
      </w:hyperlink>
    </w:p>
    <w:p w14:paraId="15F4B1BA" w14:textId="6FFAA5B2" w:rsidR="00660CDF" w:rsidRDefault="00267090">
      <w:pPr>
        <w:pStyle w:val="TOC2"/>
        <w:rPr>
          <w:rFonts w:asciiTheme="minorHAnsi" w:eastAsiaTheme="minorEastAsia" w:hAnsiTheme="minorHAnsi" w:cstheme="minorBidi"/>
          <w:noProof/>
          <w:sz w:val="22"/>
          <w:szCs w:val="22"/>
          <w:lang w:val="en-GB" w:eastAsia="en-GB"/>
        </w:rPr>
      </w:pPr>
      <w:hyperlink w:anchor="_Toc18509760" w:history="1">
        <w:r w:rsidR="00660CDF" w:rsidRPr="00896444">
          <w:rPr>
            <w:rStyle w:val="Hyperlink"/>
            <w:noProof/>
          </w:rPr>
          <w:t>7.4</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National Standardization Secretariats</w:t>
        </w:r>
        <w:r w:rsidR="00660CDF">
          <w:rPr>
            <w:noProof/>
            <w:webHidden/>
          </w:rPr>
          <w:tab/>
        </w:r>
        <w:r w:rsidR="00660CDF">
          <w:rPr>
            <w:noProof/>
            <w:webHidden/>
          </w:rPr>
          <w:fldChar w:fldCharType="begin"/>
        </w:r>
        <w:r w:rsidR="00660CDF">
          <w:rPr>
            <w:noProof/>
            <w:webHidden/>
          </w:rPr>
          <w:instrText xml:space="preserve"> PAGEREF _Toc18509760 \h </w:instrText>
        </w:r>
        <w:r w:rsidR="00660CDF">
          <w:rPr>
            <w:noProof/>
            <w:webHidden/>
          </w:rPr>
        </w:r>
        <w:r w:rsidR="00660CDF">
          <w:rPr>
            <w:noProof/>
            <w:webHidden/>
          </w:rPr>
          <w:fldChar w:fldCharType="separate"/>
        </w:r>
        <w:r w:rsidR="00281171">
          <w:rPr>
            <w:noProof/>
            <w:webHidden/>
          </w:rPr>
          <w:t>20</w:t>
        </w:r>
        <w:r w:rsidR="00660CDF">
          <w:rPr>
            <w:noProof/>
            <w:webHidden/>
          </w:rPr>
          <w:fldChar w:fldCharType="end"/>
        </w:r>
      </w:hyperlink>
    </w:p>
    <w:p w14:paraId="6752F9D2" w14:textId="6CAE16FC" w:rsidR="00660CDF" w:rsidRDefault="00267090">
      <w:pPr>
        <w:pStyle w:val="TOC2"/>
        <w:rPr>
          <w:rFonts w:asciiTheme="minorHAnsi" w:eastAsiaTheme="minorEastAsia" w:hAnsiTheme="minorHAnsi" w:cstheme="minorBidi"/>
          <w:noProof/>
          <w:sz w:val="22"/>
          <w:szCs w:val="22"/>
          <w:lang w:val="en-GB" w:eastAsia="en-GB"/>
        </w:rPr>
      </w:pPr>
      <w:hyperlink w:anchor="_Toc18509761" w:history="1">
        <w:r w:rsidR="00660CDF" w:rsidRPr="00896444">
          <w:rPr>
            <w:rStyle w:val="Hyperlink"/>
            <w:noProof/>
          </w:rPr>
          <w:t>7.5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e-Learning courses</w:t>
        </w:r>
        <w:r w:rsidR="00660CDF">
          <w:rPr>
            <w:noProof/>
            <w:webHidden/>
          </w:rPr>
          <w:tab/>
        </w:r>
        <w:r w:rsidR="00660CDF">
          <w:rPr>
            <w:noProof/>
            <w:webHidden/>
          </w:rPr>
          <w:fldChar w:fldCharType="begin"/>
        </w:r>
        <w:r w:rsidR="00660CDF">
          <w:rPr>
            <w:noProof/>
            <w:webHidden/>
          </w:rPr>
          <w:instrText xml:space="preserve"> PAGEREF _Toc18509761 \h </w:instrText>
        </w:r>
        <w:r w:rsidR="00660CDF">
          <w:rPr>
            <w:noProof/>
            <w:webHidden/>
          </w:rPr>
        </w:r>
        <w:r w:rsidR="00660CDF">
          <w:rPr>
            <w:noProof/>
            <w:webHidden/>
          </w:rPr>
          <w:fldChar w:fldCharType="separate"/>
        </w:r>
        <w:r w:rsidR="00281171">
          <w:rPr>
            <w:noProof/>
            <w:webHidden/>
          </w:rPr>
          <w:t>20</w:t>
        </w:r>
        <w:r w:rsidR="00660CDF">
          <w:rPr>
            <w:noProof/>
            <w:webHidden/>
          </w:rPr>
          <w:fldChar w:fldCharType="end"/>
        </w:r>
      </w:hyperlink>
    </w:p>
    <w:p w14:paraId="7546E88B" w14:textId="48744BC6" w:rsidR="00660CDF" w:rsidRDefault="00267090">
      <w:pPr>
        <w:pStyle w:val="TOC2"/>
        <w:rPr>
          <w:rFonts w:asciiTheme="minorHAnsi" w:eastAsiaTheme="minorEastAsia" w:hAnsiTheme="minorHAnsi" w:cstheme="minorBidi"/>
          <w:noProof/>
          <w:sz w:val="22"/>
          <w:szCs w:val="22"/>
          <w:lang w:val="en-GB" w:eastAsia="en-GB"/>
        </w:rPr>
      </w:pPr>
      <w:hyperlink w:anchor="_Toc18509762" w:history="1">
        <w:r w:rsidR="00660CDF" w:rsidRPr="00896444">
          <w:rPr>
            <w:rStyle w:val="Hyperlink"/>
            <w:noProof/>
          </w:rPr>
          <w:t>7.6</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Study Group Mentoring Programme</w:t>
        </w:r>
        <w:r w:rsidR="00660CDF">
          <w:rPr>
            <w:noProof/>
            <w:webHidden/>
          </w:rPr>
          <w:tab/>
        </w:r>
        <w:r w:rsidR="00660CDF">
          <w:rPr>
            <w:noProof/>
            <w:webHidden/>
          </w:rPr>
          <w:fldChar w:fldCharType="begin"/>
        </w:r>
        <w:r w:rsidR="00660CDF">
          <w:rPr>
            <w:noProof/>
            <w:webHidden/>
          </w:rPr>
          <w:instrText xml:space="preserve"> PAGEREF _Toc18509762 \h </w:instrText>
        </w:r>
        <w:r w:rsidR="00660CDF">
          <w:rPr>
            <w:noProof/>
            <w:webHidden/>
          </w:rPr>
        </w:r>
        <w:r w:rsidR="00660CDF">
          <w:rPr>
            <w:noProof/>
            <w:webHidden/>
          </w:rPr>
          <w:fldChar w:fldCharType="separate"/>
        </w:r>
        <w:r w:rsidR="00281171">
          <w:rPr>
            <w:noProof/>
            <w:webHidden/>
          </w:rPr>
          <w:t>21</w:t>
        </w:r>
        <w:r w:rsidR="00660CDF">
          <w:rPr>
            <w:noProof/>
            <w:webHidden/>
          </w:rPr>
          <w:fldChar w:fldCharType="end"/>
        </w:r>
      </w:hyperlink>
    </w:p>
    <w:p w14:paraId="3C5414FB" w14:textId="7FF3E99C" w:rsidR="00660CDF" w:rsidRDefault="00267090">
      <w:pPr>
        <w:pStyle w:val="TOC2"/>
        <w:rPr>
          <w:rFonts w:asciiTheme="minorHAnsi" w:eastAsiaTheme="minorEastAsia" w:hAnsiTheme="minorHAnsi" w:cstheme="minorBidi"/>
          <w:noProof/>
          <w:sz w:val="22"/>
          <w:szCs w:val="22"/>
          <w:lang w:val="en-GB" w:eastAsia="en-GB"/>
        </w:rPr>
      </w:pPr>
      <w:hyperlink w:anchor="_Toc18509763" w:history="1">
        <w:r w:rsidR="00660CDF" w:rsidRPr="00896444">
          <w:rPr>
            <w:rStyle w:val="Hyperlink"/>
            <w:noProof/>
          </w:rPr>
          <w:t>7.7</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Technical Papers</w:t>
        </w:r>
        <w:r w:rsidR="00660CDF">
          <w:rPr>
            <w:noProof/>
            <w:webHidden/>
          </w:rPr>
          <w:tab/>
        </w:r>
        <w:r w:rsidR="00660CDF">
          <w:rPr>
            <w:noProof/>
            <w:webHidden/>
          </w:rPr>
          <w:fldChar w:fldCharType="begin"/>
        </w:r>
        <w:r w:rsidR="00660CDF">
          <w:rPr>
            <w:noProof/>
            <w:webHidden/>
          </w:rPr>
          <w:instrText xml:space="preserve"> PAGEREF _Toc18509763 \h </w:instrText>
        </w:r>
        <w:r w:rsidR="00660CDF">
          <w:rPr>
            <w:noProof/>
            <w:webHidden/>
          </w:rPr>
        </w:r>
        <w:r w:rsidR="00660CDF">
          <w:rPr>
            <w:noProof/>
            <w:webHidden/>
          </w:rPr>
          <w:fldChar w:fldCharType="separate"/>
        </w:r>
        <w:r w:rsidR="00281171">
          <w:rPr>
            <w:noProof/>
            <w:webHidden/>
          </w:rPr>
          <w:t>21</w:t>
        </w:r>
        <w:r w:rsidR="00660CDF">
          <w:rPr>
            <w:noProof/>
            <w:webHidden/>
          </w:rPr>
          <w:fldChar w:fldCharType="end"/>
        </w:r>
      </w:hyperlink>
    </w:p>
    <w:p w14:paraId="00B5BE06" w14:textId="3E82703E" w:rsidR="00660CDF" w:rsidRDefault="00267090">
      <w:pPr>
        <w:pStyle w:val="TOC2"/>
        <w:rPr>
          <w:rFonts w:asciiTheme="minorHAnsi" w:eastAsiaTheme="minorEastAsia" w:hAnsiTheme="minorHAnsi" w:cstheme="minorBidi"/>
          <w:noProof/>
          <w:sz w:val="22"/>
          <w:szCs w:val="22"/>
          <w:lang w:val="en-GB" w:eastAsia="en-GB"/>
        </w:rPr>
      </w:pPr>
      <w:hyperlink w:anchor="_Toc18509764" w:history="1">
        <w:r w:rsidR="00660CDF" w:rsidRPr="00896444">
          <w:rPr>
            <w:rStyle w:val="Hyperlink"/>
            <w:noProof/>
          </w:rPr>
          <w:t>7.8</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Fellowships</w:t>
        </w:r>
        <w:r w:rsidR="00660CDF">
          <w:rPr>
            <w:noProof/>
            <w:webHidden/>
          </w:rPr>
          <w:tab/>
        </w:r>
        <w:r w:rsidR="00660CDF">
          <w:rPr>
            <w:noProof/>
            <w:webHidden/>
          </w:rPr>
          <w:fldChar w:fldCharType="begin"/>
        </w:r>
        <w:r w:rsidR="00660CDF">
          <w:rPr>
            <w:noProof/>
            <w:webHidden/>
          </w:rPr>
          <w:instrText xml:space="preserve"> PAGEREF _Toc18509764 \h </w:instrText>
        </w:r>
        <w:r w:rsidR="00660CDF">
          <w:rPr>
            <w:noProof/>
            <w:webHidden/>
          </w:rPr>
        </w:r>
        <w:r w:rsidR="00660CDF">
          <w:rPr>
            <w:noProof/>
            <w:webHidden/>
          </w:rPr>
          <w:fldChar w:fldCharType="separate"/>
        </w:r>
        <w:r w:rsidR="00281171">
          <w:rPr>
            <w:noProof/>
            <w:webHidden/>
          </w:rPr>
          <w:t>21</w:t>
        </w:r>
        <w:r w:rsidR="00660CDF">
          <w:rPr>
            <w:noProof/>
            <w:webHidden/>
          </w:rPr>
          <w:fldChar w:fldCharType="end"/>
        </w:r>
      </w:hyperlink>
    </w:p>
    <w:p w14:paraId="5747A1AD" w14:textId="2C4A28F3" w:rsidR="00660CDF" w:rsidRDefault="00267090">
      <w:pPr>
        <w:pStyle w:val="TOC2"/>
        <w:rPr>
          <w:rFonts w:asciiTheme="minorHAnsi" w:eastAsiaTheme="minorEastAsia" w:hAnsiTheme="minorHAnsi" w:cstheme="minorBidi"/>
          <w:noProof/>
          <w:sz w:val="22"/>
          <w:szCs w:val="22"/>
          <w:lang w:val="en-GB" w:eastAsia="en-GB"/>
        </w:rPr>
      </w:pPr>
      <w:hyperlink w:anchor="_Toc18509765" w:history="1">
        <w:r w:rsidR="00660CDF" w:rsidRPr="00896444">
          <w:rPr>
            <w:rStyle w:val="Hyperlink"/>
            <w:noProof/>
          </w:rPr>
          <w:t>7.9</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Questionnaires for developing countries</w:t>
        </w:r>
        <w:r w:rsidR="00660CDF">
          <w:rPr>
            <w:noProof/>
            <w:webHidden/>
          </w:rPr>
          <w:tab/>
        </w:r>
        <w:r w:rsidR="00660CDF">
          <w:rPr>
            <w:noProof/>
            <w:webHidden/>
          </w:rPr>
          <w:fldChar w:fldCharType="begin"/>
        </w:r>
        <w:r w:rsidR="00660CDF">
          <w:rPr>
            <w:noProof/>
            <w:webHidden/>
          </w:rPr>
          <w:instrText xml:space="preserve"> PAGEREF _Toc18509765 \h </w:instrText>
        </w:r>
        <w:r w:rsidR="00660CDF">
          <w:rPr>
            <w:noProof/>
            <w:webHidden/>
          </w:rPr>
        </w:r>
        <w:r w:rsidR="00660CDF">
          <w:rPr>
            <w:noProof/>
            <w:webHidden/>
          </w:rPr>
          <w:fldChar w:fldCharType="separate"/>
        </w:r>
        <w:r w:rsidR="00281171">
          <w:rPr>
            <w:noProof/>
            <w:webHidden/>
          </w:rPr>
          <w:t>22</w:t>
        </w:r>
        <w:r w:rsidR="00660CDF">
          <w:rPr>
            <w:noProof/>
            <w:webHidden/>
          </w:rPr>
          <w:fldChar w:fldCharType="end"/>
        </w:r>
      </w:hyperlink>
    </w:p>
    <w:p w14:paraId="72125E36" w14:textId="292C93F2" w:rsidR="00660CDF" w:rsidRDefault="00267090">
      <w:pPr>
        <w:pStyle w:val="TOC2"/>
        <w:rPr>
          <w:rFonts w:asciiTheme="minorHAnsi" w:eastAsiaTheme="minorEastAsia" w:hAnsiTheme="minorHAnsi" w:cstheme="minorBidi"/>
          <w:noProof/>
          <w:sz w:val="22"/>
          <w:szCs w:val="22"/>
          <w:lang w:val="en-GB" w:eastAsia="en-GB"/>
        </w:rPr>
      </w:pPr>
      <w:hyperlink w:anchor="_Toc18509766" w:history="1">
        <w:r w:rsidR="00660CDF" w:rsidRPr="00896444">
          <w:rPr>
            <w:rStyle w:val="Hyperlink"/>
            <w:noProof/>
          </w:rPr>
          <w:t>7.10</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World Telecommunication and Information Society Day</w:t>
        </w:r>
        <w:r w:rsidR="00660CDF">
          <w:rPr>
            <w:noProof/>
            <w:webHidden/>
          </w:rPr>
          <w:tab/>
        </w:r>
        <w:r w:rsidR="00660CDF">
          <w:rPr>
            <w:noProof/>
            <w:webHidden/>
          </w:rPr>
          <w:fldChar w:fldCharType="begin"/>
        </w:r>
        <w:r w:rsidR="00660CDF">
          <w:rPr>
            <w:noProof/>
            <w:webHidden/>
          </w:rPr>
          <w:instrText xml:space="preserve"> PAGEREF _Toc18509766 \h </w:instrText>
        </w:r>
        <w:r w:rsidR="00660CDF">
          <w:rPr>
            <w:noProof/>
            <w:webHidden/>
          </w:rPr>
        </w:r>
        <w:r w:rsidR="00660CDF">
          <w:rPr>
            <w:noProof/>
            <w:webHidden/>
          </w:rPr>
          <w:fldChar w:fldCharType="separate"/>
        </w:r>
        <w:r w:rsidR="00281171">
          <w:rPr>
            <w:noProof/>
            <w:webHidden/>
          </w:rPr>
          <w:t>23</w:t>
        </w:r>
        <w:r w:rsidR="00660CDF">
          <w:rPr>
            <w:noProof/>
            <w:webHidden/>
          </w:rPr>
          <w:fldChar w:fldCharType="end"/>
        </w:r>
      </w:hyperlink>
    </w:p>
    <w:p w14:paraId="45B5264B" w14:textId="2AB9CCA1" w:rsidR="00660CDF" w:rsidRDefault="00267090">
      <w:pPr>
        <w:pStyle w:val="TOC1"/>
        <w:rPr>
          <w:rFonts w:asciiTheme="minorHAnsi" w:eastAsiaTheme="minorEastAsia" w:hAnsiTheme="minorHAnsi" w:cstheme="minorBidi"/>
          <w:noProof/>
          <w:sz w:val="22"/>
          <w:szCs w:val="22"/>
          <w:lang w:val="en-GB" w:eastAsia="en-GB"/>
        </w:rPr>
      </w:pPr>
      <w:hyperlink w:anchor="_Toc18509767" w:history="1">
        <w:r w:rsidR="00660CDF" w:rsidRPr="00896444">
          <w:rPr>
            <w:rStyle w:val="Hyperlink"/>
            <w:noProof/>
          </w:rPr>
          <w:t>8</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Membership</w:t>
        </w:r>
        <w:r w:rsidR="00660CDF">
          <w:rPr>
            <w:noProof/>
            <w:webHidden/>
          </w:rPr>
          <w:tab/>
        </w:r>
        <w:r w:rsidR="00660CDF">
          <w:rPr>
            <w:noProof/>
            <w:webHidden/>
          </w:rPr>
          <w:fldChar w:fldCharType="begin"/>
        </w:r>
        <w:r w:rsidR="00660CDF">
          <w:rPr>
            <w:noProof/>
            <w:webHidden/>
          </w:rPr>
          <w:instrText xml:space="preserve"> PAGEREF _Toc18509767 \h </w:instrText>
        </w:r>
        <w:r w:rsidR="00660CDF">
          <w:rPr>
            <w:noProof/>
            <w:webHidden/>
          </w:rPr>
        </w:r>
        <w:r w:rsidR="00660CDF">
          <w:rPr>
            <w:noProof/>
            <w:webHidden/>
          </w:rPr>
          <w:fldChar w:fldCharType="separate"/>
        </w:r>
        <w:r w:rsidR="00281171">
          <w:rPr>
            <w:noProof/>
            <w:webHidden/>
          </w:rPr>
          <w:t>23</w:t>
        </w:r>
        <w:r w:rsidR="00660CDF">
          <w:rPr>
            <w:noProof/>
            <w:webHidden/>
          </w:rPr>
          <w:fldChar w:fldCharType="end"/>
        </w:r>
      </w:hyperlink>
    </w:p>
    <w:p w14:paraId="518ADBA5" w14:textId="5F5B0F1C" w:rsidR="00660CDF" w:rsidRDefault="00267090">
      <w:pPr>
        <w:pStyle w:val="TOC2"/>
        <w:rPr>
          <w:rFonts w:asciiTheme="minorHAnsi" w:eastAsiaTheme="minorEastAsia" w:hAnsiTheme="minorHAnsi" w:cstheme="minorBidi"/>
          <w:noProof/>
          <w:sz w:val="22"/>
          <w:szCs w:val="22"/>
          <w:lang w:val="en-GB" w:eastAsia="en-GB"/>
        </w:rPr>
      </w:pPr>
      <w:hyperlink w:anchor="_Toc18509768" w:history="1">
        <w:r w:rsidR="00660CDF" w:rsidRPr="00896444">
          <w:rPr>
            <w:rStyle w:val="Hyperlink"/>
            <w:noProof/>
          </w:rPr>
          <w:t>8.1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Evolution of ITU-T membership</w:t>
        </w:r>
        <w:r w:rsidR="00660CDF">
          <w:rPr>
            <w:noProof/>
            <w:webHidden/>
          </w:rPr>
          <w:tab/>
        </w:r>
        <w:r w:rsidR="00660CDF">
          <w:rPr>
            <w:noProof/>
            <w:webHidden/>
          </w:rPr>
          <w:fldChar w:fldCharType="begin"/>
        </w:r>
        <w:r w:rsidR="00660CDF">
          <w:rPr>
            <w:noProof/>
            <w:webHidden/>
          </w:rPr>
          <w:instrText xml:space="preserve"> PAGEREF _Toc18509768 \h </w:instrText>
        </w:r>
        <w:r w:rsidR="00660CDF">
          <w:rPr>
            <w:noProof/>
            <w:webHidden/>
          </w:rPr>
        </w:r>
        <w:r w:rsidR="00660CDF">
          <w:rPr>
            <w:noProof/>
            <w:webHidden/>
          </w:rPr>
          <w:fldChar w:fldCharType="separate"/>
        </w:r>
        <w:r w:rsidR="00281171">
          <w:rPr>
            <w:noProof/>
            <w:webHidden/>
          </w:rPr>
          <w:t>23</w:t>
        </w:r>
        <w:r w:rsidR="00660CDF">
          <w:rPr>
            <w:noProof/>
            <w:webHidden/>
          </w:rPr>
          <w:fldChar w:fldCharType="end"/>
        </w:r>
      </w:hyperlink>
    </w:p>
    <w:p w14:paraId="57191EF5" w14:textId="43E5AD40" w:rsidR="00660CDF" w:rsidRDefault="00267090">
      <w:pPr>
        <w:pStyle w:val="TOC2"/>
        <w:rPr>
          <w:rFonts w:asciiTheme="minorHAnsi" w:eastAsiaTheme="minorEastAsia" w:hAnsiTheme="minorHAnsi" w:cstheme="minorBidi"/>
          <w:noProof/>
          <w:sz w:val="22"/>
          <w:szCs w:val="22"/>
          <w:lang w:val="en-GB" w:eastAsia="en-GB"/>
        </w:rPr>
      </w:pPr>
      <w:hyperlink w:anchor="_Toc18509769" w:history="1">
        <w:r w:rsidR="00660CDF" w:rsidRPr="00896444">
          <w:rPr>
            <w:rStyle w:val="Hyperlink"/>
            <w:noProof/>
          </w:rPr>
          <w:t>8.2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Implementation of SME Pilot Project</w:t>
        </w:r>
        <w:r w:rsidR="00660CDF">
          <w:rPr>
            <w:noProof/>
            <w:webHidden/>
          </w:rPr>
          <w:tab/>
        </w:r>
        <w:r w:rsidR="00660CDF">
          <w:rPr>
            <w:noProof/>
            <w:webHidden/>
          </w:rPr>
          <w:fldChar w:fldCharType="begin"/>
        </w:r>
        <w:r w:rsidR="00660CDF">
          <w:rPr>
            <w:noProof/>
            <w:webHidden/>
          </w:rPr>
          <w:instrText xml:space="preserve"> PAGEREF _Toc18509769 \h </w:instrText>
        </w:r>
        <w:r w:rsidR="00660CDF">
          <w:rPr>
            <w:noProof/>
            <w:webHidden/>
          </w:rPr>
        </w:r>
        <w:r w:rsidR="00660CDF">
          <w:rPr>
            <w:noProof/>
            <w:webHidden/>
          </w:rPr>
          <w:fldChar w:fldCharType="separate"/>
        </w:r>
        <w:r w:rsidR="00281171">
          <w:rPr>
            <w:noProof/>
            <w:webHidden/>
          </w:rPr>
          <w:t>25</w:t>
        </w:r>
        <w:r w:rsidR="00660CDF">
          <w:rPr>
            <w:noProof/>
            <w:webHidden/>
          </w:rPr>
          <w:fldChar w:fldCharType="end"/>
        </w:r>
      </w:hyperlink>
    </w:p>
    <w:p w14:paraId="79C58AEC" w14:textId="39DA483A" w:rsidR="00660CDF" w:rsidRDefault="00267090">
      <w:pPr>
        <w:pStyle w:val="TOC1"/>
        <w:rPr>
          <w:rFonts w:asciiTheme="minorHAnsi" w:eastAsiaTheme="minorEastAsia" w:hAnsiTheme="minorHAnsi" w:cstheme="minorBidi"/>
          <w:noProof/>
          <w:sz w:val="22"/>
          <w:szCs w:val="22"/>
          <w:lang w:val="en-GB" w:eastAsia="en-GB"/>
        </w:rPr>
      </w:pPr>
      <w:hyperlink w:anchor="_Toc18509770" w:history="1">
        <w:r w:rsidR="00660CDF" w:rsidRPr="00896444">
          <w:rPr>
            <w:rStyle w:val="Hyperlink"/>
            <w:noProof/>
          </w:rPr>
          <w:t>9</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Gender</w:t>
        </w:r>
        <w:r w:rsidR="00660CDF">
          <w:rPr>
            <w:noProof/>
            <w:webHidden/>
          </w:rPr>
          <w:tab/>
        </w:r>
        <w:r w:rsidR="00660CDF">
          <w:rPr>
            <w:noProof/>
            <w:webHidden/>
          </w:rPr>
          <w:fldChar w:fldCharType="begin"/>
        </w:r>
        <w:r w:rsidR="00660CDF">
          <w:rPr>
            <w:noProof/>
            <w:webHidden/>
          </w:rPr>
          <w:instrText xml:space="preserve"> PAGEREF _Toc18509770 \h </w:instrText>
        </w:r>
        <w:r w:rsidR="00660CDF">
          <w:rPr>
            <w:noProof/>
            <w:webHidden/>
          </w:rPr>
        </w:r>
        <w:r w:rsidR="00660CDF">
          <w:rPr>
            <w:noProof/>
            <w:webHidden/>
          </w:rPr>
          <w:fldChar w:fldCharType="separate"/>
        </w:r>
        <w:r w:rsidR="00281171">
          <w:rPr>
            <w:noProof/>
            <w:webHidden/>
          </w:rPr>
          <w:t>25</w:t>
        </w:r>
        <w:r w:rsidR="00660CDF">
          <w:rPr>
            <w:noProof/>
            <w:webHidden/>
          </w:rPr>
          <w:fldChar w:fldCharType="end"/>
        </w:r>
      </w:hyperlink>
    </w:p>
    <w:p w14:paraId="2A6F6B7C" w14:textId="6EF8529A" w:rsidR="00660CDF" w:rsidRDefault="00267090">
      <w:pPr>
        <w:pStyle w:val="TOC1"/>
        <w:rPr>
          <w:rFonts w:asciiTheme="minorHAnsi" w:eastAsiaTheme="minorEastAsia" w:hAnsiTheme="minorHAnsi" w:cstheme="minorBidi"/>
          <w:noProof/>
          <w:sz w:val="22"/>
          <w:szCs w:val="22"/>
          <w:lang w:val="en-GB" w:eastAsia="en-GB"/>
        </w:rPr>
      </w:pPr>
      <w:hyperlink w:anchor="_Toc18509771" w:history="1">
        <w:r w:rsidR="00660CDF" w:rsidRPr="00896444">
          <w:rPr>
            <w:rStyle w:val="Hyperlink"/>
            <w:noProof/>
          </w:rPr>
          <w:t>10</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Academia</w:t>
        </w:r>
        <w:r w:rsidR="00660CDF">
          <w:rPr>
            <w:noProof/>
            <w:webHidden/>
          </w:rPr>
          <w:tab/>
        </w:r>
        <w:r w:rsidR="00660CDF">
          <w:rPr>
            <w:noProof/>
            <w:webHidden/>
          </w:rPr>
          <w:fldChar w:fldCharType="begin"/>
        </w:r>
        <w:r w:rsidR="00660CDF">
          <w:rPr>
            <w:noProof/>
            <w:webHidden/>
          </w:rPr>
          <w:instrText xml:space="preserve"> PAGEREF _Toc18509771 \h </w:instrText>
        </w:r>
        <w:r w:rsidR="00660CDF">
          <w:rPr>
            <w:noProof/>
            <w:webHidden/>
          </w:rPr>
        </w:r>
        <w:r w:rsidR="00660CDF">
          <w:rPr>
            <w:noProof/>
            <w:webHidden/>
          </w:rPr>
          <w:fldChar w:fldCharType="separate"/>
        </w:r>
        <w:r w:rsidR="00281171">
          <w:rPr>
            <w:noProof/>
            <w:webHidden/>
          </w:rPr>
          <w:t>25</w:t>
        </w:r>
        <w:r w:rsidR="00660CDF">
          <w:rPr>
            <w:noProof/>
            <w:webHidden/>
          </w:rPr>
          <w:fldChar w:fldCharType="end"/>
        </w:r>
      </w:hyperlink>
    </w:p>
    <w:p w14:paraId="0F7B2F52" w14:textId="7104FF09" w:rsidR="00660CDF" w:rsidRDefault="00267090">
      <w:pPr>
        <w:pStyle w:val="TOC2"/>
        <w:rPr>
          <w:rFonts w:asciiTheme="minorHAnsi" w:eastAsiaTheme="minorEastAsia" w:hAnsiTheme="minorHAnsi" w:cstheme="minorBidi"/>
          <w:noProof/>
          <w:sz w:val="22"/>
          <w:szCs w:val="22"/>
          <w:lang w:val="en-GB" w:eastAsia="en-GB"/>
        </w:rPr>
      </w:pPr>
      <w:hyperlink w:anchor="_Toc18509772" w:history="1">
        <w:r w:rsidR="00660CDF" w:rsidRPr="00896444">
          <w:rPr>
            <w:rStyle w:val="Hyperlink"/>
            <w:noProof/>
          </w:rPr>
          <w:t>10.1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 Kaleidoscope academic conferences</w:t>
        </w:r>
        <w:r w:rsidR="00660CDF">
          <w:rPr>
            <w:noProof/>
            <w:webHidden/>
          </w:rPr>
          <w:tab/>
        </w:r>
        <w:r w:rsidR="00660CDF">
          <w:rPr>
            <w:noProof/>
            <w:webHidden/>
          </w:rPr>
          <w:fldChar w:fldCharType="begin"/>
        </w:r>
        <w:r w:rsidR="00660CDF">
          <w:rPr>
            <w:noProof/>
            <w:webHidden/>
          </w:rPr>
          <w:instrText xml:space="preserve"> PAGEREF _Toc18509772 \h </w:instrText>
        </w:r>
        <w:r w:rsidR="00660CDF">
          <w:rPr>
            <w:noProof/>
            <w:webHidden/>
          </w:rPr>
        </w:r>
        <w:r w:rsidR="00660CDF">
          <w:rPr>
            <w:noProof/>
            <w:webHidden/>
          </w:rPr>
          <w:fldChar w:fldCharType="separate"/>
        </w:r>
        <w:r w:rsidR="00281171">
          <w:rPr>
            <w:noProof/>
            <w:webHidden/>
          </w:rPr>
          <w:t>25</w:t>
        </w:r>
        <w:r w:rsidR="00660CDF">
          <w:rPr>
            <w:noProof/>
            <w:webHidden/>
          </w:rPr>
          <w:fldChar w:fldCharType="end"/>
        </w:r>
      </w:hyperlink>
    </w:p>
    <w:p w14:paraId="03D303E8" w14:textId="3D19B288" w:rsidR="00660CDF" w:rsidRDefault="00267090">
      <w:pPr>
        <w:pStyle w:val="TOC2"/>
        <w:rPr>
          <w:rFonts w:asciiTheme="minorHAnsi" w:eastAsiaTheme="minorEastAsia" w:hAnsiTheme="minorHAnsi" w:cstheme="minorBidi"/>
          <w:noProof/>
          <w:sz w:val="22"/>
          <w:szCs w:val="22"/>
          <w:lang w:val="en-GB" w:eastAsia="en-GB"/>
        </w:rPr>
      </w:pPr>
      <w:hyperlink w:anchor="_Toc18509773" w:history="1">
        <w:r w:rsidR="00660CDF" w:rsidRPr="00896444">
          <w:rPr>
            <w:rStyle w:val="Hyperlink"/>
            <w:noProof/>
          </w:rPr>
          <w:t>10.2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 Journal: ICT Discoveries</w:t>
        </w:r>
        <w:r w:rsidR="00660CDF">
          <w:rPr>
            <w:noProof/>
            <w:webHidden/>
          </w:rPr>
          <w:tab/>
        </w:r>
        <w:r w:rsidR="00660CDF">
          <w:rPr>
            <w:noProof/>
            <w:webHidden/>
          </w:rPr>
          <w:fldChar w:fldCharType="begin"/>
        </w:r>
        <w:r w:rsidR="00660CDF">
          <w:rPr>
            <w:noProof/>
            <w:webHidden/>
          </w:rPr>
          <w:instrText xml:space="preserve"> PAGEREF _Toc18509773 \h </w:instrText>
        </w:r>
        <w:r w:rsidR="00660CDF">
          <w:rPr>
            <w:noProof/>
            <w:webHidden/>
          </w:rPr>
        </w:r>
        <w:r w:rsidR="00660CDF">
          <w:rPr>
            <w:noProof/>
            <w:webHidden/>
          </w:rPr>
          <w:fldChar w:fldCharType="separate"/>
        </w:r>
        <w:r w:rsidR="00281171">
          <w:rPr>
            <w:noProof/>
            <w:webHidden/>
          </w:rPr>
          <w:t>26</w:t>
        </w:r>
        <w:r w:rsidR="00660CDF">
          <w:rPr>
            <w:noProof/>
            <w:webHidden/>
          </w:rPr>
          <w:fldChar w:fldCharType="end"/>
        </w:r>
      </w:hyperlink>
    </w:p>
    <w:p w14:paraId="514987B7" w14:textId="24171858" w:rsidR="00660CDF" w:rsidRDefault="00267090">
      <w:pPr>
        <w:pStyle w:val="TOC2"/>
        <w:rPr>
          <w:rFonts w:asciiTheme="minorHAnsi" w:eastAsiaTheme="minorEastAsia" w:hAnsiTheme="minorHAnsi" w:cstheme="minorBidi"/>
          <w:noProof/>
          <w:sz w:val="22"/>
          <w:szCs w:val="22"/>
          <w:lang w:val="en-GB" w:eastAsia="en-GB"/>
        </w:rPr>
      </w:pPr>
      <w:hyperlink w:anchor="_Toc18509774" w:history="1">
        <w:r w:rsidR="00660CDF" w:rsidRPr="00896444">
          <w:rPr>
            <w:rStyle w:val="Hyperlink"/>
            <w:noProof/>
          </w:rPr>
          <w:t>10.3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World Standards Cooperation and Academia</w:t>
        </w:r>
        <w:r w:rsidR="00660CDF">
          <w:rPr>
            <w:noProof/>
            <w:webHidden/>
          </w:rPr>
          <w:tab/>
        </w:r>
        <w:r w:rsidR="00660CDF">
          <w:rPr>
            <w:noProof/>
            <w:webHidden/>
          </w:rPr>
          <w:fldChar w:fldCharType="begin"/>
        </w:r>
        <w:r w:rsidR="00660CDF">
          <w:rPr>
            <w:noProof/>
            <w:webHidden/>
          </w:rPr>
          <w:instrText xml:space="preserve"> PAGEREF _Toc18509774 \h </w:instrText>
        </w:r>
        <w:r w:rsidR="00660CDF">
          <w:rPr>
            <w:noProof/>
            <w:webHidden/>
          </w:rPr>
        </w:r>
        <w:r w:rsidR="00660CDF">
          <w:rPr>
            <w:noProof/>
            <w:webHidden/>
          </w:rPr>
          <w:fldChar w:fldCharType="separate"/>
        </w:r>
        <w:r w:rsidR="00281171">
          <w:rPr>
            <w:noProof/>
            <w:webHidden/>
          </w:rPr>
          <w:t>26</w:t>
        </w:r>
        <w:r w:rsidR="00660CDF">
          <w:rPr>
            <w:noProof/>
            <w:webHidden/>
          </w:rPr>
          <w:fldChar w:fldCharType="end"/>
        </w:r>
      </w:hyperlink>
    </w:p>
    <w:p w14:paraId="0CE8464F" w14:textId="1B9A5655" w:rsidR="00660CDF" w:rsidRDefault="00267090">
      <w:pPr>
        <w:pStyle w:val="TOC1"/>
        <w:rPr>
          <w:rFonts w:asciiTheme="minorHAnsi" w:eastAsiaTheme="minorEastAsia" w:hAnsiTheme="minorHAnsi" w:cstheme="minorBidi"/>
          <w:noProof/>
          <w:sz w:val="22"/>
          <w:szCs w:val="22"/>
          <w:lang w:val="en-GB" w:eastAsia="en-GB"/>
        </w:rPr>
      </w:pPr>
      <w:hyperlink w:anchor="_Toc18509775" w:history="1">
        <w:r w:rsidR="00660CDF" w:rsidRPr="00896444">
          <w:rPr>
            <w:rStyle w:val="Hyperlink"/>
            <w:noProof/>
          </w:rPr>
          <w:t>11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Publications</w:t>
        </w:r>
        <w:r w:rsidR="00660CDF">
          <w:rPr>
            <w:noProof/>
            <w:webHidden/>
          </w:rPr>
          <w:tab/>
        </w:r>
        <w:r w:rsidR="00660CDF">
          <w:rPr>
            <w:noProof/>
            <w:webHidden/>
          </w:rPr>
          <w:fldChar w:fldCharType="begin"/>
        </w:r>
        <w:r w:rsidR="00660CDF">
          <w:rPr>
            <w:noProof/>
            <w:webHidden/>
          </w:rPr>
          <w:instrText xml:space="preserve"> PAGEREF _Toc18509775 \h </w:instrText>
        </w:r>
        <w:r w:rsidR="00660CDF">
          <w:rPr>
            <w:noProof/>
            <w:webHidden/>
          </w:rPr>
        </w:r>
        <w:r w:rsidR="00660CDF">
          <w:rPr>
            <w:noProof/>
            <w:webHidden/>
          </w:rPr>
          <w:fldChar w:fldCharType="separate"/>
        </w:r>
        <w:r w:rsidR="00281171">
          <w:rPr>
            <w:noProof/>
            <w:webHidden/>
          </w:rPr>
          <w:t>26</w:t>
        </w:r>
        <w:r w:rsidR="00660CDF">
          <w:rPr>
            <w:noProof/>
            <w:webHidden/>
          </w:rPr>
          <w:fldChar w:fldCharType="end"/>
        </w:r>
      </w:hyperlink>
    </w:p>
    <w:p w14:paraId="45DDFB79" w14:textId="01CEC8CB" w:rsidR="00660CDF" w:rsidRDefault="00267090">
      <w:pPr>
        <w:pStyle w:val="TOC1"/>
        <w:rPr>
          <w:rFonts w:asciiTheme="minorHAnsi" w:eastAsiaTheme="minorEastAsia" w:hAnsiTheme="minorHAnsi" w:cstheme="minorBidi"/>
          <w:noProof/>
          <w:sz w:val="22"/>
          <w:szCs w:val="22"/>
          <w:lang w:val="en-GB" w:eastAsia="en-GB"/>
        </w:rPr>
      </w:pPr>
      <w:hyperlink w:anchor="_Toc18509776" w:history="1">
        <w:r w:rsidR="00660CDF" w:rsidRPr="00896444">
          <w:rPr>
            <w:rStyle w:val="Hyperlink"/>
            <w:noProof/>
            <w:lang w:val="en-GB"/>
          </w:rPr>
          <w:t>Figure 4 – Number of Recommendations, amendments and Supplements  published per year since 2016</w:t>
        </w:r>
        <w:r w:rsidR="00660CDF">
          <w:rPr>
            <w:noProof/>
            <w:webHidden/>
          </w:rPr>
          <w:tab/>
        </w:r>
        <w:r w:rsidR="00660CDF">
          <w:rPr>
            <w:noProof/>
            <w:webHidden/>
          </w:rPr>
          <w:fldChar w:fldCharType="begin"/>
        </w:r>
        <w:r w:rsidR="00660CDF">
          <w:rPr>
            <w:noProof/>
            <w:webHidden/>
          </w:rPr>
          <w:instrText xml:space="preserve"> PAGEREF _Toc18509776 \h </w:instrText>
        </w:r>
        <w:r w:rsidR="00660CDF">
          <w:rPr>
            <w:noProof/>
            <w:webHidden/>
          </w:rPr>
        </w:r>
        <w:r w:rsidR="00660CDF">
          <w:rPr>
            <w:noProof/>
            <w:webHidden/>
          </w:rPr>
          <w:fldChar w:fldCharType="separate"/>
        </w:r>
        <w:r w:rsidR="00281171">
          <w:rPr>
            <w:noProof/>
            <w:webHidden/>
          </w:rPr>
          <w:t>27</w:t>
        </w:r>
        <w:r w:rsidR="00660CDF">
          <w:rPr>
            <w:noProof/>
            <w:webHidden/>
          </w:rPr>
          <w:fldChar w:fldCharType="end"/>
        </w:r>
      </w:hyperlink>
    </w:p>
    <w:p w14:paraId="70052254" w14:textId="2F876E6C" w:rsidR="00660CDF" w:rsidRDefault="00267090">
      <w:pPr>
        <w:pStyle w:val="TOC1"/>
        <w:rPr>
          <w:rFonts w:asciiTheme="minorHAnsi" w:eastAsiaTheme="minorEastAsia" w:hAnsiTheme="minorHAnsi" w:cstheme="minorBidi"/>
          <w:noProof/>
          <w:sz w:val="22"/>
          <w:szCs w:val="22"/>
          <w:lang w:val="en-GB" w:eastAsia="en-GB"/>
        </w:rPr>
      </w:pPr>
      <w:hyperlink w:anchor="_Toc18509777" w:history="1">
        <w:r w:rsidR="00660CDF" w:rsidRPr="00896444">
          <w:rPr>
            <w:rStyle w:val="Hyperlink"/>
            <w:noProof/>
          </w:rPr>
          <w:t>12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Media and promotion</w:t>
        </w:r>
        <w:r w:rsidR="00660CDF">
          <w:rPr>
            <w:noProof/>
            <w:webHidden/>
          </w:rPr>
          <w:tab/>
        </w:r>
        <w:r w:rsidR="00660CDF">
          <w:rPr>
            <w:noProof/>
            <w:webHidden/>
          </w:rPr>
          <w:fldChar w:fldCharType="begin"/>
        </w:r>
        <w:r w:rsidR="00660CDF">
          <w:rPr>
            <w:noProof/>
            <w:webHidden/>
          </w:rPr>
          <w:instrText xml:space="preserve"> PAGEREF _Toc18509777 \h </w:instrText>
        </w:r>
        <w:r w:rsidR="00660CDF">
          <w:rPr>
            <w:noProof/>
            <w:webHidden/>
          </w:rPr>
        </w:r>
        <w:r w:rsidR="00660CDF">
          <w:rPr>
            <w:noProof/>
            <w:webHidden/>
          </w:rPr>
          <w:fldChar w:fldCharType="separate"/>
        </w:r>
        <w:r w:rsidR="00281171">
          <w:rPr>
            <w:noProof/>
            <w:webHidden/>
          </w:rPr>
          <w:t>27</w:t>
        </w:r>
        <w:r w:rsidR="00660CDF">
          <w:rPr>
            <w:noProof/>
            <w:webHidden/>
          </w:rPr>
          <w:fldChar w:fldCharType="end"/>
        </w:r>
      </w:hyperlink>
    </w:p>
    <w:p w14:paraId="1002D466" w14:textId="22A89725" w:rsidR="00660CDF" w:rsidRDefault="00267090">
      <w:pPr>
        <w:pStyle w:val="TOC1"/>
        <w:rPr>
          <w:rFonts w:asciiTheme="minorHAnsi" w:eastAsiaTheme="minorEastAsia" w:hAnsiTheme="minorHAnsi" w:cstheme="minorBidi"/>
          <w:noProof/>
          <w:sz w:val="22"/>
          <w:szCs w:val="22"/>
          <w:lang w:val="en-GB" w:eastAsia="en-GB"/>
        </w:rPr>
      </w:pPr>
      <w:hyperlink w:anchor="_Toc18509778" w:history="1">
        <w:r w:rsidR="00660CDF" w:rsidRPr="00896444">
          <w:rPr>
            <w:rStyle w:val="Hyperlink"/>
            <w:noProof/>
          </w:rPr>
          <w:t>13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Services and tools</w:t>
        </w:r>
        <w:r w:rsidR="00660CDF">
          <w:rPr>
            <w:noProof/>
            <w:webHidden/>
          </w:rPr>
          <w:tab/>
        </w:r>
        <w:r w:rsidR="00660CDF">
          <w:rPr>
            <w:noProof/>
            <w:webHidden/>
          </w:rPr>
          <w:fldChar w:fldCharType="begin"/>
        </w:r>
        <w:r w:rsidR="00660CDF">
          <w:rPr>
            <w:noProof/>
            <w:webHidden/>
          </w:rPr>
          <w:instrText xml:space="preserve"> PAGEREF _Toc18509778 \h </w:instrText>
        </w:r>
        <w:r w:rsidR="00660CDF">
          <w:rPr>
            <w:noProof/>
            <w:webHidden/>
          </w:rPr>
        </w:r>
        <w:r w:rsidR="00660CDF">
          <w:rPr>
            <w:noProof/>
            <w:webHidden/>
          </w:rPr>
          <w:fldChar w:fldCharType="separate"/>
        </w:r>
        <w:r w:rsidR="00281171">
          <w:rPr>
            <w:noProof/>
            <w:webHidden/>
          </w:rPr>
          <w:t>27</w:t>
        </w:r>
        <w:r w:rsidR="00660CDF">
          <w:rPr>
            <w:noProof/>
            <w:webHidden/>
          </w:rPr>
          <w:fldChar w:fldCharType="end"/>
        </w:r>
      </w:hyperlink>
    </w:p>
    <w:p w14:paraId="579B0579" w14:textId="0241DFF8" w:rsidR="00660CDF" w:rsidRDefault="00267090">
      <w:pPr>
        <w:pStyle w:val="TOC2"/>
        <w:rPr>
          <w:rFonts w:asciiTheme="minorHAnsi" w:eastAsiaTheme="minorEastAsia" w:hAnsiTheme="minorHAnsi" w:cstheme="minorBidi"/>
          <w:noProof/>
          <w:sz w:val="22"/>
          <w:szCs w:val="22"/>
          <w:lang w:val="en-GB" w:eastAsia="en-GB"/>
        </w:rPr>
      </w:pPr>
      <w:hyperlink w:anchor="_Toc18509779" w:history="1">
        <w:r w:rsidR="00660CDF" w:rsidRPr="00896444">
          <w:rPr>
            <w:rStyle w:val="Hyperlink"/>
            <w:noProof/>
          </w:rPr>
          <w:t>13.1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 databases</w:t>
        </w:r>
        <w:r w:rsidR="00660CDF">
          <w:rPr>
            <w:noProof/>
            <w:webHidden/>
          </w:rPr>
          <w:tab/>
        </w:r>
        <w:r w:rsidR="00660CDF">
          <w:rPr>
            <w:noProof/>
            <w:webHidden/>
          </w:rPr>
          <w:fldChar w:fldCharType="begin"/>
        </w:r>
        <w:r w:rsidR="00660CDF">
          <w:rPr>
            <w:noProof/>
            <w:webHidden/>
          </w:rPr>
          <w:instrText xml:space="preserve"> PAGEREF _Toc18509779 \h </w:instrText>
        </w:r>
        <w:r w:rsidR="00660CDF">
          <w:rPr>
            <w:noProof/>
            <w:webHidden/>
          </w:rPr>
        </w:r>
        <w:r w:rsidR="00660CDF">
          <w:rPr>
            <w:noProof/>
            <w:webHidden/>
          </w:rPr>
          <w:fldChar w:fldCharType="separate"/>
        </w:r>
        <w:r w:rsidR="00281171">
          <w:rPr>
            <w:noProof/>
            <w:webHidden/>
          </w:rPr>
          <w:t>27</w:t>
        </w:r>
        <w:r w:rsidR="00660CDF">
          <w:rPr>
            <w:noProof/>
            <w:webHidden/>
          </w:rPr>
          <w:fldChar w:fldCharType="end"/>
        </w:r>
      </w:hyperlink>
    </w:p>
    <w:p w14:paraId="712DEA8A" w14:textId="2DDBB686" w:rsidR="00660CDF" w:rsidRDefault="00267090">
      <w:pPr>
        <w:pStyle w:val="TOC2"/>
        <w:rPr>
          <w:rFonts w:asciiTheme="minorHAnsi" w:eastAsiaTheme="minorEastAsia" w:hAnsiTheme="minorHAnsi" w:cstheme="minorBidi"/>
          <w:noProof/>
          <w:sz w:val="22"/>
          <w:szCs w:val="22"/>
          <w:lang w:val="en-GB" w:eastAsia="en-GB"/>
        </w:rPr>
      </w:pPr>
      <w:hyperlink w:anchor="_Toc18509780" w:history="1">
        <w:r w:rsidR="00660CDF" w:rsidRPr="00896444">
          <w:rPr>
            <w:rStyle w:val="Hyperlink"/>
            <w:noProof/>
          </w:rPr>
          <w:t>13.2</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 MyWorkspace</w:t>
        </w:r>
        <w:r w:rsidR="00660CDF">
          <w:rPr>
            <w:noProof/>
            <w:webHidden/>
          </w:rPr>
          <w:tab/>
        </w:r>
        <w:r w:rsidR="00660CDF">
          <w:rPr>
            <w:noProof/>
            <w:webHidden/>
          </w:rPr>
          <w:fldChar w:fldCharType="begin"/>
        </w:r>
        <w:r w:rsidR="00660CDF">
          <w:rPr>
            <w:noProof/>
            <w:webHidden/>
          </w:rPr>
          <w:instrText xml:space="preserve"> PAGEREF _Toc18509780 \h </w:instrText>
        </w:r>
        <w:r w:rsidR="00660CDF">
          <w:rPr>
            <w:noProof/>
            <w:webHidden/>
          </w:rPr>
        </w:r>
        <w:r w:rsidR="00660CDF">
          <w:rPr>
            <w:noProof/>
            <w:webHidden/>
          </w:rPr>
          <w:fldChar w:fldCharType="separate"/>
        </w:r>
        <w:r w:rsidR="00281171">
          <w:rPr>
            <w:noProof/>
            <w:webHidden/>
          </w:rPr>
          <w:t>28</w:t>
        </w:r>
        <w:r w:rsidR="00660CDF">
          <w:rPr>
            <w:noProof/>
            <w:webHidden/>
          </w:rPr>
          <w:fldChar w:fldCharType="end"/>
        </w:r>
      </w:hyperlink>
    </w:p>
    <w:p w14:paraId="098BAC71" w14:textId="558572F3" w:rsidR="00660CDF" w:rsidRDefault="00267090">
      <w:pPr>
        <w:pStyle w:val="TOC2"/>
        <w:rPr>
          <w:rFonts w:asciiTheme="minorHAnsi" w:eastAsiaTheme="minorEastAsia" w:hAnsiTheme="minorHAnsi" w:cstheme="minorBidi"/>
          <w:noProof/>
          <w:sz w:val="22"/>
          <w:szCs w:val="22"/>
          <w:lang w:val="en-GB" w:eastAsia="en-GB"/>
        </w:rPr>
      </w:pPr>
      <w:hyperlink w:anchor="_Toc18509781" w:history="1">
        <w:r w:rsidR="00660CDF" w:rsidRPr="00896444">
          <w:rPr>
            <w:rStyle w:val="Hyperlink"/>
            <w:noProof/>
          </w:rPr>
          <w:t>13.3</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 search engine</w:t>
        </w:r>
        <w:r w:rsidR="00660CDF">
          <w:rPr>
            <w:noProof/>
            <w:webHidden/>
          </w:rPr>
          <w:tab/>
        </w:r>
        <w:r w:rsidR="00660CDF">
          <w:rPr>
            <w:noProof/>
            <w:webHidden/>
          </w:rPr>
          <w:fldChar w:fldCharType="begin"/>
        </w:r>
        <w:r w:rsidR="00660CDF">
          <w:rPr>
            <w:noProof/>
            <w:webHidden/>
          </w:rPr>
          <w:instrText xml:space="preserve"> PAGEREF _Toc18509781 \h </w:instrText>
        </w:r>
        <w:r w:rsidR="00660CDF">
          <w:rPr>
            <w:noProof/>
            <w:webHidden/>
          </w:rPr>
        </w:r>
        <w:r w:rsidR="00660CDF">
          <w:rPr>
            <w:noProof/>
            <w:webHidden/>
          </w:rPr>
          <w:fldChar w:fldCharType="separate"/>
        </w:r>
        <w:r w:rsidR="00281171">
          <w:rPr>
            <w:noProof/>
            <w:webHidden/>
          </w:rPr>
          <w:t>28</w:t>
        </w:r>
        <w:r w:rsidR="00660CDF">
          <w:rPr>
            <w:noProof/>
            <w:webHidden/>
          </w:rPr>
          <w:fldChar w:fldCharType="end"/>
        </w:r>
      </w:hyperlink>
    </w:p>
    <w:p w14:paraId="4E632BB7" w14:textId="08B13C07" w:rsidR="00660CDF" w:rsidRDefault="00267090">
      <w:pPr>
        <w:pStyle w:val="TOC2"/>
        <w:rPr>
          <w:rFonts w:asciiTheme="minorHAnsi" w:eastAsiaTheme="minorEastAsia" w:hAnsiTheme="minorHAnsi" w:cstheme="minorBidi"/>
          <w:noProof/>
          <w:sz w:val="22"/>
          <w:szCs w:val="22"/>
          <w:lang w:val="en-GB" w:eastAsia="en-GB"/>
        </w:rPr>
      </w:pPr>
      <w:hyperlink w:anchor="_Toc18509782" w:history="1">
        <w:r w:rsidR="00660CDF" w:rsidRPr="00896444">
          <w:rPr>
            <w:rStyle w:val="Hyperlink"/>
            <w:noProof/>
          </w:rPr>
          <w:t>13.4</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 services &amp; tools announcements</w:t>
        </w:r>
        <w:r w:rsidR="00660CDF">
          <w:rPr>
            <w:noProof/>
            <w:webHidden/>
          </w:rPr>
          <w:tab/>
        </w:r>
        <w:r w:rsidR="00660CDF">
          <w:rPr>
            <w:noProof/>
            <w:webHidden/>
          </w:rPr>
          <w:fldChar w:fldCharType="begin"/>
        </w:r>
        <w:r w:rsidR="00660CDF">
          <w:rPr>
            <w:noProof/>
            <w:webHidden/>
          </w:rPr>
          <w:instrText xml:space="preserve"> PAGEREF _Toc18509782 \h </w:instrText>
        </w:r>
        <w:r w:rsidR="00660CDF">
          <w:rPr>
            <w:noProof/>
            <w:webHidden/>
          </w:rPr>
        </w:r>
        <w:r w:rsidR="00660CDF">
          <w:rPr>
            <w:noProof/>
            <w:webHidden/>
          </w:rPr>
          <w:fldChar w:fldCharType="separate"/>
        </w:r>
        <w:r w:rsidR="00281171">
          <w:rPr>
            <w:noProof/>
            <w:webHidden/>
          </w:rPr>
          <w:t>29</w:t>
        </w:r>
        <w:r w:rsidR="00660CDF">
          <w:rPr>
            <w:noProof/>
            <w:webHidden/>
          </w:rPr>
          <w:fldChar w:fldCharType="end"/>
        </w:r>
      </w:hyperlink>
    </w:p>
    <w:p w14:paraId="4D90DBF4" w14:textId="67FB04C4" w:rsidR="00660CDF" w:rsidRDefault="00267090">
      <w:pPr>
        <w:pStyle w:val="TOC2"/>
        <w:rPr>
          <w:rFonts w:asciiTheme="minorHAnsi" w:eastAsiaTheme="minorEastAsia" w:hAnsiTheme="minorHAnsi" w:cstheme="minorBidi"/>
          <w:noProof/>
          <w:sz w:val="22"/>
          <w:szCs w:val="22"/>
          <w:lang w:val="en-GB" w:eastAsia="en-GB"/>
        </w:rPr>
      </w:pPr>
      <w:hyperlink w:anchor="_Toc18509783" w:history="1">
        <w:r w:rsidR="00660CDF" w:rsidRPr="00896444">
          <w:rPr>
            <w:rStyle w:val="Hyperlink"/>
            <w:noProof/>
          </w:rPr>
          <w:t>13.5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Document Management System for Rapporteur Groups</w:t>
        </w:r>
        <w:r w:rsidR="00660CDF">
          <w:rPr>
            <w:noProof/>
            <w:webHidden/>
          </w:rPr>
          <w:tab/>
        </w:r>
        <w:r w:rsidR="00660CDF">
          <w:rPr>
            <w:noProof/>
            <w:webHidden/>
          </w:rPr>
          <w:fldChar w:fldCharType="begin"/>
        </w:r>
        <w:r w:rsidR="00660CDF">
          <w:rPr>
            <w:noProof/>
            <w:webHidden/>
          </w:rPr>
          <w:instrText xml:space="preserve"> PAGEREF _Toc18509783 \h </w:instrText>
        </w:r>
        <w:r w:rsidR="00660CDF">
          <w:rPr>
            <w:noProof/>
            <w:webHidden/>
          </w:rPr>
        </w:r>
        <w:r w:rsidR="00660CDF">
          <w:rPr>
            <w:noProof/>
            <w:webHidden/>
          </w:rPr>
          <w:fldChar w:fldCharType="separate"/>
        </w:r>
        <w:r w:rsidR="00281171">
          <w:rPr>
            <w:noProof/>
            <w:webHidden/>
          </w:rPr>
          <w:t>29</w:t>
        </w:r>
        <w:r w:rsidR="00660CDF">
          <w:rPr>
            <w:noProof/>
            <w:webHidden/>
          </w:rPr>
          <w:fldChar w:fldCharType="end"/>
        </w:r>
      </w:hyperlink>
    </w:p>
    <w:p w14:paraId="4952FCA0" w14:textId="31C27B33" w:rsidR="00660CDF" w:rsidRDefault="00267090">
      <w:pPr>
        <w:pStyle w:val="TOC2"/>
        <w:rPr>
          <w:rFonts w:asciiTheme="minorHAnsi" w:eastAsiaTheme="minorEastAsia" w:hAnsiTheme="minorHAnsi" w:cstheme="minorBidi"/>
          <w:noProof/>
          <w:sz w:val="22"/>
          <w:szCs w:val="22"/>
          <w:lang w:val="en-GB" w:eastAsia="en-GB"/>
        </w:rPr>
      </w:pPr>
      <w:hyperlink w:anchor="_Toc18509784" w:history="1">
        <w:r w:rsidR="00660CDF" w:rsidRPr="00896444">
          <w:rPr>
            <w:rStyle w:val="Hyperlink"/>
            <w:noProof/>
          </w:rPr>
          <w:t>13.6</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International Numbering Resources (INRs)</w:t>
        </w:r>
        <w:r w:rsidR="00660CDF">
          <w:rPr>
            <w:noProof/>
            <w:webHidden/>
          </w:rPr>
          <w:tab/>
        </w:r>
        <w:r w:rsidR="00660CDF">
          <w:rPr>
            <w:noProof/>
            <w:webHidden/>
          </w:rPr>
          <w:fldChar w:fldCharType="begin"/>
        </w:r>
        <w:r w:rsidR="00660CDF">
          <w:rPr>
            <w:noProof/>
            <w:webHidden/>
          </w:rPr>
          <w:instrText xml:space="preserve"> PAGEREF _Toc18509784 \h </w:instrText>
        </w:r>
        <w:r w:rsidR="00660CDF">
          <w:rPr>
            <w:noProof/>
            <w:webHidden/>
          </w:rPr>
        </w:r>
        <w:r w:rsidR="00660CDF">
          <w:rPr>
            <w:noProof/>
            <w:webHidden/>
          </w:rPr>
          <w:fldChar w:fldCharType="separate"/>
        </w:r>
        <w:r w:rsidR="00281171">
          <w:rPr>
            <w:noProof/>
            <w:webHidden/>
          </w:rPr>
          <w:t>29</w:t>
        </w:r>
        <w:r w:rsidR="00660CDF">
          <w:rPr>
            <w:noProof/>
            <w:webHidden/>
          </w:rPr>
          <w:fldChar w:fldCharType="end"/>
        </w:r>
      </w:hyperlink>
    </w:p>
    <w:p w14:paraId="0FB26FED" w14:textId="68A83679" w:rsidR="00660CDF" w:rsidRDefault="00267090">
      <w:pPr>
        <w:pStyle w:val="TOC2"/>
        <w:rPr>
          <w:rFonts w:asciiTheme="minorHAnsi" w:eastAsiaTheme="minorEastAsia" w:hAnsiTheme="minorHAnsi" w:cstheme="minorBidi"/>
          <w:noProof/>
          <w:sz w:val="22"/>
          <w:szCs w:val="22"/>
          <w:lang w:val="en-GB" w:eastAsia="en-GB"/>
        </w:rPr>
      </w:pPr>
      <w:hyperlink w:anchor="_Toc18509785" w:history="1">
        <w:r w:rsidR="00660CDF" w:rsidRPr="00896444">
          <w:rPr>
            <w:rStyle w:val="Hyperlink"/>
            <w:noProof/>
          </w:rPr>
          <w:t>13.7</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 SharePoint collaboration sites</w:t>
        </w:r>
        <w:r w:rsidR="00660CDF">
          <w:rPr>
            <w:noProof/>
            <w:webHidden/>
          </w:rPr>
          <w:tab/>
        </w:r>
        <w:r w:rsidR="00660CDF">
          <w:rPr>
            <w:noProof/>
            <w:webHidden/>
          </w:rPr>
          <w:fldChar w:fldCharType="begin"/>
        </w:r>
        <w:r w:rsidR="00660CDF">
          <w:rPr>
            <w:noProof/>
            <w:webHidden/>
          </w:rPr>
          <w:instrText xml:space="preserve"> PAGEREF _Toc18509785 \h </w:instrText>
        </w:r>
        <w:r w:rsidR="00660CDF">
          <w:rPr>
            <w:noProof/>
            <w:webHidden/>
          </w:rPr>
        </w:r>
        <w:r w:rsidR="00660CDF">
          <w:rPr>
            <w:noProof/>
            <w:webHidden/>
          </w:rPr>
          <w:fldChar w:fldCharType="separate"/>
        </w:r>
        <w:r w:rsidR="00281171">
          <w:rPr>
            <w:noProof/>
            <w:webHidden/>
          </w:rPr>
          <w:t>31</w:t>
        </w:r>
        <w:r w:rsidR="00660CDF">
          <w:rPr>
            <w:noProof/>
            <w:webHidden/>
          </w:rPr>
          <w:fldChar w:fldCharType="end"/>
        </w:r>
      </w:hyperlink>
    </w:p>
    <w:p w14:paraId="4B7C9CDB" w14:textId="36E39EA9" w:rsidR="00660CDF" w:rsidRDefault="00267090">
      <w:pPr>
        <w:pStyle w:val="TOC2"/>
        <w:rPr>
          <w:rFonts w:asciiTheme="minorHAnsi" w:eastAsiaTheme="minorEastAsia" w:hAnsiTheme="minorHAnsi" w:cstheme="minorBidi"/>
          <w:noProof/>
          <w:sz w:val="22"/>
          <w:szCs w:val="22"/>
          <w:lang w:val="en-GB" w:eastAsia="en-GB"/>
        </w:rPr>
      </w:pPr>
      <w:hyperlink w:anchor="_Toc18509786" w:history="1">
        <w:r w:rsidR="00660CDF" w:rsidRPr="00896444">
          <w:rPr>
            <w:rStyle w:val="Hyperlink"/>
            <w:noProof/>
          </w:rPr>
          <w:t>13.8</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Meeting Documents Sync Application</w:t>
        </w:r>
        <w:r w:rsidR="00660CDF">
          <w:rPr>
            <w:noProof/>
            <w:webHidden/>
          </w:rPr>
          <w:tab/>
        </w:r>
        <w:r w:rsidR="00660CDF">
          <w:rPr>
            <w:noProof/>
            <w:webHidden/>
          </w:rPr>
          <w:fldChar w:fldCharType="begin"/>
        </w:r>
        <w:r w:rsidR="00660CDF">
          <w:rPr>
            <w:noProof/>
            <w:webHidden/>
          </w:rPr>
          <w:instrText xml:space="preserve"> PAGEREF _Toc18509786 \h </w:instrText>
        </w:r>
        <w:r w:rsidR="00660CDF">
          <w:rPr>
            <w:noProof/>
            <w:webHidden/>
          </w:rPr>
        </w:r>
        <w:r w:rsidR="00660CDF">
          <w:rPr>
            <w:noProof/>
            <w:webHidden/>
          </w:rPr>
          <w:fldChar w:fldCharType="separate"/>
        </w:r>
        <w:r w:rsidR="00281171">
          <w:rPr>
            <w:noProof/>
            <w:webHidden/>
          </w:rPr>
          <w:t>32</w:t>
        </w:r>
        <w:r w:rsidR="00660CDF">
          <w:rPr>
            <w:noProof/>
            <w:webHidden/>
          </w:rPr>
          <w:fldChar w:fldCharType="end"/>
        </w:r>
      </w:hyperlink>
    </w:p>
    <w:p w14:paraId="069A5B86" w14:textId="24E8E58C" w:rsidR="00660CDF" w:rsidRDefault="00267090">
      <w:pPr>
        <w:pStyle w:val="TOC2"/>
        <w:rPr>
          <w:rFonts w:asciiTheme="minorHAnsi" w:eastAsiaTheme="minorEastAsia" w:hAnsiTheme="minorHAnsi" w:cstheme="minorBidi"/>
          <w:noProof/>
          <w:sz w:val="22"/>
          <w:szCs w:val="22"/>
          <w:lang w:val="en-GB" w:eastAsia="en-GB"/>
        </w:rPr>
      </w:pPr>
      <w:hyperlink w:anchor="_Toc18509787" w:history="1">
        <w:r w:rsidR="00660CDF" w:rsidRPr="00896444">
          <w:rPr>
            <w:rStyle w:val="Hyperlink"/>
            <w:noProof/>
          </w:rPr>
          <w:t>13.9</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Electronic meetings</w:t>
        </w:r>
        <w:r w:rsidR="00660CDF">
          <w:rPr>
            <w:noProof/>
            <w:webHidden/>
          </w:rPr>
          <w:tab/>
        </w:r>
        <w:r w:rsidR="00660CDF">
          <w:rPr>
            <w:noProof/>
            <w:webHidden/>
          </w:rPr>
          <w:fldChar w:fldCharType="begin"/>
        </w:r>
        <w:r w:rsidR="00660CDF">
          <w:rPr>
            <w:noProof/>
            <w:webHidden/>
          </w:rPr>
          <w:instrText xml:space="preserve"> PAGEREF _Toc18509787 \h </w:instrText>
        </w:r>
        <w:r w:rsidR="00660CDF">
          <w:rPr>
            <w:noProof/>
            <w:webHidden/>
          </w:rPr>
        </w:r>
        <w:r w:rsidR="00660CDF">
          <w:rPr>
            <w:noProof/>
            <w:webHidden/>
          </w:rPr>
          <w:fldChar w:fldCharType="separate"/>
        </w:r>
        <w:r w:rsidR="00281171">
          <w:rPr>
            <w:noProof/>
            <w:webHidden/>
          </w:rPr>
          <w:t>32</w:t>
        </w:r>
        <w:r w:rsidR="00660CDF">
          <w:rPr>
            <w:noProof/>
            <w:webHidden/>
          </w:rPr>
          <w:fldChar w:fldCharType="end"/>
        </w:r>
      </w:hyperlink>
    </w:p>
    <w:p w14:paraId="6AB5CE9C" w14:textId="3D9AF1F7" w:rsidR="00660CDF" w:rsidRDefault="00267090">
      <w:pPr>
        <w:pStyle w:val="TOC2"/>
        <w:rPr>
          <w:rFonts w:asciiTheme="minorHAnsi" w:eastAsiaTheme="minorEastAsia" w:hAnsiTheme="minorHAnsi" w:cstheme="minorBidi"/>
          <w:noProof/>
          <w:sz w:val="22"/>
          <w:szCs w:val="22"/>
          <w:lang w:val="en-GB" w:eastAsia="en-GB"/>
        </w:rPr>
      </w:pPr>
      <w:hyperlink w:anchor="_Toc18509788" w:history="1">
        <w:r w:rsidR="00660CDF" w:rsidRPr="00896444">
          <w:rPr>
            <w:rStyle w:val="Hyperlink"/>
            <w:noProof/>
          </w:rPr>
          <w:t>13.10</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Use in the ITU-T of the official languages of the Union on an equal footing</w:t>
        </w:r>
        <w:r w:rsidR="00660CDF">
          <w:rPr>
            <w:noProof/>
            <w:webHidden/>
          </w:rPr>
          <w:tab/>
        </w:r>
        <w:r w:rsidR="00660CDF">
          <w:rPr>
            <w:noProof/>
            <w:webHidden/>
          </w:rPr>
          <w:fldChar w:fldCharType="begin"/>
        </w:r>
        <w:r w:rsidR="00660CDF">
          <w:rPr>
            <w:noProof/>
            <w:webHidden/>
          </w:rPr>
          <w:instrText xml:space="preserve"> PAGEREF _Toc18509788 \h </w:instrText>
        </w:r>
        <w:r w:rsidR="00660CDF">
          <w:rPr>
            <w:noProof/>
            <w:webHidden/>
          </w:rPr>
        </w:r>
        <w:r w:rsidR="00660CDF">
          <w:rPr>
            <w:noProof/>
            <w:webHidden/>
          </w:rPr>
          <w:fldChar w:fldCharType="separate"/>
        </w:r>
        <w:r w:rsidR="00281171">
          <w:rPr>
            <w:noProof/>
            <w:webHidden/>
          </w:rPr>
          <w:t>32</w:t>
        </w:r>
        <w:r w:rsidR="00660CDF">
          <w:rPr>
            <w:noProof/>
            <w:webHidden/>
          </w:rPr>
          <w:fldChar w:fldCharType="end"/>
        </w:r>
      </w:hyperlink>
    </w:p>
    <w:p w14:paraId="5BC439F2" w14:textId="74E7319B" w:rsidR="00660CDF" w:rsidRDefault="00267090">
      <w:pPr>
        <w:pStyle w:val="TOC2"/>
        <w:rPr>
          <w:rFonts w:asciiTheme="minorHAnsi" w:eastAsiaTheme="minorEastAsia" w:hAnsiTheme="minorHAnsi" w:cstheme="minorBidi"/>
          <w:noProof/>
          <w:sz w:val="22"/>
          <w:szCs w:val="22"/>
          <w:lang w:val="en-GB" w:eastAsia="en-GB"/>
        </w:rPr>
      </w:pPr>
      <w:hyperlink w:anchor="_Toc18509789" w:history="1">
        <w:r w:rsidR="00660CDF" w:rsidRPr="00896444">
          <w:rPr>
            <w:rStyle w:val="Hyperlink"/>
            <w:noProof/>
          </w:rPr>
          <w:t>13.11</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Workshops and symposia</w:t>
        </w:r>
        <w:r w:rsidR="00660CDF">
          <w:rPr>
            <w:noProof/>
            <w:webHidden/>
          </w:rPr>
          <w:tab/>
        </w:r>
        <w:r w:rsidR="00660CDF">
          <w:rPr>
            <w:noProof/>
            <w:webHidden/>
          </w:rPr>
          <w:fldChar w:fldCharType="begin"/>
        </w:r>
        <w:r w:rsidR="00660CDF">
          <w:rPr>
            <w:noProof/>
            <w:webHidden/>
          </w:rPr>
          <w:instrText xml:space="preserve"> PAGEREF _Toc18509789 \h </w:instrText>
        </w:r>
        <w:r w:rsidR="00660CDF">
          <w:rPr>
            <w:noProof/>
            <w:webHidden/>
          </w:rPr>
        </w:r>
        <w:r w:rsidR="00660CDF">
          <w:rPr>
            <w:noProof/>
            <w:webHidden/>
          </w:rPr>
          <w:fldChar w:fldCharType="separate"/>
        </w:r>
        <w:r w:rsidR="00281171">
          <w:rPr>
            <w:noProof/>
            <w:webHidden/>
          </w:rPr>
          <w:t>33</w:t>
        </w:r>
        <w:r w:rsidR="00660CDF">
          <w:rPr>
            <w:noProof/>
            <w:webHidden/>
          </w:rPr>
          <w:fldChar w:fldCharType="end"/>
        </w:r>
      </w:hyperlink>
    </w:p>
    <w:p w14:paraId="11EFDBBF" w14:textId="5C39A522" w:rsidR="00660CDF" w:rsidRDefault="00267090">
      <w:pPr>
        <w:pStyle w:val="TOC1"/>
        <w:rPr>
          <w:rFonts w:asciiTheme="minorHAnsi" w:eastAsiaTheme="minorEastAsia" w:hAnsiTheme="minorHAnsi" w:cstheme="minorBidi"/>
          <w:noProof/>
          <w:sz w:val="22"/>
          <w:szCs w:val="22"/>
          <w:lang w:val="en-GB" w:eastAsia="en-GB"/>
        </w:rPr>
      </w:pPr>
      <w:hyperlink w:anchor="_Toc18509790" w:history="1">
        <w:r w:rsidR="00660CDF" w:rsidRPr="00896444">
          <w:rPr>
            <w:rStyle w:val="Hyperlink"/>
            <w:noProof/>
          </w:rPr>
          <w:t>14</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Implementation of WTSA Resolutions and A-series ITU-T Recommendations</w:t>
        </w:r>
        <w:r w:rsidR="00660CDF">
          <w:rPr>
            <w:noProof/>
            <w:webHidden/>
          </w:rPr>
          <w:tab/>
        </w:r>
        <w:r w:rsidR="00660CDF">
          <w:rPr>
            <w:noProof/>
            <w:webHidden/>
          </w:rPr>
          <w:fldChar w:fldCharType="begin"/>
        </w:r>
        <w:r w:rsidR="00660CDF">
          <w:rPr>
            <w:noProof/>
            <w:webHidden/>
          </w:rPr>
          <w:instrText xml:space="preserve"> PAGEREF _Toc18509790 \h </w:instrText>
        </w:r>
        <w:r w:rsidR="00660CDF">
          <w:rPr>
            <w:noProof/>
            <w:webHidden/>
          </w:rPr>
        </w:r>
        <w:r w:rsidR="00660CDF">
          <w:rPr>
            <w:noProof/>
            <w:webHidden/>
          </w:rPr>
          <w:fldChar w:fldCharType="separate"/>
        </w:r>
        <w:r w:rsidR="00281171">
          <w:rPr>
            <w:noProof/>
            <w:webHidden/>
          </w:rPr>
          <w:t>35</w:t>
        </w:r>
        <w:r w:rsidR="00660CDF">
          <w:rPr>
            <w:noProof/>
            <w:webHidden/>
          </w:rPr>
          <w:fldChar w:fldCharType="end"/>
        </w:r>
      </w:hyperlink>
    </w:p>
    <w:p w14:paraId="39CDF844" w14:textId="2FE02639" w:rsidR="00660CDF" w:rsidRDefault="00267090">
      <w:pPr>
        <w:pStyle w:val="TOC1"/>
        <w:rPr>
          <w:rFonts w:asciiTheme="minorHAnsi" w:eastAsiaTheme="minorEastAsia" w:hAnsiTheme="minorHAnsi" w:cstheme="minorBidi"/>
          <w:noProof/>
          <w:sz w:val="22"/>
          <w:szCs w:val="22"/>
          <w:lang w:val="en-GB" w:eastAsia="en-GB"/>
        </w:rPr>
      </w:pPr>
      <w:hyperlink w:anchor="_Toc18509791" w:history="1">
        <w:r w:rsidR="00660CDF" w:rsidRPr="00896444">
          <w:rPr>
            <w:rStyle w:val="Hyperlink"/>
            <w:noProof/>
          </w:rPr>
          <w:t>15</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ITU-T's activities in the implementation of WSIS and the Sustainable Development Goals</w:t>
        </w:r>
        <w:r w:rsidR="00660CDF">
          <w:rPr>
            <w:noProof/>
            <w:webHidden/>
          </w:rPr>
          <w:tab/>
        </w:r>
        <w:r w:rsidR="00660CDF">
          <w:rPr>
            <w:noProof/>
            <w:webHidden/>
          </w:rPr>
          <w:fldChar w:fldCharType="begin"/>
        </w:r>
        <w:r w:rsidR="00660CDF">
          <w:rPr>
            <w:noProof/>
            <w:webHidden/>
          </w:rPr>
          <w:instrText xml:space="preserve"> PAGEREF _Toc18509791 \h </w:instrText>
        </w:r>
        <w:r w:rsidR="00660CDF">
          <w:rPr>
            <w:noProof/>
            <w:webHidden/>
          </w:rPr>
        </w:r>
        <w:r w:rsidR="00660CDF">
          <w:rPr>
            <w:noProof/>
            <w:webHidden/>
          </w:rPr>
          <w:fldChar w:fldCharType="separate"/>
        </w:r>
        <w:r w:rsidR="00281171">
          <w:rPr>
            <w:noProof/>
            <w:webHidden/>
          </w:rPr>
          <w:t>36</w:t>
        </w:r>
        <w:r w:rsidR="00660CDF">
          <w:rPr>
            <w:noProof/>
            <w:webHidden/>
          </w:rPr>
          <w:fldChar w:fldCharType="end"/>
        </w:r>
      </w:hyperlink>
    </w:p>
    <w:p w14:paraId="2DBA264A" w14:textId="07168CB9" w:rsidR="00660CDF" w:rsidRDefault="00267090">
      <w:pPr>
        <w:pStyle w:val="TOC1"/>
        <w:rPr>
          <w:rFonts w:asciiTheme="minorHAnsi" w:eastAsiaTheme="minorEastAsia" w:hAnsiTheme="minorHAnsi" w:cstheme="minorBidi"/>
          <w:noProof/>
          <w:sz w:val="22"/>
          <w:szCs w:val="22"/>
          <w:lang w:val="en-GB" w:eastAsia="en-GB"/>
        </w:rPr>
      </w:pPr>
      <w:hyperlink w:anchor="_Toc18509792" w:history="1">
        <w:r w:rsidR="00660CDF" w:rsidRPr="00896444">
          <w:rPr>
            <w:rStyle w:val="Hyperlink"/>
            <w:noProof/>
          </w:rPr>
          <w:t>16</w:t>
        </w:r>
        <w:r w:rsidR="00660CDF">
          <w:rPr>
            <w:rFonts w:asciiTheme="minorHAnsi" w:eastAsiaTheme="minorEastAsia" w:hAnsiTheme="minorHAnsi" w:cstheme="minorBidi"/>
            <w:noProof/>
            <w:sz w:val="22"/>
            <w:szCs w:val="22"/>
            <w:lang w:val="en-GB" w:eastAsia="en-GB"/>
          </w:rPr>
          <w:tab/>
        </w:r>
        <w:r w:rsidR="00660CDF" w:rsidRPr="00896444">
          <w:rPr>
            <w:rStyle w:val="Hyperlink"/>
            <w:noProof/>
          </w:rPr>
          <w:t>Implementation of trial authorized by TSAG (July 2016 meeting)</w:t>
        </w:r>
        <w:r w:rsidR="00660CDF">
          <w:rPr>
            <w:noProof/>
            <w:webHidden/>
          </w:rPr>
          <w:tab/>
        </w:r>
        <w:r w:rsidR="00660CDF">
          <w:rPr>
            <w:noProof/>
            <w:webHidden/>
          </w:rPr>
          <w:fldChar w:fldCharType="begin"/>
        </w:r>
        <w:r w:rsidR="00660CDF">
          <w:rPr>
            <w:noProof/>
            <w:webHidden/>
          </w:rPr>
          <w:instrText xml:space="preserve"> PAGEREF _Toc18509792 \h </w:instrText>
        </w:r>
        <w:r w:rsidR="00660CDF">
          <w:rPr>
            <w:noProof/>
            <w:webHidden/>
          </w:rPr>
        </w:r>
        <w:r w:rsidR="00660CDF">
          <w:rPr>
            <w:noProof/>
            <w:webHidden/>
          </w:rPr>
          <w:fldChar w:fldCharType="separate"/>
        </w:r>
        <w:r w:rsidR="00281171">
          <w:rPr>
            <w:noProof/>
            <w:webHidden/>
          </w:rPr>
          <w:t>36</w:t>
        </w:r>
        <w:r w:rsidR="00660CDF">
          <w:rPr>
            <w:noProof/>
            <w:webHidden/>
          </w:rPr>
          <w:fldChar w:fldCharType="end"/>
        </w:r>
      </w:hyperlink>
    </w:p>
    <w:p w14:paraId="595BB9B3" w14:textId="22EB5361" w:rsidR="00660CDF" w:rsidRDefault="00267090">
      <w:pPr>
        <w:pStyle w:val="TOC1"/>
        <w:rPr>
          <w:rFonts w:asciiTheme="minorHAnsi" w:eastAsiaTheme="minorEastAsia" w:hAnsiTheme="minorHAnsi" w:cstheme="minorBidi"/>
          <w:noProof/>
          <w:sz w:val="22"/>
          <w:szCs w:val="22"/>
          <w:lang w:val="en-GB" w:eastAsia="en-GB"/>
        </w:rPr>
      </w:pPr>
      <w:hyperlink w:anchor="_Toc18509793" w:history="1">
        <w:r w:rsidR="00660CDF" w:rsidRPr="00896444">
          <w:rPr>
            <w:rStyle w:val="Hyperlink"/>
            <w:noProof/>
          </w:rPr>
          <w:t>Appendix I – List of approved Recommendations and other approved texts</w:t>
        </w:r>
        <w:r w:rsidR="00660CDF">
          <w:rPr>
            <w:noProof/>
            <w:webHidden/>
          </w:rPr>
          <w:tab/>
        </w:r>
        <w:r w:rsidR="00660CDF">
          <w:rPr>
            <w:noProof/>
            <w:webHidden/>
          </w:rPr>
          <w:fldChar w:fldCharType="begin"/>
        </w:r>
        <w:r w:rsidR="00660CDF">
          <w:rPr>
            <w:noProof/>
            <w:webHidden/>
          </w:rPr>
          <w:instrText xml:space="preserve"> PAGEREF _Toc18509793 \h </w:instrText>
        </w:r>
        <w:r w:rsidR="00660CDF">
          <w:rPr>
            <w:noProof/>
            <w:webHidden/>
          </w:rPr>
        </w:r>
        <w:r w:rsidR="00660CDF">
          <w:rPr>
            <w:noProof/>
            <w:webHidden/>
          </w:rPr>
          <w:fldChar w:fldCharType="separate"/>
        </w:r>
        <w:r w:rsidR="00281171">
          <w:rPr>
            <w:noProof/>
            <w:webHidden/>
          </w:rPr>
          <w:t>37</w:t>
        </w:r>
        <w:r w:rsidR="00660CDF">
          <w:rPr>
            <w:noProof/>
            <w:webHidden/>
          </w:rPr>
          <w:fldChar w:fldCharType="end"/>
        </w:r>
      </w:hyperlink>
    </w:p>
    <w:p w14:paraId="03D6DC3B" w14:textId="6F47B9C8" w:rsidR="006944F8" w:rsidRPr="00C1421E" w:rsidRDefault="006944F8" w:rsidP="00C1421E">
      <w:pPr>
        <w:rPr>
          <w:highlight w:val="yellow"/>
          <w:lang w:val="en-GB"/>
        </w:rPr>
      </w:pPr>
      <w:r w:rsidRPr="00C1421E">
        <w:rPr>
          <w:rFonts w:eastAsia="Malgun Gothic"/>
          <w:highlight w:val="yellow"/>
          <w:lang w:val="en-GB" w:eastAsia="ko-KR"/>
        </w:rPr>
        <w:fldChar w:fldCharType="end"/>
      </w:r>
    </w:p>
    <w:p w14:paraId="64CB697F" w14:textId="52D14E58" w:rsidR="006944F8" w:rsidRPr="003E5F03" w:rsidRDefault="003E5F03" w:rsidP="006944F8">
      <w:pPr>
        <w:pStyle w:val="Heading1"/>
        <w:pageBreakBefore/>
        <w:jc w:val="center"/>
        <w:rPr>
          <w:lang w:val="es-ES"/>
        </w:rPr>
      </w:pPr>
      <w:r w:rsidRPr="003E5F03">
        <w:rPr>
          <w:lang w:val="es-ES"/>
        </w:rPr>
        <w:lastRenderedPageBreak/>
        <w:t>Resumen ejecutivo</w:t>
      </w:r>
    </w:p>
    <w:p w14:paraId="218DA434" w14:textId="2427FB5A" w:rsidR="00655325" w:rsidRPr="003E5F03" w:rsidRDefault="00655325" w:rsidP="00655325">
      <w:pPr>
        <w:pStyle w:val="Headingb"/>
        <w:rPr>
          <w:i/>
          <w:iCs/>
          <w:szCs w:val="24"/>
          <w:lang w:val="es-ES"/>
        </w:rPr>
      </w:pPr>
      <w:r w:rsidRPr="003E5F03">
        <w:rPr>
          <w:i/>
          <w:iCs/>
          <w:szCs w:val="24"/>
          <w:lang w:val="es-ES"/>
        </w:rPr>
        <w:t>Selec</w:t>
      </w:r>
      <w:r w:rsidR="003E5F03" w:rsidRPr="003E5F03">
        <w:rPr>
          <w:i/>
          <w:iCs/>
          <w:szCs w:val="24"/>
          <w:lang w:val="es-ES"/>
        </w:rPr>
        <w:t>ción de los logros alcanzados en</w:t>
      </w:r>
      <w:r w:rsidR="003E5F03">
        <w:rPr>
          <w:i/>
          <w:iCs/>
          <w:szCs w:val="24"/>
          <w:lang w:val="es-ES"/>
        </w:rPr>
        <w:t xml:space="preserve"> las actividades de normalización del UIT-T</w:t>
      </w:r>
    </w:p>
    <w:p w14:paraId="51E11344" w14:textId="78B70E86" w:rsidR="00655325" w:rsidRPr="003E5F03" w:rsidRDefault="003E5F03" w:rsidP="00A36DDD">
      <w:pPr>
        <w:rPr>
          <w:lang w:val="es-ES"/>
        </w:rPr>
      </w:pPr>
      <w:r w:rsidRPr="003E5F03">
        <w:rPr>
          <w:lang w:val="es-ES"/>
        </w:rPr>
        <w:t>Entre el 1º de octubre de 2018 y el 31 de agosto de 2019 la UIT apro</w:t>
      </w:r>
      <w:r>
        <w:rPr>
          <w:lang w:val="es-ES"/>
        </w:rPr>
        <w:t xml:space="preserve">bó más de </w:t>
      </w:r>
      <w:r w:rsidR="00655325" w:rsidRPr="003E5F03">
        <w:rPr>
          <w:lang w:val="es-ES"/>
        </w:rPr>
        <w:t>300</w:t>
      </w:r>
      <w:r w:rsidR="00D92F7E">
        <w:rPr>
          <w:lang w:val="es-ES"/>
        </w:rPr>
        <w:t> </w:t>
      </w:r>
      <w:r>
        <w:rPr>
          <w:lang w:val="es-ES"/>
        </w:rPr>
        <w:t>Recomendaciones UIT-T nuevas y revisadas</w:t>
      </w:r>
      <w:r w:rsidR="00655325" w:rsidRPr="003E5F03">
        <w:rPr>
          <w:lang w:val="es-ES"/>
        </w:rPr>
        <w:t xml:space="preserve">. </w:t>
      </w:r>
      <w:r w:rsidRPr="003E5F03">
        <w:rPr>
          <w:lang w:val="es-ES"/>
        </w:rPr>
        <w:t xml:space="preserve">En el Apéndice </w:t>
      </w:r>
      <w:r w:rsidR="00655325" w:rsidRPr="003E5F03">
        <w:rPr>
          <w:lang w:val="es-ES"/>
        </w:rPr>
        <w:t xml:space="preserve">I </w:t>
      </w:r>
      <w:r w:rsidRPr="003E5F03">
        <w:rPr>
          <w:lang w:val="es-ES"/>
        </w:rPr>
        <w:t>figura la lista de esas Recomendaciones UIT-T</w:t>
      </w:r>
      <w:r>
        <w:rPr>
          <w:lang w:val="es-ES"/>
        </w:rPr>
        <w:t>,</w:t>
      </w:r>
      <w:r w:rsidRPr="003E5F03">
        <w:rPr>
          <w:lang w:val="es-ES"/>
        </w:rPr>
        <w:t xml:space="preserve"> </w:t>
      </w:r>
      <w:r>
        <w:rPr>
          <w:lang w:val="es-ES"/>
        </w:rPr>
        <w:t>los textos conexos y resúmenes de su contenido</w:t>
      </w:r>
      <w:r w:rsidR="00655325" w:rsidRPr="003E5F03">
        <w:rPr>
          <w:lang w:val="es-ES"/>
        </w:rPr>
        <w:t>.</w:t>
      </w:r>
    </w:p>
    <w:p w14:paraId="42ACF045" w14:textId="50BC9FA5" w:rsidR="00655325" w:rsidRPr="00A2541D" w:rsidRDefault="00A2541D" w:rsidP="00A2541D">
      <w:pPr>
        <w:rPr>
          <w:lang w:val="es-ES"/>
        </w:rPr>
      </w:pPr>
      <w:r w:rsidRPr="00A2541D">
        <w:rPr>
          <w:lang w:val="es-ES"/>
        </w:rPr>
        <w:t xml:space="preserve">Los proyectos de transporte </w:t>
      </w:r>
      <w:r w:rsidR="00655325" w:rsidRPr="00A2541D">
        <w:rPr>
          <w:lang w:val="es-ES"/>
        </w:rPr>
        <w:t>IMT-2020 (5G) ha</w:t>
      </w:r>
      <w:r w:rsidRPr="00A2541D">
        <w:rPr>
          <w:lang w:val="es-ES"/>
        </w:rPr>
        <w:t>n</w:t>
      </w:r>
      <w:r>
        <w:rPr>
          <w:lang w:val="es-ES"/>
        </w:rPr>
        <w:t xml:space="preserve"> cobrado un fuerte impulso</w:t>
      </w:r>
      <w:r w:rsidR="00655325" w:rsidRPr="00A2541D">
        <w:rPr>
          <w:lang w:val="es-ES"/>
        </w:rPr>
        <w:t xml:space="preserve">. </w:t>
      </w:r>
      <w:r w:rsidRPr="00A2541D">
        <w:rPr>
          <w:lang w:val="es-ES"/>
        </w:rPr>
        <w:t>La red óptica pasiva (PON), Ethernet portador y la red óptica de transporte (OTN) son tecnologías normalizadas por el UIT-T que ofrecen un potencial significativo para soportar sistemas 5G</w:t>
      </w:r>
      <w:r w:rsidR="00655325" w:rsidRPr="00A2541D">
        <w:rPr>
          <w:lang w:val="es-ES"/>
        </w:rPr>
        <w:t>.</w:t>
      </w:r>
    </w:p>
    <w:p w14:paraId="7F8A555D" w14:textId="663D9B2E" w:rsidR="00655325" w:rsidRPr="00A2541D" w:rsidRDefault="00A2541D" w:rsidP="00A2541D">
      <w:pPr>
        <w:rPr>
          <w:lang w:val="es-ES"/>
        </w:rPr>
      </w:pPr>
      <w:r w:rsidRPr="00A2541D">
        <w:rPr>
          <w:lang w:val="es-ES"/>
        </w:rPr>
        <w:t>Una nueva norma de la UIT ha sentado las bases para la integración rentable del aprendizaje automático en redes 5G y futuras. La norma describe un marco arquitectónico para que las redes se adapten a los casos de uso actuales y futuros del aprendizaje automático</w:t>
      </w:r>
      <w:r w:rsidR="00655325" w:rsidRPr="00A2541D">
        <w:rPr>
          <w:lang w:val="es-ES"/>
        </w:rPr>
        <w:t>.</w:t>
      </w:r>
    </w:p>
    <w:p w14:paraId="1E5B6696" w14:textId="0AC570C0" w:rsidR="00502F21" w:rsidRPr="00502F21" w:rsidRDefault="00A2541D" w:rsidP="00502F21">
      <w:pPr>
        <w:rPr>
          <w:lang w:val="es-ES"/>
        </w:rPr>
      </w:pPr>
      <w:r w:rsidRPr="00A2541D">
        <w:rPr>
          <w:lang w:val="es-ES"/>
        </w:rPr>
        <w:t>Una nueva norma de la UIT para la</w:t>
      </w:r>
      <w:r>
        <w:rPr>
          <w:lang w:val="es-ES"/>
        </w:rPr>
        <w:t xml:space="preserve"> </w:t>
      </w:r>
      <w:r w:rsidR="00D92F7E">
        <w:rPr>
          <w:lang w:val="es-ES"/>
        </w:rPr>
        <w:t>"</w:t>
      </w:r>
      <w:r w:rsidRPr="00A2541D">
        <w:rPr>
          <w:lang w:val="es-ES"/>
        </w:rPr>
        <w:t xml:space="preserve">comunicación </w:t>
      </w:r>
      <w:r w:rsidR="00502F21">
        <w:rPr>
          <w:lang w:val="es-ES"/>
        </w:rPr>
        <w:t>con</w:t>
      </w:r>
      <w:r w:rsidRPr="00A2541D">
        <w:rPr>
          <w:lang w:val="es-ES"/>
        </w:rPr>
        <w:t xml:space="preserve"> luz visible</w:t>
      </w:r>
      <w:r w:rsidR="00D92F7E">
        <w:rPr>
          <w:lang w:val="es-ES"/>
        </w:rPr>
        <w:t>"</w:t>
      </w:r>
      <w:r w:rsidRPr="00A2541D">
        <w:rPr>
          <w:lang w:val="es-ES"/>
        </w:rPr>
        <w:t xml:space="preserve"> (VLC) de alta velocidad en interiores, también conocida como</w:t>
      </w:r>
      <w:r w:rsidR="00502F21">
        <w:rPr>
          <w:lang w:val="es-ES"/>
        </w:rPr>
        <w:t xml:space="preserve"> </w:t>
      </w:r>
      <w:r w:rsidR="00A37C78">
        <w:rPr>
          <w:lang w:val="es-ES"/>
        </w:rPr>
        <w:t>"</w:t>
      </w:r>
      <w:proofErr w:type="spellStart"/>
      <w:r w:rsidRPr="00A2541D">
        <w:rPr>
          <w:lang w:val="es-ES"/>
        </w:rPr>
        <w:t>LiFi</w:t>
      </w:r>
      <w:proofErr w:type="spellEnd"/>
      <w:r w:rsidR="00A37C78">
        <w:rPr>
          <w:lang w:val="es-ES"/>
        </w:rPr>
        <w:t>"</w:t>
      </w:r>
      <w:r w:rsidRPr="00A2541D">
        <w:rPr>
          <w:lang w:val="es-ES"/>
        </w:rPr>
        <w:t>, sentará las bases para el crecimiento del mercado de l</w:t>
      </w:r>
      <w:r w:rsidR="00502F21">
        <w:rPr>
          <w:lang w:val="es-ES"/>
        </w:rPr>
        <w:t>a</w:t>
      </w:r>
      <w:r w:rsidRPr="00A2541D">
        <w:rPr>
          <w:lang w:val="es-ES"/>
        </w:rPr>
        <w:t xml:space="preserve"> VLC. </w:t>
      </w:r>
      <w:r w:rsidR="00502F21" w:rsidRPr="00502F21">
        <w:rPr>
          <w:lang w:val="es-ES"/>
        </w:rPr>
        <w:t>La</w:t>
      </w:r>
      <w:r w:rsidR="00502F21">
        <w:rPr>
          <w:lang w:val="es-ES"/>
        </w:rPr>
        <w:t xml:space="preserve"> norma </w:t>
      </w:r>
      <w:r w:rsidRPr="00502F21">
        <w:rPr>
          <w:lang w:val="es-ES"/>
        </w:rPr>
        <w:t xml:space="preserve">es fundamental para la colaboración de las industrias de </w:t>
      </w:r>
      <w:r w:rsidR="00502F21">
        <w:rPr>
          <w:lang w:val="es-ES"/>
        </w:rPr>
        <w:t xml:space="preserve">la </w:t>
      </w:r>
      <w:r w:rsidRPr="00502F21">
        <w:rPr>
          <w:lang w:val="es-ES"/>
        </w:rPr>
        <w:t xml:space="preserve">conectividad </w:t>
      </w:r>
      <w:r w:rsidR="00502F21">
        <w:rPr>
          <w:lang w:val="es-ES"/>
        </w:rPr>
        <w:t xml:space="preserve">y la </w:t>
      </w:r>
      <w:r w:rsidRPr="00502F21">
        <w:rPr>
          <w:lang w:val="es-ES"/>
        </w:rPr>
        <w:t>iluminación</w:t>
      </w:r>
      <w:r w:rsidR="00655325" w:rsidRPr="00502F21">
        <w:rPr>
          <w:lang w:val="es-ES"/>
        </w:rPr>
        <w:t>.</w:t>
      </w:r>
    </w:p>
    <w:p w14:paraId="78F9C9DE" w14:textId="245A9318" w:rsidR="00655325" w:rsidRPr="00502F21" w:rsidRDefault="00502F21" w:rsidP="00502F21">
      <w:pPr>
        <w:rPr>
          <w:lang w:val="es-ES"/>
        </w:rPr>
      </w:pPr>
      <w:r>
        <w:rPr>
          <w:lang w:val="es-ES"/>
        </w:rPr>
        <w:t>La</w:t>
      </w:r>
      <w:r w:rsidRPr="00502F21">
        <w:rPr>
          <w:lang w:val="es-ES"/>
        </w:rPr>
        <w:t xml:space="preserve"> revisión de una norma clave de la UIT proporciona interfaces de línea coherentes DWDM 100G interoperables con múltiples proveedores. Las interfaces </w:t>
      </w:r>
      <w:r>
        <w:rPr>
          <w:lang w:val="es-ES"/>
        </w:rPr>
        <w:t>normalizadas</w:t>
      </w:r>
      <w:r w:rsidRPr="00502F21">
        <w:rPr>
          <w:lang w:val="es-ES"/>
        </w:rPr>
        <w:t xml:space="preserve"> acelerarán la innovación de la industria para lograr una mayor capacidad en las redes de metro.</w:t>
      </w:r>
      <w:r w:rsidR="00655325" w:rsidRPr="00502F21">
        <w:rPr>
          <w:lang w:val="es-ES"/>
        </w:rPr>
        <w:t xml:space="preserve"> </w:t>
      </w:r>
    </w:p>
    <w:p w14:paraId="7F9DDA79" w14:textId="247D7CBE" w:rsidR="00502F21" w:rsidRPr="00502F21" w:rsidRDefault="00502F21" w:rsidP="00CC4F8F">
      <w:pPr>
        <w:rPr>
          <w:lang w:val="es-ES"/>
        </w:rPr>
      </w:pPr>
      <w:r w:rsidRPr="00502F21">
        <w:rPr>
          <w:lang w:val="es-ES"/>
        </w:rPr>
        <w:t>Las nuevas normas de la UIT tienen por objeto ofrecer servicios de banda ancha de alta velocidad a las comunidades rurales con un cable óptico ligero y apto para terabits que pued</w:t>
      </w:r>
      <w:r w:rsidR="00CC4F8F">
        <w:rPr>
          <w:lang w:val="es-ES"/>
        </w:rPr>
        <w:t>an</w:t>
      </w:r>
      <w:r w:rsidRPr="00502F21">
        <w:rPr>
          <w:lang w:val="es-ES"/>
        </w:rPr>
        <w:t xml:space="preserve"> desplegarse en la superficie terrestre con un gasto mínimo y un impacto medioambiental mínimo.</w:t>
      </w:r>
    </w:p>
    <w:p w14:paraId="6D5CE2F1" w14:textId="3A01A280" w:rsidR="00CC4F8F" w:rsidRPr="00CC4F8F" w:rsidRDefault="00CC4F8F" w:rsidP="00CC4F8F">
      <w:pPr>
        <w:rPr>
          <w:lang w:val="es-ES"/>
        </w:rPr>
      </w:pPr>
      <w:r w:rsidRPr="00CC4F8F">
        <w:rPr>
          <w:lang w:val="es-ES"/>
        </w:rPr>
        <w:t xml:space="preserve">Una nueva norma de la UIT proporciona criterios para la evaluación del impacto </w:t>
      </w:r>
      <w:r>
        <w:rPr>
          <w:lang w:val="es-ES"/>
        </w:rPr>
        <w:t>medio</w:t>
      </w:r>
      <w:r w:rsidRPr="00CC4F8F">
        <w:rPr>
          <w:lang w:val="es-ES"/>
        </w:rPr>
        <w:t xml:space="preserve">ambiental de los teléfonos móviles. Otra nueva norma de la UIT proporciona directrices y sistemas de certificación para </w:t>
      </w:r>
      <w:r>
        <w:rPr>
          <w:lang w:val="es-ES"/>
        </w:rPr>
        <w:t>las empresas que reciclan</w:t>
      </w:r>
      <w:r w:rsidRPr="00CC4F8F">
        <w:rPr>
          <w:lang w:val="es-ES"/>
        </w:rPr>
        <w:t xml:space="preserve"> desechos electrónicos.</w:t>
      </w:r>
    </w:p>
    <w:p w14:paraId="621BF2BA" w14:textId="5AB74487" w:rsidR="005D7147" w:rsidRPr="005D7147" w:rsidRDefault="005D7147" w:rsidP="005D7147">
      <w:pPr>
        <w:rPr>
          <w:lang w:val="es-ES"/>
        </w:rPr>
      </w:pPr>
      <w:r w:rsidRPr="005D7147">
        <w:rPr>
          <w:lang w:val="es-ES"/>
        </w:rPr>
        <w:t xml:space="preserve">Dos nuevas normas </w:t>
      </w:r>
      <w:r>
        <w:rPr>
          <w:lang w:val="es-ES"/>
        </w:rPr>
        <w:t>de la UIT</w:t>
      </w:r>
      <w:r w:rsidRPr="005D7147">
        <w:rPr>
          <w:lang w:val="es-ES"/>
        </w:rPr>
        <w:t xml:space="preserve"> </w:t>
      </w:r>
      <w:r>
        <w:rPr>
          <w:lang w:val="es-ES"/>
        </w:rPr>
        <w:t>tienen por objeto</w:t>
      </w:r>
      <w:r w:rsidRPr="005D7147">
        <w:rPr>
          <w:lang w:val="es-ES"/>
        </w:rPr>
        <w:t xml:space="preserve"> superar las limitaciones de seguridad de las contraseñas, abordando la autentificación biométrica en dispositivos móviles y la utilización de </w:t>
      </w:r>
      <w:proofErr w:type="spellStart"/>
      <w:r w:rsidRPr="005D7147">
        <w:rPr>
          <w:lang w:val="es-ES"/>
        </w:rPr>
        <w:t>autentificadores</w:t>
      </w:r>
      <w:proofErr w:type="spellEnd"/>
      <w:r w:rsidRPr="005D7147">
        <w:rPr>
          <w:lang w:val="es-ES"/>
        </w:rPr>
        <w:t xml:space="preserve"> externos, tales como los dispositivos móviles, para autentificar a usuarios de la web</w:t>
      </w:r>
      <w:r>
        <w:rPr>
          <w:lang w:val="es-ES"/>
        </w:rPr>
        <w:t xml:space="preserve">. Las especificaciones fueron presentadas a la UIT por </w:t>
      </w:r>
      <w:r w:rsidRPr="005D7147">
        <w:rPr>
          <w:lang w:val="es-ES"/>
        </w:rPr>
        <w:t>la FIDO Alliance (</w:t>
      </w:r>
      <w:r w:rsidR="00A37C78">
        <w:rPr>
          <w:lang w:val="es-ES"/>
        </w:rPr>
        <w:t>"</w:t>
      </w:r>
      <w:proofErr w:type="spellStart"/>
      <w:r w:rsidRPr="005D7147">
        <w:rPr>
          <w:lang w:val="es-ES"/>
        </w:rPr>
        <w:t>Fast</w:t>
      </w:r>
      <w:proofErr w:type="spellEnd"/>
      <w:r w:rsidRPr="005D7147">
        <w:rPr>
          <w:lang w:val="es-ES"/>
        </w:rPr>
        <w:t xml:space="preserve"> </w:t>
      </w:r>
      <w:proofErr w:type="spellStart"/>
      <w:r w:rsidRPr="005D7147">
        <w:rPr>
          <w:lang w:val="es-ES"/>
        </w:rPr>
        <w:t>Identity</w:t>
      </w:r>
      <w:proofErr w:type="spellEnd"/>
      <w:r w:rsidRPr="005D7147">
        <w:rPr>
          <w:lang w:val="es-ES"/>
        </w:rPr>
        <w:t xml:space="preserve"> Online</w:t>
      </w:r>
      <w:r w:rsidR="00A37C78">
        <w:rPr>
          <w:lang w:val="es-ES"/>
        </w:rPr>
        <w:t>"</w:t>
      </w:r>
      <w:r w:rsidRPr="005D7147">
        <w:rPr>
          <w:lang w:val="es-ES"/>
        </w:rPr>
        <w:t>)</w:t>
      </w:r>
      <w:r>
        <w:rPr>
          <w:lang w:val="es-ES"/>
        </w:rPr>
        <w:t>.</w:t>
      </w:r>
    </w:p>
    <w:p w14:paraId="5C6AA887" w14:textId="2628949F" w:rsidR="004178F8" w:rsidRPr="005D7147" w:rsidRDefault="005D7147" w:rsidP="002815AD">
      <w:pPr>
        <w:rPr>
          <w:lang w:val="es-ES"/>
        </w:rPr>
      </w:pPr>
      <w:r>
        <w:rPr>
          <w:lang w:val="es-ES"/>
        </w:rPr>
        <w:t>En d</w:t>
      </w:r>
      <w:r w:rsidRPr="005D7147">
        <w:rPr>
          <w:lang w:val="es-ES"/>
        </w:rPr>
        <w:t>os nuevas normas de l</w:t>
      </w:r>
      <w:r>
        <w:rPr>
          <w:lang w:val="es-ES"/>
        </w:rPr>
        <w:t xml:space="preserve">a UIT se aborda la relación entre la </w:t>
      </w:r>
      <w:proofErr w:type="spellStart"/>
      <w:r w:rsidR="004178F8" w:rsidRPr="005D7147">
        <w:rPr>
          <w:lang w:val="es-ES"/>
        </w:rPr>
        <w:t>QoS</w:t>
      </w:r>
      <w:proofErr w:type="spellEnd"/>
      <w:r w:rsidR="004178F8" w:rsidRPr="005D7147">
        <w:rPr>
          <w:lang w:val="es-ES"/>
        </w:rPr>
        <w:t xml:space="preserve"> </w:t>
      </w:r>
      <w:r w:rsidRPr="005D7147">
        <w:rPr>
          <w:lang w:val="es-ES"/>
        </w:rPr>
        <w:t>d</w:t>
      </w:r>
      <w:r>
        <w:rPr>
          <w:lang w:val="es-ES"/>
        </w:rPr>
        <w:t xml:space="preserve">e voz y el modo de reserva con conmutación de circuitos </w:t>
      </w:r>
      <w:r w:rsidR="004178F8" w:rsidRPr="005D7147">
        <w:rPr>
          <w:lang w:val="es-ES"/>
        </w:rPr>
        <w:t xml:space="preserve">4G, </w:t>
      </w:r>
      <w:r>
        <w:rPr>
          <w:lang w:val="es-ES"/>
        </w:rPr>
        <w:t xml:space="preserve">y las mejores prácticas para la medición de la </w:t>
      </w:r>
      <w:proofErr w:type="spellStart"/>
      <w:r w:rsidR="004178F8" w:rsidRPr="005D7147">
        <w:rPr>
          <w:lang w:val="es-ES"/>
        </w:rPr>
        <w:t>QoS</w:t>
      </w:r>
      <w:proofErr w:type="spellEnd"/>
      <w:r w:rsidR="004178F8" w:rsidRPr="005D7147">
        <w:rPr>
          <w:lang w:val="es-ES"/>
        </w:rPr>
        <w:t xml:space="preserve"> </w:t>
      </w:r>
      <w:r>
        <w:rPr>
          <w:lang w:val="es-ES"/>
        </w:rPr>
        <w:t>en las redes móviles</w:t>
      </w:r>
      <w:r w:rsidR="004178F8" w:rsidRPr="005D7147">
        <w:rPr>
          <w:lang w:val="es-ES"/>
        </w:rPr>
        <w:t xml:space="preserve">. </w:t>
      </w:r>
      <w:r w:rsidRPr="005D7147">
        <w:rPr>
          <w:lang w:val="es-ES"/>
        </w:rPr>
        <w:t>En una norma revisada de la UIT</w:t>
      </w:r>
      <w:r w:rsidR="004178F8" w:rsidRPr="005D7147">
        <w:rPr>
          <w:lang w:val="es-ES"/>
        </w:rPr>
        <w:t xml:space="preserve"> </w:t>
      </w:r>
      <w:r w:rsidRPr="005D7147">
        <w:rPr>
          <w:lang w:val="es-ES"/>
        </w:rPr>
        <w:t xml:space="preserve">se detallan los </w:t>
      </w:r>
      <w:r>
        <w:rPr>
          <w:lang w:val="es-ES"/>
        </w:rPr>
        <w:t xml:space="preserve">factores que influyen en la </w:t>
      </w:r>
      <w:proofErr w:type="spellStart"/>
      <w:r>
        <w:rPr>
          <w:lang w:val="es-ES"/>
        </w:rPr>
        <w:t>QoS</w:t>
      </w:r>
      <w:proofErr w:type="spellEnd"/>
      <w:r>
        <w:rPr>
          <w:lang w:val="es-ES"/>
        </w:rPr>
        <w:t xml:space="preserve"> de extremo a extremo para la voz por redes </w:t>
      </w:r>
      <w:r w:rsidR="004178F8" w:rsidRPr="005D7147">
        <w:rPr>
          <w:lang w:val="es-ES"/>
        </w:rPr>
        <w:t xml:space="preserve">4G. </w:t>
      </w:r>
      <w:r w:rsidRPr="005D7147">
        <w:rPr>
          <w:lang w:val="es-ES"/>
        </w:rPr>
        <w:t xml:space="preserve">El modelo </w:t>
      </w:r>
      <w:r w:rsidR="004178F8" w:rsidRPr="005D7147">
        <w:rPr>
          <w:lang w:val="es-ES"/>
        </w:rPr>
        <w:t xml:space="preserve">E, </w:t>
      </w:r>
      <w:r w:rsidRPr="005D7147">
        <w:rPr>
          <w:lang w:val="es-ES"/>
        </w:rPr>
        <w:t>que soporta la transmisión de voz de</w:t>
      </w:r>
      <w:r>
        <w:rPr>
          <w:lang w:val="es-ES"/>
        </w:rPr>
        <w:t xml:space="preserve"> gran calidad</w:t>
      </w:r>
      <w:r w:rsidR="004178F8" w:rsidRPr="005D7147">
        <w:rPr>
          <w:lang w:val="es-ES"/>
        </w:rPr>
        <w:t xml:space="preserve">, </w:t>
      </w:r>
      <w:r w:rsidR="002815AD">
        <w:rPr>
          <w:lang w:val="es-ES"/>
        </w:rPr>
        <w:t xml:space="preserve">se aplica ahora a la banda ancha </w:t>
      </w:r>
      <w:r w:rsidR="004178F8" w:rsidRPr="005D7147">
        <w:rPr>
          <w:lang w:val="es-ES"/>
        </w:rPr>
        <w:t>(50-7</w:t>
      </w:r>
      <w:r w:rsidR="00A37C78">
        <w:rPr>
          <w:lang w:val="es-ES"/>
        </w:rPr>
        <w:t> </w:t>
      </w:r>
      <w:r w:rsidR="004178F8" w:rsidRPr="005D7147">
        <w:rPr>
          <w:lang w:val="es-ES"/>
        </w:rPr>
        <w:t xml:space="preserve">000 Hz) </w:t>
      </w:r>
      <w:r w:rsidR="002815AD">
        <w:rPr>
          <w:lang w:val="es-ES"/>
        </w:rPr>
        <w:t>y a toda la banda</w:t>
      </w:r>
      <w:r w:rsidR="004178F8" w:rsidRPr="005D7147">
        <w:rPr>
          <w:lang w:val="es-ES"/>
        </w:rPr>
        <w:t xml:space="preserve"> (20-20</w:t>
      </w:r>
      <w:r w:rsidR="00A37C78">
        <w:rPr>
          <w:lang w:val="es-ES"/>
        </w:rPr>
        <w:t> </w:t>
      </w:r>
      <w:r w:rsidR="004178F8" w:rsidRPr="005D7147">
        <w:rPr>
          <w:lang w:val="es-ES"/>
        </w:rPr>
        <w:t xml:space="preserve">000 Hz). </w:t>
      </w:r>
    </w:p>
    <w:p w14:paraId="7DDC867F" w14:textId="1679CFB8" w:rsidR="002815AD" w:rsidRDefault="005C4EC5" w:rsidP="005C4EC5">
      <w:pPr>
        <w:rPr>
          <w:lang w:val="es-ES"/>
        </w:rPr>
      </w:pPr>
      <w:r>
        <w:rPr>
          <w:lang w:val="es-ES"/>
        </w:rPr>
        <w:t>Tres</w:t>
      </w:r>
      <w:r w:rsidRPr="005C4EC5">
        <w:rPr>
          <w:lang w:val="es-ES"/>
        </w:rPr>
        <w:t xml:space="preserve"> nuevas normas de la UIT atañen a </w:t>
      </w:r>
      <w:r>
        <w:rPr>
          <w:lang w:val="es-ES"/>
        </w:rPr>
        <w:t xml:space="preserve">cuestiones económicas y políticas pertinentes respecto de las comunicaciones internacionales, en particular </w:t>
      </w:r>
      <w:r w:rsidRPr="005C4EC5">
        <w:rPr>
          <w:lang w:val="es-ES"/>
        </w:rPr>
        <w:t>la relación entre los operadores de red y los proveedores de servicios superpuestos (OTT), la competencia en los servicios móviles financieros y los principios para un formato unificado de precios/tarifas/tasas para el intercambio de tráfico telefónico</w:t>
      </w:r>
      <w:r>
        <w:rPr>
          <w:lang w:val="es-ES"/>
        </w:rPr>
        <w:t>.</w:t>
      </w:r>
    </w:p>
    <w:p w14:paraId="4F017C5F" w14:textId="6B775189" w:rsidR="00655325" w:rsidRPr="005C4EC5" w:rsidRDefault="005C4EC5" w:rsidP="005C4EC5">
      <w:pPr>
        <w:rPr>
          <w:lang w:val="es-ES"/>
        </w:rPr>
      </w:pPr>
      <w:r w:rsidRPr="005C4EC5">
        <w:rPr>
          <w:lang w:val="es-ES"/>
        </w:rPr>
        <w:t>Una nueva norma de la UIT describe un marco para luchar contra la falsificación de dispositivos TIC</w:t>
      </w:r>
      <w:r w:rsidR="00655325" w:rsidRPr="005C4EC5">
        <w:rPr>
          <w:lang w:val="es-ES"/>
        </w:rPr>
        <w:t xml:space="preserve">, </w:t>
      </w:r>
      <w:r w:rsidRPr="005C4EC5">
        <w:rPr>
          <w:lang w:val="es-ES"/>
        </w:rPr>
        <w:t>y</w:t>
      </w:r>
      <w:r>
        <w:rPr>
          <w:lang w:val="es-ES"/>
        </w:rPr>
        <w:t xml:space="preserve"> proporciona el marco de referencia y los requisitos que deben tenerse en cuenta a la hora de aplicar soluciones a la lucha contra la circulación y utilización de dispositivos TIC falsificados</w:t>
      </w:r>
      <w:r w:rsidR="00655325" w:rsidRPr="005C4EC5">
        <w:rPr>
          <w:lang w:val="es-ES"/>
        </w:rPr>
        <w:t>.</w:t>
      </w:r>
    </w:p>
    <w:p w14:paraId="070D250D" w14:textId="4576CF8D" w:rsidR="00655325" w:rsidRPr="005C4EC5" w:rsidRDefault="005C4EC5" w:rsidP="005C4EC5">
      <w:pPr>
        <w:rPr>
          <w:lang w:val="es-ES"/>
        </w:rPr>
      </w:pPr>
      <w:r w:rsidRPr="005C4EC5">
        <w:rPr>
          <w:lang w:val="es-ES"/>
        </w:rPr>
        <w:t xml:space="preserve">La UIT ha creado una nueva base de datos sobre normas para ayudar a armonizar las </w:t>
      </w:r>
      <w:r>
        <w:rPr>
          <w:lang w:val="es-ES"/>
        </w:rPr>
        <w:t xml:space="preserve">normas relativas a los sistemas de transporte inteligente </w:t>
      </w:r>
      <w:r w:rsidR="00655325" w:rsidRPr="005C4EC5">
        <w:rPr>
          <w:lang w:val="es-ES"/>
        </w:rPr>
        <w:t xml:space="preserve">(ITS). </w:t>
      </w:r>
      <w:r w:rsidRPr="005C4EC5">
        <w:rPr>
          <w:lang w:val="es-ES"/>
        </w:rPr>
        <w:t xml:space="preserve">Esa base de datos incluye normas </w:t>
      </w:r>
      <w:r w:rsidR="00655325" w:rsidRPr="005C4EC5">
        <w:rPr>
          <w:lang w:val="es-ES"/>
        </w:rPr>
        <w:t xml:space="preserve">ITS </w:t>
      </w:r>
      <w:r w:rsidRPr="005C4EC5">
        <w:rPr>
          <w:lang w:val="es-ES"/>
        </w:rPr>
        <w:t>elaboradas por todas las entidades normativas pertinentes</w:t>
      </w:r>
      <w:r w:rsidR="00655325" w:rsidRPr="005C4EC5">
        <w:rPr>
          <w:lang w:val="es-ES"/>
        </w:rPr>
        <w:t xml:space="preserve">, </w:t>
      </w:r>
      <w:r w:rsidRPr="005C4EC5">
        <w:rPr>
          <w:lang w:val="es-ES"/>
        </w:rPr>
        <w:t>y</w:t>
      </w:r>
      <w:r>
        <w:rPr>
          <w:lang w:val="es-ES"/>
        </w:rPr>
        <w:t xml:space="preserve"> supone una referencia para</w:t>
      </w:r>
      <w:r w:rsidRPr="005C4EC5">
        <w:rPr>
          <w:lang w:val="es-ES"/>
        </w:rPr>
        <w:t xml:space="preserve"> tod</w:t>
      </w:r>
      <w:r>
        <w:rPr>
          <w:lang w:val="es-ES"/>
        </w:rPr>
        <w:t>as las normas que soportan vehículos conectados y la conducción automatizada</w:t>
      </w:r>
      <w:r w:rsidR="00655325" w:rsidRPr="005C4EC5">
        <w:rPr>
          <w:lang w:val="es-ES"/>
        </w:rPr>
        <w:t>.</w:t>
      </w:r>
    </w:p>
    <w:p w14:paraId="1E5323B7" w14:textId="056F0FAB" w:rsidR="00655325" w:rsidRPr="00170E76" w:rsidRDefault="00655325" w:rsidP="00170E76">
      <w:pPr>
        <w:rPr>
          <w:lang w:val="es-ES"/>
        </w:rPr>
      </w:pPr>
      <w:r w:rsidRPr="005C4EC5">
        <w:rPr>
          <w:lang w:val="es-ES"/>
        </w:rPr>
        <w:lastRenderedPageBreak/>
        <w:t>T</w:t>
      </w:r>
      <w:r w:rsidR="005C4EC5" w:rsidRPr="005C4EC5">
        <w:rPr>
          <w:lang w:val="es-ES"/>
        </w:rPr>
        <w:t>res Grupos Temáticos del UIT</w:t>
      </w:r>
      <w:r w:rsidRPr="005C4EC5">
        <w:rPr>
          <w:lang w:val="es-ES"/>
        </w:rPr>
        <w:t>-T ha</w:t>
      </w:r>
      <w:r w:rsidR="005C4EC5">
        <w:rPr>
          <w:lang w:val="es-ES"/>
        </w:rPr>
        <w:t>n concluido sus actividades</w:t>
      </w:r>
      <w:r w:rsidRPr="005C4EC5">
        <w:rPr>
          <w:lang w:val="es-ES"/>
        </w:rPr>
        <w:t xml:space="preserve">. </w:t>
      </w:r>
      <w:r w:rsidR="00170E76" w:rsidRPr="00170E76">
        <w:rPr>
          <w:lang w:val="es-ES"/>
        </w:rPr>
        <w:t>El Grupo Temático del UIT-T so</w:t>
      </w:r>
      <w:r w:rsidR="00170E76">
        <w:rPr>
          <w:lang w:val="es-ES"/>
        </w:rPr>
        <w:t xml:space="preserve">bre </w:t>
      </w:r>
      <w:r w:rsidR="00F01782">
        <w:rPr>
          <w:lang w:val="es-ES"/>
        </w:rPr>
        <w:t>"</w:t>
      </w:r>
      <w:r w:rsidR="005C4EC5" w:rsidRPr="00170E76">
        <w:rPr>
          <w:lang w:val="es-ES"/>
        </w:rPr>
        <w:t>Tratamiento y gestión de datos de IoT y ciudades y comunidades inteligentes</w:t>
      </w:r>
      <w:r w:rsidR="00F01782">
        <w:rPr>
          <w:lang w:val="es-ES"/>
        </w:rPr>
        <w:t>"</w:t>
      </w:r>
      <w:r w:rsidRPr="00170E76">
        <w:rPr>
          <w:lang w:val="es-ES"/>
        </w:rPr>
        <w:t xml:space="preserve"> </w:t>
      </w:r>
      <w:r w:rsidR="00170E76">
        <w:rPr>
          <w:lang w:val="es-ES"/>
        </w:rPr>
        <w:t>presentó sus conclusiones a la Comisión de Estudio 20 del UIT-T</w:t>
      </w:r>
      <w:r w:rsidRPr="00170E76">
        <w:rPr>
          <w:lang w:val="es-ES"/>
        </w:rPr>
        <w:t xml:space="preserve">. </w:t>
      </w:r>
      <w:r w:rsidR="00170E76" w:rsidRPr="00170E76">
        <w:rPr>
          <w:lang w:val="es-ES"/>
        </w:rPr>
        <w:t xml:space="preserve">Las </w:t>
      </w:r>
      <w:r w:rsidR="003B49C7" w:rsidRPr="00170E76">
        <w:rPr>
          <w:lang w:val="es-ES"/>
        </w:rPr>
        <w:t>conclusiones</w:t>
      </w:r>
      <w:r w:rsidR="00170E76" w:rsidRPr="00170E76">
        <w:rPr>
          <w:lang w:val="es-ES"/>
        </w:rPr>
        <w:t xml:space="preserve"> de los Grupos Temáticos del UIT-T sobre </w:t>
      </w:r>
      <w:r w:rsidR="00F01782">
        <w:rPr>
          <w:lang w:val="es-ES"/>
        </w:rPr>
        <w:t>"</w:t>
      </w:r>
      <w:r w:rsidR="00170E76" w:rsidRPr="00170E76">
        <w:rPr>
          <w:lang w:val="es-ES"/>
        </w:rPr>
        <w:t>Moneda digital, incluida la moneda fiduciaria digita</w:t>
      </w:r>
      <w:r w:rsidR="00170E76">
        <w:rPr>
          <w:lang w:val="es-ES"/>
        </w:rPr>
        <w:t>l</w:t>
      </w:r>
      <w:r w:rsidR="00F01782">
        <w:rPr>
          <w:lang w:val="es-ES"/>
        </w:rPr>
        <w:t>"</w:t>
      </w:r>
      <w:r w:rsidRPr="00170E76">
        <w:rPr>
          <w:lang w:val="es-ES"/>
        </w:rPr>
        <w:t xml:space="preserve"> </w:t>
      </w:r>
      <w:r w:rsidR="00170E76">
        <w:rPr>
          <w:lang w:val="es-ES"/>
        </w:rPr>
        <w:t xml:space="preserve">y </w:t>
      </w:r>
      <w:r w:rsidR="00F01782">
        <w:rPr>
          <w:lang w:val="es-ES"/>
        </w:rPr>
        <w:t>"</w:t>
      </w:r>
      <w:r w:rsidRPr="00170E76">
        <w:rPr>
          <w:lang w:val="es-ES"/>
        </w:rPr>
        <w:t>Aplic</w:t>
      </w:r>
      <w:r w:rsidR="00170E76">
        <w:rPr>
          <w:lang w:val="es-ES"/>
        </w:rPr>
        <w:t>ac</w:t>
      </w:r>
      <w:r w:rsidRPr="00170E76">
        <w:rPr>
          <w:lang w:val="es-ES"/>
        </w:rPr>
        <w:t>i</w:t>
      </w:r>
      <w:r w:rsidR="00170E76">
        <w:rPr>
          <w:lang w:val="es-ES"/>
        </w:rPr>
        <w:t>ó</w:t>
      </w:r>
      <w:r w:rsidRPr="00170E76">
        <w:rPr>
          <w:lang w:val="es-ES"/>
        </w:rPr>
        <w:t xml:space="preserve">n </w:t>
      </w:r>
      <w:r w:rsidR="00170E76">
        <w:rPr>
          <w:lang w:val="es-ES"/>
        </w:rPr>
        <w:t>de tecnologías de libro mayo distribuido</w:t>
      </w:r>
      <w:r w:rsidR="00F01782">
        <w:rPr>
          <w:lang w:val="es-ES"/>
        </w:rPr>
        <w:t>"</w:t>
      </w:r>
      <w:r w:rsidRPr="00170E76">
        <w:rPr>
          <w:lang w:val="es-ES"/>
        </w:rPr>
        <w:t xml:space="preserve"> </w:t>
      </w:r>
      <w:r w:rsidR="00170E76">
        <w:rPr>
          <w:lang w:val="es-ES"/>
        </w:rPr>
        <w:t>se sometieron a la consideración de esta reunión del GANT</w:t>
      </w:r>
      <w:r w:rsidRPr="00170E76">
        <w:rPr>
          <w:lang w:val="es-ES"/>
        </w:rPr>
        <w:t xml:space="preserve">. </w:t>
      </w:r>
    </w:p>
    <w:p w14:paraId="768DDB99" w14:textId="26CE62F0" w:rsidR="00655325" w:rsidRPr="00EA6961" w:rsidRDefault="00D01947" w:rsidP="00F01782">
      <w:pPr>
        <w:pStyle w:val="Headingb"/>
        <w:rPr>
          <w:i/>
          <w:iCs/>
          <w:lang w:val="es-ES"/>
        </w:rPr>
      </w:pPr>
      <w:r w:rsidRPr="00EA6961">
        <w:rPr>
          <w:i/>
          <w:iCs/>
          <w:lang w:val="es-ES"/>
        </w:rPr>
        <w:t>Apoyo a la colaboración</w:t>
      </w:r>
      <w:r w:rsidR="00655325" w:rsidRPr="00EA6961">
        <w:rPr>
          <w:i/>
          <w:iCs/>
          <w:lang w:val="es-ES"/>
        </w:rPr>
        <w:t xml:space="preserve"> </w:t>
      </w:r>
    </w:p>
    <w:p w14:paraId="3B2E7EA8" w14:textId="3BCB697B" w:rsidR="00655325" w:rsidRPr="00D01947" w:rsidRDefault="00D01947" w:rsidP="00D01947">
      <w:pPr>
        <w:rPr>
          <w:lang w:val="es-ES"/>
        </w:rPr>
      </w:pPr>
      <w:r w:rsidRPr="00D01947">
        <w:rPr>
          <w:lang w:val="es-ES"/>
        </w:rPr>
        <w:t>La UIT y la Universidad de</w:t>
      </w:r>
      <w:r w:rsidR="00655325" w:rsidRPr="00D01947">
        <w:rPr>
          <w:lang w:val="es-ES"/>
        </w:rPr>
        <w:t xml:space="preserve"> Stanford, </w:t>
      </w:r>
      <w:r w:rsidRPr="00D01947">
        <w:rPr>
          <w:lang w:val="es-ES"/>
        </w:rPr>
        <w:t>una nueva institución académica miembro de la UIT</w:t>
      </w:r>
      <w:r w:rsidR="00655325" w:rsidRPr="00D01947">
        <w:rPr>
          <w:lang w:val="es-ES"/>
        </w:rPr>
        <w:t>, ha</w:t>
      </w:r>
      <w:r w:rsidRPr="00D01947">
        <w:rPr>
          <w:lang w:val="es-ES"/>
        </w:rPr>
        <w:t xml:space="preserve">n acordado iniciar una </w:t>
      </w:r>
      <w:r>
        <w:rPr>
          <w:lang w:val="es-ES"/>
        </w:rPr>
        <w:t>alianza</w:t>
      </w:r>
      <w:r w:rsidRPr="00D01947">
        <w:rPr>
          <w:lang w:val="es-ES"/>
        </w:rPr>
        <w:t xml:space="preserve"> para apoyar la </w:t>
      </w:r>
      <w:r>
        <w:rPr>
          <w:lang w:val="es-ES"/>
        </w:rPr>
        <w:t>implantación piloto de moneda fiduciaria digital, una moneda digital autorizada y emitida por un Banco Central</w:t>
      </w:r>
      <w:r w:rsidR="00655325" w:rsidRPr="00D01947">
        <w:rPr>
          <w:lang w:val="es-ES"/>
        </w:rPr>
        <w:t xml:space="preserve">. </w:t>
      </w:r>
      <w:r w:rsidRPr="00D01947">
        <w:rPr>
          <w:lang w:val="es-ES"/>
        </w:rPr>
        <w:t>Esa alianza responde a un llamamiento he</w:t>
      </w:r>
      <w:r>
        <w:rPr>
          <w:lang w:val="es-ES"/>
        </w:rPr>
        <w:t xml:space="preserve">cho por los participantes en el Grupo Temático del UIT-T sobre </w:t>
      </w:r>
      <w:r w:rsidR="00885434">
        <w:rPr>
          <w:lang w:val="es-ES"/>
        </w:rPr>
        <w:t>"</w:t>
      </w:r>
      <w:r w:rsidR="00170E76" w:rsidRPr="00D01947">
        <w:rPr>
          <w:lang w:val="es-ES"/>
        </w:rPr>
        <w:t>Moneda digital, incluida la moneda fiduciaria digital</w:t>
      </w:r>
      <w:r w:rsidR="00885434">
        <w:rPr>
          <w:lang w:val="es-ES"/>
        </w:rPr>
        <w:t>"</w:t>
      </w:r>
      <w:r w:rsidR="00655325" w:rsidRPr="00D01947">
        <w:rPr>
          <w:lang w:val="es-ES"/>
        </w:rPr>
        <w:t xml:space="preserve"> </w:t>
      </w:r>
      <w:r>
        <w:rPr>
          <w:lang w:val="es-ES"/>
        </w:rPr>
        <w:t>en favor de un nuevo foro para proseguir su labor</w:t>
      </w:r>
      <w:r w:rsidR="00655325" w:rsidRPr="00D01947">
        <w:rPr>
          <w:lang w:val="es-ES"/>
        </w:rPr>
        <w:t xml:space="preserve">. </w:t>
      </w:r>
    </w:p>
    <w:p w14:paraId="01BDD976" w14:textId="0396762A" w:rsidR="00655325" w:rsidRPr="00D01947" w:rsidRDefault="009344D2" w:rsidP="00D01947">
      <w:pPr>
        <w:rPr>
          <w:lang w:val="es-ES"/>
        </w:rPr>
      </w:pPr>
      <w:r w:rsidRPr="009344D2">
        <w:rPr>
          <w:lang w:val="es-ES"/>
        </w:rPr>
        <w:t xml:space="preserve">Más de </w:t>
      </w:r>
      <w:r w:rsidR="00D01947">
        <w:rPr>
          <w:lang w:val="es-ES"/>
        </w:rPr>
        <w:t>10</w:t>
      </w:r>
      <w:r w:rsidRPr="009344D2">
        <w:rPr>
          <w:lang w:val="es-ES"/>
        </w:rPr>
        <w:t xml:space="preserve">0 ciudades de todo el mundo están midiendo su evolución con los "Indicadores fundamentales de rendimiento para ciudades inteligentes y sostenibles", basados en normas de la UIT, que son los indicadores </w:t>
      </w:r>
      <w:r w:rsidR="00D01947">
        <w:rPr>
          <w:lang w:val="es-ES"/>
        </w:rPr>
        <w:t xml:space="preserve">promovidos </w:t>
      </w:r>
      <w:r w:rsidRPr="009344D2">
        <w:rPr>
          <w:lang w:val="es-ES"/>
        </w:rPr>
        <w:t>por la</w:t>
      </w:r>
      <w:r w:rsidR="00885434">
        <w:rPr>
          <w:lang w:val="es-ES"/>
        </w:rPr>
        <w:t xml:space="preserve"> iniciativa</w:t>
      </w:r>
      <w:r w:rsidRPr="009344D2">
        <w:rPr>
          <w:lang w:val="es-ES"/>
        </w:rPr>
        <w:t xml:space="preserve"> "</w:t>
      </w:r>
      <w:hyperlink r:id="rId13" w:history="1">
        <w:r w:rsidRPr="00D01947">
          <w:rPr>
            <w:rStyle w:val="Hyperlink"/>
            <w:lang w:val="es-ES"/>
          </w:rPr>
          <w:t>Unidos para las ciudades inteligentes y sostenibles (U4SSC)</w:t>
        </w:r>
      </w:hyperlink>
      <w:r w:rsidRPr="009344D2">
        <w:rPr>
          <w:lang w:val="es-ES"/>
        </w:rPr>
        <w:t>"</w:t>
      </w:r>
      <w:r w:rsidR="00655325" w:rsidRPr="009344D2">
        <w:rPr>
          <w:lang w:val="es-ES"/>
        </w:rPr>
        <w:t xml:space="preserve">. </w:t>
      </w:r>
      <w:r w:rsidR="00D01947" w:rsidRPr="00D01947">
        <w:rPr>
          <w:lang w:val="es-ES"/>
        </w:rPr>
        <w:t>En el marco de los estudios de caso de la UIT se han evaluado los progresos logrados en los proyec</w:t>
      </w:r>
      <w:r w:rsidR="00D01947">
        <w:rPr>
          <w:lang w:val="es-ES"/>
        </w:rPr>
        <w:t xml:space="preserve">tos de ciudad inteligente de </w:t>
      </w:r>
      <w:r w:rsidR="003B49C7" w:rsidRPr="00D01947">
        <w:rPr>
          <w:lang w:val="es-ES"/>
        </w:rPr>
        <w:t>Dubái</w:t>
      </w:r>
      <w:r w:rsidR="00655325" w:rsidRPr="00D01947">
        <w:rPr>
          <w:lang w:val="es-ES"/>
        </w:rPr>
        <w:t>, Singap</w:t>
      </w:r>
      <w:r w:rsidR="00D01947">
        <w:rPr>
          <w:lang w:val="es-ES"/>
        </w:rPr>
        <w:t>u</w:t>
      </w:r>
      <w:r w:rsidR="00655325" w:rsidRPr="00D01947">
        <w:rPr>
          <w:lang w:val="es-ES"/>
        </w:rPr>
        <w:t xml:space="preserve">r </w:t>
      </w:r>
      <w:r w:rsidR="00D01947">
        <w:rPr>
          <w:lang w:val="es-ES"/>
        </w:rPr>
        <w:t>y Moscú</w:t>
      </w:r>
      <w:r w:rsidR="00655325" w:rsidRPr="00D01947">
        <w:rPr>
          <w:lang w:val="es-ES"/>
        </w:rPr>
        <w:t xml:space="preserve">, </w:t>
      </w:r>
      <w:r w:rsidR="00D01947">
        <w:rPr>
          <w:lang w:val="es-ES"/>
        </w:rPr>
        <w:t>evaluaciones que se llevaron a cabo usando los indicadores fundamentales de rendimiento</w:t>
      </w:r>
      <w:r w:rsidR="00655325" w:rsidRPr="00D01947">
        <w:rPr>
          <w:lang w:val="es-ES"/>
        </w:rPr>
        <w:t>.</w:t>
      </w:r>
    </w:p>
    <w:p w14:paraId="6B4C42F4" w14:textId="422EE53B" w:rsidR="00655325" w:rsidRPr="00B45BD9" w:rsidRDefault="00B04C1E" w:rsidP="00523360">
      <w:pPr>
        <w:rPr>
          <w:lang w:val="es-ES"/>
        </w:rPr>
      </w:pPr>
      <w:r w:rsidRPr="00B04C1E">
        <w:rPr>
          <w:lang w:val="es-ES"/>
        </w:rPr>
        <w:t>El</w:t>
      </w:r>
      <w:r w:rsidR="00655325" w:rsidRPr="00B04C1E">
        <w:rPr>
          <w:lang w:val="es-ES"/>
        </w:rPr>
        <w:t xml:space="preserve"> </w:t>
      </w:r>
      <w:hyperlink r:id="rId14" w:history="1">
        <w:r w:rsidR="00655325" w:rsidRPr="00B04C1E">
          <w:rPr>
            <w:rStyle w:val="Hyperlink"/>
            <w:lang w:val="es-ES"/>
          </w:rPr>
          <w:t>n</w:t>
        </w:r>
        <w:r w:rsidRPr="00B04C1E">
          <w:rPr>
            <w:rStyle w:val="Hyperlink"/>
            <w:lang w:val="es-ES"/>
          </w:rPr>
          <w:t xml:space="preserve">uevo conjunto de herramientas de la iniciativa </w:t>
        </w:r>
        <w:r w:rsidR="00885434">
          <w:rPr>
            <w:rStyle w:val="Hyperlink"/>
            <w:lang w:val="es-ES"/>
          </w:rPr>
          <w:t>"</w:t>
        </w:r>
        <w:r w:rsidRPr="00B04C1E">
          <w:rPr>
            <w:rStyle w:val="Hyperlink"/>
            <w:lang w:val="es-ES"/>
          </w:rPr>
          <w:t>Escuchar sin riesgos</w:t>
        </w:r>
        <w:r w:rsidR="00885434">
          <w:rPr>
            <w:rStyle w:val="Hyperlink"/>
            <w:lang w:val="es-ES"/>
          </w:rPr>
          <w:t>"</w:t>
        </w:r>
        <w:r w:rsidRPr="00B04C1E">
          <w:rPr>
            <w:rStyle w:val="Hyperlink"/>
            <w:lang w:val="es-ES"/>
          </w:rPr>
          <w:t xml:space="preserve"> de la UIT/OMS</w:t>
        </w:r>
      </w:hyperlink>
      <w:r w:rsidR="00655325" w:rsidRPr="00B04C1E">
        <w:rPr>
          <w:lang w:val="es-ES"/>
        </w:rPr>
        <w:t xml:space="preserve"> </w:t>
      </w:r>
      <w:r w:rsidRPr="00B04C1E">
        <w:rPr>
          <w:lang w:val="es-ES"/>
        </w:rPr>
        <w:t xml:space="preserve">ofrece orientaciones prácticas pertinentes </w:t>
      </w:r>
      <w:r>
        <w:rPr>
          <w:lang w:val="es-ES"/>
        </w:rPr>
        <w:t xml:space="preserve">en relación con la adopción de la norma de la UIT sobre la audición segura de </w:t>
      </w:r>
      <w:r w:rsidR="00885434">
        <w:rPr>
          <w:lang w:val="es-ES"/>
        </w:rPr>
        <w:t>"</w:t>
      </w:r>
      <w:r>
        <w:rPr>
          <w:lang w:val="es-ES"/>
        </w:rPr>
        <w:t>sistemas de audio personales o portátiles</w:t>
      </w:r>
      <w:r w:rsidR="00885434">
        <w:rPr>
          <w:lang w:val="es-ES"/>
        </w:rPr>
        <w:t>"</w:t>
      </w:r>
      <w:r w:rsidR="00655325" w:rsidRPr="00B04C1E">
        <w:rPr>
          <w:lang w:val="es-ES"/>
        </w:rPr>
        <w:t xml:space="preserve"> (</w:t>
      </w:r>
      <w:r>
        <w:rPr>
          <w:lang w:val="es-ES"/>
        </w:rPr>
        <w:t>en particular, reproductores de música</w:t>
      </w:r>
      <w:r w:rsidR="00655325" w:rsidRPr="00B04C1E">
        <w:rPr>
          <w:lang w:val="es-ES"/>
        </w:rPr>
        <w:t xml:space="preserve">), </w:t>
      </w:r>
      <w:r>
        <w:rPr>
          <w:lang w:val="es-ES"/>
        </w:rPr>
        <w:t>e</w:t>
      </w:r>
      <w:r w:rsidR="00655325" w:rsidRPr="00B04C1E">
        <w:rPr>
          <w:lang w:val="es-ES"/>
        </w:rPr>
        <w:t xml:space="preserve">n </w:t>
      </w:r>
      <w:r>
        <w:rPr>
          <w:lang w:val="es-ES"/>
        </w:rPr>
        <w:t xml:space="preserve">apoyo </w:t>
      </w:r>
      <w:r w:rsidR="00B45BD9">
        <w:rPr>
          <w:lang w:val="es-ES"/>
        </w:rPr>
        <w:t xml:space="preserve">de la iniciativa </w:t>
      </w:r>
      <w:r w:rsidR="00885434">
        <w:rPr>
          <w:lang w:val="es-ES"/>
        </w:rPr>
        <w:t>"</w:t>
      </w:r>
      <w:r w:rsidR="00B45BD9">
        <w:rPr>
          <w:lang w:val="es-ES"/>
        </w:rPr>
        <w:t>Escuchar sin riesgos</w:t>
      </w:r>
      <w:r w:rsidR="00885434">
        <w:rPr>
          <w:lang w:val="es-ES"/>
        </w:rPr>
        <w:t>"</w:t>
      </w:r>
      <w:r w:rsidR="00655325" w:rsidRPr="00B04C1E">
        <w:rPr>
          <w:lang w:val="es-ES"/>
        </w:rPr>
        <w:t xml:space="preserve"> </w:t>
      </w:r>
      <w:r w:rsidR="00B45BD9">
        <w:rPr>
          <w:lang w:val="es-ES"/>
        </w:rPr>
        <w:t>de la OMS</w:t>
      </w:r>
      <w:r w:rsidR="00655325" w:rsidRPr="00B04C1E">
        <w:rPr>
          <w:lang w:val="es-ES"/>
        </w:rPr>
        <w:t xml:space="preserve">. </w:t>
      </w:r>
      <w:r w:rsidR="00B45BD9" w:rsidRPr="00B45BD9">
        <w:rPr>
          <w:lang w:val="es-ES"/>
        </w:rPr>
        <w:t>Además</w:t>
      </w:r>
      <w:r w:rsidR="00655325" w:rsidRPr="00B45BD9">
        <w:rPr>
          <w:lang w:val="es-ES"/>
        </w:rPr>
        <w:t xml:space="preserve">, </w:t>
      </w:r>
      <w:r w:rsidR="00B45BD9" w:rsidRPr="00B45BD9">
        <w:rPr>
          <w:lang w:val="es-ES"/>
        </w:rPr>
        <w:t>un</w:t>
      </w:r>
      <w:r w:rsidR="00655325" w:rsidRPr="00B45BD9">
        <w:rPr>
          <w:lang w:val="es-ES"/>
        </w:rPr>
        <w:t>a n</w:t>
      </w:r>
      <w:r w:rsidR="00B45BD9" w:rsidRPr="00B45BD9">
        <w:rPr>
          <w:lang w:val="es-ES"/>
        </w:rPr>
        <w:t xml:space="preserve">ueva norma de la UIT ofrece directrices </w:t>
      </w:r>
      <w:r w:rsidR="00B45BD9">
        <w:rPr>
          <w:lang w:val="es-ES"/>
        </w:rPr>
        <w:t>para la audición segura</w:t>
      </w:r>
      <w:r w:rsidR="00523360">
        <w:rPr>
          <w:lang w:val="es-ES"/>
        </w:rPr>
        <w:t xml:space="preserve"> a través de reproductores de sonido</w:t>
      </w:r>
      <w:r w:rsidR="00523360" w:rsidRPr="00523360">
        <w:rPr>
          <w:lang w:val="es-ES"/>
        </w:rPr>
        <w:t xml:space="preserve"> </w:t>
      </w:r>
      <w:r w:rsidR="00523360">
        <w:rPr>
          <w:lang w:val="es-ES"/>
        </w:rPr>
        <w:t>personales</w:t>
      </w:r>
      <w:r w:rsidR="00655325" w:rsidRPr="00B45BD9">
        <w:rPr>
          <w:lang w:val="es-ES"/>
        </w:rPr>
        <w:t>.</w:t>
      </w:r>
    </w:p>
    <w:p w14:paraId="67B18898" w14:textId="753181CB" w:rsidR="00655325" w:rsidRPr="00635A90" w:rsidRDefault="00635A90" w:rsidP="00E935C3">
      <w:pPr>
        <w:rPr>
          <w:lang w:val="es-ES"/>
        </w:rPr>
      </w:pPr>
      <w:r w:rsidRPr="00635A90">
        <w:rPr>
          <w:lang w:val="es-ES"/>
        </w:rPr>
        <w:t>El UIT</w:t>
      </w:r>
      <w:r w:rsidR="00655325" w:rsidRPr="00635A90">
        <w:rPr>
          <w:lang w:val="es-ES"/>
        </w:rPr>
        <w:t>-T ha</w:t>
      </w:r>
      <w:r w:rsidRPr="00635A90">
        <w:rPr>
          <w:lang w:val="es-ES"/>
        </w:rPr>
        <w:t xml:space="preserve"> finalizado las </w:t>
      </w:r>
      <w:hyperlink r:id="rId15" w:history="1">
        <w:r w:rsidR="00655325" w:rsidRPr="00635A90">
          <w:rPr>
            <w:rStyle w:val="Hyperlink"/>
            <w:lang w:val="es-ES"/>
          </w:rPr>
          <w:t>n</w:t>
        </w:r>
        <w:r w:rsidRPr="00635A90">
          <w:rPr>
            <w:rStyle w:val="Hyperlink"/>
            <w:lang w:val="es-ES"/>
          </w:rPr>
          <w:t>uevas Directrices para las Secretarías Nacionales de Normalización</w:t>
        </w:r>
        <w:r w:rsidR="00655325" w:rsidRPr="00635A90">
          <w:rPr>
            <w:rStyle w:val="Hyperlink"/>
            <w:lang w:val="es-ES"/>
          </w:rPr>
          <w:t xml:space="preserve"> (NSS)</w:t>
        </w:r>
      </w:hyperlink>
      <w:r w:rsidR="00655325" w:rsidRPr="00635A90">
        <w:rPr>
          <w:lang w:val="es-ES"/>
        </w:rPr>
        <w:t>, t</w:t>
      </w:r>
      <w:r>
        <w:rPr>
          <w:lang w:val="es-ES"/>
        </w:rPr>
        <w:t xml:space="preserve">eniendo en cuenta las opiniones presentadas por los Miembros sobre las Directrices publicadas por primera vez en </w:t>
      </w:r>
      <w:r w:rsidR="00655325" w:rsidRPr="00635A90">
        <w:rPr>
          <w:lang w:val="es-ES"/>
        </w:rPr>
        <w:t xml:space="preserve">2014. </w:t>
      </w:r>
      <w:r w:rsidRPr="00635A90">
        <w:rPr>
          <w:lang w:val="es-ES"/>
        </w:rPr>
        <w:t>En las nuevas Directrices se indican varias opciones para elaborar procedimientos y procesos nacionales destinados a respaldar la pa</w:t>
      </w:r>
      <w:r>
        <w:rPr>
          <w:lang w:val="es-ES"/>
        </w:rPr>
        <w:t>rticipación efectiva en el proceso normativo del UIT-T</w:t>
      </w:r>
      <w:r w:rsidR="00655325" w:rsidRPr="00635A90">
        <w:rPr>
          <w:lang w:val="es-ES"/>
        </w:rPr>
        <w:t xml:space="preserve">. </w:t>
      </w:r>
      <w:r w:rsidRPr="00635A90">
        <w:rPr>
          <w:lang w:val="es-ES"/>
        </w:rPr>
        <w:t xml:space="preserve">Las Directrices se elaboraron en el marco del </w:t>
      </w:r>
      <w:hyperlink r:id="rId16" w:history="1">
        <w:r w:rsidRPr="00635A90">
          <w:rPr>
            <w:rStyle w:val="Hyperlink"/>
            <w:lang w:val="es-ES"/>
          </w:rPr>
          <w:t>p</w:t>
        </w:r>
        <w:r>
          <w:rPr>
            <w:rStyle w:val="Hyperlink"/>
            <w:lang w:val="es-ES"/>
          </w:rPr>
          <w:t>rograma</w:t>
        </w:r>
        <w:r w:rsidRPr="00635A90">
          <w:rPr>
            <w:lang w:val="es-ES"/>
          </w:rPr>
          <w:t xml:space="preserve"> </w:t>
        </w:r>
        <w:r w:rsidRPr="00635A90">
          <w:rPr>
            <w:rStyle w:val="Hyperlink"/>
            <w:lang w:val="es-ES"/>
          </w:rPr>
          <w:t>de la UIT</w:t>
        </w:r>
        <w:r>
          <w:rPr>
            <w:rStyle w:val="Hyperlink"/>
            <w:lang w:val="es-ES"/>
          </w:rPr>
          <w:t xml:space="preserve"> de Reducción de la Brecha de Normalización </w:t>
        </w:r>
        <w:r w:rsidR="00655325" w:rsidRPr="00635A90">
          <w:rPr>
            <w:rStyle w:val="Hyperlink"/>
            <w:lang w:val="es-ES"/>
          </w:rPr>
          <w:t>(BSG)</w:t>
        </w:r>
      </w:hyperlink>
      <w:r w:rsidR="00655325" w:rsidRPr="00635A90">
        <w:rPr>
          <w:lang w:val="es-ES"/>
        </w:rPr>
        <w:t>.</w:t>
      </w:r>
    </w:p>
    <w:p w14:paraId="20D22D07" w14:textId="1DBF66D0" w:rsidR="00655325" w:rsidRPr="00C53ED9" w:rsidRDefault="00E935C3" w:rsidP="00C53ED9">
      <w:pPr>
        <w:spacing w:after="120"/>
        <w:rPr>
          <w:szCs w:val="24"/>
          <w:lang w:val="es-ES"/>
        </w:rPr>
      </w:pPr>
      <w:r w:rsidRPr="00E935C3">
        <w:rPr>
          <w:szCs w:val="24"/>
          <w:lang w:val="es-ES"/>
        </w:rPr>
        <w:t xml:space="preserve">La </w:t>
      </w:r>
      <w:r w:rsidR="009344D2" w:rsidRPr="00E935C3">
        <w:rPr>
          <w:szCs w:val="24"/>
          <w:lang w:val="es-ES"/>
        </w:rPr>
        <w:t xml:space="preserve">UIT celebró </w:t>
      </w:r>
      <w:r>
        <w:rPr>
          <w:szCs w:val="24"/>
          <w:lang w:val="es-ES"/>
        </w:rPr>
        <w:t>el</w:t>
      </w:r>
      <w:r w:rsidR="009344D2" w:rsidRPr="00E935C3">
        <w:rPr>
          <w:szCs w:val="24"/>
          <w:lang w:val="es-ES"/>
        </w:rPr>
        <w:t xml:space="preserve"> 50º Aniversario </w:t>
      </w:r>
      <w:r>
        <w:rPr>
          <w:szCs w:val="24"/>
          <w:lang w:val="es-ES"/>
        </w:rPr>
        <w:t>d</w:t>
      </w:r>
      <w:r w:rsidR="009344D2" w:rsidRPr="00E935C3">
        <w:rPr>
          <w:szCs w:val="24"/>
          <w:lang w:val="es-ES"/>
        </w:rPr>
        <w:t xml:space="preserve">el </w:t>
      </w:r>
      <w:hyperlink r:id="rId17" w:history="1">
        <w:r w:rsidR="009344D2" w:rsidRPr="00E935C3">
          <w:rPr>
            <w:rStyle w:val="Hyperlink"/>
            <w:szCs w:val="24"/>
            <w:lang w:val="es-ES"/>
          </w:rPr>
          <w:t>Día Mundial de la Telecomunicaciones y la Sociedad de la Información (DMTSI)</w:t>
        </w:r>
      </w:hyperlink>
      <w:r w:rsidR="009344D2" w:rsidRPr="00E935C3">
        <w:rPr>
          <w:szCs w:val="24"/>
          <w:lang w:val="es-ES"/>
        </w:rPr>
        <w:t xml:space="preserve"> en </w:t>
      </w:r>
      <w:r>
        <w:rPr>
          <w:szCs w:val="24"/>
          <w:lang w:val="es-ES"/>
        </w:rPr>
        <w:t xml:space="preserve">la Sede de la UIT en </w:t>
      </w:r>
      <w:r w:rsidR="009344D2" w:rsidRPr="00E935C3">
        <w:rPr>
          <w:szCs w:val="24"/>
          <w:lang w:val="es-ES"/>
        </w:rPr>
        <w:t>Ginebra</w:t>
      </w:r>
      <w:r w:rsidRPr="00E935C3">
        <w:rPr>
          <w:szCs w:val="24"/>
          <w:lang w:val="es-ES"/>
        </w:rPr>
        <w:t xml:space="preserve"> el </w:t>
      </w:r>
      <w:r w:rsidR="00655325" w:rsidRPr="00E935C3">
        <w:rPr>
          <w:szCs w:val="24"/>
          <w:lang w:val="es-ES"/>
        </w:rPr>
        <w:t xml:space="preserve">17 </w:t>
      </w:r>
      <w:r w:rsidRPr="00E935C3">
        <w:rPr>
          <w:szCs w:val="24"/>
          <w:lang w:val="es-ES"/>
        </w:rPr>
        <w:t xml:space="preserve">de mayo de </w:t>
      </w:r>
      <w:r w:rsidR="00655325" w:rsidRPr="00E935C3">
        <w:rPr>
          <w:szCs w:val="24"/>
          <w:lang w:val="es-ES"/>
        </w:rPr>
        <w:t xml:space="preserve">2019. </w:t>
      </w:r>
      <w:r w:rsidRPr="00D4706C">
        <w:rPr>
          <w:szCs w:val="24"/>
          <w:lang w:val="es-ES"/>
        </w:rPr>
        <w:t xml:space="preserve">El tema del DMTSI de </w:t>
      </w:r>
      <w:r w:rsidR="00655325" w:rsidRPr="00D4706C">
        <w:rPr>
          <w:szCs w:val="24"/>
          <w:lang w:val="es-ES"/>
        </w:rPr>
        <w:t xml:space="preserve">2019 </w:t>
      </w:r>
      <w:r w:rsidRPr="00D4706C">
        <w:rPr>
          <w:szCs w:val="24"/>
          <w:lang w:val="es-ES"/>
        </w:rPr>
        <w:t xml:space="preserve">fue </w:t>
      </w:r>
      <w:r w:rsidR="00655325" w:rsidRPr="00D4706C">
        <w:rPr>
          <w:szCs w:val="24"/>
          <w:lang w:val="es-ES"/>
        </w:rPr>
        <w:t>"</w:t>
      </w:r>
      <w:r w:rsidRPr="00D4706C">
        <w:rPr>
          <w:szCs w:val="24"/>
          <w:lang w:val="es-ES"/>
        </w:rPr>
        <w:t>Reducir la brecha de normalización</w:t>
      </w:r>
      <w:r w:rsidR="00655325" w:rsidRPr="00D4706C">
        <w:rPr>
          <w:szCs w:val="24"/>
          <w:lang w:val="es-ES"/>
        </w:rPr>
        <w:t xml:space="preserve">". </w:t>
      </w:r>
      <w:r w:rsidRPr="00E935C3">
        <w:rPr>
          <w:szCs w:val="24"/>
          <w:lang w:val="es-ES"/>
        </w:rPr>
        <w:t>Las celebraciones del DMTSI incluyeron una mesa redonda sobre la importancia de la</w:t>
      </w:r>
      <w:r>
        <w:rPr>
          <w:szCs w:val="24"/>
          <w:lang w:val="es-ES"/>
        </w:rPr>
        <w:t xml:space="preserve">s normas internacionales inclusivas para la salud </w:t>
      </w:r>
      <w:r w:rsidR="00655325" w:rsidRPr="00E935C3">
        <w:rPr>
          <w:szCs w:val="24"/>
          <w:lang w:val="es-ES"/>
        </w:rPr>
        <w:t xml:space="preserve">digital, </w:t>
      </w:r>
      <w:r>
        <w:rPr>
          <w:szCs w:val="24"/>
          <w:lang w:val="es-ES"/>
        </w:rPr>
        <w:t xml:space="preserve">la inclusión financiera </w:t>
      </w:r>
      <w:r w:rsidR="00655325" w:rsidRPr="00E935C3">
        <w:rPr>
          <w:szCs w:val="24"/>
          <w:lang w:val="es-ES"/>
        </w:rPr>
        <w:t xml:space="preserve">digital, </w:t>
      </w:r>
      <w:r>
        <w:rPr>
          <w:szCs w:val="24"/>
          <w:lang w:val="es-ES"/>
        </w:rPr>
        <w:t>y las ciudades y comunidades inteligentes</w:t>
      </w:r>
      <w:r w:rsidR="00655325" w:rsidRPr="00E935C3">
        <w:rPr>
          <w:szCs w:val="24"/>
          <w:lang w:val="es-ES"/>
        </w:rPr>
        <w:t xml:space="preserve">. </w:t>
      </w:r>
      <w:r w:rsidRPr="00C53ED9">
        <w:rPr>
          <w:szCs w:val="24"/>
          <w:lang w:val="es-ES"/>
        </w:rPr>
        <w:t xml:space="preserve">Se </w:t>
      </w:r>
      <w:r w:rsidR="00C53ED9" w:rsidRPr="00C53ED9">
        <w:rPr>
          <w:szCs w:val="24"/>
          <w:lang w:val="es-ES"/>
        </w:rPr>
        <w:t>homenajeó a seis galardonados por sus importantes contribuciones a la labor de la UIT para reducir la br</w:t>
      </w:r>
      <w:r w:rsidR="00C53ED9">
        <w:rPr>
          <w:szCs w:val="24"/>
          <w:lang w:val="es-ES"/>
        </w:rPr>
        <w:t>echa de normalización</w:t>
      </w:r>
      <w:r w:rsidR="00655325" w:rsidRPr="00C53ED9">
        <w:rPr>
          <w:szCs w:val="24"/>
          <w:lang w:val="es-ES"/>
        </w:rPr>
        <w:t xml:space="preserve">. </w:t>
      </w:r>
    </w:p>
    <w:p w14:paraId="3A16180C" w14:textId="63658082" w:rsidR="00655325" w:rsidRPr="00C53ED9" w:rsidRDefault="00C53ED9" w:rsidP="00C53ED9">
      <w:pPr>
        <w:rPr>
          <w:lang w:val="es-ES"/>
        </w:rPr>
      </w:pPr>
      <w:r w:rsidRPr="00C53ED9">
        <w:rPr>
          <w:lang w:val="es-ES"/>
        </w:rPr>
        <w:t>La 3ª</w:t>
      </w:r>
      <w:r w:rsidR="00655325" w:rsidRPr="00C53ED9">
        <w:rPr>
          <w:lang w:val="es-ES"/>
        </w:rPr>
        <w:t xml:space="preserve"> </w:t>
      </w:r>
      <w:hyperlink r:id="rId18" w:history="1">
        <w:r w:rsidRPr="00C53ED9">
          <w:rPr>
            <w:rStyle w:val="Hyperlink"/>
            <w:lang w:val="es-ES"/>
          </w:rPr>
          <w:t>Cumbre Mundial A</w:t>
        </w:r>
        <w:r w:rsidR="00655325" w:rsidRPr="00C53ED9">
          <w:rPr>
            <w:rStyle w:val="Hyperlink"/>
            <w:lang w:val="es-ES"/>
          </w:rPr>
          <w:t>I for Good</w:t>
        </w:r>
      </w:hyperlink>
      <w:r w:rsidRPr="00C53ED9">
        <w:rPr>
          <w:lang w:val="es-ES"/>
        </w:rPr>
        <w:t xml:space="preserve">, </w:t>
      </w:r>
      <w:r>
        <w:rPr>
          <w:lang w:val="es-ES"/>
        </w:rPr>
        <w:t xml:space="preserve">que se celebró </w:t>
      </w:r>
      <w:r w:rsidRPr="00C53ED9">
        <w:rPr>
          <w:lang w:val="es-ES"/>
        </w:rPr>
        <w:t xml:space="preserve">en Ginebra del </w:t>
      </w:r>
      <w:r w:rsidR="00643F00" w:rsidRPr="00C53ED9">
        <w:rPr>
          <w:lang w:val="es-ES"/>
        </w:rPr>
        <w:t>28</w:t>
      </w:r>
      <w:r w:rsidRPr="00C53ED9">
        <w:rPr>
          <w:lang w:val="es-ES"/>
        </w:rPr>
        <w:t xml:space="preserve"> al </w:t>
      </w:r>
      <w:r w:rsidR="00643F00" w:rsidRPr="00C53ED9">
        <w:rPr>
          <w:lang w:val="es-ES"/>
        </w:rPr>
        <w:t xml:space="preserve">31 </w:t>
      </w:r>
      <w:r w:rsidRPr="00C53ED9">
        <w:rPr>
          <w:lang w:val="es-ES"/>
        </w:rPr>
        <w:t>de</w:t>
      </w:r>
      <w:r>
        <w:rPr>
          <w:lang w:val="es-ES"/>
        </w:rPr>
        <w:t xml:space="preserve"> mayo de </w:t>
      </w:r>
      <w:r w:rsidR="00643F00" w:rsidRPr="00C53ED9">
        <w:rPr>
          <w:lang w:val="es-ES"/>
        </w:rPr>
        <w:t xml:space="preserve">2019, </w:t>
      </w:r>
      <w:r>
        <w:rPr>
          <w:lang w:val="es-ES"/>
        </w:rPr>
        <w:t xml:space="preserve">dio lugar a una </w:t>
      </w:r>
      <w:r w:rsidR="00885434">
        <w:rPr>
          <w:lang w:val="es-ES"/>
        </w:rPr>
        <w:t>"</w:t>
      </w:r>
      <w:r>
        <w:rPr>
          <w:lang w:val="es-ES"/>
        </w:rPr>
        <w:t>I</w:t>
      </w:r>
      <w:r w:rsidR="00655325" w:rsidRPr="00C53ED9">
        <w:rPr>
          <w:lang w:val="es-ES"/>
        </w:rPr>
        <w:t xml:space="preserve">A </w:t>
      </w:r>
      <w:r>
        <w:rPr>
          <w:lang w:val="es-ES"/>
        </w:rPr>
        <w:t>común</w:t>
      </w:r>
      <w:r w:rsidR="00885434">
        <w:rPr>
          <w:lang w:val="es-ES"/>
        </w:rPr>
        <w:t>"</w:t>
      </w:r>
      <w:r w:rsidR="00655325" w:rsidRPr="00C53ED9">
        <w:rPr>
          <w:lang w:val="es-ES"/>
        </w:rPr>
        <w:t xml:space="preserve">, </w:t>
      </w:r>
      <w:r>
        <w:rPr>
          <w:lang w:val="es-ES"/>
        </w:rPr>
        <w:t>un marco de colaboración para lograr un impacto mundial</w:t>
      </w:r>
      <w:r w:rsidR="00655325" w:rsidRPr="00C53ED9">
        <w:rPr>
          <w:lang w:val="es-ES"/>
        </w:rPr>
        <w:t xml:space="preserve">. </w:t>
      </w:r>
      <w:r w:rsidRPr="00C53ED9">
        <w:rPr>
          <w:lang w:val="es-ES"/>
        </w:rPr>
        <w:t>Lo que es común ayudará al desarrollo y la aplicación de la IA en la construcción de soluciones de IA propicias y de va</w:t>
      </w:r>
      <w:r>
        <w:rPr>
          <w:lang w:val="es-ES"/>
        </w:rPr>
        <w:t>nguardia para avanzar con la ayuda de conjuntos de datos compartidos, entornos de puesta a prueba y de simulación</w:t>
      </w:r>
      <w:r w:rsidR="00655325" w:rsidRPr="00C53ED9">
        <w:rPr>
          <w:lang w:val="es-ES"/>
        </w:rPr>
        <w:t xml:space="preserve">, </w:t>
      </w:r>
      <w:r>
        <w:rPr>
          <w:lang w:val="es-ES"/>
        </w:rPr>
        <w:t>modelos IA y programas informáticos conexos, y recursos de almacenamiento y computación</w:t>
      </w:r>
      <w:r w:rsidR="00655325" w:rsidRPr="00C53ED9">
        <w:rPr>
          <w:lang w:val="es-ES"/>
        </w:rPr>
        <w:t>.</w:t>
      </w:r>
    </w:p>
    <w:p w14:paraId="7CA5482B" w14:textId="27B6E1D2" w:rsidR="00655325" w:rsidRPr="00880A4D" w:rsidRDefault="00C53ED9" w:rsidP="00880A4D">
      <w:pPr>
        <w:rPr>
          <w:lang w:val="es-ES"/>
        </w:rPr>
      </w:pPr>
      <w:r>
        <w:rPr>
          <w:bCs/>
          <w:lang w:val="es-ES"/>
        </w:rPr>
        <w:t xml:space="preserve">La </w:t>
      </w:r>
      <w:hyperlink r:id="rId19" w:history="1">
        <w:r w:rsidR="009344D2" w:rsidRPr="00C53ED9">
          <w:rPr>
            <w:rStyle w:val="Hyperlink"/>
            <w:lang w:val="es-ES"/>
          </w:rPr>
          <w:t>Iniciativa Mundial para la Inclusión Financiera (FIGI)</w:t>
        </w:r>
      </w:hyperlink>
      <w:r w:rsidR="00655325" w:rsidRPr="00C53ED9">
        <w:rPr>
          <w:bCs/>
          <w:lang w:val="es-ES"/>
        </w:rPr>
        <w:t xml:space="preserve"> </w:t>
      </w:r>
      <w:r w:rsidR="009344D2" w:rsidRPr="00C53ED9">
        <w:rPr>
          <w:bCs/>
          <w:lang w:val="es-ES"/>
        </w:rPr>
        <w:t xml:space="preserve">es un programa mundial de tres años de actuación colectiva </w:t>
      </w:r>
      <w:r w:rsidR="00880A4D">
        <w:rPr>
          <w:bCs/>
          <w:lang w:val="es-ES"/>
        </w:rPr>
        <w:t xml:space="preserve">que está </w:t>
      </w:r>
      <w:r>
        <w:rPr>
          <w:bCs/>
          <w:lang w:val="es-ES"/>
        </w:rPr>
        <w:t xml:space="preserve">dirigido por la UIT, el Grupo del Banco Mundial y </w:t>
      </w:r>
      <w:r w:rsidR="00880A4D">
        <w:rPr>
          <w:bCs/>
          <w:lang w:val="es-ES"/>
        </w:rPr>
        <w:t xml:space="preserve">el Comité de Pagos e Infraestructura de Mercado, y cuenta con el respaldo de la Fundación Bill &amp; Melinda Gates. </w:t>
      </w:r>
      <w:r w:rsidR="00880A4D" w:rsidRPr="00880A4D">
        <w:rPr>
          <w:bCs/>
          <w:lang w:val="es-ES"/>
        </w:rPr>
        <w:t xml:space="preserve">Esta Iniciativa tiene por objeto </w:t>
      </w:r>
      <w:r w:rsidR="009344D2" w:rsidRPr="00880A4D">
        <w:rPr>
          <w:bCs/>
          <w:lang w:val="es-ES"/>
        </w:rPr>
        <w:t>para potenciar la investigación en finanzas digitales y acelerar la integración financiera digital en los países en desarrollo</w:t>
      </w:r>
      <w:r w:rsidR="00880A4D" w:rsidRPr="00880A4D">
        <w:rPr>
          <w:lang w:val="es-ES"/>
        </w:rPr>
        <w:t>.</w:t>
      </w:r>
      <w:r w:rsidR="00655325" w:rsidRPr="00880A4D">
        <w:rPr>
          <w:lang w:val="es-ES"/>
        </w:rPr>
        <w:t xml:space="preserve"> </w:t>
      </w:r>
      <w:r w:rsidR="00880A4D" w:rsidRPr="00880A4D">
        <w:rPr>
          <w:lang w:val="es-ES"/>
        </w:rPr>
        <w:t xml:space="preserve">El segundo simposio </w:t>
      </w:r>
      <w:r w:rsidR="00655325" w:rsidRPr="00880A4D">
        <w:rPr>
          <w:lang w:val="es-ES"/>
        </w:rPr>
        <w:t xml:space="preserve">FIGI </w:t>
      </w:r>
      <w:r w:rsidR="00880A4D" w:rsidRPr="00880A4D">
        <w:rPr>
          <w:lang w:val="es-ES"/>
        </w:rPr>
        <w:t>se celebró en</w:t>
      </w:r>
      <w:r w:rsidR="00880A4D">
        <w:rPr>
          <w:lang w:val="es-ES"/>
        </w:rPr>
        <w:t xml:space="preserve"> El Cairo</w:t>
      </w:r>
      <w:r w:rsidR="00655325" w:rsidRPr="00880A4D">
        <w:rPr>
          <w:lang w:val="es-ES"/>
        </w:rPr>
        <w:t xml:space="preserve"> </w:t>
      </w:r>
      <w:r w:rsidR="00880A4D">
        <w:rPr>
          <w:lang w:val="es-ES"/>
        </w:rPr>
        <w:t>(</w:t>
      </w:r>
      <w:r w:rsidR="00655325" w:rsidRPr="00880A4D">
        <w:rPr>
          <w:lang w:val="es-ES"/>
        </w:rPr>
        <w:t>Eg</w:t>
      </w:r>
      <w:r w:rsidR="00880A4D">
        <w:rPr>
          <w:lang w:val="es-ES"/>
        </w:rPr>
        <w:t>ip</w:t>
      </w:r>
      <w:r w:rsidR="00655325" w:rsidRPr="00880A4D">
        <w:rPr>
          <w:lang w:val="es-ES"/>
        </w:rPr>
        <w:t>t</w:t>
      </w:r>
      <w:r w:rsidR="00880A4D">
        <w:rPr>
          <w:lang w:val="es-ES"/>
        </w:rPr>
        <w:t xml:space="preserve">o) del </w:t>
      </w:r>
      <w:r w:rsidR="00655325" w:rsidRPr="00880A4D">
        <w:rPr>
          <w:lang w:val="es-ES"/>
        </w:rPr>
        <w:t>22</w:t>
      </w:r>
      <w:r w:rsidR="00880A4D">
        <w:rPr>
          <w:lang w:val="es-ES"/>
        </w:rPr>
        <w:t xml:space="preserve"> al </w:t>
      </w:r>
      <w:r w:rsidR="00655325" w:rsidRPr="00880A4D">
        <w:rPr>
          <w:lang w:val="es-ES"/>
        </w:rPr>
        <w:t xml:space="preserve">24 </w:t>
      </w:r>
      <w:r w:rsidR="00880A4D">
        <w:rPr>
          <w:lang w:val="es-ES"/>
        </w:rPr>
        <w:t xml:space="preserve">de enero de </w:t>
      </w:r>
      <w:r w:rsidR="00655325" w:rsidRPr="00880A4D">
        <w:rPr>
          <w:lang w:val="es-ES"/>
        </w:rPr>
        <w:t xml:space="preserve">2019. </w:t>
      </w:r>
    </w:p>
    <w:p w14:paraId="6BCE8238" w14:textId="61D4B104" w:rsidR="00655325" w:rsidRPr="00880A4D" w:rsidRDefault="00880A4D" w:rsidP="00880A4D">
      <w:pPr>
        <w:rPr>
          <w:lang w:val="es-ES"/>
        </w:rPr>
      </w:pPr>
      <w:r>
        <w:rPr>
          <w:lang w:val="es-ES"/>
        </w:rPr>
        <w:lastRenderedPageBreak/>
        <w:t>La 10ª edición de</w:t>
      </w:r>
      <w:r w:rsidR="009344D2" w:rsidRPr="009344D2">
        <w:rPr>
          <w:lang w:val="es-ES"/>
        </w:rPr>
        <w:t>l Caleidoscopio</w:t>
      </w:r>
      <w:r>
        <w:rPr>
          <w:lang w:val="es-ES"/>
        </w:rPr>
        <w:t xml:space="preserve">, </w:t>
      </w:r>
      <w:hyperlink r:id="rId20" w:history="1">
        <w:r w:rsidRPr="00880A4D">
          <w:rPr>
            <w:rStyle w:val="Hyperlink"/>
            <w:lang w:val="es-ES"/>
          </w:rPr>
          <w:t>Caleidoscopio</w:t>
        </w:r>
        <w:r w:rsidR="009344D2" w:rsidRPr="00880A4D">
          <w:rPr>
            <w:rStyle w:val="Hyperlink"/>
            <w:lang w:val="es-ES"/>
          </w:rPr>
          <w:t xml:space="preserve"> 2018</w:t>
        </w:r>
        <w:r w:rsidRPr="00880A4D">
          <w:rPr>
            <w:rStyle w:val="Hyperlink"/>
            <w:lang w:val="es-ES"/>
          </w:rPr>
          <w:t>:</w:t>
        </w:r>
        <w:r w:rsidR="009344D2" w:rsidRPr="00880A4D">
          <w:rPr>
            <w:rStyle w:val="Hyperlink"/>
            <w:lang w:val="es-ES"/>
          </w:rPr>
          <w:t xml:space="preserve"> "Aprendizaje automático para un futuro en 5G"</w:t>
        </w:r>
      </w:hyperlink>
      <w:r w:rsidR="009344D2" w:rsidRPr="009344D2">
        <w:rPr>
          <w:lang w:val="es-ES"/>
        </w:rPr>
        <w:t>, se celebr</w:t>
      </w:r>
      <w:r>
        <w:rPr>
          <w:lang w:val="es-ES"/>
        </w:rPr>
        <w:t>ó</w:t>
      </w:r>
      <w:r w:rsidR="009344D2" w:rsidRPr="009344D2">
        <w:rPr>
          <w:lang w:val="es-ES"/>
        </w:rPr>
        <w:t xml:space="preserve"> en Santa Fe </w:t>
      </w:r>
      <w:r>
        <w:rPr>
          <w:lang w:val="es-ES"/>
        </w:rPr>
        <w:t>(</w:t>
      </w:r>
      <w:r w:rsidR="009344D2" w:rsidRPr="009344D2">
        <w:rPr>
          <w:lang w:val="es-ES"/>
        </w:rPr>
        <w:t>Argentina</w:t>
      </w:r>
      <w:r>
        <w:rPr>
          <w:lang w:val="es-ES"/>
        </w:rPr>
        <w:t>)</w:t>
      </w:r>
      <w:r w:rsidR="009344D2" w:rsidRPr="009344D2">
        <w:rPr>
          <w:lang w:val="es-ES"/>
        </w:rPr>
        <w:t xml:space="preserve"> del 26 al 28 de noviembre de 2018, y </w:t>
      </w:r>
      <w:r>
        <w:rPr>
          <w:lang w:val="es-ES"/>
        </w:rPr>
        <w:t>fue</w:t>
      </w:r>
      <w:r w:rsidR="009344D2" w:rsidRPr="009344D2">
        <w:rPr>
          <w:lang w:val="es-ES"/>
        </w:rPr>
        <w:t xml:space="preserve"> acogid</w:t>
      </w:r>
      <w:r>
        <w:rPr>
          <w:lang w:val="es-ES"/>
        </w:rPr>
        <w:t>a</w:t>
      </w:r>
      <w:r w:rsidR="009344D2" w:rsidRPr="009344D2">
        <w:rPr>
          <w:lang w:val="es-ES"/>
        </w:rPr>
        <w:t xml:space="preserve"> por la Universidad Tecnológica Nacional. </w:t>
      </w:r>
      <w:r w:rsidRPr="00880A4D">
        <w:rPr>
          <w:lang w:val="es-ES"/>
        </w:rPr>
        <w:t xml:space="preserve">El trabajo ganador, que fue redactado por investigadores del Instituto Nacional de </w:t>
      </w:r>
      <w:r>
        <w:rPr>
          <w:lang w:val="es-ES"/>
        </w:rPr>
        <w:t xml:space="preserve">Tecnologías de la Información y la Comunicación del </w:t>
      </w:r>
      <w:r w:rsidR="00655325" w:rsidRPr="00880A4D">
        <w:rPr>
          <w:lang w:val="es-ES"/>
        </w:rPr>
        <w:t>Jap</w:t>
      </w:r>
      <w:r>
        <w:rPr>
          <w:lang w:val="es-ES"/>
        </w:rPr>
        <w:t>ó</w:t>
      </w:r>
      <w:r w:rsidR="00655325" w:rsidRPr="00880A4D">
        <w:rPr>
          <w:lang w:val="es-ES"/>
        </w:rPr>
        <w:t xml:space="preserve">n, </w:t>
      </w:r>
      <w:r>
        <w:rPr>
          <w:lang w:val="es-ES"/>
        </w:rPr>
        <w:t>destacó el potencial del aprendizaje automático</w:t>
      </w:r>
      <w:r w:rsidR="00655325" w:rsidRPr="00880A4D">
        <w:rPr>
          <w:lang w:val="es-ES"/>
        </w:rPr>
        <w:t xml:space="preserve"> </w:t>
      </w:r>
      <w:r>
        <w:rPr>
          <w:lang w:val="es-ES"/>
        </w:rPr>
        <w:t>para soportar la segmentación automática de la red</w:t>
      </w:r>
      <w:r w:rsidR="00655325" w:rsidRPr="00880A4D">
        <w:rPr>
          <w:lang w:val="es-ES"/>
        </w:rPr>
        <w:t xml:space="preserve">. </w:t>
      </w:r>
    </w:p>
    <w:p w14:paraId="6C668E0F" w14:textId="29502274" w:rsidR="00655325" w:rsidRPr="002C78A8" w:rsidRDefault="002C78A8" w:rsidP="002C78A8">
      <w:pPr>
        <w:rPr>
          <w:lang w:val="es-ES"/>
        </w:rPr>
      </w:pPr>
      <w:r w:rsidRPr="002C78A8">
        <w:rPr>
          <w:lang w:val="es-ES"/>
        </w:rPr>
        <w:t>En un número e</w:t>
      </w:r>
      <w:r w:rsidR="00655325" w:rsidRPr="002C78A8">
        <w:rPr>
          <w:lang w:val="es-ES"/>
        </w:rPr>
        <w:t xml:space="preserve">special </w:t>
      </w:r>
      <w:r w:rsidRPr="002C78A8">
        <w:rPr>
          <w:lang w:val="es-ES"/>
        </w:rPr>
        <w:t xml:space="preserve">de la </w:t>
      </w:r>
      <w:r w:rsidR="00F47373">
        <w:rPr>
          <w:lang w:val="es-ES"/>
        </w:rPr>
        <w:t>revista</w:t>
      </w:r>
      <w:r w:rsidRPr="002C78A8">
        <w:rPr>
          <w:lang w:val="es-ES"/>
        </w:rPr>
        <w:t xml:space="preserve"> de la UIT dedicado al tema </w:t>
      </w:r>
      <w:r w:rsidR="00F47373" w:rsidRPr="00F47373">
        <w:rPr>
          <w:rStyle w:val="Hyperlink"/>
          <w:lang w:val="es-ES"/>
        </w:rPr>
        <w:t>"</w:t>
      </w:r>
      <w:hyperlink r:id="rId21" w:history="1">
        <w:r w:rsidR="00655325" w:rsidRPr="002C78A8">
          <w:rPr>
            <w:rStyle w:val="Hyperlink"/>
            <w:lang w:val="es-ES"/>
          </w:rPr>
          <w:t>Dat</w:t>
        </w:r>
        <w:r w:rsidRPr="002C78A8">
          <w:rPr>
            <w:rStyle w:val="Hyperlink"/>
            <w:lang w:val="es-ES"/>
          </w:rPr>
          <w:t>os para el</w:t>
        </w:r>
        <w:r>
          <w:rPr>
            <w:rStyle w:val="Hyperlink"/>
            <w:lang w:val="es-ES"/>
          </w:rPr>
          <w:t xml:space="preserve"> bien</w:t>
        </w:r>
      </w:hyperlink>
      <w:r w:rsidR="00F47373">
        <w:rPr>
          <w:rStyle w:val="Hyperlink"/>
          <w:lang w:val="es-ES"/>
        </w:rPr>
        <w:t>"</w:t>
      </w:r>
      <w:r>
        <w:rPr>
          <w:lang w:val="es-ES"/>
        </w:rPr>
        <w:t xml:space="preserve"> se publicaron ponencias académicas originales sobre los desafíos técnicos, empresariales y de política subyacentes a la gestión y el análisis efectivos de datos</w:t>
      </w:r>
      <w:r w:rsidR="00655325" w:rsidRPr="002C78A8">
        <w:rPr>
          <w:lang w:val="es-ES"/>
        </w:rPr>
        <w:t xml:space="preserve">. </w:t>
      </w:r>
      <w:r w:rsidRPr="002C78A8">
        <w:rPr>
          <w:lang w:val="es-ES"/>
        </w:rPr>
        <w:t>En los próximos números especiales se abordará</w:t>
      </w:r>
      <w:r>
        <w:rPr>
          <w:lang w:val="es-ES"/>
        </w:rPr>
        <w:t xml:space="preserve">n los temas de la propagación de las ondas radioeléctricas y el futuro del vídeo y los medios </w:t>
      </w:r>
      <w:proofErr w:type="spellStart"/>
      <w:r>
        <w:rPr>
          <w:lang w:val="es-ES"/>
        </w:rPr>
        <w:t>inmersivos</w:t>
      </w:r>
      <w:proofErr w:type="spellEnd"/>
      <w:r w:rsidR="00655325" w:rsidRPr="002C78A8">
        <w:rPr>
          <w:lang w:val="es-ES"/>
        </w:rPr>
        <w:t xml:space="preserve">. </w:t>
      </w:r>
    </w:p>
    <w:p w14:paraId="23ACCFD1" w14:textId="77777777" w:rsidR="009344D2" w:rsidRPr="00EA6961" w:rsidRDefault="009344D2" w:rsidP="00885434">
      <w:pPr>
        <w:pStyle w:val="Headingb"/>
        <w:rPr>
          <w:rFonts w:eastAsiaTheme="minorHAnsi"/>
          <w:bCs/>
          <w:i/>
          <w:iCs/>
          <w:lang w:val="es-ES"/>
        </w:rPr>
      </w:pPr>
      <w:r w:rsidRPr="00EA6961">
        <w:rPr>
          <w:rFonts w:eastAsiaTheme="minorHAnsi"/>
          <w:bCs/>
          <w:i/>
          <w:iCs/>
          <w:lang w:val="es-ES"/>
        </w:rPr>
        <w:t xml:space="preserve">Plataforma de normalización de la UIT </w:t>
      </w:r>
    </w:p>
    <w:p w14:paraId="776844CB" w14:textId="08844750" w:rsidR="00655325" w:rsidRPr="001676B5" w:rsidRDefault="001676B5" w:rsidP="001676B5">
      <w:pPr>
        <w:rPr>
          <w:rFonts w:eastAsia="Calibri"/>
          <w:szCs w:val="24"/>
          <w:lang w:val="es-ES"/>
        </w:rPr>
      </w:pPr>
      <w:r w:rsidRPr="001676B5">
        <w:rPr>
          <w:rFonts w:eastAsia="Calibri"/>
          <w:szCs w:val="24"/>
          <w:lang w:val="es-ES"/>
        </w:rPr>
        <w:t xml:space="preserve">El número de </w:t>
      </w:r>
      <w:r w:rsidR="002C78A8" w:rsidRPr="001676B5">
        <w:rPr>
          <w:rFonts w:eastAsia="Calibri"/>
          <w:szCs w:val="24"/>
          <w:lang w:val="es-ES"/>
        </w:rPr>
        <w:t>Miembros del UIT</w:t>
      </w:r>
      <w:r w:rsidR="00655325" w:rsidRPr="001676B5">
        <w:rPr>
          <w:rFonts w:eastAsia="Calibri"/>
          <w:szCs w:val="24"/>
          <w:lang w:val="es-ES"/>
        </w:rPr>
        <w:t>-T ha</w:t>
      </w:r>
      <w:r w:rsidRPr="001676B5">
        <w:rPr>
          <w:rFonts w:eastAsia="Calibri"/>
          <w:szCs w:val="24"/>
          <w:lang w:val="es-ES"/>
        </w:rPr>
        <w:t xml:space="preserve"> seguido aumentando en </w:t>
      </w:r>
      <w:r w:rsidR="00655325" w:rsidRPr="001676B5">
        <w:rPr>
          <w:rFonts w:eastAsia="Calibri"/>
          <w:szCs w:val="24"/>
          <w:lang w:val="es-ES"/>
        </w:rPr>
        <w:t>2019</w:t>
      </w:r>
      <w:r w:rsidR="00A4200D" w:rsidRPr="001676B5">
        <w:rPr>
          <w:rFonts w:eastAsia="Calibri"/>
          <w:szCs w:val="24"/>
          <w:lang w:val="es-ES"/>
        </w:rPr>
        <w:t xml:space="preserve">, </w:t>
      </w:r>
      <w:r w:rsidRPr="001676B5">
        <w:rPr>
          <w:rFonts w:eastAsia="Calibri"/>
          <w:szCs w:val="24"/>
          <w:lang w:val="es-ES"/>
        </w:rPr>
        <w:t>h</w:t>
      </w:r>
      <w:r>
        <w:rPr>
          <w:rFonts w:eastAsia="Calibri"/>
          <w:szCs w:val="24"/>
          <w:lang w:val="es-ES"/>
        </w:rPr>
        <w:t xml:space="preserve">asta lograr que se incorporaran </w:t>
      </w:r>
      <w:r w:rsidR="00A4200D" w:rsidRPr="001676B5">
        <w:rPr>
          <w:rFonts w:eastAsia="Calibri"/>
          <w:szCs w:val="24"/>
          <w:lang w:val="es-ES"/>
        </w:rPr>
        <w:t>22</w:t>
      </w:r>
      <w:r w:rsidR="00655325" w:rsidRPr="001676B5">
        <w:rPr>
          <w:rFonts w:eastAsia="Calibri"/>
          <w:szCs w:val="24"/>
          <w:lang w:val="es-ES"/>
        </w:rPr>
        <w:t xml:space="preserve"> </w:t>
      </w:r>
      <w:r>
        <w:rPr>
          <w:rFonts w:eastAsia="Calibri"/>
          <w:szCs w:val="24"/>
          <w:lang w:val="es-ES"/>
        </w:rPr>
        <w:t xml:space="preserve">nuevos Miembros desde diciembre de </w:t>
      </w:r>
      <w:r w:rsidR="00655325" w:rsidRPr="001676B5">
        <w:rPr>
          <w:rFonts w:eastAsia="Calibri"/>
          <w:szCs w:val="24"/>
          <w:lang w:val="es-ES"/>
        </w:rPr>
        <w:t>2018 (</w:t>
      </w:r>
      <w:r>
        <w:rPr>
          <w:rFonts w:eastAsia="Calibri"/>
          <w:szCs w:val="24"/>
          <w:lang w:val="es-ES"/>
        </w:rPr>
        <w:t>sin incluir a las Instituciones Académicas</w:t>
      </w:r>
      <w:r w:rsidR="00655325" w:rsidRPr="001676B5">
        <w:rPr>
          <w:rFonts w:eastAsia="Calibri"/>
          <w:szCs w:val="24"/>
          <w:lang w:val="es-ES"/>
        </w:rPr>
        <w:t xml:space="preserve">). </w:t>
      </w:r>
      <w:r w:rsidRPr="001676B5">
        <w:rPr>
          <w:rFonts w:eastAsia="Calibri"/>
          <w:szCs w:val="24"/>
          <w:lang w:val="es-ES"/>
        </w:rPr>
        <w:t>Durante este período</w:t>
      </w:r>
      <w:r w:rsidR="00655325" w:rsidRPr="001676B5">
        <w:rPr>
          <w:rFonts w:eastAsia="Calibri"/>
          <w:szCs w:val="24"/>
          <w:lang w:val="es-ES"/>
        </w:rPr>
        <w:t xml:space="preserve">, 14 </w:t>
      </w:r>
      <w:r w:rsidRPr="001676B5">
        <w:rPr>
          <w:rFonts w:eastAsia="Calibri"/>
          <w:szCs w:val="24"/>
          <w:lang w:val="es-ES"/>
        </w:rPr>
        <w:t xml:space="preserve">Miembros de </w:t>
      </w:r>
      <w:r w:rsidR="00655325" w:rsidRPr="001676B5">
        <w:rPr>
          <w:rFonts w:eastAsia="Calibri"/>
          <w:szCs w:val="24"/>
          <w:lang w:val="es-ES"/>
        </w:rPr>
        <w:t xml:space="preserve">Sector </w:t>
      </w:r>
      <w:r w:rsidRPr="001676B5">
        <w:rPr>
          <w:rFonts w:eastAsia="Calibri"/>
          <w:szCs w:val="24"/>
          <w:lang w:val="es-ES"/>
        </w:rPr>
        <w:t>y</w:t>
      </w:r>
      <w:r w:rsidR="00655325" w:rsidRPr="001676B5">
        <w:rPr>
          <w:rFonts w:eastAsia="Calibri"/>
          <w:szCs w:val="24"/>
          <w:lang w:val="es-ES"/>
        </w:rPr>
        <w:t xml:space="preserve"> 26 Asocia</w:t>
      </w:r>
      <w:r w:rsidRPr="001676B5">
        <w:rPr>
          <w:rFonts w:eastAsia="Calibri"/>
          <w:szCs w:val="24"/>
          <w:lang w:val="es-ES"/>
        </w:rPr>
        <w:t>do</w:t>
      </w:r>
      <w:r w:rsidR="00655325" w:rsidRPr="001676B5">
        <w:rPr>
          <w:rFonts w:eastAsia="Calibri"/>
          <w:szCs w:val="24"/>
          <w:lang w:val="es-ES"/>
        </w:rPr>
        <w:t xml:space="preserve">s </w:t>
      </w:r>
      <w:r w:rsidRPr="001676B5">
        <w:rPr>
          <w:rFonts w:eastAsia="Calibri"/>
          <w:szCs w:val="24"/>
          <w:lang w:val="es-ES"/>
        </w:rPr>
        <w:t xml:space="preserve">se han </w:t>
      </w:r>
      <w:r>
        <w:rPr>
          <w:rFonts w:eastAsia="Calibri"/>
          <w:szCs w:val="24"/>
          <w:lang w:val="es-ES"/>
        </w:rPr>
        <w:t>sumado al UIT</w:t>
      </w:r>
      <w:r w:rsidR="00C04690">
        <w:rPr>
          <w:rFonts w:eastAsia="Calibri"/>
          <w:szCs w:val="24"/>
          <w:lang w:val="es-ES"/>
        </w:rPr>
        <w:noBreakHyphen/>
      </w:r>
      <w:r w:rsidR="00655325" w:rsidRPr="001676B5">
        <w:rPr>
          <w:rFonts w:eastAsia="Calibri"/>
          <w:szCs w:val="24"/>
          <w:lang w:val="es-ES"/>
        </w:rPr>
        <w:t xml:space="preserve">T, </w:t>
      </w:r>
      <w:r>
        <w:rPr>
          <w:rFonts w:eastAsia="Calibri"/>
          <w:szCs w:val="24"/>
          <w:lang w:val="es-ES"/>
        </w:rPr>
        <w:t xml:space="preserve">hasta alcanzar un total de </w:t>
      </w:r>
      <w:r w:rsidR="00655325" w:rsidRPr="001676B5">
        <w:rPr>
          <w:rFonts w:eastAsia="Calibri"/>
          <w:szCs w:val="24"/>
          <w:lang w:val="es-ES"/>
        </w:rPr>
        <w:t xml:space="preserve">40 </w:t>
      </w:r>
      <w:r>
        <w:rPr>
          <w:rFonts w:eastAsia="Calibri"/>
          <w:szCs w:val="24"/>
          <w:lang w:val="es-ES"/>
        </w:rPr>
        <w:t>Miembros nuevos</w:t>
      </w:r>
      <w:r w:rsidR="00655325" w:rsidRPr="001676B5">
        <w:rPr>
          <w:rFonts w:eastAsia="Calibri"/>
          <w:szCs w:val="24"/>
          <w:lang w:val="es-ES"/>
        </w:rPr>
        <w:t xml:space="preserve">. </w:t>
      </w:r>
      <w:r w:rsidRPr="001676B5">
        <w:rPr>
          <w:rFonts w:eastAsia="Calibri"/>
          <w:szCs w:val="24"/>
          <w:lang w:val="es-ES"/>
        </w:rPr>
        <w:t>Además</w:t>
      </w:r>
      <w:r w:rsidR="00655325" w:rsidRPr="001676B5">
        <w:rPr>
          <w:rFonts w:eastAsia="Calibri"/>
          <w:szCs w:val="24"/>
          <w:lang w:val="es-ES"/>
        </w:rPr>
        <w:t xml:space="preserve">, </w:t>
      </w:r>
      <w:r w:rsidRPr="001676B5">
        <w:rPr>
          <w:rFonts w:eastAsia="Calibri"/>
          <w:szCs w:val="24"/>
          <w:lang w:val="es-ES"/>
        </w:rPr>
        <w:t xml:space="preserve">se han adherido </w:t>
      </w:r>
      <w:r w:rsidR="00655325" w:rsidRPr="001676B5">
        <w:rPr>
          <w:rFonts w:eastAsia="Calibri"/>
          <w:szCs w:val="24"/>
          <w:lang w:val="es-ES"/>
        </w:rPr>
        <w:t xml:space="preserve">16 </w:t>
      </w:r>
      <w:r w:rsidRPr="001676B5">
        <w:rPr>
          <w:rFonts w:eastAsia="Calibri"/>
          <w:szCs w:val="24"/>
          <w:lang w:val="es-ES"/>
        </w:rPr>
        <w:t xml:space="preserve">nuevas Instituciones Académicas, </w:t>
      </w:r>
      <w:r>
        <w:rPr>
          <w:rFonts w:eastAsia="Calibri"/>
          <w:szCs w:val="24"/>
          <w:lang w:val="es-ES"/>
        </w:rPr>
        <w:t>lo que ha supuesto un incremento neto de cuatro Miembros de Instituciones Académicas</w:t>
      </w:r>
      <w:r w:rsidR="00655325" w:rsidRPr="001676B5">
        <w:rPr>
          <w:rFonts w:eastAsia="Calibri"/>
          <w:szCs w:val="24"/>
          <w:lang w:val="es-ES"/>
        </w:rPr>
        <w:t xml:space="preserve">. </w:t>
      </w:r>
      <w:r w:rsidRPr="001676B5">
        <w:rPr>
          <w:rFonts w:eastAsia="Calibri"/>
          <w:szCs w:val="24"/>
          <w:lang w:val="es-ES"/>
        </w:rPr>
        <w:t>Entre los nuevos Miembros del UIT</w:t>
      </w:r>
      <w:r w:rsidR="00655325" w:rsidRPr="001676B5">
        <w:rPr>
          <w:rFonts w:eastAsia="Calibri"/>
          <w:szCs w:val="24"/>
          <w:lang w:val="es-ES" w:eastAsia="ja-JP"/>
        </w:rPr>
        <w:t xml:space="preserve">-T </w:t>
      </w:r>
      <w:r w:rsidRPr="001676B5">
        <w:rPr>
          <w:rFonts w:eastAsia="Calibri"/>
          <w:szCs w:val="24"/>
          <w:lang w:val="es-ES" w:eastAsia="ja-JP"/>
        </w:rPr>
        <w:t xml:space="preserve">figuran empresas de los sectores de la energía y servicios públicos, transporte marítimo y logística, pagos </w:t>
      </w:r>
      <w:r>
        <w:rPr>
          <w:rFonts w:eastAsia="Calibri"/>
          <w:szCs w:val="24"/>
          <w:lang w:val="es-ES" w:eastAsia="ja-JP"/>
        </w:rPr>
        <w:t>móviles, aplicaciones OTT</w:t>
      </w:r>
      <w:r w:rsidR="00655325" w:rsidRPr="001676B5">
        <w:rPr>
          <w:rFonts w:eastAsia="Calibri"/>
          <w:szCs w:val="24"/>
          <w:lang w:val="es-ES"/>
        </w:rPr>
        <w:t xml:space="preserve">, </w:t>
      </w:r>
      <w:r>
        <w:rPr>
          <w:rFonts w:eastAsia="Calibri"/>
          <w:szCs w:val="24"/>
          <w:lang w:val="es-ES"/>
        </w:rPr>
        <w:t>automoción</w:t>
      </w:r>
      <w:r w:rsidR="00655325" w:rsidRPr="001676B5">
        <w:rPr>
          <w:rFonts w:eastAsia="Calibri"/>
          <w:szCs w:val="24"/>
          <w:lang w:val="es-ES"/>
        </w:rPr>
        <w:t xml:space="preserve">, </w:t>
      </w:r>
      <w:r>
        <w:rPr>
          <w:rFonts w:eastAsia="Calibri"/>
          <w:szCs w:val="24"/>
          <w:lang w:val="es-ES"/>
        </w:rPr>
        <w:t xml:space="preserve">conectividad </w:t>
      </w:r>
      <w:r w:rsidR="00655325" w:rsidRPr="001676B5">
        <w:rPr>
          <w:rFonts w:eastAsia="Calibri"/>
          <w:szCs w:val="24"/>
          <w:lang w:val="es-ES"/>
        </w:rPr>
        <w:t xml:space="preserve">IoT/M2M, </w:t>
      </w:r>
      <w:r>
        <w:rPr>
          <w:rFonts w:eastAsia="Calibri"/>
          <w:szCs w:val="24"/>
          <w:lang w:val="es-ES"/>
        </w:rPr>
        <w:t>tecnologías de contabilidad distribuida</w:t>
      </w:r>
      <w:r w:rsidR="00655325" w:rsidRPr="001676B5">
        <w:rPr>
          <w:rFonts w:eastAsia="Calibri"/>
          <w:szCs w:val="24"/>
          <w:lang w:val="es-ES"/>
        </w:rPr>
        <w:t xml:space="preserve">, </w:t>
      </w:r>
      <w:r>
        <w:rPr>
          <w:rFonts w:eastAsia="Calibri"/>
          <w:szCs w:val="24"/>
          <w:lang w:val="es-ES"/>
        </w:rPr>
        <w:t>comunicaciones cuánticas</w:t>
      </w:r>
      <w:r w:rsidR="00655325" w:rsidRPr="001676B5">
        <w:rPr>
          <w:rFonts w:eastAsia="Calibri"/>
          <w:szCs w:val="24"/>
          <w:lang w:val="es-ES"/>
        </w:rPr>
        <w:t xml:space="preserve">, </w:t>
      </w:r>
      <w:proofErr w:type="spellStart"/>
      <w:r w:rsidR="00655325" w:rsidRPr="001676B5">
        <w:rPr>
          <w:rFonts w:eastAsia="Calibri"/>
          <w:szCs w:val="24"/>
          <w:lang w:val="es-ES"/>
        </w:rPr>
        <w:t>c</w:t>
      </w:r>
      <w:r>
        <w:rPr>
          <w:rFonts w:eastAsia="Calibri"/>
          <w:szCs w:val="24"/>
          <w:lang w:val="es-ES"/>
        </w:rPr>
        <w:t>i</w:t>
      </w:r>
      <w:r w:rsidR="00655325" w:rsidRPr="001676B5">
        <w:rPr>
          <w:rFonts w:eastAsia="Calibri"/>
          <w:szCs w:val="24"/>
          <w:lang w:val="es-ES"/>
        </w:rPr>
        <w:t>berse</w:t>
      </w:r>
      <w:r>
        <w:rPr>
          <w:rFonts w:eastAsia="Calibri"/>
          <w:szCs w:val="24"/>
          <w:lang w:val="es-ES"/>
        </w:rPr>
        <w:t>g</w:t>
      </w:r>
      <w:r w:rsidR="00655325" w:rsidRPr="001676B5">
        <w:rPr>
          <w:rFonts w:eastAsia="Calibri"/>
          <w:szCs w:val="24"/>
          <w:lang w:val="es-ES"/>
        </w:rPr>
        <w:t>uri</w:t>
      </w:r>
      <w:r>
        <w:rPr>
          <w:rFonts w:eastAsia="Calibri"/>
          <w:szCs w:val="24"/>
          <w:lang w:val="es-ES"/>
        </w:rPr>
        <w:t>dad</w:t>
      </w:r>
      <w:proofErr w:type="spellEnd"/>
      <w:r w:rsidR="00655325" w:rsidRPr="001676B5">
        <w:rPr>
          <w:rFonts w:eastAsia="Calibri"/>
          <w:szCs w:val="24"/>
          <w:lang w:val="es-ES"/>
        </w:rPr>
        <w:t xml:space="preserve">, </w:t>
      </w:r>
      <w:r>
        <w:rPr>
          <w:rFonts w:eastAsia="Calibri"/>
          <w:szCs w:val="24"/>
          <w:lang w:val="es-ES"/>
        </w:rPr>
        <w:t>I</w:t>
      </w:r>
      <w:r w:rsidR="00655325" w:rsidRPr="001676B5">
        <w:rPr>
          <w:rFonts w:eastAsia="Calibri"/>
          <w:szCs w:val="24"/>
          <w:lang w:val="es-ES"/>
        </w:rPr>
        <w:t xml:space="preserve">A, </w:t>
      </w:r>
      <w:r>
        <w:rPr>
          <w:rFonts w:eastAsia="Calibri"/>
          <w:szCs w:val="24"/>
          <w:lang w:val="es-ES"/>
        </w:rPr>
        <w:t>y calidad de servicio y experiencia</w:t>
      </w:r>
      <w:r w:rsidR="00655325" w:rsidRPr="001676B5">
        <w:rPr>
          <w:rFonts w:eastAsia="Calibri"/>
          <w:szCs w:val="24"/>
          <w:lang w:val="es-ES"/>
        </w:rPr>
        <w:t xml:space="preserve">. </w:t>
      </w:r>
    </w:p>
    <w:p w14:paraId="7624117C" w14:textId="2636A5C1" w:rsidR="00655325" w:rsidRPr="001676B5" w:rsidRDefault="001676B5" w:rsidP="001676B5">
      <w:pPr>
        <w:rPr>
          <w:lang w:val="es-ES"/>
        </w:rPr>
      </w:pPr>
      <w:r w:rsidRPr="001676B5">
        <w:rPr>
          <w:lang w:val="es-ES"/>
        </w:rPr>
        <w:t>El UIT</w:t>
      </w:r>
      <w:r w:rsidR="00655325" w:rsidRPr="001676B5">
        <w:rPr>
          <w:lang w:val="es-ES"/>
        </w:rPr>
        <w:t>-T ha</w:t>
      </w:r>
      <w:r w:rsidRPr="001676B5">
        <w:rPr>
          <w:lang w:val="es-ES"/>
        </w:rPr>
        <w:t xml:space="preserve"> dado la bienvenida a varios Miembros nuevos del ámbito de las comunicaciones cuánticas, los cu</w:t>
      </w:r>
      <w:r>
        <w:rPr>
          <w:lang w:val="es-ES"/>
        </w:rPr>
        <w:t>ales aspiran a influir en la elaboración de normas de la UIT sobre los aspectos de seguridad y red de las tecnologías de la información cuántica</w:t>
      </w:r>
      <w:r w:rsidR="00655325" w:rsidRPr="001676B5">
        <w:rPr>
          <w:lang w:val="es-ES"/>
        </w:rPr>
        <w:t xml:space="preserve">, </w:t>
      </w:r>
      <w:r>
        <w:rPr>
          <w:lang w:val="es-ES"/>
        </w:rPr>
        <w:t>tecnologías basadas en las propiedades de la física cuántica</w:t>
      </w:r>
      <w:r w:rsidR="00655325" w:rsidRPr="001676B5">
        <w:rPr>
          <w:lang w:val="es-ES"/>
        </w:rPr>
        <w:t>.</w:t>
      </w:r>
    </w:p>
    <w:p w14:paraId="60BFB80F" w14:textId="5D9EEB3B" w:rsidR="00655325" w:rsidRPr="00D4706C" w:rsidRDefault="009D76C2" w:rsidP="005E4B50">
      <w:pPr>
        <w:rPr>
          <w:highlight w:val="yellow"/>
          <w:lang w:val="es-ES"/>
        </w:rPr>
      </w:pPr>
      <w:r w:rsidRPr="005E4B50">
        <w:rPr>
          <w:lang w:val="es-ES"/>
        </w:rPr>
        <w:t xml:space="preserve">Las Comisiones de Estudio </w:t>
      </w:r>
      <w:r w:rsidR="00655325" w:rsidRPr="005E4B50">
        <w:rPr>
          <w:lang w:val="es-ES"/>
        </w:rPr>
        <w:t xml:space="preserve">5, 11, 16 </w:t>
      </w:r>
      <w:r w:rsidRPr="005E4B50">
        <w:rPr>
          <w:lang w:val="es-ES"/>
        </w:rPr>
        <w:t xml:space="preserve">y </w:t>
      </w:r>
      <w:r w:rsidR="00655325" w:rsidRPr="005E4B50">
        <w:rPr>
          <w:lang w:val="es-ES"/>
        </w:rPr>
        <w:t xml:space="preserve">20 </w:t>
      </w:r>
      <w:r w:rsidRPr="005E4B50">
        <w:rPr>
          <w:lang w:val="es-ES"/>
        </w:rPr>
        <w:t xml:space="preserve">del UIT-T han puesto en marcha un proyecto piloto </w:t>
      </w:r>
      <w:r w:rsidR="005E4B50" w:rsidRPr="005E4B50">
        <w:rPr>
          <w:lang w:val="es-ES"/>
        </w:rPr>
        <w:t>p</w:t>
      </w:r>
      <w:r w:rsidR="005E4B50">
        <w:rPr>
          <w:lang w:val="es-ES"/>
        </w:rPr>
        <w:t xml:space="preserve">ara </w:t>
      </w:r>
      <w:r w:rsidR="005E4B50" w:rsidRPr="005E4B50">
        <w:rPr>
          <w:lang w:val="es-ES"/>
        </w:rPr>
        <w:t>aumentar la participación de las pyme</w:t>
      </w:r>
      <w:r w:rsidR="005E4B50">
        <w:rPr>
          <w:lang w:val="es-ES"/>
        </w:rPr>
        <w:t>s</w:t>
      </w:r>
      <w:r w:rsidR="005E4B50" w:rsidRPr="005E4B50">
        <w:rPr>
          <w:lang w:val="es-ES"/>
        </w:rPr>
        <w:t xml:space="preserve"> en la labor de la UIT. La participación de 16 pyme</w:t>
      </w:r>
      <w:r w:rsidR="005E4B50">
        <w:rPr>
          <w:lang w:val="es-ES"/>
        </w:rPr>
        <w:t>s</w:t>
      </w:r>
      <w:r w:rsidR="005E4B50" w:rsidRPr="005E4B50">
        <w:rPr>
          <w:lang w:val="es-ES"/>
        </w:rPr>
        <w:t xml:space="preserve"> en el UIT-T ha sido aprobada por sus administraciones competentes como parte del proyecto piloto.</w:t>
      </w:r>
    </w:p>
    <w:p w14:paraId="3604F496" w14:textId="5A90552F" w:rsidR="00655325" w:rsidRPr="009344D2" w:rsidRDefault="009344D2" w:rsidP="005E4B50">
      <w:pPr>
        <w:rPr>
          <w:lang w:val="es-ES"/>
        </w:rPr>
      </w:pPr>
      <w:r w:rsidRPr="00CD3385">
        <w:rPr>
          <w:lang w:val="es-ES"/>
        </w:rPr>
        <w:t xml:space="preserve">La </w:t>
      </w:r>
      <w:r>
        <w:rPr>
          <w:lang w:val="es-ES"/>
        </w:rPr>
        <w:t>"</w:t>
      </w:r>
      <w:hyperlink r:id="rId22" w:history="1">
        <w:r w:rsidRPr="00CD3385">
          <w:rPr>
            <w:rStyle w:val="Hyperlink"/>
            <w:lang w:val="es-ES"/>
          </w:rPr>
          <w:t>Base de datos de conformidad de productos de TIC</w:t>
        </w:r>
      </w:hyperlink>
      <w:r>
        <w:rPr>
          <w:lang w:val="es-ES"/>
        </w:rPr>
        <w:t>"</w:t>
      </w:r>
      <w:r w:rsidRPr="00CD3385">
        <w:rPr>
          <w:lang w:val="es-ES"/>
        </w:rPr>
        <w:t xml:space="preserve"> permite a la industria dar a conocer la conformidad de los productos y servicios de TIC con las Recomendaciones UIT-T, ayudando así a los usuarios a escoger productos conformes con la normativa. En esta base de datos se reúnen productos para la </w:t>
      </w:r>
      <w:proofErr w:type="spellStart"/>
      <w:r w:rsidRPr="00CD3385">
        <w:rPr>
          <w:lang w:val="es-ES"/>
        </w:rPr>
        <w:t>cibersalud</w:t>
      </w:r>
      <w:proofErr w:type="spellEnd"/>
      <w:r w:rsidRPr="00CD3385">
        <w:rPr>
          <w:lang w:val="es-ES"/>
        </w:rPr>
        <w:t>, teléfonos móviles compatibles con terminales manos libres en vehículos, Ethernet, TVIP y la portabilidad de números móviles</w:t>
      </w:r>
      <w:r w:rsidR="00655325" w:rsidRPr="009344D2">
        <w:rPr>
          <w:lang w:val="es-ES"/>
        </w:rPr>
        <w:t xml:space="preserve">. </w:t>
      </w:r>
    </w:p>
    <w:p w14:paraId="7727EFDC" w14:textId="1C83BF55" w:rsidR="00655325" w:rsidRPr="00FA09B7" w:rsidRDefault="00FA09B7" w:rsidP="005E4B50">
      <w:pPr>
        <w:rPr>
          <w:lang w:val="es-ES"/>
        </w:rPr>
      </w:pPr>
      <w:r w:rsidRPr="00FA09B7">
        <w:rPr>
          <w:lang w:val="es-ES"/>
        </w:rPr>
        <w:t>La diversidad del personal, la igualdad de género y el empoderamiento de la mujer siguen estando entre las prioridades de la TSB</w:t>
      </w:r>
      <w:r w:rsidR="00655325" w:rsidRPr="00FA09B7">
        <w:rPr>
          <w:lang w:val="es-ES"/>
        </w:rPr>
        <w:t xml:space="preserve">. </w:t>
      </w:r>
      <w:r w:rsidR="005E4B50" w:rsidRPr="005E4B50">
        <w:rPr>
          <w:lang w:val="es-ES"/>
        </w:rPr>
        <w:t xml:space="preserve">El </w:t>
      </w:r>
      <w:r w:rsidR="00655325" w:rsidRPr="005E4B50">
        <w:rPr>
          <w:rFonts w:eastAsia="SimSun"/>
          <w:szCs w:val="24"/>
          <w:lang w:val="es-ES"/>
        </w:rPr>
        <w:t xml:space="preserve">60 </w:t>
      </w:r>
      <w:r w:rsidR="005E4B50" w:rsidRPr="005E4B50">
        <w:rPr>
          <w:rFonts w:eastAsia="SimSun"/>
          <w:szCs w:val="24"/>
          <w:lang w:val="es-ES"/>
        </w:rPr>
        <w:t>por ciento de todas las promociones realizadas en la</w:t>
      </w:r>
      <w:r w:rsidR="00655325" w:rsidRPr="005E4B50">
        <w:rPr>
          <w:rFonts w:eastAsia="SimSun"/>
          <w:szCs w:val="24"/>
          <w:lang w:val="es-ES"/>
        </w:rPr>
        <w:t xml:space="preserve"> TSB </w:t>
      </w:r>
      <w:r w:rsidR="005E4B50" w:rsidRPr="005E4B50">
        <w:rPr>
          <w:rFonts w:eastAsia="SimSun"/>
          <w:szCs w:val="24"/>
          <w:lang w:val="es-ES"/>
        </w:rPr>
        <w:t>durante los dos úl</w:t>
      </w:r>
      <w:r w:rsidR="005E4B50">
        <w:rPr>
          <w:rFonts w:eastAsia="SimSun"/>
          <w:szCs w:val="24"/>
          <w:lang w:val="es-ES"/>
        </w:rPr>
        <w:t>timos años se ha concedido a mujeres en la categoría profesional del personal</w:t>
      </w:r>
      <w:r w:rsidR="00655325" w:rsidRPr="005E4B50">
        <w:rPr>
          <w:lang w:val="es-ES"/>
        </w:rPr>
        <w:t xml:space="preserve">. </w:t>
      </w:r>
      <w:r w:rsidRPr="00FA09B7">
        <w:rPr>
          <w:lang w:val="es-ES"/>
        </w:rPr>
        <w:t>La TSB se ha adherido a la iniciativa "</w:t>
      </w:r>
      <w:proofErr w:type="spellStart"/>
      <w:r w:rsidRPr="00FA09B7">
        <w:rPr>
          <w:lang w:val="es-ES"/>
        </w:rPr>
        <w:t>Gender</w:t>
      </w:r>
      <w:proofErr w:type="spellEnd"/>
      <w:r w:rsidRPr="00FA09B7">
        <w:rPr>
          <w:lang w:val="es-ES"/>
        </w:rPr>
        <w:t xml:space="preserve"> </w:t>
      </w:r>
      <w:proofErr w:type="spellStart"/>
      <w:r w:rsidRPr="00FA09B7">
        <w:rPr>
          <w:lang w:val="es-ES"/>
        </w:rPr>
        <w:t>Responsive</w:t>
      </w:r>
      <w:proofErr w:type="spellEnd"/>
      <w:r w:rsidRPr="00FA09B7">
        <w:rPr>
          <w:lang w:val="es-ES"/>
        </w:rPr>
        <w:t xml:space="preserve"> </w:t>
      </w:r>
      <w:proofErr w:type="spellStart"/>
      <w:r w:rsidRPr="00FA09B7">
        <w:rPr>
          <w:lang w:val="es-ES"/>
        </w:rPr>
        <w:t>Standards</w:t>
      </w:r>
      <w:proofErr w:type="spellEnd"/>
      <w:r w:rsidRPr="00FA09B7">
        <w:rPr>
          <w:lang w:val="es-ES"/>
        </w:rPr>
        <w:t>" de la CEPENU, cuyo objetivo e</w:t>
      </w:r>
      <w:r w:rsidR="005E4B50">
        <w:rPr>
          <w:lang w:val="es-ES"/>
        </w:rPr>
        <w:t>s mejorar</w:t>
      </w:r>
      <w:r w:rsidRPr="00FA09B7">
        <w:rPr>
          <w:lang w:val="es-ES"/>
        </w:rPr>
        <w:t xml:space="preserve"> el equilibrio entre hombres y mujeres en el ámbito de la normalización y garantizar que el contenido de las normas y su repercusión al aplicarse responden a la perspectiva de género</w:t>
      </w:r>
      <w:r w:rsidR="005E4B50">
        <w:rPr>
          <w:rFonts w:eastAsia="SimSun"/>
          <w:szCs w:val="24"/>
          <w:lang w:val="es-ES"/>
        </w:rPr>
        <w:t>.</w:t>
      </w:r>
    </w:p>
    <w:p w14:paraId="5229D52A" w14:textId="6BE468FE" w:rsidR="00655325" w:rsidRPr="005E4B50" w:rsidRDefault="005E4B50" w:rsidP="00126057">
      <w:pPr>
        <w:rPr>
          <w:lang w:val="es-ES"/>
        </w:rPr>
      </w:pPr>
      <w:r w:rsidRPr="005E4B50">
        <w:rPr>
          <w:szCs w:val="24"/>
          <w:lang w:val="es-ES"/>
        </w:rPr>
        <w:t xml:space="preserve">La </w:t>
      </w:r>
      <w:r w:rsidR="00655325" w:rsidRPr="005E4B50">
        <w:rPr>
          <w:szCs w:val="24"/>
          <w:lang w:val="es-ES"/>
        </w:rPr>
        <w:t xml:space="preserve">TSB </w:t>
      </w:r>
      <w:r>
        <w:rPr>
          <w:szCs w:val="24"/>
          <w:lang w:val="es-ES"/>
        </w:rPr>
        <w:t>respalda</w:t>
      </w:r>
      <w:r w:rsidRPr="005E4B50">
        <w:rPr>
          <w:szCs w:val="24"/>
          <w:lang w:val="es-ES"/>
        </w:rPr>
        <w:t xml:space="preserve"> la consecución del objetivo </w:t>
      </w:r>
      <w:r w:rsidR="00655325" w:rsidRPr="005E4B50">
        <w:rPr>
          <w:szCs w:val="24"/>
          <w:lang w:val="es-ES"/>
        </w:rPr>
        <w:t xml:space="preserve">T.5 </w:t>
      </w:r>
      <w:r w:rsidRPr="005E4B50">
        <w:rPr>
          <w:szCs w:val="24"/>
          <w:lang w:val="es-ES"/>
        </w:rPr>
        <w:t>d</w:t>
      </w:r>
      <w:r>
        <w:rPr>
          <w:szCs w:val="24"/>
          <w:lang w:val="es-ES"/>
        </w:rPr>
        <w:t>el Plan Estratégico de la Unión</w:t>
      </w:r>
      <w:r w:rsidR="00655325" w:rsidRPr="005E4B50">
        <w:rPr>
          <w:szCs w:val="24"/>
          <w:lang w:val="es-ES"/>
        </w:rPr>
        <w:t>, "</w:t>
      </w:r>
      <w:r w:rsidRPr="005E4B50">
        <w:rPr>
          <w:szCs w:val="24"/>
          <w:lang w:val="es-ES"/>
        </w:rPr>
        <w:t>Extender y facilitar la cooperación con organismos de normalización internacionales, regionales y nacionales</w:t>
      </w:r>
      <w:r w:rsidR="00655325" w:rsidRPr="005E4B50">
        <w:rPr>
          <w:szCs w:val="24"/>
          <w:lang w:val="es-ES"/>
        </w:rPr>
        <w:t xml:space="preserve">", </w:t>
      </w:r>
      <w:r w:rsidR="00AB31A7" w:rsidRPr="005E4B50">
        <w:rPr>
          <w:szCs w:val="24"/>
          <w:lang w:val="es-ES"/>
        </w:rPr>
        <w:t xml:space="preserve">facilitando la presencia del UIT-T en las actividades organizadas por otros organismos </w:t>
      </w:r>
      <w:r>
        <w:rPr>
          <w:szCs w:val="24"/>
          <w:lang w:val="es-ES"/>
        </w:rPr>
        <w:t>de normalización</w:t>
      </w:r>
      <w:r w:rsidR="00126057">
        <w:rPr>
          <w:szCs w:val="24"/>
          <w:lang w:val="es-ES"/>
        </w:rPr>
        <w:t xml:space="preserve">, con miras a promover su </w:t>
      </w:r>
      <w:r w:rsidR="00AB31A7" w:rsidRPr="005E4B50">
        <w:rPr>
          <w:szCs w:val="24"/>
          <w:lang w:val="es-ES"/>
        </w:rPr>
        <w:t xml:space="preserve">participación </w:t>
      </w:r>
      <w:r w:rsidR="00126057">
        <w:rPr>
          <w:szCs w:val="24"/>
          <w:lang w:val="es-ES"/>
        </w:rPr>
        <w:t xml:space="preserve">en los </w:t>
      </w:r>
      <w:r w:rsidR="00AB31A7" w:rsidRPr="005E4B50">
        <w:rPr>
          <w:szCs w:val="24"/>
          <w:lang w:val="es-ES"/>
        </w:rPr>
        <w:t>Grupos de Trabajo, los talleres y demás iniciativas de colaboración</w:t>
      </w:r>
      <w:r w:rsidR="00126057">
        <w:rPr>
          <w:szCs w:val="24"/>
          <w:lang w:val="es-ES"/>
        </w:rPr>
        <w:t xml:space="preserve"> conexas</w:t>
      </w:r>
      <w:r w:rsidR="00AB31A7" w:rsidRPr="005E4B50">
        <w:rPr>
          <w:szCs w:val="24"/>
          <w:lang w:val="es-ES"/>
        </w:rPr>
        <w:t xml:space="preserve"> del UIT-T</w:t>
      </w:r>
      <w:r w:rsidR="00655325" w:rsidRPr="005E4B50">
        <w:rPr>
          <w:szCs w:val="24"/>
          <w:lang w:val="es-ES"/>
        </w:rPr>
        <w:t xml:space="preserve">. </w:t>
      </w:r>
    </w:p>
    <w:p w14:paraId="29E38B0B" w14:textId="6D508B1A" w:rsidR="00655325" w:rsidRPr="00345EE1" w:rsidRDefault="00AB31A7" w:rsidP="00913C76">
      <w:pPr>
        <w:rPr>
          <w:lang w:val="es-ES"/>
        </w:rPr>
      </w:pPr>
      <w:r w:rsidRPr="00CD3385">
        <w:rPr>
          <w:lang w:val="es-ES"/>
        </w:rPr>
        <w:t xml:space="preserve">Se ha publicado la versión </w:t>
      </w:r>
      <w:r w:rsidR="00345EE1">
        <w:rPr>
          <w:lang w:val="es-ES"/>
        </w:rPr>
        <w:t>3</w:t>
      </w:r>
      <w:r w:rsidRPr="00CD3385">
        <w:rPr>
          <w:lang w:val="es-ES"/>
        </w:rPr>
        <w:t xml:space="preserve"> de </w:t>
      </w:r>
      <w:hyperlink r:id="rId23" w:history="1">
        <w:r w:rsidRPr="00CD3385">
          <w:rPr>
            <w:rStyle w:val="Hyperlink"/>
            <w:lang w:val="es-ES"/>
          </w:rPr>
          <w:t>MyWorkspace</w:t>
        </w:r>
      </w:hyperlink>
      <w:r w:rsidRPr="00CD3385">
        <w:rPr>
          <w:lang w:val="es-ES"/>
        </w:rPr>
        <w:t xml:space="preserve"> con nuevas funcionalidades propuestas por sus primeros usuarios. </w:t>
      </w:r>
      <w:proofErr w:type="spellStart"/>
      <w:r w:rsidRPr="00CD3385">
        <w:rPr>
          <w:lang w:val="es-ES"/>
        </w:rPr>
        <w:t>MyWorkspace</w:t>
      </w:r>
      <w:proofErr w:type="spellEnd"/>
      <w:r w:rsidRPr="00CD3385">
        <w:rPr>
          <w:lang w:val="es-ES"/>
        </w:rPr>
        <w:t xml:space="preserve"> es una página web personalizada para usuarios TIES que facilita el acceso a los servicios e informaciones más valorados por los delegados del UIT-T. El </w:t>
      </w:r>
      <w:hyperlink r:id="rId24" w:history="1">
        <w:r w:rsidRPr="00CD3385">
          <w:rPr>
            <w:rStyle w:val="Hyperlink"/>
            <w:lang w:val="es-ES"/>
          </w:rPr>
          <w:t>motor de búsqueda</w:t>
        </w:r>
      </w:hyperlink>
      <w:r w:rsidRPr="00CD3385">
        <w:rPr>
          <w:lang w:val="es-ES"/>
        </w:rPr>
        <w:t xml:space="preserve"> devuelve resultados de todas las colecciones de documentos, publicaciones y páginas web de la UIT. Se siguen mejorando los sitios colaborativos SharePoint de las Comisiones de Estudio </w:t>
      </w:r>
      <w:r w:rsidRPr="00CD3385">
        <w:rPr>
          <w:lang w:val="es-ES"/>
        </w:rPr>
        <w:lastRenderedPageBreak/>
        <w:t xml:space="preserve">del UIT-T. El nuevo canal de noticias y anuncios, </w:t>
      </w:r>
      <w:hyperlink r:id="rId25" w:history="1">
        <w:r w:rsidRPr="00CD3385">
          <w:rPr>
            <w:rStyle w:val="Hyperlink"/>
            <w:lang w:val="es-ES"/>
          </w:rPr>
          <w:t>http://tsbtech.itu.int/</w:t>
        </w:r>
      </w:hyperlink>
      <w:r w:rsidRPr="00CD3385">
        <w:rPr>
          <w:lang w:val="es-ES"/>
        </w:rPr>
        <w:t>, ofrece periódicamente las novedades acerca de los servicios y mejoras de las herramientas a disposición de los delegados del</w:t>
      </w:r>
      <w:r>
        <w:rPr>
          <w:lang w:val="es-ES"/>
        </w:rPr>
        <w:t> </w:t>
      </w:r>
      <w:r w:rsidRPr="00CD3385">
        <w:rPr>
          <w:lang w:val="es-ES"/>
        </w:rPr>
        <w:t>UIT-T</w:t>
      </w:r>
      <w:r w:rsidR="00345EE1">
        <w:rPr>
          <w:lang w:val="es-ES"/>
        </w:rPr>
        <w:t>.</w:t>
      </w:r>
      <w:r w:rsidR="00655325" w:rsidRPr="00345EE1">
        <w:rPr>
          <w:lang w:val="es-ES"/>
        </w:rPr>
        <w:t xml:space="preserve"> </w:t>
      </w:r>
    </w:p>
    <w:p w14:paraId="1959F639" w14:textId="4DB7AE3A" w:rsidR="00655325" w:rsidRPr="00AB31A7" w:rsidRDefault="00AB31A7" w:rsidP="00244167">
      <w:pPr>
        <w:rPr>
          <w:lang w:val="es-ES"/>
        </w:rPr>
      </w:pPr>
      <w:r w:rsidRPr="00AB31A7">
        <w:rPr>
          <w:lang w:val="es-ES"/>
        </w:rPr>
        <w:t xml:space="preserve">Entre </w:t>
      </w:r>
      <w:r w:rsidR="00913C76">
        <w:rPr>
          <w:lang w:val="es-ES"/>
        </w:rPr>
        <w:t>octubre de 2018</w:t>
      </w:r>
      <w:r w:rsidRPr="00AB31A7">
        <w:rPr>
          <w:lang w:val="es-ES"/>
        </w:rPr>
        <w:t xml:space="preserve"> y </w:t>
      </w:r>
      <w:r w:rsidR="00913C76">
        <w:rPr>
          <w:lang w:val="es-ES"/>
        </w:rPr>
        <w:t xml:space="preserve">agosto de </w:t>
      </w:r>
      <w:r w:rsidRPr="00AB31A7">
        <w:rPr>
          <w:lang w:val="es-ES"/>
        </w:rPr>
        <w:t>201</w:t>
      </w:r>
      <w:r w:rsidR="00913C76">
        <w:rPr>
          <w:lang w:val="es-ES"/>
        </w:rPr>
        <w:t>9</w:t>
      </w:r>
      <w:r w:rsidRPr="00AB31A7">
        <w:rPr>
          <w:lang w:val="es-ES"/>
        </w:rPr>
        <w:t xml:space="preserve"> se publicaron más de </w:t>
      </w:r>
      <w:r w:rsidR="00913C76">
        <w:rPr>
          <w:lang w:val="es-ES"/>
        </w:rPr>
        <w:t>14</w:t>
      </w:r>
      <w:r w:rsidRPr="00AB31A7">
        <w:rPr>
          <w:lang w:val="es-ES"/>
        </w:rPr>
        <w:t xml:space="preserve"> </w:t>
      </w:r>
      <w:r w:rsidR="00913C76">
        <w:rPr>
          <w:lang w:val="es-ES"/>
        </w:rPr>
        <w:t>0</w:t>
      </w:r>
      <w:r w:rsidRPr="00AB31A7">
        <w:rPr>
          <w:lang w:val="es-ES"/>
        </w:rPr>
        <w:t xml:space="preserve">00 páginas de Recomendaciones y Suplementos UIT-T, </w:t>
      </w:r>
      <w:r w:rsidR="00913C76">
        <w:rPr>
          <w:lang w:val="es-ES"/>
        </w:rPr>
        <w:t xml:space="preserve">cuyas principales versiones se están </w:t>
      </w:r>
      <w:r w:rsidR="00913C76" w:rsidRPr="00913C76">
        <w:rPr>
          <w:lang w:val="es-ES"/>
        </w:rPr>
        <w:t>publicando</w:t>
      </w:r>
      <w:r w:rsidRPr="00913C76">
        <w:rPr>
          <w:lang w:val="es-ES"/>
        </w:rPr>
        <w:t xml:space="preserve"> en formato </w:t>
      </w:r>
      <w:proofErr w:type="spellStart"/>
      <w:r w:rsidRPr="00913C76">
        <w:rPr>
          <w:lang w:val="es-ES"/>
        </w:rPr>
        <w:t>ePub</w:t>
      </w:r>
      <w:proofErr w:type="spellEnd"/>
      <w:r w:rsidRPr="00913C76">
        <w:rPr>
          <w:lang w:val="es-ES"/>
        </w:rPr>
        <w:t xml:space="preserve"> </w:t>
      </w:r>
      <w:r w:rsidR="00DF6111" w:rsidRPr="00913C76">
        <w:rPr>
          <w:lang w:val="es-ES"/>
        </w:rPr>
        <w:t>(</w:t>
      </w:r>
      <w:r w:rsidR="00913C76" w:rsidRPr="00913C76">
        <w:rPr>
          <w:lang w:val="es-ES"/>
        </w:rPr>
        <w:t>es decir, el documento puede adaptar su presentación al dispositivo de salida</w:t>
      </w:r>
      <w:r w:rsidR="00DF6111" w:rsidRPr="00913C76">
        <w:rPr>
          <w:lang w:val="es-ES"/>
        </w:rPr>
        <w:t xml:space="preserve">) </w:t>
      </w:r>
      <w:r w:rsidR="00913C76" w:rsidRPr="00913C76">
        <w:rPr>
          <w:lang w:val="es-ES"/>
        </w:rPr>
        <w:t>además del habitual formato PDF</w:t>
      </w:r>
      <w:r w:rsidR="00655325" w:rsidRPr="00913C76">
        <w:rPr>
          <w:lang w:val="es-ES"/>
        </w:rPr>
        <w:t xml:space="preserve">. </w:t>
      </w:r>
      <w:r w:rsidRPr="00AB31A7">
        <w:rPr>
          <w:lang w:val="es-ES"/>
        </w:rPr>
        <w:t xml:space="preserve">"ITU-T </w:t>
      </w:r>
      <w:proofErr w:type="spellStart"/>
      <w:r w:rsidRPr="00AB31A7">
        <w:rPr>
          <w:lang w:val="es-ES"/>
        </w:rPr>
        <w:t>Recommendations</w:t>
      </w:r>
      <w:proofErr w:type="spellEnd"/>
      <w:r w:rsidRPr="00AB31A7">
        <w:rPr>
          <w:lang w:val="es-ES"/>
        </w:rPr>
        <w:t xml:space="preserve"> and </w:t>
      </w:r>
      <w:proofErr w:type="spellStart"/>
      <w:r w:rsidRPr="00AB31A7">
        <w:rPr>
          <w:lang w:val="es-ES"/>
        </w:rPr>
        <w:t>selected</w:t>
      </w:r>
      <w:proofErr w:type="spellEnd"/>
      <w:r w:rsidRPr="00AB31A7">
        <w:rPr>
          <w:lang w:val="es-ES"/>
        </w:rPr>
        <w:t xml:space="preserve"> </w:t>
      </w:r>
      <w:proofErr w:type="spellStart"/>
      <w:r w:rsidRPr="00AB31A7">
        <w:rPr>
          <w:lang w:val="es-ES"/>
        </w:rPr>
        <w:t>Handbooks</w:t>
      </w:r>
      <w:proofErr w:type="spellEnd"/>
      <w:r w:rsidRPr="00AB31A7">
        <w:rPr>
          <w:lang w:val="es-ES"/>
        </w:rPr>
        <w:t>" sigue distribuyéndose trimestralmente en una llave USB</w:t>
      </w:r>
      <w:r w:rsidR="00655325" w:rsidRPr="00AB31A7">
        <w:rPr>
          <w:lang w:val="es-ES"/>
        </w:rPr>
        <w:t xml:space="preserve">. </w:t>
      </w:r>
    </w:p>
    <w:p w14:paraId="2B47984A" w14:textId="1B33274A" w:rsidR="00655325" w:rsidRPr="00AB31A7" w:rsidRDefault="00AB31A7" w:rsidP="00244167">
      <w:pPr>
        <w:rPr>
          <w:lang w:val="es-ES"/>
        </w:rPr>
      </w:pPr>
      <w:r w:rsidRPr="00AB31A7">
        <w:rPr>
          <w:lang w:val="es-ES"/>
        </w:rPr>
        <w:t>La TSB sigue traduciendo las Recomendaciones aprobadas según el proceso de aprobación tradicional (TAP), así como todos los Informes del GANT, en todos los idiomas de la Unión</w:t>
      </w:r>
      <w:r w:rsidR="00655325" w:rsidRPr="00AB31A7">
        <w:rPr>
          <w:lang w:val="es-ES"/>
        </w:rPr>
        <w:t xml:space="preserve">. </w:t>
      </w:r>
      <w:r w:rsidR="00244167" w:rsidRPr="00AB31A7">
        <w:rPr>
          <w:lang w:val="es-ES"/>
        </w:rPr>
        <w:t xml:space="preserve">La </w:t>
      </w:r>
      <w:r w:rsidRPr="00AB31A7">
        <w:rPr>
          <w:lang w:val="es-ES"/>
        </w:rPr>
        <w:t xml:space="preserve">TSB tradujo </w:t>
      </w:r>
      <w:r w:rsidR="00244167">
        <w:rPr>
          <w:lang w:val="es-ES"/>
        </w:rPr>
        <w:t>24</w:t>
      </w:r>
      <w:r w:rsidRPr="00AB31A7">
        <w:rPr>
          <w:lang w:val="es-ES"/>
        </w:rPr>
        <w:t xml:space="preserve"> Recomendaciones AAP durante el periodo al que se refiere el informe, de conformidad con las solicitudes formuladas por las Comisiones de Estudio del UIT-T y los grupos lingüísticos, respetando el presupuesto para traducción atribuido</w:t>
      </w:r>
      <w:r w:rsidR="00655325" w:rsidRPr="00AB31A7">
        <w:rPr>
          <w:lang w:val="es-ES"/>
        </w:rPr>
        <w:t xml:space="preserve">. </w:t>
      </w:r>
    </w:p>
    <w:p w14:paraId="74AA0F78" w14:textId="59E0E7E0" w:rsidR="00C04690" w:rsidRDefault="00AB31A7" w:rsidP="00244167">
      <w:pPr>
        <w:rPr>
          <w:lang w:val="es-ES"/>
        </w:rPr>
      </w:pPr>
      <w:r w:rsidRPr="00AB31A7">
        <w:rPr>
          <w:lang w:val="es-ES"/>
        </w:rPr>
        <w:t>En los talleres y simposios de la UIT se abordan las nuevas tendencias de normalización, se da publicidad a los trabajos del UIT-T, se aumenta la colaboración del UIT-T con otros organismos, se atrae y capta a nuevos miembros del UIT-T y se fomenta la formación entre pares pertinente para la elaboración y aplicación de la normativa internacional</w:t>
      </w:r>
      <w:r w:rsidR="00655325" w:rsidRPr="00AB31A7">
        <w:rPr>
          <w:lang w:val="es-ES"/>
        </w:rPr>
        <w:t xml:space="preserve">. </w:t>
      </w:r>
      <w:r w:rsidR="00244167" w:rsidRPr="00244167">
        <w:rPr>
          <w:lang w:val="es-ES"/>
        </w:rPr>
        <w:t>En el per</w:t>
      </w:r>
      <w:r w:rsidR="00244167">
        <w:rPr>
          <w:lang w:val="es-ES"/>
        </w:rPr>
        <w:t>í</w:t>
      </w:r>
      <w:r w:rsidR="00244167" w:rsidRPr="00244167">
        <w:rPr>
          <w:lang w:val="es-ES"/>
        </w:rPr>
        <w:t>odo que abarca el informe se organizaron má</w:t>
      </w:r>
      <w:r w:rsidR="00244167">
        <w:rPr>
          <w:lang w:val="es-ES"/>
        </w:rPr>
        <w:t xml:space="preserve">s de </w:t>
      </w:r>
      <w:r w:rsidR="00655325" w:rsidRPr="00244167">
        <w:rPr>
          <w:lang w:val="es-ES"/>
        </w:rPr>
        <w:t xml:space="preserve">50 </w:t>
      </w:r>
      <w:r w:rsidR="00244167">
        <w:rPr>
          <w:lang w:val="es-ES"/>
        </w:rPr>
        <w:t>talleres y simposios de la UIT</w:t>
      </w:r>
      <w:r w:rsidR="00655325" w:rsidRPr="00244167">
        <w:rPr>
          <w:lang w:val="es-ES"/>
        </w:rPr>
        <w:t xml:space="preserve">. </w:t>
      </w:r>
    </w:p>
    <w:p w14:paraId="242C66B3" w14:textId="274FCF49" w:rsidR="00C04690" w:rsidRDefault="00C04690">
      <w:pPr>
        <w:tabs>
          <w:tab w:val="clear" w:pos="794"/>
          <w:tab w:val="clear" w:pos="1191"/>
          <w:tab w:val="clear" w:pos="1588"/>
          <w:tab w:val="clear" w:pos="1985"/>
        </w:tabs>
        <w:overflowPunct/>
        <w:autoSpaceDE/>
        <w:autoSpaceDN/>
        <w:adjustRightInd/>
        <w:spacing w:before="0"/>
        <w:textAlignment w:val="auto"/>
        <w:rPr>
          <w:lang w:val="es-ES"/>
        </w:rPr>
      </w:pPr>
    </w:p>
    <w:p w14:paraId="22DED6BD" w14:textId="3142DFE7" w:rsidR="00C04690" w:rsidRDefault="00C0469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7C10AF6E" w14:textId="2092879C" w:rsidR="006944F8" w:rsidRPr="00C1421E" w:rsidRDefault="006944F8" w:rsidP="00C1421E">
      <w:pPr>
        <w:pStyle w:val="Heading1"/>
        <w:jc w:val="center"/>
        <w:rPr>
          <w:bCs/>
        </w:rPr>
      </w:pPr>
      <w:bookmarkStart w:id="3" w:name="_Toc480527765"/>
      <w:bookmarkStart w:id="4" w:name="_Toc18509734"/>
      <w:bookmarkStart w:id="5" w:name="_Toc462664184"/>
      <w:bookmarkStart w:id="6" w:name="_Toc475550127"/>
      <w:bookmarkStart w:id="7" w:name="_Toc416161323"/>
      <w:bookmarkStart w:id="8" w:name="_Toc438553934"/>
      <w:bookmarkStart w:id="9" w:name="_Toc453929055"/>
      <w:bookmarkStart w:id="10" w:name="_Toc453932927"/>
      <w:bookmarkStart w:id="11" w:name="_Toc454295831"/>
      <w:bookmarkStart w:id="12" w:name="_Toc418526228"/>
      <w:bookmarkStart w:id="13" w:name="_Toc462664185"/>
      <w:r w:rsidRPr="00C1421E">
        <w:rPr>
          <w:bCs/>
        </w:rPr>
        <w:lastRenderedPageBreak/>
        <w:t xml:space="preserve">Annex – Full Report of activities in ITU-T (from </w:t>
      </w:r>
      <w:r w:rsidR="00987BE3" w:rsidRPr="00C1421E">
        <w:rPr>
          <w:bCs/>
        </w:rPr>
        <w:t xml:space="preserve">October 2018 to </w:t>
      </w:r>
      <w:r w:rsidR="00DF6111">
        <w:rPr>
          <w:bCs/>
        </w:rPr>
        <w:t>August</w:t>
      </w:r>
      <w:r w:rsidRPr="00C1421E">
        <w:rPr>
          <w:bCs/>
        </w:rPr>
        <w:t xml:space="preserve"> 201</w:t>
      </w:r>
      <w:r w:rsidR="00987BE3" w:rsidRPr="00C1421E">
        <w:rPr>
          <w:bCs/>
        </w:rPr>
        <w:t>9</w:t>
      </w:r>
      <w:r w:rsidRPr="00C1421E">
        <w:rPr>
          <w:bCs/>
        </w:rPr>
        <w:t>)</w:t>
      </w:r>
      <w:bookmarkEnd w:id="3"/>
      <w:bookmarkEnd w:id="4"/>
    </w:p>
    <w:p w14:paraId="4E3A3098" w14:textId="17321993" w:rsidR="00653C5B" w:rsidRPr="00C1421E" w:rsidRDefault="006944F8" w:rsidP="009E5FFA">
      <w:pPr>
        <w:pStyle w:val="Heading1"/>
      </w:pPr>
      <w:bookmarkStart w:id="14" w:name="_Toc18509735"/>
      <w:bookmarkStart w:id="15" w:name="_Toc480527766"/>
      <w:r w:rsidRPr="00C1421E">
        <w:t>1</w:t>
      </w:r>
      <w:r w:rsidRPr="00C1421E">
        <w:tab/>
      </w:r>
      <w:r w:rsidR="00754B21">
        <w:t xml:space="preserve">Selection of achievements in </w:t>
      </w:r>
      <w:r w:rsidR="00653C5B" w:rsidRPr="00C1421E">
        <w:t>ITU-T standardization</w:t>
      </w:r>
      <w:bookmarkEnd w:id="14"/>
    </w:p>
    <w:p w14:paraId="73A14BA0" w14:textId="1FEFAE16" w:rsidR="00653C5B" w:rsidRDefault="00653C5B" w:rsidP="009E5FFA">
      <w:pPr>
        <w:rPr>
          <w:lang w:val="en-GB"/>
        </w:rPr>
      </w:pPr>
      <w:r w:rsidRPr="001C37A8">
        <w:rPr>
          <w:lang w:val="en-GB"/>
        </w:rPr>
        <w:t xml:space="preserve">ITU approved more than </w:t>
      </w:r>
      <w:r w:rsidR="00754B21">
        <w:rPr>
          <w:lang w:val="en-GB"/>
        </w:rPr>
        <w:t>300</w:t>
      </w:r>
      <w:r w:rsidRPr="001C37A8">
        <w:rPr>
          <w:lang w:val="en-GB"/>
        </w:rPr>
        <w:t xml:space="preserve"> new and revised ITU-T Recommendations from </w:t>
      </w:r>
      <w:r w:rsidR="00436746">
        <w:rPr>
          <w:lang w:val="en-GB"/>
        </w:rPr>
        <w:t xml:space="preserve">1 </w:t>
      </w:r>
      <w:r w:rsidR="001A5D0C" w:rsidRPr="001C37A8">
        <w:rPr>
          <w:lang w:val="en-GB"/>
        </w:rPr>
        <w:t>October 2018</w:t>
      </w:r>
      <w:r w:rsidRPr="001C37A8">
        <w:rPr>
          <w:lang w:val="en-GB"/>
        </w:rPr>
        <w:t xml:space="preserve"> to </w:t>
      </w:r>
      <w:r w:rsidR="00754B21">
        <w:rPr>
          <w:lang w:val="en-GB"/>
        </w:rPr>
        <w:t>31</w:t>
      </w:r>
      <w:r w:rsidR="00436746">
        <w:rPr>
          <w:lang w:val="en-GB"/>
        </w:rPr>
        <w:t xml:space="preserve"> August </w:t>
      </w:r>
      <w:r w:rsidRPr="001C37A8">
        <w:rPr>
          <w:lang w:val="en-GB"/>
        </w:rPr>
        <w:t>201</w:t>
      </w:r>
      <w:r w:rsidR="001A5D0C" w:rsidRPr="001C37A8">
        <w:rPr>
          <w:lang w:val="en-GB"/>
        </w:rPr>
        <w:t>9</w:t>
      </w:r>
      <w:r w:rsidRPr="001C37A8">
        <w:rPr>
          <w:lang w:val="en-GB"/>
        </w:rPr>
        <w:t xml:space="preserve">. </w:t>
      </w:r>
      <w:r w:rsidR="007C213D" w:rsidRPr="001C37A8">
        <w:rPr>
          <w:lang w:val="en-GB"/>
        </w:rPr>
        <w:t>Appendix I lists these ITU-T Recommendations and related texts and summarizes their contents.</w:t>
      </w:r>
    </w:p>
    <w:p w14:paraId="4E59D1B8" w14:textId="77777777" w:rsidR="00754B21" w:rsidRPr="00754B21" w:rsidRDefault="00754B21" w:rsidP="00754B21">
      <w:pPr>
        <w:rPr>
          <w:lang w:val="en-GB"/>
        </w:rPr>
      </w:pPr>
      <w:r w:rsidRPr="00754B21">
        <w:rPr>
          <w:lang w:val="en-GB"/>
        </w:rPr>
        <w:t xml:space="preserve">Executive summaries for the various ITU-T Study Group meetings can be found on the homepages of </w:t>
      </w:r>
      <w:hyperlink r:id="rId26" w:history="1">
        <w:r w:rsidRPr="00754B21">
          <w:rPr>
            <w:rStyle w:val="Hyperlink"/>
            <w:lang w:val="en-GB"/>
          </w:rPr>
          <w:t>ITU-T Study Groups</w:t>
        </w:r>
      </w:hyperlink>
      <w:r w:rsidRPr="00754B21">
        <w:rPr>
          <w:lang w:val="en-GB"/>
        </w:rPr>
        <w:t>. Summaries of meetings held during the reporting period are listed below.</w:t>
      </w:r>
    </w:p>
    <w:p w14:paraId="66CF4C0B" w14:textId="77777777" w:rsidR="00754B21" w:rsidRPr="00754B21" w:rsidRDefault="00754B21" w:rsidP="00754B21">
      <w:pPr>
        <w:numPr>
          <w:ilvl w:val="0"/>
          <w:numId w:val="24"/>
        </w:numPr>
        <w:rPr>
          <w:lang w:val="en-GB"/>
        </w:rPr>
      </w:pPr>
      <w:r w:rsidRPr="00754B21">
        <w:rPr>
          <w:lang w:val="en-GB"/>
        </w:rPr>
        <w:t xml:space="preserve">ITU-T Study Group 2 (Operational aspects): </w:t>
      </w:r>
      <w:hyperlink r:id="rId27" w:history="1">
        <w:r w:rsidRPr="00754B21">
          <w:rPr>
            <w:rStyle w:val="Hyperlink"/>
            <w:lang w:val="en-GB"/>
          </w:rPr>
          <w:t>Meeting report, February 2019</w:t>
        </w:r>
      </w:hyperlink>
    </w:p>
    <w:p w14:paraId="39A537C9" w14:textId="77777777" w:rsidR="00754B21" w:rsidRPr="00754B21" w:rsidRDefault="00754B21" w:rsidP="00754B21">
      <w:pPr>
        <w:numPr>
          <w:ilvl w:val="0"/>
          <w:numId w:val="24"/>
        </w:numPr>
        <w:rPr>
          <w:lang w:val="en-GB"/>
        </w:rPr>
      </w:pPr>
      <w:r w:rsidRPr="00754B21">
        <w:rPr>
          <w:lang w:val="en-GB"/>
        </w:rPr>
        <w:t xml:space="preserve">ITU-T Study Group 3 (Economic and policy issues): </w:t>
      </w:r>
      <w:hyperlink r:id="rId28" w:history="1">
        <w:r w:rsidRPr="00754B21">
          <w:rPr>
            <w:rStyle w:val="Hyperlink"/>
            <w:lang w:val="en-GB"/>
          </w:rPr>
          <w:t>Executive summary, April 2019</w:t>
        </w:r>
      </w:hyperlink>
    </w:p>
    <w:p w14:paraId="1259E22E" w14:textId="77777777" w:rsidR="00754B21" w:rsidRPr="00754B21" w:rsidRDefault="00754B21" w:rsidP="00754B21">
      <w:pPr>
        <w:numPr>
          <w:ilvl w:val="0"/>
          <w:numId w:val="24"/>
        </w:numPr>
        <w:rPr>
          <w:lang w:val="en-GB"/>
        </w:rPr>
      </w:pPr>
      <w:r w:rsidRPr="00754B21">
        <w:rPr>
          <w:lang w:val="en-GB"/>
        </w:rPr>
        <w:t xml:space="preserve">ITU-T Study Group 5 (Environment and circular economy): </w:t>
      </w:r>
      <w:hyperlink r:id="rId29" w:history="1">
        <w:r w:rsidRPr="00754B21">
          <w:rPr>
            <w:rStyle w:val="Hyperlink"/>
            <w:lang w:val="en-GB"/>
          </w:rPr>
          <w:t>Executive summary, May 2019</w:t>
        </w:r>
      </w:hyperlink>
    </w:p>
    <w:p w14:paraId="1D46AF1E" w14:textId="77777777" w:rsidR="00754B21" w:rsidRPr="00754B21" w:rsidRDefault="00754B21" w:rsidP="00754B21">
      <w:pPr>
        <w:numPr>
          <w:ilvl w:val="0"/>
          <w:numId w:val="24"/>
        </w:numPr>
        <w:rPr>
          <w:lang w:val="en-GB"/>
        </w:rPr>
      </w:pPr>
      <w:r w:rsidRPr="00754B21">
        <w:rPr>
          <w:lang w:val="en-GB"/>
        </w:rPr>
        <w:t xml:space="preserve">ITU-T Study Group 9 (Broadband cable and TV): </w:t>
      </w:r>
      <w:hyperlink r:id="rId30" w:history="1">
        <w:r w:rsidRPr="00754B21">
          <w:rPr>
            <w:rStyle w:val="Hyperlink"/>
            <w:lang w:val="en-GB"/>
          </w:rPr>
          <w:t>Executive summary, May 2019</w:t>
        </w:r>
      </w:hyperlink>
    </w:p>
    <w:p w14:paraId="3BB8D26A" w14:textId="77777777" w:rsidR="00754B21" w:rsidRPr="00754B21" w:rsidRDefault="00754B21" w:rsidP="00754B21">
      <w:pPr>
        <w:numPr>
          <w:ilvl w:val="0"/>
          <w:numId w:val="24"/>
        </w:numPr>
        <w:rPr>
          <w:lang w:val="en-GB"/>
        </w:rPr>
      </w:pPr>
      <w:r w:rsidRPr="00754B21">
        <w:rPr>
          <w:lang w:val="en-GB"/>
        </w:rPr>
        <w:t xml:space="preserve">ITU-T Study Group 11 (Protocols and test specifications): </w:t>
      </w:r>
      <w:hyperlink r:id="rId31" w:history="1">
        <w:r w:rsidRPr="00754B21">
          <w:rPr>
            <w:rStyle w:val="Hyperlink"/>
            <w:lang w:val="en-GB"/>
          </w:rPr>
          <w:t>Executive summary, March 2019</w:t>
        </w:r>
      </w:hyperlink>
    </w:p>
    <w:p w14:paraId="3C6CEF0B" w14:textId="77777777" w:rsidR="00754B21" w:rsidRPr="00754B21" w:rsidRDefault="00754B21" w:rsidP="00754B21">
      <w:pPr>
        <w:numPr>
          <w:ilvl w:val="0"/>
          <w:numId w:val="24"/>
        </w:numPr>
        <w:rPr>
          <w:lang w:val="en-GB"/>
        </w:rPr>
      </w:pPr>
      <w:r w:rsidRPr="00754B21">
        <w:rPr>
          <w:lang w:val="en-GB"/>
        </w:rPr>
        <w:t xml:space="preserve">ITU-T Study Group 12 (Performance, QoS and QoE): </w:t>
      </w:r>
      <w:hyperlink r:id="rId32" w:history="1">
        <w:r w:rsidRPr="00754B21">
          <w:rPr>
            <w:rStyle w:val="Hyperlink"/>
            <w:lang w:val="en-GB"/>
          </w:rPr>
          <w:t>Executive summary, May 2019</w:t>
        </w:r>
      </w:hyperlink>
      <w:r w:rsidRPr="00754B21">
        <w:rPr>
          <w:lang w:val="en-GB"/>
        </w:rPr>
        <w:t xml:space="preserve">; </w:t>
      </w:r>
      <w:hyperlink r:id="rId33" w:history="1">
        <w:r w:rsidRPr="00754B21">
          <w:rPr>
            <w:rStyle w:val="Hyperlink"/>
            <w:lang w:val="en-GB"/>
          </w:rPr>
          <w:t>Executive summary, November 2018</w:t>
        </w:r>
      </w:hyperlink>
    </w:p>
    <w:p w14:paraId="3A1B5E3A" w14:textId="77777777" w:rsidR="00754B21" w:rsidRPr="00754B21" w:rsidRDefault="00754B21" w:rsidP="00754B21">
      <w:pPr>
        <w:numPr>
          <w:ilvl w:val="0"/>
          <w:numId w:val="24"/>
        </w:numPr>
        <w:rPr>
          <w:lang w:val="en-GB"/>
        </w:rPr>
      </w:pPr>
      <w:r w:rsidRPr="00754B21">
        <w:rPr>
          <w:lang w:val="en-GB"/>
        </w:rPr>
        <w:t xml:space="preserve">ITU-T Study Group 13 (Future networks and cloud): </w:t>
      </w:r>
      <w:hyperlink r:id="rId34" w:history="1">
        <w:r w:rsidRPr="00754B21">
          <w:rPr>
            <w:rStyle w:val="Hyperlink"/>
            <w:lang w:val="en-GB"/>
          </w:rPr>
          <w:t>Executive summary, March 2019</w:t>
        </w:r>
      </w:hyperlink>
    </w:p>
    <w:p w14:paraId="46FA99C2" w14:textId="77777777" w:rsidR="00754B21" w:rsidRPr="00754B21" w:rsidRDefault="00754B21" w:rsidP="00754B21">
      <w:pPr>
        <w:numPr>
          <w:ilvl w:val="0"/>
          <w:numId w:val="24"/>
        </w:numPr>
        <w:rPr>
          <w:lang w:val="en-GB"/>
        </w:rPr>
      </w:pPr>
      <w:r w:rsidRPr="00754B21">
        <w:rPr>
          <w:lang w:val="en-GB"/>
        </w:rPr>
        <w:t xml:space="preserve">ITU-T Study Group 15 (Transport, access and home): </w:t>
      </w:r>
      <w:hyperlink r:id="rId35" w:history="1">
        <w:r w:rsidRPr="00754B21">
          <w:rPr>
            <w:rStyle w:val="Hyperlink"/>
            <w:lang w:val="en-GB"/>
          </w:rPr>
          <w:t>Executive summary, July 2019</w:t>
        </w:r>
      </w:hyperlink>
      <w:r w:rsidRPr="00754B21">
        <w:rPr>
          <w:lang w:val="en-GB"/>
        </w:rPr>
        <w:t xml:space="preserve">; </w:t>
      </w:r>
      <w:hyperlink r:id="rId36" w:history="1">
        <w:r w:rsidRPr="00754B21">
          <w:rPr>
            <w:rStyle w:val="Hyperlink"/>
            <w:lang w:val="en-GB"/>
          </w:rPr>
          <w:t>Executive summary, October 2018</w:t>
        </w:r>
      </w:hyperlink>
    </w:p>
    <w:p w14:paraId="16E97448" w14:textId="090ADE56" w:rsidR="00754B21" w:rsidRPr="00754B21" w:rsidRDefault="00754B21" w:rsidP="00754B21">
      <w:pPr>
        <w:numPr>
          <w:ilvl w:val="0"/>
          <w:numId w:val="24"/>
        </w:numPr>
        <w:rPr>
          <w:lang w:val="en-GB"/>
        </w:rPr>
      </w:pPr>
      <w:r w:rsidRPr="00754B21">
        <w:rPr>
          <w:lang w:val="en-GB"/>
        </w:rPr>
        <w:t xml:space="preserve">ITU-T Study Group 16 (Multimedia): </w:t>
      </w:r>
      <w:hyperlink r:id="rId37" w:history="1">
        <w:r w:rsidRPr="00754B21">
          <w:rPr>
            <w:rStyle w:val="Hyperlink"/>
            <w:lang w:val="en-GB"/>
          </w:rPr>
          <w:t>WP2/16 executive summary, June 2019</w:t>
        </w:r>
      </w:hyperlink>
      <w:r w:rsidRPr="00754B21">
        <w:rPr>
          <w:lang w:val="en-GB"/>
        </w:rPr>
        <w:t xml:space="preserve">; </w:t>
      </w:r>
      <w:hyperlink r:id="rId38" w:history="1">
        <w:r w:rsidRPr="00754B21">
          <w:rPr>
            <w:rStyle w:val="Hyperlink"/>
            <w:lang w:val="en-GB"/>
          </w:rPr>
          <w:t>Executive summary, March 2019</w:t>
        </w:r>
      </w:hyperlink>
      <w:r w:rsidRPr="00754B21">
        <w:rPr>
          <w:lang w:val="en-GB"/>
        </w:rPr>
        <w:t xml:space="preserve">; </w:t>
      </w:r>
      <w:hyperlink r:id="rId39" w:history="1">
        <w:r w:rsidRPr="00754B21">
          <w:rPr>
            <w:rStyle w:val="Hyperlink"/>
            <w:lang w:val="en-GB"/>
          </w:rPr>
          <w:t xml:space="preserve">WP 1/16 </w:t>
        </w:r>
        <w:r w:rsidR="00267090" w:rsidRPr="00754B21">
          <w:rPr>
            <w:rStyle w:val="Hyperlink"/>
            <w:lang w:val="en-GB"/>
          </w:rPr>
          <w:t>executive</w:t>
        </w:r>
        <w:r w:rsidRPr="00754B21">
          <w:rPr>
            <w:rStyle w:val="Hyperlink"/>
            <w:lang w:val="en-GB"/>
          </w:rPr>
          <w:t xml:space="preserve"> summary, October 2018</w:t>
        </w:r>
      </w:hyperlink>
    </w:p>
    <w:p w14:paraId="151EA89A" w14:textId="77777777" w:rsidR="00754B21" w:rsidRPr="00754B21" w:rsidRDefault="00754B21" w:rsidP="00754B21">
      <w:pPr>
        <w:numPr>
          <w:ilvl w:val="0"/>
          <w:numId w:val="24"/>
        </w:numPr>
        <w:rPr>
          <w:lang w:val="en-GB"/>
        </w:rPr>
      </w:pPr>
      <w:r w:rsidRPr="00754B21">
        <w:rPr>
          <w:lang w:val="en-GB"/>
        </w:rPr>
        <w:t xml:space="preserve">ITU-T Study Group 17 (Security): </w:t>
      </w:r>
      <w:hyperlink r:id="rId40" w:history="1">
        <w:r w:rsidRPr="00754B21">
          <w:rPr>
            <w:rStyle w:val="Hyperlink"/>
            <w:lang w:val="en-GB"/>
          </w:rPr>
          <w:t>Executive summary, January 2019</w:t>
        </w:r>
      </w:hyperlink>
    </w:p>
    <w:p w14:paraId="5436E97F" w14:textId="77777777" w:rsidR="00754B21" w:rsidRPr="00754B21" w:rsidRDefault="00754B21" w:rsidP="00754B21">
      <w:pPr>
        <w:numPr>
          <w:ilvl w:val="0"/>
          <w:numId w:val="24"/>
        </w:numPr>
        <w:rPr>
          <w:lang w:val="en-GB"/>
        </w:rPr>
      </w:pPr>
      <w:r w:rsidRPr="00754B21">
        <w:rPr>
          <w:lang w:val="en-GB"/>
        </w:rPr>
        <w:t xml:space="preserve">ITU-T Study Group 20 (IoT and smart cities): </w:t>
      </w:r>
      <w:hyperlink r:id="rId41" w:history="1">
        <w:r w:rsidRPr="00754B21">
          <w:rPr>
            <w:rStyle w:val="Hyperlink"/>
            <w:lang w:val="en-GB"/>
          </w:rPr>
          <w:t>Executive summary, April 2019</w:t>
        </w:r>
      </w:hyperlink>
      <w:r w:rsidRPr="00754B21">
        <w:rPr>
          <w:lang w:val="en-GB"/>
        </w:rPr>
        <w:t xml:space="preserve">; </w:t>
      </w:r>
      <w:hyperlink r:id="rId42" w:history="1">
        <w:r w:rsidRPr="00754B21">
          <w:rPr>
            <w:rStyle w:val="Hyperlink"/>
            <w:lang w:val="en-GB"/>
          </w:rPr>
          <w:t>Executive summary, December 2018</w:t>
        </w:r>
      </w:hyperlink>
    </w:p>
    <w:p w14:paraId="59A886E6" w14:textId="77777777" w:rsidR="00754B21" w:rsidRPr="00754B21" w:rsidRDefault="00754B21" w:rsidP="00754B21">
      <w:pPr>
        <w:rPr>
          <w:lang w:val="en-GB"/>
        </w:rPr>
      </w:pPr>
      <w:r w:rsidRPr="00754B21">
        <w:rPr>
          <w:lang w:val="en-GB"/>
        </w:rPr>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314C169F" w14:textId="77777777" w:rsidR="00754B21" w:rsidRPr="00754B21" w:rsidRDefault="00267090" w:rsidP="00754B21">
      <w:pPr>
        <w:numPr>
          <w:ilvl w:val="0"/>
          <w:numId w:val="105"/>
        </w:numPr>
        <w:rPr>
          <w:lang w:val="en-GB"/>
        </w:rPr>
      </w:pPr>
      <w:hyperlink r:id="rId43" w:history="1">
        <w:r w:rsidR="00754B21" w:rsidRPr="00754B21">
          <w:rPr>
            <w:rStyle w:val="Hyperlink"/>
            <w:lang w:val="en-GB"/>
          </w:rPr>
          <w:t>ITU brings new clarity to 5G transport</w:t>
        </w:r>
      </w:hyperlink>
      <w:r w:rsidR="00754B21" w:rsidRPr="00754B21">
        <w:rPr>
          <w:lang w:val="en-GB"/>
        </w:rPr>
        <w:t xml:space="preserve"> </w:t>
      </w:r>
    </w:p>
    <w:p w14:paraId="4F0CAF46" w14:textId="77777777" w:rsidR="00754B21" w:rsidRPr="00754B21" w:rsidRDefault="00754B21" w:rsidP="00754B21">
      <w:pPr>
        <w:rPr>
          <w:lang w:val="en-GB"/>
        </w:rPr>
      </w:pPr>
      <w:r w:rsidRPr="00754B21">
        <w:t xml:space="preserve">A new ITU standard has established a basis for the cost-effective integration of Machine Learning into 5G and future networks. The standard describes an architectural framework for networks to accommodate current as well as future use cases of Machine Learning. </w:t>
      </w:r>
      <w:r w:rsidRPr="00754B21">
        <w:rPr>
          <w:lang w:val="en-GB"/>
        </w:rPr>
        <w:t>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w:t>
      </w:r>
    </w:p>
    <w:p w14:paraId="34ACDE48" w14:textId="77777777" w:rsidR="00754B21" w:rsidRPr="00754B21" w:rsidRDefault="00267090" w:rsidP="00754B21">
      <w:pPr>
        <w:numPr>
          <w:ilvl w:val="0"/>
          <w:numId w:val="106"/>
        </w:numPr>
        <w:rPr>
          <w:lang w:val="en-GB"/>
        </w:rPr>
      </w:pPr>
      <w:hyperlink r:id="rId44" w:history="1">
        <w:r w:rsidR="00754B21" w:rsidRPr="00754B21">
          <w:rPr>
            <w:rStyle w:val="Hyperlink"/>
            <w:lang w:val="en-GB"/>
          </w:rPr>
          <w:t>New ITU standard to introduce Machine Learning into 5G networks</w:t>
        </w:r>
      </w:hyperlink>
      <w:r w:rsidR="00754B21" w:rsidRPr="00754B21">
        <w:rPr>
          <w:lang w:val="en-GB"/>
        </w:rPr>
        <w:t xml:space="preserve"> </w:t>
      </w:r>
    </w:p>
    <w:p w14:paraId="66D83F6E" w14:textId="77777777" w:rsidR="00754B21" w:rsidRPr="00754B21" w:rsidRDefault="00754B21" w:rsidP="00754B21">
      <w:pPr>
        <w:rPr>
          <w:lang w:val="en-GB"/>
        </w:rPr>
      </w:pPr>
      <w:r w:rsidRPr="00754B21">
        <w:rPr>
          <w:lang w:val="en-GB"/>
        </w:rPr>
        <w:t>A new ITU standard for high-speed indoor ‘visible light communication’ (VLC), also known as ‘LiFi’,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WiFi.</w:t>
      </w:r>
    </w:p>
    <w:p w14:paraId="11063F8C" w14:textId="77777777" w:rsidR="00754B21" w:rsidRPr="00754B21" w:rsidRDefault="00267090" w:rsidP="00754B21">
      <w:pPr>
        <w:numPr>
          <w:ilvl w:val="0"/>
          <w:numId w:val="107"/>
        </w:numPr>
        <w:rPr>
          <w:lang w:val="en-GB"/>
        </w:rPr>
      </w:pPr>
      <w:hyperlink r:id="rId45" w:history="1">
        <w:r w:rsidR="00754B21" w:rsidRPr="00754B21">
          <w:rPr>
            <w:rStyle w:val="Hyperlink"/>
            <w:lang w:val="en-GB"/>
          </w:rPr>
          <w:t>High-speed indoor Visible Light Communication: New ITU standard nearing approval</w:t>
        </w:r>
      </w:hyperlink>
      <w:r w:rsidR="00754B21" w:rsidRPr="00754B21">
        <w:rPr>
          <w:lang w:val="en-GB"/>
        </w:rPr>
        <w:t xml:space="preserve"> </w:t>
      </w:r>
    </w:p>
    <w:p w14:paraId="37C09682" w14:textId="77777777" w:rsidR="00754B21" w:rsidRPr="00754B21" w:rsidRDefault="00754B21" w:rsidP="00754B21">
      <w:pPr>
        <w:rPr>
          <w:lang w:val="en-GB"/>
        </w:rPr>
      </w:pPr>
      <w:r w:rsidRPr="00754B21">
        <w:rPr>
          <w:lang w:val="en-GB"/>
        </w:rPr>
        <w:lastRenderedPageBreak/>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‘error vector magnitude’ metric from wireless communications to optical transport. ITU-T as started validating the ‘error vector magnitude’ metric for 16QAM modulation with a view to standardizing 400G line interfaces. </w:t>
      </w:r>
    </w:p>
    <w:p w14:paraId="725AB8FD" w14:textId="77777777" w:rsidR="00754B21" w:rsidRPr="00754B21" w:rsidRDefault="00267090" w:rsidP="00754B21">
      <w:pPr>
        <w:numPr>
          <w:ilvl w:val="0"/>
          <w:numId w:val="110"/>
        </w:numPr>
        <w:rPr>
          <w:lang w:val="en-GB"/>
        </w:rPr>
      </w:pPr>
      <w:hyperlink r:id="rId46" w:history="1">
        <w:r w:rsidR="00754B21" w:rsidRPr="00754B21">
          <w:rPr>
            <w:rStyle w:val="Hyperlink"/>
            <w:lang w:val="en-GB"/>
          </w:rPr>
          <w:t>ITU delivers the first multi-vendor interoperable 100G coherent line interfaces</w:t>
        </w:r>
      </w:hyperlink>
    </w:p>
    <w:p w14:paraId="1D77B1DB" w14:textId="77777777" w:rsidR="00754B21" w:rsidRPr="00754B21" w:rsidRDefault="00754B21" w:rsidP="00754B21">
      <w:r w:rsidRPr="00754B21">
        <w:t>New ITU standards aim to bring high-speed broadband services to rural communities with lightweight, terabit-capable optical cable that can be deployed on the ground’s surface with minimal expense and environmental impact. The standards are giving developing countries the confidence to consider the rollout of optical networks in some of the world’s most challenging conditions. Nepal, for example, has highlighted its intention to use ITU-standardized lightweight optical cable to connect places as remote as Mount Everest Base Camp and Annapurna Trekking Trail.</w:t>
      </w:r>
    </w:p>
    <w:p w14:paraId="13EEE06C" w14:textId="77777777" w:rsidR="00754B21" w:rsidRPr="00754B21" w:rsidRDefault="00267090" w:rsidP="00754B21">
      <w:pPr>
        <w:numPr>
          <w:ilvl w:val="0"/>
          <w:numId w:val="109"/>
        </w:numPr>
        <w:rPr>
          <w:lang w:val="en-GB"/>
        </w:rPr>
      </w:pPr>
      <w:hyperlink r:id="rId47" w:history="1">
        <w:r w:rsidR="00754B21" w:rsidRPr="00754B21">
          <w:rPr>
            <w:rStyle w:val="Hyperlink"/>
            <w:lang w:val="en-GB"/>
          </w:rPr>
          <w:t>New ITU standards bring broadband to places as remote as Mount Everest</w:t>
        </w:r>
      </w:hyperlink>
    </w:p>
    <w:p w14:paraId="336BEEAB" w14:textId="77777777" w:rsidR="003C7372" w:rsidRPr="00754B21" w:rsidRDefault="003C7372" w:rsidP="003C7372">
      <w:pPr>
        <w:rPr>
          <w:lang w:val="en-GB"/>
        </w:rPr>
      </w:pPr>
      <w:r w:rsidRPr="00754B21">
        <w:rPr>
          <w:lang w:val="en-GB"/>
        </w:rPr>
        <w:t xml:space="preserve">More than 100 cities worldwide are measuring their progress using ‘Key Performance Indicators for Smart Sustainable Cities’ based on ITU standards, indicators promoted by the ‘United for Smart Sustainable Cities (U4SSC) initiative’.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4EAFE5C5" w14:textId="77777777" w:rsidR="003C7372" w:rsidRPr="00754B21" w:rsidRDefault="00267090" w:rsidP="003C7372">
      <w:pPr>
        <w:numPr>
          <w:ilvl w:val="0"/>
          <w:numId w:val="118"/>
        </w:numPr>
        <w:rPr>
          <w:lang w:val="en-GB"/>
        </w:rPr>
      </w:pPr>
      <w:hyperlink r:id="rId48" w:history="1">
        <w:r w:rsidR="003C7372" w:rsidRPr="00754B21">
          <w:rPr>
            <w:rStyle w:val="Hyperlink"/>
            <w:lang w:val="en-GB"/>
          </w:rPr>
          <w:t>New ITU case study maps the Moscow ‘smart city’ journey</w:t>
        </w:r>
      </w:hyperlink>
    </w:p>
    <w:p w14:paraId="4D0E93A0" w14:textId="77777777" w:rsidR="003C7372" w:rsidRPr="00754B21" w:rsidRDefault="003C7372" w:rsidP="003C7372">
      <w:pPr>
        <w:rPr>
          <w:lang w:val="en-GB"/>
        </w:rPr>
      </w:pPr>
      <w:r w:rsidRPr="00754B21">
        <w:rPr>
          <w:lang w:val="en-GB"/>
        </w:rPr>
        <w:t xml:space="preserve">A new ITU standard provides criteria for the evaluation of the environmental impact of mobile phones. The standard considers all stages of a mobile phone’s lifecycle, including end-of-life management. It also defines a minimum level of environmental performance. Another new ITU standard provides guidelines and certification schemes for e-waste recyclers. It addresses in particular the role played by the informal sector in e-waste collection and dismantling. </w:t>
      </w:r>
    </w:p>
    <w:p w14:paraId="10129667" w14:textId="540381AF" w:rsidR="003C7372" w:rsidRPr="003C7372" w:rsidRDefault="00267090" w:rsidP="00754B21">
      <w:pPr>
        <w:numPr>
          <w:ilvl w:val="0"/>
          <w:numId w:val="119"/>
        </w:numPr>
        <w:rPr>
          <w:lang w:val="en-GB"/>
        </w:rPr>
      </w:pPr>
      <w:hyperlink r:id="rId49" w:history="1">
        <w:r w:rsidR="003C7372" w:rsidRPr="00754B21">
          <w:rPr>
            <w:rStyle w:val="Hyperlink"/>
            <w:lang w:val="en-GB"/>
          </w:rPr>
          <w:t>Progress update on ITU standardization for environment and circular economy</w:t>
        </w:r>
      </w:hyperlink>
    </w:p>
    <w:p w14:paraId="4E245C1C" w14:textId="6DEBF493" w:rsidR="00754B21" w:rsidRPr="00754B21" w:rsidRDefault="00754B21" w:rsidP="00754B21">
      <w:r w:rsidRPr="00754B21">
        <w:rPr>
          <w:lang w:val="en-GB"/>
        </w:rPr>
        <w:t xml:space="preserve">Two new ITU standards aim to overcome the security limitations of passwords, addressing biometric authentication on mobile devices and the use of external authenticators, such as mobile devices, to authenticate Web users. </w:t>
      </w:r>
      <w:r w:rsidRPr="00754B21">
        <w:t>The specifications were submitted to ITU by the FIDO Alliance</w:t>
      </w:r>
      <w:r w:rsidRPr="00754B21">
        <w:rPr>
          <w:lang w:val="en-GB"/>
        </w:rPr>
        <w:t xml:space="preserve"> </w:t>
      </w:r>
      <w:r w:rsidRPr="00754B21">
        <w:t>(‘Fast Identity Online’),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63EE85F2" w14:textId="77777777" w:rsidR="00754B21" w:rsidRPr="00754B21" w:rsidRDefault="00267090" w:rsidP="00754B21">
      <w:pPr>
        <w:numPr>
          <w:ilvl w:val="0"/>
          <w:numId w:val="108"/>
        </w:numPr>
        <w:rPr>
          <w:lang w:val="en-GB"/>
        </w:rPr>
      </w:pPr>
      <w:hyperlink r:id="rId50" w:history="1">
        <w:r w:rsidR="00754B21" w:rsidRPr="00754B21">
          <w:rPr>
            <w:rStyle w:val="Hyperlink"/>
            <w:lang w:val="en-GB"/>
          </w:rPr>
          <w:t>New ITU standards to overcome the security limitations of passwords</w:t>
        </w:r>
      </w:hyperlink>
      <w:r w:rsidR="00754B21" w:rsidRPr="00754B21">
        <w:rPr>
          <w:lang w:val="en-GB"/>
        </w:rPr>
        <w:t xml:space="preserve"> </w:t>
      </w:r>
    </w:p>
    <w:p w14:paraId="509584B5" w14:textId="77777777" w:rsidR="00754B21" w:rsidRPr="00754B21" w:rsidRDefault="00267090" w:rsidP="00754B21">
      <w:pPr>
        <w:numPr>
          <w:ilvl w:val="0"/>
          <w:numId w:val="108"/>
        </w:numPr>
        <w:rPr>
          <w:lang w:val="en-GB"/>
        </w:rPr>
      </w:pPr>
      <w:hyperlink r:id="rId51" w:history="1">
        <w:r w:rsidR="00754B21" w:rsidRPr="00754B21">
          <w:rPr>
            <w:rStyle w:val="Hyperlink"/>
            <w:lang w:val="en-GB"/>
          </w:rPr>
          <w:t>Time to eliminate the password: New report on next-generation authentication for digital financial services</w:t>
        </w:r>
      </w:hyperlink>
    </w:p>
    <w:p w14:paraId="1310EDE5" w14:textId="22173FDC" w:rsidR="00754B21" w:rsidRPr="000C01CD" w:rsidRDefault="00D87AB7" w:rsidP="000C01CD">
      <w:r>
        <w:t xml:space="preserve">The </w:t>
      </w:r>
      <w:r w:rsidR="004406DA">
        <w:t xml:space="preserve">new </w:t>
      </w:r>
      <w:r>
        <w:t>ITU-WHO Safe Listening Toolkit</w:t>
      </w:r>
      <w:r w:rsidR="00754B21" w:rsidRPr="00754B21">
        <w:t xml:space="preserve"> provides practical guidance relevant to the adoption of the ITU standard on the safe listening of </w:t>
      </w:r>
      <w:r w:rsidR="00111D4E" w:rsidRPr="00111D4E">
        <w:t>'personal or portable audio syste</w:t>
      </w:r>
      <w:r w:rsidR="00111D4E">
        <w:t>ms' (</w:t>
      </w:r>
      <w:r w:rsidR="00111D4E" w:rsidRPr="00111D4E">
        <w:t>particularly music players</w:t>
      </w:r>
      <w:r w:rsidR="00111D4E">
        <w:t>)</w:t>
      </w:r>
      <w:r w:rsidR="00754B21" w:rsidRPr="00754B21">
        <w:t xml:space="preserve">, in support of the WHO ‘Make Listening Safe’ initiative. The standard and associated toolkit aim to prevent audio devices from causing ‘sound-induced hearing loss’, the world’s leading cause of preventable hearing loss. In addition, a new ITU standard provides safe listening guidelines </w:t>
      </w:r>
      <w:r w:rsidR="000C01CD">
        <w:t xml:space="preserve">for personal sound amplifiers. </w:t>
      </w:r>
      <w:r w:rsidR="000C01CD" w:rsidRPr="000C01CD">
        <w:t>Future standards in the series are expected to address communications and assistive devices as well as gaming consoles.</w:t>
      </w:r>
    </w:p>
    <w:p w14:paraId="0B833160" w14:textId="77777777" w:rsidR="00754B21" w:rsidRPr="00754B21" w:rsidRDefault="00267090" w:rsidP="00754B21">
      <w:pPr>
        <w:numPr>
          <w:ilvl w:val="0"/>
          <w:numId w:val="111"/>
        </w:numPr>
        <w:rPr>
          <w:lang w:val="en-GB"/>
        </w:rPr>
      </w:pPr>
      <w:hyperlink r:id="rId52" w:history="1">
        <w:r w:rsidR="00754B21" w:rsidRPr="00754B21">
          <w:rPr>
            <w:rStyle w:val="Hyperlink"/>
            <w:lang w:val="en-GB"/>
          </w:rPr>
          <w:t>ITU and WHO launch ‘safe listening’ toolkit to protect people’s hearing</w:t>
        </w:r>
      </w:hyperlink>
    </w:p>
    <w:p w14:paraId="4309F8C8" w14:textId="77777777" w:rsidR="00754B21" w:rsidRPr="00754B21" w:rsidRDefault="00754B21" w:rsidP="00754B21">
      <w:r w:rsidRPr="00754B21">
        <w:t xml:space="preserve">ITU has established a </w:t>
      </w:r>
      <w:hyperlink r:id="rId53" w:anchor="?topic=0.131&amp;workgroup=1&amp;searchValue=&amp;page=1&amp;sort=Revelance" w:history="1">
        <w:r w:rsidRPr="00754B21">
          <w:rPr>
            <w:rStyle w:val="Hyperlink"/>
          </w:rPr>
          <w:t>new standards database</w:t>
        </w:r>
      </w:hyperlink>
      <w:r w:rsidRPr="00754B21">
        <w:t xml:space="preserve"> to assist the harmonization of standards for intelligent transport systems (ITS). The database includes ITS standards developed by all relevant standards bodies, providing a reference to all standards supporting connected vehicles and automated driving. </w:t>
      </w:r>
      <w:r w:rsidRPr="00754B21">
        <w:lastRenderedPageBreak/>
        <w:t xml:space="preserve">The database supports the Collaboration on ITS Communication Standards (CITS) in its work to ensure coherence and compatibility among ITS standards, an objective growing in importance as the deployment of ITS solutions accelerates worldwide. </w:t>
      </w:r>
    </w:p>
    <w:p w14:paraId="7099E061" w14:textId="77777777" w:rsidR="00754B21" w:rsidRPr="00754B21" w:rsidRDefault="00267090" w:rsidP="00754B21">
      <w:pPr>
        <w:numPr>
          <w:ilvl w:val="0"/>
          <w:numId w:val="112"/>
        </w:numPr>
        <w:rPr>
          <w:lang w:val="en-GB"/>
        </w:rPr>
      </w:pPr>
      <w:hyperlink r:id="rId54" w:history="1">
        <w:r w:rsidR="00754B21" w:rsidRPr="00754B21">
          <w:rPr>
            <w:rStyle w:val="Hyperlink"/>
            <w:lang w:val="en-GB"/>
          </w:rPr>
          <w:t>New ITU database to assist the harmonization of intelligent transport standards</w:t>
        </w:r>
      </w:hyperlink>
    </w:p>
    <w:p w14:paraId="5A41CD44" w14:textId="7305EF33" w:rsidR="00754B21" w:rsidRPr="00754B21" w:rsidRDefault="004178F8" w:rsidP="00754B21">
      <w:r>
        <w:t>Two new ITU standards address the relationship between voice QoS and 4G circuit-switched fallback,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fullband (20-20000 Hz)</w:t>
      </w:r>
      <w:r w:rsidR="00754B21" w:rsidRPr="00754B21">
        <w:t xml:space="preserve">. </w:t>
      </w:r>
    </w:p>
    <w:p w14:paraId="296C966D" w14:textId="77777777" w:rsidR="00754B21" w:rsidRPr="00754B21" w:rsidRDefault="00267090" w:rsidP="00754B21">
      <w:pPr>
        <w:numPr>
          <w:ilvl w:val="0"/>
          <w:numId w:val="113"/>
        </w:numPr>
        <w:rPr>
          <w:lang w:val="en-GB"/>
        </w:rPr>
      </w:pPr>
      <w:hyperlink r:id="rId55" w:history="1">
        <w:r w:rsidR="00754B21" w:rsidRPr="00754B21">
          <w:rPr>
            <w:rStyle w:val="Hyperlink"/>
            <w:lang w:val="en-GB"/>
          </w:rPr>
          <w:t>Webinar: ITU standards to measure IP performance and 4G voice quality</w:t>
        </w:r>
      </w:hyperlink>
    </w:p>
    <w:p w14:paraId="45D39C94" w14:textId="77777777" w:rsidR="00754B21" w:rsidRPr="00754B21" w:rsidRDefault="00754B21" w:rsidP="00754B21">
      <w:r w:rsidRPr="00754B21">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622AB075" w14:textId="77777777" w:rsidR="00754B21" w:rsidRPr="00754B21" w:rsidRDefault="00267090" w:rsidP="00754B21">
      <w:pPr>
        <w:numPr>
          <w:ilvl w:val="0"/>
          <w:numId w:val="114"/>
        </w:numPr>
        <w:rPr>
          <w:lang w:val="en-GB"/>
        </w:rPr>
      </w:pPr>
      <w:hyperlink r:id="rId56" w:history="1">
        <w:r w:rsidR="00754B21" w:rsidRPr="00754B21">
          <w:rPr>
            <w:rStyle w:val="Hyperlink"/>
            <w:lang w:val="en-GB"/>
          </w:rPr>
          <w:t>Quantum specialists are racing to join the ITU membership: ID Quantique explains why</w:t>
        </w:r>
      </w:hyperlink>
    </w:p>
    <w:p w14:paraId="1AC0586A" w14:textId="77777777" w:rsidR="00754B21" w:rsidRPr="00754B21" w:rsidRDefault="00267090" w:rsidP="00754B21">
      <w:pPr>
        <w:numPr>
          <w:ilvl w:val="0"/>
          <w:numId w:val="114"/>
        </w:numPr>
        <w:rPr>
          <w:lang w:val="en-GB"/>
        </w:rPr>
      </w:pPr>
      <w:hyperlink r:id="rId57" w:history="1">
        <w:r w:rsidR="00754B21" w:rsidRPr="00754B21">
          <w:rPr>
            <w:rStyle w:val="Hyperlink"/>
            <w:lang w:val="en-GB"/>
          </w:rPr>
          <w:t>How can quantum technologies make networking more secure? ITU workshop in Shanghai</w:t>
        </w:r>
      </w:hyperlink>
    </w:p>
    <w:p w14:paraId="600CA12A" w14:textId="77777777" w:rsidR="00754B21" w:rsidRPr="00754B21" w:rsidRDefault="00267090" w:rsidP="00754B21">
      <w:pPr>
        <w:numPr>
          <w:ilvl w:val="0"/>
          <w:numId w:val="114"/>
        </w:numPr>
        <w:rPr>
          <w:lang w:val="en-GB"/>
        </w:rPr>
      </w:pPr>
      <w:hyperlink r:id="rId58" w:history="1">
        <w:r w:rsidR="00754B21" w:rsidRPr="00754B21">
          <w:rPr>
            <w:rStyle w:val="Hyperlink"/>
            <w:lang w:val="en-GB"/>
          </w:rPr>
          <w:t>CTOs from China, Japan and Korea highlight standardization priorities</w:t>
        </w:r>
      </w:hyperlink>
    </w:p>
    <w:p w14:paraId="5F8FAD1C" w14:textId="12B71019" w:rsidR="00754B21" w:rsidRPr="00754B21" w:rsidRDefault="00754B21" w:rsidP="00754B21">
      <w:r w:rsidRPr="00754B21">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25F0F7BF" w14:textId="77777777" w:rsidR="00754B21" w:rsidRPr="00754B21" w:rsidRDefault="00267090" w:rsidP="00754B21">
      <w:pPr>
        <w:numPr>
          <w:ilvl w:val="0"/>
          <w:numId w:val="115"/>
        </w:numPr>
        <w:rPr>
          <w:lang w:val="en-GB"/>
        </w:rPr>
      </w:pPr>
      <w:hyperlink r:id="rId59" w:history="1">
        <w:r w:rsidR="00754B21" w:rsidRPr="00754B21">
          <w:rPr>
            <w:rStyle w:val="Hyperlink"/>
            <w:lang w:val="en-GB"/>
          </w:rPr>
          <w:t>ITU and Stanford University to launch new partnership supporting pilots of Digital Fiat Currency</w:t>
        </w:r>
      </w:hyperlink>
    </w:p>
    <w:p w14:paraId="285D156F" w14:textId="77777777" w:rsidR="00754B21" w:rsidRPr="00754B21" w:rsidRDefault="00754B21" w:rsidP="00754B21">
      <w:r w:rsidRPr="00754B21">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160BFBE6" w14:textId="77777777" w:rsidR="00754B21" w:rsidRPr="00754B21" w:rsidRDefault="00267090" w:rsidP="00754B21">
      <w:pPr>
        <w:numPr>
          <w:ilvl w:val="0"/>
          <w:numId w:val="116"/>
        </w:numPr>
        <w:rPr>
          <w:lang w:val="en-GB"/>
        </w:rPr>
      </w:pPr>
      <w:hyperlink r:id="rId60" w:history="1">
        <w:r w:rsidR="00754B21" w:rsidRPr="00754B21">
          <w:rPr>
            <w:rStyle w:val="Hyperlink"/>
            <w:lang w:val="en-GB"/>
          </w:rPr>
          <w:t>New ITU Recommendation provides parameters for a collaborative framework for OTTs</w:t>
        </w:r>
      </w:hyperlink>
    </w:p>
    <w:p w14:paraId="64CB5F59" w14:textId="77777777" w:rsidR="00754B21" w:rsidRPr="00754B21" w:rsidRDefault="00754B21" w:rsidP="00754B21">
      <w:pPr>
        <w:rPr>
          <w:lang w:val="en-GB"/>
        </w:rPr>
      </w:pPr>
      <w:r w:rsidRPr="00754B21">
        <w:rPr>
          <w:lang w:val="en-GB"/>
        </w:rPr>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6915CD65" w14:textId="77777777" w:rsidR="00754B21" w:rsidRPr="00754B21" w:rsidRDefault="00267090" w:rsidP="00754B21">
      <w:pPr>
        <w:numPr>
          <w:ilvl w:val="0"/>
          <w:numId w:val="117"/>
        </w:numPr>
        <w:rPr>
          <w:lang w:val="en-GB"/>
        </w:rPr>
      </w:pPr>
      <w:hyperlink r:id="rId61" w:history="1">
        <w:r w:rsidR="00754B21" w:rsidRPr="00754B21">
          <w:rPr>
            <w:rStyle w:val="Hyperlink"/>
            <w:lang w:val="en-GB"/>
          </w:rPr>
          <w:t>Progress update on ITU standardization for protocols, test specifications and combatting counterfeiting</w:t>
        </w:r>
      </w:hyperlink>
    </w:p>
    <w:p w14:paraId="05BE9DFF" w14:textId="77777777" w:rsidR="00754B21" w:rsidRPr="00754B21" w:rsidRDefault="00754B21" w:rsidP="00754B21">
      <w:r w:rsidRPr="00754B21">
        <w:lastRenderedPageBreak/>
        <w:t>Focus Groups are formed in response to immediate ICT standardization demands, tasked with establishing the basis for subsequent standardization work in ITU-T Study Groups. These groups are the place to explore new directions in ITU standardization.</w:t>
      </w:r>
    </w:p>
    <w:p w14:paraId="7CBFFD99" w14:textId="77777777" w:rsidR="00754B21" w:rsidRPr="00754B21" w:rsidRDefault="00754B21" w:rsidP="00754B21">
      <w:pPr>
        <w:rPr>
          <w:b/>
        </w:rPr>
      </w:pPr>
      <w:r w:rsidRPr="00754B21">
        <w:t>Three ITU-T Focus Groups have concluded their activities</w:t>
      </w:r>
      <w:r w:rsidRPr="00754B21">
        <w:rPr>
          <w:b/>
        </w:rPr>
        <w:t xml:space="preserve">: </w:t>
      </w:r>
    </w:p>
    <w:p w14:paraId="6C70DF19" w14:textId="1454EC3B" w:rsidR="00754B21" w:rsidRPr="00754B21" w:rsidRDefault="00267090" w:rsidP="00754B21">
      <w:pPr>
        <w:numPr>
          <w:ilvl w:val="0"/>
          <w:numId w:val="120"/>
        </w:numPr>
        <w:rPr>
          <w:lang w:val="en-GB"/>
        </w:rPr>
      </w:pPr>
      <w:hyperlink r:id="rId62" w:history="1">
        <w:r w:rsidR="00754B21" w:rsidRPr="00754B21">
          <w:rPr>
            <w:rStyle w:val="Hyperlink"/>
            <w:lang w:val="en-GB"/>
          </w:rPr>
          <w:t xml:space="preserve">Data Processing and Management to support IoT and Smart Cities </w:t>
        </w:r>
        <w:r w:rsidR="002522DA">
          <w:rPr>
            <w:rStyle w:val="Hyperlink"/>
            <w:lang w:val="en-GB"/>
          </w:rPr>
          <w:t>&amp;</w:t>
        </w:r>
        <w:r w:rsidR="00754B21" w:rsidRPr="00754B21">
          <w:rPr>
            <w:rStyle w:val="Hyperlink"/>
            <w:lang w:val="en-GB"/>
          </w:rPr>
          <w:t xml:space="preserve"> Communities</w:t>
        </w:r>
      </w:hyperlink>
      <w:r w:rsidR="00754B21" w:rsidRPr="00754B21">
        <w:rPr>
          <w:lang w:val="en-GB"/>
        </w:rPr>
        <w:t xml:space="preserve"> </w:t>
      </w:r>
    </w:p>
    <w:p w14:paraId="7D5C20CB" w14:textId="77777777" w:rsidR="002522DA" w:rsidRPr="00754B21" w:rsidRDefault="00267090" w:rsidP="002522DA">
      <w:pPr>
        <w:numPr>
          <w:ilvl w:val="0"/>
          <w:numId w:val="120"/>
        </w:numPr>
        <w:rPr>
          <w:lang w:val="en-GB"/>
        </w:rPr>
      </w:pPr>
      <w:hyperlink r:id="rId63" w:history="1">
        <w:r w:rsidR="002522DA" w:rsidRPr="00754B21">
          <w:rPr>
            <w:rStyle w:val="Hyperlink"/>
            <w:lang w:val="en-GB"/>
          </w:rPr>
          <w:t>Digital Currency including Digital Fiat Currency</w:t>
        </w:r>
      </w:hyperlink>
    </w:p>
    <w:p w14:paraId="412BC07C" w14:textId="77777777" w:rsidR="00754B21" w:rsidRPr="00754B21" w:rsidRDefault="00267090" w:rsidP="00754B21">
      <w:pPr>
        <w:numPr>
          <w:ilvl w:val="0"/>
          <w:numId w:val="120"/>
        </w:numPr>
        <w:rPr>
          <w:lang w:val="en-GB"/>
        </w:rPr>
      </w:pPr>
      <w:hyperlink r:id="rId64" w:history="1">
        <w:r w:rsidR="00754B21" w:rsidRPr="00754B21">
          <w:rPr>
            <w:rStyle w:val="Hyperlink"/>
            <w:lang w:val="en-GB"/>
          </w:rPr>
          <w:t>Application of Distributed Ledger Technology</w:t>
        </w:r>
      </w:hyperlink>
    </w:p>
    <w:p w14:paraId="5A7FEFAF" w14:textId="77777777" w:rsidR="00754B21" w:rsidRPr="007064AE" w:rsidRDefault="00754B21" w:rsidP="00754B21">
      <w:pPr>
        <w:rPr>
          <w:lang w:val="fr-FR"/>
        </w:rPr>
      </w:pPr>
      <w:r w:rsidRPr="007064AE">
        <w:rPr>
          <w:lang w:val="fr-FR"/>
        </w:rPr>
        <w:t>Active ITU-T Focus Groups:</w:t>
      </w:r>
    </w:p>
    <w:p w14:paraId="791AF40C" w14:textId="77777777" w:rsidR="00754B21" w:rsidRPr="00754B21" w:rsidRDefault="00267090" w:rsidP="00754B21">
      <w:pPr>
        <w:numPr>
          <w:ilvl w:val="0"/>
          <w:numId w:val="121"/>
        </w:numPr>
        <w:rPr>
          <w:lang w:val="en-GB"/>
        </w:rPr>
      </w:pPr>
      <w:hyperlink r:id="rId65" w:history="1">
        <w:r w:rsidR="00754B21" w:rsidRPr="00754B21">
          <w:rPr>
            <w:rStyle w:val="Hyperlink"/>
            <w:lang w:val="en-GB"/>
          </w:rPr>
          <w:t xml:space="preserve">Artificial Intelligence for Health </w:t>
        </w:r>
      </w:hyperlink>
    </w:p>
    <w:p w14:paraId="1A116AA5" w14:textId="77777777" w:rsidR="00754B21" w:rsidRPr="00754B21" w:rsidRDefault="00267090" w:rsidP="00754B21">
      <w:pPr>
        <w:numPr>
          <w:ilvl w:val="0"/>
          <w:numId w:val="121"/>
        </w:numPr>
        <w:rPr>
          <w:lang w:val="en-GB"/>
        </w:rPr>
      </w:pPr>
      <w:hyperlink r:id="rId66" w:history="1">
        <w:r w:rsidR="00754B21" w:rsidRPr="00754B21">
          <w:rPr>
            <w:rStyle w:val="Hyperlink"/>
            <w:lang w:val="en-GB"/>
          </w:rPr>
          <w:t>Machine Learning for Future Networks including 5G</w:t>
        </w:r>
      </w:hyperlink>
    </w:p>
    <w:p w14:paraId="29350034" w14:textId="77777777" w:rsidR="00754B21" w:rsidRPr="00754B21" w:rsidRDefault="00267090" w:rsidP="00754B21">
      <w:pPr>
        <w:numPr>
          <w:ilvl w:val="0"/>
          <w:numId w:val="121"/>
        </w:numPr>
        <w:rPr>
          <w:lang w:val="en-GB"/>
        </w:rPr>
      </w:pPr>
      <w:hyperlink r:id="rId67" w:history="1">
        <w:r w:rsidR="00754B21" w:rsidRPr="00754B21">
          <w:rPr>
            <w:rStyle w:val="Hyperlink"/>
            <w:lang w:val="en-GB"/>
          </w:rPr>
          <w:t>Vehicular Multimedia</w:t>
        </w:r>
      </w:hyperlink>
    </w:p>
    <w:p w14:paraId="71559092" w14:textId="77777777" w:rsidR="00754B21" w:rsidRPr="00754B21" w:rsidRDefault="00267090" w:rsidP="00754B21">
      <w:pPr>
        <w:numPr>
          <w:ilvl w:val="0"/>
          <w:numId w:val="121"/>
        </w:numPr>
        <w:rPr>
          <w:lang w:val="en-GB"/>
        </w:rPr>
      </w:pPr>
      <w:hyperlink r:id="rId68" w:history="1">
        <w:r w:rsidR="00754B21" w:rsidRPr="00754B21">
          <w:rPr>
            <w:rStyle w:val="Hyperlink"/>
            <w:lang w:val="en-GB"/>
          </w:rPr>
          <w:t>Technologies for Network 2030</w:t>
        </w:r>
      </w:hyperlink>
    </w:p>
    <w:p w14:paraId="58FE2917" w14:textId="1C758FC9" w:rsidR="0030657A" w:rsidRPr="00C82DE5" w:rsidRDefault="00267090" w:rsidP="008A2F29">
      <w:pPr>
        <w:numPr>
          <w:ilvl w:val="0"/>
          <w:numId w:val="121"/>
        </w:numPr>
        <w:rPr>
          <w:lang w:val="en-GB"/>
        </w:rPr>
      </w:pPr>
      <w:hyperlink r:id="rId69" w:history="1">
        <w:r w:rsidR="00754B21" w:rsidRPr="00754B21">
          <w:rPr>
            <w:rStyle w:val="Hyperlink"/>
            <w:lang w:val="en-GB"/>
          </w:rPr>
          <w:t>Environmental Efficiency for Artificial Intelligence and other Emerging Technologies</w:t>
        </w:r>
      </w:hyperlink>
    </w:p>
    <w:p w14:paraId="54B5A0A5" w14:textId="67029BEC" w:rsidR="006944F8" w:rsidRPr="00C1421E" w:rsidRDefault="00653C5B" w:rsidP="001A5609">
      <w:pPr>
        <w:pStyle w:val="Heading1"/>
        <w:rPr>
          <w:rFonts w:eastAsiaTheme="minorEastAsia"/>
        </w:rPr>
      </w:pPr>
      <w:bookmarkStart w:id="16" w:name="_2.8_IPTV_and"/>
      <w:bookmarkStart w:id="17" w:name="a353677d2-7347-4cd3-8301-15d8ee365aeb"/>
      <w:bookmarkStart w:id="18" w:name="_3.4_e-Health"/>
      <w:bookmarkStart w:id="19" w:name="_3.6_Aviation_applications"/>
      <w:bookmarkStart w:id="20" w:name="_Toc416161352"/>
      <w:bookmarkStart w:id="21" w:name="_Toc438553972"/>
      <w:bookmarkStart w:id="22" w:name="_Toc453929091"/>
      <w:bookmarkStart w:id="23" w:name="_Toc453932962"/>
      <w:bookmarkStart w:id="24" w:name="_Toc454295868"/>
      <w:bookmarkStart w:id="25" w:name="_Toc462664223"/>
      <w:bookmarkStart w:id="26" w:name="_Toc480527817"/>
      <w:bookmarkStart w:id="27" w:name="_Toc18509736"/>
      <w:bookmarkEnd w:id="5"/>
      <w:bookmarkEnd w:id="6"/>
      <w:bookmarkEnd w:id="7"/>
      <w:bookmarkEnd w:id="8"/>
      <w:bookmarkEnd w:id="9"/>
      <w:bookmarkEnd w:id="10"/>
      <w:bookmarkEnd w:id="11"/>
      <w:bookmarkEnd w:id="12"/>
      <w:bookmarkEnd w:id="13"/>
      <w:bookmarkEnd w:id="15"/>
      <w:bookmarkEnd w:id="16"/>
      <w:bookmarkEnd w:id="17"/>
      <w:bookmarkEnd w:id="18"/>
      <w:bookmarkEnd w:id="19"/>
      <w:r w:rsidRPr="00C1421E">
        <w:rPr>
          <w:rFonts w:eastAsiaTheme="minorEastAsia"/>
        </w:rPr>
        <w:t>2</w:t>
      </w:r>
      <w:r w:rsidR="006944F8" w:rsidRPr="00C1421E">
        <w:rPr>
          <w:rFonts w:eastAsiaTheme="minorEastAsia"/>
        </w:rPr>
        <w:tab/>
        <w:t>Conformity, interoperability</w:t>
      </w:r>
      <w:bookmarkEnd w:id="20"/>
      <w:r w:rsidR="006944F8" w:rsidRPr="00C1421E">
        <w:rPr>
          <w:rFonts w:eastAsiaTheme="minorEastAsia"/>
        </w:rPr>
        <w:t xml:space="preserve"> and testing</w:t>
      </w:r>
      <w:bookmarkEnd w:id="21"/>
      <w:bookmarkEnd w:id="22"/>
      <w:bookmarkEnd w:id="23"/>
      <w:bookmarkEnd w:id="24"/>
      <w:bookmarkEnd w:id="25"/>
      <w:bookmarkEnd w:id="26"/>
      <w:bookmarkEnd w:id="27"/>
    </w:p>
    <w:p w14:paraId="1F7CA4EA" w14:textId="0A4F64A6" w:rsidR="006944F8" w:rsidRPr="00C1421E" w:rsidRDefault="00653C5B" w:rsidP="001A5609">
      <w:pPr>
        <w:pStyle w:val="Heading2"/>
      </w:pPr>
      <w:bookmarkStart w:id="28" w:name="_Toc462664224"/>
      <w:bookmarkStart w:id="29" w:name="_Toc480527818"/>
      <w:bookmarkStart w:id="30" w:name="_Toc18509737"/>
      <w:bookmarkStart w:id="31" w:name="_Toc453929092"/>
      <w:bookmarkStart w:id="32" w:name="_Toc453932963"/>
      <w:bookmarkStart w:id="33" w:name="_Toc454295869"/>
      <w:r w:rsidRPr="00C1421E">
        <w:t>2</w:t>
      </w:r>
      <w:r w:rsidR="006944F8" w:rsidRPr="00C1421E">
        <w:t>.1</w:t>
      </w:r>
      <w:r w:rsidR="006944F8" w:rsidRPr="00C1421E">
        <w:tab/>
        <w:t>Conform</w:t>
      </w:r>
      <w:r w:rsidR="00E12728" w:rsidRPr="00C1421E">
        <w:t>ity</w:t>
      </w:r>
      <w:r w:rsidR="006944F8" w:rsidRPr="00C1421E">
        <w:t xml:space="preserve"> Assessment Steering Committee (CASC)</w:t>
      </w:r>
      <w:bookmarkEnd w:id="28"/>
      <w:bookmarkEnd w:id="29"/>
      <w:bookmarkEnd w:id="30"/>
    </w:p>
    <w:p w14:paraId="0BCF79D5" w14:textId="16E6CC45" w:rsidR="006944F8" w:rsidRDefault="006944F8" w:rsidP="006944F8">
      <w:pPr>
        <w:snapToGrid w:val="0"/>
        <w:rPr>
          <w:lang w:val="en-GB"/>
        </w:rPr>
      </w:pPr>
      <w:r w:rsidRPr="00754B21">
        <w:rPr>
          <w:lang w:val="en-GB"/>
        </w:rPr>
        <w:t xml:space="preserve">The main objective of ITU-T CASC is to set up criteria, rules and procedures to recognize Test Laboratories (TL) with competence in ITU-T Recommendation(s) and register these TLs in </w:t>
      </w:r>
      <w:r w:rsidR="007E3D24">
        <w:rPr>
          <w:lang w:val="en-GB"/>
        </w:rPr>
        <w:t xml:space="preserve">a list of </w:t>
      </w:r>
      <w:r w:rsidRPr="00754B21">
        <w:rPr>
          <w:lang w:val="en-GB"/>
        </w:rPr>
        <w:t>ITU</w:t>
      </w:r>
      <w:r w:rsidR="007E3D24">
        <w:rPr>
          <w:lang w:val="en-GB"/>
        </w:rPr>
        <w:t>-</w:t>
      </w:r>
      <w:r w:rsidRPr="00754B21">
        <w:rPr>
          <w:lang w:val="en-GB"/>
        </w:rPr>
        <w:t>recognized TL</w:t>
      </w:r>
      <w:r w:rsidR="007E3D24">
        <w:rPr>
          <w:lang w:val="en-GB"/>
        </w:rPr>
        <w:t>s</w:t>
      </w:r>
      <w:r w:rsidRPr="00754B21">
        <w:rPr>
          <w:lang w:val="en-GB"/>
        </w:rPr>
        <w:t xml:space="preserve">. This effort is supported by a guideline </w:t>
      </w:r>
      <w:r w:rsidR="00CA2D85" w:rsidRPr="00754B21">
        <w:rPr>
          <w:lang w:val="en-GB"/>
        </w:rPr>
        <w:t>"</w:t>
      </w:r>
      <w:r w:rsidRPr="00754B21">
        <w:rPr>
          <w:lang w:val="en-GB"/>
        </w:rPr>
        <w:t>Testing laboratories recognition procedure</w:t>
      </w:r>
      <w:r w:rsidR="00CA2D85" w:rsidRPr="00754B21">
        <w:rPr>
          <w:lang w:val="en-GB"/>
        </w:rPr>
        <w:t>"</w:t>
      </w:r>
      <w:r w:rsidRPr="00754B21">
        <w:rPr>
          <w:lang w:val="en-GB"/>
        </w:rPr>
        <w:t xml:space="preserve"> agreed by ITU-T SG11 in 2015. According to requests received from ITU members and ITU-T Study Groups, ITU-T CASC </w:t>
      </w:r>
      <w:r w:rsidR="00754B21">
        <w:rPr>
          <w:lang w:val="en-GB"/>
        </w:rPr>
        <w:t xml:space="preserve">has </w:t>
      </w:r>
      <w:r w:rsidRPr="00754B21">
        <w:rPr>
          <w:lang w:val="en-GB"/>
        </w:rPr>
        <w:t>established a list of ITU-T Recommendations (e.g., ITU-T P.1140, ITU-T P.1100 and P.1110, and ITU-T K.116) which may become subjects of future joint certification schemes.</w:t>
      </w:r>
    </w:p>
    <w:p w14:paraId="28382E74" w14:textId="797BAC1C" w:rsidR="00851D80" w:rsidRDefault="00851D80" w:rsidP="00851D80">
      <w:pPr>
        <w:rPr>
          <w:lang w:val="en-GB"/>
        </w:rPr>
      </w:pPr>
      <w:r>
        <w:rPr>
          <w:lang w:val="en-GB"/>
        </w:rPr>
        <w:t xml:space="preserve">ITU-T CASC is </w:t>
      </w:r>
      <w:r w:rsidRPr="007A497F">
        <w:rPr>
          <w:lang w:val="en-GB"/>
        </w:rPr>
        <w:t>develop</w:t>
      </w:r>
      <w:r>
        <w:rPr>
          <w:lang w:val="en-GB"/>
        </w:rPr>
        <w:t>ing</w:t>
      </w:r>
      <w:r w:rsidRPr="007A497F">
        <w:rPr>
          <w:lang w:val="en-GB"/>
        </w:rPr>
        <w:t xml:space="preserve"> a joint ITU/IEC certification scheme </w:t>
      </w:r>
      <w:r>
        <w:rPr>
          <w:lang w:val="en-GB"/>
        </w:rPr>
        <w:t>in collaboration with IECEE.</w:t>
      </w:r>
      <w:r w:rsidRPr="007A497F">
        <w:rPr>
          <w:lang w:val="en-GB"/>
        </w:rPr>
        <w:t xml:space="preserve"> </w:t>
      </w:r>
      <w:r w:rsidR="00270B63" w:rsidRPr="00754B21">
        <w:rPr>
          <w:lang w:val="en-GB"/>
        </w:rPr>
        <w:t xml:space="preserve">This service would be organized and arranged </w:t>
      </w:r>
      <w:r w:rsidR="00270B63">
        <w:rPr>
          <w:lang w:val="en-GB"/>
        </w:rPr>
        <w:t xml:space="preserve">by </w:t>
      </w:r>
      <w:r w:rsidR="00270B63" w:rsidRPr="00754B21">
        <w:rPr>
          <w:lang w:val="en-GB"/>
        </w:rPr>
        <w:t xml:space="preserve">IECEE based on </w:t>
      </w:r>
      <w:r w:rsidR="00270B63">
        <w:rPr>
          <w:lang w:val="en-GB"/>
        </w:rPr>
        <w:t xml:space="preserve">the </w:t>
      </w:r>
      <w:r w:rsidR="00270B63" w:rsidRPr="00754B21">
        <w:rPr>
          <w:lang w:val="en-GB"/>
        </w:rPr>
        <w:t>IECEE peer</w:t>
      </w:r>
      <w:r w:rsidR="00270B63">
        <w:rPr>
          <w:lang w:val="en-GB"/>
        </w:rPr>
        <w:t>-</w:t>
      </w:r>
      <w:r w:rsidR="00270B63" w:rsidRPr="00754B21">
        <w:rPr>
          <w:lang w:val="en-GB"/>
        </w:rPr>
        <w:t>assessment program</w:t>
      </w:r>
      <w:r w:rsidR="00270B63">
        <w:rPr>
          <w:lang w:val="en-GB"/>
        </w:rPr>
        <w:t>me</w:t>
      </w:r>
      <w:r w:rsidR="00270B63" w:rsidRPr="00754B21">
        <w:rPr>
          <w:lang w:val="en-GB"/>
        </w:rPr>
        <w:t xml:space="preserve">, </w:t>
      </w:r>
      <w:r w:rsidR="00270B63">
        <w:rPr>
          <w:lang w:val="en-GB"/>
        </w:rPr>
        <w:t xml:space="preserve">leveraging </w:t>
      </w:r>
      <w:r w:rsidR="00270B63" w:rsidRPr="00754B21">
        <w:rPr>
          <w:lang w:val="en-GB"/>
        </w:rPr>
        <w:t>ITU-T technical experts nominated by ITU-T CASC.</w:t>
      </w:r>
    </w:p>
    <w:p w14:paraId="2732EFAF" w14:textId="77777777" w:rsidR="00851D80" w:rsidRDefault="00851D80" w:rsidP="008A2F29">
      <w:pPr>
        <w:rPr>
          <w:lang w:val="en-GB"/>
        </w:rPr>
      </w:pPr>
      <w:r w:rsidRPr="007A497F">
        <w:rPr>
          <w:lang w:val="en-GB"/>
        </w:rPr>
        <w:t xml:space="preserve">ITU-T CASC </w:t>
      </w:r>
      <w:r>
        <w:rPr>
          <w:lang w:val="en-GB"/>
        </w:rPr>
        <w:t xml:space="preserve">has </w:t>
      </w:r>
      <w:r w:rsidRPr="007A497F">
        <w:rPr>
          <w:lang w:val="en-GB"/>
        </w:rPr>
        <w:t>requested all ITU-T S</w:t>
      </w:r>
      <w:r>
        <w:rPr>
          <w:lang w:val="en-GB"/>
        </w:rPr>
        <w:t xml:space="preserve">tudy </w:t>
      </w:r>
      <w:r w:rsidRPr="007A497F">
        <w:rPr>
          <w:lang w:val="en-GB"/>
        </w:rPr>
        <w:t>G</w:t>
      </w:r>
      <w:r>
        <w:rPr>
          <w:lang w:val="en-GB"/>
        </w:rPr>
        <w:t>roup</w:t>
      </w:r>
      <w:r w:rsidRPr="007A497F">
        <w:rPr>
          <w:lang w:val="en-GB"/>
        </w:rPr>
        <w:t xml:space="preserve">s to </w:t>
      </w:r>
      <w:r>
        <w:rPr>
          <w:lang w:val="en-GB"/>
        </w:rPr>
        <w:t xml:space="preserve">propose </w:t>
      </w:r>
      <w:r w:rsidRPr="007A497F">
        <w:rPr>
          <w:lang w:val="en-GB"/>
        </w:rPr>
        <w:t>ITU-T Recommendations</w:t>
      </w:r>
      <w:r>
        <w:rPr>
          <w:lang w:val="en-GB"/>
        </w:rPr>
        <w:t xml:space="preserve"> with potential to become </w:t>
      </w:r>
      <w:r w:rsidRPr="007A497F">
        <w:rPr>
          <w:lang w:val="en-GB"/>
        </w:rPr>
        <w:t>subject</w:t>
      </w:r>
      <w:r>
        <w:rPr>
          <w:lang w:val="en-GB"/>
        </w:rPr>
        <w:t xml:space="preserve">s of this </w:t>
      </w:r>
      <w:r w:rsidRPr="007A497F">
        <w:rPr>
          <w:lang w:val="en-GB"/>
        </w:rPr>
        <w:t>future ITU/IEC joint certification scheme, taking into consideration market needs.</w:t>
      </w:r>
    </w:p>
    <w:p w14:paraId="756E15FF" w14:textId="679173E9" w:rsidR="00575262" w:rsidRPr="00754B21" w:rsidRDefault="00270B63" w:rsidP="00575262">
      <w:pPr>
        <w:snapToGrid w:val="0"/>
        <w:rPr>
          <w:lang w:val="en-GB"/>
        </w:rPr>
      </w:pPr>
      <w:r>
        <w:rPr>
          <w:lang w:val="en-GB"/>
        </w:rPr>
        <w:t xml:space="preserve">The relevant working group of the </w:t>
      </w:r>
      <w:r w:rsidR="00575262" w:rsidRPr="00754B21">
        <w:rPr>
          <w:lang w:val="en-GB"/>
        </w:rPr>
        <w:t xml:space="preserve">IECEE </w:t>
      </w:r>
      <w:r>
        <w:rPr>
          <w:lang w:val="en-GB"/>
        </w:rPr>
        <w:t xml:space="preserve">Certification Management Committee (IECEE CMC) has </w:t>
      </w:r>
      <w:r w:rsidR="00575262" w:rsidRPr="00754B21">
        <w:rPr>
          <w:lang w:val="en-GB"/>
        </w:rPr>
        <w:t xml:space="preserve">finalized </w:t>
      </w:r>
      <w:r>
        <w:rPr>
          <w:lang w:val="en-GB"/>
        </w:rPr>
        <w:t xml:space="preserve">an </w:t>
      </w:r>
      <w:r w:rsidR="00575262" w:rsidRPr="00754B21">
        <w:rPr>
          <w:lang w:val="en-GB"/>
        </w:rPr>
        <w:t xml:space="preserve">Operational Document (OD) </w:t>
      </w:r>
      <w:r>
        <w:rPr>
          <w:lang w:val="en-GB"/>
        </w:rPr>
        <w:t xml:space="preserve">titled </w:t>
      </w:r>
      <w:r w:rsidR="00CA2D85" w:rsidRPr="00754B21">
        <w:rPr>
          <w:lang w:val="en-GB"/>
        </w:rPr>
        <w:t>"</w:t>
      </w:r>
      <w:r w:rsidR="00575262" w:rsidRPr="00754B21">
        <w:rPr>
          <w:lang w:val="en-GB"/>
        </w:rPr>
        <w:t>ICT Laboratory Recognition Service on ITU-T Recommendations</w:t>
      </w:r>
      <w:r w:rsidR="00CA2D85" w:rsidRPr="00754B21">
        <w:rPr>
          <w:lang w:val="en-GB"/>
        </w:rPr>
        <w:t>"</w:t>
      </w:r>
      <w:r>
        <w:rPr>
          <w:lang w:val="en-GB"/>
        </w:rPr>
        <w:t xml:space="preserve">. The OD was </w:t>
      </w:r>
      <w:r w:rsidR="00575262" w:rsidRPr="00754B21">
        <w:rPr>
          <w:lang w:val="en-GB"/>
        </w:rPr>
        <w:t>presented at the</w:t>
      </w:r>
      <w:r>
        <w:rPr>
          <w:lang w:val="en-GB"/>
        </w:rPr>
        <w:t xml:space="preserve"> March 2019 meeting of</w:t>
      </w:r>
      <w:r w:rsidR="00575262" w:rsidRPr="00754B21">
        <w:rPr>
          <w:lang w:val="en-GB"/>
        </w:rPr>
        <w:t xml:space="preserve"> ITU-T CASC. The OD </w:t>
      </w:r>
      <w:r>
        <w:rPr>
          <w:lang w:val="en-GB"/>
        </w:rPr>
        <w:t xml:space="preserve">is awaiting the approval of </w:t>
      </w:r>
      <w:r w:rsidR="00575262" w:rsidRPr="00754B21">
        <w:rPr>
          <w:lang w:val="en-GB"/>
        </w:rPr>
        <w:t>IECEE CMC</w:t>
      </w:r>
      <w:r>
        <w:rPr>
          <w:lang w:val="en-GB"/>
        </w:rPr>
        <w:t xml:space="preserve">. The approval of the OD would allow </w:t>
      </w:r>
      <w:r w:rsidR="00575262" w:rsidRPr="00754B21">
        <w:rPr>
          <w:lang w:val="en-GB"/>
        </w:rPr>
        <w:t>any TL</w:t>
      </w:r>
      <w:r>
        <w:rPr>
          <w:lang w:val="en-GB"/>
        </w:rPr>
        <w:t xml:space="preserve"> </w:t>
      </w:r>
      <w:r w:rsidR="00575262" w:rsidRPr="00754B21">
        <w:rPr>
          <w:lang w:val="en-GB"/>
        </w:rPr>
        <w:t xml:space="preserve">(including non-ITU members) </w:t>
      </w:r>
      <w:r>
        <w:rPr>
          <w:lang w:val="en-GB"/>
        </w:rPr>
        <w:t xml:space="preserve">to </w:t>
      </w:r>
      <w:r w:rsidR="00575262" w:rsidRPr="00754B21">
        <w:rPr>
          <w:lang w:val="en-GB"/>
        </w:rPr>
        <w:t>apply for recognition</w:t>
      </w:r>
      <w:r>
        <w:rPr>
          <w:lang w:val="en-GB"/>
        </w:rPr>
        <w:t xml:space="preserve"> as a TL with competence in ITU-T Recommendations</w:t>
      </w:r>
      <w:r w:rsidR="00575262" w:rsidRPr="00754B21">
        <w:rPr>
          <w:lang w:val="en-GB"/>
        </w:rPr>
        <w:t xml:space="preserve">. </w:t>
      </w:r>
    </w:p>
    <w:p w14:paraId="1B4EDC0A" w14:textId="0721FE87" w:rsidR="00575262" w:rsidRPr="00754B21" w:rsidRDefault="00270B63" w:rsidP="00575262">
      <w:pPr>
        <w:snapToGrid w:val="0"/>
        <w:rPr>
          <w:lang w:val="en-GB"/>
        </w:rPr>
      </w:pPr>
      <w:r>
        <w:rPr>
          <w:lang w:val="en-GB"/>
        </w:rPr>
        <w:t xml:space="preserve">In addition, </w:t>
      </w:r>
      <w:r w:rsidR="00575262" w:rsidRPr="00754B21">
        <w:rPr>
          <w:lang w:val="en-GB"/>
        </w:rPr>
        <w:t xml:space="preserve">ITU-T CASC is </w:t>
      </w:r>
      <w:r w:rsidR="007E3D24">
        <w:rPr>
          <w:lang w:val="en-GB"/>
        </w:rPr>
        <w:t xml:space="preserve">currently </w:t>
      </w:r>
      <w:r w:rsidR="00575262" w:rsidRPr="00754B21">
        <w:rPr>
          <w:lang w:val="en-GB"/>
        </w:rPr>
        <w:t>developing the</w:t>
      </w:r>
      <w:r>
        <w:rPr>
          <w:lang w:val="en-GB"/>
        </w:rPr>
        <w:t xml:space="preserve"> </w:t>
      </w:r>
      <w:r w:rsidR="007E3D24">
        <w:rPr>
          <w:lang w:val="en-GB"/>
        </w:rPr>
        <w:t>g</w:t>
      </w:r>
      <w:r w:rsidR="00575262" w:rsidRPr="00754B21">
        <w:rPr>
          <w:lang w:val="en-GB"/>
        </w:rPr>
        <w:t xml:space="preserve">uideline </w:t>
      </w:r>
      <w:r w:rsidR="00CA2D85" w:rsidRPr="00754B21">
        <w:rPr>
          <w:lang w:val="en-GB"/>
        </w:rPr>
        <w:t>"</w:t>
      </w:r>
      <w:r w:rsidR="00575262" w:rsidRPr="00754B21">
        <w:rPr>
          <w:lang w:val="en-GB"/>
        </w:rPr>
        <w:t>ITU-T CASC collaboration procedure with IECEE for TL recognition service on ITU-T Recommendations</w:t>
      </w:r>
      <w:r w:rsidR="00CA2D85" w:rsidRPr="00754B21">
        <w:rPr>
          <w:lang w:val="en-GB"/>
        </w:rPr>
        <w:t>"</w:t>
      </w:r>
      <w:r w:rsidR="00575262" w:rsidRPr="00754B21">
        <w:rPr>
          <w:lang w:val="en-GB"/>
        </w:rPr>
        <w:t xml:space="preserve">. This document </w:t>
      </w:r>
      <w:r w:rsidR="007E3D24">
        <w:rPr>
          <w:lang w:val="en-GB"/>
        </w:rPr>
        <w:t xml:space="preserve">is expected to be </w:t>
      </w:r>
      <w:r w:rsidR="00575262" w:rsidRPr="00754B21">
        <w:rPr>
          <w:lang w:val="en-GB"/>
        </w:rPr>
        <w:t xml:space="preserve">finalized </w:t>
      </w:r>
      <w:r w:rsidR="007E3D24">
        <w:rPr>
          <w:lang w:val="en-GB"/>
        </w:rPr>
        <w:t xml:space="preserve">by </w:t>
      </w:r>
      <w:r w:rsidR="00575262" w:rsidRPr="00754B21">
        <w:rPr>
          <w:lang w:val="en-GB"/>
        </w:rPr>
        <w:t>October 2019.</w:t>
      </w:r>
    </w:p>
    <w:p w14:paraId="3F390B9B" w14:textId="54933D90" w:rsidR="00851D80" w:rsidRDefault="00575262" w:rsidP="00575262">
      <w:pPr>
        <w:snapToGrid w:val="0"/>
        <w:rPr>
          <w:lang w:val="en-GB"/>
        </w:rPr>
      </w:pPr>
      <w:r w:rsidRPr="00754B21">
        <w:rPr>
          <w:lang w:val="en-GB"/>
        </w:rPr>
        <w:t xml:space="preserve">ITU-T CASC </w:t>
      </w:r>
      <w:r w:rsidR="007E3D24">
        <w:rPr>
          <w:lang w:val="en-GB"/>
        </w:rPr>
        <w:t>has</w:t>
      </w:r>
      <w:r w:rsidR="00270B63">
        <w:rPr>
          <w:lang w:val="en-GB"/>
        </w:rPr>
        <w:t xml:space="preserve"> </w:t>
      </w:r>
      <w:r w:rsidRPr="00754B21">
        <w:rPr>
          <w:lang w:val="en-GB"/>
        </w:rPr>
        <w:t xml:space="preserve">received two applications from candidates requesting </w:t>
      </w:r>
      <w:r w:rsidR="007E3D24">
        <w:rPr>
          <w:lang w:val="en-GB"/>
        </w:rPr>
        <w:t xml:space="preserve">to be </w:t>
      </w:r>
      <w:r w:rsidRPr="00754B21">
        <w:rPr>
          <w:lang w:val="en-GB"/>
        </w:rPr>
        <w:t>appoint</w:t>
      </w:r>
      <w:r w:rsidR="007E3D24">
        <w:rPr>
          <w:lang w:val="en-GB"/>
        </w:rPr>
        <w:t xml:space="preserve">ed </w:t>
      </w:r>
      <w:r w:rsidRPr="00754B21">
        <w:rPr>
          <w:lang w:val="en-GB"/>
        </w:rPr>
        <w:t>ITU-T technical experts</w:t>
      </w:r>
      <w:r w:rsidR="007E3D24">
        <w:rPr>
          <w:lang w:val="en-GB"/>
        </w:rPr>
        <w:t xml:space="preserve"> </w:t>
      </w:r>
      <w:r w:rsidRPr="00754B21">
        <w:rPr>
          <w:lang w:val="en-GB"/>
        </w:rPr>
        <w:t xml:space="preserve">with competence in </w:t>
      </w:r>
      <w:r w:rsidR="00C82DE5">
        <w:rPr>
          <w:lang w:val="en-GB"/>
        </w:rPr>
        <w:t xml:space="preserve">certain ITU-T </w:t>
      </w:r>
      <w:r w:rsidR="00267090">
        <w:rPr>
          <w:lang w:val="en-GB"/>
        </w:rPr>
        <w:t>Recommendations</w:t>
      </w:r>
      <w:r w:rsidR="00C82DE5">
        <w:rPr>
          <w:lang w:val="en-GB"/>
        </w:rPr>
        <w:t xml:space="preserve"> </w:t>
      </w:r>
      <w:r w:rsidR="007E3D24">
        <w:rPr>
          <w:lang w:val="en-GB"/>
        </w:rPr>
        <w:t xml:space="preserve">under the responsibility of </w:t>
      </w:r>
      <w:r w:rsidRPr="00754B21">
        <w:rPr>
          <w:lang w:val="en-GB"/>
        </w:rPr>
        <w:t>ITU-T SG2 and ITU-T SG5. In line with the approved guidelines for the appointment of</w:t>
      </w:r>
      <w:r w:rsidR="007E3D24">
        <w:rPr>
          <w:lang w:val="en-GB"/>
        </w:rPr>
        <w:t xml:space="preserve"> such ITU-T technical experts</w:t>
      </w:r>
      <w:r w:rsidRPr="00754B21">
        <w:rPr>
          <w:lang w:val="en-GB"/>
        </w:rPr>
        <w:t xml:space="preserve">, ITU-T CASC </w:t>
      </w:r>
      <w:r w:rsidR="007E3D24">
        <w:rPr>
          <w:lang w:val="en-GB"/>
        </w:rPr>
        <w:t xml:space="preserve">formed </w:t>
      </w:r>
      <w:r w:rsidRPr="00754B21">
        <w:rPr>
          <w:lang w:val="en-GB"/>
        </w:rPr>
        <w:t xml:space="preserve">appointment teams to review the applications and provide </w:t>
      </w:r>
      <w:r w:rsidR="007E3D24">
        <w:rPr>
          <w:lang w:val="en-GB"/>
        </w:rPr>
        <w:t xml:space="preserve">related </w:t>
      </w:r>
      <w:r w:rsidRPr="00754B21">
        <w:rPr>
          <w:lang w:val="en-GB"/>
        </w:rPr>
        <w:t xml:space="preserve">recommendations to ITU-T CASC. </w:t>
      </w:r>
    </w:p>
    <w:p w14:paraId="3B5C1D9C" w14:textId="393C376A" w:rsidR="00575262" w:rsidRPr="00754B21" w:rsidRDefault="00575262" w:rsidP="00575262">
      <w:pPr>
        <w:snapToGrid w:val="0"/>
        <w:rPr>
          <w:lang w:val="en-GB"/>
        </w:rPr>
      </w:pPr>
      <w:r w:rsidRPr="00754B21">
        <w:rPr>
          <w:lang w:val="en-GB"/>
        </w:rPr>
        <w:t xml:space="preserve">ITU-T CASC </w:t>
      </w:r>
      <w:r w:rsidR="007E3D24">
        <w:rPr>
          <w:lang w:val="en-GB"/>
        </w:rPr>
        <w:t xml:space="preserve">has </w:t>
      </w:r>
      <w:r w:rsidRPr="00754B21">
        <w:rPr>
          <w:lang w:val="en-GB"/>
        </w:rPr>
        <w:t xml:space="preserve">requested </w:t>
      </w:r>
      <w:r w:rsidR="007E3D24">
        <w:rPr>
          <w:lang w:val="en-GB"/>
        </w:rPr>
        <w:t xml:space="preserve">that </w:t>
      </w:r>
      <w:r w:rsidRPr="00754B21">
        <w:rPr>
          <w:lang w:val="en-GB"/>
        </w:rPr>
        <w:t>all ITU-T S</w:t>
      </w:r>
      <w:r w:rsidR="007E3D24">
        <w:rPr>
          <w:lang w:val="en-GB"/>
        </w:rPr>
        <w:t xml:space="preserve">tudy </w:t>
      </w:r>
      <w:r w:rsidRPr="00754B21">
        <w:rPr>
          <w:lang w:val="en-GB"/>
        </w:rPr>
        <w:t>G</w:t>
      </w:r>
      <w:r w:rsidR="007E3D24">
        <w:rPr>
          <w:lang w:val="en-GB"/>
        </w:rPr>
        <w:t>roups</w:t>
      </w:r>
      <w:r w:rsidRPr="00754B21">
        <w:rPr>
          <w:lang w:val="en-GB"/>
        </w:rPr>
        <w:t xml:space="preserve"> </w:t>
      </w:r>
      <w:r w:rsidR="007E3D24">
        <w:rPr>
          <w:lang w:val="en-GB"/>
        </w:rPr>
        <w:t xml:space="preserve">appoint </w:t>
      </w:r>
      <w:r w:rsidRPr="00754B21">
        <w:rPr>
          <w:lang w:val="en-GB"/>
        </w:rPr>
        <w:t xml:space="preserve">focal points </w:t>
      </w:r>
      <w:r w:rsidR="00851D80">
        <w:rPr>
          <w:lang w:val="en-GB"/>
        </w:rPr>
        <w:t xml:space="preserve">for their interaction with </w:t>
      </w:r>
      <w:r w:rsidRPr="00754B21">
        <w:rPr>
          <w:lang w:val="en-GB"/>
        </w:rPr>
        <w:t xml:space="preserve">ITU-T CASC. </w:t>
      </w:r>
    </w:p>
    <w:p w14:paraId="244BCF23" w14:textId="3572C930" w:rsidR="006944F8" w:rsidRPr="00C1421E" w:rsidRDefault="006944F8" w:rsidP="00C1421E">
      <w:pPr>
        <w:rPr>
          <w:lang w:val="en-GB"/>
        </w:rPr>
      </w:pPr>
      <w:r w:rsidRPr="00754B21">
        <w:rPr>
          <w:lang w:val="en-GB"/>
        </w:rPr>
        <w:lastRenderedPageBreak/>
        <w:t xml:space="preserve">More details are available on the ITU-T CASC </w:t>
      </w:r>
      <w:hyperlink r:id="rId70" w:history="1">
        <w:r w:rsidRPr="00754B21">
          <w:rPr>
            <w:rStyle w:val="Hyperlink"/>
            <w:lang w:val="en-GB"/>
          </w:rPr>
          <w:t>web page</w:t>
        </w:r>
      </w:hyperlink>
      <w:r w:rsidRPr="00754B21">
        <w:rPr>
          <w:lang w:val="en-GB"/>
        </w:rPr>
        <w:t>.</w:t>
      </w:r>
    </w:p>
    <w:p w14:paraId="0B563D2C" w14:textId="4FD6C009" w:rsidR="006944F8" w:rsidRPr="00C1421E" w:rsidRDefault="00D64AF8" w:rsidP="006944F8">
      <w:pPr>
        <w:pStyle w:val="Heading2"/>
      </w:pPr>
      <w:bookmarkStart w:id="34" w:name="_Toc462664225"/>
      <w:bookmarkStart w:id="35" w:name="_Toc480527819"/>
      <w:bookmarkStart w:id="36" w:name="_Toc18509738"/>
      <w:bookmarkStart w:id="37" w:name="_Toc453932965"/>
      <w:bookmarkStart w:id="38" w:name="_Toc438553975"/>
      <w:bookmarkStart w:id="39" w:name="_Toc453929094"/>
      <w:bookmarkStart w:id="40" w:name="_Toc454295871"/>
      <w:r w:rsidRPr="00C1421E">
        <w:t>2</w:t>
      </w:r>
      <w:r w:rsidR="006944F8" w:rsidRPr="00C1421E">
        <w:t>.2</w:t>
      </w:r>
      <w:r w:rsidR="006944F8" w:rsidRPr="00C1421E">
        <w:tab/>
        <w:t xml:space="preserve">ICT </w:t>
      </w:r>
      <w:r w:rsidR="001C37A8" w:rsidRPr="00C1421E">
        <w:t>product conformity database</w:t>
      </w:r>
      <w:bookmarkEnd w:id="34"/>
      <w:bookmarkEnd w:id="35"/>
      <w:bookmarkEnd w:id="36"/>
    </w:p>
    <w:p w14:paraId="53247AEC" w14:textId="6884F8A2" w:rsidR="00666F7F" w:rsidRPr="00C1421E" w:rsidRDefault="006944F8" w:rsidP="00666F7F">
      <w:pPr>
        <w:rPr>
          <w:lang w:val="en-GB"/>
        </w:rPr>
      </w:pPr>
      <w:r w:rsidRPr="00C1421E">
        <w:rPr>
          <w:lang w:val="en-GB"/>
        </w:rPr>
        <w:t xml:space="preserve">The </w:t>
      </w:r>
      <w:r w:rsidR="00CA2D85" w:rsidRPr="00C1421E">
        <w:rPr>
          <w:lang w:val="en-GB"/>
        </w:rPr>
        <w:t>"</w:t>
      </w:r>
      <w:hyperlink r:id="rId71" w:history="1">
        <w:r w:rsidRPr="00C1421E">
          <w:rPr>
            <w:rStyle w:val="Hyperlink"/>
            <w:rFonts w:eastAsiaTheme="majorEastAsia"/>
            <w:lang w:val="en-GB"/>
          </w:rPr>
          <w:t>ICT product conformity database</w:t>
        </w:r>
      </w:hyperlink>
      <w:r w:rsidR="00CA2D85" w:rsidRPr="00C1421E">
        <w:rPr>
          <w:lang w:val="en-GB"/>
        </w:rPr>
        <w:t>"</w:t>
      </w:r>
      <w:r w:rsidRPr="00C1421E">
        <w:rPr>
          <w:lang w:val="en-GB"/>
        </w:rPr>
        <w:t xml:space="preserve"> enables industry to publicize the conformance of ICT products and services to ITU-T Recommendations, assisting users in their efforts to select standards-compliant products. </w:t>
      </w:r>
      <w:r w:rsidR="00666F7F" w:rsidRPr="00C1421E">
        <w:rPr>
          <w:szCs w:val="22"/>
          <w:lang w:val="en-GB"/>
        </w:rPr>
        <w:t>The database currently contains more than 500 entries.</w:t>
      </w:r>
      <w:r w:rsidR="00FB4454" w:rsidRPr="00C1421E">
        <w:rPr>
          <w:szCs w:val="22"/>
          <w:lang w:val="en-GB"/>
        </w:rPr>
        <w:t xml:space="preserve"> </w:t>
      </w:r>
      <w:r w:rsidR="00FB4454" w:rsidRPr="00C1421E">
        <w:rPr>
          <w:lang w:val="en-GB"/>
        </w:rPr>
        <w:t>Five categories of products and services have been submitted to the database:</w:t>
      </w:r>
    </w:p>
    <w:p w14:paraId="62804A5B" w14:textId="5928C528" w:rsidR="006944F8" w:rsidRPr="00C1421E" w:rsidRDefault="006944F8" w:rsidP="001C37A8">
      <w:pPr>
        <w:numPr>
          <w:ilvl w:val="0"/>
          <w:numId w:val="23"/>
        </w:numPr>
        <w:rPr>
          <w:i/>
          <w:lang w:val="en-GB"/>
        </w:rPr>
      </w:pPr>
      <w:r w:rsidRPr="00C1421E">
        <w:rPr>
          <w:b/>
          <w:bCs/>
          <w:lang w:val="en-GB"/>
        </w:rPr>
        <w:t>e-Health</w:t>
      </w:r>
      <w:r w:rsidRPr="00C1421E">
        <w:rPr>
          <w:lang w:val="en-GB"/>
        </w:rPr>
        <w:t xml:space="preserve"> solutions complying with the specifications of ITU-T H.810 </w:t>
      </w:r>
      <w:r w:rsidR="00CA2D85" w:rsidRPr="00C1421E">
        <w:rPr>
          <w:lang w:val="en-GB"/>
        </w:rPr>
        <w:t>"</w:t>
      </w:r>
      <w:r w:rsidRPr="00C1421E">
        <w:rPr>
          <w:lang w:val="en-GB"/>
        </w:rPr>
        <w:t>Interoperability design guidelines for personal health systems</w:t>
      </w:r>
      <w:r w:rsidR="00CA2D85" w:rsidRPr="00C1421E">
        <w:rPr>
          <w:lang w:val="en-GB"/>
        </w:rPr>
        <w:t>"</w:t>
      </w:r>
      <w:r w:rsidRPr="00C1421E">
        <w:rPr>
          <w:lang w:val="en-GB"/>
        </w:rPr>
        <w:t>, a transposition of the Continua Design Guidelines.</w:t>
      </w:r>
      <w:r w:rsidR="00666F7F" w:rsidRPr="00C1421E">
        <w:rPr>
          <w:lang w:val="en-GB"/>
        </w:rPr>
        <w:t xml:space="preserve"> The testing procedures are specified in the ITU-T H.820-H.850 sub-series of Recommendations.</w:t>
      </w:r>
    </w:p>
    <w:p w14:paraId="6EB17E71" w14:textId="607161F8" w:rsidR="006944F8" w:rsidRPr="001C37A8" w:rsidRDefault="006944F8" w:rsidP="001C37A8">
      <w:pPr>
        <w:numPr>
          <w:ilvl w:val="0"/>
          <w:numId w:val="23"/>
        </w:numPr>
        <w:rPr>
          <w:lang w:val="en-GB"/>
        </w:rPr>
      </w:pPr>
      <w:r w:rsidRPr="00C1421E">
        <w:rPr>
          <w:b/>
          <w:bCs/>
          <w:lang w:val="en-GB"/>
        </w:rPr>
        <w:t>Mobile phones</w:t>
      </w:r>
      <w:r w:rsidRPr="00C1421E">
        <w:rPr>
          <w:lang w:val="en-GB"/>
        </w:rPr>
        <w:t xml:space="preserve"> compatible with Bluetooth-enabled vehicle hands-free terminals. This compatibility is determined in accordance with the </w:t>
      </w:r>
      <w:r w:rsidR="00CA2D85" w:rsidRPr="00C1421E">
        <w:rPr>
          <w:lang w:val="en-GB"/>
        </w:rPr>
        <w:t>'</w:t>
      </w:r>
      <w:r w:rsidRPr="00C1421E">
        <w:rPr>
          <w:lang w:val="en-GB"/>
        </w:rPr>
        <w:t>Chapter 12 tests</w:t>
      </w:r>
      <w:r w:rsidR="00CA2D85" w:rsidRPr="00C1421E">
        <w:rPr>
          <w:lang w:val="en-GB"/>
        </w:rPr>
        <w:t>'</w:t>
      </w:r>
      <w:r w:rsidRPr="00C1421E">
        <w:rPr>
          <w:lang w:val="en-GB"/>
        </w:rPr>
        <w:t xml:space="preserve"> (</w:t>
      </w:r>
      <w:r w:rsidR="00CA2D85" w:rsidRPr="00C1421E">
        <w:rPr>
          <w:lang w:val="en-GB"/>
        </w:rPr>
        <w:t>"</w:t>
      </w:r>
      <w:r w:rsidRPr="00C1421E">
        <w:rPr>
          <w:lang w:val="en-GB"/>
        </w:rPr>
        <w:t>Verification of the transmission performance of short-range wireless (SRW) transmission enabled phones</w:t>
      </w:r>
      <w:r w:rsidR="00CA2D85" w:rsidRPr="00C1421E">
        <w:rPr>
          <w:lang w:val="en-GB"/>
        </w:rPr>
        <w:t>"</w:t>
      </w:r>
      <w:r w:rsidRPr="00C1421E">
        <w:rPr>
          <w:lang w:val="en-GB"/>
        </w:rPr>
        <w:t xml:space="preserve">) of ITU-T P.1100 and ITU-T P.1110. </w:t>
      </w:r>
    </w:p>
    <w:p w14:paraId="2A4C98C8" w14:textId="5E44F783" w:rsidR="006944F8" w:rsidRPr="00C1421E" w:rsidRDefault="006944F8" w:rsidP="001C37A8">
      <w:pPr>
        <w:numPr>
          <w:ilvl w:val="0"/>
          <w:numId w:val="23"/>
        </w:numPr>
        <w:rPr>
          <w:lang w:val="en-GB"/>
        </w:rPr>
      </w:pPr>
      <w:r w:rsidRPr="00C1421E">
        <w:rPr>
          <w:b/>
          <w:bCs/>
          <w:lang w:val="en-GB"/>
        </w:rPr>
        <w:t xml:space="preserve">Ethernet </w:t>
      </w:r>
      <w:r w:rsidRPr="00C1421E">
        <w:rPr>
          <w:lang w:val="en-GB"/>
        </w:rPr>
        <w:t xml:space="preserve">products complying with ITU-T G.8011/Y.1307 </w:t>
      </w:r>
      <w:r w:rsidR="00CA2D85" w:rsidRPr="00C1421E">
        <w:rPr>
          <w:lang w:val="en-GB"/>
        </w:rPr>
        <w:t>"</w:t>
      </w:r>
      <w:r w:rsidRPr="00C1421E">
        <w:rPr>
          <w:lang w:val="en-GB"/>
        </w:rPr>
        <w:t>Ethernet Services Characteristics</w:t>
      </w:r>
      <w:r w:rsidR="00CA2D85" w:rsidRPr="00C1421E">
        <w:rPr>
          <w:lang w:val="en-GB"/>
        </w:rPr>
        <w:t>"</w:t>
      </w:r>
      <w:r w:rsidRPr="00C1421E">
        <w:rPr>
          <w:lang w:val="en-GB"/>
        </w:rPr>
        <w:t>. This standard as well as the corresponding tests are based on the work of MEF (formerly called Metro Ethernet Forum).</w:t>
      </w:r>
    </w:p>
    <w:p w14:paraId="1771C3E6" w14:textId="46C0F409" w:rsidR="004C20A0" w:rsidRPr="00643F30" w:rsidRDefault="005C1FE3" w:rsidP="00643F30">
      <w:pPr>
        <w:numPr>
          <w:ilvl w:val="0"/>
          <w:numId w:val="23"/>
        </w:numPr>
        <w:rPr>
          <w:lang w:val="en-GB"/>
        </w:rPr>
      </w:pPr>
      <w:r w:rsidRPr="00C1421E">
        <w:rPr>
          <w:b/>
          <w:szCs w:val="22"/>
          <w:lang w:val="en-GB"/>
        </w:rPr>
        <w:t>IPTV system</w:t>
      </w:r>
      <w:r w:rsidR="004C20A0">
        <w:rPr>
          <w:b/>
          <w:szCs w:val="22"/>
          <w:lang w:val="en-GB"/>
        </w:rPr>
        <w:t>s</w:t>
      </w:r>
      <w:r w:rsidRPr="00C1421E">
        <w:rPr>
          <w:szCs w:val="22"/>
          <w:lang w:val="en-GB"/>
        </w:rPr>
        <w:t xml:space="preserve"> compatible with ITU-T H.721 </w:t>
      </w:r>
      <w:r w:rsidR="00CA2D85" w:rsidRPr="00C1421E">
        <w:rPr>
          <w:szCs w:val="22"/>
          <w:lang w:val="en-GB"/>
        </w:rPr>
        <w:t>"</w:t>
      </w:r>
      <w:r w:rsidRPr="00C1421E">
        <w:rPr>
          <w:szCs w:val="22"/>
          <w:lang w:val="en-GB"/>
        </w:rPr>
        <w:t>IPTV terminal devices: Basic model</w:t>
      </w:r>
      <w:r w:rsidR="00CA2D85" w:rsidRPr="00C1421E">
        <w:rPr>
          <w:szCs w:val="22"/>
          <w:lang w:val="en-GB"/>
        </w:rPr>
        <w:t>"</w:t>
      </w:r>
      <w:r w:rsidRPr="00C1421E">
        <w:rPr>
          <w:szCs w:val="22"/>
          <w:lang w:val="en-GB"/>
        </w:rPr>
        <w:t xml:space="preserve"> and ITU-T H.702 </w:t>
      </w:r>
      <w:r w:rsidR="00CA2D85" w:rsidRPr="00C1421E">
        <w:rPr>
          <w:szCs w:val="22"/>
          <w:lang w:val="en-GB"/>
        </w:rPr>
        <w:t>"</w:t>
      </w:r>
      <w:r w:rsidRPr="00C1421E">
        <w:rPr>
          <w:szCs w:val="22"/>
          <w:lang w:val="en-GB"/>
        </w:rPr>
        <w:t>Accessibility profiles for IPTV systems</w:t>
      </w:r>
      <w:r w:rsidR="00CA2D85" w:rsidRPr="00C1421E">
        <w:rPr>
          <w:szCs w:val="22"/>
          <w:lang w:val="en-GB"/>
        </w:rPr>
        <w:t>"</w:t>
      </w:r>
      <w:r w:rsidR="004C20A0">
        <w:rPr>
          <w:szCs w:val="22"/>
          <w:lang w:val="en-GB"/>
        </w:rPr>
        <w:t xml:space="preserve">, </w:t>
      </w:r>
      <w:r w:rsidR="004C20A0" w:rsidRPr="00A94875">
        <w:rPr>
          <w:lang w:val="en-GB"/>
        </w:rPr>
        <w:t xml:space="preserve">tested to </w:t>
      </w:r>
      <w:hyperlink r:id="rId72" w:history="1">
        <w:r w:rsidR="004C20A0">
          <w:rPr>
            <w:rStyle w:val="Hyperlink"/>
            <w:rFonts w:asciiTheme="majorBidi" w:eastAsia="Batang" w:hAnsiTheme="majorBidi" w:cstheme="majorBidi"/>
          </w:rPr>
          <w:t>HSTP-CONF-</w:t>
        </w:r>
        <w:r w:rsidR="004C20A0" w:rsidRPr="00A94875">
          <w:rPr>
            <w:rStyle w:val="Hyperlink"/>
            <w:rFonts w:asciiTheme="majorBidi" w:eastAsia="Batang" w:hAnsiTheme="majorBidi" w:cstheme="majorBidi"/>
          </w:rPr>
          <w:t>H721</w:t>
        </w:r>
      </w:hyperlink>
      <w:r w:rsidR="004C20A0" w:rsidRPr="00A94875">
        <w:rPr>
          <w:rFonts w:asciiTheme="majorBidi" w:hAnsiTheme="majorBidi" w:cstheme="majorBidi"/>
          <w:lang w:val="en-GB"/>
        </w:rPr>
        <w:t xml:space="preserve"> </w:t>
      </w:r>
      <w:r w:rsidR="004C20A0" w:rsidRPr="00A94875">
        <w:rPr>
          <w:rFonts w:asciiTheme="majorBidi" w:hAnsiTheme="majorBidi" w:cstheme="majorBidi"/>
          <w:szCs w:val="24"/>
          <w:lang w:val="en-GB"/>
        </w:rPr>
        <w:t xml:space="preserve">and </w:t>
      </w:r>
      <w:hyperlink r:id="rId73" w:history="1">
        <w:r w:rsidR="004C20A0" w:rsidRPr="00A94875">
          <w:rPr>
            <w:rStyle w:val="Hyperlink"/>
            <w:rFonts w:asciiTheme="majorBidi" w:eastAsia="Batang" w:hAnsiTheme="majorBidi" w:cstheme="majorBidi"/>
            <w:szCs w:val="24"/>
          </w:rPr>
          <w:t>HSTP-CONF-H702</w:t>
        </w:r>
      </w:hyperlink>
      <w:r w:rsidR="004C20A0" w:rsidRPr="00A94875">
        <w:rPr>
          <w:rStyle w:val="Hyperlink"/>
          <w:rFonts w:asciiTheme="majorBidi" w:eastAsia="Batang" w:hAnsiTheme="majorBidi" w:cstheme="majorBidi"/>
          <w:szCs w:val="24"/>
        </w:rPr>
        <w:t>.</w:t>
      </w:r>
    </w:p>
    <w:p w14:paraId="7DDC8B53" w14:textId="316B5F5D" w:rsidR="006944F8" w:rsidRPr="00C1421E" w:rsidRDefault="006944F8" w:rsidP="001C37A8">
      <w:pPr>
        <w:numPr>
          <w:ilvl w:val="0"/>
          <w:numId w:val="23"/>
        </w:numPr>
        <w:rPr>
          <w:lang w:val="en-GB"/>
        </w:rPr>
      </w:pPr>
      <w:r w:rsidRPr="00C1421E">
        <w:rPr>
          <w:b/>
          <w:lang w:val="en-GB"/>
        </w:rPr>
        <w:t>Mobile Number Portability (MNP)</w:t>
      </w:r>
      <w:r w:rsidRPr="00C1421E">
        <w:rPr>
          <w:lang w:val="en-GB"/>
        </w:rPr>
        <w:t xml:space="preserve"> </w:t>
      </w:r>
      <w:r w:rsidR="004C20A0">
        <w:rPr>
          <w:lang w:val="en-GB"/>
        </w:rPr>
        <w:t xml:space="preserve">systems </w:t>
      </w:r>
      <w:r w:rsidR="005C1FE3" w:rsidRPr="00C1421E">
        <w:rPr>
          <w:szCs w:val="22"/>
          <w:lang w:val="en-GB"/>
        </w:rPr>
        <w:t xml:space="preserve">compatible with ITU-T Q.Supplement 4 </w:t>
      </w:r>
      <w:r w:rsidR="00CA2D85" w:rsidRPr="00C1421E">
        <w:rPr>
          <w:szCs w:val="22"/>
          <w:lang w:val="en-GB"/>
        </w:rPr>
        <w:t>"</w:t>
      </w:r>
      <w:r w:rsidR="005C1FE3" w:rsidRPr="00C1421E">
        <w:rPr>
          <w:szCs w:val="22"/>
          <w:lang w:val="en-GB"/>
        </w:rPr>
        <w:t>Number portability – Capa</w:t>
      </w:r>
      <w:r w:rsidR="00267090">
        <w:rPr>
          <w:szCs w:val="22"/>
          <w:lang w:val="en-GB"/>
        </w:rPr>
        <w:t>bility set 1 require</w:t>
      </w:r>
      <w:r w:rsidR="005C1FE3" w:rsidRPr="00C1421E">
        <w:rPr>
          <w:szCs w:val="22"/>
          <w:lang w:val="en-GB"/>
        </w:rPr>
        <w:t>ments for service provider portability (All call query and Onward routing)</w:t>
      </w:r>
      <w:r w:rsidR="00CA2D85" w:rsidRPr="00C1421E">
        <w:rPr>
          <w:szCs w:val="22"/>
          <w:lang w:val="en-GB"/>
        </w:rPr>
        <w:t>"</w:t>
      </w:r>
      <w:r w:rsidR="004C20A0">
        <w:rPr>
          <w:szCs w:val="22"/>
          <w:lang w:val="en-GB"/>
        </w:rPr>
        <w:t xml:space="preserve">, tested to </w:t>
      </w:r>
      <w:r w:rsidR="005C1FE3" w:rsidRPr="00C1421E">
        <w:rPr>
          <w:szCs w:val="22"/>
          <w:lang w:val="en-GB"/>
        </w:rPr>
        <w:t>ITU-T Q.3905.</w:t>
      </w:r>
    </w:p>
    <w:p w14:paraId="57338550" w14:textId="2875368B" w:rsidR="00D64AF8" w:rsidRPr="00C1421E" w:rsidRDefault="00D64AF8" w:rsidP="009E5FFA">
      <w:pPr>
        <w:pStyle w:val="Heading2"/>
      </w:pPr>
      <w:bookmarkStart w:id="41" w:name="_Toc18509739"/>
      <w:r w:rsidRPr="00C1421E">
        <w:t>2.3</w:t>
      </w:r>
      <w:r w:rsidRPr="00C1421E">
        <w:tab/>
        <w:t>Testing Internet of Things</w:t>
      </w:r>
      <w:bookmarkEnd w:id="41"/>
    </w:p>
    <w:p w14:paraId="1AEF4BB8" w14:textId="47169711" w:rsidR="00D64AF8" w:rsidRPr="001C37A8" w:rsidRDefault="00A42763" w:rsidP="00D64AF8">
      <w:pPr>
        <w:rPr>
          <w:lang w:val="en-GB"/>
        </w:rPr>
      </w:pPr>
      <w:r>
        <w:rPr>
          <w:lang w:val="en-GB"/>
        </w:rPr>
        <w:t xml:space="preserve">Following the October 2018 </w:t>
      </w:r>
      <w:r w:rsidR="004C20A0">
        <w:rPr>
          <w:lang w:val="en-GB"/>
        </w:rPr>
        <w:t xml:space="preserve">approval of </w:t>
      </w:r>
      <w:r w:rsidR="00D64AF8" w:rsidRPr="001C37A8">
        <w:rPr>
          <w:lang w:val="en-GB"/>
        </w:rPr>
        <w:t xml:space="preserve">ITU-T Q.4060 </w:t>
      </w:r>
      <w:r w:rsidR="00CA2D85" w:rsidRPr="001C37A8">
        <w:rPr>
          <w:lang w:val="en-GB"/>
        </w:rPr>
        <w:t>"</w:t>
      </w:r>
      <w:r w:rsidR="00D64AF8" w:rsidRPr="001C37A8">
        <w:rPr>
          <w:lang w:val="en-GB"/>
        </w:rPr>
        <w:t>The structure of the testing of heterogeneous Internet of Things gateways in a laboratory environment</w:t>
      </w:r>
      <w:r w:rsidR="00CA2D85" w:rsidRPr="001C37A8">
        <w:rPr>
          <w:lang w:val="en-GB"/>
        </w:rPr>
        <w:t>"</w:t>
      </w:r>
      <w:r>
        <w:rPr>
          <w:lang w:val="en-GB"/>
        </w:rPr>
        <w:t xml:space="preserve">, </w:t>
      </w:r>
      <w:r w:rsidR="00D64AF8" w:rsidRPr="001C37A8">
        <w:rPr>
          <w:lang w:val="en-GB"/>
        </w:rPr>
        <w:t xml:space="preserve">a new subcategory of the Q.series was established: Q.4060-Q.4099 </w:t>
      </w:r>
      <w:r w:rsidR="00CA2D85" w:rsidRPr="001C37A8">
        <w:rPr>
          <w:lang w:val="en-GB"/>
        </w:rPr>
        <w:t>"</w:t>
      </w:r>
      <w:r w:rsidR="00D64AF8" w:rsidRPr="001C37A8">
        <w:rPr>
          <w:lang w:val="en-GB"/>
        </w:rPr>
        <w:t>Testing specifications for IMT-2020 and IoT</w:t>
      </w:r>
      <w:r w:rsidR="00CA2D85" w:rsidRPr="001C37A8">
        <w:rPr>
          <w:lang w:val="en-GB"/>
        </w:rPr>
        <w:t>"</w:t>
      </w:r>
      <w:r w:rsidR="00D64AF8" w:rsidRPr="001C37A8">
        <w:rPr>
          <w:lang w:val="en-GB"/>
        </w:rPr>
        <w:t>.</w:t>
      </w:r>
    </w:p>
    <w:p w14:paraId="0008A403" w14:textId="5E88BD1A" w:rsidR="00D64AF8" w:rsidRPr="001C37A8" w:rsidRDefault="00C82DE5" w:rsidP="008A2F29">
      <w:pPr>
        <w:rPr>
          <w:lang w:val="en-GB"/>
        </w:rPr>
      </w:pPr>
      <w:r>
        <w:rPr>
          <w:lang w:val="en-GB"/>
        </w:rPr>
        <w:t>Current w</w:t>
      </w:r>
      <w:r w:rsidR="00D64AF8" w:rsidRPr="001C37A8">
        <w:rPr>
          <w:lang w:val="en-GB"/>
        </w:rPr>
        <w:t>ork items</w:t>
      </w:r>
      <w:r>
        <w:rPr>
          <w:lang w:val="en-GB"/>
        </w:rPr>
        <w:t xml:space="preserve"> </w:t>
      </w:r>
      <w:r w:rsidR="00D64AF8" w:rsidRPr="001C37A8">
        <w:rPr>
          <w:lang w:val="en-GB"/>
        </w:rPr>
        <w:t>on IoT testing</w:t>
      </w:r>
      <w:r>
        <w:rPr>
          <w:lang w:val="en-GB"/>
        </w:rPr>
        <w:t xml:space="preserve"> include </w:t>
      </w:r>
      <w:r w:rsidR="00D64AF8" w:rsidRPr="001C37A8">
        <w:rPr>
          <w:lang w:val="en-GB"/>
        </w:rPr>
        <w:t xml:space="preserve">Q.39_FW_Test_ID_IoT </w:t>
      </w:r>
      <w:r w:rsidR="00CA2D85" w:rsidRPr="001C37A8">
        <w:rPr>
          <w:lang w:val="en-GB"/>
        </w:rPr>
        <w:t>"</w:t>
      </w:r>
      <w:r w:rsidR="00D64AF8" w:rsidRPr="001C37A8">
        <w:rPr>
          <w:lang w:val="en-GB"/>
        </w:rPr>
        <w:t>The framework of testing of identification systems used in IoT</w:t>
      </w:r>
      <w:r w:rsidR="00CA2D85" w:rsidRPr="001C37A8">
        <w:rPr>
          <w:lang w:val="en-GB"/>
        </w:rPr>
        <w:t>"</w:t>
      </w:r>
      <w:r>
        <w:rPr>
          <w:lang w:val="en-GB"/>
        </w:rPr>
        <w:t xml:space="preserve"> and </w:t>
      </w:r>
      <w:r w:rsidR="00D64AF8" w:rsidRPr="001C37A8">
        <w:rPr>
          <w:lang w:val="en-GB"/>
        </w:rPr>
        <w:t xml:space="preserve">Q.FW_IoT/Test </w:t>
      </w:r>
      <w:r w:rsidR="00CA2D85" w:rsidRPr="001C37A8">
        <w:rPr>
          <w:lang w:val="en-GB"/>
        </w:rPr>
        <w:t>"</w:t>
      </w:r>
      <w:r w:rsidR="00D64AF8" w:rsidRPr="001C37A8">
        <w:rPr>
          <w:lang w:val="en-GB"/>
        </w:rPr>
        <w:t>Framework for IoT Testing</w:t>
      </w:r>
      <w:r w:rsidR="00CA2D85" w:rsidRPr="001C37A8">
        <w:rPr>
          <w:lang w:val="en-GB"/>
        </w:rPr>
        <w:t>"</w:t>
      </w:r>
    </w:p>
    <w:p w14:paraId="2B849DA0" w14:textId="7F0C9E3A" w:rsidR="006944F8" w:rsidRPr="00C1421E" w:rsidRDefault="00D64AF8" w:rsidP="00C1421E">
      <w:pPr>
        <w:pStyle w:val="Heading1"/>
      </w:pPr>
      <w:bookmarkStart w:id="42" w:name="_Toc438553988"/>
      <w:bookmarkStart w:id="43" w:name="_Toc453929112"/>
      <w:bookmarkStart w:id="44" w:name="_Toc453932983"/>
      <w:bookmarkStart w:id="45" w:name="_Toc454295889"/>
      <w:bookmarkStart w:id="46" w:name="_Toc462664270"/>
      <w:bookmarkStart w:id="47" w:name="_Toc480527824"/>
      <w:bookmarkStart w:id="48" w:name="_Toc18509740"/>
      <w:bookmarkStart w:id="49" w:name="_Toc416161354"/>
      <w:bookmarkStart w:id="50" w:name="_Toc438553977"/>
      <w:bookmarkStart w:id="51" w:name="_Toc453929096"/>
      <w:bookmarkStart w:id="52" w:name="_Toc453932967"/>
      <w:bookmarkStart w:id="53" w:name="_Toc454295873"/>
      <w:bookmarkStart w:id="54" w:name="_Toc462664237"/>
      <w:bookmarkEnd w:id="31"/>
      <w:bookmarkEnd w:id="32"/>
      <w:bookmarkEnd w:id="33"/>
      <w:bookmarkEnd w:id="37"/>
      <w:bookmarkEnd w:id="38"/>
      <w:bookmarkEnd w:id="39"/>
      <w:bookmarkEnd w:id="40"/>
      <w:r w:rsidRPr="00C1421E">
        <w:rPr>
          <w:rFonts w:eastAsiaTheme="minorEastAsia"/>
        </w:rPr>
        <w:t>3</w:t>
      </w:r>
      <w:r w:rsidR="006944F8" w:rsidRPr="00C1421E">
        <w:rPr>
          <w:rFonts w:eastAsiaTheme="minorEastAsia"/>
        </w:rPr>
        <w:tab/>
      </w:r>
      <w:r w:rsidR="003F40B4" w:rsidRPr="00C1421E">
        <w:rPr>
          <w:rFonts w:eastAsiaTheme="minorEastAsia"/>
        </w:rPr>
        <w:t>Accessible ITU-T meetings</w:t>
      </w:r>
      <w:bookmarkEnd w:id="42"/>
      <w:bookmarkEnd w:id="43"/>
      <w:bookmarkEnd w:id="44"/>
      <w:bookmarkEnd w:id="45"/>
      <w:bookmarkEnd w:id="46"/>
      <w:bookmarkEnd w:id="47"/>
      <w:bookmarkEnd w:id="48"/>
    </w:p>
    <w:p w14:paraId="2365D2FE" w14:textId="77777777" w:rsidR="006944F8" w:rsidRPr="001C37A8" w:rsidRDefault="006944F8" w:rsidP="006944F8">
      <w:pPr>
        <w:rPr>
          <w:lang w:val="en-GB"/>
        </w:rPr>
      </w:pPr>
      <w:r w:rsidRPr="001C37A8">
        <w:rPr>
          <w:lang w:val="en-GB"/>
        </w:rPr>
        <w:t>ITU-T provides services such as sign-language interpretation and captioning, and financial support in some cases, to engage persons with disabilities in the ITU-T standardization process.</w:t>
      </w:r>
    </w:p>
    <w:p w14:paraId="6D2E1304" w14:textId="0C15A306" w:rsidR="00027C0F" w:rsidRPr="001C37A8" w:rsidRDefault="00027C0F" w:rsidP="00027C0F">
      <w:pPr>
        <w:rPr>
          <w:lang w:val="en-GB"/>
        </w:rPr>
      </w:pPr>
      <w:r w:rsidRPr="001C37A8">
        <w:rPr>
          <w:lang w:val="en-GB"/>
        </w:rPr>
        <w:t xml:space="preserve">American Sign Language (ASL), British Sign Language (BSL) and real-time captioning were provided for Q26/16 during </w:t>
      </w:r>
      <w:r w:rsidR="00A42763">
        <w:rPr>
          <w:lang w:val="en-GB"/>
        </w:rPr>
        <w:t xml:space="preserve">the </w:t>
      </w:r>
      <w:r w:rsidRPr="001C37A8">
        <w:rPr>
          <w:lang w:val="en-GB"/>
        </w:rPr>
        <w:t>SG16 meeting in March 2019</w:t>
      </w:r>
      <w:r w:rsidR="00A42763">
        <w:rPr>
          <w:lang w:val="en-GB"/>
        </w:rPr>
        <w:t>; the</w:t>
      </w:r>
      <w:r w:rsidRPr="001C37A8">
        <w:rPr>
          <w:lang w:val="en-GB"/>
        </w:rPr>
        <w:t xml:space="preserve"> Q26/16 Rapporteur Group meetin</w:t>
      </w:r>
      <w:r w:rsidR="00A42763">
        <w:rPr>
          <w:lang w:val="en-GB"/>
        </w:rPr>
        <w:t xml:space="preserve">g, </w:t>
      </w:r>
      <w:r w:rsidRPr="001C37A8">
        <w:rPr>
          <w:lang w:val="en-GB"/>
        </w:rPr>
        <w:t>10-12 June 2019</w:t>
      </w:r>
      <w:r w:rsidR="00A42763">
        <w:rPr>
          <w:lang w:val="en-GB"/>
        </w:rPr>
        <w:t>;</w:t>
      </w:r>
      <w:r w:rsidRPr="001C37A8">
        <w:rPr>
          <w:lang w:val="en-GB"/>
        </w:rPr>
        <w:t xml:space="preserve"> and</w:t>
      </w:r>
      <w:r w:rsidR="00A42763">
        <w:rPr>
          <w:lang w:val="en-GB"/>
        </w:rPr>
        <w:t xml:space="preserve"> the</w:t>
      </w:r>
      <w:r w:rsidRPr="001C37A8">
        <w:rPr>
          <w:lang w:val="en-GB"/>
        </w:rPr>
        <w:t xml:space="preserve"> </w:t>
      </w:r>
      <w:hyperlink r:id="rId74" w:history="1">
        <w:r w:rsidRPr="00C1421E">
          <w:rPr>
            <w:rStyle w:val="Hyperlink"/>
            <w:rFonts w:asciiTheme="majorBidi" w:hAnsiTheme="majorBidi" w:cstheme="majorBidi"/>
            <w:lang w:val="en-GB"/>
          </w:rPr>
          <w:t>JCA-AHF</w:t>
        </w:r>
      </w:hyperlink>
      <w:r w:rsidRPr="001C37A8">
        <w:rPr>
          <w:lang w:val="en-GB"/>
        </w:rPr>
        <w:t xml:space="preserve"> meeting</w:t>
      </w:r>
      <w:r w:rsidR="00A42763">
        <w:rPr>
          <w:lang w:val="en-GB"/>
        </w:rPr>
        <w:t xml:space="preserve"> on </w:t>
      </w:r>
      <w:r w:rsidRPr="001C37A8">
        <w:rPr>
          <w:lang w:val="en-GB"/>
        </w:rPr>
        <w:t>11 June 2019.</w:t>
      </w:r>
    </w:p>
    <w:p w14:paraId="1B9C8381" w14:textId="351BDB39" w:rsidR="00027C0F" w:rsidRPr="001C37A8" w:rsidRDefault="00027C0F" w:rsidP="00027C0F">
      <w:pPr>
        <w:rPr>
          <w:lang w:val="en-GB"/>
        </w:rPr>
      </w:pPr>
      <w:r w:rsidRPr="001C37A8">
        <w:rPr>
          <w:lang w:val="en-GB"/>
        </w:rPr>
        <w:t xml:space="preserve">Q26/16 and JCA-AHF also organized workshop sessions on </w:t>
      </w:r>
      <w:r w:rsidR="00CA2D85" w:rsidRPr="001C37A8">
        <w:rPr>
          <w:lang w:val="en-GB"/>
        </w:rPr>
        <w:t>"</w:t>
      </w:r>
      <w:hyperlink r:id="rId75" w:anchor="intro" w:history="1">
        <w:r w:rsidRPr="00C1421E">
          <w:rPr>
            <w:rStyle w:val="Hyperlink"/>
            <w:rFonts w:asciiTheme="majorBidi" w:eastAsiaTheme="majorEastAsia" w:hAnsiTheme="majorBidi" w:cstheme="majorBidi"/>
            <w:lang w:val="en-GB"/>
          </w:rPr>
          <w:t>Accessibility for Emerging Technologies</w:t>
        </w:r>
      </w:hyperlink>
      <w:r w:rsidR="00CA2D85" w:rsidRPr="001C37A8">
        <w:rPr>
          <w:lang w:val="en-GB"/>
        </w:rPr>
        <w:t>"</w:t>
      </w:r>
      <w:r w:rsidRPr="001C37A8">
        <w:rPr>
          <w:lang w:val="en-GB"/>
        </w:rPr>
        <w:t xml:space="preserve"> and </w:t>
      </w:r>
      <w:r w:rsidR="00CA2D85" w:rsidRPr="001C37A8">
        <w:rPr>
          <w:lang w:val="en-GB"/>
        </w:rPr>
        <w:t>"</w:t>
      </w:r>
      <w:hyperlink r:id="rId76" w:anchor="intro" w:history="1">
        <w:r w:rsidRPr="00C1421E">
          <w:rPr>
            <w:rStyle w:val="Hyperlink"/>
            <w:rFonts w:asciiTheme="majorBidi" w:eastAsiaTheme="majorEastAsia" w:hAnsiTheme="majorBidi" w:cstheme="majorBidi"/>
            <w:lang w:val="en-GB"/>
          </w:rPr>
          <w:t>Telecom Relay Services</w:t>
        </w:r>
      </w:hyperlink>
      <w:r w:rsidR="00CA2D85" w:rsidRPr="001C37A8">
        <w:rPr>
          <w:lang w:val="en-GB"/>
        </w:rPr>
        <w:t>"</w:t>
      </w:r>
      <w:r w:rsidRPr="001C37A8">
        <w:rPr>
          <w:lang w:val="en-GB"/>
        </w:rPr>
        <w:t xml:space="preserve"> on 8 April 2019 at the ICT Accessibility Day of the WSIS Forum 2019. International Sign (IS) interpretation was provided and sponsored by</w:t>
      </w:r>
      <w:r w:rsidR="00451C6D" w:rsidRPr="001C37A8">
        <w:rPr>
          <w:lang w:val="en-GB"/>
        </w:rPr>
        <w:t xml:space="preserve"> The Nippon Foundation (Japan).</w:t>
      </w:r>
    </w:p>
    <w:p w14:paraId="6D2F5E65" w14:textId="3D8CF2F1" w:rsidR="006944F8" w:rsidRPr="00C1421E" w:rsidRDefault="00D64AF8" w:rsidP="006944F8">
      <w:pPr>
        <w:pStyle w:val="Heading1"/>
        <w:rPr>
          <w:rFonts w:eastAsiaTheme="minorEastAsia"/>
        </w:rPr>
      </w:pPr>
      <w:bookmarkStart w:id="55" w:name="_Toc480527828"/>
      <w:bookmarkStart w:id="56" w:name="_Toc18509741"/>
      <w:r w:rsidRPr="00C1421E">
        <w:rPr>
          <w:rFonts w:eastAsiaTheme="minorEastAsia"/>
        </w:rPr>
        <w:t>4</w:t>
      </w:r>
      <w:r w:rsidR="006944F8" w:rsidRPr="00C1421E">
        <w:rPr>
          <w:rFonts w:eastAsiaTheme="minorEastAsia"/>
        </w:rPr>
        <w:tab/>
        <w:t>Intellectual property rights</w:t>
      </w:r>
      <w:bookmarkEnd w:id="49"/>
      <w:bookmarkEnd w:id="50"/>
      <w:bookmarkEnd w:id="51"/>
      <w:bookmarkEnd w:id="52"/>
      <w:bookmarkEnd w:id="53"/>
      <w:bookmarkEnd w:id="54"/>
      <w:bookmarkEnd w:id="55"/>
      <w:bookmarkEnd w:id="56"/>
    </w:p>
    <w:p w14:paraId="7369A933" w14:textId="7710C7B1" w:rsidR="006944F8" w:rsidRPr="001C37A8" w:rsidRDefault="006944F8" w:rsidP="006944F8">
      <w:pPr>
        <w:rPr>
          <w:lang w:val="en-GB"/>
        </w:rPr>
      </w:pPr>
      <w:r w:rsidRPr="001C37A8">
        <w:rPr>
          <w:lang w:val="en-GB"/>
        </w:rPr>
        <w:t xml:space="preserve">The </w:t>
      </w:r>
      <w:hyperlink r:id="rId77" w:history="1">
        <w:r w:rsidRPr="00C1421E">
          <w:rPr>
            <w:rStyle w:val="Hyperlink"/>
            <w:rFonts w:asciiTheme="majorBidi" w:hAnsiTheme="majorBidi" w:cstheme="majorBidi"/>
            <w:lang w:val="en-GB"/>
          </w:rPr>
          <w:t>TSB Director</w:t>
        </w:r>
        <w:r w:rsidR="00CA2D85" w:rsidRPr="00C1421E">
          <w:rPr>
            <w:rStyle w:val="Hyperlink"/>
            <w:rFonts w:asciiTheme="majorBidi" w:hAnsiTheme="majorBidi" w:cstheme="majorBidi"/>
            <w:lang w:val="en-GB"/>
          </w:rPr>
          <w:t>'</w:t>
        </w:r>
        <w:r w:rsidRPr="00C1421E">
          <w:rPr>
            <w:rStyle w:val="Hyperlink"/>
            <w:rFonts w:asciiTheme="majorBidi" w:hAnsiTheme="majorBidi" w:cstheme="majorBidi"/>
            <w:lang w:val="en-GB"/>
          </w:rPr>
          <w:t>s Ad Hoc Group on Intellectual Property Rights (IPR AHG)</w:t>
        </w:r>
      </w:hyperlink>
      <w:r w:rsidRPr="001C37A8">
        <w:rPr>
          <w:lang w:val="en-GB"/>
        </w:rPr>
        <w:t xml:space="preserve"> continues its work to protect the integrity of the standards-development process by clarifying aspects of the </w:t>
      </w:r>
      <w:hyperlink r:id="rId78" w:history="1">
        <w:r w:rsidRPr="00C1421E">
          <w:rPr>
            <w:rStyle w:val="Hyperlink"/>
            <w:rFonts w:asciiTheme="majorBidi" w:hAnsiTheme="majorBidi" w:cstheme="majorBidi"/>
            <w:lang w:val="en-GB"/>
          </w:rPr>
          <w:t>ITU-R/ITU-T/ISO/IEC Patent Policy and related Guidelines</w:t>
        </w:r>
      </w:hyperlink>
      <w:r w:rsidRPr="001C37A8">
        <w:rPr>
          <w:lang w:val="en-GB"/>
        </w:rPr>
        <w:t xml:space="preserve"> – the Union</w:t>
      </w:r>
      <w:r w:rsidR="00CA2D85" w:rsidRPr="001C37A8">
        <w:rPr>
          <w:lang w:val="en-GB"/>
        </w:rPr>
        <w:t>'</w:t>
      </w:r>
      <w:r w:rsidRPr="001C37A8">
        <w:rPr>
          <w:lang w:val="en-GB"/>
        </w:rPr>
        <w:t xml:space="preserve">s main tool to manage the challenges </w:t>
      </w:r>
      <w:r w:rsidRPr="001C37A8">
        <w:rPr>
          <w:lang w:val="en-GB"/>
        </w:rPr>
        <w:lastRenderedPageBreak/>
        <w:t xml:space="preserve">associated with the incorporation of patents in </w:t>
      </w:r>
      <w:hyperlink r:id="rId79" w:history="1">
        <w:r w:rsidRPr="00C1421E">
          <w:rPr>
            <w:rStyle w:val="Hyperlink"/>
            <w:rFonts w:asciiTheme="majorBidi" w:hAnsiTheme="majorBidi" w:cstheme="majorBidi"/>
            <w:lang w:val="en-GB"/>
          </w:rPr>
          <w:t>ITU-T and ITU-R Recommendations</w:t>
        </w:r>
      </w:hyperlink>
      <w:bookmarkStart w:id="57" w:name="_10.1_TSB_Director's"/>
      <w:bookmarkEnd w:id="57"/>
      <w:r w:rsidRPr="001C37A8">
        <w:rPr>
          <w:lang w:val="en-GB"/>
        </w:rPr>
        <w:t xml:space="preserve">. </w:t>
      </w:r>
      <w:r w:rsidR="00A42763">
        <w:rPr>
          <w:lang w:val="en-GB"/>
        </w:rPr>
        <w:t xml:space="preserve">IPR AHG met at </w:t>
      </w:r>
      <w:r w:rsidRPr="001C37A8">
        <w:rPr>
          <w:lang w:val="en-GB"/>
        </w:rPr>
        <w:t xml:space="preserve">ITU </w:t>
      </w:r>
      <w:r w:rsidR="00A23389" w:rsidRPr="001C37A8">
        <w:rPr>
          <w:lang w:val="en-GB"/>
        </w:rPr>
        <w:t xml:space="preserve">headquarters </w:t>
      </w:r>
      <w:r w:rsidRPr="001C37A8">
        <w:rPr>
          <w:lang w:val="en-GB"/>
        </w:rPr>
        <w:t>in Geneva, 28 January 201</w:t>
      </w:r>
      <w:r w:rsidR="00A42763">
        <w:rPr>
          <w:lang w:val="en-GB"/>
        </w:rPr>
        <w:t xml:space="preserve">9, </w:t>
      </w:r>
      <w:r w:rsidRPr="001C37A8">
        <w:rPr>
          <w:lang w:val="en-GB"/>
        </w:rPr>
        <w:t xml:space="preserve">followed by </w:t>
      </w:r>
      <w:r w:rsidR="001F2C82" w:rsidRPr="001C37A8">
        <w:rPr>
          <w:lang w:val="en-GB"/>
        </w:rPr>
        <w:t>a</w:t>
      </w:r>
      <w:r w:rsidRPr="001C37A8">
        <w:rPr>
          <w:lang w:val="en-GB"/>
        </w:rPr>
        <w:t xml:space="preserve"> joint ITU-NGMN </w:t>
      </w:r>
      <w:r w:rsidR="001F2C82" w:rsidRPr="001C37A8">
        <w:rPr>
          <w:lang w:val="en-GB"/>
        </w:rPr>
        <w:t>conference</w:t>
      </w:r>
      <w:r w:rsidRPr="001C37A8">
        <w:rPr>
          <w:lang w:val="en-GB"/>
        </w:rPr>
        <w:t xml:space="preserve"> on </w:t>
      </w:r>
      <w:r w:rsidR="001F2C82" w:rsidRPr="001C37A8">
        <w:rPr>
          <w:lang w:val="en-GB"/>
        </w:rPr>
        <w:t>licensing practices in 5G industry segments</w:t>
      </w:r>
      <w:r w:rsidR="00D006F1" w:rsidRPr="001C37A8">
        <w:rPr>
          <w:lang w:val="en-GB"/>
        </w:rPr>
        <w:t xml:space="preserve">, </w:t>
      </w:r>
      <w:r w:rsidRPr="001C37A8">
        <w:rPr>
          <w:lang w:val="en-GB"/>
        </w:rPr>
        <w:t>29</w:t>
      </w:r>
      <w:r w:rsidR="00D006F1" w:rsidRPr="001C37A8">
        <w:rPr>
          <w:lang w:val="en-GB"/>
        </w:rPr>
        <w:t>-</w:t>
      </w:r>
      <w:r w:rsidRPr="001C37A8">
        <w:rPr>
          <w:lang w:val="en-GB"/>
        </w:rPr>
        <w:t>30 January 2019</w:t>
      </w:r>
      <w:r w:rsidR="00D006F1" w:rsidRPr="001C37A8">
        <w:rPr>
          <w:lang w:val="en-GB"/>
        </w:rPr>
        <w:t xml:space="preserve">, </w:t>
      </w:r>
      <w:r w:rsidRPr="001C37A8">
        <w:rPr>
          <w:lang w:val="en-GB"/>
        </w:rPr>
        <w:t>and a meeting of the NGMN IPR Group</w:t>
      </w:r>
      <w:r w:rsidR="00D006F1" w:rsidRPr="001C37A8">
        <w:rPr>
          <w:lang w:val="en-GB"/>
        </w:rPr>
        <w:t xml:space="preserve">, </w:t>
      </w:r>
      <w:r w:rsidRPr="001C37A8">
        <w:rPr>
          <w:lang w:val="en-GB"/>
        </w:rPr>
        <w:t>31 January 2019.</w:t>
      </w:r>
      <w:r w:rsidR="001F2C82" w:rsidRPr="001C37A8">
        <w:rPr>
          <w:lang w:val="en-GB"/>
        </w:rPr>
        <w:t xml:space="preserve"> The meet</w:t>
      </w:r>
      <w:r w:rsidR="006C1CAD" w:rsidRPr="001C37A8">
        <w:rPr>
          <w:lang w:val="en-GB"/>
        </w:rPr>
        <w:t>i</w:t>
      </w:r>
      <w:r w:rsidR="001F2C82" w:rsidRPr="001C37A8">
        <w:rPr>
          <w:lang w:val="en-GB"/>
        </w:rPr>
        <w:t xml:space="preserve">ng report can be found on the IPR AHG website at </w:t>
      </w:r>
      <w:hyperlink r:id="rId80" w:history="1">
        <w:r w:rsidR="00CA2D85" w:rsidRPr="00C1421E">
          <w:rPr>
            <w:rStyle w:val="Hyperlink"/>
            <w:lang w:val="en-GB"/>
          </w:rPr>
          <w:t>https://itu.int/en/ITU-T/ipr/Pages/adhoc.aspx</w:t>
        </w:r>
      </w:hyperlink>
      <w:r w:rsidR="00A42763">
        <w:rPr>
          <w:lang w:val="en-GB"/>
        </w:rPr>
        <w:t xml:space="preserve">. See relevant </w:t>
      </w:r>
      <w:hyperlink r:id="rId81" w:history="1">
        <w:r w:rsidR="00A42763" w:rsidRPr="00A42763">
          <w:rPr>
            <w:rStyle w:val="Hyperlink"/>
            <w:lang w:val="en-GB"/>
          </w:rPr>
          <w:t>ITU News story</w:t>
        </w:r>
      </w:hyperlink>
      <w:r w:rsidR="00A42763">
        <w:rPr>
          <w:lang w:val="en-GB"/>
        </w:rPr>
        <w:t xml:space="preserve">. </w:t>
      </w:r>
    </w:p>
    <w:p w14:paraId="0BDAECC9" w14:textId="1240C990" w:rsidR="006944F8" w:rsidRPr="00C1421E" w:rsidRDefault="00D64AF8" w:rsidP="006944F8">
      <w:pPr>
        <w:pStyle w:val="Heading1"/>
      </w:pPr>
      <w:bookmarkStart w:id="58" w:name="_Toc480527831"/>
      <w:bookmarkStart w:id="59" w:name="_Toc18509742"/>
      <w:bookmarkStart w:id="60" w:name="_Toc438553939"/>
      <w:bookmarkStart w:id="61" w:name="_Toc453929065"/>
      <w:bookmarkStart w:id="62" w:name="_Toc453932937"/>
      <w:bookmarkStart w:id="63" w:name="_Toc454295841"/>
      <w:r w:rsidRPr="00C1421E">
        <w:rPr>
          <w:rFonts w:eastAsiaTheme="minorEastAsia"/>
        </w:rPr>
        <w:t>5</w:t>
      </w:r>
      <w:r w:rsidR="006944F8" w:rsidRPr="00C1421E">
        <w:rPr>
          <w:rFonts w:eastAsiaTheme="minorEastAsia"/>
        </w:rPr>
        <w:tab/>
      </w:r>
      <w:r w:rsidR="006944F8" w:rsidRPr="00C1421E">
        <w:t>ITU-T Focus Groups: Exploring new directions in ITU standardization</w:t>
      </w:r>
      <w:bookmarkEnd w:id="58"/>
      <w:bookmarkEnd w:id="59"/>
    </w:p>
    <w:p w14:paraId="68BAA4AC" w14:textId="2AF91BC2" w:rsidR="006944F8" w:rsidRPr="001C37A8" w:rsidRDefault="006944F8" w:rsidP="006944F8">
      <w:pPr>
        <w:rPr>
          <w:lang w:val="en-GB"/>
        </w:rPr>
      </w:pPr>
      <w:r w:rsidRPr="001C37A8">
        <w:rPr>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w:t>
      </w:r>
      <w:r w:rsidR="00CA2D85" w:rsidRPr="001C37A8">
        <w:rPr>
          <w:lang w:val="en-GB"/>
        </w:rPr>
        <w:t>'</w:t>
      </w:r>
      <w:r w:rsidRPr="001C37A8">
        <w:rPr>
          <w:lang w:val="en-GB"/>
        </w:rPr>
        <w:t>s membership</w:t>
      </w:r>
      <w:r w:rsidR="00A42763">
        <w:rPr>
          <w:lang w:val="en-GB"/>
        </w:rPr>
        <w:t>. T</w:t>
      </w:r>
      <w:r w:rsidRPr="001C37A8">
        <w:rPr>
          <w:lang w:val="en-GB"/>
        </w:rPr>
        <w:t>hese groups are afforded great flexibility in their chosen deliverables and working methods.</w:t>
      </w:r>
    </w:p>
    <w:p w14:paraId="5B4C4987" w14:textId="31AAA42A" w:rsidR="006944F8" w:rsidRPr="00C1421E" w:rsidRDefault="00D64AF8" w:rsidP="006944F8">
      <w:pPr>
        <w:pStyle w:val="Heading2"/>
      </w:pPr>
      <w:bookmarkStart w:id="64" w:name="_Toc18509743"/>
      <w:bookmarkStart w:id="65" w:name="_Toc480527833"/>
      <w:bookmarkEnd w:id="60"/>
      <w:bookmarkEnd w:id="61"/>
      <w:bookmarkEnd w:id="62"/>
      <w:bookmarkEnd w:id="63"/>
      <w:r w:rsidRPr="00C1421E">
        <w:t>5</w:t>
      </w:r>
      <w:r w:rsidR="006944F8" w:rsidRPr="00C1421E">
        <w:t>.1</w:t>
      </w:r>
      <w:r w:rsidR="006944F8" w:rsidRPr="00C1421E">
        <w:tab/>
        <w:t xml:space="preserve">Data Processing and Management to support IoT and Smart Cities </w:t>
      </w:r>
      <w:r w:rsidR="006653E5">
        <w:t>&amp;</w:t>
      </w:r>
      <w:r w:rsidR="006944F8" w:rsidRPr="00C1421E">
        <w:t xml:space="preserve"> Communities</w:t>
      </w:r>
      <w:bookmarkEnd w:id="64"/>
    </w:p>
    <w:p w14:paraId="0209F415" w14:textId="759219C2" w:rsidR="004F0C57" w:rsidRPr="00C82DE5" w:rsidRDefault="004F0C57" w:rsidP="004F0C57">
      <w:pPr>
        <w:rPr>
          <w:lang w:val="en-GB"/>
        </w:rPr>
      </w:pPr>
      <w:r w:rsidRPr="004B6D09">
        <w:rPr>
          <w:lang w:val="en-GB"/>
        </w:rPr>
        <w:t xml:space="preserve">The </w:t>
      </w:r>
      <w:hyperlink r:id="rId82" w:history="1">
        <w:r w:rsidRPr="00C82DE5">
          <w:rPr>
            <w:rStyle w:val="Hyperlink"/>
            <w:lang w:val="en-GB"/>
          </w:rPr>
          <w:t>ITU-T Focus Group on Data Processing and Management to support IoT and Smart Cities &amp; Communities (FG</w:t>
        </w:r>
        <w:r w:rsidR="00C82DE5" w:rsidRPr="008A2F29">
          <w:rPr>
            <w:rStyle w:val="Hyperlink"/>
            <w:lang w:val="en-GB"/>
          </w:rPr>
          <w:t xml:space="preserve"> </w:t>
        </w:r>
        <w:r w:rsidRPr="00C82DE5">
          <w:rPr>
            <w:rStyle w:val="Hyperlink"/>
            <w:lang w:val="en-GB"/>
          </w:rPr>
          <w:t>DPM)</w:t>
        </w:r>
      </w:hyperlink>
      <w:r w:rsidRPr="004B6D09">
        <w:rPr>
          <w:lang w:val="en-GB"/>
        </w:rPr>
        <w:t xml:space="preserve"> </w:t>
      </w:r>
      <w:r w:rsidR="00E967D2" w:rsidRPr="008A2F29">
        <w:rPr>
          <w:lang w:val="en-GB"/>
        </w:rPr>
        <w:t xml:space="preserve">– final meeting 15-19 July 2019 – </w:t>
      </w:r>
      <w:r w:rsidRPr="004B6D09">
        <w:rPr>
          <w:lang w:val="en-GB"/>
        </w:rPr>
        <w:t>developed several technical specifications and technical reports for data management, taking into consideration the activities currently undertaken by the various standards</w:t>
      </w:r>
      <w:r w:rsidR="00C82DE5" w:rsidRPr="008A2F29">
        <w:rPr>
          <w:lang w:val="en-GB"/>
        </w:rPr>
        <w:t xml:space="preserve"> bodies</w:t>
      </w:r>
      <w:r w:rsidRPr="00C82DE5">
        <w:rPr>
          <w:lang w:val="en-GB"/>
        </w:rPr>
        <w:t>. FG</w:t>
      </w:r>
      <w:r w:rsidR="00C82DE5">
        <w:rPr>
          <w:lang w:val="en-GB"/>
        </w:rPr>
        <w:t xml:space="preserve"> </w:t>
      </w:r>
      <w:r w:rsidRPr="00C82DE5">
        <w:rPr>
          <w:lang w:val="en-GB"/>
        </w:rPr>
        <w:t>DPM studied and reviewed existing technologies, platforms, guidelines and standards for data processing and management, including data formats, in support of IoT and Smart Cities. FG</w:t>
      </w:r>
      <w:r w:rsidR="00C82DE5">
        <w:rPr>
          <w:lang w:val="en-GB"/>
        </w:rPr>
        <w:t xml:space="preserve"> </w:t>
      </w:r>
      <w:r w:rsidRPr="00C82DE5">
        <w:rPr>
          <w:lang w:val="en-GB"/>
        </w:rPr>
        <w:t xml:space="preserve">DPM </w:t>
      </w:r>
      <w:r w:rsidR="00FF7F99">
        <w:rPr>
          <w:lang w:val="en-GB"/>
        </w:rPr>
        <w:t>developed</w:t>
      </w:r>
      <w:r w:rsidR="00C82DE5">
        <w:rPr>
          <w:lang w:val="en-GB"/>
        </w:rPr>
        <w:t xml:space="preserve"> </w:t>
      </w:r>
      <w:r w:rsidRPr="004B6D09">
        <w:rPr>
          <w:lang w:val="en-GB"/>
        </w:rPr>
        <w:t xml:space="preserve">15 deliverables, which </w:t>
      </w:r>
      <w:r w:rsidR="00C82DE5" w:rsidRPr="008A2F29">
        <w:rPr>
          <w:lang w:val="en-GB"/>
        </w:rPr>
        <w:t xml:space="preserve">have been submitted </w:t>
      </w:r>
      <w:r w:rsidR="00C82DE5">
        <w:rPr>
          <w:lang w:val="en-GB"/>
        </w:rPr>
        <w:t xml:space="preserve">for the consideration of </w:t>
      </w:r>
      <w:r w:rsidR="00FF7F99">
        <w:rPr>
          <w:lang w:val="en-GB"/>
        </w:rPr>
        <w:t xml:space="preserve">its parent group, </w:t>
      </w:r>
      <w:r w:rsidR="00C82DE5" w:rsidRPr="008A2F29">
        <w:rPr>
          <w:lang w:val="en-GB"/>
        </w:rPr>
        <w:t>ITU-T SG20</w:t>
      </w:r>
      <w:r w:rsidRPr="00C82DE5">
        <w:rPr>
          <w:lang w:val="en-GB"/>
        </w:rPr>
        <w:t xml:space="preserve">. </w:t>
      </w:r>
      <w:r w:rsidR="00C82DE5" w:rsidRPr="008A2F29">
        <w:rPr>
          <w:lang w:val="en-GB"/>
        </w:rPr>
        <w:t>The</w:t>
      </w:r>
      <w:r w:rsidR="00C82DE5">
        <w:rPr>
          <w:lang w:val="en-GB"/>
        </w:rPr>
        <w:t>se</w:t>
      </w:r>
      <w:r w:rsidR="00C82DE5" w:rsidRPr="008A2F29">
        <w:rPr>
          <w:lang w:val="en-GB"/>
        </w:rPr>
        <w:t xml:space="preserve"> deliverables are available on the FG DPM homepage.  </w:t>
      </w:r>
    </w:p>
    <w:p w14:paraId="609AEE9E" w14:textId="0AD80405" w:rsidR="006944F8" w:rsidRPr="00C1421E" w:rsidRDefault="00D64AF8" w:rsidP="006944F8">
      <w:pPr>
        <w:pStyle w:val="Heading2"/>
      </w:pPr>
      <w:bookmarkStart w:id="66" w:name="_Toc18509744"/>
      <w:r w:rsidRPr="00C1421E">
        <w:t>5</w:t>
      </w:r>
      <w:r w:rsidR="006944F8" w:rsidRPr="00C1421E">
        <w:t>.2</w:t>
      </w:r>
      <w:r w:rsidR="006944F8" w:rsidRPr="00C1421E">
        <w:tab/>
        <w:t xml:space="preserve">Digital </w:t>
      </w:r>
      <w:r w:rsidRPr="00C1421E">
        <w:t>C</w:t>
      </w:r>
      <w:r w:rsidR="006944F8" w:rsidRPr="00C1421E">
        <w:t xml:space="preserve">urrency including </w:t>
      </w:r>
      <w:r w:rsidRPr="00C1421E">
        <w:t>D</w:t>
      </w:r>
      <w:r w:rsidR="006944F8" w:rsidRPr="00C1421E">
        <w:t xml:space="preserve">igital </w:t>
      </w:r>
      <w:r w:rsidRPr="00C1421E">
        <w:t>F</w:t>
      </w:r>
      <w:r w:rsidR="006944F8" w:rsidRPr="00C1421E">
        <w:t xml:space="preserve">iat </w:t>
      </w:r>
      <w:r w:rsidRPr="00C1421E">
        <w:t>C</w:t>
      </w:r>
      <w:r w:rsidR="006944F8" w:rsidRPr="00C1421E">
        <w:t>urrency</w:t>
      </w:r>
      <w:bookmarkEnd w:id="66"/>
    </w:p>
    <w:p w14:paraId="72539DC3" w14:textId="4DD50F91" w:rsidR="00376554" w:rsidRPr="001C37A8" w:rsidRDefault="00376554" w:rsidP="001C37A8">
      <w:r w:rsidRPr="001C37A8">
        <w:t xml:space="preserve">The </w:t>
      </w:r>
      <w:hyperlink r:id="rId83" w:history="1">
        <w:r w:rsidRPr="001C37A8">
          <w:rPr>
            <w:rStyle w:val="Hyperlink"/>
          </w:rPr>
          <w:t>ITU-T Focus Group Digital Currency including Digital Fiat Currency (FG DFC)</w:t>
        </w:r>
      </w:hyperlink>
      <w:r w:rsidRPr="001C37A8">
        <w:t xml:space="preserve"> </w:t>
      </w:r>
      <w:r w:rsidR="00E967D2">
        <w:t xml:space="preserve">– final meeting 12-14 June 2019 – </w:t>
      </w:r>
      <w:r w:rsidRPr="001C37A8">
        <w:t>provided a forum for dialogue among players in the banking, fintech and telecom sectors to share information and best practices and showcase innovations</w:t>
      </w:r>
      <w:r w:rsidR="00A42763">
        <w:t xml:space="preserve">. The group </w:t>
      </w:r>
      <w:r w:rsidRPr="001C37A8">
        <w:t>develop</w:t>
      </w:r>
      <w:r w:rsidR="00A42763">
        <w:t>ed</w:t>
      </w:r>
      <w:r w:rsidRPr="001C37A8">
        <w:t xml:space="preserve"> </w:t>
      </w:r>
      <w:r w:rsidR="00FF7F99">
        <w:t xml:space="preserve">seven </w:t>
      </w:r>
      <w:r w:rsidRPr="001C37A8">
        <w:t>deliverables highlighting requirements for reference architecture</w:t>
      </w:r>
      <w:r w:rsidR="00A42763">
        <w:t xml:space="preserve"> and </w:t>
      </w:r>
      <w:r w:rsidRPr="001C37A8">
        <w:t>security</w:t>
      </w:r>
      <w:r w:rsidR="00E967D2">
        <w:t xml:space="preserve">. These deliverables also describe the </w:t>
      </w:r>
      <w:r w:rsidRPr="001C37A8">
        <w:t xml:space="preserve">need for standards </w:t>
      </w:r>
      <w:r w:rsidR="00E967D2">
        <w:t xml:space="preserve">in support of </w:t>
      </w:r>
      <w:r w:rsidRPr="001C37A8">
        <w:t>digital currency</w:t>
      </w:r>
      <w:r w:rsidR="007F6DBC">
        <w:t xml:space="preserve"> authorized and issued by C</w:t>
      </w:r>
      <w:r w:rsidR="00E967D2">
        <w:t>en</w:t>
      </w:r>
      <w:r w:rsidR="007F6DBC">
        <w:t>tral B</w:t>
      </w:r>
      <w:r w:rsidR="00E967D2">
        <w:t>anks</w:t>
      </w:r>
      <w:r w:rsidRPr="001C37A8">
        <w:t>.</w:t>
      </w:r>
      <w:r w:rsidR="00FF7F99">
        <w:t xml:space="preserve"> The deliverables </w:t>
      </w:r>
      <w:r w:rsidR="00C82DE5">
        <w:t xml:space="preserve">have been </w:t>
      </w:r>
      <w:r w:rsidR="00E967D2">
        <w:t>submitted for the consideration of this TSAG meeting</w:t>
      </w:r>
      <w:r w:rsidR="00FF7F99">
        <w:t xml:space="preserve"> and </w:t>
      </w:r>
      <w:r w:rsidR="00C82DE5" w:rsidRPr="007A497F">
        <w:rPr>
          <w:lang w:val="en-GB"/>
        </w:rPr>
        <w:t>are available on the FG D</w:t>
      </w:r>
      <w:r w:rsidR="00684F73">
        <w:rPr>
          <w:lang w:val="en-GB"/>
        </w:rPr>
        <w:t xml:space="preserve">FC </w:t>
      </w:r>
      <w:r w:rsidR="00C82DE5" w:rsidRPr="007A497F">
        <w:rPr>
          <w:lang w:val="en-GB"/>
        </w:rPr>
        <w:t xml:space="preserve">homepage.  </w:t>
      </w:r>
    </w:p>
    <w:p w14:paraId="79062356" w14:textId="1DADC241" w:rsidR="00FF7F99" w:rsidRPr="00C1421E" w:rsidRDefault="00376554" w:rsidP="00FF7F99">
      <w:pPr>
        <w:rPr>
          <w:lang w:val="en-GB"/>
        </w:rPr>
      </w:pPr>
      <w:r w:rsidRPr="00C1421E">
        <w:rPr>
          <w:lang w:val="en-GB"/>
        </w:rPr>
        <w:t>ITU and Stanford University</w:t>
      </w:r>
      <w:r w:rsidR="000F62F1">
        <w:rPr>
          <w:lang w:val="en-GB"/>
        </w:rPr>
        <w:t>, a new ITU Academ</w:t>
      </w:r>
      <w:r w:rsidR="00E967D2">
        <w:rPr>
          <w:lang w:val="en-GB"/>
        </w:rPr>
        <w:t>ia member,</w:t>
      </w:r>
      <w:r w:rsidRPr="00C1421E">
        <w:rPr>
          <w:lang w:val="en-GB"/>
        </w:rPr>
        <w:t xml:space="preserve"> have agreed to launch a partnership to support pilot implementations of DFC</w:t>
      </w:r>
      <w:r w:rsidR="00E967D2">
        <w:rPr>
          <w:lang w:val="en-GB"/>
        </w:rPr>
        <w:t>.</w:t>
      </w:r>
      <w:r w:rsidR="00FF7F99">
        <w:rPr>
          <w:lang w:val="en-GB"/>
        </w:rPr>
        <w:t xml:space="preserve"> </w:t>
      </w:r>
      <w:r w:rsidR="00FF7F99" w:rsidRPr="007A497F">
        <w:t>The partnership</w:t>
      </w:r>
      <w:r w:rsidR="00FF7F99">
        <w:t xml:space="preserve"> responds to a call from the FG </w:t>
      </w:r>
      <w:r w:rsidR="00FF7F99" w:rsidRPr="007A497F">
        <w:t>DFC participants for a new forum to continue their work.</w:t>
      </w:r>
      <w:r w:rsidR="00FF7F99">
        <w:rPr>
          <w:lang w:val="en-GB"/>
        </w:rPr>
        <w:t xml:space="preserve"> See relevant </w:t>
      </w:r>
      <w:hyperlink r:id="rId84" w:history="1">
        <w:r w:rsidR="00FF7F99" w:rsidRPr="002B73CF">
          <w:rPr>
            <w:rStyle w:val="Hyperlink"/>
            <w:lang w:val="en-GB"/>
          </w:rPr>
          <w:t>ITU News story</w:t>
        </w:r>
      </w:hyperlink>
      <w:r w:rsidR="00FF7F99">
        <w:rPr>
          <w:lang w:val="en-GB"/>
        </w:rPr>
        <w:t xml:space="preserve">. </w:t>
      </w:r>
    </w:p>
    <w:p w14:paraId="48063C06" w14:textId="3299D407" w:rsidR="00FF7F99" w:rsidRDefault="00376554" w:rsidP="00CA2D85">
      <w:pPr>
        <w:rPr>
          <w:lang w:val="en-GB"/>
        </w:rPr>
      </w:pPr>
      <w:r w:rsidRPr="00C1421E">
        <w:rPr>
          <w:lang w:val="en-GB"/>
        </w:rPr>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w:t>
      </w:r>
      <w:r w:rsidR="002B73CF">
        <w:rPr>
          <w:lang w:val="en-GB"/>
        </w:rPr>
        <w:t xml:space="preserve">The </w:t>
      </w:r>
      <w:r w:rsidRPr="00C1421E">
        <w:rPr>
          <w:lang w:val="en-GB"/>
        </w:rPr>
        <w:t xml:space="preserve">International Monetary Fund and Bank for International Settlements are </w:t>
      </w:r>
      <w:r w:rsidR="002B73CF">
        <w:rPr>
          <w:lang w:val="en-GB"/>
        </w:rPr>
        <w:t xml:space="preserve">also </w:t>
      </w:r>
      <w:r w:rsidRPr="00C1421E">
        <w:rPr>
          <w:lang w:val="en-GB"/>
        </w:rPr>
        <w:t>expected to join this initiative.</w:t>
      </w:r>
      <w:r w:rsidR="002B73CF">
        <w:rPr>
          <w:lang w:val="en-GB"/>
        </w:rPr>
        <w:t xml:space="preserve"> </w:t>
      </w:r>
    </w:p>
    <w:p w14:paraId="0C9257B1" w14:textId="2AA47C5C" w:rsidR="006944F8" w:rsidRPr="00C1421E" w:rsidRDefault="00D64AF8" w:rsidP="006944F8">
      <w:pPr>
        <w:pStyle w:val="Heading2"/>
      </w:pPr>
      <w:bookmarkStart w:id="67" w:name="_Toc18509745"/>
      <w:r w:rsidRPr="00C1421E">
        <w:t>5</w:t>
      </w:r>
      <w:r w:rsidR="006944F8" w:rsidRPr="00C1421E">
        <w:t>.3</w:t>
      </w:r>
      <w:r w:rsidR="006944F8" w:rsidRPr="00C1421E">
        <w:tab/>
        <w:t>Application of Distributed Ledger Technology</w:t>
      </w:r>
      <w:bookmarkEnd w:id="67"/>
    </w:p>
    <w:p w14:paraId="756879F0" w14:textId="56595ED5" w:rsidR="00FF7F99" w:rsidRPr="001C37A8" w:rsidRDefault="00AD6561" w:rsidP="00FF7F99">
      <w:r w:rsidRPr="00C1421E">
        <w:rPr>
          <w:lang w:val="en-GB"/>
        </w:rPr>
        <w:t xml:space="preserve">The </w:t>
      </w:r>
      <w:hyperlink r:id="rId85" w:history="1">
        <w:r w:rsidR="006944F8" w:rsidRPr="00C1421E">
          <w:rPr>
            <w:rStyle w:val="Hyperlink"/>
            <w:lang w:val="en-GB"/>
          </w:rPr>
          <w:t>ITU-T Focus Group on Application of Distributed Ledger Technology (FG DLT)</w:t>
        </w:r>
      </w:hyperlink>
      <w:r w:rsidR="006944F8" w:rsidRPr="00C1421E">
        <w:rPr>
          <w:lang w:val="en-GB"/>
        </w:rPr>
        <w:t xml:space="preserve"> </w:t>
      </w:r>
      <w:r w:rsidR="002B73CF">
        <w:rPr>
          <w:lang w:val="en-GB"/>
        </w:rPr>
        <w:t xml:space="preserve">– final meeting 29 July - 1 August 2019 – has </w:t>
      </w:r>
      <w:r w:rsidR="006944F8" w:rsidRPr="00C1421E">
        <w:rPr>
          <w:lang w:val="en-GB"/>
        </w:rPr>
        <w:t>deliver</w:t>
      </w:r>
      <w:r w:rsidR="002B73CF">
        <w:rPr>
          <w:lang w:val="en-GB"/>
        </w:rPr>
        <w:t>ed</w:t>
      </w:r>
      <w:r w:rsidR="006944F8" w:rsidRPr="00C1421E">
        <w:rPr>
          <w:lang w:val="en-GB"/>
        </w:rPr>
        <w:t xml:space="preserve"> an </w:t>
      </w:r>
      <w:r w:rsidR="00CA2D85" w:rsidRPr="00C1421E">
        <w:rPr>
          <w:lang w:val="en-GB"/>
        </w:rPr>
        <w:t>'</w:t>
      </w:r>
      <w:r w:rsidR="006944F8" w:rsidRPr="00C1421E">
        <w:rPr>
          <w:lang w:val="en-GB"/>
        </w:rPr>
        <w:t>assessment framework</w:t>
      </w:r>
      <w:r w:rsidR="00CA2D85" w:rsidRPr="00C1421E">
        <w:rPr>
          <w:lang w:val="en-GB"/>
        </w:rPr>
        <w:t>'</w:t>
      </w:r>
      <w:r w:rsidR="006944F8" w:rsidRPr="00C1421E">
        <w:rPr>
          <w:lang w:val="en-GB"/>
        </w:rPr>
        <w:t xml:space="preserve"> to support efforts to understand the strengths and weaknesses of DLT platforms in different use cases. The group </w:t>
      </w:r>
      <w:r w:rsidR="002B73CF">
        <w:rPr>
          <w:lang w:val="en-GB"/>
        </w:rPr>
        <w:t xml:space="preserve">has also produced </w:t>
      </w:r>
      <w:r w:rsidR="006944F8" w:rsidRPr="00C1421E">
        <w:rPr>
          <w:lang w:val="en-GB"/>
        </w:rPr>
        <w:t>a high-level DLT architecture – a reference framework – detailing the key elements of a DLT platform. The Focus Group stud</w:t>
      </w:r>
      <w:r w:rsidR="002B73CF">
        <w:rPr>
          <w:lang w:val="en-GB"/>
        </w:rPr>
        <w:t>ied</w:t>
      </w:r>
      <w:r w:rsidR="006944F8" w:rsidRPr="00C1421E">
        <w:rPr>
          <w:lang w:val="en-GB"/>
        </w:rPr>
        <w:t xml:space="preserve"> high-potential DLT use cases and DLT platforms said to meet the requirements of such use cases. These studies guide</w:t>
      </w:r>
      <w:r w:rsidR="002B73CF">
        <w:rPr>
          <w:lang w:val="en-GB"/>
        </w:rPr>
        <w:t>d</w:t>
      </w:r>
      <w:r w:rsidR="006944F8" w:rsidRPr="00C1421E">
        <w:rPr>
          <w:lang w:val="en-GB"/>
        </w:rPr>
        <w:t xml:space="preserve"> the Focus Group</w:t>
      </w:r>
      <w:r w:rsidR="00CA2D85" w:rsidRPr="00C1421E">
        <w:rPr>
          <w:lang w:val="en-GB"/>
        </w:rPr>
        <w:t>'</w:t>
      </w:r>
      <w:r w:rsidR="006944F8" w:rsidRPr="00C1421E">
        <w:rPr>
          <w:lang w:val="en-GB"/>
        </w:rPr>
        <w:t xml:space="preserve">s abstraction of the common requirements necessary to describe a DLT architecture and associated assessment </w:t>
      </w:r>
      <w:r w:rsidR="006944F8" w:rsidRPr="00C1421E">
        <w:rPr>
          <w:lang w:val="en-GB"/>
        </w:rPr>
        <w:lastRenderedPageBreak/>
        <w:t>criteria.</w:t>
      </w:r>
      <w:r w:rsidR="00FF7F99">
        <w:rPr>
          <w:lang w:val="en-GB"/>
        </w:rPr>
        <w:t xml:space="preserve"> The </w:t>
      </w:r>
      <w:r w:rsidR="00FF7F99">
        <w:t xml:space="preserve">eight deliverables developed by FG DLT have been submitted for the consideration of this TSAG meeting and </w:t>
      </w:r>
      <w:r w:rsidR="00FF7F99" w:rsidRPr="007A497F">
        <w:rPr>
          <w:lang w:val="en-GB"/>
        </w:rPr>
        <w:t>are available on the FG</w:t>
      </w:r>
      <w:r w:rsidR="00FF7F99">
        <w:rPr>
          <w:lang w:val="en-GB"/>
        </w:rPr>
        <w:t xml:space="preserve"> DLT</w:t>
      </w:r>
      <w:r w:rsidR="00FF7F99" w:rsidRPr="007A497F">
        <w:rPr>
          <w:lang w:val="en-GB"/>
        </w:rPr>
        <w:t xml:space="preserve"> homepage.  </w:t>
      </w:r>
    </w:p>
    <w:p w14:paraId="57C2A8AA" w14:textId="009F8CCA" w:rsidR="006944F8" w:rsidRPr="00C1421E" w:rsidRDefault="00D64AF8" w:rsidP="009E5FFA">
      <w:pPr>
        <w:pStyle w:val="Heading2"/>
      </w:pPr>
      <w:bookmarkStart w:id="68" w:name="_Toc18509746"/>
      <w:r w:rsidRPr="00C1421E">
        <w:t>5</w:t>
      </w:r>
      <w:r w:rsidR="006944F8" w:rsidRPr="00C1421E">
        <w:t>.4</w:t>
      </w:r>
      <w:r w:rsidR="006944F8" w:rsidRPr="00C1421E">
        <w:tab/>
        <w:t xml:space="preserve">Machine </w:t>
      </w:r>
      <w:r w:rsidRPr="00C1421E">
        <w:t>L</w:t>
      </w:r>
      <w:r w:rsidR="006944F8" w:rsidRPr="00C1421E">
        <w:t xml:space="preserve">earning </w:t>
      </w:r>
      <w:r w:rsidRPr="00C1421E">
        <w:t>for Future Networks including</w:t>
      </w:r>
      <w:r w:rsidR="006944F8" w:rsidRPr="00C1421E">
        <w:t xml:space="preserve"> 5G</w:t>
      </w:r>
      <w:bookmarkEnd w:id="68"/>
    </w:p>
    <w:p w14:paraId="144B5C25" w14:textId="0BB10C48" w:rsidR="006944F8" w:rsidRDefault="006944F8" w:rsidP="001C37A8">
      <w:r w:rsidRPr="001C37A8">
        <w:t xml:space="preserve">The </w:t>
      </w:r>
      <w:hyperlink r:id="rId86" w:history="1">
        <w:r w:rsidRPr="001C37A8">
          <w:rPr>
            <w:rStyle w:val="Hyperlink"/>
          </w:rPr>
          <w:t>ITU</w:t>
        </w:r>
        <w:r w:rsidR="00D64AF8" w:rsidRPr="001C37A8">
          <w:rPr>
            <w:rStyle w:val="Hyperlink"/>
          </w:rPr>
          <w:t>-T</w:t>
        </w:r>
        <w:r w:rsidRPr="001C37A8">
          <w:rPr>
            <w:rStyle w:val="Hyperlink"/>
          </w:rPr>
          <w:t xml:space="preserve"> Focus Group on Machine Learning for Future Networks including </w:t>
        </w:r>
        <w:r w:rsidR="002534EE" w:rsidRPr="001C37A8">
          <w:rPr>
            <w:rStyle w:val="Hyperlink"/>
          </w:rPr>
          <w:t>5G (FG ML5G)</w:t>
        </w:r>
        <w:r w:rsidR="002534EE" w:rsidRPr="001C37A8" w:rsidDel="002534EE">
          <w:rPr>
            <w:rStyle w:val="Hyperlink"/>
          </w:rPr>
          <w:t xml:space="preserve"> </w:t>
        </w:r>
      </w:hyperlink>
      <w:r w:rsidR="002B73CF">
        <w:t>is</w:t>
      </w:r>
      <w:r w:rsidR="00582EFF" w:rsidRPr="001C37A8">
        <w:t xml:space="preserve"> </w:t>
      </w:r>
      <w:r w:rsidRPr="001C37A8">
        <w:t>propos</w:t>
      </w:r>
      <w:r w:rsidR="002B73CF">
        <w:t xml:space="preserve">ing </w:t>
      </w:r>
      <w:r w:rsidRPr="001C37A8">
        <w:t xml:space="preserve">standardization strategies to assist machine learning in contributing to the efficiency of emerging 5G systems. The group </w:t>
      </w:r>
      <w:r w:rsidR="002534EE" w:rsidRPr="001C37A8">
        <w:t xml:space="preserve">is </w:t>
      </w:r>
      <w:r w:rsidRPr="001C37A8">
        <w:t>defin</w:t>
      </w:r>
      <w:r w:rsidR="002534EE" w:rsidRPr="001C37A8">
        <w:t>ing</w:t>
      </w:r>
      <w:r w:rsidRPr="001C37A8">
        <w:t xml:space="preserve"> the requirements of machine learning as they relate to </w:t>
      </w:r>
      <w:r w:rsidR="00582EFF" w:rsidRPr="001C37A8">
        <w:t xml:space="preserve">interfaces, protocols, algorithms, </w:t>
      </w:r>
      <w:r w:rsidRPr="001C37A8">
        <w:t>data formats and network architectures.</w:t>
      </w:r>
      <w:r w:rsidR="00AD6561" w:rsidRPr="001C37A8">
        <w:t xml:space="preserve"> </w:t>
      </w:r>
      <w:r w:rsidRPr="001C37A8">
        <w:t>One of the Focus Group</w:t>
      </w:r>
      <w:r w:rsidR="00CA2D85" w:rsidRPr="001C37A8">
        <w:t>'</w:t>
      </w:r>
      <w:r w:rsidRPr="001C37A8">
        <w:t>s ambitions is to address the challenges surrounding the availability and quality of the data required to fuel machine learning algorithms.</w:t>
      </w:r>
    </w:p>
    <w:p w14:paraId="562057AF" w14:textId="4C6DC89E" w:rsidR="000F62F1" w:rsidRPr="000F62F1" w:rsidRDefault="000F62F1" w:rsidP="000F62F1">
      <w:pPr>
        <w:rPr>
          <w:lang w:val="en-GB"/>
        </w:rPr>
      </w:pPr>
      <w:r w:rsidRPr="000F62F1">
        <w:rPr>
          <w:lang w:val="en-GB"/>
        </w:rPr>
        <w:t xml:space="preserve">A new ITU standard </w:t>
      </w:r>
      <w:r>
        <w:rPr>
          <w:lang w:val="en-GB"/>
        </w:rPr>
        <w:t xml:space="preserve">developed by the Focus Group </w:t>
      </w:r>
      <w:r w:rsidRPr="000F62F1">
        <w:rPr>
          <w:lang w:val="en-GB"/>
        </w:rPr>
        <w:t>has established a basis for the cost-effective integration of Machine Learning into 5G and future networks. </w:t>
      </w:r>
      <w:hyperlink r:id="rId87" w:history="1">
        <w:r w:rsidRPr="000F62F1">
          <w:rPr>
            <w:rStyle w:val="Hyperlink"/>
            <w:lang w:val="en-GB"/>
          </w:rPr>
          <w:t>ITU</w:t>
        </w:r>
        <w:r>
          <w:rPr>
            <w:rStyle w:val="Hyperlink"/>
            <w:lang w:val="en-GB"/>
          </w:rPr>
          <w:t>-T</w:t>
        </w:r>
        <w:r w:rsidRPr="000F62F1">
          <w:rPr>
            <w:rStyle w:val="Hyperlink"/>
            <w:lang w:val="en-GB"/>
          </w:rPr>
          <w:t xml:space="preserve"> Y.3172</w:t>
        </w:r>
      </w:hyperlink>
      <w:r w:rsidR="0002156B">
        <w:rPr>
          <w:lang w:val="en-GB"/>
        </w:rPr>
        <w:t> </w:t>
      </w:r>
      <w:r w:rsidRPr="000F62F1">
        <w:rPr>
          <w:lang w:val="en-GB"/>
        </w:rPr>
        <w:t>describes an architectural framework for networks to accommodate current as well as future use cases of Machine Learning.</w:t>
      </w:r>
    </w:p>
    <w:p w14:paraId="6FE080F2" w14:textId="7F363B63" w:rsidR="002B73CF" w:rsidRPr="008A2F29" w:rsidRDefault="0002156B" w:rsidP="001C37A8">
      <w:pPr>
        <w:rPr>
          <w:lang w:val="en-GB"/>
        </w:rPr>
      </w:pPr>
      <w:r>
        <w:rPr>
          <w:lang w:val="en-GB"/>
        </w:rPr>
        <w:t xml:space="preserve">ITU Y.3172 was approved in June 2019 by the </w:t>
      </w:r>
      <w:r w:rsidR="000F62F1" w:rsidRPr="000F62F1">
        <w:rPr>
          <w:lang w:val="en-GB"/>
        </w:rPr>
        <w:t>Focus Group’s parent group, </w:t>
      </w:r>
      <w:r w:rsidR="00FF7F99">
        <w:rPr>
          <w:lang w:val="en-GB"/>
        </w:rPr>
        <w:t>ITU-T SG13.</w:t>
      </w:r>
      <w:r>
        <w:rPr>
          <w:lang w:val="en-GB"/>
        </w:rPr>
        <w:t xml:space="preserve"> The approval marks the</w:t>
      </w:r>
      <w:r w:rsidR="000F62F1" w:rsidRPr="000F62F1">
        <w:rPr>
          <w:lang w:val="en-GB"/>
        </w:rPr>
        <w:t xml:space="preserve"> first time that a Study Group has approved a Focus Group deliverable as an ITU standard before the conclusion of the Focus Group’s lifetime</w:t>
      </w:r>
      <w:r>
        <w:rPr>
          <w:lang w:val="en-GB"/>
        </w:rPr>
        <w:t xml:space="preserve">, </w:t>
      </w:r>
      <w:r w:rsidR="000F62F1" w:rsidRPr="000F62F1">
        <w:rPr>
          <w:lang w:val="en-GB"/>
        </w:rPr>
        <w:t>represent</w:t>
      </w:r>
      <w:r w:rsidR="000F62F1">
        <w:rPr>
          <w:lang w:val="en-GB"/>
        </w:rPr>
        <w:t>ing</w:t>
      </w:r>
      <w:r w:rsidR="000F62F1" w:rsidRPr="000F62F1">
        <w:rPr>
          <w:lang w:val="en-GB"/>
        </w:rPr>
        <w:t xml:space="preserve"> an important achievement in ITU’s work to expedite the transition from exploratory studies to the agreement of new ITU standards.</w:t>
      </w:r>
      <w:r>
        <w:rPr>
          <w:lang w:val="en-GB"/>
        </w:rPr>
        <w:t xml:space="preserve"> See relevant </w:t>
      </w:r>
      <w:hyperlink r:id="rId88" w:history="1">
        <w:r w:rsidRPr="0002156B">
          <w:rPr>
            <w:rStyle w:val="Hyperlink"/>
            <w:lang w:val="en-GB"/>
          </w:rPr>
          <w:t>ITU News story</w:t>
        </w:r>
      </w:hyperlink>
      <w:r>
        <w:rPr>
          <w:lang w:val="en-GB"/>
        </w:rPr>
        <w:t xml:space="preserve">. </w:t>
      </w:r>
    </w:p>
    <w:p w14:paraId="2A1AA560" w14:textId="4511186A" w:rsidR="006944F8" w:rsidRPr="00C1421E" w:rsidRDefault="00D64AF8" w:rsidP="006944F8">
      <w:pPr>
        <w:pStyle w:val="Heading2"/>
      </w:pPr>
      <w:bookmarkStart w:id="69" w:name="_Toc18509747"/>
      <w:r w:rsidRPr="00C1421E">
        <w:t>5</w:t>
      </w:r>
      <w:r w:rsidR="006944F8" w:rsidRPr="00C1421E">
        <w:t>.5</w:t>
      </w:r>
      <w:r w:rsidR="006944F8" w:rsidRPr="00C1421E">
        <w:tab/>
        <w:t>Technologies for Network 2030</w:t>
      </w:r>
      <w:bookmarkEnd w:id="69"/>
    </w:p>
    <w:p w14:paraId="38CEFD74" w14:textId="21A22B61" w:rsidR="0002156B" w:rsidRDefault="006944F8" w:rsidP="001C37A8">
      <w:r w:rsidRPr="001C37A8">
        <w:t xml:space="preserve">The </w:t>
      </w:r>
      <w:hyperlink r:id="rId89" w:history="1">
        <w:r w:rsidRPr="001C37A8">
          <w:rPr>
            <w:rStyle w:val="Hyperlink"/>
          </w:rPr>
          <w:t>ITU</w:t>
        </w:r>
        <w:r w:rsidR="00D64AF8" w:rsidRPr="001C37A8">
          <w:rPr>
            <w:rStyle w:val="Hyperlink"/>
          </w:rPr>
          <w:t>-T</w:t>
        </w:r>
        <w:r w:rsidRPr="001C37A8">
          <w:rPr>
            <w:rStyle w:val="Hyperlink"/>
          </w:rPr>
          <w:t xml:space="preserve"> Focus Group on Technologies for Network 2030 (FG NET-2030)</w:t>
        </w:r>
      </w:hyperlink>
      <w:r w:rsidRPr="001C37A8">
        <w:t xml:space="preserve"> </w:t>
      </w:r>
      <w:r w:rsidR="0002156B">
        <w:t>is</w:t>
      </w:r>
      <w:r w:rsidR="002534EE" w:rsidRPr="001C37A8">
        <w:t xml:space="preserve"> examin</w:t>
      </w:r>
      <w:r w:rsidR="0002156B">
        <w:t>ing</w:t>
      </w:r>
      <w:r w:rsidR="00AD6561" w:rsidRPr="001C37A8">
        <w:t xml:space="preserve"> how emerging technologies can enhance network capabilities to meet the demands of 5G systems and future innovations. The group is studying</w:t>
      </w:r>
      <w:r w:rsidRPr="001C37A8">
        <w:t xml:space="preserve"> new media, services and architectures to identify communication needs and use cases for the year 2030 and beyond. </w:t>
      </w:r>
      <w:r w:rsidR="0002156B" w:rsidRPr="001C37A8">
        <w:t>In focus are applications including augmented and virtual reality and holograms, and the group aims also re</w:t>
      </w:r>
      <w:r w:rsidR="0002156B">
        <w:t>spond to increasing user demand</w:t>
      </w:r>
      <w:r w:rsidR="0002156B" w:rsidRPr="001C37A8">
        <w:t xml:space="preserve"> for time-sensitive applications</w:t>
      </w:r>
      <w:r w:rsidR="0002156B">
        <w:t xml:space="preserve"> in fields such as telemedicine and industrial automation. </w:t>
      </w:r>
    </w:p>
    <w:p w14:paraId="6DDBFB2F" w14:textId="456643C4" w:rsidR="006944F8" w:rsidRPr="001C37A8" w:rsidRDefault="0002156B" w:rsidP="001C37A8">
      <w:r>
        <w:t>In May 2019, t</w:t>
      </w:r>
      <w:r w:rsidR="006944F8" w:rsidRPr="001C37A8">
        <w:t xml:space="preserve">he Focus Group </w:t>
      </w:r>
      <w:r>
        <w:t xml:space="preserve">put forward </w:t>
      </w:r>
      <w:r w:rsidR="006944F8" w:rsidRPr="001C37A8">
        <w:t>a</w:t>
      </w:r>
      <w:r w:rsidR="00DB0F3F" w:rsidRPr="001C37A8">
        <w:t>n initial</w:t>
      </w:r>
      <w:r w:rsidR="006944F8" w:rsidRPr="001C37A8">
        <w:t xml:space="preserve"> vision for networks in the year 2030 </w:t>
      </w:r>
      <w:r>
        <w:t>with a  w</w:t>
      </w:r>
      <w:r w:rsidR="00DB0F3F" w:rsidRPr="001C37A8">
        <w:t xml:space="preserve">hite </w:t>
      </w:r>
      <w:r>
        <w:t>p</w:t>
      </w:r>
      <w:r w:rsidR="00DB0F3F" w:rsidRPr="001C37A8">
        <w:t>aper</w:t>
      </w:r>
      <w:r>
        <w:t xml:space="preserve"> titled</w:t>
      </w:r>
      <w:r w:rsidR="00DB0F3F" w:rsidRPr="001C37A8">
        <w:t xml:space="preserve"> </w:t>
      </w:r>
      <w:hyperlink r:id="rId90" w:history="1">
        <w:r w:rsidR="00FF7F99">
          <w:rPr>
            <w:rStyle w:val="Hyperlink"/>
          </w:rPr>
          <w:t>“N</w:t>
        </w:r>
        <w:r w:rsidR="00DB0F3F" w:rsidRPr="001C37A8">
          <w:rPr>
            <w:rStyle w:val="Hyperlink"/>
          </w:rPr>
          <w:t>etwork 2030 - A Blueprint of Technology, Applications and Market Drivers Towards the Year 2030 and Beyond</w:t>
        </w:r>
      </w:hyperlink>
      <w:r w:rsidR="00FF7F99">
        <w:rPr>
          <w:rStyle w:val="Hyperlink"/>
        </w:rPr>
        <w:t>”</w:t>
      </w:r>
      <w:r w:rsidR="00DB0F3F" w:rsidRPr="001C37A8">
        <w:t xml:space="preserve">. </w:t>
      </w:r>
    </w:p>
    <w:p w14:paraId="2B402440" w14:textId="2D6FB9A0" w:rsidR="006944F8" w:rsidRPr="00C1421E" w:rsidRDefault="00D64AF8" w:rsidP="006944F8">
      <w:pPr>
        <w:pStyle w:val="Heading2"/>
      </w:pPr>
      <w:bookmarkStart w:id="70" w:name="_Toc18509748"/>
      <w:r w:rsidRPr="00C1421E">
        <w:t>5</w:t>
      </w:r>
      <w:r w:rsidR="006944F8" w:rsidRPr="00C1421E">
        <w:t>.6</w:t>
      </w:r>
      <w:r w:rsidR="006944F8" w:rsidRPr="00C1421E">
        <w:tab/>
        <w:t>Artificial Intelligence for Health</w:t>
      </w:r>
      <w:bookmarkEnd w:id="70"/>
    </w:p>
    <w:p w14:paraId="1DD9AE8A" w14:textId="0625B3A6" w:rsidR="00CA2D85" w:rsidRPr="00C1421E" w:rsidRDefault="00CA2D85" w:rsidP="00CA2D85">
      <w:pPr>
        <w:rPr>
          <w:lang w:val="en-GB"/>
        </w:rPr>
      </w:pPr>
      <w:r w:rsidRPr="00C1421E">
        <w:rPr>
          <w:lang w:val="en-GB"/>
        </w:rPr>
        <w:t xml:space="preserve">The </w:t>
      </w:r>
      <w:hyperlink r:id="rId91" w:history="1">
        <w:r w:rsidRPr="00C1421E">
          <w:rPr>
            <w:rStyle w:val="Hyperlink"/>
            <w:lang w:val="en-GB"/>
          </w:rPr>
          <w:t>ITU-T Focus Group on Artificial Intelligence for Health (FG AI4H)</w:t>
        </w:r>
      </w:hyperlink>
      <w:r w:rsidRPr="00C1421E">
        <w:rPr>
          <w:lang w:val="en-GB"/>
        </w:rPr>
        <w:t>, driven in close collaboration by ITU and WHO, is working towards the establishment of a framework and associated process</w:t>
      </w:r>
      <w:r w:rsidR="0002156B">
        <w:rPr>
          <w:lang w:val="en-GB"/>
        </w:rPr>
        <w:t>es</w:t>
      </w:r>
      <w:r w:rsidRPr="00C1421E">
        <w:rPr>
          <w:lang w:val="en-GB"/>
        </w:rPr>
        <w:t xml:space="preserve"> for the performance benchmarking of ‘AI for Health’</w:t>
      </w:r>
      <w:r w:rsidR="0002156B">
        <w:rPr>
          <w:lang w:val="en-GB"/>
        </w:rPr>
        <w:t xml:space="preserve"> algorithms</w:t>
      </w:r>
      <w:r w:rsidRPr="00C1421E">
        <w:rPr>
          <w:lang w:val="en-GB"/>
        </w:rPr>
        <w:t xml:space="preserve">. The group is currently working on 12 topic areas ("use cases") </w:t>
      </w:r>
      <w:r w:rsidR="0002156B" w:rsidRPr="0002156B">
        <w:rPr>
          <w:lang w:val="en-GB"/>
        </w:rPr>
        <w:t xml:space="preserve">addressing health issues </w:t>
      </w:r>
      <w:r w:rsidR="0002156B">
        <w:rPr>
          <w:lang w:val="en-GB"/>
        </w:rPr>
        <w:t xml:space="preserve">including breast cancer, neurodegenerative diseases, </w:t>
      </w:r>
      <w:r w:rsidR="0002156B" w:rsidRPr="0002156B">
        <w:rPr>
          <w:lang w:val="en-GB"/>
        </w:rPr>
        <w:t>autism, vision loss, skin lesions, cardiovascular diseases, and venomous snakebites.</w:t>
      </w:r>
      <w:r w:rsidR="0002156B">
        <w:rPr>
          <w:lang w:val="en-GB"/>
        </w:rPr>
        <w:t xml:space="preserve"> </w:t>
      </w:r>
      <w:r w:rsidR="00515A4B">
        <w:rPr>
          <w:lang w:val="en-GB"/>
        </w:rPr>
        <w:t>A summary of the current status of the work was published in The Lancet – “</w:t>
      </w:r>
      <w:hyperlink r:id="rId92" w:history="1">
        <w:r w:rsidR="00515A4B" w:rsidRPr="00515A4B">
          <w:rPr>
            <w:rStyle w:val="Hyperlink"/>
            <w:lang w:val="en-GB"/>
          </w:rPr>
          <w:t>WHO and ITU establish benchmarking process for artificial intelligence in health</w:t>
        </w:r>
      </w:hyperlink>
      <w:r w:rsidR="00515A4B">
        <w:rPr>
          <w:lang w:val="en-GB"/>
        </w:rPr>
        <w:t>” –</w:t>
      </w:r>
      <w:r w:rsidR="00267090">
        <w:rPr>
          <w:lang w:val="en-GB"/>
        </w:rPr>
        <w:t>, a</w:t>
      </w:r>
      <w:r w:rsidR="00515A4B">
        <w:rPr>
          <w:lang w:val="en-GB"/>
        </w:rPr>
        <w:t xml:space="preserve"> weekly peer-reviewed general medical journal which is among the world’s oldest, most prestigious and best known general medical journals.</w:t>
      </w:r>
    </w:p>
    <w:p w14:paraId="422B6D75" w14:textId="5011D688" w:rsidR="006944F8" w:rsidRPr="00C1421E" w:rsidRDefault="00D64AF8" w:rsidP="006944F8">
      <w:pPr>
        <w:pStyle w:val="Heading2"/>
      </w:pPr>
      <w:bookmarkStart w:id="71" w:name="_Toc18509749"/>
      <w:r w:rsidRPr="00C1421E">
        <w:t>5</w:t>
      </w:r>
      <w:r w:rsidR="006944F8" w:rsidRPr="00C1421E">
        <w:t>.7</w:t>
      </w:r>
      <w:r w:rsidR="006944F8" w:rsidRPr="00C1421E">
        <w:tab/>
        <w:t>Vehicular Multimedia</w:t>
      </w:r>
      <w:bookmarkEnd w:id="71"/>
    </w:p>
    <w:p w14:paraId="5D3AD5CA" w14:textId="4F52B9B8" w:rsidR="00E34BE7" w:rsidRPr="008A2F29" w:rsidRDefault="00AD6561" w:rsidP="001C37A8">
      <w:pPr>
        <w:rPr>
          <w:lang w:val="en-GB"/>
        </w:rPr>
      </w:pPr>
      <w:r w:rsidRPr="001C37A8">
        <w:t>The</w:t>
      </w:r>
      <w:r w:rsidR="006944F8" w:rsidRPr="001C37A8">
        <w:t xml:space="preserve"> </w:t>
      </w:r>
      <w:hyperlink r:id="rId93" w:history="1">
        <w:r w:rsidR="002B19CF" w:rsidRPr="001C37A8">
          <w:rPr>
            <w:rStyle w:val="Hyperlink"/>
          </w:rPr>
          <w:t>IT</w:t>
        </w:r>
        <w:r w:rsidR="00D8205A" w:rsidRPr="001C37A8">
          <w:rPr>
            <w:rStyle w:val="Hyperlink"/>
          </w:rPr>
          <w:t>U-T Focus Group on Vehicular Multimedia (FG VM</w:t>
        </w:r>
      </w:hyperlink>
      <w:r w:rsidR="00D8205A" w:rsidRPr="001C37A8">
        <w:t>)</w:t>
      </w:r>
      <w:r w:rsidR="00D8205A" w:rsidRPr="001C37A8" w:rsidDel="002534EE">
        <w:t xml:space="preserve"> </w:t>
      </w:r>
      <w:r w:rsidR="00E34BE7">
        <w:t xml:space="preserve">is investigating where international standards could support the global adoption of </w:t>
      </w:r>
      <w:r w:rsidR="00E34BE7" w:rsidRPr="00E34BE7">
        <w:t>new ‘infotainment’ systems incorporating services such as Augmented Reality navigation, video streaming, and automated in-vehicle climate control.</w:t>
      </w:r>
      <w:r w:rsidR="00FF7F99">
        <w:t xml:space="preserve"> FG VM </w:t>
      </w:r>
      <w:r w:rsidR="00E34BE7" w:rsidRPr="00E34BE7">
        <w:t>has documented innovative use cases of vehicular multimedia and their underlying technical requirements. In the second phase of its work, the group will propose the architecture, interfaces and protocols of the vehicular multimedia network.</w:t>
      </w:r>
    </w:p>
    <w:p w14:paraId="37F479FF" w14:textId="07973161" w:rsidR="00210CA6" w:rsidRPr="00C1421E" w:rsidRDefault="00144799" w:rsidP="008A2F29">
      <w:pPr>
        <w:pStyle w:val="Heading2"/>
        <w:ind w:left="0" w:firstLine="0"/>
      </w:pPr>
      <w:bookmarkStart w:id="72" w:name="_Toc18509750"/>
      <w:r w:rsidRPr="00C1421E">
        <w:lastRenderedPageBreak/>
        <w:t>5.8</w:t>
      </w:r>
      <w:r w:rsidRPr="00C1421E">
        <w:tab/>
      </w:r>
      <w:r w:rsidR="00210CA6" w:rsidRPr="00C1421E">
        <w:t>Environmental Efficiency for Artificial Intelligence and other Emerging Technologies</w:t>
      </w:r>
      <w:bookmarkEnd w:id="72"/>
    </w:p>
    <w:p w14:paraId="628E92AC" w14:textId="1E7928C6" w:rsidR="00BF79C7" w:rsidRDefault="001434ED" w:rsidP="001434ED">
      <w:pPr>
        <w:rPr>
          <w:lang w:val="en-GB"/>
        </w:rPr>
      </w:pPr>
      <w:r w:rsidRPr="00C1421E">
        <w:rPr>
          <w:lang w:val="en-GB"/>
        </w:rPr>
        <w:t xml:space="preserve">The </w:t>
      </w:r>
      <w:hyperlink r:id="rId94" w:history="1">
        <w:r w:rsidRPr="00C1421E">
          <w:rPr>
            <w:rStyle w:val="Hyperlink"/>
            <w:lang w:val="en-GB"/>
          </w:rPr>
          <w:t>ITU-T Focus Group on Environmental Efficiency for AI and other Emerging Technologies</w:t>
        </w:r>
        <w:r w:rsidR="00FF7F99">
          <w:rPr>
            <w:rStyle w:val="Hyperlink"/>
            <w:lang w:val="en-GB"/>
          </w:rPr>
          <w:t xml:space="preserve"> (FG </w:t>
        </w:r>
        <w:r w:rsidR="00BF79C7">
          <w:rPr>
            <w:rStyle w:val="Hyperlink"/>
            <w:lang w:val="en-GB"/>
          </w:rPr>
          <w:t>AI4EE)</w:t>
        </w:r>
        <w:r w:rsidR="00BF79C7" w:rsidRPr="00C1421E" w:rsidDel="00BF79C7">
          <w:rPr>
            <w:rStyle w:val="Hyperlink"/>
            <w:lang w:val="en-GB"/>
          </w:rPr>
          <w:t xml:space="preserve"> </w:t>
        </w:r>
      </w:hyperlink>
      <w:r w:rsidRPr="00C1421E">
        <w:rPr>
          <w:lang w:val="en-GB"/>
        </w:rPr>
        <w:t xml:space="preserve"> </w:t>
      </w:r>
      <w:r w:rsidR="00BF79C7">
        <w:rPr>
          <w:lang w:val="en-GB"/>
        </w:rPr>
        <w:t>– scheduled to meet for the first time in Vi</w:t>
      </w:r>
      <w:r w:rsidR="00FF7F99">
        <w:rPr>
          <w:lang w:val="en-GB"/>
        </w:rPr>
        <w:t xml:space="preserve">enna, Austria, 15 October 2019 – </w:t>
      </w:r>
      <w:r w:rsidR="00BF79C7">
        <w:rPr>
          <w:lang w:val="en-GB"/>
        </w:rPr>
        <w:t xml:space="preserve">will </w:t>
      </w:r>
      <w:r w:rsidR="00BF79C7" w:rsidRPr="00BF79C7">
        <w:rPr>
          <w:lang w:val="en-GB"/>
        </w:rPr>
        <w:t>study environmental efficiency in the age of Artificial Intelligence, increasing automation, and smart manufacturing. The group's work is also expected to support ITU's ongoing studies of the environmental requirem</w:t>
      </w:r>
      <w:r w:rsidR="00BF79C7">
        <w:rPr>
          <w:lang w:val="en-GB"/>
        </w:rPr>
        <w:t xml:space="preserve">ents of IMT-2020 (5G) systems. </w:t>
      </w:r>
      <w:r w:rsidR="00BF79C7" w:rsidRPr="00BF79C7">
        <w:rPr>
          <w:lang w:val="en-GB"/>
        </w:rPr>
        <w:t xml:space="preserve">The Focus Group aims to provide guidance on the environmentally efficient operation of emerging technologies, as well as the influence of these technologies on the environmental efficiency of the broader </w:t>
      </w:r>
      <w:r w:rsidR="00BF79C7">
        <w:rPr>
          <w:lang w:val="en-GB"/>
        </w:rPr>
        <w:t xml:space="preserve">ICT ecosystem. See relevant </w:t>
      </w:r>
      <w:hyperlink r:id="rId95" w:history="1">
        <w:r w:rsidR="00BF79C7" w:rsidRPr="00BF79C7">
          <w:rPr>
            <w:rStyle w:val="Hyperlink"/>
            <w:lang w:val="en-GB"/>
          </w:rPr>
          <w:t>ITU Press Release</w:t>
        </w:r>
      </w:hyperlink>
      <w:r w:rsidR="00BF79C7">
        <w:rPr>
          <w:lang w:val="en-GB"/>
        </w:rPr>
        <w:t xml:space="preserve">. </w:t>
      </w:r>
    </w:p>
    <w:p w14:paraId="4C2D6891" w14:textId="21A8FDB5" w:rsidR="006944F8" w:rsidRPr="00C1421E" w:rsidRDefault="00D64AF8" w:rsidP="006944F8">
      <w:pPr>
        <w:pStyle w:val="Heading1"/>
      </w:pPr>
      <w:bookmarkStart w:id="73" w:name="_Toc416161369"/>
      <w:bookmarkStart w:id="74" w:name="_Toc438553990"/>
      <w:bookmarkStart w:id="75" w:name="_Toc453929114"/>
      <w:bookmarkStart w:id="76" w:name="_Toc453932985"/>
      <w:bookmarkStart w:id="77" w:name="_Toc454295891"/>
      <w:bookmarkStart w:id="78" w:name="_Toc462664250"/>
      <w:bookmarkStart w:id="79" w:name="_Toc480527836"/>
      <w:bookmarkStart w:id="80" w:name="_Toc18509751"/>
      <w:bookmarkEnd w:id="65"/>
      <w:r w:rsidRPr="00C1421E">
        <w:t>6</w:t>
      </w:r>
      <w:r w:rsidR="006944F8" w:rsidRPr="00C1421E">
        <w:tab/>
        <w:t xml:space="preserve">Collaboration </w:t>
      </w:r>
      <w:bookmarkEnd w:id="73"/>
      <w:bookmarkEnd w:id="74"/>
      <w:bookmarkEnd w:id="75"/>
      <w:bookmarkEnd w:id="76"/>
      <w:bookmarkEnd w:id="77"/>
      <w:r w:rsidR="006944F8" w:rsidRPr="00C1421E">
        <w:t>in standardization</w:t>
      </w:r>
      <w:bookmarkEnd w:id="78"/>
      <w:bookmarkEnd w:id="79"/>
      <w:bookmarkEnd w:id="80"/>
    </w:p>
    <w:p w14:paraId="05115733" w14:textId="4CD58758" w:rsidR="006944F8" w:rsidRPr="00C1421E" w:rsidRDefault="00D64AF8" w:rsidP="006944F8">
      <w:pPr>
        <w:pStyle w:val="Heading2"/>
      </w:pPr>
      <w:bookmarkStart w:id="81" w:name="_Toc480527837"/>
      <w:bookmarkStart w:id="82" w:name="_Toc18509752"/>
      <w:bookmarkStart w:id="83" w:name="_Toc462664251"/>
      <w:r w:rsidRPr="00C1421E">
        <w:t>6</w:t>
      </w:r>
      <w:r w:rsidR="006944F8" w:rsidRPr="00C1421E">
        <w:t>.1</w:t>
      </w:r>
      <w:r w:rsidR="006944F8" w:rsidRPr="00C1421E">
        <w:tab/>
        <w:t>Coordination and cooperation among ITU Sectors</w:t>
      </w:r>
      <w:bookmarkEnd w:id="81"/>
      <w:bookmarkEnd w:id="82"/>
    </w:p>
    <w:p w14:paraId="1527D375" w14:textId="1BC35A39" w:rsidR="002534EE" w:rsidRPr="001C37A8" w:rsidRDefault="006944F8" w:rsidP="006944F8">
      <w:pPr>
        <w:rPr>
          <w:lang w:val="en-GB"/>
        </w:rPr>
      </w:pPr>
      <w:r w:rsidRPr="001C37A8">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w:t>
      </w:r>
      <w:r w:rsidR="000F68DB" w:rsidRPr="001C37A8">
        <w:rPr>
          <w:lang w:val="en-GB"/>
        </w:rPr>
        <w:t xml:space="preserve"> based on information received.</w:t>
      </w:r>
    </w:p>
    <w:p w14:paraId="60E22E7E" w14:textId="1C5E3587" w:rsidR="002534EE" w:rsidRPr="001C37A8" w:rsidRDefault="006944F8" w:rsidP="009E5FFA">
      <w:pPr>
        <w:rPr>
          <w:lang w:val="en-GB"/>
        </w:rPr>
      </w:pPr>
      <w:r w:rsidRPr="001C37A8">
        <w:rPr>
          <w:lang w:val="en-GB"/>
        </w:rPr>
        <w:t>TSAG</w:t>
      </w:r>
      <w:r w:rsidR="002534EE" w:rsidRPr="001C37A8">
        <w:rPr>
          <w:lang w:val="en-GB"/>
        </w:rPr>
        <w:t xml:space="preserve"> </w:t>
      </w:r>
      <w:r w:rsidRPr="001C37A8">
        <w:rPr>
          <w:lang w:val="en-GB"/>
        </w:rPr>
        <w:t>maintains a close relationship with RAG and TDAG in order to develop synergies with the objective of strengthening coordination and cooperation among the three ITU Sectors on matters of mutual interest.</w:t>
      </w:r>
      <w:bookmarkStart w:id="84" w:name="Item18_01"/>
      <w:bookmarkEnd w:id="84"/>
    </w:p>
    <w:p w14:paraId="054AEED0" w14:textId="7E0D8DB6" w:rsidR="006944F8" w:rsidRPr="001C37A8" w:rsidRDefault="006944F8" w:rsidP="009E5FFA">
      <w:pPr>
        <w:rPr>
          <w:lang w:val="en-GB"/>
        </w:rPr>
      </w:pPr>
      <w:r w:rsidRPr="001C37A8">
        <w:rPr>
          <w:lang w:val="en-GB"/>
        </w:rPr>
        <w:t xml:space="preserve">Three </w:t>
      </w:r>
      <w:r w:rsidR="00515A4B">
        <w:rPr>
          <w:lang w:val="en-GB"/>
        </w:rPr>
        <w:t>I</w:t>
      </w:r>
      <w:r w:rsidRPr="001C37A8">
        <w:rPr>
          <w:lang w:val="en-GB"/>
        </w:rPr>
        <w:t>nter-Sector Rapporteur groups (IRGs) work on items of interest</w:t>
      </w:r>
      <w:r w:rsidR="00317510">
        <w:rPr>
          <w:lang w:val="en-GB"/>
        </w:rPr>
        <w:t xml:space="preserve"> to various ITU-T and ITU-R Study G</w:t>
      </w:r>
      <w:r w:rsidRPr="001C37A8">
        <w:rPr>
          <w:lang w:val="en-GB"/>
        </w:rPr>
        <w:t>roups.</w:t>
      </w:r>
    </w:p>
    <w:p w14:paraId="26B84647" w14:textId="77777777" w:rsidR="006944F8" w:rsidRPr="00C1421E" w:rsidRDefault="006944F8" w:rsidP="00416693">
      <w:pPr>
        <w:numPr>
          <w:ilvl w:val="0"/>
          <w:numId w:val="104"/>
        </w:numPr>
        <w:rPr>
          <w:lang w:val="en-GB"/>
        </w:rPr>
      </w:pPr>
      <w:r w:rsidRPr="00C1421E">
        <w:rPr>
          <w:lang w:val="en-GB"/>
        </w:rPr>
        <w:t>IRG-AVA: Intersector Rapporteur Group Audiovisual Media Accessibility, amongst ITU-T SG9, ITU-T SG16 and ITU-R SG6.</w:t>
      </w:r>
    </w:p>
    <w:p w14:paraId="066CEBC9" w14:textId="77777777" w:rsidR="006944F8" w:rsidRPr="00C1421E" w:rsidRDefault="006944F8" w:rsidP="00416693">
      <w:pPr>
        <w:numPr>
          <w:ilvl w:val="0"/>
          <w:numId w:val="104"/>
        </w:numPr>
        <w:rPr>
          <w:lang w:val="en-GB"/>
        </w:rPr>
      </w:pPr>
      <w:r w:rsidRPr="00C1421E">
        <w:rPr>
          <w:lang w:val="en-GB"/>
        </w:rPr>
        <w:t>IRG-AVQA: Intersector Rapporteur Group Audiovisual Quality Assessment, amongst ITU-T SG12 and ITU-R SG6.</w:t>
      </w:r>
    </w:p>
    <w:p w14:paraId="1B9E3744" w14:textId="77777777" w:rsidR="006944F8" w:rsidRPr="00C1421E" w:rsidRDefault="006944F8" w:rsidP="00416693">
      <w:pPr>
        <w:numPr>
          <w:ilvl w:val="0"/>
          <w:numId w:val="104"/>
        </w:numPr>
        <w:rPr>
          <w:lang w:val="en-GB"/>
        </w:rPr>
      </w:pPr>
      <w:r w:rsidRPr="00C1421E">
        <w:rPr>
          <w:lang w:val="en-GB"/>
        </w:rPr>
        <w:t>IRG-IBB: Intersector Rapporteur Group Integrated Broadcast-Broadband, between ITU-T SG9, ITU-T SG16 and ITU-R WP 6B.</w:t>
      </w:r>
    </w:p>
    <w:p w14:paraId="1FBAFCDA" w14:textId="75DF2620" w:rsidR="006944F8" w:rsidRPr="001C37A8" w:rsidRDefault="006944F8" w:rsidP="009E5FFA">
      <w:pPr>
        <w:rPr>
          <w:lang w:val="en-GB"/>
        </w:rPr>
      </w:pPr>
      <w:r w:rsidRPr="001C37A8">
        <w:rPr>
          <w:lang w:val="en-GB"/>
        </w:rPr>
        <w:t xml:space="preserve">The </w:t>
      </w:r>
      <w:r w:rsidR="002534EE" w:rsidRPr="001C37A8">
        <w:rPr>
          <w:lang w:val="en-GB"/>
        </w:rPr>
        <w:t>I</w:t>
      </w:r>
      <w:r w:rsidRPr="001C37A8">
        <w:rPr>
          <w:lang w:val="en-GB"/>
        </w:rPr>
        <w:t xml:space="preserve">nter-Sector </w:t>
      </w:r>
      <w:r w:rsidR="002534EE" w:rsidRPr="001C37A8">
        <w:rPr>
          <w:lang w:val="en-GB"/>
        </w:rPr>
        <w:t>C</w:t>
      </w:r>
      <w:r w:rsidRPr="001C37A8">
        <w:rPr>
          <w:lang w:val="en-GB"/>
        </w:rPr>
        <w:t xml:space="preserve">oordination </w:t>
      </w:r>
      <w:r w:rsidR="002534EE" w:rsidRPr="001C37A8">
        <w:rPr>
          <w:lang w:val="en-GB"/>
        </w:rPr>
        <w:t>T</w:t>
      </w:r>
      <w:r w:rsidRPr="001C37A8">
        <w:rPr>
          <w:lang w:val="en-GB"/>
        </w:rPr>
        <w:t xml:space="preserve">eam (ISCT) is composed </w:t>
      </w:r>
      <w:r w:rsidR="00BF79C7">
        <w:rPr>
          <w:lang w:val="en-GB"/>
        </w:rPr>
        <w:t xml:space="preserve">of </w:t>
      </w:r>
      <w:r w:rsidRPr="001C37A8">
        <w:rPr>
          <w:lang w:val="en-GB"/>
        </w:rPr>
        <w:t>representatives of all three advisory groups, work</w:t>
      </w:r>
      <w:r w:rsidR="00BF79C7">
        <w:rPr>
          <w:lang w:val="en-GB"/>
        </w:rPr>
        <w:t>ing</w:t>
      </w:r>
      <w:r w:rsidRPr="001C37A8">
        <w:rPr>
          <w:lang w:val="en-GB"/>
        </w:rPr>
        <w:t xml:space="preserve"> to identify subjects common </w:t>
      </w:r>
      <w:r w:rsidR="002534EE" w:rsidRPr="001C37A8">
        <w:rPr>
          <w:lang w:val="en-GB"/>
        </w:rPr>
        <w:t xml:space="preserve">interest </w:t>
      </w:r>
      <w:r w:rsidRPr="001C37A8">
        <w:rPr>
          <w:lang w:val="en-GB"/>
        </w:rPr>
        <w:t>to the t</w:t>
      </w:r>
      <w:r w:rsidR="00BF79C7">
        <w:rPr>
          <w:lang w:val="en-GB"/>
        </w:rPr>
        <w:t>h</w:t>
      </w:r>
      <w:r w:rsidRPr="001C37A8">
        <w:rPr>
          <w:lang w:val="en-GB"/>
        </w:rPr>
        <w:t>ree Sector</w:t>
      </w:r>
      <w:r w:rsidR="00BF79C7">
        <w:rPr>
          <w:lang w:val="en-GB"/>
        </w:rPr>
        <w:t>s</w:t>
      </w:r>
      <w:r w:rsidRPr="001C37A8">
        <w:rPr>
          <w:lang w:val="en-GB"/>
        </w:rPr>
        <w:t xml:space="preserve">. It also seeks to identify the mechanisms </w:t>
      </w:r>
      <w:r w:rsidR="00BF79C7">
        <w:rPr>
          <w:lang w:val="en-GB"/>
        </w:rPr>
        <w:t xml:space="preserve">necessary </w:t>
      </w:r>
      <w:r w:rsidRPr="001C37A8">
        <w:rPr>
          <w:lang w:val="en-GB"/>
        </w:rPr>
        <w:t>to strengthen cooperation and joint activit</w:t>
      </w:r>
      <w:r w:rsidR="00BF79C7">
        <w:rPr>
          <w:lang w:val="en-GB"/>
        </w:rPr>
        <w:t xml:space="preserve">ies </w:t>
      </w:r>
      <w:r w:rsidRPr="001C37A8">
        <w:rPr>
          <w:lang w:val="en-GB"/>
        </w:rPr>
        <w:t>among the three Sectors, with particular emphasis on the interests of developing countries. In addition, the ITU Inter-Sectoral Coordination Task Force (ISC-TF) is coordinating activities among the t</w:t>
      </w:r>
      <w:r w:rsidR="002534EE" w:rsidRPr="001C37A8">
        <w:rPr>
          <w:lang w:val="en-GB"/>
        </w:rPr>
        <w:t>h</w:t>
      </w:r>
      <w:r w:rsidRPr="001C37A8">
        <w:rPr>
          <w:lang w:val="en-GB"/>
        </w:rPr>
        <w:t>ree Bureaux.</w:t>
      </w:r>
      <w:bookmarkStart w:id="85" w:name="Item57_02"/>
      <w:bookmarkEnd w:id="85"/>
    </w:p>
    <w:p w14:paraId="28CD2E40" w14:textId="6CBF9027" w:rsidR="0034036E" w:rsidRDefault="00111D4E" w:rsidP="009E5FFA">
      <w:pPr>
        <w:rPr>
          <w:lang w:val="en-GB"/>
        </w:rPr>
      </w:pPr>
      <w:r>
        <w:rPr>
          <w:lang w:val="en-GB"/>
        </w:rPr>
        <w:t>A</w:t>
      </w:r>
      <w:r w:rsidR="00E05461" w:rsidRPr="001C37A8">
        <w:rPr>
          <w:lang w:val="en-GB"/>
        </w:rPr>
        <w:t xml:space="preserve"> series of events on </w:t>
      </w:r>
      <w:r w:rsidR="00CA2D85" w:rsidRPr="001C37A8">
        <w:rPr>
          <w:lang w:val="en-GB"/>
        </w:rPr>
        <w:t>"</w:t>
      </w:r>
      <w:r w:rsidR="00BF79C7">
        <w:rPr>
          <w:lang w:val="en-GB"/>
        </w:rPr>
        <w:t>T</w:t>
      </w:r>
      <w:r w:rsidR="00E05461" w:rsidRPr="001C37A8">
        <w:rPr>
          <w:lang w:val="en-GB"/>
        </w:rPr>
        <w:t xml:space="preserve">he </w:t>
      </w:r>
      <w:r w:rsidR="00BF79C7">
        <w:rPr>
          <w:lang w:val="en-GB"/>
        </w:rPr>
        <w:t>F</w:t>
      </w:r>
      <w:r w:rsidR="00E05461" w:rsidRPr="001C37A8">
        <w:rPr>
          <w:lang w:val="en-GB"/>
        </w:rPr>
        <w:t>uture of TV</w:t>
      </w:r>
      <w:r w:rsidR="00CA2D85" w:rsidRPr="001C37A8">
        <w:rPr>
          <w:lang w:val="en-GB"/>
        </w:rPr>
        <w:t>"</w:t>
      </w:r>
      <w:r>
        <w:rPr>
          <w:lang w:val="en-GB"/>
        </w:rPr>
        <w:t xml:space="preserve">, initiated by ITU-T SG9, are </w:t>
      </w:r>
      <w:r w:rsidR="00E05461" w:rsidRPr="001C37A8">
        <w:rPr>
          <w:lang w:val="en-GB"/>
        </w:rPr>
        <w:t xml:space="preserve">organized </w:t>
      </w:r>
      <w:r w:rsidR="00BF79C7">
        <w:rPr>
          <w:lang w:val="en-GB"/>
        </w:rPr>
        <w:t xml:space="preserve">in collaboration </w:t>
      </w:r>
      <w:r w:rsidR="00E05461" w:rsidRPr="001C37A8">
        <w:rPr>
          <w:lang w:val="en-GB"/>
        </w:rPr>
        <w:t xml:space="preserve">by the three </w:t>
      </w:r>
      <w:r w:rsidR="00014568" w:rsidRPr="001C37A8">
        <w:rPr>
          <w:lang w:val="en-GB"/>
        </w:rPr>
        <w:t xml:space="preserve">ITU </w:t>
      </w:r>
      <w:r w:rsidR="00E05461" w:rsidRPr="001C37A8">
        <w:rPr>
          <w:lang w:val="en-GB"/>
        </w:rPr>
        <w:t xml:space="preserve">Sectors </w:t>
      </w:r>
      <w:r w:rsidR="00BF79C7">
        <w:rPr>
          <w:lang w:val="en-GB"/>
        </w:rPr>
        <w:t>and ITU</w:t>
      </w:r>
      <w:r w:rsidR="00E05461" w:rsidRPr="001C37A8">
        <w:rPr>
          <w:lang w:val="en-GB"/>
        </w:rPr>
        <w:t xml:space="preserve"> </w:t>
      </w:r>
      <w:r w:rsidR="00BF79C7">
        <w:rPr>
          <w:lang w:val="en-GB"/>
        </w:rPr>
        <w:t>R</w:t>
      </w:r>
      <w:r w:rsidR="00E05461" w:rsidRPr="001C37A8">
        <w:rPr>
          <w:lang w:val="en-GB"/>
        </w:rPr>
        <w:t xml:space="preserve">egional </w:t>
      </w:r>
      <w:r w:rsidR="00BF79C7">
        <w:rPr>
          <w:lang w:val="en-GB"/>
        </w:rPr>
        <w:t>O</w:t>
      </w:r>
      <w:r w:rsidR="00E05461" w:rsidRPr="001C37A8">
        <w:rPr>
          <w:lang w:val="en-GB"/>
        </w:rPr>
        <w:t>ffices.</w:t>
      </w:r>
      <w:r>
        <w:rPr>
          <w:lang w:val="en-GB"/>
        </w:rPr>
        <w:t xml:space="preserve"> Three such events have been held to date: </w:t>
      </w:r>
    </w:p>
    <w:p w14:paraId="23D3B0FC" w14:textId="77777777" w:rsidR="0034036E" w:rsidRPr="00111D4E" w:rsidRDefault="00267090" w:rsidP="0034036E">
      <w:pPr>
        <w:numPr>
          <w:ilvl w:val="0"/>
          <w:numId w:val="67"/>
        </w:numPr>
      </w:pPr>
      <w:hyperlink r:id="rId96" w:history="1">
        <w:r w:rsidR="0034036E" w:rsidRPr="00111D4E">
          <w:rPr>
            <w:rStyle w:val="Hyperlink"/>
          </w:rPr>
          <w:t>ITU Workshop on the Future of Television for Europe</w:t>
        </w:r>
      </w:hyperlink>
      <w:r w:rsidR="0034036E" w:rsidRPr="004B6D09">
        <w:t>, Geneva, Switzerla</w:t>
      </w:r>
      <w:r w:rsidR="0034036E" w:rsidRPr="00111D4E">
        <w:t>nd, 7 June 2019</w:t>
      </w:r>
    </w:p>
    <w:p w14:paraId="0B397E41" w14:textId="36FEA438" w:rsidR="0034036E" w:rsidRPr="004B6D09" w:rsidRDefault="00267090" w:rsidP="0034036E">
      <w:pPr>
        <w:numPr>
          <w:ilvl w:val="0"/>
          <w:numId w:val="67"/>
        </w:numPr>
      </w:pPr>
      <w:hyperlink r:id="rId97" w:history="1">
        <w:r w:rsidR="0034036E" w:rsidRPr="00111D4E">
          <w:rPr>
            <w:rStyle w:val="Hyperlink"/>
          </w:rPr>
          <w:t>ITU Workshop on the Future of TV for the Americas</w:t>
        </w:r>
      </w:hyperlink>
      <w:r w:rsidR="00111D4E">
        <w:t>, B</w:t>
      </w:r>
      <w:r w:rsidR="0034036E" w:rsidRPr="004B6D09">
        <w:t xml:space="preserve">ogotá, </w:t>
      </w:r>
      <w:r w:rsidR="00111D4E">
        <w:t xml:space="preserve">Colombia, </w:t>
      </w:r>
      <w:r w:rsidR="0034036E" w:rsidRPr="004B6D09">
        <w:t>26 November 2018</w:t>
      </w:r>
    </w:p>
    <w:p w14:paraId="37AD3AC3" w14:textId="1579A581" w:rsidR="0034036E" w:rsidRPr="004B6D09" w:rsidRDefault="00267090" w:rsidP="0034036E">
      <w:pPr>
        <w:numPr>
          <w:ilvl w:val="0"/>
          <w:numId w:val="67"/>
        </w:numPr>
      </w:pPr>
      <w:hyperlink r:id="rId98" w:history="1">
        <w:r w:rsidR="0034036E" w:rsidRPr="00111D4E">
          <w:rPr>
            <w:rStyle w:val="Hyperlink"/>
          </w:rPr>
          <w:t>ITU Workshop on the Future of Cable TV</w:t>
        </w:r>
      </w:hyperlink>
      <w:r w:rsidR="00111D4E">
        <w:t>, G</w:t>
      </w:r>
      <w:r w:rsidR="0034036E" w:rsidRPr="004B6D09">
        <w:t>eneva, Switzerland, 25-26 January 2018</w:t>
      </w:r>
    </w:p>
    <w:p w14:paraId="330E1F4B" w14:textId="13503160" w:rsidR="0034036E" w:rsidRPr="00461720" w:rsidRDefault="00111D4E" w:rsidP="009E5FFA">
      <w:pPr>
        <w:rPr>
          <w:bCs/>
          <w:lang w:val="en-GB"/>
        </w:rPr>
      </w:pPr>
      <w:r w:rsidRPr="008A2F29">
        <w:rPr>
          <w:bCs/>
          <w:lang w:val="en-GB"/>
        </w:rPr>
        <w:t xml:space="preserve">Similar events will be held </w:t>
      </w:r>
      <w:r w:rsidR="000C01CD">
        <w:rPr>
          <w:bCs/>
          <w:lang w:val="en-GB"/>
        </w:rPr>
        <w:t xml:space="preserve">for the Asia-Pacific region </w:t>
      </w:r>
      <w:r w:rsidRPr="008A2F29">
        <w:rPr>
          <w:bCs/>
          <w:lang w:val="en-GB"/>
        </w:rPr>
        <w:t>in</w:t>
      </w:r>
      <w:r w:rsidRPr="004B6D09">
        <w:rPr>
          <w:bCs/>
          <w:lang w:val="en-GB"/>
        </w:rPr>
        <w:t xml:space="preserve"> </w:t>
      </w:r>
      <w:r w:rsidR="000C01CD">
        <w:rPr>
          <w:bCs/>
          <w:lang w:val="en-GB"/>
        </w:rPr>
        <w:t xml:space="preserve">Guangzhou, China, 3 September 2019; and in 2020 for the </w:t>
      </w:r>
      <w:r w:rsidR="0034036E" w:rsidRPr="004B6D09">
        <w:rPr>
          <w:bCs/>
          <w:lang w:val="en-GB"/>
        </w:rPr>
        <w:t>Africa</w:t>
      </w:r>
      <w:r w:rsidR="000C01CD">
        <w:rPr>
          <w:bCs/>
          <w:lang w:val="en-GB"/>
        </w:rPr>
        <w:t>s</w:t>
      </w:r>
      <w:r w:rsidR="0034036E" w:rsidRPr="004B6D09">
        <w:rPr>
          <w:bCs/>
          <w:lang w:val="en-GB"/>
        </w:rPr>
        <w:t xml:space="preserve"> </w:t>
      </w:r>
      <w:r>
        <w:rPr>
          <w:bCs/>
          <w:lang w:val="en-GB"/>
        </w:rPr>
        <w:t>region</w:t>
      </w:r>
      <w:r w:rsidR="0034036E" w:rsidRPr="004B6D09">
        <w:rPr>
          <w:bCs/>
          <w:lang w:val="en-GB"/>
        </w:rPr>
        <w:t xml:space="preserve">. </w:t>
      </w:r>
    </w:p>
    <w:p w14:paraId="6383062B" w14:textId="268AB298" w:rsidR="006944F8" w:rsidRPr="00C1421E" w:rsidRDefault="00D64AF8" w:rsidP="006944F8">
      <w:pPr>
        <w:pStyle w:val="Heading2"/>
      </w:pPr>
      <w:bookmarkStart w:id="86" w:name="_Toc18509753"/>
      <w:r w:rsidRPr="00C1421E">
        <w:t>6</w:t>
      </w:r>
      <w:r w:rsidR="006944F8" w:rsidRPr="00C1421E">
        <w:t>.2</w:t>
      </w:r>
      <w:r w:rsidR="006944F8" w:rsidRPr="00C1421E">
        <w:tab/>
        <w:t>Coordination and cooperation with the Regions and the Regional Offices</w:t>
      </w:r>
      <w:bookmarkEnd w:id="86"/>
    </w:p>
    <w:p w14:paraId="64550A59" w14:textId="69028B61" w:rsidR="003C0BD5" w:rsidRPr="00C1421E" w:rsidRDefault="003C0BD5" w:rsidP="003C0BD5">
      <w:pPr>
        <w:rPr>
          <w:szCs w:val="24"/>
          <w:lang w:val="en-GB"/>
        </w:rPr>
      </w:pPr>
      <w:r w:rsidRPr="001C37A8">
        <w:rPr>
          <w:lang w:val="en-GB"/>
        </w:rPr>
        <w:t xml:space="preserve">With the goal of improving coordination and increasing the efficiency of the overall operations, events and activities of the Sector and the Bureau, TSB organizes conference calls and face-to-face meetings on a regular basis with </w:t>
      </w:r>
      <w:r w:rsidR="00BF79C7">
        <w:rPr>
          <w:lang w:val="en-GB"/>
        </w:rPr>
        <w:t xml:space="preserve">ITU’s </w:t>
      </w:r>
      <w:r w:rsidRPr="001C37A8">
        <w:rPr>
          <w:lang w:val="en-GB"/>
        </w:rPr>
        <w:t>Regional Offices</w:t>
      </w:r>
      <w:r w:rsidR="00720F28">
        <w:rPr>
          <w:lang w:val="en-GB"/>
        </w:rPr>
        <w:t xml:space="preserve">. </w:t>
      </w:r>
    </w:p>
    <w:p w14:paraId="611097C7" w14:textId="013911A4" w:rsidR="003C0BD5" w:rsidRPr="001C37A8" w:rsidRDefault="003C0BD5" w:rsidP="003C0BD5">
      <w:pPr>
        <w:rPr>
          <w:lang w:val="en-GB"/>
        </w:rPr>
      </w:pPr>
      <w:r w:rsidRPr="001C37A8">
        <w:rPr>
          <w:lang w:val="en-GB"/>
        </w:rPr>
        <w:lastRenderedPageBreak/>
        <w:t>This activity has led to significant improvements in the overall coordination of standardization operations, events and activities taking place in the Regions</w:t>
      </w:r>
      <w:r w:rsidR="00720F28">
        <w:rPr>
          <w:szCs w:val="24"/>
          <w:lang w:val="en-GB"/>
        </w:rPr>
        <w:t xml:space="preserve">. It has contributed to greater awareness of </w:t>
      </w:r>
      <w:r w:rsidRPr="00C1421E">
        <w:rPr>
          <w:szCs w:val="24"/>
          <w:lang w:val="en-GB"/>
        </w:rPr>
        <w:t>ITU-T standardization activities in each Region</w:t>
      </w:r>
      <w:r w:rsidRPr="001C37A8">
        <w:rPr>
          <w:lang w:val="en-GB"/>
        </w:rPr>
        <w:t>.</w:t>
      </w:r>
    </w:p>
    <w:p w14:paraId="3BE07711" w14:textId="21AA09A4" w:rsidR="00461720" w:rsidRPr="001C37A8" w:rsidRDefault="003C0BD5" w:rsidP="009E5FFA">
      <w:pPr>
        <w:rPr>
          <w:lang w:val="en-GB"/>
        </w:rPr>
      </w:pPr>
      <w:r w:rsidRPr="001C37A8">
        <w:rPr>
          <w:lang w:val="en-GB"/>
        </w:rPr>
        <w:t xml:space="preserve">TSB will continue to enhance cooperation with the ITU Regional </w:t>
      </w:r>
      <w:r w:rsidR="00720F28">
        <w:rPr>
          <w:lang w:val="en-GB"/>
        </w:rPr>
        <w:t>O</w:t>
      </w:r>
      <w:r w:rsidRPr="001C37A8">
        <w:rPr>
          <w:lang w:val="en-GB"/>
        </w:rPr>
        <w:t>ffices, as well as with relevant regional and other international organizations dealing with standards.</w:t>
      </w:r>
    </w:p>
    <w:p w14:paraId="453D2B60" w14:textId="47987ECB" w:rsidR="006944F8" w:rsidRPr="00C1421E" w:rsidRDefault="00D64AF8" w:rsidP="006944F8">
      <w:pPr>
        <w:pStyle w:val="Heading2"/>
      </w:pPr>
      <w:bookmarkStart w:id="87" w:name="_Toc18509754"/>
      <w:r w:rsidRPr="00C1421E">
        <w:t>6</w:t>
      </w:r>
      <w:r w:rsidR="006944F8" w:rsidRPr="00C1421E">
        <w:t>.3</w:t>
      </w:r>
      <w:r w:rsidR="006944F8" w:rsidRPr="00C1421E">
        <w:tab/>
        <w:t>General assistance and cooperation</w:t>
      </w:r>
      <w:bookmarkEnd w:id="87"/>
    </w:p>
    <w:p w14:paraId="56B5D98A" w14:textId="77777777" w:rsidR="006944F8" w:rsidRPr="00C1421E" w:rsidRDefault="006944F8" w:rsidP="006944F8">
      <w:pPr>
        <w:rPr>
          <w:lang w:val="en-GB"/>
        </w:rPr>
      </w:pPr>
      <w:bookmarkStart w:id="88" w:name="_6.5_Focus_Group"/>
      <w:bookmarkStart w:id="89" w:name="_7.5_Focus_Group"/>
      <w:bookmarkStart w:id="90" w:name="_7.2_TSB_Director’s"/>
      <w:bookmarkStart w:id="91" w:name="_13_Chief_Technology"/>
      <w:bookmarkStart w:id="92" w:name="_8.1_ITU-UNECE_event"/>
      <w:bookmarkStart w:id="93" w:name="_8.3_3rd_ITU"/>
      <w:bookmarkStart w:id="94" w:name="_8.5_Standards_collaboration,"/>
      <w:bookmarkStart w:id="95" w:name="_8.6_Montevideo_forum"/>
      <w:bookmarkStart w:id="96" w:name="_8.8_Accessible_Inclusion"/>
      <w:bookmarkStart w:id="97" w:name="_10_Chief_Technology"/>
      <w:bookmarkEnd w:id="83"/>
      <w:bookmarkEnd w:id="88"/>
      <w:bookmarkEnd w:id="89"/>
      <w:bookmarkEnd w:id="90"/>
      <w:bookmarkEnd w:id="91"/>
      <w:bookmarkEnd w:id="92"/>
      <w:bookmarkEnd w:id="93"/>
      <w:bookmarkEnd w:id="94"/>
      <w:bookmarkEnd w:id="95"/>
      <w:bookmarkEnd w:id="96"/>
      <w:bookmarkEnd w:id="97"/>
      <w:r w:rsidRPr="00C1421E">
        <w:rPr>
          <w:lang w:val="en-GB"/>
        </w:rPr>
        <w:t xml:space="preserve">ITU continues to provide leadership in </w:t>
      </w:r>
      <w:r w:rsidRPr="00C1421E">
        <w:rPr>
          <w:bCs/>
          <w:lang w:val="en-GB"/>
        </w:rPr>
        <w:t>building cooperation</w:t>
      </w:r>
      <w:r w:rsidRPr="00C1421E">
        <w:rPr>
          <w:lang w:val="en-GB"/>
        </w:rPr>
        <w:t xml:space="preserve"> among the many interests served by ICT standardization.</w:t>
      </w:r>
    </w:p>
    <w:p w14:paraId="196770E8" w14:textId="2C59E04B" w:rsidR="006944F8" w:rsidRDefault="006944F8" w:rsidP="009E5FFA">
      <w:pPr>
        <w:rPr>
          <w:lang w:val="en-GB"/>
        </w:rPr>
      </w:pPr>
      <w:r w:rsidRPr="00C1421E">
        <w:rPr>
          <w:lang w:val="en-GB"/>
        </w:rPr>
        <w:t xml:space="preserve">The </w:t>
      </w:r>
      <w:r w:rsidRPr="00C1421E">
        <w:rPr>
          <w:b/>
          <w:lang w:val="en-GB"/>
        </w:rPr>
        <w:t xml:space="preserve">World </w:t>
      </w:r>
      <w:r w:rsidRPr="001C37A8">
        <w:rPr>
          <w:b/>
          <w:bCs/>
          <w:lang w:val="en-GB"/>
        </w:rPr>
        <w:t>Standards Cooperation</w:t>
      </w:r>
      <w:r w:rsidRPr="001C37A8">
        <w:rPr>
          <w:lang w:val="en-GB"/>
        </w:rPr>
        <w:t xml:space="preserve"> is a partnership of ITU, ISO and IEC to promote international standards. </w:t>
      </w:r>
      <w:r w:rsidR="00720F28">
        <w:rPr>
          <w:lang w:val="en-GB"/>
        </w:rPr>
        <w:t xml:space="preserve">The World Standards Cooperation leads the celebration of World Standards Day, 14 October. </w:t>
      </w:r>
      <w:r w:rsidR="00317140" w:rsidRPr="001C37A8">
        <w:rPr>
          <w:lang w:val="en-GB"/>
        </w:rPr>
        <w:t>The theme of World Standards Day 201</w:t>
      </w:r>
      <w:r w:rsidR="00720F28">
        <w:rPr>
          <w:lang w:val="en-GB"/>
        </w:rPr>
        <w:t>8</w:t>
      </w:r>
      <w:r w:rsidR="00317140" w:rsidRPr="001C37A8">
        <w:rPr>
          <w:lang w:val="en-GB"/>
        </w:rPr>
        <w:t xml:space="preserve"> </w:t>
      </w:r>
      <w:r w:rsidR="00720F28">
        <w:rPr>
          <w:lang w:val="en-GB"/>
        </w:rPr>
        <w:t xml:space="preserve">was </w:t>
      </w:r>
      <w:r w:rsidR="00CA2D85" w:rsidRPr="001C37A8">
        <w:rPr>
          <w:lang w:val="en-GB"/>
        </w:rPr>
        <w:t>"</w:t>
      </w:r>
      <w:r w:rsidR="00142431" w:rsidRPr="001C37A8">
        <w:rPr>
          <w:lang w:val="en-GB"/>
        </w:rPr>
        <w:t>International Standards and the Fourth Industrial Revolution</w:t>
      </w:r>
      <w:r w:rsidR="00CA2D85" w:rsidRPr="001C37A8">
        <w:rPr>
          <w:lang w:val="en-GB"/>
        </w:rPr>
        <w:t>"</w:t>
      </w:r>
      <w:r w:rsidR="00317140" w:rsidRPr="001C37A8">
        <w:rPr>
          <w:lang w:val="en-GB"/>
        </w:rPr>
        <w:t>.</w:t>
      </w:r>
      <w:r w:rsidR="00720F28">
        <w:rPr>
          <w:lang w:val="en-GB"/>
        </w:rPr>
        <w:t xml:space="preserve"> The 2019 theme is “Video standards create a global stage”’.</w:t>
      </w:r>
    </w:p>
    <w:p w14:paraId="0A9C9558" w14:textId="77777777" w:rsidR="00F053CB" w:rsidRPr="00C1421E" w:rsidRDefault="00F053CB" w:rsidP="00F053CB">
      <w:pPr>
        <w:rPr>
          <w:sz w:val="21"/>
          <w:highlight w:val="yellow"/>
          <w:lang w:val="en-GB"/>
        </w:rPr>
      </w:pPr>
      <w:r w:rsidRPr="00C1421E">
        <w:rPr>
          <w:b/>
          <w:lang w:val="en-GB"/>
        </w:rPr>
        <w:t>IEC, ISO and ITU</w:t>
      </w:r>
      <w:r w:rsidRPr="00C1421E">
        <w:rPr>
          <w:lang w:val="en-GB"/>
        </w:rPr>
        <w:t xml:space="preserve"> cooperate in standardization to the degree that 10 per cent of all ITU standards are common or aligned texts with the ISO/IEC Joint Technical Committee 1 on Information Technology (ISO/IEC JTC1).</w:t>
      </w:r>
    </w:p>
    <w:p w14:paraId="3419FB4E" w14:textId="4E381FDB" w:rsidR="00F053CB" w:rsidRPr="00C1421E" w:rsidRDefault="00F053CB" w:rsidP="00F053CB">
      <w:pPr>
        <w:rPr>
          <w:lang w:val="en-GB"/>
        </w:rPr>
      </w:pPr>
      <w:r w:rsidRPr="00C1421E">
        <w:rPr>
          <w:b/>
          <w:lang w:val="en-GB"/>
        </w:rPr>
        <w:t>Global Standards Collaboration</w:t>
      </w:r>
      <w:r w:rsidRPr="00C1421E">
        <w:rPr>
          <w:lang w:val="en-GB"/>
        </w:rPr>
        <w:t xml:space="preserve"> </w:t>
      </w:r>
      <w:r w:rsidRPr="00C1421E">
        <w:rPr>
          <w:b/>
          <w:bCs/>
          <w:lang w:val="en-GB"/>
        </w:rPr>
        <w:t>(GSC)</w:t>
      </w:r>
      <w:r w:rsidRPr="00C1421E">
        <w:rPr>
          <w:lang w:val="en-GB"/>
        </w:rPr>
        <w:t xml:space="preserve"> assists regional and international SDOs in coordinating their contributions to fields of mutual interest.</w:t>
      </w:r>
      <w:r w:rsidR="00D32FC7">
        <w:rPr>
          <w:lang w:val="en-GB"/>
        </w:rPr>
        <w:t xml:space="preserve"> </w:t>
      </w:r>
      <w:hyperlink r:id="rId99" w:history="1">
        <w:r w:rsidR="00D32FC7" w:rsidRPr="00D32FC7">
          <w:rPr>
            <w:rStyle w:val="Hyperlink"/>
            <w:lang w:val="en-GB"/>
          </w:rPr>
          <w:t>GSC-22</w:t>
        </w:r>
      </w:hyperlink>
      <w:r w:rsidR="00D32FC7">
        <w:rPr>
          <w:lang w:val="en-GB"/>
        </w:rPr>
        <w:t xml:space="preserve"> was hosted by IEC and ISO on 26-27 March 2019 in Switzerland.</w:t>
      </w:r>
      <w:r w:rsidRPr="00C1421E">
        <w:rPr>
          <w:lang w:val="en-GB"/>
        </w:rPr>
        <w:t xml:space="preserve"> ITU hosts the </w:t>
      </w:r>
      <w:hyperlink r:id="rId100" w:history="1">
        <w:r w:rsidRPr="00C1421E">
          <w:rPr>
            <w:rStyle w:val="Hyperlink"/>
            <w:rFonts w:eastAsiaTheme="majorEastAsia"/>
            <w:lang w:val="en-GB"/>
          </w:rPr>
          <w:t>repository</w:t>
        </w:r>
      </w:hyperlink>
      <w:r w:rsidRPr="00C1421E">
        <w:rPr>
          <w:lang w:val="en-GB"/>
        </w:rPr>
        <w:t xml:space="preserve"> of GSC</w:t>
      </w:r>
      <w:r>
        <w:rPr>
          <w:lang w:val="en-GB"/>
        </w:rPr>
        <w:t xml:space="preserve"> </w:t>
      </w:r>
      <w:r w:rsidRPr="00C1421E">
        <w:rPr>
          <w:lang w:val="en-GB"/>
        </w:rPr>
        <w:t xml:space="preserve">documents from past meetings. See </w:t>
      </w:r>
      <w:hyperlink r:id="rId101" w:history="1">
        <w:r w:rsidRPr="00C1421E">
          <w:rPr>
            <w:rStyle w:val="Hyperlink"/>
            <w:rFonts w:eastAsiaTheme="majorEastAsia"/>
            <w:lang w:val="en-GB"/>
          </w:rPr>
          <w:t>GSC website</w:t>
        </w:r>
      </w:hyperlink>
      <w:r w:rsidRPr="00C1421E">
        <w:rPr>
          <w:lang w:val="en-GB"/>
        </w:rPr>
        <w:t>.</w:t>
      </w:r>
    </w:p>
    <w:p w14:paraId="27C87D46" w14:textId="658994B4" w:rsidR="00F053CB" w:rsidRPr="008A2F29" w:rsidRDefault="00F053CB" w:rsidP="009E5FFA">
      <w:pPr>
        <w:rPr>
          <w:b/>
          <w:lang w:val="en-GB"/>
        </w:rPr>
      </w:pPr>
      <w:r w:rsidRPr="001C37A8">
        <w:rPr>
          <w:rFonts w:cs="Segoe UI"/>
          <w:b/>
          <w:lang w:val="en-GB"/>
        </w:rPr>
        <w:t xml:space="preserve">ITU and </w:t>
      </w:r>
      <w:r>
        <w:rPr>
          <w:rFonts w:cs="Segoe UI"/>
          <w:b/>
          <w:lang w:val="en-GB"/>
        </w:rPr>
        <w:t xml:space="preserve">the </w:t>
      </w:r>
      <w:r w:rsidRPr="001C37A8">
        <w:rPr>
          <w:rFonts w:cs="Segoe UI"/>
          <w:b/>
          <w:lang w:val="en-GB"/>
        </w:rPr>
        <w:t xml:space="preserve">African Organization for Standardization (ARSO) </w:t>
      </w:r>
      <w:r w:rsidRPr="00C1421E">
        <w:rPr>
          <w:rFonts w:cs="Segoe UI"/>
          <w:color w:val="000000"/>
          <w:lang w:val="en-GB"/>
        </w:rPr>
        <w:t xml:space="preserve">signed a </w:t>
      </w:r>
      <w:hyperlink r:id="rId102" w:history="1">
        <w:r w:rsidRPr="00D32FC7">
          <w:rPr>
            <w:rStyle w:val="Hyperlink"/>
            <w:rFonts w:cs="Segoe UI"/>
            <w:lang w:val="en-GB"/>
          </w:rPr>
          <w:t>Cooperation Agreement</w:t>
        </w:r>
      </w:hyperlink>
      <w:r w:rsidRPr="00C1421E">
        <w:rPr>
          <w:rFonts w:cs="Segoe UI"/>
          <w:color w:val="000000"/>
          <w:lang w:val="en-GB"/>
        </w:rPr>
        <w:t xml:space="preserve"> in June 2019</w:t>
      </w:r>
      <w:r>
        <w:rPr>
          <w:rFonts w:cs="Segoe UI"/>
          <w:color w:val="000000"/>
          <w:lang w:val="en-GB"/>
        </w:rPr>
        <w:t xml:space="preserve">, </w:t>
      </w:r>
      <w:r w:rsidRPr="00C1421E">
        <w:rPr>
          <w:rFonts w:cs="Segoe UI"/>
          <w:color w:val="000000"/>
          <w:lang w:val="en-GB"/>
        </w:rPr>
        <w:t>establish</w:t>
      </w:r>
      <w:r>
        <w:rPr>
          <w:rFonts w:cs="Segoe UI"/>
          <w:color w:val="000000"/>
          <w:lang w:val="en-GB"/>
        </w:rPr>
        <w:t>ing</w:t>
      </w:r>
      <w:r w:rsidRPr="00C1421E">
        <w:rPr>
          <w:rFonts w:cs="Segoe UI"/>
          <w:color w:val="000000"/>
          <w:lang w:val="en-GB"/>
        </w:rPr>
        <w:t xml:space="preserve"> a high-level, non-exclusive framework for cooperation</w:t>
      </w:r>
      <w:r>
        <w:rPr>
          <w:rFonts w:cs="Segoe UI"/>
          <w:color w:val="000000"/>
          <w:lang w:val="en-GB"/>
        </w:rPr>
        <w:t xml:space="preserve">. The agreement supports the </w:t>
      </w:r>
      <w:r w:rsidRPr="00C1421E">
        <w:rPr>
          <w:rFonts w:cs="Segoe UI"/>
          <w:color w:val="000000"/>
          <w:lang w:val="en-GB"/>
        </w:rPr>
        <w:t>promot</w:t>
      </w:r>
      <w:r>
        <w:rPr>
          <w:rFonts w:cs="Segoe UI"/>
          <w:color w:val="000000"/>
          <w:lang w:val="en-GB"/>
        </w:rPr>
        <w:t>ion of</w:t>
      </w:r>
      <w:r w:rsidRPr="00C1421E">
        <w:rPr>
          <w:rFonts w:cs="Segoe UI"/>
          <w:color w:val="000000"/>
          <w:lang w:val="en-GB"/>
        </w:rPr>
        <w:t xml:space="preserve"> ITU </w:t>
      </w:r>
      <w:r>
        <w:rPr>
          <w:rFonts w:cs="Segoe UI"/>
          <w:color w:val="000000"/>
          <w:lang w:val="en-GB"/>
        </w:rPr>
        <w:t>s</w:t>
      </w:r>
      <w:r w:rsidRPr="00C1421E">
        <w:rPr>
          <w:rFonts w:cs="Segoe UI"/>
          <w:color w:val="000000"/>
          <w:lang w:val="en-GB"/>
        </w:rPr>
        <w:t>tandards</w:t>
      </w:r>
      <w:r>
        <w:rPr>
          <w:rFonts w:cs="Segoe UI"/>
          <w:color w:val="000000"/>
          <w:lang w:val="en-GB"/>
        </w:rPr>
        <w:t>,</w:t>
      </w:r>
      <w:r w:rsidRPr="00C1421E">
        <w:rPr>
          <w:rFonts w:cs="Segoe UI"/>
          <w:color w:val="000000"/>
          <w:lang w:val="en-GB"/>
        </w:rPr>
        <w:t xml:space="preserve"> taking into account the requirements of the African </w:t>
      </w:r>
      <w:r>
        <w:rPr>
          <w:rFonts w:cs="Segoe UI"/>
          <w:color w:val="000000"/>
          <w:lang w:val="en-GB"/>
        </w:rPr>
        <w:t>r</w:t>
      </w:r>
      <w:r w:rsidRPr="00C1421E">
        <w:rPr>
          <w:rFonts w:cs="Segoe UI"/>
          <w:color w:val="000000"/>
          <w:lang w:val="en-GB"/>
        </w:rPr>
        <w:t>egion</w:t>
      </w:r>
      <w:r>
        <w:rPr>
          <w:rFonts w:cs="Segoe UI"/>
          <w:color w:val="000000"/>
          <w:lang w:val="en-GB"/>
        </w:rPr>
        <w:t>,</w:t>
      </w:r>
      <w:r w:rsidRPr="00C1421E">
        <w:rPr>
          <w:rFonts w:cs="Segoe UI"/>
          <w:color w:val="000000"/>
          <w:lang w:val="en-GB"/>
        </w:rPr>
        <w:t xml:space="preserve"> to support sustainable economic development</w:t>
      </w:r>
      <w:r>
        <w:rPr>
          <w:rFonts w:cs="Segoe UI"/>
          <w:color w:val="000000"/>
          <w:lang w:val="en-GB"/>
        </w:rPr>
        <w:t xml:space="preserve"> and trade over the long term</w:t>
      </w:r>
      <w:r w:rsidRPr="00C1421E">
        <w:rPr>
          <w:rFonts w:cs="Segoe UI"/>
          <w:color w:val="000000"/>
          <w:lang w:val="en-GB"/>
        </w:rPr>
        <w:t>.</w:t>
      </w:r>
    </w:p>
    <w:p w14:paraId="30632BBB" w14:textId="27167514" w:rsidR="006944F8" w:rsidRPr="001C37A8" w:rsidRDefault="006944F8" w:rsidP="006944F8">
      <w:pPr>
        <w:rPr>
          <w:lang w:val="en-GB"/>
        </w:rPr>
      </w:pPr>
      <w:r w:rsidRPr="001C37A8">
        <w:rPr>
          <w:b/>
          <w:bCs/>
          <w:lang w:val="en-GB"/>
        </w:rPr>
        <w:t xml:space="preserve">ITU is a strong advocate of </w:t>
      </w:r>
      <w:r w:rsidR="00CA2D85" w:rsidRPr="001C37A8">
        <w:rPr>
          <w:b/>
          <w:bCs/>
          <w:lang w:val="en-GB"/>
        </w:rPr>
        <w:t>"</w:t>
      </w:r>
      <w:r w:rsidRPr="001C37A8">
        <w:rPr>
          <w:b/>
          <w:bCs/>
          <w:lang w:val="en-GB"/>
        </w:rPr>
        <w:t>Universal Design</w:t>
      </w:r>
      <w:r w:rsidR="00CA2D85" w:rsidRPr="001C37A8">
        <w:rPr>
          <w:b/>
          <w:bCs/>
          <w:lang w:val="en-GB"/>
        </w:rPr>
        <w:t>"</w:t>
      </w:r>
      <w:r w:rsidRPr="001C37A8">
        <w:rPr>
          <w:lang w:val="en-GB"/>
        </w:rPr>
        <w:t xml:space="preserve"> and has standardization guidelines to produce solutions that are inherently accessible to persons with and without disabilities.</w:t>
      </w:r>
    </w:p>
    <w:p w14:paraId="6791684B" w14:textId="087A8DA6" w:rsidR="006944F8" w:rsidRPr="00C1421E" w:rsidRDefault="006944F8" w:rsidP="006944F8">
      <w:pPr>
        <w:rPr>
          <w:bCs/>
          <w:lang w:val="en-GB"/>
        </w:rPr>
      </w:pPr>
      <w:r w:rsidRPr="001C37A8">
        <w:rPr>
          <w:b/>
          <w:bCs/>
          <w:lang w:val="en-GB"/>
        </w:rPr>
        <w:t>ITU</w:t>
      </w:r>
      <w:r w:rsidR="00CA2D85" w:rsidRPr="001C37A8">
        <w:rPr>
          <w:b/>
          <w:bCs/>
          <w:lang w:val="en-GB"/>
        </w:rPr>
        <w:t>'</w:t>
      </w:r>
      <w:r w:rsidRPr="001C37A8">
        <w:rPr>
          <w:b/>
          <w:bCs/>
          <w:lang w:val="en-GB"/>
        </w:rPr>
        <w:t>s Bridging the Standardization Gap (BSG) programme</w:t>
      </w:r>
      <w:r w:rsidRPr="001C37A8">
        <w:rPr>
          <w:lang w:val="en-GB"/>
        </w:rPr>
        <w:t xml:space="preserve"> improves the capacity</w:t>
      </w:r>
      <w:r w:rsidRPr="00C1421E">
        <w:rPr>
          <w:bCs/>
          <w:lang w:val="en-GB"/>
        </w:rPr>
        <w:t xml:space="preserve"> of developing countries to participate in the development and implementation of international ICT standards.</w:t>
      </w:r>
    </w:p>
    <w:p w14:paraId="505AEA66" w14:textId="2EA89989" w:rsidR="006944F8" w:rsidRPr="00C1421E" w:rsidRDefault="006944F8" w:rsidP="006944F8">
      <w:pPr>
        <w:rPr>
          <w:bCs/>
          <w:lang w:val="en-GB"/>
        </w:rPr>
      </w:pPr>
      <w:r w:rsidRPr="00C1421E">
        <w:rPr>
          <w:b/>
          <w:lang w:val="en-GB"/>
        </w:rPr>
        <w:t>ITU</w:t>
      </w:r>
      <w:r w:rsidR="00CA2D85" w:rsidRPr="00C1421E">
        <w:rPr>
          <w:b/>
          <w:lang w:val="en-GB"/>
        </w:rPr>
        <w:t>'</w:t>
      </w:r>
      <w:r w:rsidRPr="00C1421E">
        <w:rPr>
          <w:b/>
          <w:lang w:val="en-GB"/>
        </w:rPr>
        <w:t>s conformity and interoperability (C&amp;I) programme</w:t>
      </w:r>
      <w:r w:rsidRPr="00C1421E">
        <w:rPr>
          <w:bCs/>
          <w:lang w:val="en-GB"/>
        </w:rPr>
        <w:t xml:space="preserve"> is of particular value to developing countries in their efforts to enhance conformity and interoperability of ICT products implementing ITU Recommendations or part thereof.</w:t>
      </w:r>
    </w:p>
    <w:p w14:paraId="4ADF2D23" w14:textId="634DCFD3" w:rsidR="006944F8" w:rsidRPr="00C1421E" w:rsidRDefault="006944F8" w:rsidP="0033393D">
      <w:pPr>
        <w:rPr>
          <w:bCs/>
          <w:highlight w:val="yellow"/>
          <w:lang w:val="en-GB"/>
        </w:rPr>
      </w:pPr>
      <w:r w:rsidRPr="00C1421E">
        <w:rPr>
          <w:b/>
          <w:lang w:val="en-GB"/>
        </w:rPr>
        <w:t>Chief Technology Officer meetings</w:t>
      </w:r>
      <w:r w:rsidRPr="00C1421E">
        <w:rPr>
          <w:bCs/>
          <w:lang w:val="en-GB"/>
        </w:rPr>
        <w:t xml:space="preserve">: </w:t>
      </w:r>
      <w:hyperlink r:id="rId103" w:history="1">
        <w:r w:rsidRPr="00C1421E">
          <w:rPr>
            <w:rStyle w:val="Hyperlink"/>
            <w:rFonts w:eastAsiaTheme="majorEastAsia"/>
            <w:bCs/>
            <w:lang w:val="en-GB"/>
          </w:rPr>
          <w:t>CTO and CxO meetings</w:t>
        </w:r>
      </w:hyperlink>
      <w:r w:rsidRPr="00C1421E">
        <w:rPr>
          <w:bCs/>
          <w:lang w:val="en-GB"/>
        </w:rPr>
        <w:t xml:space="preserve"> bring together industry executives to highlight their business priorities and support</w:t>
      </w:r>
      <w:r w:rsidR="006553CE" w:rsidRPr="00C1421E">
        <w:rPr>
          <w:bCs/>
          <w:lang w:val="en-GB"/>
        </w:rPr>
        <w:t>ing standardization strategies.</w:t>
      </w:r>
      <w:r w:rsidR="0034036E">
        <w:rPr>
          <w:bCs/>
          <w:lang w:val="en-GB"/>
        </w:rPr>
        <w:t xml:space="preserve"> TSB management held a </w:t>
      </w:r>
      <w:r w:rsidR="00C570DF">
        <w:rPr>
          <w:bCs/>
          <w:lang w:val="en-GB"/>
        </w:rPr>
        <w:t>consultation</w:t>
      </w:r>
      <w:r w:rsidR="0034036E">
        <w:rPr>
          <w:bCs/>
          <w:lang w:val="en-GB"/>
        </w:rPr>
        <w:t xml:space="preserve"> meeting </w:t>
      </w:r>
      <w:r w:rsidR="0034036E" w:rsidRPr="0034036E">
        <w:rPr>
          <w:bCs/>
          <w:lang w:val="en-GB"/>
        </w:rPr>
        <w:t xml:space="preserve">with </w:t>
      </w:r>
      <w:r w:rsidR="0034036E">
        <w:rPr>
          <w:bCs/>
          <w:lang w:val="en-GB"/>
        </w:rPr>
        <w:t>CTOs</w:t>
      </w:r>
      <w:r w:rsidR="0034036E" w:rsidRPr="0034036E">
        <w:rPr>
          <w:bCs/>
          <w:lang w:val="en-GB"/>
        </w:rPr>
        <w:t xml:space="preserve"> from China, Japan and Korea in Tokyo, Japan, </w:t>
      </w:r>
      <w:r w:rsidR="0034036E">
        <w:rPr>
          <w:bCs/>
          <w:lang w:val="en-GB"/>
        </w:rPr>
        <w:t xml:space="preserve">16 July 2019, </w:t>
      </w:r>
      <w:r w:rsidR="0034036E" w:rsidRPr="0034036E">
        <w:rPr>
          <w:bCs/>
          <w:lang w:val="en-GB"/>
        </w:rPr>
        <w:t>hosted by Japan’s Telecommunication Technology Committee.</w:t>
      </w:r>
      <w:r w:rsidR="0034036E">
        <w:rPr>
          <w:bCs/>
          <w:lang w:val="en-GB"/>
        </w:rPr>
        <w:t xml:space="preserve"> See relevant </w:t>
      </w:r>
      <w:hyperlink r:id="rId104" w:history="1">
        <w:r w:rsidR="0034036E" w:rsidRPr="0034036E">
          <w:rPr>
            <w:rStyle w:val="Hyperlink"/>
            <w:bCs/>
            <w:lang w:val="en-GB"/>
          </w:rPr>
          <w:t>ITU News story</w:t>
        </w:r>
      </w:hyperlink>
      <w:r w:rsidR="0034036E">
        <w:rPr>
          <w:bCs/>
          <w:lang w:val="en-GB"/>
        </w:rPr>
        <w:t xml:space="preserve">. </w:t>
      </w:r>
    </w:p>
    <w:p w14:paraId="79B43291" w14:textId="5A2AF01F" w:rsidR="006944F8" w:rsidRPr="00C1421E" w:rsidRDefault="006944F8" w:rsidP="00CA2D85">
      <w:pPr>
        <w:rPr>
          <w:lang w:val="en-GB"/>
        </w:rPr>
      </w:pPr>
      <w:r w:rsidRPr="000C01CD">
        <w:rPr>
          <w:b/>
          <w:bCs/>
          <w:lang w:val="en-GB"/>
        </w:rPr>
        <w:t>AI for Good</w:t>
      </w:r>
      <w:r w:rsidR="0034036E" w:rsidRPr="008A2F29">
        <w:rPr>
          <w:b/>
          <w:bCs/>
          <w:lang w:val="en-GB"/>
        </w:rPr>
        <w:t xml:space="preserve">: </w:t>
      </w:r>
      <w:r w:rsidR="0034036E" w:rsidRPr="008A2F29">
        <w:rPr>
          <w:bCs/>
          <w:lang w:val="en-GB"/>
        </w:rPr>
        <w:t xml:space="preserve">The AI for Good </w:t>
      </w:r>
      <w:r w:rsidR="00D32FC7">
        <w:rPr>
          <w:bCs/>
          <w:lang w:val="en-GB"/>
        </w:rPr>
        <w:t xml:space="preserve">Global Summit </w:t>
      </w:r>
      <w:r w:rsidR="0034036E" w:rsidRPr="008A2F29">
        <w:rPr>
          <w:bCs/>
          <w:lang w:val="en-GB"/>
        </w:rPr>
        <w:t xml:space="preserve">series </w:t>
      </w:r>
      <w:r w:rsidRPr="000C01CD">
        <w:rPr>
          <w:lang w:val="en-GB"/>
        </w:rPr>
        <w:t>identifie</w:t>
      </w:r>
      <w:r w:rsidR="0034036E" w:rsidRPr="008A2F29">
        <w:rPr>
          <w:lang w:val="en-GB"/>
        </w:rPr>
        <w:t>s</w:t>
      </w:r>
      <w:r w:rsidRPr="000C01CD">
        <w:rPr>
          <w:lang w:val="en-GB"/>
        </w:rPr>
        <w:t xml:space="preserve"> practical applications of AI with the potential to accelerate progress towards the United Nations</w:t>
      </w:r>
      <w:r w:rsidR="00CA2D85" w:rsidRPr="000C01CD">
        <w:rPr>
          <w:lang w:val="en-GB"/>
        </w:rPr>
        <w:t>'</w:t>
      </w:r>
      <w:r w:rsidRPr="000C01CD">
        <w:rPr>
          <w:lang w:val="en-GB"/>
        </w:rPr>
        <w:t xml:space="preserve"> Sustainable Development Goals.</w:t>
      </w:r>
      <w:r w:rsidR="00643F00">
        <w:rPr>
          <w:lang w:val="en-GB"/>
        </w:rPr>
        <w:t xml:space="preserve"> The third summit ga</w:t>
      </w:r>
      <w:r w:rsidR="0034036E" w:rsidRPr="000C01CD">
        <w:rPr>
          <w:lang w:val="en-GB"/>
        </w:rPr>
        <w:t>ve rise to ‘AI Commons’</w:t>
      </w:r>
      <w:r w:rsidR="00EA0C1F" w:rsidRPr="000C01CD">
        <w:rPr>
          <w:lang w:val="en-GB"/>
        </w:rPr>
        <w:t>, a framework for collaboration to achieve global impact.</w:t>
      </w:r>
      <w:r w:rsidR="00BA61AB">
        <w:rPr>
          <w:lang w:val="en-GB"/>
        </w:rPr>
        <w:t xml:space="preserve"> The Commons </w:t>
      </w:r>
      <w:r w:rsidR="00B16F5C">
        <w:rPr>
          <w:lang w:val="en-GB"/>
        </w:rPr>
        <w:t xml:space="preserve">will </w:t>
      </w:r>
      <w:r w:rsidR="00BA61AB">
        <w:rPr>
          <w:lang w:val="en-GB"/>
        </w:rPr>
        <w:t xml:space="preserve">assist </w:t>
      </w:r>
      <w:r w:rsidR="00BA61AB" w:rsidRPr="00BA61AB">
        <w:rPr>
          <w:lang w:val="en-GB"/>
        </w:rPr>
        <w:t>AI d</w:t>
      </w:r>
      <w:r w:rsidR="00BA61AB">
        <w:rPr>
          <w:lang w:val="en-GB"/>
        </w:rPr>
        <w:t xml:space="preserve">evelopment and application in </w:t>
      </w:r>
      <w:r w:rsidR="00BA61AB" w:rsidRPr="00BA61AB">
        <w:rPr>
          <w:lang w:val="en-GB"/>
        </w:rPr>
        <w:t>build</w:t>
      </w:r>
      <w:r w:rsidR="00BA61AB">
        <w:rPr>
          <w:lang w:val="en-GB"/>
        </w:rPr>
        <w:t>ing</w:t>
      </w:r>
      <w:r w:rsidR="00BA61AB" w:rsidRPr="00BA61AB">
        <w:rPr>
          <w:lang w:val="en-GB"/>
        </w:rPr>
        <w:t xml:space="preserve"> on the state of the art, enabling AI solutions to scale with the help of shared datasets, testing and simulation environments, AI models and associated software, and st</w:t>
      </w:r>
      <w:r w:rsidR="00BA61AB">
        <w:rPr>
          <w:lang w:val="en-GB"/>
        </w:rPr>
        <w:t>orage and computing resources.</w:t>
      </w:r>
      <w:r w:rsidR="00EA0C1F" w:rsidRPr="000C01CD">
        <w:rPr>
          <w:lang w:val="en-GB"/>
        </w:rPr>
        <w:t xml:space="preserve"> </w:t>
      </w:r>
      <w:r w:rsidR="0034036E" w:rsidRPr="000C01CD">
        <w:rPr>
          <w:lang w:val="en-GB"/>
        </w:rPr>
        <w:t xml:space="preserve">See relevant </w:t>
      </w:r>
      <w:hyperlink r:id="rId105" w:history="1">
        <w:r w:rsidR="0034036E" w:rsidRPr="000C01CD">
          <w:rPr>
            <w:rStyle w:val="Hyperlink"/>
            <w:lang w:val="en-GB"/>
          </w:rPr>
          <w:t>ITU News story</w:t>
        </w:r>
      </w:hyperlink>
      <w:r w:rsidR="00EA0C1F" w:rsidRPr="004B6D09">
        <w:rPr>
          <w:lang w:val="en-GB"/>
        </w:rPr>
        <w:t>.</w:t>
      </w:r>
      <w:r w:rsidR="00EA0C1F">
        <w:rPr>
          <w:lang w:val="en-GB"/>
        </w:rPr>
        <w:t xml:space="preserve"> </w:t>
      </w:r>
    </w:p>
    <w:p w14:paraId="1104DEF6" w14:textId="77777777" w:rsidR="006944F8" w:rsidRPr="00C1421E" w:rsidRDefault="006944F8" w:rsidP="006944F8">
      <w:pPr>
        <w:rPr>
          <w:bCs/>
          <w:lang w:val="en-GB"/>
        </w:rPr>
      </w:pPr>
      <w:r w:rsidRPr="00C1421E">
        <w:rPr>
          <w:b/>
          <w:lang w:val="en-GB"/>
        </w:rPr>
        <w:t>e-Health</w:t>
      </w:r>
      <w:r w:rsidRPr="00C1421E">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08483D8E" w:rsidR="006944F8" w:rsidRPr="008A2F29" w:rsidRDefault="006944F8" w:rsidP="009E5FFA">
      <w:pPr>
        <w:rPr>
          <w:szCs w:val="24"/>
          <w:highlight w:val="yellow"/>
          <w:lang w:val="en-GB"/>
        </w:rPr>
      </w:pPr>
      <w:r w:rsidRPr="00C1421E">
        <w:rPr>
          <w:b/>
          <w:bCs/>
          <w:lang w:val="en-GB"/>
        </w:rPr>
        <w:lastRenderedPageBreak/>
        <w:t xml:space="preserve">Safe listening: </w:t>
      </w:r>
      <w:r w:rsidRPr="00C1421E">
        <w:rPr>
          <w:lang w:val="en-GB"/>
        </w:rPr>
        <w:t>ITU-T</w:t>
      </w:r>
      <w:r w:rsidR="007B2629" w:rsidRPr="00C1421E">
        <w:rPr>
          <w:lang w:val="en-GB"/>
        </w:rPr>
        <w:t xml:space="preserve"> and WHO continue to</w:t>
      </w:r>
      <w:r w:rsidRPr="00C1421E">
        <w:rPr>
          <w:lang w:val="en-GB"/>
        </w:rPr>
        <w:t xml:space="preserve"> collaborat</w:t>
      </w:r>
      <w:r w:rsidR="007B2629" w:rsidRPr="00C1421E">
        <w:rPr>
          <w:lang w:val="en-GB"/>
        </w:rPr>
        <w:t xml:space="preserve">e in support of the </w:t>
      </w:r>
      <w:r w:rsidRPr="00C1421E">
        <w:rPr>
          <w:lang w:val="en-GB"/>
        </w:rPr>
        <w:t xml:space="preserve">WHO </w:t>
      </w:r>
      <w:r w:rsidR="00CA2D85" w:rsidRPr="00C1421E">
        <w:rPr>
          <w:lang w:val="en-GB"/>
        </w:rPr>
        <w:t>"</w:t>
      </w:r>
      <w:r w:rsidR="007B2629" w:rsidRPr="00C1421E">
        <w:rPr>
          <w:lang w:val="en-GB"/>
        </w:rPr>
        <w:t>Make Listening Safe</w:t>
      </w:r>
      <w:r w:rsidR="00CA2D85" w:rsidRPr="00C1421E">
        <w:rPr>
          <w:lang w:val="en-GB"/>
        </w:rPr>
        <w:t>"</w:t>
      </w:r>
      <w:r w:rsidR="007B2629" w:rsidRPr="00C1421E">
        <w:rPr>
          <w:lang w:val="en-GB"/>
        </w:rPr>
        <w:t xml:space="preserve"> initiative. ITU-T H.870 </w:t>
      </w:r>
      <w:r w:rsidR="00CA2D85" w:rsidRPr="00C1421E">
        <w:rPr>
          <w:lang w:val="en-GB"/>
        </w:rPr>
        <w:t>"</w:t>
      </w:r>
      <w:r w:rsidR="007B2629" w:rsidRPr="00C1421E">
        <w:rPr>
          <w:lang w:val="en-GB"/>
        </w:rPr>
        <w:t>Guidelines for safe listening devices/systems</w:t>
      </w:r>
      <w:r w:rsidR="00CA2D85" w:rsidRPr="00C1421E">
        <w:rPr>
          <w:lang w:val="en-GB"/>
        </w:rPr>
        <w:t>"</w:t>
      </w:r>
      <w:r w:rsidR="007B2629" w:rsidRPr="00C1421E">
        <w:rPr>
          <w:lang w:val="en-GB"/>
        </w:rPr>
        <w:t xml:space="preserve"> </w:t>
      </w:r>
      <w:r w:rsidR="00EA0C1F">
        <w:rPr>
          <w:lang w:val="en-GB"/>
        </w:rPr>
        <w:t xml:space="preserve">was </w:t>
      </w:r>
      <w:r w:rsidR="007B2629" w:rsidRPr="00C1421E">
        <w:rPr>
          <w:lang w:val="en-GB"/>
        </w:rPr>
        <w:t xml:space="preserve">the first standard to result from this collaboration, focusing on the safe listening of </w:t>
      </w:r>
      <w:r w:rsidR="00CA2D85" w:rsidRPr="00C1421E">
        <w:rPr>
          <w:lang w:val="en-GB"/>
        </w:rPr>
        <w:t>'</w:t>
      </w:r>
      <w:r w:rsidR="007B2629" w:rsidRPr="00C1421E">
        <w:rPr>
          <w:lang w:val="en-GB"/>
        </w:rPr>
        <w:t>personal or portable audio systems</w:t>
      </w:r>
      <w:r w:rsidR="00CA2D85" w:rsidRPr="00C1421E">
        <w:rPr>
          <w:lang w:val="en-GB"/>
        </w:rPr>
        <w:t>'</w:t>
      </w:r>
      <w:r w:rsidR="007B2629" w:rsidRPr="00C1421E">
        <w:rPr>
          <w:lang w:val="en-GB"/>
        </w:rPr>
        <w:t xml:space="preserve">, </w:t>
      </w:r>
      <w:r w:rsidR="007B2629" w:rsidRPr="004B6D09">
        <w:rPr>
          <w:lang w:val="en-GB"/>
        </w:rPr>
        <w:t>particularly music players</w:t>
      </w:r>
      <w:r w:rsidR="007B2629" w:rsidRPr="000C01CD">
        <w:rPr>
          <w:lang w:val="en-GB"/>
        </w:rPr>
        <w:t xml:space="preserve">. </w:t>
      </w:r>
      <w:r w:rsidR="00EA0C1F" w:rsidRPr="000C01CD">
        <w:rPr>
          <w:lang w:val="en-GB"/>
        </w:rPr>
        <w:t>The new ITU-T H.871 "Safe listening guidelines for personal sound amplifiers" provides guidance based on ITU-T H.870 to ensure safe sound levels and exposures for this new class of consumer device.</w:t>
      </w:r>
      <w:r w:rsidR="000C01CD" w:rsidRPr="008A2F29">
        <w:rPr>
          <w:szCs w:val="24"/>
          <w:lang w:val="en-GB"/>
        </w:rPr>
        <w:t xml:space="preserve"> </w:t>
      </w:r>
      <w:r w:rsidR="007B2629" w:rsidRPr="004B6D09">
        <w:rPr>
          <w:lang w:val="en-GB"/>
        </w:rPr>
        <w:t xml:space="preserve">Future standards in the series </w:t>
      </w:r>
      <w:r w:rsidR="00EA0C1F" w:rsidRPr="000C01CD">
        <w:rPr>
          <w:lang w:val="en-GB"/>
        </w:rPr>
        <w:t xml:space="preserve">are </w:t>
      </w:r>
      <w:r w:rsidR="007B2629" w:rsidRPr="000C01CD">
        <w:rPr>
          <w:lang w:val="en-GB"/>
        </w:rPr>
        <w:t>expected to address communications and assistive devi</w:t>
      </w:r>
      <w:r w:rsidR="00240BDA" w:rsidRPr="000C01CD">
        <w:rPr>
          <w:lang w:val="en-GB"/>
        </w:rPr>
        <w:t>ces as well as gaming consoles.</w:t>
      </w:r>
      <w:r w:rsidR="00CA2D85" w:rsidRPr="00C1421E">
        <w:rPr>
          <w:lang w:val="en-GB"/>
        </w:rPr>
        <w:t xml:space="preserve"> </w:t>
      </w:r>
    </w:p>
    <w:p w14:paraId="09911759" w14:textId="2B2566B4" w:rsidR="008B7852" w:rsidRPr="00C1421E" w:rsidRDefault="006944F8">
      <w:pPr>
        <w:rPr>
          <w:bCs/>
          <w:lang w:val="en-GB"/>
        </w:rPr>
      </w:pPr>
      <w:r w:rsidRPr="00C1421E">
        <w:rPr>
          <w:b/>
          <w:lang w:val="en-GB"/>
        </w:rPr>
        <w:t>Intelligent transport systems (ITS)</w:t>
      </w:r>
      <w:r w:rsidRPr="00C1421E">
        <w:rPr>
          <w:bCs/>
          <w:lang w:val="en-GB"/>
        </w:rPr>
        <w:t xml:space="preserve">: The </w:t>
      </w:r>
      <w:hyperlink r:id="rId106" w:history="1">
        <w:r w:rsidRPr="00C1421E">
          <w:rPr>
            <w:rStyle w:val="Hyperlink"/>
            <w:rFonts w:eastAsiaTheme="majorEastAsia"/>
            <w:bCs/>
            <w:lang w:val="en-GB"/>
          </w:rPr>
          <w:t>Collaboration on ITS Communication Standards</w:t>
        </w:r>
      </w:hyperlink>
      <w:r w:rsidRPr="00C1421E">
        <w:rPr>
          <w:bCs/>
          <w:lang w:val="en-GB"/>
        </w:rPr>
        <w:t xml:space="preserve"> is a body responsible for the coordination of technical standardization work to encourage the offer of interoperable ITS products.</w:t>
      </w:r>
      <w:r w:rsidR="009C2F17" w:rsidRPr="00C1421E">
        <w:rPr>
          <w:bCs/>
          <w:lang w:val="en-GB"/>
        </w:rPr>
        <w:t xml:space="preserve"> </w:t>
      </w:r>
      <w:r w:rsidR="007B2629" w:rsidRPr="00C1421E">
        <w:rPr>
          <w:bCs/>
          <w:lang w:val="en-GB"/>
        </w:rPr>
        <w:t>CITS meetings are held back-to-back with ITU workshops on</w:t>
      </w:r>
      <w:r w:rsidR="00240BDA" w:rsidRPr="00C1421E">
        <w:rPr>
          <w:bCs/>
          <w:lang w:val="en-GB"/>
        </w:rPr>
        <w:t xml:space="preserve"> intelligent transport systems.</w:t>
      </w:r>
      <w:r w:rsidR="008B7852" w:rsidRPr="00C1421E">
        <w:rPr>
          <w:bCs/>
          <w:lang w:val="en-GB"/>
        </w:rPr>
        <w:t xml:space="preserve"> </w:t>
      </w:r>
      <w:r w:rsidR="00EA0C1F">
        <w:rPr>
          <w:bCs/>
          <w:lang w:val="en-GB"/>
        </w:rPr>
        <w:t xml:space="preserve">CITS </w:t>
      </w:r>
      <w:r w:rsidR="00EA0C1F" w:rsidRPr="00EA0C1F">
        <w:rPr>
          <w:bCs/>
        </w:rPr>
        <w:t>has established a </w:t>
      </w:r>
      <w:hyperlink r:id="rId107" w:anchor="?topic=0.131&amp;workgroup=1&amp;searchValue=&amp;page=1&amp;sort=Revelance" w:history="1">
        <w:r w:rsidR="00EA0C1F" w:rsidRPr="00EA0C1F">
          <w:rPr>
            <w:rStyle w:val="Hyperlink"/>
            <w:bCs/>
          </w:rPr>
          <w:t xml:space="preserve">new </w:t>
        </w:r>
        <w:r w:rsidR="00EA0C1F">
          <w:rPr>
            <w:rStyle w:val="Hyperlink"/>
            <w:bCs/>
          </w:rPr>
          <w:t xml:space="preserve">standards </w:t>
        </w:r>
        <w:r w:rsidR="00EA0C1F" w:rsidRPr="00EA0C1F">
          <w:rPr>
            <w:rStyle w:val="Hyperlink"/>
            <w:bCs/>
          </w:rPr>
          <w:t>database</w:t>
        </w:r>
      </w:hyperlink>
      <w:r w:rsidR="00EA0C1F" w:rsidRPr="00EA0C1F">
        <w:rPr>
          <w:bCs/>
        </w:rPr>
        <w:t xml:space="preserve"> to assist the harmonization of </w:t>
      </w:r>
      <w:r w:rsidR="00EA0C1F">
        <w:rPr>
          <w:bCs/>
        </w:rPr>
        <w:t xml:space="preserve">ITS </w:t>
      </w:r>
      <w:r w:rsidR="00EA0C1F" w:rsidRPr="00EA0C1F">
        <w:rPr>
          <w:bCs/>
        </w:rPr>
        <w:t>standards</w:t>
      </w:r>
      <w:r w:rsidR="00EA0C1F">
        <w:rPr>
          <w:bCs/>
        </w:rPr>
        <w:t xml:space="preserve">. </w:t>
      </w:r>
      <w:r w:rsidR="00EA0C1F" w:rsidRPr="004B6D09">
        <w:rPr>
          <w:bCs/>
        </w:rPr>
        <w:t>The dat</w:t>
      </w:r>
      <w:r w:rsidR="00EA0C1F" w:rsidRPr="000C01CD">
        <w:rPr>
          <w:bCs/>
        </w:rPr>
        <w:t xml:space="preserve">abase includes ITS standards developed by all relevant standards bodies. See relevant </w:t>
      </w:r>
      <w:hyperlink r:id="rId108" w:history="1">
        <w:r w:rsidR="00EA0C1F" w:rsidRPr="000C01CD">
          <w:rPr>
            <w:rStyle w:val="Hyperlink"/>
            <w:bCs/>
          </w:rPr>
          <w:t>ITU News story</w:t>
        </w:r>
      </w:hyperlink>
      <w:r w:rsidR="00EA0C1F" w:rsidRPr="00461720">
        <w:rPr>
          <w:bCs/>
        </w:rPr>
        <w:t>.</w:t>
      </w:r>
      <w:r w:rsidR="00EA0C1F">
        <w:rPr>
          <w:bCs/>
        </w:rPr>
        <w:t xml:space="preserve"> </w:t>
      </w:r>
    </w:p>
    <w:p w14:paraId="7B737907" w14:textId="51227A7E" w:rsidR="006175CC" w:rsidRPr="00F00D09" w:rsidRDefault="006944F8" w:rsidP="006A13AE">
      <w:pPr>
        <w:rPr>
          <w:lang w:val="en-GB"/>
        </w:rPr>
      </w:pPr>
      <w:r w:rsidRPr="00C1421E">
        <w:rPr>
          <w:b/>
          <w:lang w:val="en-GB"/>
        </w:rPr>
        <w:t xml:space="preserve">ITU/WMO/UNESCO-IOC Joint Task Force on SMART Cable Systems: </w:t>
      </w:r>
      <w:r w:rsidR="006A13AE">
        <w:rPr>
          <w:bCs/>
        </w:rPr>
        <w:t>The joint task force</w:t>
      </w:r>
      <w:r w:rsidR="006A13AE">
        <w:t xml:space="preserve"> 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On 2 August 2019, the joint task force published a detailed peer-reviewed article in the journal “Frontiers in Marine Science”: “</w:t>
      </w:r>
      <w:hyperlink r:id="rId109" w:history="1">
        <w:r w:rsidR="006A13AE">
          <w:rPr>
            <w:rStyle w:val="Hyperlink"/>
          </w:rPr>
          <w:t>SMART Cables for Observing the Global Ocean: Science and Implementation</w:t>
        </w:r>
      </w:hyperlink>
      <w:r w:rsidR="006A13AE">
        <w:t>”.</w:t>
      </w:r>
    </w:p>
    <w:p w14:paraId="1EC7A314" w14:textId="77777777" w:rsidR="00A2313B" w:rsidRPr="00C1421E" w:rsidRDefault="00A2313B" w:rsidP="00A2313B">
      <w:pPr>
        <w:rPr>
          <w:bCs/>
          <w:lang w:val="en-GB"/>
        </w:rPr>
      </w:pPr>
      <w:r w:rsidRPr="00C1421E">
        <w:rPr>
          <w:b/>
          <w:lang w:val="en-GB"/>
        </w:rPr>
        <w:t>ICT, environment and climate change</w:t>
      </w:r>
      <w:r w:rsidRPr="00C1421E">
        <w:rPr>
          <w:bCs/>
          <w:lang w:val="en-GB"/>
        </w:rPr>
        <w:t xml:space="preserve">: ITU-T maintains cooperation with </w:t>
      </w:r>
      <w:r>
        <w:rPr>
          <w:bCs/>
          <w:lang w:val="en-GB"/>
        </w:rPr>
        <w:t xml:space="preserve">a wide range of </w:t>
      </w:r>
      <w:r w:rsidRPr="00C1421E">
        <w:rPr>
          <w:bCs/>
          <w:lang w:val="en-GB"/>
        </w:rPr>
        <w:t xml:space="preserve">bodies active in environmental </w:t>
      </w:r>
      <w:r>
        <w:rPr>
          <w:bCs/>
          <w:lang w:val="en-GB"/>
        </w:rPr>
        <w:t xml:space="preserve">sustainability, </w:t>
      </w:r>
      <w:r w:rsidRPr="00C1421E">
        <w:rPr>
          <w:bCs/>
          <w:lang w:val="en-GB"/>
        </w:rPr>
        <w:t>includ</w:t>
      </w:r>
      <w:r>
        <w:rPr>
          <w:bCs/>
          <w:lang w:val="en-GB"/>
        </w:rPr>
        <w:t xml:space="preserve">ing </w:t>
      </w:r>
      <w:r w:rsidRPr="00C1421E">
        <w:rPr>
          <w:bCs/>
          <w:lang w:val="en-GB"/>
        </w:rPr>
        <w:t>UN bodies, standards bodies, regional organizations, academi</w:t>
      </w:r>
      <w:r>
        <w:rPr>
          <w:bCs/>
          <w:lang w:val="en-GB"/>
        </w:rPr>
        <w:t>a</w:t>
      </w:r>
      <w:r w:rsidRPr="00C1421E">
        <w:rPr>
          <w:bCs/>
          <w:lang w:val="en-GB"/>
        </w:rPr>
        <w:t xml:space="preserve">, and industry associations. ITU </w:t>
      </w:r>
      <w:r>
        <w:rPr>
          <w:bCs/>
          <w:lang w:val="en-GB"/>
        </w:rPr>
        <w:t xml:space="preserve">is working together with </w:t>
      </w:r>
      <w:r w:rsidRPr="00C1421E">
        <w:rPr>
          <w:bCs/>
          <w:lang w:val="en-GB"/>
        </w:rPr>
        <w:t xml:space="preserve">nine </w:t>
      </w:r>
      <w:r>
        <w:rPr>
          <w:bCs/>
          <w:lang w:val="en-GB"/>
        </w:rPr>
        <w:t xml:space="preserve">other </w:t>
      </w:r>
      <w:r w:rsidRPr="00C1421E">
        <w:rPr>
          <w:bCs/>
          <w:lang w:val="en-GB"/>
        </w:rPr>
        <w:t xml:space="preserve">UN </w:t>
      </w:r>
      <w:r>
        <w:rPr>
          <w:bCs/>
          <w:lang w:val="en-GB"/>
        </w:rPr>
        <w:t>bodies to develop a report on ‘f</w:t>
      </w:r>
      <w:r w:rsidRPr="00C1421E">
        <w:rPr>
          <w:bCs/>
          <w:lang w:val="en-GB"/>
        </w:rPr>
        <w:t xml:space="preserve">rontier </w:t>
      </w:r>
      <w:r>
        <w:rPr>
          <w:bCs/>
          <w:lang w:val="en-GB"/>
        </w:rPr>
        <w:t>t</w:t>
      </w:r>
      <w:r w:rsidRPr="00C1421E">
        <w:rPr>
          <w:bCs/>
          <w:lang w:val="en-GB"/>
        </w:rPr>
        <w:t>echnologies to protect the environment and tackle climate change</w:t>
      </w:r>
      <w:r>
        <w:rPr>
          <w:bCs/>
          <w:lang w:val="en-GB"/>
        </w:rPr>
        <w:t>’</w:t>
      </w:r>
      <w:r w:rsidRPr="00C1421E">
        <w:rPr>
          <w:bCs/>
          <w:lang w:val="en-GB"/>
        </w:rPr>
        <w:t>.</w:t>
      </w:r>
    </w:p>
    <w:p w14:paraId="3BD80DB6" w14:textId="54E26D46" w:rsidR="00A2313B" w:rsidRPr="00A2313B" w:rsidRDefault="00A2313B" w:rsidP="00A4200D">
      <w:pPr>
        <w:rPr>
          <w:bCs/>
          <w:lang w:val="en-GB"/>
        </w:rPr>
      </w:pPr>
      <w:r w:rsidRPr="00C1421E">
        <w:rPr>
          <w:b/>
          <w:bCs/>
          <w:lang w:val="en-GB"/>
        </w:rPr>
        <w:t>Green Standards Week</w:t>
      </w:r>
      <w:r w:rsidRPr="00C1421E">
        <w:rPr>
          <w:bCs/>
          <w:lang w:val="en-GB"/>
        </w:rPr>
        <w:t xml:space="preserve">: </w:t>
      </w:r>
      <w:r>
        <w:rPr>
          <w:bCs/>
          <w:lang w:val="en-GB"/>
        </w:rPr>
        <w:t xml:space="preserve">The annual ITU Green Standard Week </w:t>
      </w:r>
      <w:r w:rsidRPr="00C1421E">
        <w:rPr>
          <w:bCs/>
          <w:lang w:val="en-GB"/>
        </w:rPr>
        <w:t>discuss</w:t>
      </w:r>
      <w:r>
        <w:rPr>
          <w:bCs/>
          <w:lang w:val="en-GB"/>
        </w:rPr>
        <w:t>es</w:t>
      </w:r>
      <w:r w:rsidRPr="00C1421E">
        <w:rPr>
          <w:bCs/>
          <w:lang w:val="en-GB"/>
        </w:rPr>
        <w:t xml:space="preserve"> the </w:t>
      </w:r>
      <w:r>
        <w:rPr>
          <w:bCs/>
          <w:lang w:val="en-GB"/>
        </w:rPr>
        <w:t xml:space="preserve">relationship between ICTs and circular economy and how </w:t>
      </w:r>
      <w:r w:rsidRPr="00C1421E">
        <w:rPr>
          <w:bCs/>
          <w:lang w:val="en-GB"/>
        </w:rPr>
        <w:t xml:space="preserve">frontier technologies </w:t>
      </w:r>
      <w:r>
        <w:rPr>
          <w:bCs/>
          <w:lang w:val="en-GB"/>
        </w:rPr>
        <w:t>could assist</w:t>
      </w:r>
      <w:r w:rsidRPr="00C1421E">
        <w:rPr>
          <w:bCs/>
          <w:lang w:val="en-GB"/>
        </w:rPr>
        <w:t xml:space="preserve"> cities </w:t>
      </w:r>
      <w:r>
        <w:rPr>
          <w:bCs/>
          <w:lang w:val="en-GB"/>
        </w:rPr>
        <w:t xml:space="preserve">in </w:t>
      </w:r>
      <w:r w:rsidRPr="00C95497">
        <w:t>becom</w:t>
      </w:r>
      <w:r>
        <w:t xml:space="preserve">ing </w:t>
      </w:r>
      <w:r w:rsidRPr="00C95497">
        <w:t>smarter and more sustainable</w:t>
      </w:r>
      <w:r>
        <w:t>. T</w:t>
      </w:r>
      <w:r w:rsidRPr="00C95497">
        <w:t>he</w:t>
      </w:r>
      <w:r>
        <w:t>med ‘Connecting Smart Sustainable Cities with the Sustainable Development Goals’, the</w:t>
      </w:r>
      <w:r w:rsidRPr="00C95497">
        <w:t xml:space="preserve"> </w:t>
      </w:r>
      <w:hyperlink r:id="rId110" w:history="1">
        <w:r w:rsidRPr="00C95497">
          <w:rPr>
            <w:rStyle w:val="Hyperlink"/>
          </w:rPr>
          <w:t xml:space="preserve">9th </w:t>
        </w:r>
        <w:r>
          <w:rPr>
            <w:rStyle w:val="Hyperlink"/>
          </w:rPr>
          <w:t xml:space="preserve">ITU </w:t>
        </w:r>
        <w:r w:rsidRPr="00C95497">
          <w:rPr>
            <w:rStyle w:val="Hyperlink"/>
          </w:rPr>
          <w:t>Green Standards Week</w:t>
        </w:r>
      </w:hyperlink>
      <w:r>
        <w:t xml:space="preserve"> will be held in Valencia, Spain, 1-4 October 2019, organized b</w:t>
      </w:r>
      <w:r w:rsidR="004848DD">
        <w:t xml:space="preserve">y ITU together with 37 </w:t>
      </w:r>
      <w:r>
        <w:t>partners</w:t>
      </w:r>
      <w:r w:rsidRPr="00F540E0">
        <w:rPr>
          <w:lang w:val="en-GB"/>
        </w:rPr>
        <w:t>.</w:t>
      </w:r>
    </w:p>
    <w:p w14:paraId="55B1D046" w14:textId="25049758" w:rsidR="00A4200D" w:rsidRPr="00A4200D" w:rsidRDefault="00A4200D" w:rsidP="00A4200D">
      <w:pPr>
        <w:rPr>
          <w:bCs/>
          <w:lang w:val="en-GB"/>
        </w:rPr>
      </w:pPr>
      <w:r w:rsidRPr="00C1421E">
        <w:rPr>
          <w:b/>
          <w:lang w:val="en-GB"/>
        </w:rPr>
        <w:t>Smart Sustainable Cities</w:t>
      </w:r>
      <w:r w:rsidRPr="00C1421E">
        <w:rPr>
          <w:bCs/>
          <w:lang w:val="en-GB"/>
        </w:rPr>
        <w:t xml:space="preserve">: The </w:t>
      </w:r>
      <w:hyperlink r:id="rId111" w:history="1">
        <w:r w:rsidRPr="00C1421E">
          <w:rPr>
            <w:rStyle w:val="Hyperlink"/>
            <w:rFonts w:eastAsiaTheme="majorEastAsia"/>
            <w:bCs/>
            <w:lang w:val="en-GB"/>
          </w:rPr>
          <w:t>United for Smart Sustainable Cities (U4SSC)</w:t>
        </w:r>
      </w:hyperlink>
      <w:r w:rsidRPr="00C1421E">
        <w:rPr>
          <w:rFonts w:eastAsiaTheme="majorEastAsia"/>
          <w:lang w:val="en-GB"/>
        </w:rPr>
        <w:t xml:space="preserve"> initiative</w:t>
      </w:r>
      <w:r w:rsidRPr="00C1421E">
        <w:rPr>
          <w:bCs/>
          <w:lang w:val="en-GB"/>
        </w:rPr>
        <w:t>, supported by 16 UN bodies, advocates for public policy to ensure that ICTs – and ICT standards in particular – play a definitive role in the transition to smart cities.</w:t>
      </w:r>
      <w:r>
        <w:rPr>
          <w:bCs/>
          <w:lang w:val="en-GB"/>
        </w:rPr>
        <w:t xml:space="preserve"> </w:t>
      </w:r>
      <w:r w:rsidR="00820747">
        <w:rPr>
          <w:bCs/>
          <w:lang w:val="en-GB"/>
        </w:rPr>
        <w:t xml:space="preserve">A range of </w:t>
      </w:r>
      <w:r w:rsidR="00820747" w:rsidRPr="00E738E0">
        <w:rPr>
          <w:lang w:val="en-GB"/>
        </w:rPr>
        <w:t xml:space="preserve">city </w:t>
      </w:r>
      <w:r w:rsidR="00820747" w:rsidRPr="00F540E0">
        <w:rPr>
          <w:lang w:val="en-GB"/>
        </w:rPr>
        <w:t>‘fact sheets’</w:t>
      </w:r>
      <w:r w:rsidR="00820747">
        <w:rPr>
          <w:lang w:val="en-GB"/>
        </w:rPr>
        <w:t xml:space="preserve"> developed under the auspices of U4SSC will be launched at the </w:t>
      </w:r>
      <w:r w:rsidR="00820747" w:rsidRPr="00A2313B">
        <w:rPr>
          <w:lang w:val="en-GB"/>
        </w:rPr>
        <w:t>9</w:t>
      </w:r>
      <w:r w:rsidR="00820747" w:rsidRPr="00A2313B">
        <w:rPr>
          <w:vertAlign w:val="superscript"/>
          <w:lang w:val="en-GB"/>
        </w:rPr>
        <w:t>th</w:t>
      </w:r>
      <w:r w:rsidR="00820747" w:rsidRPr="00A2313B">
        <w:rPr>
          <w:lang w:val="en-GB"/>
        </w:rPr>
        <w:t xml:space="preserve"> </w:t>
      </w:r>
      <w:r w:rsidR="00A2313B">
        <w:rPr>
          <w:lang w:val="en-GB"/>
        </w:rPr>
        <w:t xml:space="preserve">ITU Green Standards Week. The fact sheets address the relationship between </w:t>
      </w:r>
      <w:r w:rsidR="00820747">
        <w:rPr>
          <w:lang w:val="en-GB"/>
        </w:rPr>
        <w:t>smart city initiative</w:t>
      </w:r>
      <w:r w:rsidR="00A2313B">
        <w:rPr>
          <w:lang w:val="en-GB"/>
        </w:rPr>
        <w:t xml:space="preserve">s and the Sustainable Development Goals, sharing insight into </w:t>
      </w:r>
      <w:r w:rsidR="00820747">
        <w:rPr>
          <w:lang w:val="en-GB"/>
        </w:rPr>
        <w:t xml:space="preserve">cities’ experiences in this regard. </w:t>
      </w:r>
    </w:p>
    <w:p w14:paraId="02ACEA2F" w14:textId="075C9252" w:rsidR="006944F8" w:rsidRPr="00C1421E" w:rsidRDefault="00D006F1" w:rsidP="0033393D">
      <w:pPr>
        <w:rPr>
          <w:bCs/>
          <w:lang w:val="en-GB"/>
        </w:rPr>
      </w:pPr>
      <w:r w:rsidRPr="00C1421E">
        <w:rPr>
          <w:b/>
          <w:lang w:val="en-GB"/>
        </w:rPr>
        <w:t>P</w:t>
      </w:r>
      <w:r w:rsidR="006944F8" w:rsidRPr="00C1421E">
        <w:rPr>
          <w:b/>
          <w:lang w:val="en-GB"/>
        </w:rPr>
        <w:t xml:space="preserve">roject implementing the </w:t>
      </w:r>
      <w:r w:rsidR="001673DC" w:rsidRPr="00C1421E">
        <w:rPr>
          <w:b/>
          <w:lang w:val="en-GB"/>
        </w:rPr>
        <w:t>U4SSC</w:t>
      </w:r>
      <w:r w:rsidR="006944F8" w:rsidRPr="00C1421E">
        <w:rPr>
          <w:b/>
          <w:lang w:val="en-GB"/>
        </w:rPr>
        <w:t xml:space="preserve"> Key Performance Indicators for Smart Sustainable Cities: </w:t>
      </w:r>
      <w:r w:rsidR="00502FC4" w:rsidRPr="00C1421E">
        <w:rPr>
          <w:lang w:val="en-GB"/>
        </w:rPr>
        <w:t xml:space="preserve">More than </w:t>
      </w:r>
      <w:r w:rsidR="001673DC" w:rsidRPr="00C1421E">
        <w:rPr>
          <w:lang w:val="en-GB"/>
        </w:rPr>
        <w:t>100</w:t>
      </w:r>
      <w:r w:rsidR="00502FC4" w:rsidRPr="00C1421E">
        <w:rPr>
          <w:lang w:val="en-GB"/>
        </w:rPr>
        <w:t xml:space="preserve"> cities worldwide are measuring their progress using </w:t>
      </w:r>
      <w:r w:rsidR="00CA2D85" w:rsidRPr="00C1421E">
        <w:rPr>
          <w:lang w:val="en-GB"/>
        </w:rPr>
        <w:t>'</w:t>
      </w:r>
      <w:r w:rsidR="00502FC4" w:rsidRPr="00C1421E">
        <w:rPr>
          <w:lang w:val="en-GB"/>
        </w:rPr>
        <w:t>Key Performance Indicators for Smart Sustainable Cities</w:t>
      </w:r>
      <w:r w:rsidR="00CA2D85" w:rsidRPr="00C1421E">
        <w:rPr>
          <w:lang w:val="en-GB"/>
        </w:rPr>
        <w:t>'</w:t>
      </w:r>
      <w:r w:rsidR="00502FC4" w:rsidRPr="00C1421E">
        <w:rPr>
          <w:lang w:val="en-GB"/>
        </w:rPr>
        <w:t xml:space="preserve"> based on ITU standards. ITU case studies </w:t>
      </w:r>
      <w:r w:rsidR="006653E5">
        <w:rPr>
          <w:lang w:val="en-GB"/>
        </w:rPr>
        <w:t xml:space="preserve">have </w:t>
      </w:r>
      <w:r w:rsidR="002606A3">
        <w:rPr>
          <w:lang w:val="en-GB"/>
        </w:rPr>
        <w:t>evaluate</w:t>
      </w:r>
      <w:r w:rsidR="006653E5">
        <w:rPr>
          <w:lang w:val="en-GB"/>
        </w:rPr>
        <w:t>d</w:t>
      </w:r>
      <w:r w:rsidR="002606A3">
        <w:rPr>
          <w:lang w:val="en-GB"/>
        </w:rPr>
        <w:t xml:space="preserve"> </w:t>
      </w:r>
      <w:r w:rsidR="00502FC4" w:rsidRPr="00C1421E">
        <w:rPr>
          <w:lang w:val="en-GB"/>
        </w:rPr>
        <w:t>the progress achieved in the smart city projects of Dubai, Singapore</w:t>
      </w:r>
      <w:r w:rsidR="00684F73">
        <w:rPr>
          <w:lang w:val="en-GB"/>
        </w:rPr>
        <w:t xml:space="preserve"> and </w:t>
      </w:r>
      <w:r w:rsidR="00502FC4" w:rsidRPr="00C1421E">
        <w:rPr>
          <w:lang w:val="en-GB"/>
        </w:rPr>
        <w:t>Moscow, evaluations undertaken using the Key Performance Indicators.</w:t>
      </w:r>
      <w:r w:rsidR="006E6B6E" w:rsidRPr="00C1421E">
        <w:rPr>
          <w:lang w:val="en-GB"/>
        </w:rPr>
        <w:t xml:space="preserve"> </w:t>
      </w:r>
    </w:p>
    <w:p w14:paraId="1554D0A3" w14:textId="469E937F" w:rsidR="00C93347" w:rsidRPr="004E1CA9" w:rsidRDefault="00C93347" w:rsidP="00C93347">
      <w:pPr>
        <w:rPr>
          <w:lang w:val="en-GB"/>
        </w:rPr>
      </w:pPr>
      <w:r w:rsidRPr="004E1CA9">
        <w:rPr>
          <w:b/>
          <w:lang w:val="en-GB"/>
        </w:rPr>
        <w:t>ITU and ETSI</w:t>
      </w:r>
      <w:r w:rsidRPr="004E1CA9">
        <w:rPr>
          <w:lang w:val="en-GB"/>
        </w:rPr>
        <w:t xml:space="preserve"> continue to enjoy successful collaboration in areas including multimedia QoE and IP capacity and latency parameters</w:t>
      </w:r>
      <w:r w:rsidR="00561D21">
        <w:rPr>
          <w:lang w:val="en-GB"/>
        </w:rPr>
        <w:t>;</w:t>
      </w:r>
      <w:r w:rsidRPr="004E1CA9">
        <w:rPr>
          <w:lang w:val="en-GB"/>
        </w:rPr>
        <w:t xml:space="preserve"> ICT energy efficiency and methodologies to assess ICTs’ environmental impacts</w:t>
      </w:r>
      <w:r w:rsidR="00561D21">
        <w:rPr>
          <w:lang w:val="en-GB"/>
        </w:rPr>
        <w:t>;</w:t>
      </w:r>
      <w:r w:rsidRPr="004E1CA9">
        <w:rPr>
          <w:lang w:val="en-GB"/>
        </w:rPr>
        <w:t xml:space="preserve"> standardization for C&amp;I testing</w:t>
      </w:r>
      <w:r w:rsidR="00561D21">
        <w:rPr>
          <w:lang w:val="en-GB"/>
        </w:rPr>
        <w:t>;</w:t>
      </w:r>
      <w:r>
        <w:rPr>
          <w:lang w:val="en-GB"/>
        </w:rPr>
        <w:t xml:space="preserve"> and </w:t>
      </w:r>
      <w:r w:rsidR="00561D21">
        <w:rPr>
          <w:lang w:val="en-GB"/>
        </w:rPr>
        <w:t>Test and Test Control Notation version 3</w:t>
      </w:r>
      <w:r w:rsidRPr="004E1CA9">
        <w:rPr>
          <w:lang w:val="en-GB"/>
        </w:rPr>
        <w:t>.</w:t>
      </w:r>
    </w:p>
    <w:p w14:paraId="71D4CA50" w14:textId="7E7F3694" w:rsidR="00C93347" w:rsidRPr="00851651" w:rsidRDefault="00C93347" w:rsidP="00C93347">
      <w:pPr>
        <w:rPr>
          <w:b/>
          <w:lang w:val="en-GB"/>
        </w:rPr>
      </w:pPr>
      <w:r w:rsidRPr="00851651">
        <w:rPr>
          <w:b/>
          <w:lang w:val="en-GB"/>
        </w:rPr>
        <w:t xml:space="preserve">ITU and OASIS </w:t>
      </w:r>
      <w:r w:rsidRPr="00851651">
        <w:rPr>
          <w:lang w:val="en-GB"/>
        </w:rPr>
        <w:t>continue collaboration on ICT security standardization. ITU adop</w:t>
      </w:r>
      <w:r w:rsidR="000C01CD">
        <w:rPr>
          <w:lang w:val="en-GB"/>
        </w:rPr>
        <w:t>t</w:t>
      </w:r>
      <w:r w:rsidRPr="00851651">
        <w:rPr>
          <w:lang w:val="en-GB"/>
        </w:rPr>
        <w:t xml:space="preserve">ed OASIS </w:t>
      </w:r>
      <w:r>
        <w:rPr>
          <w:lang w:val="en-GB"/>
        </w:rPr>
        <w:t xml:space="preserve">STIX as </w:t>
      </w:r>
      <w:r w:rsidRPr="00A70940">
        <w:rPr>
          <w:lang w:val="en-GB"/>
        </w:rPr>
        <w:t>ITU-T X.1215 “Use Cases for Structured Threat Information Expression (STIX)”</w:t>
      </w:r>
      <w:r w:rsidRPr="00851651">
        <w:rPr>
          <w:bCs/>
          <w:lang w:val="en-GB"/>
        </w:rPr>
        <w:t>.</w:t>
      </w:r>
    </w:p>
    <w:p w14:paraId="0B625BBF" w14:textId="4682E2BE" w:rsidR="00C93347" w:rsidRPr="004E1CA9" w:rsidRDefault="00C93347" w:rsidP="00C93347">
      <w:pPr>
        <w:rPr>
          <w:lang w:val="en-GB"/>
        </w:rPr>
      </w:pPr>
      <w:r>
        <w:rPr>
          <w:b/>
          <w:lang w:val="en-GB"/>
        </w:rPr>
        <w:lastRenderedPageBreak/>
        <w:t xml:space="preserve">ITU and </w:t>
      </w:r>
      <w:r w:rsidRPr="00851651">
        <w:rPr>
          <w:b/>
          <w:lang w:val="en-GB"/>
        </w:rPr>
        <w:t>FIDO Alliance</w:t>
      </w:r>
      <w:r w:rsidRPr="00851651">
        <w:rPr>
          <w:lang w:val="en-GB"/>
        </w:rPr>
        <w:t xml:space="preserve"> (‘Fast Identity Online’) </w:t>
      </w:r>
      <w:r>
        <w:rPr>
          <w:lang w:val="en-GB"/>
        </w:rPr>
        <w:t xml:space="preserve">continue collaboration on identity management. ITU adopted FIDO UAF 1.1 as ITU-T X.1277 </w:t>
      </w:r>
      <w:r w:rsidRPr="004E1CA9">
        <w:rPr>
          <w:rFonts w:asciiTheme="majorBidi" w:hAnsiTheme="majorBidi" w:cstheme="majorBidi"/>
          <w:b/>
          <w:bCs/>
          <w:lang w:val="en-GB"/>
        </w:rPr>
        <w:t>“</w:t>
      </w:r>
      <w:r w:rsidRPr="001B7CC9">
        <w:rPr>
          <w:rFonts w:asciiTheme="majorBidi" w:hAnsiTheme="majorBidi" w:cstheme="majorBidi"/>
          <w:bCs/>
          <w:lang w:val="en-GB"/>
        </w:rPr>
        <w:t>FIDO Universal Authentication Framework (UAF)” and adopted FIDO CTAP as ITU-T X.1278 “Client To Authenticator Protocol/Universal 2-factor framework”</w:t>
      </w:r>
      <w:r>
        <w:rPr>
          <w:rFonts w:asciiTheme="majorBidi" w:hAnsiTheme="majorBidi" w:cstheme="majorBidi"/>
          <w:bCs/>
          <w:lang w:val="en-GB"/>
        </w:rPr>
        <w:t>.</w:t>
      </w:r>
      <w:r w:rsidR="00D03C38">
        <w:rPr>
          <w:rFonts w:asciiTheme="majorBidi" w:hAnsiTheme="majorBidi" w:cstheme="majorBidi"/>
          <w:bCs/>
          <w:lang w:val="en-GB"/>
        </w:rPr>
        <w:t xml:space="preserve"> </w:t>
      </w:r>
      <w:r w:rsidR="00D03C38" w:rsidRPr="004B6D09">
        <w:rPr>
          <w:rFonts w:asciiTheme="majorBidi" w:hAnsiTheme="majorBidi" w:cstheme="majorBidi"/>
          <w:bCs/>
          <w:lang w:val="en-GB"/>
        </w:rPr>
        <w:t xml:space="preserve">See relevant </w:t>
      </w:r>
      <w:hyperlink r:id="rId112" w:history="1">
        <w:r w:rsidR="00D03C38" w:rsidRPr="004B6D09">
          <w:rPr>
            <w:rStyle w:val="Hyperlink"/>
            <w:rFonts w:asciiTheme="majorBidi" w:hAnsiTheme="majorBidi" w:cstheme="majorBidi"/>
            <w:bCs/>
            <w:lang w:val="en-GB"/>
          </w:rPr>
          <w:t>ITU News sto</w:t>
        </w:r>
        <w:r w:rsidR="00D03C38" w:rsidRPr="000C01CD">
          <w:rPr>
            <w:rStyle w:val="Hyperlink"/>
            <w:rFonts w:asciiTheme="majorBidi" w:hAnsiTheme="majorBidi" w:cstheme="majorBidi"/>
            <w:bCs/>
            <w:lang w:val="en-GB"/>
          </w:rPr>
          <w:t>ry</w:t>
        </w:r>
      </w:hyperlink>
      <w:r w:rsidR="00D03C38" w:rsidRPr="004B6D09">
        <w:rPr>
          <w:rFonts w:asciiTheme="majorBidi" w:hAnsiTheme="majorBidi" w:cstheme="majorBidi"/>
          <w:bCs/>
          <w:lang w:val="en-GB"/>
        </w:rPr>
        <w:t>.</w:t>
      </w:r>
      <w:r w:rsidR="00D03C38">
        <w:rPr>
          <w:rFonts w:asciiTheme="majorBidi" w:hAnsiTheme="majorBidi" w:cstheme="majorBidi"/>
          <w:bCs/>
          <w:lang w:val="en-GB"/>
        </w:rPr>
        <w:t xml:space="preserve"> </w:t>
      </w:r>
    </w:p>
    <w:p w14:paraId="752F0EBD" w14:textId="4C8D5A49" w:rsidR="006944F8" w:rsidRPr="00C1421E" w:rsidRDefault="006944F8" w:rsidP="00BA2A86">
      <w:pPr>
        <w:rPr>
          <w:lang w:val="en-GB"/>
        </w:rPr>
      </w:pPr>
      <w:r w:rsidRPr="00C1421E">
        <w:rPr>
          <w:b/>
          <w:bCs/>
          <w:lang w:val="en-GB"/>
        </w:rPr>
        <w:t xml:space="preserve">ITU and the NGMN Alliance </w:t>
      </w:r>
      <w:r w:rsidRPr="00C1421E">
        <w:rPr>
          <w:lang w:val="en-GB"/>
        </w:rPr>
        <w:t>cooperate in support of</w:t>
      </w:r>
      <w:r w:rsidRPr="00C1421E">
        <w:rPr>
          <w:b/>
          <w:bCs/>
          <w:lang w:val="en-GB"/>
        </w:rPr>
        <w:t xml:space="preserve"> </w:t>
      </w:r>
      <w:r w:rsidRPr="00C1421E">
        <w:rPr>
          <w:lang w:val="en-GB"/>
        </w:rPr>
        <w:t>the development of next-generation mobile broadband technologies</w:t>
      </w:r>
      <w:r w:rsidR="007F6DBC">
        <w:rPr>
          <w:lang w:val="en-GB"/>
        </w:rPr>
        <w:t xml:space="preserve">. The two organizations are also working together to promote a level playing field for intellectual property licensing. See relevant </w:t>
      </w:r>
      <w:hyperlink r:id="rId113" w:history="1">
        <w:r w:rsidR="007F6DBC" w:rsidRPr="007F6DBC">
          <w:rPr>
            <w:rStyle w:val="Hyperlink"/>
            <w:lang w:val="en-GB"/>
          </w:rPr>
          <w:t>ITU News story</w:t>
        </w:r>
      </w:hyperlink>
      <w:r w:rsidR="007F6DBC">
        <w:rPr>
          <w:lang w:val="en-GB"/>
        </w:rPr>
        <w:t xml:space="preserve">. </w:t>
      </w:r>
    </w:p>
    <w:p w14:paraId="29555A1A" w14:textId="59C14175" w:rsidR="006944F8" w:rsidRPr="00C1421E" w:rsidRDefault="006944F8" w:rsidP="006944F8">
      <w:pPr>
        <w:rPr>
          <w:lang w:val="en-GB"/>
        </w:rPr>
      </w:pPr>
      <w:r w:rsidRPr="00C1421E">
        <w:rPr>
          <w:b/>
          <w:bCs/>
          <w:lang w:val="en-GB"/>
        </w:rPr>
        <w:t>Financial Inclusion Global Initiative</w:t>
      </w:r>
      <w:r w:rsidRPr="00C1421E">
        <w:rPr>
          <w:lang w:val="en-GB"/>
        </w:rPr>
        <w:t xml:space="preserve"> </w:t>
      </w:r>
      <w:r w:rsidRPr="00C1421E">
        <w:rPr>
          <w:b/>
          <w:bCs/>
          <w:lang w:val="en-GB"/>
        </w:rPr>
        <w:t>(FIGI)</w:t>
      </w:r>
      <w:r w:rsidRPr="00C1421E">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rsidR="007F6DBC">
        <w:rPr>
          <w:lang w:val="en-GB"/>
        </w:rPr>
        <w:t xml:space="preserve"> </w:t>
      </w:r>
      <w:r w:rsidR="00DC55F1">
        <w:rPr>
          <w:lang w:val="en-GB"/>
        </w:rPr>
        <w:t xml:space="preserve">The second FIGI symposium was held in Cairo, Egypt, 22-24 January 2019. </w:t>
      </w:r>
      <w:r w:rsidR="007F6DBC" w:rsidRPr="004B6D09">
        <w:rPr>
          <w:lang w:val="en-GB"/>
        </w:rPr>
        <w:t xml:space="preserve">See relevant </w:t>
      </w:r>
      <w:hyperlink r:id="rId114" w:history="1">
        <w:r w:rsidR="007F6DBC" w:rsidRPr="008A2F29">
          <w:rPr>
            <w:rStyle w:val="Hyperlink"/>
            <w:lang w:val="en-GB"/>
          </w:rPr>
          <w:t xml:space="preserve">category of </w:t>
        </w:r>
        <w:r w:rsidR="007F6DBC" w:rsidRPr="008A2F29">
          <w:rPr>
            <w:rStyle w:val="Hyperlink"/>
          </w:rPr>
          <w:t>ITU News stories</w:t>
        </w:r>
      </w:hyperlink>
      <w:r w:rsidR="007F6DBC" w:rsidRPr="004B6D09">
        <w:rPr>
          <w:lang w:val="en-GB"/>
        </w:rPr>
        <w:t>.</w:t>
      </w:r>
      <w:r w:rsidR="007F6DBC">
        <w:rPr>
          <w:lang w:val="en-GB"/>
        </w:rPr>
        <w:t xml:space="preserve"> </w:t>
      </w:r>
    </w:p>
    <w:p w14:paraId="5F180306" w14:textId="7F6BCF09" w:rsidR="00143477" w:rsidRPr="001C37A8" w:rsidRDefault="00143477" w:rsidP="001C37A8">
      <w:r w:rsidRPr="008A2F29">
        <w:rPr>
          <w:b/>
        </w:rPr>
        <w:t>ITU and Stanford University</w:t>
      </w:r>
      <w:r w:rsidRPr="008011D6">
        <w:t xml:space="preserve"> have agreed to launch a new partnership to support pilot implementations of DFC</w:t>
      </w:r>
      <w:r w:rsidRPr="001E0F6F">
        <w:t>, digital currency authorized and issued by a Central Bank. The partnership will offer technical assistance to Central Banks piloting the introduction of DFC and an open forum to share lessons learnt from these pilots amo</w:t>
      </w:r>
      <w:r w:rsidRPr="001F724D">
        <w:t xml:space="preserve">ng Central Banks, digital currency platform providers, payment system organizations, academia, and telecoms companies. </w:t>
      </w:r>
      <w:r w:rsidR="007F6DBC" w:rsidRPr="00655325">
        <w:t xml:space="preserve">See relevant </w:t>
      </w:r>
      <w:hyperlink r:id="rId115" w:history="1">
        <w:r w:rsidR="007F6DBC" w:rsidRPr="008011D6">
          <w:rPr>
            <w:rStyle w:val="Hyperlink"/>
          </w:rPr>
          <w:t>ITU News story</w:t>
        </w:r>
      </w:hyperlink>
      <w:r w:rsidR="007F6DBC" w:rsidRPr="008011D6">
        <w:t xml:space="preserve">. </w:t>
      </w:r>
    </w:p>
    <w:p w14:paraId="0B037D4A" w14:textId="684100DA" w:rsidR="006944F8" w:rsidRPr="00C1421E" w:rsidRDefault="00D64AF8" w:rsidP="006944F8">
      <w:pPr>
        <w:pStyle w:val="Heading2"/>
      </w:pPr>
      <w:bookmarkStart w:id="98" w:name="_Toc18509755"/>
      <w:r w:rsidRPr="00C1421E">
        <w:t>6</w:t>
      </w:r>
      <w:r w:rsidR="006944F8" w:rsidRPr="00C1421E">
        <w:t>.5</w:t>
      </w:r>
      <w:r w:rsidR="006944F8" w:rsidRPr="00C1421E">
        <w:tab/>
        <w:t>Cooperation with national and regional standardization organizations</w:t>
      </w:r>
      <w:bookmarkEnd w:id="98"/>
    </w:p>
    <w:p w14:paraId="2481B98E" w14:textId="0A10B1C1" w:rsidR="000A5F8C" w:rsidRPr="00C1421E" w:rsidRDefault="000A5F8C" w:rsidP="000A5F8C">
      <w:pPr>
        <w:rPr>
          <w:szCs w:val="24"/>
          <w:lang w:val="en-GB"/>
        </w:rPr>
      </w:pPr>
      <w:r w:rsidRPr="00C1421E">
        <w:rPr>
          <w:szCs w:val="24"/>
          <w:lang w:val="en-GB"/>
        </w:rPr>
        <w:t xml:space="preserve">TSB supports the achievement of Objective T.5 of the Strategic Plan of the Union, </w:t>
      </w:r>
      <w:r w:rsidR="00CA2D85" w:rsidRPr="00C1421E">
        <w:rPr>
          <w:szCs w:val="24"/>
          <w:lang w:val="en-GB"/>
        </w:rPr>
        <w:t>"</w:t>
      </w:r>
      <w:r w:rsidRPr="00C1421E">
        <w:rPr>
          <w:szCs w:val="24"/>
          <w:lang w:val="en-GB"/>
        </w:rPr>
        <w:t>Extend and facilitate cooperation with international, regional and national standardization bodies</w:t>
      </w:r>
      <w:r w:rsidR="00CA2D85" w:rsidRPr="00C1421E">
        <w:rPr>
          <w:szCs w:val="24"/>
          <w:lang w:val="en-GB"/>
        </w:rPr>
        <w:t>"</w:t>
      </w:r>
      <w:r w:rsidRPr="00C1421E">
        <w:rPr>
          <w:szCs w:val="24"/>
          <w:lang w:val="en-GB"/>
        </w:rPr>
        <w:t>, by facilitating an ITU-T presence in activities arranged by other standards bodies, with a view to promoting other standards bodies</w:t>
      </w:r>
      <w:r w:rsidR="00CA2D85" w:rsidRPr="00C1421E">
        <w:rPr>
          <w:szCs w:val="24"/>
          <w:lang w:val="en-GB"/>
        </w:rPr>
        <w:t>'</w:t>
      </w:r>
      <w:r w:rsidRPr="00C1421E">
        <w:rPr>
          <w:szCs w:val="24"/>
          <w:lang w:val="en-GB"/>
        </w:rPr>
        <w:t xml:space="preserve"> engagement with </w:t>
      </w:r>
      <w:r w:rsidR="007F6DBC" w:rsidRPr="00A94875">
        <w:rPr>
          <w:szCs w:val="24"/>
          <w:lang w:val="en-GB"/>
        </w:rPr>
        <w:t xml:space="preserve">ITU-T workings groups, workshops and related ITU-T collaboration initiatives. </w:t>
      </w:r>
      <w:r w:rsidR="007F6DBC" w:rsidRPr="004B6D09">
        <w:rPr>
          <w:szCs w:val="24"/>
          <w:lang w:val="en-GB"/>
        </w:rPr>
        <w:t>TSB’s efforts in this regard h</w:t>
      </w:r>
      <w:r w:rsidR="005A6B40" w:rsidRPr="004B6D09">
        <w:rPr>
          <w:szCs w:val="24"/>
          <w:lang w:val="en-GB"/>
        </w:rPr>
        <w:t xml:space="preserve">ave strengthened the exchange of information between </w:t>
      </w:r>
      <w:r w:rsidR="005A6B40" w:rsidRPr="000C01CD">
        <w:rPr>
          <w:szCs w:val="24"/>
          <w:lang w:val="en-GB"/>
        </w:rPr>
        <w:t xml:space="preserve">ITU-T and national and regional standards, supporting closer cooperation </w:t>
      </w:r>
      <w:r w:rsidR="00C570DF" w:rsidRPr="000C01CD">
        <w:rPr>
          <w:szCs w:val="24"/>
          <w:lang w:val="en-GB"/>
        </w:rPr>
        <w:t>and</w:t>
      </w:r>
      <w:r w:rsidR="005A6B40" w:rsidRPr="000C01CD">
        <w:rPr>
          <w:szCs w:val="24"/>
          <w:lang w:val="en-GB"/>
        </w:rPr>
        <w:t xml:space="preserve"> collaboration.</w:t>
      </w:r>
      <w:r w:rsidR="005A6B40">
        <w:rPr>
          <w:szCs w:val="24"/>
          <w:lang w:val="en-GB"/>
        </w:rPr>
        <w:t xml:space="preserve"> </w:t>
      </w:r>
    </w:p>
    <w:p w14:paraId="2B012DA8" w14:textId="1936CB1D" w:rsidR="006944F8" w:rsidRPr="00C1421E" w:rsidRDefault="000A5F8C" w:rsidP="009E5FFA">
      <w:pPr>
        <w:rPr>
          <w:szCs w:val="24"/>
          <w:lang w:val="en-GB"/>
        </w:rPr>
      </w:pPr>
      <w:r w:rsidRPr="00C1421E">
        <w:rPr>
          <w:szCs w:val="24"/>
          <w:lang w:val="en-GB"/>
        </w:rPr>
        <w:t>Activities with notable participation from other standards bodies include:</w:t>
      </w:r>
    </w:p>
    <w:p w14:paraId="1534A332" w14:textId="00A3D0D3" w:rsidR="00B638C4" w:rsidRPr="00C95497" w:rsidRDefault="00267090" w:rsidP="00C95497">
      <w:pPr>
        <w:numPr>
          <w:ilvl w:val="0"/>
          <w:numId w:val="58"/>
        </w:numPr>
        <w:rPr>
          <w:rFonts w:eastAsiaTheme="majorEastAsia"/>
        </w:rPr>
      </w:pPr>
      <w:hyperlink r:id="rId116" w:history="1">
        <w:r w:rsidR="00B638C4" w:rsidRPr="00C95497">
          <w:rPr>
            <w:rStyle w:val="Hyperlink"/>
          </w:rPr>
          <w:t>ITU</w:t>
        </w:r>
        <w:r w:rsidR="005A6B40">
          <w:rPr>
            <w:rStyle w:val="Hyperlink"/>
          </w:rPr>
          <w:t>-</w:t>
        </w:r>
        <w:r w:rsidR="00B638C4" w:rsidRPr="00C95497">
          <w:rPr>
            <w:rStyle w:val="Hyperlink"/>
          </w:rPr>
          <w:t xml:space="preserve">WHO Workshop on </w:t>
        </w:r>
        <w:r w:rsidR="00CA2D85" w:rsidRPr="00C95497">
          <w:rPr>
            <w:rStyle w:val="Hyperlink"/>
          </w:rPr>
          <w:t>"</w:t>
        </w:r>
        <w:r w:rsidR="00B638C4" w:rsidRPr="00C95497">
          <w:rPr>
            <w:rStyle w:val="Hyperlink"/>
          </w:rPr>
          <w:t>Artificial Intelligence for Health</w:t>
        </w:r>
        <w:r w:rsidR="00CA2D85" w:rsidRPr="00C95497">
          <w:rPr>
            <w:rStyle w:val="Hyperlink"/>
          </w:rPr>
          <w:t>"</w:t>
        </w:r>
      </w:hyperlink>
      <w:r w:rsidR="00B638C4" w:rsidRPr="00C95497">
        <w:t>, Geneva, Switzerland, 29 May 2019.</w:t>
      </w:r>
    </w:p>
    <w:p w14:paraId="66AF51CB" w14:textId="278ECD73" w:rsidR="00294F3D" w:rsidRPr="00C95497" w:rsidRDefault="00267090" w:rsidP="00C95497">
      <w:pPr>
        <w:numPr>
          <w:ilvl w:val="0"/>
          <w:numId w:val="58"/>
        </w:numPr>
        <w:rPr>
          <w:rFonts w:eastAsiaTheme="majorEastAsia"/>
        </w:rPr>
      </w:pPr>
      <w:hyperlink r:id="rId117" w:history="1">
        <w:r w:rsidR="005A6B40">
          <w:rPr>
            <w:rStyle w:val="Hyperlink"/>
          </w:rPr>
          <w:t>A</w:t>
        </w:r>
        <w:r w:rsidR="00294F3D" w:rsidRPr="00C95497">
          <w:rPr>
            <w:rStyle w:val="Hyperlink"/>
          </w:rPr>
          <w:t>I for Good Global Summit</w:t>
        </w:r>
      </w:hyperlink>
      <w:r w:rsidR="00294F3D" w:rsidRPr="00C95497">
        <w:t>, Geneva, Switzerland, 28-31 May 2019.</w:t>
      </w:r>
    </w:p>
    <w:p w14:paraId="18500BE5" w14:textId="1D47326F" w:rsidR="00294F3D" w:rsidRPr="00C95497" w:rsidRDefault="00267090" w:rsidP="00C95497">
      <w:pPr>
        <w:numPr>
          <w:ilvl w:val="0"/>
          <w:numId w:val="58"/>
        </w:numPr>
        <w:rPr>
          <w:rFonts w:eastAsiaTheme="majorEastAsia"/>
        </w:rPr>
      </w:pPr>
      <w:hyperlink r:id="rId118" w:history="1">
        <w:r w:rsidR="00294F3D" w:rsidRPr="00C95497">
          <w:rPr>
            <w:rStyle w:val="Hyperlink"/>
          </w:rPr>
          <w:t>ITU</w:t>
        </w:r>
        <w:r w:rsidR="005A6B40">
          <w:rPr>
            <w:rStyle w:val="Hyperlink"/>
          </w:rPr>
          <w:t>-</w:t>
        </w:r>
        <w:r w:rsidR="00294F3D" w:rsidRPr="00C95497">
          <w:rPr>
            <w:rStyle w:val="Hyperlink"/>
          </w:rPr>
          <w:t xml:space="preserve">WHO Workshop on </w:t>
        </w:r>
        <w:r w:rsidR="00CA2D85" w:rsidRPr="00C95497">
          <w:rPr>
            <w:rStyle w:val="Hyperlink"/>
          </w:rPr>
          <w:t>"</w:t>
        </w:r>
        <w:r w:rsidR="00294F3D" w:rsidRPr="00C95497">
          <w:rPr>
            <w:rStyle w:val="Hyperlink"/>
          </w:rPr>
          <w:t>Artificial Intelligence for Health</w:t>
        </w:r>
        <w:r w:rsidR="00CA2D85" w:rsidRPr="00C95497">
          <w:rPr>
            <w:rStyle w:val="Hyperlink"/>
          </w:rPr>
          <w:t>"</w:t>
        </w:r>
      </w:hyperlink>
      <w:r w:rsidR="00294F3D" w:rsidRPr="00C95497">
        <w:t>, Shanghai, China, 1 April 2019.</w:t>
      </w:r>
    </w:p>
    <w:p w14:paraId="6AAEE034" w14:textId="7FA4DF13" w:rsidR="00630820" w:rsidRPr="00C95497" w:rsidRDefault="00267090" w:rsidP="00C95497">
      <w:pPr>
        <w:numPr>
          <w:ilvl w:val="0"/>
          <w:numId w:val="58"/>
        </w:numPr>
        <w:rPr>
          <w:rFonts w:eastAsiaTheme="majorEastAsia"/>
        </w:rPr>
      </w:pPr>
      <w:hyperlink r:id="rId119" w:history="1">
        <w:r w:rsidR="00D30DEC" w:rsidRPr="00C95497">
          <w:rPr>
            <w:rStyle w:val="Hyperlink"/>
            <w:rFonts w:eastAsiaTheme="majorEastAsia"/>
          </w:rPr>
          <w:t>ITU</w:t>
        </w:r>
        <w:r w:rsidR="005A6B40">
          <w:rPr>
            <w:rStyle w:val="Hyperlink"/>
            <w:rFonts w:eastAsiaTheme="majorEastAsia"/>
          </w:rPr>
          <w:t>-</w:t>
        </w:r>
        <w:r w:rsidR="00D30DEC" w:rsidRPr="00C95497">
          <w:rPr>
            <w:rStyle w:val="Hyperlink"/>
            <w:rFonts w:eastAsiaTheme="majorEastAsia"/>
          </w:rPr>
          <w:t xml:space="preserve">UNECE </w:t>
        </w:r>
        <w:r w:rsidR="00630820" w:rsidRPr="00C95497">
          <w:rPr>
            <w:rStyle w:val="Hyperlink"/>
            <w:rFonts w:eastAsiaTheme="majorEastAsia"/>
          </w:rPr>
          <w:t>Symposium on the Future Networked Car</w:t>
        </w:r>
      </w:hyperlink>
      <w:r w:rsidR="005A6B40">
        <w:rPr>
          <w:rFonts w:eastAsiaTheme="majorEastAsia"/>
        </w:rPr>
        <w:t xml:space="preserve">, </w:t>
      </w:r>
      <w:r w:rsidR="00630820" w:rsidRPr="00C95497">
        <w:rPr>
          <w:rFonts w:eastAsiaTheme="majorEastAsia"/>
        </w:rPr>
        <w:t>7 March 2019, Geneva, Switzerland</w:t>
      </w:r>
    </w:p>
    <w:p w14:paraId="2DF21659" w14:textId="730ED1B0" w:rsidR="00C36096" w:rsidRPr="00C95497" w:rsidRDefault="00267090" w:rsidP="00C95497">
      <w:pPr>
        <w:numPr>
          <w:ilvl w:val="0"/>
          <w:numId w:val="58"/>
        </w:numPr>
        <w:rPr>
          <w:rFonts w:eastAsiaTheme="majorEastAsia"/>
        </w:rPr>
      </w:pPr>
      <w:hyperlink r:id="rId120" w:history="1">
        <w:r w:rsidR="00C36096" w:rsidRPr="00C95497">
          <w:rPr>
            <w:rStyle w:val="Hyperlink"/>
          </w:rPr>
          <w:t xml:space="preserve">ITU-NGMN Conference </w:t>
        </w:r>
        <w:r w:rsidR="005A6B40">
          <w:rPr>
            <w:rStyle w:val="Hyperlink"/>
          </w:rPr>
          <w:t xml:space="preserve">on </w:t>
        </w:r>
        <w:r w:rsidR="00CA2D85" w:rsidRPr="00C95497">
          <w:rPr>
            <w:rStyle w:val="Hyperlink"/>
          </w:rPr>
          <w:t>"</w:t>
        </w:r>
        <w:r w:rsidR="00C36096" w:rsidRPr="00C95497">
          <w:rPr>
            <w:rStyle w:val="Hyperlink"/>
          </w:rPr>
          <w:t>Licensing practices in 5G industry segments</w:t>
        </w:r>
        <w:r w:rsidR="00CA2D85" w:rsidRPr="00C95497">
          <w:rPr>
            <w:rStyle w:val="Hyperlink"/>
          </w:rPr>
          <w:t>"</w:t>
        </w:r>
      </w:hyperlink>
      <w:r w:rsidR="00C36096" w:rsidRPr="00C95497">
        <w:t>, Geneva, Switzerland, 29-30 January 2019.</w:t>
      </w:r>
    </w:p>
    <w:p w14:paraId="505701A5" w14:textId="1A8F3B76" w:rsidR="00D30DEC" w:rsidRPr="00C95497" w:rsidRDefault="00267090" w:rsidP="00C95497">
      <w:pPr>
        <w:numPr>
          <w:ilvl w:val="0"/>
          <w:numId w:val="58"/>
        </w:numPr>
        <w:rPr>
          <w:rFonts w:eastAsiaTheme="majorEastAsia"/>
        </w:rPr>
      </w:pPr>
      <w:hyperlink r:id="rId121" w:history="1">
        <w:r w:rsidR="00D30DEC" w:rsidRPr="00C95497">
          <w:rPr>
            <w:rStyle w:val="Hyperlink"/>
            <w:rFonts w:eastAsiaTheme="majorEastAsia"/>
          </w:rPr>
          <w:t>ITU</w:t>
        </w:r>
        <w:r w:rsidR="005A6B40">
          <w:rPr>
            <w:rStyle w:val="Hyperlink"/>
            <w:rFonts w:eastAsiaTheme="majorEastAsia"/>
          </w:rPr>
          <w:t>-</w:t>
        </w:r>
        <w:r w:rsidR="00D30DEC" w:rsidRPr="00C95497">
          <w:rPr>
            <w:rStyle w:val="Hyperlink"/>
            <w:rFonts w:eastAsiaTheme="majorEastAsia"/>
          </w:rPr>
          <w:t>TTC Workshop on the Future of Vehicular Multimedia</w:t>
        </w:r>
      </w:hyperlink>
      <w:r w:rsidR="00D30DEC" w:rsidRPr="00C95497">
        <w:rPr>
          <w:rFonts w:eastAsiaTheme="majorEastAsia"/>
        </w:rPr>
        <w:t>, Tokyo, Japan, 23 January 2019</w:t>
      </w:r>
      <w:r w:rsidR="00470641" w:rsidRPr="00C95497">
        <w:rPr>
          <w:rFonts w:eastAsiaTheme="majorEastAsia"/>
        </w:rPr>
        <w:t>.</w:t>
      </w:r>
    </w:p>
    <w:p w14:paraId="5CA91CBC" w14:textId="1540F3D1" w:rsidR="00D30DEC" w:rsidRPr="00C95497" w:rsidRDefault="00267090" w:rsidP="00C95497">
      <w:pPr>
        <w:numPr>
          <w:ilvl w:val="0"/>
          <w:numId w:val="58"/>
        </w:numPr>
        <w:rPr>
          <w:rFonts w:eastAsiaTheme="majorEastAsia"/>
        </w:rPr>
      </w:pPr>
      <w:hyperlink r:id="rId122" w:history="1">
        <w:r w:rsidR="000C2F70" w:rsidRPr="00C95497">
          <w:rPr>
            <w:rStyle w:val="Hyperlink"/>
          </w:rPr>
          <w:t>ITU</w:t>
        </w:r>
        <w:r w:rsidR="005A6B40">
          <w:rPr>
            <w:rStyle w:val="Hyperlink"/>
          </w:rPr>
          <w:t>-</w:t>
        </w:r>
        <w:r w:rsidR="000C2F70" w:rsidRPr="00C95497">
          <w:rPr>
            <w:rStyle w:val="Hyperlink"/>
          </w:rPr>
          <w:t xml:space="preserve">WHO Workshop on </w:t>
        </w:r>
        <w:r w:rsidR="00CA2D85" w:rsidRPr="00C95497">
          <w:rPr>
            <w:rStyle w:val="Hyperlink"/>
          </w:rPr>
          <w:t>"</w:t>
        </w:r>
        <w:r w:rsidR="000C2F70" w:rsidRPr="00C95497">
          <w:rPr>
            <w:rStyle w:val="Hyperlink"/>
          </w:rPr>
          <w:t>Artificial Intelligence for Health</w:t>
        </w:r>
        <w:r w:rsidR="00CA2D85" w:rsidRPr="00C95497">
          <w:rPr>
            <w:rStyle w:val="Hyperlink"/>
          </w:rPr>
          <w:t>"</w:t>
        </w:r>
      </w:hyperlink>
      <w:r w:rsidR="000C2F70" w:rsidRPr="00C95497">
        <w:t>, Lausanne, Switzerland, 22 January 2019.</w:t>
      </w:r>
    </w:p>
    <w:p w14:paraId="2EC1EE98" w14:textId="77D65757" w:rsidR="000C2F70" w:rsidRPr="00C95497" w:rsidRDefault="00267090" w:rsidP="00C95497">
      <w:pPr>
        <w:numPr>
          <w:ilvl w:val="0"/>
          <w:numId w:val="58"/>
        </w:numPr>
        <w:rPr>
          <w:rFonts w:eastAsiaTheme="majorEastAsia"/>
        </w:rPr>
      </w:pPr>
      <w:hyperlink r:id="rId123" w:history="1">
        <w:r w:rsidR="0096094E" w:rsidRPr="00C95497">
          <w:rPr>
            <w:rStyle w:val="Hyperlink"/>
          </w:rPr>
          <w:t>World Smart City Forum</w:t>
        </w:r>
      </w:hyperlink>
      <w:r w:rsidR="0096094E" w:rsidRPr="00C95497">
        <w:t xml:space="preserve">, </w:t>
      </w:r>
      <w:r w:rsidR="0001057B" w:rsidRPr="00C95497">
        <w:t>organized by IEC, ISO and ITU</w:t>
      </w:r>
      <w:r w:rsidR="001B31AB">
        <w:t xml:space="preserve"> in </w:t>
      </w:r>
      <w:r w:rsidR="0096094E" w:rsidRPr="00C95497">
        <w:t>Santa Fe, Argentina, 29 November 2018.</w:t>
      </w:r>
    </w:p>
    <w:p w14:paraId="37E9F22C" w14:textId="4777EF4A" w:rsidR="00160A54" w:rsidRPr="00C95497" w:rsidRDefault="00267090" w:rsidP="00C95497">
      <w:pPr>
        <w:numPr>
          <w:ilvl w:val="0"/>
          <w:numId w:val="58"/>
        </w:numPr>
        <w:rPr>
          <w:rFonts w:eastAsiaTheme="majorEastAsia"/>
        </w:rPr>
      </w:pPr>
      <w:hyperlink r:id="rId124" w:history="1">
        <w:r w:rsidR="00160A54" w:rsidRPr="00C95497">
          <w:rPr>
            <w:rStyle w:val="Hyperlink"/>
          </w:rPr>
          <w:t>ITU</w:t>
        </w:r>
        <w:r w:rsidR="001B31AB">
          <w:rPr>
            <w:rStyle w:val="Hyperlink"/>
          </w:rPr>
          <w:t>-</w:t>
        </w:r>
        <w:r w:rsidR="00160A54" w:rsidRPr="00C95497">
          <w:rPr>
            <w:rStyle w:val="Hyperlink"/>
          </w:rPr>
          <w:t xml:space="preserve">SAE Workshop on </w:t>
        </w:r>
        <w:r w:rsidR="00CA2D85" w:rsidRPr="00C95497">
          <w:rPr>
            <w:rStyle w:val="Hyperlink"/>
          </w:rPr>
          <w:t>"</w:t>
        </w:r>
        <w:r w:rsidR="00160A54" w:rsidRPr="00C95497">
          <w:rPr>
            <w:rStyle w:val="Hyperlink"/>
          </w:rPr>
          <w:t>How communications will change vehicles and transport</w:t>
        </w:r>
        <w:r w:rsidR="00CA2D85" w:rsidRPr="00C95497">
          <w:rPr>
            <w:rStyle w:val="Hyperlink"/>
          </w:rPr>
          <w:t>"</w:t>
        </w:r>
      </w:hyperlink>
      <w:r w:rsidR="00160A54" w:rsidRPr="00C95497">
        <w:t>, Detroit, U</w:t>
      </w:r>
      <w:r w:rsidR="003D4F6B">
        <w:t>.S.</w:t>
      </w:r>
      <w:r w:rsidR="00160A54" w:rsidRPr="00C95497">
        <w:t>, 8-9 October 2018.</w:t>
      </w:r>
    </w:p>
    <w:p w14:paraId="2674C748" w14:textId="582C24C4" w:rsidR="00934302" w:rsidRPr="00C1421E" w:rsidRDefault="00934302" w:rsidP="009E5FFA">
      <w:pPr>
        <w:rPr>
          <w:color w:val="000000"/>
          <w:szCs w:val="24"/>
          <w:lang w:val="en-GB"/>
        </w:rPr>
      </w:pPr>
      <w:r w:rsidRPr="00C1421E">
        <w:rPr>
          <w:color w:val="000000"/>
          <w:szCs w:val="24"/>
          <w:lang w:val="en-GB"/>
        </w:rPr>
        <w:t xml:space="preserve">TSB </w:t>
      </w:r>
      <w:r w:rsidR="00E100E1" w:rsidRPr="00C1421E">
        <w:rPr>
          <w:color w:val="000000"/>
          <w:szCs w:val="24"/>
          <w:lang w:val="en-GB"/>
        </w:rPr>
        <w:t>continues to increase its engagement with the activities of other standards bodies, including</w:t>
      </w:r>
      <w:r w:rsidRPr="00C1421E">
        <w:rPr>
          <w:color w:val="000000"/>
          <w:szCs w:val="24"/>
          <w:lang w:val="en-GB"/>
        </w:rPr>
        <w:t>:</w:t>
      </w:r>
    </w:p>
    <w:p w14:paraId="0D5D78F4" w14:textId="11874F3D" w:rsidR="00D977B5" w:rsidRPr="00C1421E" w:rsidRDefault="00D977B5" w:rsidP="00D977B5">
      <w:pPr>
        <w:rPr>
          <w:szCs w:val="24"/>
          <w:lang w:val="en-GB"/>
        </w:rPr>
      </w:pPr>
      <w:r w:rsidRPr="00C1421E">
        <w:rPr>
          <w:b/>
          <w:bCs/>
          <w:szCs w:val="24"/>
          <w:lang w:val="en-GB"/>
        </w:rPr>
        <w:lastRenderedPageBreak/>
        <w:t>CEN</w:t>
      </w:r>
      <w:r w:rsidRPr="00C1421E">
        <w:rPr>
          <w:szCs w:val="24"/>
          <w:lang w:val="en-GB"/>
        </w:rPr>
        <w:t>-</w:t>
      </w:r>
      <w:r w:rsidRPr="00C1421E">
        <w:rPr>
          <w:b/>
          <w:bCs/>
          <w:szCs w:val="24"/>
          <w:lang w:val="en-GB"/>
        </w:rPr>
        <w:t>CENELEC:</w:t>
      </w:r>
      <w:r w:rsidRPr="00C1421E">
        <w:rPr>
          <w:bCs/>
          <w:szCs w:val="24"/>
          <w:lang w:val="en-GB"/>
        </w:rPr>
        <w:t xml:space="preserve"> </w:t>
      </w:r>
      <w:r w:rsidRPr="00C1421E">
        <w:rPr>
          <w:szCs w:val="24"/>
          <w:lang w:val="en-GB"/>
        </w:rPr>
        <w:t>TSB participate</w:t>
      </w:r>
      <w:r w:rsidR="001B31AB">
        <w:rPr>
          <w:szCs w:val="24"/>
          <w:lang w:val="en-GB"/>
        </w:rPr>
        <w:t>d</w:t>
      </w:r>
      <w:r w:rsidRPr="00C1421E">
        <w:rPr>
          <w:szCs w:val="24"/>
          <w:lang w:val="en-GB"/>
        </w:rPr>
        <w:t xml:space="preserve"> in </w:t>
      </w:r>
      <w:r w:rsidR="001B31AB">
        <w:rPr>
          <w:szCs w:val="24"/>
          <w:lang w:val="en-GB"/>
        </w:rPr>
        <w:t xml:space="preserve">the </w:t>
      </w:r>
      <w:r w:rsidRPr="00C1421E">
        <w:rPr>
          <w:szCs w:val="24"/>
          <w:lang w:val="en-GB"/>
        </w:rPr>
        <w:t>CEN</w:t>
      </w:r>
      <w:r w:rsidR="001B31AB">
        <w:rPr>
          <w:szCs w:val="24"/>
          <w:lang w:val="en-GB"/>
        </w:rPr>
        <w:t>-</w:t>
      </w:r>
      <w:r w:rsidRPr="00C1421E">
        <w:rPr>
          <w:szCs w:val="24"/>
          <w:lang w:val="en-GB"/>
        </w:rPr>
        <w:t xml:space="preserve">CENELEC Annual Meeting in Bucharest, Romania, 5-7 June 2018. </w:t>
      </w:r>
    </w:p>
    <w:p w14:paraId="541E5BAA" w14:textId="7F02D62E" w:rsidR="00D977B5" w:rsidRPr="00C1421E" w:rsidRDefault="00D977B5" w:rsidP="00D977B5">
      <w:pPr>
        <w:rPr>
          <w:szCs w:val="24"/>
          <w:lang w:val="en-GB"/>
        </w:rPr>
      </w:pPr>
      <w:r w:rsidRPr="00C1421E">
        <w:rPr>
          <w:b/>
          <w:bCs/>
          <w:szCs w:val="24"/>
          <w:lang w:val="en-GB"/>
        </w:rPr>
        <w:t>Pan American Standards Commission (COPANT):</w:t>
      </w:r>
      <w:r w:rsidRPr="00C1421E">
        <w:rPr>
          <w:szCs w:val="24"/>
          <w:lang w:val="en-GB"/>
        </w:rPr>
        <w:t xml:space="preserve"> TSB participated in COPANT</w:t>
      </w:r>
      <w:r w:rsidR="00CA2D85" w:rsidRPr="00C1421E">
        <w:rPr>
          <w:szCs w:val="24"/>
          <w:lang w:val="en-GB"/>
        </w:rPr>
        <w:t>'</w:t>
      </w:r>
      <w:r w:rsidRPr="00C1421E">
        <w:rPr>
          <w:szCs w:val="24"/>
          <w:lang w:val="en-GB"/>
        </w:rPr>
        <w:t xml:space="preserve">s Annual General Assembly in Cartegena, Colombia, </w:t>
      </w:r>
      <w:r w:rsidR="001B31AB">
        <w:rPr>
          <w:szCs w:val="24"/>
          <w:lang w:val="en-GB"/>
        </w:rPr>
        <w:t>5-8</w:t>
      </w:r>
      <w:r w:rsidRPr="00C1421E">
        <w:rPr>
          <w:szCs w:val="24"/>
          <w:lang w:val="en-GB"/>
        </w:rPr>
        <w:t xml:space="preserve"> May 2019. </w:t>
      </w:r>
    </w:p>
    <w:p w14:paraId="2BAF6BAA" w14:textId="4D220090" w:rsidR="00D977B5" w:rsidRPr="00C1421E" w:rsidRDefault="00D977B5" w:rsidP="00D977B5">
      <w:pPr>
        <w:rPr>
          <w:lang w:val="en-GB"/>
        </w:rPr>
      </w:pPr>
      <w:r w:rsidRPr="00C1421E">
        <w:rPr>
          <w:b/>
          <w:bCs/>
          <w:szCs w:val="24"/>
          <w:lang w:val="en-GB"/>
        </w:rPr>
        <w:t>Pacific Area Standards Congress (PASC)</w:t>
      </w:r>
      <w:r w:rsidRPr="00C1421E">
        <w:rPr>
          <w:szCs w:val="24"/>
          <w:lang w:val="en-GB"/>
        </w:rPr>
        <w:t xml:space="preserve">: </w:t>
      </w:r>
      <w:r w:rsidR="001B31AB">
        <w:rPr>
          <w:szCs w:val="24"/>
          <w:lang w:val="en-GB"/>
        </w:rPr>
        <w:t xml:space="preserve">TSB </w:t>
      </w:r>
      <w:r w:rsidRPr="00C1421E">
        <w:rPr>
          <w:lang w:val="en-GB"/>
        </w:rPr>
        <w:t>participated in the PASC Annual General Meeting in Welli</w:t>
      </w:r>
      <w:r w:rsidR="001B31AB">
        <w:rPr>
          <w:lang w:val="en-GB"/>
        </w:rPr>
        <w:t>n</w:t>
      </w:r>
      <w:r w:rsidRPr="00C1421E">
        <w:rPr>
          <w:lang w:val="en-GB"/>
        </w:rPr>
        <w:t>gton, New Zealand, 8</w:t>
      </w:r>
      <w:r w:rsidR="001B31AB">
        <w:rPr>
          <w:lang w:val="en-GB"/>
        </w:rPr>
        <w:t>-</w:t>
      </w:r>
      <w:r w:rsidRPr="00C1421E">
        <w:rPr>
          <w:lang w:val="en-GB"/>
        </w:rPr>
        <w:t xml:space="preserve">12 April 2019. </w:t>
      </w:r>
    </w:p>
    <w:p w14:paraId="4AC2F8C6" w14:textId="638CFB2D" w:rsidR="00D977B5" w:rsidRPr="00C1421E" w:rsidRDefault="00D977B5" w:rsidP="00D977B5">
      <w:pPr>
        <w:rPr>
          <w:color w:val="000000"/>
          <w:szCs w:val="24"/>
          <w:lang w:val="en-GB"/>
        </w:rPr>
      </w:pPr>
      <w:r w:rsidRPr="00C1421E">
        <w:rPr>
          <w:b/>
          <w:bCs/>
          <w:szCs w:val="24"/>
          <w:lang w:val="en-GB"/>
        </w:rPr>
        <w:t>African Organization for Standardization (ARSO):</w:t>
      </w:r>
      <w:r w:rsidRPr="00C1421E">
        <w:rPr>
          <w:szCs w:val="24"/>
          <w:lang w:val="en-GB"/>
        </w:rPr>
        <w:t xml:space="preserve"> TSB participated in the ARSO General Assembly </w:t>
      </w:r>
      <w:r w:rsidR="001B31AB">
        <w:rPr>
          <w:szCs w:val="24"/>
          <w:lang w:val="en-GB"/>
        </w:rPr>
        <w:t>in Nairobi, Kenya, 17-</w:t>
      </w:r>
      <w:r w:rsidR="001B31AB" w:rsidRPr="00C1421E">
        <w:rPr>
          <w:szCs w:val="24"/>
          <w:lang w:val="en-GB"/>
        </w:rPr>
        <w:t>19 June 2019</w:t>
      </w:r>
      <w:r w:rsidR="001B31AB">
        <w:rPr>
          <w:szCs w:val="24"/>
          <w:lang w:val="en-GB"/>
        </w:rPr>
        <w:t xml:space="preserve">, where ITU and ARSO signed a </w:t>
      </w:r>
      <w:r w:rsidRPr="00C1421E">
        <w:rPr>
          <w:szCs w:val="24"/>
          <w:lang w:val="en-GB"/>
        </w:rPr>
        <w:t xml:space="preserve">Cooperation Agreement </w:t>
      </w:r>
      <w:r w:rsidR="001B31AB">
        <w:rPr>
          <w:szCs w:val="24"/>
          <w:lang w:val="en-GB"/>
        </w:rPr>
        <w:t>(</w:t>
      </w:r>
      <w:r w:rsidR="001B31AB" w:rsidRPr="008011D6">
        <w:rPr>
          <w:szCs w:val="24"/>
          <w:lang w:val="en-GB"/>
        </w:rPr>
        <w:t>see section 6.4</w:t>
      </w:r>
      <w:r w:rsidR="001B31AB">
        <w:rPr>
          <w:szCs w:val="24"/>
          <w:lang w:val="en-GB"/>
        </w:rPr>
        <w:t>)</w:t>
      </w:r>
      <w:r w:rsidRPr="00C1421E">
        <w:rPr>
          <w:szCs w:val="24"/>
          <w:lang w:val="en-GB"/>
        </w:rPr>
        <w:t>. ITU</w:t>
      </w:r>
      <w:r w:rsidR="001B31AB">
        <w:rPr>
          <w:szCs w:val="24"/>
          <w:lang w:val="en-GB"/>
        </w:rPr>
        <w:t>’s</w:t>
      </w:r>
      <w:r w:rsidRPr="00C1421E">
        <w:rPr>
          <w:szCs w:val="24"/>
          <w:lang w:val="en-GB"/>
        </w:rPr>
        <w:t xml:space="preserve"> Secretary</w:t>
      </w:r>
      <w:r w:rsidR="001B31AB">
        <w:rPr>
          <w:szCs w:val="24"/>
          <w:lang w:val="en-GB"/>
        </w:rPr>
        <w:t>-</w:t>
      </w:r>
      <w:r w:rsidRPr="00C1421E">
        <w:rPr>
          <w:szCs w:val="24"/>
          <w:lang w:val="en-GB"/>
        </w:rPr>
        <w:t>General</w:t>
      </w:r>
      <w:r w:rsidR="001B31AB">
        <w:rPr>
          <w:szCs w:val="24"/>
          <w:lang w:val="en-GB"/>
        </w:rPr>
        <w:t xml:space="preserve"> and the senior management of BR and </w:t>
      </w:r>
      <w:r w:rsidRPr="00C1421E">
        <w:rPr>
          <w:szCs w:val="24"/>
          <w:lang w:val="en-GB"/>
        </w:rPr>
        <w:t xml:space="preserve">TSB </w:t>
      </w:r>
      <w:r w:rsidRPr="00C1421E">
        <w:rPr>
          <w:color w:val="000000"/>
          <w:szCs w:val="24"/>
          <w:lang w:val="en-GB"/>
        </w:rPr>
        <w:t xml:space="preserve">welcomed </w:t>
      </w:r>
      <w:r w:rsidR="001B31AB">
        <w:rPr>
          <w:color w:val="000000"/>
          <w:szCs w:val="24"/>
          <w:lang w:val="en-GB"/>
        </w:rPr>
        <w:t xml:space="preserve">the </w:t>
      </w:r>
      <w:r w:rsidRPr="00C1421E">
        <w:rPr>
          <w:color w:val="000000"/>
          <w:szCs w:val="24"/>
          <w:lang w:val="en-GB"/>
        </w:rPr>
        <w:t>ARSO Secretary</w:t>
      </w:r>
      <w:r w:rsidR="001B31AB">
        <w:rPr>
          <w:color w:val="000000"/>
          <w:szCs w:val="24"/>
          <w:lang w:val="en-GB"/>
        </w:rPr>
        <w:t>-</w:t>
      </w:r>
      <w:r w:rsidRPr="00C1421E">
        <w:rPr>
          <w:color w:val="000000"/>
          <w:szCs w:val="24"/>
          <w:lang w:val="en-GB"/>
        </w:rPr>
        <w:t xml:space="preserve">General </w:t>
      </w:r>
      <w:r w:rsidR="001B31AB">
        <w:rPr>
          <w:color w:val="000000"/>
          <w:szCs w:val="24"/>
          <w:lang w:val="en-GB"/>
        </w:rPr>
        <w:t xml:space="preserve">for an </w:t>
      </w:r>
      <w:r w:rsidRPr="00C1421E">
        <w:rPr>
          <w:color w:val="000000"/>
          <w:szCs w:val="24"/>
          <w:lang w:val="en-GB"/>
        </w:rPr>
        <w:t>official visit to ITU on 4 July 2019.</w:t>
      </w:r>
    </w:p>
    <w:p w14:paraId="24CF1FE9" w14:textId="2A068F9B" w:rsidR="006944F8" w:rsidRPr="00C1421E" w:rsidRDefault="00D64AF8" w:rsidP="006944F8">
      <w:pPr>
        <w:pStyle w:val="Heading1"/>
      </w:pPr>
      <w:bookmarkStart w:id="99" w:name="_Toc416161356"/>
      <w:bookmarkStart w:id="100" w:name="_Toc438553979"/>
      <w:bookmarkStart w:id="101" w:name="_Toc453929098"/>
      <w:bookmarkStart w:id="102" w:name="_Toc453932969"/>
      <w:bookmarkStart w:id="103" w:name="_Toc454295875"/>
      <w:bookmarkStart w:id="104" w:name="_Toc480527846"/>
      <w:bookmarkStart w:id="105" w:name="_Toc18509756"/>
      <w:r w:rsidRPr="00C1421E">
        <w:rPr>
          <w:rFonts w:eastAsiaTheme="minorEastAsia"/>
        </w:rPr>
        <w:t>7</w:t>
      </w:r>
      <w:r w:rsidR="006944F8" w:rsidRPr="00C1421E">
        <w:rPr>
          <w:rFonts w:eastAsiaTheme="minorEastAsia"/>
        </w:rPr>
        <w:tab/>
      </w:r>
      <w:r w:rsidR="006944F8" w:rsidRPr="00C1421E">
        <w:t>Bridging the standardization gap</w:t>
      </w:r>
      <w:bookmarkStart w:id="106" w:name="_Toc328209623"/>
      <w:bookmarkStart w:id="107" w:name="_Toc337476742"/>
      <w:bookmarkStart w:id="108" w:name="_Toc416161362"/>
      <w:bookmarkStart w:id="109" w:name="_Toc438553985"/>
      <w:bookmarkStart w:id="110" w:name="_Toc453929107"/>
      <w:bookmarkStart w:id="111" w:name="_Toc453932978"/>
      <w:bookmarkStart w:id="112" w:name="_Toc454295884"/>
      <w:bookmarkEnd w:id="99"/>
      <w:bookmarkEnd w:id="100"/>
      <w:bookmarkEnd w:id="101"/>
      <w:bookmarkEnd w:id="102"/>
      <w:bookmarkEnd w:id="103"/>
      <w:bookmarkEnd w:id="104"/>
      <w:bookmarkEnd w:id="105"/>
    </w:p>
    <w:p w14:paraId="3907E1CC" w14:textId="08F54049" w:rsidR="006944F8" w:rsidRPr="001C37A8" w:rsidRDefault="006944F8" w:rsidP="006944F8">
      <w:pPr>
        <w:rPr>
          <w:lang w:val="en-GB"/>
        </w:rPr>
      </w:pPr>
      <w:r w:rsidRPr="001C37A8">
        <w:rPr>
          <w:lang w:val="en-GB"/>
        </w:rPr>
        <w:t>ITU</w:t>
      </w:r>
      <w:r w:rsidR="00CA2D85" w:rsidRPr="001C37A8">
        <w:rPr>
          <w:lang w:val="en-GB"/>
        </w:rPr>
        <w:t>'</w:t>
      </w:r>
      <w:r w:rsidRPr="001C37A8">
        <w:rPr>
          <w:lang w:val="en-GB"/>
        </w:rPr>
        <w:t>s Bridging the Standardization Gap (BSG) programme improves the capacity of developing countries to participate in the development and implementation of international ICT standards.</w:t>
      </w:r>
    </w:p>
    <w:p w14:paraId="7E6E12C4" w14:textId="77777777" w:rsidR="006944F8" w:rsidRPr="001C37A8" w:rsidRDefault="006944F8" w:rsidP="006944F8">
      <w:pPr>
        <w:rPr>
          <w:lang w:val="en-GB"/>
        </w:rPr>
      </w:pPr>
      <w:r w:rsidRPr="001C37A8">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1351FD09" w:rsidR="006944F8" w:rsidRPr="00C1421E" w:rsidRDefault="006944F8" w:rsidP="009E5FFA">
      <w:pPr>
        <w:rPr>
          <w:lang w:val="en-GB"/>
        </w:rPr>
      </w:pPr>
      <w:r w:rsidRPr="00C1421E">
        <w:rPr>
          <w:lang w:val="en-GB"/>
        </w:rPr>
        <w:t xml:space="preserve">The revamped BSG Programme is structured around </w:t>
      </w:r>
      <w:r w:rsidR="00C95497">
        <w:rPr>
          <w:lang w:val="en-GB"/>
        </w:rPr>
        <w:t>five</w:t>
      </w:r>
      <w:r w:rsidRPr="00C1421E">
        <w:rPr>
          <w:lang w:val="en-GB"/>
        </w:rPr>
        <w:t xml:space="preserve"> pillars</w:t>
      </w:r>
      <w:r w:rsidR="000F10CE" w:rsidRPr="00C1421E">
        <w:rPr>
          <w:lang w:val="en-GB"/>
        </w:rPr>
        <w:t xml:space="preserve">, responding to </w:t>
      </w:r>
      <w:r w:rsidRPr="00C1421E">
        <w:rPr>
          <w:lang w:val="en-GB"/>
        </w:rPr>
        <w:t xml:space="preserve">WTSA Resolution 44. The </w:t>
      </w:r>
      <w:r w:rsidR="00C95497">
        <w:rPr>
          <w:lang w:val="en-GB"/>
        </w:rPr>
        <w:t>five</w:t>
      </w:r>
      <w:r w:rsidRPr="00C1421E">
        <w:rPr>
          <w:lang w:val="en-GB"/>
        </w:rPr>
        <w:t xml:space="preserve"> p</w:t>
      </w:r>
      <w:r w:rsidR="005E533F" w:rsidRPr="00C1421E">
        <w:rPr>
          <w:lang w:val="en-GB"/>
        </w:rPr>
        <w:t>illars of the BSG programme are</w:t>
      </w:r>
      <w:r w:rsidRPr="00C1421E">
        <w:rPr>
          <w:lang w:val="en-GB"/>
        </w:rPr>
        <w:t xml:space="preserve">: Engagement, </w:t>
      </w:r>
      <w:r w:rsidR="00E95E52" w:rsidRPr="00C1421E">
        <w:rPr>
          <w:lang w:val="en-GB"/>
        </w:rPr>
        <w:t>k</w:t>
      </w:r>
      <w:r w:rsidRPr="00C1421E">
        <w:rPr>
          <w:lang w:val="en-GB"/>
        </w:rPr>
        <w:t>now-how, community, awareness, and partnering:</w:t>
      </w:r>
    </w:p>
    <w:p w14:paraId="3970AB2E" w14:textId="65533C64" w:rsidR="006944F8" w:rsidRPr="00C1421E" w:rsidRDefault="006944F8" w:rsidP="00416693">
      <w:pPr>
        <w:numPr>
          <w:ilvl w:val="0"/>
          <w:numId w:val="103"/>
        </w:numPr>
        <w:rPr>
          <w:lang w:val="en-GB"/>
        </w:rPr>
      </w:pPr>
      <w:r w:rsidRPr="00C1421E">
        <w:rPr>
          <w:b/>
          <w:bCs/>
          <w:lang w:val="en-GB"/>
        </w:rPr>
        <w:t>Engagement</w:t>
      </w:r>
      <w:r w:rsidRPr="00C1421E">
        <w:rPr>
          <w:lang w:val="en-GB"/>
        </w:rPr>
        <w:t xml:space="preserve"> is about facilitating participation in standards development. This includes fellowship and mentorship programmes and tools for remote participation.</w:t>
      </w:r>
    </w:p>
    <w:p w14:paraId="3263E412" w14:textId="5ED8D7EB" w:rsidR="006944F8" w:rsidRPr="00C1421E" w:rsidRDefault="006944F8" w:rsidP="00416693">
      <w:pPr>
        <w:numPr>
          <w:ilvl w:val="0"/>
          <w:numId w:val="103"/>
        </w:numPr>
        <w:rPr>
          <w:lang w:val="en-GB"/>
        </w:rPr>
      </w:pPr>
      <w:r w:rsidRPr="00C1421E">
        <w:rPr>
          <w:b/>
          <w:bCs/>
          <w:lang w:val="en-GB"/>
        </w:rPr>
        <w:t>Know-how</w:t>
      </w:r>
      <w:r w:rsidRPr="00C1421E">
        <w:rPr>
          <w:lang w:val="en-GB"/>
        </w:rPr>
        <w:t xml:space="preserve"> covers the development of skills and capabilities for standards-making. This includes standards-making effectiveness sessions, video </w:t>
      </w:r>
      <w:r w:rsidR="00E95E52" w:rsidRPr="00C1421E">
        <w:rPr>
          <w:lang w:val="en-GB"/>
        </w:rPr>
        <w:t xml:space="preserve">tutorials </w:t>
      </w:r>
      <w:r w:rsidRPr="00C1421E">
        <w:rPr>
          <w:lang w:val="en-GB"/>
        </w:rPr>
        <w:t>and e-learning courses.</w:t>
      </w:r>
    </w:p>
    <w:p w14:paraId="3D3150A5" w14:textId="0531E112" w:rsidR="006944F8" w:rsidRPr="00C1421E" w:rsidRDefault="006944F8" w:rsidP="00416693">
      <w:pPr>
        <w:numPr>
          <w:ilvl w:val="0"/>
          <w:numId w:val="103"/>
        </w:numPr>
        <w:rPr>
          <w:lang w:val="en-GB"/>
        </w:rPr>
      </w:pPr>
      <w:r w:rsidRPr="00C1421E">
        <w:rPr>
          <w:b/>
          <w:bCs/>
          <w:lang w:val="en-GB"/>
        </w:rPr>
        <w:t>Community</w:t>
      </w:r>
      <w:r w:rsidRPr="00C1421E">
        <w:rPr>
          <w:lang w:val="en-GB"/>
        </w:rPr>
        <w:t xml:space="preserve"> </w:t>
      </w:r>
      <w:r w:rsidR="00E95E52" w:rsidRPr="00C1421E">
        <w:rPr>
          <w:lang w:val="en-GB"/>
        </w:rPr>
        <w:t xml:space="preserve">focused on </w:t>
      </w:r>
      <w:r w:rsidRPr="00C1421E">
        <w:rPr>
          <w:lang w:val="en-GB"/>
        </w:rPr>
        <w:t>empowerment</w:t>
      </w:r>
      <w:r w:rsidR="00E95E52" w:rsidRPr="00C1421E">
        <w:rPr>
          <w:lang w:val="en-GB"/>
        </w:rPr>
        <w:t xml:space="preserve"> </w:t>
      </w:r>
      <w:r w:rsidRPr="00C1421E">
        <w:rPr>
          <w:lang w:val="en-GB"/>
        </w:rPr>
        <w:t xml:space="preserve">at regional and national levels. </w:t>
      </w:r>
      <w:r w:rsidR="00E95E52" w:rsidRPr="00C1421E">
        <w:rPr>
          <w:lang w:val="en-GB"/>
        </w:rPr>
        <w:t xml:space="preserve">Regional Groups within ITU-T Study Groups are a prime example, </w:t>
      </w:r>
      <w:r w:rsidRPr="00C1421E">
        <w:rPr>
          <w:lang w:val="en-GB"/>
        </w:rPr>
        <w:t>ensur</w:t>
      </w:r>
      <w:r w:rsidR="00E95E52" w:rsidRPr="00C1421E">
        <w:rPr>
          <w:lang w:val="en-GB"/>
        </w:rPr>
        <w:t>ing</w:t>
      </w:r>
      <w:r w:rsidRPr="00C1421E">
        <w:rPr>
          <w:lang w:val="en-GB"/>
        </w:rPr>
        <w:t xml:space="preserve"> that standards-making is inclusive of the needs of all regions.</w:t>
      </w:r>
    </w:p>
    <w:p w14:paraId="27EF9612" w14:textId="17D862F5" w:rsidR="006944F8" w:rsidRPr="00C1421E" w:rsidRDefault="006944F8" w:rsidP="00416693">
      <w:pPr>
        <w:numPr>
          <w:ilvl w:val="0"/>
          <w:numId w:val="103"/>
        </w:numPr>
        <w:rPr>
          <w:lang w:val="en-GB"/>
        </w:rPr>
      </w:pPr>
      <w:r w:rsidRPr="00C1421E">
        <w:rPr>
          <w:b/>
          <w:bCs/>
          <w:lang w:val="en-GB"/>
        </w:rPr>
        <w:t>Awareness</w:t>
      </w:r>
      <w:r w:rsidRPr="00C1421E">
        <w:rPr>
          <w:lang w:val="en-GB"/>
        </w:rPr>
        <w:t xml:space="preserve"> covers information sharing, </w:t>
      </w:r>
      <w:r w:rsidR="00E95E52" w:rsidRPr="00C1421E">
        <w:rPr>
          <w:lang w:val="en-GB"/>
        </w:rPr>
        <w:t xml:space="preserve">using </w:t>
      </w:r>
      <w:r w:rsidRPr="00C1421E">
        <w:rPr>
          <w:lang w:val="en-GB"/>
        </w:rPr>
        <w:t>ITU-T publications on a wide range of topics a</w:t>
      </w:r>
      <w:r w:rsidR="00E95E52" w:rsidRPr="00C1421E">
        <w:rPr>
          <w:lang w:val="en-GB"/>
        </w:rPr>
        <w:t>s well as</w:t>
      </w:r>
      <w:r w:rsidRPr="00C1421E">
        <w:rPr>
          <w:lang w:val="en-GB"/>
        </w:rPr>
        <w:t xml:space="preserve"> Regional and Inter-</w:t>
      </w:r>
      <w:r w:rsidR="00E95E52" w:rsidRPr="00C1421E">
        <w:rPr>
          <w:lang w:val="en-GB"/>
        </w:rPr>
        <w:t>R</w:t>
      </w:r>
      <w:r w:rsidRPr="00C1421E">
        <w:rPr>
          <w:lang w:val="en-GB"/>
        </w:rPr>
        <w:t>egional standardization forums.</w:t>
      </w:r>
    </w:p>
    <w:p w14:paraId="2D5CF8FF" w14:textId="77777777" w:rsidR="006944F8" w:rsidRPr="00C1421E" w:rsidRDefault="006944F8" w:rsidP="00416693">
      <w:pPr>
        <w:numPr>
          <w:ilvl w:val="0"/>
          <w:numId w:val="103"/>
        </w:numPr>
        <w:rPr>
          <w:lang w:val="en-GB"/>
        </w:rPr>
      </w:pPr>
      <w:r w:rsidRPr="00C1421E">
        <w:rPr>
          <w:b/>
          <w:bCs/>
          <w:lang w:val="en-GB"/>
        </w:rPr>
        <w:t>Partnering</w:t>
      </w:r>
      <w:r w:rsidRPr="00C1421E">
        <w:rPr>
          <w:lang w:val="en-GB"/>
        </w:rPr>
        <w:t xml:space="preserve"> is about mobilizing resources and fostering collaboration.</w:t>
      </w:r>
    </w:p>
    <w:p w14:paraId="62C91AE9" w14:textId="65777AC2" w:rsidR="006944F8" w:rsidRPr="00C1421E" w:rsidRDefault="006944F8" w:rsidP="006944F8">
      <w:pPr>
        <w:keepNext/>
        <w:jc w:val="center"/>
        <w:rPr>
          <w:highlight w:val="yellow"/>
          <w:lang w:val="en-GB"/>
        </w:rPr>
      </w:pPr>
      <w:r w:rsidRPr="003641D1">
        <w:rPr>
          <w:noProof/>
          <w:lang w:val="en-GB"/>
        </w:rPr>
        <w:drawing>
          <wp:inline distT="0" distB="0" distL="0" distR="0" wp14:anchorId="4B63B8EA" wp14:editId="16A0CCBE">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25"/>
                    <a:stretch>
                      <a:fillRect/>
                    </a:stretch>
                  </pic:blipFill>
                  <pic:spPr>
                    <a:xfrm>
                      <a:off x="0" y="0"/>
                      <a:ext cx="3686432" cy="2188759"/>
                    </a:xfrm>
                    <a:prstGeom prst="rect">
                      <a:avLst/>
                    </a:prstGeom>
                  </pic:spPr>
                </pic:pic>
              </a:graphicData>
            </a:graphic>
          </wp:inline>
        </w:drawing>
      </w:r>
    </w:p>
    <w:p w14:paraId="581A5966" w14:textId="626FEDA6" w:rsidR="006944F8" w:rsidRPr="00C1421E" w:rsidRDefault="006944F8" w:rsidP="00C1421E">
      <w:pPr>
        <w:pStyle w:val="Caption"/>
        <w:rPr>
          <w:lang w:val="en-GB"/>
        </w:rPr>
      </w:pPr>
      <w:r w:rsidRPr="00C1421E">
        <w:rPr>
          <w:lang w:val="en-GB"/>
        </w:rPr>
        <w:t xml:space="preserve">Figure </w:t>
      </w:r>
      <w:r w:rsidRPr="00C1421E">
        <w:rPr>
          <w:lang w:val="en-GB"/>
        </w:rPr>
        <w:fldChar w:fldCharType="begin"/>
      </w:r>
      <w:r w:rsidRPr="00C1421E">
        <w:rPr>
          <w:lang w:val="en-GB"/>
        </w:rPr>
        <w:instrText xml:space="preserve"> SEQ Figure \* ARABIC </w:instrText>
      </w:r>
      <w:r w:rsidRPr="00C1421E">
        <w:rPr>
          <w:lang w:val="en-GB"/>
        </w:rPr>
        <w:fldChar w:fldCharType="separate"/>
      </w:r>
      <w:r w:rsidR="00281171">
        <w:rPr>
          <w:noProof/>
          <w:lang w:val="en-GB"/>
        </w:rPr>
        <w:t>1</w:t>
      </w:r>
      <w:r w:rsidRPr="00C1421E">
        <w:rPr>
          <w:lang w:val="en-GB"/>
        </w:rPr>
        <w:fldChar w:fldCharType="end"/>
      </w:r>
      <w:r w:rsidRPr="00C1421E">
        <w:rPr>
          <w:lang w:val="en-GB"/>
        </w:rPr>
        <w:t xml:space="preserve"> - Five pillars of the BSG Programme</w:t>
      </w:r>
    </w:p>
    <w:p w14:paraId="05E48875" w14:textId="635912CA" w:rsidR="006944F8" w:rsidRPr="00C1421E" w:rsidRDefault="00D64AF8" w:rsidP="006944F8">
      <w:pPr>
        <w:pStyle w:val="Heading2"/>
      </w:pPr>
      <w:bookmarkStart w:id="113" w:name="_Toc462664261"/>
      <w:bookmarkStart w:id="114" w:name="_Toc480527847"/>
      <w:bookmarkStart w:id="115" w:name="_Toc18509757"/>
      <w:r w:rsidRPr="00C1421E">
        <w:lastRenderedPageBreak/>
        <w:t>7</w:t>
      </w:r>
      <w:r w:rsidR="006944F8" w:rsidRPr="00C1421E">
        <w:t>.1</w:t>
      </w:r>
      <w:r w:rsidR="006944F8" w:rsidRPr="00C1421E">
        <w:tab/>
      </w:r>
      <w:bookmarkEnd w:id="113"/>
      <w:r w:rsidR="006944F8" w:rsidRPr="00C1421E">
        <w:t>BSG hands-on training sessions</w:t>
      </w:r>
      <w:bookmarkEnd w:id="114"/>
      <w:bookmarkEnd w:id="115"/>
    </w:p>
    <w:p w14:paraId="2B53A149" w14:textId="40E6B4BC" w:rsidR="006944F8" w:rsidRPr="00C1421E" w:rsidRDefault="006944F8" w:rsidP="009E5FFA">
      <w:pPr>
        <w:rPr>
          <w:lang w:val="en-GB"/>
        </w:rPr>
      </w:pPr>
      <w:r w:rsidRPr="00C1421E">
        <w:rPr>
          <w:lang w:val="en-GB"/>
        </w:rPr>
        <w:t xml:space="preserve">ITU-T has introduced the new </w:t>
      </w:r>
      <w:r w:rsidR="00CA2D85" w:rsidRPr="00C1421E">
        <w:rPr>
          <w:lang w:val="en-GB"/>
        </w:rPr>
        <w:t>'</w:t>
      </w:r>
      <w:r w:rsidRPr="00C1421E">
        <w:rPr>
          <w:lang w:val="en-GB"/>
        </w:rPr>
        <w:t>BSG Hands-On Study Group effectiveness training</w:t>
      </w:r>
      <w:r w:rsidR="00CA2D85" w:rsidRPr="00C1421E">
        <w:rPr>
          <w:lang w:val="en-GB"/>
        </w:rPr>
        <w:t>'</w:t>
      </w:r>
      <w:r w:rsidRPr="00C1421E">
        <w:rPr>
          <w:lang w:val="en-GB"/>
        </w:rPr>
        <w:t xml:space="preserve"> </w:t>
      </w:r>
      <w:r w:rsidR="00E95E52" w:rsidRPr="00C1421E">
        <w:rPr>
          <w:lang w:val="en-GB"/>
        </w:rPr>
        <w:t xml:space="preserve">in response to WTSA </w:t>
      </w:r>
      <w:r w:rsidRPr="00C1421E">
        <w:rPr>
          <w:lang w:val="en-GB"/>
        </w:rPr>
        <w:t>Resolution 44</w:t>
      </w:r>
      <w:r w:rsidR="00E95E52" w:rsidRPr="00C1421E">
        <w:rPr>
          <w:lang w:val="en-GB"/>
        </w:rPr>
        <w:t xml:space="preserve">. </w:t>
      </w:r>
      <w:r w:rsidRPr="00C1421E">
        <w:rPr>
          <w:lang w:val="en-GB"/>
        </w:rPr>
        <w:t>The training focuses on the development of practical skills to maximize the effectiveness of developing countries</w:t>
      </w:r>
      <w:r w:rsidR="00CA2D85" w:rsidRPr="00C1421E">
        <w:rPr>
          <w:lang w:val="en-GB"/>
        </w:rPr>
        <w:t>'</w:t>
      </w:r>
      <w:r w:rsidRPr="00C1421E">
        <w:rPr>
          <w:lang w:val="en-GB"/>
        </w:rPr>
        <w:t xml:space="preserve"> participation in the ITU-T standardization process, covering topics including s</w:t>
      </w:r>
      <w:r w:rsidR="00317510">
        <w:rPr>
          <w:lang w:val="en-GB"/>
        </w:rPr>
        <w:t>trategies for participation in Study G</w:t>
      </w:r>
      <w:r w:rsidRPr="00C1421E">
        <w:rPr>
          <w:lang w:val="en-GB"/>
        </w:rPr>
        <w:t>roups, drafting contributions to meetings, presenting proposals, collaborative working methods and building consensus.</w:t>
      </w:r>
    </w:p>
    <w:p w14:paraId="7C114033" w14:textId="3DBB40BB" w:rsidR="006944F8" w:rsidRPr="00C1421E" w:rsidRDefault="00D64AF8" w:rsidP="006944F8">
      <w:pPr>
        <w:pStyle w:val="Heading2"/>
      </w:pPr>
      <w:bookmarkStart w:id="116" w:name="_Toc480527848"/>
      <w:bookmarkStart w:id="117" w:name="_Toc18509758"/>
      <w:r w:rsidRPr="00C1421E">
        <w:t>7</w:t>
      </w:r>
      <w:r w:rsidR="006944F8" w:rsidRPr="00C1421E">
        <w:t>.2</w:t>
      </w:r>
      <w:r w:rsidR="006944F8" w:rsidRPr="00C1421E">
        <w:tab/>
        <w:t>Regional Groups</w:t>
      </w:r>
      <w:bookmarkEnd w:id="116"/>
      <w:bookmarkEnd w:id="117"/>
    </w:p>
    <w:p w14:paraId="3CD8E255" w14:textId="727A3EAF" w:rsidR="006944F8" w:rsidRPr="00C1421E" w:rsidRDefault="006944F8" w:rsidP="002013A1">
      <w:pPr>
        <w:rPr>
          <w:szCs w:val="24"/>
          <w:lang w:val="en-GB"/>
        </w:rPr>
      </w:pPr>
      <w:bookmarkStart w:id="118" w:name="_Toc480527849"/>
      <w:r w:rsidRPr="00C1421E">
        <w:rPr>
          <w:lang w:val="en-GB"/>
        </w:rPr>
        <w:t>Regional Groups within ITU-T Study Groups have proven effective mechanisms to coordinate regional contributions to ITU and increase the number and quality of technical contributions from developing countries.</w:t>
      </w:r>
      <w:r w:rsidR="007D4449" w:rsidRPr="00C1421E">
        <w:rPr>
          <w:lang w:val="en-GB"/>
        </w:rPr>
        <w:t xml:space="preserve"> More than 500 participants attended </w:t>
      </w:r>
      <w:r w:rsidR="00A703AD">
        <w:rPr>
          <w:lang w:val="en-GB"/>
        </w:rPr>
        <w:t xml:space="preserve">the </w:t>
      </w:r>
      <w:r w:rsidR="004C59EB" w:rsidRPr="00C1421E">
        <w:rPr>
          <w:lang w:val="en-GB"/>
        </w:rPr>
        <w:t>18</w:t>
      </w:r>
      <w:r w:rsidR="007D4449" w:rsidRPr="00C1421E">
        <w:rPr>
          <w:szCs w:val="24"/>
          <w:lang w:val="en-GB"/>
        </w:rPr>
        <w:t xml:space="preserve"> Regional Group meeting</w:t>
      </w:r>
      <w:r w:rsidR="00A703AD">
        <w:rPr>
          <w:szCs w:val="24"/>
          <w:lang w:val="en-GB"/>
        </w:rPr>
        <w:t>s held</w:t>
      </w:r>
      <w:r w:rsidR="007D4449" w:rsidRPr="00C1421E">
        <w:rPr>
          <w:szCs w:val="24"/>
          <w:lang w:val="en-GB"/>
        </w:rPr>
        <w:t xml:space="preserve"> since October 2018:</w:t>
      </w:r>
    </w:p>
    <w:p w14:paraId="3D7FACC3" w14:textId="56C3BE0D" w:rsidR="006944F8" w:rsidRPr="00C1421E" w:rsidRDefault="004C59EB" w:rsidP="00C95497">
      <w:pPr>
        <w:numPr>
          <w:ilvl w:val="0"/>
          <w:numId w:val="60"/>
        </w:numPr>
        <w:rPr>
          <w:lang w:val="en-GB"/>
        </w:rPr>
      </w:pPr>
      <w:r w:rsidRPr="00C1421E">
        <w:rPr>
          <w:lang w:val="en-GB"/>
        </w:rPr>
        <w:t>Six</w:t>
      </w:r>
      <w:r w:rsidR="006944F8" w:rsidRPr="00C1421E">
        <w:rPr>
          <w:lang w:val="en-GB"/>
        </w:rPr>
        <w:t xml:space="preserve"> in Africa (Study Groups 2, 3, 5, 12, 13, </w:t>
      </w:r>
      <w:r w:rsidR="005F7DA6" w:rsidRPr="00C1421E">
        <w:rPr>
          <w:lang w:val="en-GB"/>
        </w:rPr>
        <w:t xml:space="preserve">17 </w:t>
      </w:r>
      <w:r w:rsidR="006944F8" w:rsidRPr="00C1421E">
        <w:rPr>
          <w:lang w:val="en-GB"/>
        </w:rPr>
        <w:t>and 20)</w:t>
      </w:r>
    </w:p>
    <w:p w14:paraId="7764616A" w14:textId="2E5EE9F1" w:rsidR="00C62EEB" w:rsidRPr="00C1421E" w:rsidRDefault="00337FC8" w:rsidP="00C95497">
      <w:pPr>
        <w:numPr>
          <w:ilvl w:val="0"/>
          <w:numId w:val="65"/>
        </w:numPr>
        <w:rPr>
          <w:lang w:val="en-GB"/>
        </w:rPr>
      </w:pPr>
      <w:r w:rsidRPr="00C1421E">
        <w:rPr>
          <w:lang w:val="en-GB"/>
        </w:rPr>
        <w:t>SG2</w:t>
      </w:r>
      <w:r w:rsidR="00765D16" w:rsidRPr="00C1421E">
        <w:rPr>
          <w:lang w:val="en-GB"/>
        </w:rPr>
        <w:t>-RG</w:t>
      </w:r>
      <w:r w:rsidR="00F25424" w:rsidRPr="00C1421E">
        <w:rPr>
          <w:lang w:val="en-GB"/>
        </w:rPr>
        <w:t>AFR</w:t>
      </w:r>
      <w:r w:rsidRPr="00C1421E">
        <w:rPr>
          <w:lang w:val="en-GB"/>
        </w:rPr>
        <w:t xml:space="preserve">: </w:t>
      </w:r>
      <w:r w:rsidR="00C62EEB" w:rsidRPr="00C1421E">
        <w:rPr>
          <w:lang w:val="en-GB"/>
        </w:rPr>
        <w:t>Tunis, Tunisia, 26</w:t>
      </w:r>
      <w:r w:rsidR="00A703AD">
        <w:rPr>
          <w:lang w:val="en-GB"/>
        </w:rPr>
        <w:t>-</w:t>
      </w:r>
      <w:r w:rsidR="00C62EEB" w:rsidRPr="00C1421E">
        <w:rPr>
          <w:lang w:val="en-GB"/>
        </w:rPr>
        <w:t>27 April 2018</w:t>
      </w:r>
      <w:r w:rsidR="008F4E44" w:rsidRPr="00C1421E">
        <w:rPr>
          <w:lang w:val="en-GB"/>
        </w:rPr>
        <w:t>: 23</w:t>
      </w:r>
      <w:r w:rsidR="00C957E4" w:rsidRPr="00C1421E">
        <w:rPr>
          <w:lang w:val="en-GB"/>
        </w:rPr>
        <w:t xml:space="preserve"> participants.</w:t>
      </w:r>
    </w:p>
    <w:p w14:paraId="428F58F6" w14:textId="27865958" w:rsidR="00C62EEB" w:rsidRPr="00C1421E" w:rsidRDefault="00977BFB" w:rsidP="00C95497">
      <w:pPr>
        <w:numPr>
          <w:ilvl w:val="0"/>
          <w:numId w:val="65"/>
        </w:numPr>
        <w:rPr>
          <w:rStyle w:val="Strong"/>
          <w:b w:val="0"/>
          <w:bCs w:val="0"/>
          <w:szCs w:val="24"/>
          <w:lang w:val="en-GB"/>
        </w:rPr>
      </w:pPr>
      <w:r w:rsidRPr="00C1421E">
        <w:rPr>
          <w:rStyle w:val="Strong"/>
          <w:b w:val="0"/>
          <w:szCs w:val="24"/>
          <w:lang w:val="en-GB"/>
        </w:rPr>
        <w:t>SG2</w:t>
      </w:r>
      <w:r w:rsidR="00F25424" w:rsidRPr="00C1421E">
        <w:rPr>
          <w:rStyle w:val="Strong"/>
          <w:b w:val="0"/>
          <w:szCs w:val="24"/>
          <w:lang w:val="en-GB"/>
        </w:rPr>
        <w:t>-RGAFR</w:t>
      </w:r>
      <w:r w:rsidRPr="00C1421E">
        <w:rPr>
          <w:rStyle w:val="Strong"/>
          <w:b w:val="0"/>
          <w:szCs w:val="24"/>
          <w:lang w:val="en-GB"/>
        </w:rPr>
        <w:t xml:space="preserve">: </w:t>
      </w:r>
      <w:r w:rsidR="00337FC8" w:rsidRPr="00C1421E">
        <w:rPr>
          <w:rStyle w:val="Strong"/>
          <w:b w:val="0"/>
          <w:szCs w:val="24"/>
          <w:lang w:val="en-GB"/>
        </w:rPr>
        <w:t xml:space="preserve">Cairo, Egypt, 4-6 December </w:t>
      </w:r>
      <w:r w:rsidRPr="00C1421E">
        <w:rPr>
          <w:rStyle w:val="Strong"/>
          <w:b w:val="0"/>
          <w:szCs w:val="24"/>
          <w:lang w:val="en-GB"/>
        </w:rPr>
        <w:t>2018</w:t>
      </w:r>
      <w:r w:rsidR="008F4E44" w:rsidRPr="00C1421E">
        <w:rPr>
          <w:rStyle w:val="Strong"/>
          <w:b w:val="0"/>
          <w:szCs w:val="24"/>
          <w:lang w:val="en-GB"/>
        </w:rPr>
        <w:t xml:space="preserve">: </w:t>
      </w:r>
      <w:r w:rsidR="008F4E44" w:rsidRPr="00C1421E">
        <w:rPr>
          <w:lang w:val="en-GB"/>
        </w:rPr>
        <w:t>38 participants.</w:t>
      </w:r>
    </w:p>
    <w:p w14:paraId="78B55269" w14:textId="6444C87F" w:rsidR="00977BFB" w:rsidRPr="007064AE" w:rsidRDefault="00977BFB" w:rsidP="00C95497">
      <w:pPr>
        <w:numPr>
          <w:ilvl w:val="0"/>
          <w:numId w:val="65"/>
        </w:numPr>
        <w:rPr>
          <w:lang w:val="es-ES"/>
        </w:rPr>
      </w:pPr>
      <w:r w:rsidRPr="007064AE">
        <w:rPr>
          <w:rStyle w:val="Strong"/>
          <w:b w:val="0"/>
          <w:szCs w:val="24"/>
          <w:lang w:val="es-ES"/>
        </w:rPr>
        <w:t>SG3</w:t>
      </w:r>
      <w:r w:rsidR="00F25424" w:rsidRPr="007064AE">
        <w:rPr>
          <w:rStyle w:val="Strong"/>
          <w:b w:val="0"/>
          <w:szCs w:val="24"/>
          <w:lang w:val="es-ES"/>
        </w:rPr>
        <w:t>-RGAFR</w:t>
      </w:r>
      <w:r w:rsidRPr="007064AE">
        <w:rPr>
          <w:rStyle w:val="Strong"/>
          <w:b w:val="0"/>
          <w:szCs w:val="24"/>
          <w:lang w:val="es-ES"/>
        </w:rPr>
        <w:t xml:space="preserve">: </w:t>
      </w:r>
      <w:r w:rsidRPr="007064AE">
        <w:rPr>
          <w:bCs/>
          <w:lang w:val="es-ES"/>
        </w:rPr>
        <w:t>Antananarivo</w:t>
      </w:r>
      <w:r w:rsidR="00A703AD" w:rsidRPr="007064AE">
        <w:rPr>
          <w:bCs/>
          <w:lang w:val="es-ES"/>
        </w:rPr>
        <w:t xml:space="preserve">, </w:t>
      </w:r>
      <w:r w:rsidRPr="007064AE">
        <w:rPr>
          <w:bCs/>
          <w:lang w:val="es-ES"/>
        </w:rPr>
        <w:t>Madagascar</w:t>
      </w:r>
      <w:r w:rsidR="00A703AD" w:rsidRPr="007064AE">
        <w:rPr>
          <w:bCs/>
          <w:lang w:val="es-ES"/>
        </w:rPr>
        <w:t>,</w:t>
      </w:r>
      <w:r w:rsidR="00337FC8" w:rsidRPr="007064AE">
        <w:rPr>
          <w:bCs/>
          <w:lang w:val="es-ES"/>
        </w:rPr>
        <w:t xml:space="preserve"> 18</w:t>
      </w:r>
      <w:r w:rsidR="00A703AD" w:rsidRPr="007064AE">
        <w:rPr>
          <w:bCs/>
          <w:lang w:val="es-ES"/>
        </w:rPr>
        <w:t>-</w:t>
      </w:r>
      <w:r w:rsidR="00337FC8" w:rsidRPr="007064AE">
        <w:rPr>
          <w:bCs/>
          <w:lang w:val="es-ES"/>
        </w:rPr>
        <w:t xml:space="preserve">22 February </w:t>
      </w:r>
      <w:r w:rsidR="004C56AD" w:rsidRPr="007064AE">
        <w:rPr>
          <w:bCs/>
          <w:lang w:val="es-ES"/>
        </w:rPr>
        <w:t xml:space="preserve">2019: </w:t>
      </w:r>
      <w:r w:rsidR="00E512E1" w:rsidRPr="007064AE">
        <w:rPr>
          <w:bCs/>
          <w:lang w:val="es-ES"/>
        </w:rPr>
        <w:t xml:space="preserve">53 </w:t>
      </w:r>
      <w:r w:rsidR="004C56AD" w:rsidRPr="007064AE">
        <w:rPr>
          <w:bCs/>
          <w:lang w:val="es-ES"/>
        </w:rPr>
        <w:t>participants.</w:t>
      </w:r>
    </w:p>
    <w:p w14:paraId="07AFC4F7" w14:textId="22593E15" w:rsidR="001043CE" w:rsidRPr="00C1421E" w:rsidRDefault="00B73200" w:rsidP="00C95497">
      <w:pPr>
        <w:numPr>
          <w:ilvl w:val="0"/>
          <w:numId w:val="65"/>
        </w:numPr>
        <w:rPr>
          <w:lang w:val="en-GB"/>
        </w:rPr>
      </w:pPr>
      <w:r w:rsidRPr="00C1421E">
        <w:rPr>
          <w:lang w:val="en-GB"/>
        </w:rPr>
        <w:t>SG12</w:t>
      </w:r>
      <w:r w:rsidR="00F25424" w:rsidRPr="00C1421E">
        <w:rPr>
          <w:rStyle w:val="Strong"/>
          <w:b w:val="0"/>
          <w:szCs w:val="24"/>
          <w:lang w:val="en-GB"/>
        </w:rPr>
        <w:t>-RGAFR</w:t>
      </w:r>
      <w:r w:rsidRPr="00C1421E">
        <w:rPr>
          <w:lang w:val="en-GB"/>
        </w:rPr>
        <w:t xml:space="preserve">: </w:t>
      </w:r>
      <w:r w:rsidRPr="00C1421E">
        <w:rPr>
          <w:bCs/>
          <w:lang w:val="en-GB"/>
        </w:rPr>
        <w:t>Kigali, Rwanda, 7-8 March 2019</w:t>
      </w:r>
      <w:r w:rsidR="00BB2441" w:rsidRPr="00C1421E">
        <w:rPr>
          <w:bCs/>
          <w:lang w:val="en-GB"/>
        </w:rPr>
        <w:t>: 40 participants.</w:t>
      </w:r>
    </w:p>
    <w:p w14:paraId="0B8C4C4E" w14:textId="6E9EC1E8" w:rsidR="00B73200" w:rsidRPr="007064AE" w:rsidRDefault="00D979D8" w:rsidP="00C95497">
      <w:pPr>
        <w:numPr>
          <w:ilvl w:val="0"/>
          <w:numId w:val="65"/>
        </w:numPr>
        <w:rPr>
          <w:lang w:val="es-ES"/>
        </w:rPr>
      </w:pPr>
      <w:r w:rsidRPr="007064AE">
        <w:rPr>
          <w:bCs/>
          <w:lang w:val="es-ES"/>
        </w:rPr>
        <w:t>SG13</w:t>
      </w:r>
      <w:r w:rsidR="00F25424" w:rsidRPr="007064AE">
        <w:rPr>
          <w:rStyle w:val="Strong"/>
          <w:b w:val="0"/>
          <w:szCs w:val="24"/>
          <w:lang w:val="es-ES"/>
        </w:rPr>
        <w:t>-RGAFR</w:t>
      </w:r>
      <w:r w:rsidR="00337FC8" w:rsidRPr="007064AE">
        <w:rPr>
          <w:bCs/>
          <w:lang w:val="es-ES"/>
        </w:rPr>
        <w:t xml:space="preserve">: </w:t>
      </w:r>
      <w:r w:rsidR="00A703AD" w:rsidRPr="007064AE">
        <w:rPr>
          <w:bCs/>
          <w:lang w:val="es-ES"/>
        </w:rPr>
        <w:t xml:space="preserve">Abuja, Nigeria, </w:t>
      </w:r>
      <w:r w:rsidRPr="007064AE">
        <w:rPr>
          <w:lang w:val="es-ES"/>
        </w:rPr>
        <w:t>5-6 February 20</w:t>
      </w:r>
      <w:r w:rsidR="00A703AD" w:rsidRPr="007064AE">
        <w:rPr>
          <w:lang w:val="es-ES"/>
        </w:rPr>
        <w:t>19</w:t>
      </w:r>
      <w:r w:rsidR="00F82873" w:rsidRPr="007064AE">
        <w:rPr>
          <w:lang w:val="es-ES"/>
        </w:rPr>
        <w:t>: 39 participants.</w:t>
      </w:r>
    </w:p>
    <w:p w14:paraId="668BF370" w14:textId="2428BB0E" w:rsidR="00D979D8" w:rsidRPr="00C1421E" w:rsidRDefault="00C80914" w:rsidP="00C95497">
      <w:pPr>
        <w:numPr>
          <w:ilvl w:val="0"/>
          <w:numId w:val="65"/>
        </w:numPr>
        <w:rPr>
          <w:lang w:val="en-GB"/>
        </w:rPr>
      </w:pPr>
      <w:r w:rsidRPr="00C1421E">
        <w:rPr>
          <w:bCs/>
          <w:lang w:val="en-GB"/>
        </w:rPr>
        <w:t>SG17</w:t>
      </w:r>
      <w:r w:rsidR="00F25424" w:rsidRPr="00C1421E">
        <w:rPr>
          <w:rStyle w:val="Strong"/>
          <w:b w:val="0"/>
          <w:szCs w:val="24"/>
          <w:lang w:val="en-GB"/>
        </w:rPr>
        <w:t>-RGAFR</w:t>
      </w:r>
      <w:r w:rsidRPr="00C1421E">
        <w:rPr>
          <w:bCs/>
          <w:lang w:val="en-GB"/>
        </w:rPr>
        <w:t>: Tunis, Tunisia, 2-3 April 2019</w:t>
      </w:r>
      <w:r w:rsidR="00B01E21" w:rsidRPr="00C1421E">
        <w:rPr>
          <w:bCs/>
          <w:lang w:val="en-GB"/>
        </w:rPr>
        <w:t>: 22 participants.</w:t>
      </w:r>
    </w:p>
    <w:p w14:paraId="6613847D" w14:textId="4F8DE442" w:rsidR="006944F8" w:rsidRPr="00C1421E" w:rsidRDefault="005F7DA6" w:rsidP="00C95497">
      <w:pPr>
        <w:numPr>
          <w:ilvl w:val="0"/>
          <w:numId w:val="61"/>
        </w:numPr>
        <w:rPr>
          <w:lang w:val="en-GB"/>
        </w:rPr>
      </w:pPr>
      <w:r w:rsidRPr="00C1421E">
        <w:rPr>
          <w:lang w:val="en-GB"/>
        </w:rPr>
        <w:t>Three</w:t>
      </w:r>
      <w:r w:rsidR="006944F8" w:rsidRPr="00C1421E">
        <w:rPr>
          <w:lang w:val="en-GB"/>
        </w:rPr>
        <w:t xml:space="preserve"> for the Americas (Study Groups </w:t>
      </w:r>
      <w:r w:rsidRPr="00C1421E">
        <w:rPr>
          <w:lang w:val="en-GB"/>
        </w:rPr>
        <w:t>2, 3</w:t>
      </w:r>
      <w:r w:rsidR="006944F8" w:rsidRPr="00C1421E">
        <w:rPr>
          <w:lang w:val="en-GB"/>
        </w:rPr>
        <w:t xml:space="preserve"> and </w:t>
      </w:r>
      <w:r w:rsidRPr="00C1421E">
        <w:rPr>
          <w:lang w:val="en-GB"/>
        </w:rPr>
        <w:t>5</w:t>
      </w:r>
      <w:r w:rsidR="006944F8" w:rsidRPr="00C1421E">
        <w:rPr>
          <w:lang w:val="en-GB"/>
        </w:rPr>
        <w:t>)</w:t>
      </w:r>
    </w:p>
    <w:p w14:paraId="08536E04" w14:textId="5BE50792" w:rsidR="005D4C64" w:rsidRPr="007064AE" w:rsidRDefault="005D4C64" w:rsidP="00C95497">
      <w:pPr>
        <w:numPr>
          <w:ilvl w:val="1"/>
          <w:numId w:val="62"/>
        </w:numPr>
        <w:rPr>
          <w:lang w:val="es-ES"/>
        </w:rPr>
      </w:pPr>
      <w:r w:rsidRPr="007064AE">
        <w:rPr>
          <w:lang w:val="es-ES"/>
        </w:rPr>
        <w:t>SG2</w:t>
      </w:r>
      <w:r w:rsidR="00F25424" w:rsidRPr="007064AE">
        <w:rPr>
          <w:lang w:val="es-ES"/>
        </w:rPr>
        <w:t>-RGAMR</w:t>
      </w:r>
      <w:r w:rsidRPr="007064AE">
        <w:rPr>
          <w:lang w:val="es-ES"/>
        </w:rPr>
        <w:t xml:space="preserve">: </w:t>
      </w:r>
      <w:r w:rsidR="00F869C6" w:rsidRPr="007064AE">
        <w:rPr>
          <w:bCs/>
          <w:lang w:val="es-ES"/>
        </w:rPr>
        <w:t xml:space="preserve">Managua, </w:t>
      </w:r>
      <w:r w:rsidRPr="007064AE">
        <w:rPr>
          <w:bCs/>
          <w:lang w:val="es-ES"/>
        </w:rPr>
        <w:t xml:space="preserve">Nicaragua, 28-29 </w:t>
      </w:r>
      <w:proofErr w:type="spellStart"/>
      <w:r w:rsidRPr="007064AE">
        <w:rPr>
          <w:bCs/>
          <w:lang w:val="es-ES"/>
        </w:rPr>
        <w:t>March</w:t>
      </w:r>
      <w:proofErr w:type="spellEnd"/>
      <w:r w:rsidRPr="007064AE">
        <w:rPr>
          <w:bCs/>
          <w:lang w:val="es-ES"/>
        </w:rPr>
        <w:t xml:space="preserve"> 2019</w:t>
      </w:r>
      <w:r w:rsidR="00F869C6" w:rsidRPr="007064AE">
        <w:rPr>
          <w:bCs/>
          <w:lang w:val="es-ES"/>
        </w:rPr>
        <w:t xml:space="preserve">: </w:t>
      </w:r>
      <w:r w:rsidR="006B5F3A" w:rsidRPr="007064AE">
        <w:rPr>
          <w:bCs/>
          <w:lang w:val="es-ES"/>
        </w:rPr>
        <w:t>17 participants.</w:t>
      </w:r>
    </w:p>
    <w:p w14:paraId="3A414F37" w14:textId="362230B4" w:rsidR="005D4C64" w:rsidRPr="007064AE" w:rsidRDefault="005D4C64" w:rsidP="00C95497">
      <w:pPr>
        <w:numPr>
          <w:ilvl w:val="1"/>
          <w:numId w:val="62"/>
        </w:numPr>
        <w:rPr>
          <w:lang w:val="es-ES"/>
        </w:rPr>
      </w:pPr>
      <w:r w:rsidRPr="007064AE">
        <w:rPr>
          <w:lang w:val="es-ES"/>
        </w:rPr>
        <w:t>SG3</w:t>
      </w:r>
      <w:r w:rsidR="00F25424" w:rsidRPr="007064AE">
        <w:rPr>
          <w:lang w:val="es-ES"/>
        </w:rPr>
        <w:t>-RGLAC</w:t>
      </w:r>
      <w:r w:rsidRPr="007064AE">
        <w:rPr>
          <w:lang w:val="es-ES"/>
        </w:rPr>
        <w:t xml:space="preserve">: </w:t>
      </w:r>
      <w:r w:rsidR="00F869C6" w:rsidRPr="007064AE">
        <w:rPr>
          <w:bCs/>
          <w:lang w:val="es-ES"/>
        </w:rPr>
        <w:t>Managua</w:t>
      </w:r>
      <w:r w:rsidR="00A703AD" w:rsidRPr="007064AE">
        <w:rPr>
          <w:bCs/>
          <w:lang w:val="es-ES"/>
        </w:rPr>
        <w:t xml:space="preserve">, </w:t>
      </w:r>
      <w:r w:rsidR="00F869C6" w:rsidRPr="007064AE">
        <w:rPr>
          <w:bCs/>
          <w:lang w:val="es-ES"/>
        </w:rPr>
        <w:t>Nicaragua</w:t>
      </w:r>
      <w:r w:rsidR="00A703AD" w:rsidRPr="007064AE">
        <w:rPr>
          <w:bCs/>
          <w:lang w:val="es-ES"/>
        </w:rPr>
        <w:t xml:space="preserve">, </w:t>
      </w:r>
      <w:r w:rsidR="00F869C6" w:rsidRPr="007064AE">
        <w:rPr>
          <w:bCs/>
          <w:lang w:val="es-ES"/>
        </w:rPr>
        <w:t>25</w:t>
      </w:r>
      <w:r w:rsidR="00A703AD" w:rsidRPr="007064AE">
        <w:rPr>
          <w:bCs/>
          <w:lang w:val="es-ES"/>
        </w:rPr>
        <w:t>-</w:t>
      </w:r>
      <w:r w:rsidR="00F869C6" w:rsidRPr="007064AE">
        <w:rPr>
          <w:bCs/>
          <w:lang w:val="es-ES"/>
        </w:rPr>
        <w:t xml:space="preserve">29 February </w:t>
      </w:r>
      <w:r w:rsidRPr="007064AE">
        <w:rPr>
          <w:bCs/>
          <w:lang w:val="es-ES"/>
        </w:rPr>
        <w:t>2019</w:t>
      </w:r>
      <w:r w:rsidR="006B5F3A" w:rsidRPr="007064AE">
        <w:rPr>
          <w:bCs/>
          <w:lang w:val="es-ES"/>
        </w:rPr>
        <w:t>: 24 participants.</w:t>
      </w:r>
    </w:p>
    <w:p w14:paraId="73903695" w14:textId="429A7185" w:rsidR="005D4C64" w:rsidRPr="007064AE" w:rsidRDefault="005D4C64" w:rsidP="00C95497">
      <w:pPr>
        <w:numPr>
          <w:ilvl w:val="1"/>
          <w:numId w:val="62"/>
        </w:numPr>
        <w:rPr>
          <w:lang w:val="es-ES"/>
        </w:rPr>
      </w:pPr>
      <w:r w:rsidRPr="007064AE">
        <w:rPr>
          <w:lang w:val="es-ES"/>
        </w:rPr>
        <w:t>SG5</w:t>
      </w:r>
      <w:r w:rsidR="00F25424" w:rsidRPr="007064AE">
        <w:rPr>
          <w:lang w:val="es-ES"/>
        </w:rPr>
        <w:t>-LATAM</w:t>
      </w:r>
      <w:r w:rsidRPr="007064AE">
        <w:rPr>
          <w:lang w:val="es-ES"/>
        </w:rPr>
        <w:t xml:space="preserve">: </w:t>
      </w:r>
      <w:r w:rsidR="00900B56" w:rsidRPr="007064AE">
        <w:rPr>
          <w:rStyle w:val="Strong"/>
          <w:b w:val="0"/>
          <w:szCs w:val="24"/>
          <w:lang w:val="es-ES"/>
        </w:rPr>
        <w:t xml:space="preserve">Bogota, </w:t>
      </w:r>
      <w:r w:rsidR="00A703AD" w:rsidRPr="007064AE">
        <w:rPr>
          <w:rStyle w:val="Strong"/>
          <w:b w:val="0"/>
          <w:szCs w:val="24"/>
          <w:lang w:val="es-ES"/>
        </w:rPr>
        <w:t xml:space="preserve">Colombia, </w:t>
      </w:r>
      <w:r w:rsidR="00900B56" w:rsidRPr="007064AE">
        <w:rPr>
          <w:rStyle w:val="Strong"/>
          <w:b w:val="0"/>
          <w:szCs w:val="24"/>
          <w:lang w:val="es-ES"/>
        </w:rPr>
        <w:t xml:space="preserve">24 </w:t>
      </w:r>
      <w:proofErr w:type="spellStart"/>
      <w:r w:rsidR="00900B56" w:rsidRPr="007064AE">
        <w:rPr>
          <w:rStyle w:val="Strong"/>
          <w:b w:val="0"/>
          <w:szCs w:val="24"/>
          <w:lang w:val="es-ES"/>
        </w:rPr>
        <w:t>October</w:t>
      </w:r>
      <w:proofErr w:type="spellEnd"/>
      <w:r w:rsidR="00900B56" w:rsidRPr="007064AE">
        <w:rPr>
          <w:rStyle w:val="Strong"/>
          <w:b w:val="0"/>
          <w:szCs w:val="24"/>
          <w:lang w:val="es-ES"/>
        </w:rPr>
        <w:t xml:space="preserve"> </w:t>
      </w:r>
      <w:r w:rsidRPr="007064AE">
        <w:rPr>
          <w:rStyle w:val="Strong"/>
          <w:b w:val="0"/>
          <w:szCs w:val="24"/>
          <w:lang w:val="es-ES"/>
        </w:rPr>
        <w:t>2018</w:t>
      </w:r>
      <w:r w:rsidR="005858C6" w:rsidRPr="007064AE">
        <w:rPr>
          <w:rStyle w:val="Strong"/>
          <w:b w:val="0"/>
          <w:szCs w:val="24"/>
          <w:lang w:val="es-ES"/>
        </w:rPr>
        <w:t>: 24 participants.</w:t>
      </w:r>
    </w:p>
    <w:p w14:paraId="15CE8C79" w14:textId="58B3361E" w:rsidR="006944F8" w:rsidRPr="00C1421E" w:rsidRDefault="005F7DA6" w:rsidP="00C95497">
      <w:pPr>
        <w:numPr>
          <w:ilvl w:val="0"/>
          <w:numId w:val="61"/>
        </w:numPr>
        <w:rPr>
          <w:lang w:val="en-GB"/>
        </w:rPr>
      </w:pPr>
      <w:r w:rsidRPr="00C1421E">
        <w:rPr>
          <w:lang w:val="en-GB"/>
        </w:rPr>
        <w:t>Five</w:t>
      </w:r>
      <w:r w:rsidR="006944F8" w:rsidRPr="00C1421E">
        <w:rPr>
          <w:lang w:val="en-GB"/>
        </w:rPr>
        <w:t xml:space="preserve"> for the Arab States (Study Groups 2, </w:t>
      </w:r>
      <w:r w:rsidRPr="00C1421E">
        <w:rPr>
          <w:lang w:val="en-GB"/>
        </w:rPr>
        <w:t xml:space="preserve">3, </w:t>
      </w:r>
      <w:r w:rsidR="006944F8" w:rsidRPr="00C1421E">
        <w:rPr>
          <w:lang w:val="en-GB"/>
        </w:rPr>
        <w:t xml:space="preserve">5 </w:t>
      </w:r>
      <w:r w:rsidRPr="00C1421E">
        <w:rPr>
          <w:lang w:val="en-GB"/>
        </w:rPr>
        <w:t>and 17</w:t>
      </w:r>
      <w:r w:rsidR="006944F8" w:rsidRPr="00C1421E">
        <w:rPr>
          <w:lang w:val="en-GB"/>
        </w:rPr>
        <w:t>)</w:t>
      </w:r>
    </w:p>
    <w:p w14:paraId="55ABBE94" w14:textId="3CD755FB" w:rsidR="00F54089" w:rsidRPr="00C1421E" w:rsidRDefault="00F54089" w:rsidP="00C95497">
      <w:pPr>
        <w:numPr>
          <w:ilvl w:val="0"/>
          <w:numId w:val="64"/>
        </w:numPr>
        <w:rPr>
          <w:lang w:val="en-GB"/>
        </w:rPr>
      </w:pPr>
      <w:r w:rsidRPr="00C1421E">
        <w:rPr>
          <w:lang w:val="en-GB"/>
        </w:rPr>
        <w:t>SG2</w:t>
      </w:r>
      <w:r w:rsidR="00611AFD" w:rsidRPr="00C1421E">
        <w:rPr>
          <w:lang w:val="en-GB"/>
        </w:rPr>
        <w:t>-RGARB</w:t>
      </w:r>
      <w:r w:rsidRPr="00C1421E">
        <w:rPr>
          <w:lang w:val="en-GB"/>
        </w:rPr>
        <w:t>: Cairo, Egypt, 4-6 December 2018</w:t>
      </w:r>
      <w:r w:rsidR="007B01BA" w:rsidRPr="00C1421E">
        <w:rPr>
          <w:lang w:val="en-GB"/>
        </w:rPr>
        <w:t>: 26 participants.</w:t>
      </w:r>
    </w:p>
    <w:p w14:paraId="1994796A" w14:textId="2FAD7509" w:rsidR="00F54089" w:rsidRPr="00C1421E" w:rsidRDefault="0059207D" w:rsidP="00C95497">
      <w:pPr>
        <w:numPr>
          <w:ilvl w:val="0"/>
          <w:numId w:val="64"/>
        </w:numPr>
        <w:rPr>
          <w:lang w:val="en-GB"/>
        </w:rPr>
      </w:pPr>
      <w:r w:rsidRPr="00C1421E">
        <w:rPr>
          <w:lang w:val="en-GB"/>
        </w:rPr>
        <w:t>SG3</w:t>
      </w:r>
      <w:r w:rsidR="00611AFD" w:rsidRPr="00C1421E">
        <w:rPr>
          <w:lang w:val="en-GB"/>
        </w:rPr>
        <w:t>-RGARB</w:t>
      </w:r>
      <w:r w:rsidRPr="00C1421E">
        <w:rPr>
          <w:lang w:val="en-GB"/>
        </w:rPr>
        <w:t xml:space="preserve">: </w:t>
      </w:r>
      <w:r w:rsidR="00900B56" w:rsidRPr="00C1421E">
        <w:rPr>
          <w:lang w:val="en-GB"/>
        </w:rPr>
        <w:t>Kuwait City</w:t>
      </w:r>
      <w:r w:rsidR="00A703AD">
        <w:rPr>
          <w:lang w:val="en-GB"/>
        </w:rPr>
        <w:t xml:space="preserve">, </w:t>
      </w:r>
      <w:r w:rsidR="00900B56" w:rsidRPr="00C1421E">
        <w:rPr>
          <w:lang w:val="en-GB"/>
        </w:rPr>
        <w:t>Kuwait</w:t>
      </w:r>
      <w:r w:rsidR="00A703AD">
        <w:rPr>
          <w:lang w:val="en-GB"/>
        </w:rPr>
        <w:t>,</w:t>
      </w:r>
      <w:r w:rsidR="00900B56" w:rsidRPr="00C1421E">
        <w:rPr>
          <w:lang w:val="en-GB"/>
        </w:rPr>
        <w:t xml:space="preserve"> 19</w:t>
      </w:r>
      <w:r w:rsidR="00A703AD">
        <w:rPr>
          <w:lang w:val="en-GB"/>
        </w:rPr>
        <w:t>-</w:t>
      </w:r>
      <w:r w:rsidR="00900B56" w:rsidRPr="00C1421E">
        <w:rPr>
          <w:lang w:val="en-GB"/>
        </w:rPr>
        <w:t xml:space="preserve">20 December </w:t>
      </w:r>
      <w:r w:rsidRPr="00C1421E">
        <w:rPr>
          <w:lang w:val="en-GB"/>
        </w:rPr>
        <w:t>2018</w:t>
      </w:r>
      <w:r w:rsidR="004D7AB4" w:rsidRPr="00C1421E">
        <w:rPr>
          <w:lang w:val="en-GB"/>
        </w:rPr>
        <w:t>: 36 participants.</w:t>
      </w:r>
    </w:p>
    <w:p w14:paraId="5627BC6B" w14:textId="3A36E90F" w:rsidR="0059207D" w:rsidRPr="00C1421E" w:rsidRDefault="00BF030E" w:rsidP="00C95497">
      <w:pPr>
        <w:numPr>
          <w:ilvl w:val="0"/>
          <w:numId w:val="64"/>
        </w:numPr>
        <w:rPr>
          <w:rStyle w:val="Strong"/>
          <w:b w:val="0"/>
          <w:bCs w:val="0"/>
          <w:szCs w:val="24"/>
          <w:lang w:val="en-GB"/>
        </w:rPr>
      </w:pPr>
      <w:r w:rsidRPr="00C1421E">
        <w:rPr>
          <w:lang w:val="en-GB"/>
        </w:rPr>
        <w:t>SG5</w:t>
      </w:r>
      <w:r w:rsidR="00611AFD" w:rsidRPr="00C1421E">
        <w:rPr>
          <w:lang w:val="en-GB"/>
        </w:rPr>
        <w:t>-RGARB</w:t>
      </w:r>
      <w:r w:rsidRPr="00C1421E">
        <w:rPr>
          <w:lang w:val="en-GB"/>
        </w:rPr>
        <w:t xml:space="preserve">: </w:t>
      </w:r>
      <w:r w:rsidR="00900B56" w:rsidRPr="00C1421E">
        <w:rPr>
          <w:rStyle w:val="Strong"/>
          <w:b w:val="0"/>
          <w:szCs w:val="24"/>
          <w:lang w:val="en-GB"/>
        </w:rPr>
        <w:t xml:space="preserve">Kuwait city, </w:t>
      </w:r>
      <w:r w:rsidRPr="00C1421E">
        <w:rPr>
          <w:rStyle w:val="Strong"/>
          <w:b w:val="0"/>
          <w:szCs w:val="24"/>
          <w:lang w:val="en-GB"/>
        </w:rPr>
        <w:t>Kuwait, 18 December 2018</w:t>
      </w:r>
      <w:r w:rsidR="004D7AB4" w:rsidRPr="00C1421E">
        <w:rPr>
          <w:rStyle w:val="Strong"/>
          <w:b w:val="0"/>
          <w:szCs w:val="24"/>
          <w:lang w:val="en-GB"/>
        </w:rPr>
        <w:t>: 26 participants.</w:t>
      </w:r>
    </w:p>
    <w:p w14:paraId="21B3C919" w14:textId="41F98DCD" w:rsidR="00FC5599" w:rsidRPr="00C1421E" w:rsidRDefault="00FC5599" w:rsidP="00C95497">
      <w:pPr>
        <w:numPr>
          <w:ilvl w:val="0"/>
          <w:numId w:val="64"/>
        </w:numPr>
        <w:rPr>
          <w:lang w:val="en-GB"/>
        </w:rPr>
      </w:pPr>
      <w:r w:rsidRPr="00C1421E">
        <w:rPr>
          <w:lang w:val="en-GB"/>
        </w:rPr>
        <w:t>SG17</w:t>
      </w:r>
      <w:r w:rsidR="00611AFD" w:rsidRPr="00C1421E">
        <w:rPr>
          <w:lang w:val="en-GB"/>
        </w:rPr>
        <w:t>-RGARB</w:t>
      </w:r>
      <w:r w:rsidRPr="00C1421E">
        <w:rPr>
          <w:lang w:val="en-GB"/>
        </w:rPr>
        <w:t>: Tunis, Tunisia, 2-3 April 2019</w:t>
      </w:r>
      <w:r w:rsidR="004D7AB4" w:rsidRPr="00C1421E">
        <w:rPr>
          <w:lang w:val="en-GB"/>
        </w:rPr>
        <w:t>: 22 participants.</w:t>
      </w:r>
    </w:p>
    <w:p w14:paraId="04F4D49A" w14:textId="55B1DC6B" w:rsidR="00ED0923" w:rsidRPr="00C1421E" w:rsidRDefault="00ED0923" w:rsidP="00C95497">
      <w:pPr>
        <w:numPr>
          <w:ilvl w:val="0"/>
          <w:numId w:val="64"/>
        </w:numPr>
        <w:rPr>
          <w:b/>
          <w:lang w:val="en-GB"/>
        </w:rPr>
      </w:pPr>
      <w:r w:rsidRPr="00C1421E">
        <w:rPr>
          <w:lang w:val="en-GB"/>
        </w:rPr>
        <w:t>SG17</w:t>
      </w:r>
      <w:r w:rsidR="00611AFD" w:rsidRPr="00C1421E">
        <w:rPr>
          <w:lang w:val="en-GB"/>
        </w:rPr>
        <w:t>-RGARB</w:t>
      </w:r>
      <w:r w:rsidRPr="00C1421E">
        <w:rPr>
          <w:lang w:val="en-GB"/>
        </w:rPr>
        <w:t xml:space="preserve">: </w:t>
      </w:r>
      <w:r w:rsidRPr="00C1421E">
        <w:rPr>
          <w:rStyle w:val="Strong"/>
          <w:b w:val="0"/>
          <w:szCs w:val="24"/>
          <w:lang w:val="en-GB"/>
        </w:rPr>
        <w:t xml:space="preserve">Kuwait City, </w:t>
      </w:r>
      <w:r w:rsidR="00A703AD">
        <w:rPr>
          <w:rStyle w:val="Strong"/>
          <w:b w:val="0"/>
          <w:szCs w:val="24"/>
          <w:lang w:val="en-GB"/>
        </w:rPr>
        <w:t xml:space="preserve">Kuwait, </w:t>
      </w:r>
      <w:r w:rsidRPr="00C1421E">
        <w:rPr>
          <w:rStyle w:val="Strong"/>
          <w:b w:val="0"/>
          <w:szCs w:val="24"/>
          <w:lang w:val="en-GB"/>
        </w:rPr>
        <w:t>25</w:t>
      </w:r>
      <w:r w:rsidR="00900B56" w:rsidRPr="00C1421E">
        <w:rPr>
          <w:rStyle w:val="Strong"/>
          <w:b w:val="0"/>
          <w:szCs w:val="24"/>
          <w:lang w:val="en-GB"/>
        </w:rPr>
        <w:t xml:space="preserve"> O</w:t>
      </w:r>
      <w:r w:rsidRPr="00C1421E">
        <w:rPr>
          <w:rStyle w:val="Strong"/>
          <w:b w:val="0"/>
          <w:szCs w:val="24"/>
          <w:lang w:val="en-GB"/>
        </w:rPr>
        <w:t>ctober 2018</w:t>
      </w:r>
      <w:r w:rsidR="004D7AB4" w:rsidRPr="00C1421E">
        <w:rPr>
          <w:rStyle w:val="Strong"/>
          <w:b w:val="0"/>
          <w:szCs w:val="24"/>
          <w:lang w:val="en-GB"/>
        </w:rPr>
        <w:t>: 18 participants.</w:t>
      </w:r>
    </w:p>
    <w:p w14:paraId="1CE6596D" w14:textId="2C6F9DC8" w:rsidR="006944F8" w:rsidRPr="00C1421E" w:rsidRDefault="005F7DA6" w:rsidP="00C95497">
      <w:pPr>
        <w:numPr>
          <w:ilvl w:val="0"/>
          <w:numId w:val="61"/>
        </w:numPr>
        <w:rPr>
          <w:lang w:val="en-GB"/>
        </w:rPr>
      </w:pPr>
      <w:r w:rsidRPr="00C1421E">
        <w:rPr>
          <w:lang w:val="en-GB"/>
        </w:rPr>
        <w:t>Four</w:t>
      </w:r>
      <w:r w:rsidR="006944F8" w:rsidRPr="00C1421E">
        <w:rPr>
          <w:lang w:val="en-GB"/>
        </w:rPr>
        <w:t xml:space="preserve"> for Eastern Europe, Central Asia and Transcaucasia (Study Groups </w:t>
      </w:r>
      <w:r w:rsidRPr="00C1421E">
        <w:rPr>
          <w:lang w:val="en-GB"/>
        </w:rPr>
        <w:t xml:space="preserve">3, </w:t>
      </w:r>
      <w:r w:rsidR="006944F8" w:rsidRPr="00C1421E">
        <w:rPr>
          <w:lang w:val="en-GB"/>
        </w:rPr>
        <w:t>11</w:t>
      </w:r>
      <w:r w:rsidRPr="00C1421E">
        <w:rPr>
          <w:lang w:val="en-GB"/>
        </w:rPr>
        <w:t>, 13</w:t>
      </w:r>
      <w:r w:rsidR="006944F8" w:rsidRPr="00C1421E">
        <w:rPr>
          <w:lang w:val="en-GB"/>
        </w:rPr>
        <w:t xml:space="preserve"> and 20).</w:t>
      </w:r>
    </w:p>
    <w:p w14:paraId="7BABF596" w14:textId="406E5F71" w:rsidR="00CD457B" w:rsidRPr="001C37A8" w:rsidRDefault="001803D3" w:rsidP="00C95497">
      <w:pPr>
        <w:numPr>
          <w:ilvl w:val="0"/>
          <w:numId w:val="66"/>
        </w:numPr>
      </w:pPr>
      <w:r w:rsidRPr="001C37A8">
        <w:t>SG3</w:t>
      </w:r>
      <w:r w:rsidR="00611AFD" w:rsidRPr="001C37A8">
        <w:t>-RGEECAT</w:t>
      </w:r>
      <w:r w:rsidRPr="001C37A8">
        <w:t xml:space="preserve">: </w:t>
      </w:r>
      <w:r w:rsidRPr="00C1421E">
        <w:rPr>
          <w:lang w:val="en-GB"/>
        </w:rPr>
        <w:t>Saint Petersburg</w:t>
      </w:r>
      <w:r w:rsidR="00A703AD">
        <w:rPr>
          <w:lang w:val="en-GB"/>
        </w:rPr>
        <w:t xml:space="preserve">, </w:t>
      </w:r>
      <w:r w:rsidRPr="00C1421E">
        <w:rPr>
          <w:lang w:val="en-GB"/>
        </w:rPr>
        <w:t>Russian Federation</w:t>
      </w:r>
      <w:r w:rsidR="00A703AD">
        <w:rPr>
          <w:lang w:val="en-GB"/>
        </w:rPr>
        <w:t xml:space="preserve">, </w:t>
      </w:r>
      <w:r w:rsidRPr="00C1421E">
        <w:rPr>
          <w:lang w:val="en-GB"/>
        </w:rPr>
        <w:t>21 May 2019</w:t>
      </w:r>
      <w:r w:rsidR="004A0BAC" w:rsidRPr="00C1421E">
        <w:rPr>
          <w:lang w:val="en-GB"/>
        </w:rPr>
        <w:t>: 23 participants.</w:t>
      </w:r>
    </w:p>
    <w:p w14:paraId="5D6ED3B2" w14:textId="5342E998" w:rsidR="001803D3" w:rsidRPr="001C37A8" w:rsidRDefault="001803D3" w:rsidP="00C95497">
      <w:pPr>
        <w:numPr>
          <w:ilvl w:val="0"/>
          <w:numId w:val="66"/>
        </w:numPr>
      </w:pPr>
      <w:r w:rsidRPr="001C37A8">
        <w:t>SG11</w:t>
      </w:r>
      <w:r w:rsidR="00611AFD" w:rsidRPr="001C37A8">
        <w:t>-RGEECAT</w:t>
      </w:r>
      <w:r w:rsidRPr="001C37A8">
        <w:t xml:space="preserve">: </w:t>
      </w:r>
      <w:r w:rsidRPr="00C1421E">
        <w:rPr>
          <w:lang w:val="en-GB"/>
        </w:rPr>
        <w:t>Saint Petersburg</w:t>
      </w:r>
      <w:r w:rsidR="00A703AD">
        <w:rPr>
          <w:lang w:val="en-GB"/>
        </w:rPr>
        <w:t xml:space="preserve">, </w:t>
      </w:r>
      <w:r w:rsidRPr="00C1421E">
        <w:rPr>
          <w:lang w:val="en-GB"/>
        </w:rPr>
        <w:t>Russian Federation,</w:t>
      </w:r>
      <w:r w:rsidR="001C37A8">
        <w:rPr>
          <w:lang w:val="en-GB"/>
        </w:rPr>
        <w:t xml:space="preserve"> </w:t>
      </w:r>
      <w:proofErr w:type="gramStart"/>
      <w:r w:rsidR="000D066D" w:rsidRPr="00C1421E">
        <w:rPr>
          <w:lang w:val="en-GB"/>
        </w:rPr>
        <w:t>21</w:t>
      </w:r>
      <w:proofErr w:type="gramEnd"/>
      <w:r w:rsidR="000D066D" w:rsidRPr="00C1421E">
        <w:rPr>
          <w:lang w:val="en-GB"/>
        </w:rPr>
        <w:t xml:space="preserve">-22 </w:t>
      </w:r>
      <w:r w:rsidRPr="00C1421E">
        <w:rPr>
          <w:lang w:val="en-GB"/>
        </w:rPr>
        <w:t>May 2019</w:t>
      </w:r>
      <w:r w:rsidR="004A0BAC" w:rsidRPr="00C1421E">
        <w:rPr>
          <w:lang w:val="en-GB"/>
        </w:rPr>
        <w:t>: 23 participants.</w:t>
      </w:r>
    </w:p>
    <w:p w14:paraId="66BBCC91" w14:textId="490860CF" w:rsidR="001803D3" w:rsidRPr="001C37A8" w:rsidRDefault="00246F84" w:rsidP="00C95497">
      <w:pPr>
        <w:numPr>
          <w:ilvl w:val="0"/>
          <w:numId w:val="66"/>
        </w:numPr>
      </w:pPr>
      <w:r w:rsidRPr="001C37A8">
        <w:t>SG13</w:t>
      </w:r>
      <w:r w:rsidR="00611AFD" w:rsidRPr="001C37A8">
        <w:t>-RGEECAT</w:t>
      </w:r>
      <w:r w:rsidRPr="001C37A8">
        <w:t xml:space="preserve">: </w:t>
      </w:r>
      <w:r w:rsidRPr="00C1421E">
        <w:rPr>
          <w:lang w:val="en-GB"/>
        </w:rPr>
        <w:t>Saint Petersburg, Russian Federation</w:t>
      </w:r>
      <w:r w:rsidR="00A703AD">
        <w:rPr>
          <w:lang w:val="en-GB"/>
        </w:rPr>
        <w:t>, 23 May 2019</w:t>
      </w:r>
      <w:r w:rsidR="001216FB" w:rsidRPr="00C1421E">
        <w:rPr>
          <w:lang w:val="en-GB"/>
        </w:rPr>
        <w:t xml:space="preserve">: </w:t>
      </w:r>
      <w:r w:rsidR="00713380" w:rsidRPr="00C1421E">
        <w:rPr>
          <w:lang w:val="en-GB"/>
        </w:rPr>
        <w:t>25</w:t>
      </w:r>
      <w:r w:rsidR="001216FB" w:rsidRPr="00C1421E">
        <w:rPr>
          <w:lang w:val="en-GB"/>
        </w:rPr>
        <w:t xml:space="preserve"> participants.</w:t>
      </w:r>
    </w:p>
    <w:p w14:paraId="66D5E295" w14:textId="6176B0F3" w:rsidR="00246F84" w:rsidRPr="001C37A8" w:rsidRDefault="00A84A17" w:rsidP="00C95497">
      <w:pPr>
        <w:numPr>
          <w:ilvl w:val="0"/>
          <w:numId w:val="66"/>
        </w:numPr>
      </w:pPr>
      <w:r w:rsidRPr="001C37A8">
        <w:t>SG20</w:t>
      </w:r>
      <w:r w:rsidR="00611AFD" w:rsidRPr="001C37A8">
        <w:t>-RGEECAT</w:t>
      </w:r>
      <w:r w:rsidRPr="001C37A8">
        <w:t xml:space="preserve">: </w:t>
      </w:r>
      <w:r w:rsidR="00A703AD">
        <w:t xml:space="preserve">Minsk, Belarus, </w:t>
      </w:r>
      <w:r w:rsidRPr="00C1421E">
        <w:rPr>
          <w:lang w:val="en-GB"/>
        </w:rPr>
        <w:t>26-28 Fe</w:t>
      </w:r>
      <w:r w:rsidR="000D066D" w:rsidRPr="00C1421E">
        <w:rPr>
          <w:lang w:val="en-GB"/>
        </w:rPr>
        <w:t xml:space="preserve">bruary </w:t>
      </w:r>
      <w:r w:rsidRPr="00C1421E">
        <w:rPr>
          <w:lang w:val="en-GB"/>
        </w:rPr>
        <w:t>2019</w:t>
      </w:r>
      <w:r w:rsidR="00142F3D" w:rsidRPr="00C1421E">
        <w:rPr>
          <w:lang w:val="en-GB"/>
        </w:rPr>
        <w:t>: 30 participants.</w:t>
      </w:r>
    </w:p>
    <w:p w14:paraId="4C016292" w14:textId="5F8AC5C2" w:rsidR="006944F8" w:rsidRPr="00C1421E" w:rsidRDefault="00D64AF8" w:rsidP="006944F8">
      <w:pPr>
        <w:pStyle w:val="Heading2"/>
      </w:pPr>
      <w:bookmarkStart w:id="119" w:name="_Toc18509759"/>
      <w:r w:rsidRPr="00C1421E">
        <w:t>7</w:t>
      </w:r>
      <w:r w:rsidR="006944F8" w:rsidRPr="00C1421E">
        <w:t>.3</w:t>
      </w:r>
      <w:r w:rsidR="006944F8" w:rsidRPr="00C1421E">
        <w:tab/>
      </w:r>
      <w:r w:rsidRPr="00C1421E">
        <w:t xml:space="preserve">Regional </w:t>
      </w:r>
      <w:r w:rsidR="006944F8" w:rsidRPr="00C1421E">
        <w:t>Standardization Forums</w:t>
      </w:r>
      <w:bookmarkEnd w:id="118"/>
      <w:bookmarkEnd w:id="119"/>
    </w:p>
    <w:p w14:paraId="6C2F48D0" w14:textId="216F4C9F" w:rsidR="006944F8" w:rsidRPr="00C1421E" w:rsidRDefault="006944F8" w:rsidP="006944F8">
      <w:pPr>
        <w:rPr>
          <w:lang w:val="en-GB"/>
        </w:rPr>
      </w:pPr>
      <w:r w:rsidRPr="00C1421E">
        <w:rPr>
          <w:lang w:val="en-GB"/>
        </w:rPr>
        <w:t xml:space="preserve">Regional Standardization Forums </w:t>
      </w:r>
      <w:r w:rsidR="00A74E8B" w:rsidRPr="00C1421E">
        <w:rPr>
          <w:lang w:val="en-GB"/>
        </w:rPr>
        <w:t xml:space="preserve">(RSFs) </w:t>
      </w:r>
      <w:r w:rsidRPr="00C1421E">
        <w:rPr>
          <w:lang w:val="en-GB"/>
        </w:rPr>
        <w:t xml:space="preserve">provide tutorials on ITU-T working methods as well as more technically-oriented themes such as human exposure to </w:t>
      </w:r>
      <w:r w:rsidR="00E738E0">
        <w:rPr>
          <w:lang w:val="en-GB"/>
        </w:rPr>
        <w:t>electromagnetic fields</w:t>
      </w:r>
      <w:r w:rsidRPr="00C1421E">
        <w:rPr>
          <w:lang w:val="en-GB"/>
        </w:rPr>
        <w:t xml:space="preserve">, quality of </w:t>
      </w:r>
      <w:r w:rsidRPr="00C1421E">
        <w:rPr>
          <w:lang w:val="en-GB"/>
        </w:rPr>
        <w:lastRenderedPageBreak/>
        <w:t>service, smart water management, international mobile roaming, mobile financial services, digital identity, big data, and security and trust.</w:t>
      </w:r>
    </w:p>
    <w:p w14:paraId="696FDA3E" w14:textId="7E30EA46" w:rsidR="00A74E8B" w:rsidRPr="00C1421E" w:rsidRDefault="006944F8" w:rsidP="00410E97">
      <w:pPr>
        <w:spacing w:after="120"/>
        <w:rPr>
          <w:lang w:val="en-GB"/>
        </w:rPr>
      </w:pPr>
      <w:r w:rsidRPr="00C1421E">
        <w:rPr>
          <w:lang w:val="en-GB"/>
        </w:rPr>
        <w:t>R</w:t>
      </w:r>
      <w:r w:rsidR="00A74E8B" w:rsidRPr="00C1421E">
        <w:rPr>
          <w:lang w:val="en-GB"/>
        </w:rPr>
        <w:t xml:space="preserve">SFs are being held in conjunction with meetings Regional Groups to improve the alignment of RSF discussions and the </w:t>
      </w:r>
      <w:r w:rsidRPr="00C1421E">
        <w:rPr>
          <w:lang w:val="en-GB"/>
        </w:rPr>
        <w:t xml:space="preserve">priorities of ITU-T </w:t>
      </w:r>
      <w:r w:rsidR="00A74E8B" w:rsidRPr="00C1421E">
        <w:rPr>
          <w:lang w:val="en-GB"/>
        </w:rPr>
        <w:t>S</w:t>
      </w:r>
      <w:r w:rsidRPr="00C1421E">
        <w:rPr>
          <w:lang w:val="en-GB"/>
        </w:rPr>
        <w:t xml:space="preserve">tudy </w:t>
      </w:r>
      <w:r w:rsidR="00A74E8B" w:rsidRPr="00C1421E">
        <w:rPr>
          <w:lang w:val="en-GB"/>
        </w:rPr>
        <w:t>G</w:t>
      </w:r>
      <w:r w:rsidRPr="00C1421E">
        <w:rPr>
          <w:lang w:val="en-GB"/>
        </w:rPr>
        <w:t xml:space="preserve">roups, </w:t>
      </w:r>
      <w:r w:rsidR="00A74E8B" w:rsidRPr="00C1421E">
        <w:rPr>
          <w:lang w:val="en-GB"/>
        </w:rPr>
        <w:t xml:space="preserve">being </w:t>
      </w:r>
      <w:r w:rsidRPr="00C1421E">
        <w:rPr>
          <w:lang w:val="en-GB"/>
        </w:rPr>
        <w:t xml:space="preserve">held in coordination with </w:t>
      </w:r>
      <w:r w:rsidR="00A74E8B" w:rsidRPr="00C1421E">
        <w:rPr>
          <w:lang w:val="en-GB"/>
        </w:rPr>
        <w:t>R</w:t>
      </w:r>
      <w:r w:rsidRPr="00C1421E">
        <w:rPr>
          <w:lang w:val="en-GB"/>
        </w:rPr>
        <w:t>egional</w:t>
      </w:r>
      <w:r w:rsidR="00A74E8B" w:rsidRPr="00C1421E">
        <w:rPr>
          <w:lang w:val="en-GB"/>
        </w:rPr>
        <w:t xml:space="preserve"> G</w:t>
      </w:r>
      <w:r w:rsidRPr="00C1421E">
        <w:rPr>
          <w:lang w:val="en-GB"/>
        </w:rPr>
        <w:t xml:space="preserve">roups. RSFs are also raising awareness of our standards activities through the participation of key decision makers (Prime </w:t>
      </w:r>
      <w:r w:rsidR="00A74E8B" w:rsidRPr="00C1421E">
        <w:rPr>
          <w:lang w:val="en-GB"/>
        </w:rPr>
        <w:t>M</w:t>
      </w:r>
      <w:r w:rsidRPr="00C1421E">
        <w:rPr>
          <w:lang w:val="en-GB"/>
        </w:rPr>
        <w:t xml:space="preserve">inisters, Ministers, </w:t>
      </w:r>
      <w:r w:rsidR="00A74E8B" w:rsidRPr="00C1421E">
        <w:rPr>
          <w:lang w:val="en-GB"/>
        </w:rPr>
        <w:t>H</w:t>
      </w:r>
      <w:r w:rsidRPr="00C1421E">
        <w:rPr>
          <w:lang w:val="en-GB"/>
        </w:rPr>
        <w:t>ead</w:t>
      </w:r>
      <w:r w:rsidR="00A74E8B" w:rsidRPr="00C1421E">
        <w:rPr>
          <w:lang w:val="en-GB"/>
        </w:rPr>
        <w:t>s</w:t>
      </w:r>
      <w:r w:rsidRPr="00C1421E">
        <w:rPr>
          <w:lang w:val="en-GB"/>
        </w:rPr>
        <w:t xml:space="preserve"> of Regulators, C</w:t>
      </w:r>
      <w:r w:rsidR="00A74E8B" w:rsidRPr="00C1421E">
        <w:rPr>
          <w:lang w:val="en-GB"/>
        </w:rPr>
        <w:t>E</w:t>
      </w:r>
      <w:r w:rsidRPr="00C1421E">
        <w:rPr>
          <w:lang w:val="en-GB"/>
        </w:rPr>
        <w:t>Os</w:t>
      </w:r>
      <w:r w:rsidR="00A74E8B" w:rsidRPr="00C1421E">
        <w:rPr>
          <w:lang w:val="en-GB"/>
        </w:rPr>
        <w:t>,</w:t>
      </w:r>
      <w:r w:rsidRPr="00C1421E">
        <w:rPr>
          <w:lang w:val="en-GB"/>
        </w:rPr>
        <w:t xml:space="preserve"> etc</w:t>
      </w:r>
      <w:r w:rsidR="00A74E8B" w:rsidRPr="00C1421E">
        <w:rPr>
          <w:lang w:val="en-GB"/>
        </w:rPr>
        <w:t>.)</w:t>
      </w:r>
      <w:r w:rsidR="00B34CEA" w:rsidRPr="00C1421E">
        <w:rPr>
          <w:lang w:val="en-GB"/>
        </w:rPr>
        <w:t>.</w:t>
      </w:r>
    </w:p>
    <w:p w14:paraId="2242F2AC" w14:textId="7D24B16C" w:rsidR="00644206" w:rsidRPr="001C37A8" w:rsidRDefault="006944F8" w:rsidP="008A2F29">
      <w:pPr>
        <w:spacing w:after="120"/>
      </w:pPr>
      <w:r w:rsidRPr="00C1421E">
        <w:rPr>
          <w:lang w:val="en-GB"/>
        </w:rPr>
        <w:t xml:space="preserve">The </w:t>
      </w:r>
      <w:hyperlink r:id="rId126" w:history="1">
        <w:r w:rsidR="00644206" w:rsidRPr="00C1421E">
          <w:rPr>
            <w:bCs/>
            <w:color w:val="0000FF"/>
            <w:u w:val="single"/>
            <w:lang w:val="en-GB"/>
          </w:rPr>
          <w:t>ITU Regional Standardization Forum on Emerging Economic, Regulatory and Policy Trends in a Fast-Changing Digital World</w:t>
        </w:r>
      </w:hyperlink>
      <w:r w:rsidR="00644206" w:rsidRPr="00C1421E">
        <w:rPr>
          <w:lang w:val="en-GB"/>
        </w:rPr>
        <w:t xml:space="preserve"> </w:t>
      </w:r>
      <w:r w:rsidR="00E738E0">
        <w:rPr>
          <w:lang w:val="en-GB"/>
        </w:rPr>
        <w:t xml:space="preserve">was held in </w:t>
      </w:r>
      <w:r w:rsidR="00644206" w:rsidRPr="00C1421E">
        <w:rPr>
          <w:lang w:val="en-GB"/>
        </w:rPr>
        <w:t>Kuwait City, Kuwait, 17 December 2018.</w:t>
      </w:r>
    </w:p>
    <w:p w14:paraId="65E0F8BE" w14:textId="63D9EFEE" w:rsidR="006944F8" w:rsidRPr="00C1421E" w:rsidRDefault="00D64AF8" w:rsidP="0033393D">
      <w:pPr>
        <w:pStyle w:val="Heading2"/>
      </w:pPr>
      <w:bookmarkStart w:id="120" w:name="_Toc475354525"/>
      <w:bookmarkStart w:id="121" w:name="_Toc480527850"/>
      <w:bookmarkStart w:id="122" w:name="_Toc18509760"/>
      <w:r w:rsidRPr="00C1421E">
        <w:t>7</w:t>
      </w:r>
      <w:r w:rsidR="006944F8" w:rsidRPr="00C1421E">
        <w:t>.4</w:t>
      </w:r>
      <w:r w:rsidR="006944F8" w:rsidRPr="00C1421E">
        <w:tab/>
      </w:r>
      <w:bookmarkStart w:id="123" w:name="_Toc475354527"/>
      <w:bookmarkStart w:id="124" w:name="_Toc480527852"/>
      <w:bookmarkEnd w:id="120"/>
      <w:bookmarkEnd w:id="121"/>
      <w:r w:rsidR="006944F8" w:rsidRPr="00C1421E">
        <w:t>National Standardization Secretariats</w:t>
      </w:r>
      <w:bookmarkEnd w:id="122"/>
    </w:p>
    <w:p w14:paraId="382E70EC" w14:textId="7EF52342" w:rsidR="006944F8" w:rsidRPr="008A2F29" w:rsidRDefault="006944F8" w:rsidP="008A2F29">
      <w:pPr>
        <w:keepNext/>
        <w:keepLines/>
        <w:rPr>
          <w:lang w:val="en-GB"/>
        </w:rPr>
      </w:pPr>
      <w:r w:rsidRPr="008A2F29">
        <w:rPr>
          <w:lang w:val="en-GB"/>
        </w:rPr>
        <w:t xml:space="preserve">ITU-T </w:t>
      </w:r>
      <w:r w:rsidR="000C01CD" w:rsidRPr="008A2F29">
        <w:rPr>
          <w:lang w:val="en-GB"/>
        </w:rPr>
        <w:t>has</w:t>
      </w:r>
      <w:r w:rsidRPr="008A2F29">
        <w:rPr>
          <w:lang w:val="en-GB"/>
        </w:rPr>
        <w:t xml:space="preserve"> finali</w:t>
      </w:r>
      <w:r w:rsidR="000C01CD" w:rsidRPr="008A2F29">
        <w:rPr>
          <w:lang w:val="en-GB"/>
        </w:rPr>
        <w:t>zed</w:t>
      </w:r>
      <w:r w:rsidRPr="008A2F29">
        <w:rPr>
          <w:lang w:val="en-GB"/>
        </w:rPr>
        <w:t xml:space="preserve"> </w:t>
      </w:r>
      <w:hyperlink r:id="rId127" w:history="1">
        <w:r w:rsidRPr="008A2F29">
          <w:rPr>
            <w:rStyle w:val="Hyperlink"/>
          </w:rPr>
          <w:t xml:space="preserve">new Guidelines for </w:t>
        </w:r>
        <w:r w:rsidR="00A74E8B" w:rsidRPr="008A2F29">
          <w:rPr>
            <w:rStyle w:val="Hyperlink"/>
          </w:rPr>
          <w:t>National Standardization Secretariats (</w:t>
        </w:r>
        <w:r w:rsidRPr="008A2F29">
          <w:rPr>
            <w:rStyle w:val="Hyperlink"/>
          </w:rPr>
          <w:t>NSS</w:t>
        </w:r>
        <w:r w:rsidR="00A74E8B" w:rsidRPr="008A2F29">
          <w:rPr>
            <w:rStyle w:val="Hyperlink"/>
          </w:rPr>
          <w:t>)</w:t>
        </w:r>
      </w:hyperlink>
      <w:r w:rsidR="00A74E8B" w:rsidRPr="008A2F29">
        <w:rPr>
          <w:lang w:val="en-GB"/>
        </w:rPr>
        <w:t>,</w:t>
      </w:r>
      <w:r w:rsidRPr="008A2F29">
        <w:rPr>
          <w:lang w:val="en-GB"/>
        </w:rPr>
        <w:t xml:space="preserve"> taking in</w:t>
      </w:r>
      <w:r w:rsidR="007D74A5" w:rsidRPr="008A2F29">
        <w:rPr>
          <w:lang w:val="en-GB"/>
        </w:rPr>
        <w:t>to</w:t>
      </w:r>
      <w:r w:rsidRPr="008A2F29">
        <w:rPr>
          <w:lang w:val="en-GB"/>
        </w:rPr>
        <w:t xml:space="preserve"> account the Membership feedback on the </w:t>
      </w:r>
      <w:r w:rsidR="000C01CD" w:rsidRPr="004B6D09">
        <w:rPr>
          <w:lang w:val="en-GB"/>
        </w:rPr>
        <w:t>Guidelines</w:t>
      </w:r>
      <w:r w:rsidR="007D74A5" w:rsidRPr="008A2F29">
        <w:rPr>
          <w:lang w:val="en-GB"/>
        </w:rPr>
        <w:t xml:space="preserve"> first </w:t>
      </w:r>
      <w:r w:rsidRPr="008A2F29">
        <w:rPr>
          <w:lang w:val="en-GB"/>
        </w:rPr>
        <w:t>published in 2014. The new Guid</w:t>
      </w:r>
      <w:r w:rsidR="007D74A5" w:rsidRPr="008A2F29">
        <w:rPr>
          <w:lang w:val="en-GB"/>
        </w:rPr>
        <w:t>e</w:t>
      </w:r>
      <w:r w:rsidRPr="008A2F29">
        <w:rPr>
          <w:lang w:val="en-GB"/>
        </w:rPr>
        <w:t xml:space="preserve">lines set out a number of options for developing national procedures and processes </w:t>
      </w:r>
      <w:r w:rsidR="00A74E8B" w:rsidRPr="008A2F29">
        <w:rPr>
          <w:lang w:val="en-GB"/>
        </w:rPr>
        <w:t xml:space="preserve">to support </w:t>
      </w:r>
      <w:r w:rsidRPr="008A2F29">
        <w:rPr>
          <w:lang w:val="en-GB"/>
        </w:rPr>
        <w:t>effective participati</w:t>
      </w:r>
      <w:r w:rsidR="00A74E8B" w:rsidRPr="008A2F29">
        <w:rPr>
          <w:lang w:val="en-GB"/>
        </w:rPr>
        <w:t>on</w:t>
      </w:r>
      <w:r w:rsidRPr="008A2F29">
        <w:rPr>
          <w:lang w:val="en-GB"/>
        </w:rPr>
        <w:t xml:space="preserve"> in the ITU-T</w:t>
      </w:r>
      <w:r w:rsidR="00A74E8B" w:rsidRPr="008A2F29">
        <w:rPr>
          <w:lang w:val="en-GB"/>
        </w:rPr>
        <w:t xml:space="preserve"> standards-development process</w:t>
      </w:r>
      <w:r w:rsidRPr="008A2F29">
        <w:rPr>
          <w:lang w:val="en-GB"/>
        </w:rPr>
        <w:t>.</w:t>
      </w:r>
      <w:r w:rsidR="004B6D09">
        <w:rPr>
          <w:lang w:val="en-GB"/>
        </w:rPr>
        <w:t xml:space="preserve"> </w:t>
      </w:r>
      <w:r w:rsidRPr="008A2F29">
        <w:rPr>
          <w:lang w:val="en-GB"/>
        </w:rPr>
        <w:t>A</w:t>
      </w:r>
      <w:r w:rsidR="00A74E8B" w:rsidRPr="008A2F29">
        <w:rPr>
          <w:lang w:val="en-GB"/>
        </w:rPr>
        <w:t xml:space="preserve">n NSS, </w:t>
      </w:r>
      <w:r w:rsidRPr="008A2F29">
        <w:rPr>
          <w:lang w:val="en-GB"/>
        </w:rPr>
        <w:t>as described in this document</w:t>
      </w:r>
      <w:r w:rsidR="00A74E8B" w:rsidRPr="008A2F29">
        <w:rPr>
          <w:lang w:val="en-GB"/>
        </w:rPr>
        <w:t xml:space="preserve">, </w:t>
      </w:r>
      <w:r w:rsidRPr="008A2F29">
        <w:rPr>
          <w:lang w:val="en-GB"/>
        </w:rPr>
        <w:t>is the full set of arrangements by which participation in and contributions to ITU-T are coordinated within a country</w:t>
      </w:r>
      <w:r w:rsidR="00342279" w:rsidRPr="008A2F29">
        <w:rPr>
          <w:lang w:val="en-GB"/>
        </w:rPr>
        <w:t xml:space="preserve">. </w:t>
      </w:r>
    </w:p>
    <w:p w14:paraId="68AEEC85" w14:textId="3BC906F0" w:rsidR="006944F8" w:rsidRPr="008A2F29" w:rsidRDefault="006944F8" w:rsidP="009E5FFA">
      <w:pPr>
        <w:rPr>
          <w:lang w:val="en-GB"/>
        </w:rPr>
      </w:pPr>
      <w:r w:rsidRPr="008A2F29">
        <w:rPr>
          <w:lang w:val="en-GB"/>
        </w:rPr>
        <w:t>An extensive set of functions that a</w:t>
      </w:r>
      <w:r w:rsidR="00342279" w:rsidRPr="008A2F29">
        <w:rPr>
          <w:lang w:val="en-GB"/>
        </w:rPr>
        <w:t>n NSS</w:t>
      </w:r>
      <w:r w:rsidRPr="008A2F29">
        <w:rPr>
          <w:lang w:val="en-GB"/>
        </w:rPr>
        <w:t xml:space="preserve"> could perform are presented</w:t>
      </w:r>
      <w:r w:rsidR="00342279" w:rsidRPr="008A2F29">
        <w:rPr>
          <w:lang w:val="en-GB"/>
        </w:rPr>
        <w:t>,</w:t>
      </w:r>
      <w:r w:rsidRPr="008A2F29">
        <w:rPr>
          <w:lang w:val="en-GB"/>
        </w:rPr>
        <w:t xml:space="preserve"> </w:t>
      </w:r>
      <w:r w:rsidR="00342279" w:rsidRPr="008A2F29">
        <w:rPr>
          <w:lang w:val="en-GB"/>
        </w:rPr>
        <w:t xml:space="preserve">enabling a country to </w:t>
      </w:r>
      <w:r w:rsidRPr="008A2F29">
        <w:rPr>
          <w:lang w:val="en-GB"/>
        </w:rPr>
        <w:t>select functions and organizational arrangements in a modular fashion</w:t>
      </w:r>
      <w:r w:rsidR="00342279" w:rsidRPr="008A2F29">
        <w:rPr>
          <w:lang w:val="en-GB"/>
        </w:rPr>
        <w:t xml:space="preserve">, </w:t>
      </w:r>
      <w:r w:rsidRPr="008A2F29">
        <w:rPr>
          <w:lang w:val="en-GB"/>
        </w:rPr>
        <w:t>considering factors such as its telecommunication standardization policies</w:t>
      </w:r>
      <w:r w:rsidR="00342279" w:rsidRPr="008A2F29">
        <w:rPr>
          <w:lang w:val="en-GB"/>
        </w:rPr>
        <w:t>;</w:t>
      </w:r>
      <w:r w:rsidRPr="008A2F29">
        <w:rPr>
          <w:lang w:val="en-GB"/>
        </w:rPr>
        <w:t xml:space="preserve"> the number and type of organizations with an interest in telecommunication standardization in the country (e.g. number of service providers, equipment manufacturers and academic </w:t>
      </w:r>
      <w:r w:rsidR="00342279" w:rsidRPr="008A2F29">
        <w:rPr>
          <w:lang w:val="en-GB"/>
        </w:rPr>
        <w:t xml:space="preserve">and research </w:t>
      </w:r>
      <w:r w:rsidRPr="008A2F29">
        <w:rPr>
          <w:lang w:val="en-GB"/>
        </w:rPr>
        <w:t>institutes)</w:t>
      </w:r>
      <w:r w:rsidR="00342279" w:rsidRPr="008A2F29">
        <w:rPr>
          <w:lang w:val="en-GB"/>
        </w:rPr>
        <w:t>;</w:t>
      </w:r>
      <w:r w:rsidRPr="008A2F29">
        <w:rPr>
          <w:lang w:val="en-GB"/>
        </w:rPr>
        <w:t xml:space="preserve"> and the level of participation in ITU-T Study Groups (e.g. whether as an initiator of work items, active contributor or observer in</w:t>
      </w:r>
      <w:r w:rsidR="007D74A5" w:rsidRPr="008A2F29">
        <w:rPr>
          <w:lang w:val="en-GB"/>
        </w:rPr>
        <w:t xml:space="preserve"> </w:t>
      </w:r>
      <w:r w:rsidRPr="008A2F29">
        <w:rPr>
          <w:lang w:val="en-GB"/>
        </w:rPr>
        <w:t xml:space="preserve">one or more </w:t>
      </w:r>
      <w:r w:rsidR="00342279" w:rsidRPr="008A2F29">
        <w:rPr>
          <w:lang w:val="en-GB"/>
        </w:rPr>
        <w:t xml:space="preserve">ITU-T </w:t>
      </w:r>
      <w:r w:rsidRPr="008A2F29">
        <w:rPr>
          <w:lang w:val="en-GB"/>
        </w:rPr>
        <w:t>Study Groups).</w:t>
      </w:r>
    </w:p>
    <w:p w14:paraId="19B4928B" w14:textId="2A1C0313" w:rsidR="006944F8" w:rsidRPr="00C1421E" w:rsidRDefault="00D64AF8" w:rsidP="006944F8">
      <w:pPr>
        <w:pStyle w:val="Heading2"/>
        <w:keepNext w:val="0"/>
        <w:keepLines w:val="0"/>
      </w:pPr>
      <w:bookmarkStart w:id="125" w:name="_Toc18509761"/>
      <w:r w:rsidRPr="00C1421E">
        <w:t>7</w:t>
      </w:r>
      <w:r w:rsidR="006944F8" w:rsidRPr="00C1421E">
        <w:t>.5</w:t>
      </w:r>
      <w:r w:rsidR="006944F8" w:rsidRPr="00C1421E">
        <w:tab/>
        <w:t>e-Learning courses</w:t>
      </w:r>
      <w:bookmarkEnd w:id="123"/>
      <w:bookmarkEnd w:id="124"/>
      <w:bookmarkEnd w:id="125"/>
    </w:p>
    <w:p w14:paraId="37E9736F" w14:textId="632F237E" w:rsidR="00C95497" w:rsidRPr="008A2F29" w:rsidRDefault="00342279" w:rsidP="001C37A8">
      <w:pPr>
        <w:rPr>
          <w:lang w:val="en-GB"/>
        </w:rPr>
      </w:pPr>
      <w:r w:rsidRPr="008A2F29">
        <w:rPr>
          <w:rFonts w:eastAsia="SimSun"/>
          <w:lang w:val="en-GB"/>
        </w:rPr>
        <w:t>O</w:t>
      </w:r>
      <w:r w:rsidR="006944F8" w:rsidRPr="008A2F29">
        <w:rPr>
          <w:rFonts w:eastAsia="SimSun"/>
          <w:lang w:val="en-GB"/>
        </w:rPr>
        <w:t xml:space="preserve">ne of the </w:t>
      </w:r>
      <w:r w:rsidRPr="008A2F29">
        <w:rPr>
          <w:rFonts w:eastAsia="SimSun"/>
          <w:lang w:val="en-GB"/>
        </w:rPr>
        <w:t xml:space="preserve">BSG </w:t>
      </w:r>
      <w:r w:rsidR="006944F8" w:rsidRPr="008A2F29">
        <w:rPr>
          <w:rFonts w:eastAsia="SimSun"/>
          <w:lang w:val="en-GB"/>
        </w:rPr>
        <w:t xml:space="preserve">measures adopted under </w:t>
      </w:r>
      <w:r w:rsidRPr="008A2F29">
        <w:rPr>
          <w:rFonts w:eastAsia="SimSun"/>
          <w:lang w:val="en-GB"/>
        </w:rPr>
        <w:t xml:space="preserve">WTSA </w:t>
      </w:r>
      <w:r w:rsidR="006944F8" w:rsidRPr="008A2F29">
        <w:rPr>
          <w:rFonts w:eastAsia="SimSun"/>
          <w:lang w:val="en-GB"/>
        </w:rPr>
        <w:t xml:space="preserve">Resolution 44 </w:t>
      </w:r>
      <w:r w:rsidR="004B6D09" w:rsidRPr="008A2F29">
        <w:rPr>
          <w:rFonts w:eastAsia="SimSun"/>
          <w:lang w:val="en-GB"/>
        </w:rPr>
        <w:t xml:space="preserve">calls for the exploration of </w:t>
      </w:r>
      <w:r w:rsidR="006944F8" w:rsidRPr="008A2F29">
        <w:rPr>
          <w:rFonts w:eastAsia="SimSun"/>
          <w:lang w:val="en-GB"/>
        </w:rPr>
        <w:t>e-learning channels for training on ITU-T Recommendations.</w:t>
      </w:r>
      <w:r w:rsidR="004B6D09" w:rsidRPr="008A2F29">
        <w:rPr>
          <w:rFonts w:eastAsia="SimSun"/>
          <w:lang w:val="en-GB"/>
        </w:rPr>
        <w:t xml:space="preserve"> </w:t>
      </w:r>
      <w:r w:rsidR="00C95497" w:rsidRPr="008A2F29">
        <w:rPr>
          <w:rFonts w:eastAsia="SimSun"/>
        </w:rPr>
        <w:t xml:space="preserve">These </w:t>
      </w:r>
      <w:r w:rsidR="004B6D09" w:rsidRPr="008A2F29">
        <w:rPr>
          <w:rFonts w:eastAsia="SimSun"/>
        </w:rPr>
        <w:t xml:space="preserve">training </w:t>
      </w:r>
      <w:r w:rsidR="00C95497" w:rsidRPr="008A2F29">
        <w:rPr>
          <w:rFonts w:eastAsia="SimSun"/>
        </w:rPr>
        <w:t>courses are available on the ITU Academy website at</w:t>
      </w:r>
      <w:r w:rsidR="00C95497" w:rsidRPr="008A2F29">
        <w:rPr>
          <w:lang w:val="en-GB"/>
        </w:rPr>
        <w:t xml:space="preserve"> </w:t>
      </w:r>
      <w:hyperlink r:id="rId128" w:history="1">
        <w:r w:rsidR="00C95497" w:rsidRPr="008A2F29">
          <w:rPr>
            <w:rStyle w:val="Hyperlink"/>
            <w:rFonts w:cstheme="majorBidi"/>
            <w:szCs w:val="24"/>
            <w:lang w:val="en-GB"/>
          </w:rPr>
          <w:t>http://academy.itu.int</w:t>
        </w:r>
      </w:hyperlink>
      <w:r w:rsidR="00C95497" w:rsidRPr="008A2F29">
        <w:rPr>
          <w:lang w:val="en-GB"/>
        </w:rPr>
        <w:t>.</w:t>
      </w:r>
    </w:p>
    <w:p w14:paraId="2B12F9DD" w14:textId="6CF84FB8" w:rsidR="004B6D09" w:rsidRPr="00C95497" w:rsidRDefault="004B6D09" w:rsidP="004B6D09">
      <w:pPr>
        <w:rPr>
          <w:rFonts w:eastAsia="SimSun"/>
          <w:lang w:val="en-GB"/>
        </w:rPr>
      </w:pPr>
      <w:r w:rsidRPr="008A2F29">
        <w:rPr>
          <w:rFonts w:eastAsia="SimSun"/>
          <w:lang w:val="en-GB"/>
        </w:rPr>
        <w:t>The most recent addition to the ITU Academia platform</w:t>
      </w:r>
      <w:r w:rsidRPr="004B6D09">
        <w:rPr>
          <w:rFonts w:eastAsia="SimSun"/>
          <w:lang w:val="en-GB"/>
        </w:rPr>
        <w:t xml:space="preserve"> trains developers of systems compliant with ITU-T F.921 “</w:t>
      </w:r>
      <w:r w:rsidRPr="008A2F29">
        <w:rPr>
          <w:rFonts w:eastAsia="SimSun"/>
        </w:rPr>
        <w:t>Audio-based indoor and outdoor network navigation system for persons with vision impairment</w:t>
      </w:r>
      <w:r w:rsidRPr="004B6D09">
        <w:rPr>
          <w:rFonts w:eastAsia="SimSun"/>
          <w:lang w:val="en-GB"/>
        </w:rPr>
        <w:t>”. The course was developed by Wayfindr, in collaboration with TSB and BDT.</w:t>
      </w:r>
    </w:p>
    <w:p w14:paraId="721089DF" w14:textId="68446F92" w:rsidR="006944F8" w:rsidRPr="00C1421E" w:rsidRDefault="00D64AF8" w:rsidP="006944F8">
      <w:pPr>
        <w:pStyle w:val="Heading2"/>
      </w:pPr>
      <w:bookmarkStart w:id="126" w:name="_Toc475354528"/>
      <w:bookmarkStart w:id="127" w:name="_Toc480527853"/>
      <w:bookmarkStart w:id="128" w:name="_Toc18509762"/>
      <w:r w:rsidRPr="00C1421E">
        <w:t>7</w:t>
      </w:r>
      <w:r w:rsidR="006944F8" w:rsidRPr="00C1421E">
        <w:t>.6</w:t>
      </w:r>
      <w:r w:rsidR="006944F8" w:rsidRPr="00C1421E">
        <w:tab/>
        <w:t>Study Group Mentoring Programme</w:t>
      </w:r>
      <w:bookmarkEnd w:id="126"/>
      <w:bookmarkEnd w:id="127"/>
      <w:bookmarkEnd w:id="128"/>
    </w:p>
    <w:p w14:paraId="7F861396" w14:textId="77777777" w:rsidR="006944F8" w:rsidRPr="00C1421E" w:rsidRDefault="006944F8" w:rsidP="002013A1">
      <w:pPr>
        <w:rPr>
          <w:lang w:val="en-GB"/>
        </w:rPr>
      </w:pPr>
      <w:r w:rsidRPr="00C1421E">
        <w:rPr>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C1421E" w:rsidRDefault="00D64AF8" w:rsidP="006944F8">
      <w:pPr>
        <w:pStyle w:val="Heading2"/>
      </w:pPr>
      <w:bookmarkStart w:id="129" w:name="_Toc480527855"/>
      <w:bookmarkStart w:id="130" w:name="_Toc18509763"/>
      <w:r w:rsidRPr="00C1421E">
        <w:t>7</w:t>
      </w:r>
      <w:r w:rsidR="006944F8" w:rsidRPr="00C1421E">
        <w:t>.7</w:t>
      </w:r>
      <w:r w:rsidR="006944F8" w:rsidRPr="00C1421E">
        <w:tab/>
        <w:t>Technical Papers</w:t>
      </w:r>
      <w:bookmarkEnd w:id="129"/>
      <w:bookmarkEnd w:id="130"/>
    </w:p>
    <w:p w14:paraId="06C2E0C6" w14:textId="372EF11B" w:rsidR="006944F8" w:rsidRPr="00C1421E" w:rsidRDefault="006944F8" w:rsidP="006944F8">
      <w:pPr>
        <w:rPr>
          <w:lang w:val="en-GB"/>
        </w:rPr>
      </w:pPr>
      <w:r w:rsidRPr="00C1421E">
        <w:rPr>
          <w:lang w:val="en-GB"/>
        </w:rPr>
        <w:t>A series of technical reports and papers produced provide additional information for developing countries on best practices in implementing ITU-T Recommendations. See</w:t>
      </w:r>
      <w:r w:rsidR="00B72A2A" w:rsidRPr="00C1421E">
        <w:rPr>
          <w:lang w:val="en-GB"/>
        </w:rPr>
        <w:t xml:space="preserve"> the</w:t>
      </w:r>
      <w:r w:rsidRPr="00C1421E">
        <w:rPr>
          <w:lang w:val="en-GB"/>
        </w:rPr>
        <w:t xml:space="preserve"> technical reports and papers </w:t>
      </w:r>
      <w:hyperlink r:id="rId129" w:history="1">
        <w:r w:rsidRPr="00C1421E">
          <w:rPr>
            <w:rStyle w:val="Hyperlink"/>
            <w:rFonts w:asciiTheme="majorBidi" w:hAnsiTheme="majorBidi" w:cstheme="majorBidi"/>
            <w:lang w:val="en-GB"/>
          </w:rPr>
          <w:t>web page</w:t>
        </w:r>
      </w:hyperlink>
      <w:r w:rsidRPr="00C1421E">
        <w:rPr>
          <w:lang w:val="en-GB"/>
        </w:rPr>
        <w:t>.</w:t>
      </w:r>
    </w:p>
    <w:p w14:paraId="7D35C0FA" w14:textId="55860658" w:rsidR="006944F8" w:rsidRPr="00C1421E" w:rsidRDefault="00D64AF8" w:rsidP="006944F8">
      <w:pPr>
        <w:pStyle w:val="Heading2"/>
      </w:pPr>
      <w:bookmarkStart w:id="131" w:name="_Toc480527856"/>
      <w:bookmarkStart w:id="132" w:name="_Toc18509764"/>
      <w:r w:rsidRPr="00C1421E">
        <w:t>7</w:t>
      </w:r>
      <w:r w:rsidR="006944F8" w:rsidRPr="00C1421E">
        <w:t>.8</w:t>
      </w:r>
      <w:r w:rsidR="006944F8" w:rsidRPr="00C1421E">
        <w:tab/>
        <w:t>Fellowships</w:t>
      </w:r>
      <w:bookmarkEnd w:id="131"/>
      <w:bookmarkEnd w:id="132"/>
    </w:p>
    <w:p w14:paraId="123927BE" w14:textId="1C914EB0" w:rsidR="006944F8" w:rsidRPr="001C37A8" w:rsidRDefault="006944F8" w:rsidP="00BA096E">
      <w:pPr>
        <w:spacing w:after="120"/>
        <w:rPr>
          <w:lang w:val="en-GB"/>
        </w:rPr>
      </w:pPr>
      <w:bookmarkStart w:id="133" w:name="_Toc462664265"/>
      <w:bookmarkStart w:id="134" w:name="_Toc462665590"/>
      <w:bookmarkStart w:id="135" w:name="_Toc462669176"/>
      <w:r w:rsidRPr="001C37A8">
        <w:rPr>
          <w:lang w:val="en-GB"/>
        </w:rPr>
        <w:t xml:space="preserve">The table below shows the fellowships awarded during the period from </w:t>
      </w:r>
      <w:r w:rsidR="00083CD9" w:rsidRPr="001C37A8">
        <w:rPr>
          <w:lang w:val="en-GB"/>
        </w:rPr>
        <w:t xml:space="preserve">October </w:t>
      </w:r>
      <w:r w:rsidRPr="001C37A8">
        <w:rPr>
          <w:lang w:val="en-GB"/>
        </w:rPr>
        <w:t xml:space="preserve">2018 until </w:t>
      </w:r>
      <w:r w:rsidR="00083CD9" w:rsidRPr="001C37A8">
        <w:rPr>
          <w:lang w:val="en-GB"/>
        </w:rPr>
        <w:t>July 2019</w:t>
      </w:r>
      <w:r w:rsidRPr="001C37A8">
        <w:rPr>
          <w:lang w:val="en-GB"/>
        </w:rPr>
        <w:t xml:space="preserve">. </w:t>
      </w:r>
      <w:r w:rsidR="00083CD9" w:rsidRPr="001C37A8">
        <w:rPr>
          <w:lang w:val="en-GB"/>
        </w:rPr>
        <w:t xml:space="preserve">252 </w:t>
      </w:r>
      <w:r w:rsidRPr="001C37A8">
        <w:rPr>
          <w:lang w:val="en-GB"/>
        </w:rPr>
        <w:t xml:space="preserve">fellowships were requested and </w:t>
      </w:r>
      <w:r w:rsidR="00083CD9" w:rsidRPr="001C37A8">
        <w:rPr>
          <w:lang w:val="en-GB"/>
        </w:rPr>
        <w:t xml:space="preserve">205 </w:t>
      </w:r>
      <w:r w:rsidRPr="001C37A8">
        <w:rPr>
          <w:lang w:val="en-GB"/>
        </w:rPr>
        <w:t xml:space="preserve">fellowships were awarded. Of the </w:t>
      </w:r>
      <w:r w:rsidR="00083CD9" w:rsidRPr="001C37A8">
        <w:rPr>
          <w:lang w:val="en-GB"/>
        </w:rPr>
        <w:t xml:space="preserve">205 </w:t>
      </w:r>
      <w:r w:rsidRPr="001C37A8">
        <w:rPr>
          <w:lang w:val="en-GB"/>
        </w:rPr>
        <w:t xml:space="preserve">fellowships awarded, </w:t>
      </w:r>
      <w:r w:rsidR="00083CD9" w:rsidRPr="001C37A8">
        <w:rPr>
          <w:lang w:val="en-GB"/>
        </w:rPr>
        <w:t xml:space="preserve">155 </w:t>
      </w:r>
      <w:r w:rsidRPr="001C37A8">
        <w:rPr>
          <w:lang w:val="en-GB"/>
        </w:rPr>
        <w:t xml:space="preserve">fellowships were used and </w:t>
      </w:r>
      <w:r w:rsidR="00083CD9" w:rsidRPr="001C37A8">
        <w:rPr>
          <w:lang w:val="en-GB"/>
        </w:rPr>
        <w:t xml:space="preserve">50 </w:t>
      </w:r>
      <w:r w:rsidRPr="001C37A8">
        <w:rPr>
          <w:lang w:val="en-GB"/>
        </w:rPr>
        <w:t>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6944F8" w:rsidRPr="00C1421E" w14:paraId="350E5586" w14:textId="77777777" w:rsidTr="007339CE">
        <w:trPr>
          <w:cantSplit/>
          <w:tblHeader/>
        </w:trPr>
        <w:tc>
          <w:tcPr>
            <w:tcW w:w="3828" w:type="dxa"/>
            <w:vMerge w:val="restart"/>
            <w:shd w:val="clear" w:color="auto" w:fill="B8CCE4" w:themeFill="accent1" w:themeFillTint="66"/>
            <w:vAlign w:val="center"/>
          </w:tcPr>
          <w:p w14:paraId="35B64D4F" w14:textId="77777777" w:rsidR="006944F8" w:rsidRPr="00C1421E" w:rsidRDefault="006944F8" w:rsidP="00C1421E">
            <w:pPr>
              <w:pStyle w:val="Tablehead"/>
            </w:pPr>
            <w:r w:rsidRPr="00C1421E">
              <w:lastRenderedPageBreak/>
              <w:t>Meeting</w:t>
            </w:r>
          </w:p>
        </w:tc>
        <w:tc>
          <w:tcPr>
            <w:tcW w:w="3260" w:type="dxa"/>
            <w:gridSpan w:val="2"/>
            <w:shd w:val="clear" w:color="auto" w:fill="B8CCE4" w:themeFill="accent1" w:themeFillTint="66"/>
            <w:vAlign w:val="center"/>
          </w:tcPr>
          <w:p w14:paraId="2DC0ACC3" w14:textId="77777777" w:rsidR="006944F8" w:rsidRPr="00C1421E" w:rsidRDefault="006944F8" w:rsidP="00C1421E">
            <w:pPr>
              <w:pStyle w:val="Tablehead"/>
            </w:pPr>
            <w:r w:rsidRPr="00C1421E">
              <w:t>Fellows</w:t>
            </w:r>
          </w:p>
        </w:tc>
        <w:tc>
          <w:tcPr>
            <w:tcW w:w="2551" w:type="dxa"/>
            <w:vMerge w:val="restart"/>
            <w:shd w:val="clear" w:color="auto" w:fill="B8CCE4" w:themeFill="accent1" w:themeFillTint="66"/>
            <w:vAlign w:val="center"/>
          </w:tcPr>
          <w:p w14:paraId="53B07F3E" w14:textId="77777777" w:rsidR="006944F8" w:rsidRPr="00C1421E" w:rsidRDefault="006944F8" w:rsidP="00C1421E">
            <w:pPr>
              <w:pStyle w:val="Tablehead"/>
            </w:pPr>
            <w:r w:rsidRPr="00C1421E">
              <w:t>Total</w:t>
            </w:r>
          </w:p>
        </w:tc>
      </w:tr>
      <w:tr w:rsidR="006944F8" w:rsidRPr="00C1421E" w14:paraId="0D2401B7" w14:textId="77777777" w:rsidTr="007339CE">
        <w:trPr>
          <w:cantSplit/>
          <w:tblHeader/>
        </w:trPr>
        <w:tc>
          <w:tcPr>
            <w:tcW w:w="3828" w:type="dxa"/>
            <w:vMerge/>
            <w:shd w:val="clear" w:color="auto" w:fill="B8CCE4" w:themeFill="accent1" w:themeFillTint="66"/>
            <w:vAlign w:val="center"/>
          </w:tcPr>
          <w:p w14:paraId="01F3D405" w14:textId="77777777" w:rsidR="006944F8" w:rsidRPr="00C1421E" w:rsidRDefault="006944F8" w:rsidP="00C1421E">
            <w:pPr>
              <w:pStyle w:val="Tablehead"/>
              <w:rPr>
                <w:highlight w:val="yellow"/>
              </w:rPr>
            </w:pPr>
          </w:p>
        </w:tc>
        <w:tc>
          <w:tcPr>
            <w:tcW w:w="1701" w:type="dxa"/>
            <w:shd w:val="clear" w:color="auto" w:fill="B8CCE4" w:themeFill="accent1" w:themeFillTint="66"/>
            <w:vAlign w:val="center"/>
          </w:tcPr>
          <w:p w14:paraId="02196B3C" w14:textId="77777777" w:rsidR="006944F8" w:rsidRPr="00C1421E" w:rsidRDefault="006944F8" w:rsidP="00C1421E">
            <w:pPr>
              <w:pStyle w:val="Tablehead"/>
            </w:pPr>
            <w:r w:rsidRPr="00C1421E">
              <w:t>Female</w:t>
            </w:r>
          </w:p>
        </w:tc>
        <w:tc>
          <w:tcPr>
            <w:tcW w:w="1559" w:type="dxa"/>
            <w:shd w:val="clear" w:color="auto" w:fill="B8CCE4" w:themeFill="accent1" w:themeFillTint="66"/>
            <w:vAlign w:val="center"/>
          </w:tcPr>
          <w:p w14:paraId="24337EBE" w14:textId="77777777" w:rsidR="006944F8" w:rsidRPr="00C1421E" w:rsidRDefault="006944F8" w:rsidP="00C1421E">
            <w:pPr>
              <w:pStyle w:val="Tablehead"/>
            </w:pPr>
            <w:r w:rsidRPr="00C1421E">
              <w:t>Male</w:t>
            </w:r>
          </w:p>
        </w:tc>
        <w:tc>
          <w:tcPr>
            <w:tcW w:w="2551" w:type="dxa"/>
            <w:vMerge/>
            <w:shd w:val="clear" w:color="auto" w:fill="B8CCE4" w:themeFill="accent1" w:themeFillTint="66"/>
            <w:vAlign w:val="center"/>
          </w:tcPr>
          <w:p w14:paraId="6692145C" w14:textId="77777777" w:rsidR="006944F8" w:rsidRPr="00C1421E" w:rsidRDefault="006944F8" w:rsidP="00C1421E">
            <w:pPr>
              <w:pStyle w:val="Tablehead"/>
              <w:rPr>
                <w:highlight w:val="yellow"/>
              </w:rPr>
            </w:pPr>
          </w:p>
        </w:tc>
      </w:tr>
      <w:tr w:rsidR="00083CD9" w:rsidRPr="00C1421E" w14:paraId="088BE528" w14:textId="77777777" w:rsidTr="007339CE">
        <w:tc>
          <w:tcPr>
            <w:tcW w:w="3828" w:type="dxa"/>
          </w:tcPr>
          <w:p w14:paraId="3E8B29AF" w14:textId="31D2996A"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w:t>
            </w:r>
            <w:r w:rsidRPr="00C1421E">
              <w:rPr>
                <w:lang w:val="en-GB"/>
              </w:rPr>
              <w:t>15</w:t>
            </w:r>
            <w:r w:rsidR="00E738E0">
              <w:rPr>
                <w:lang w:val="en-GB"/>
              </w:rPr>
              <w:t>,</w:t>
            </w:r>
            <w:r w:rsidR="00E738E0">
              <w:rPr>
                <w:i/>
                <w:iCs/>
                <w:lang w:val="en-GB"/>
              </w:rPr>
              <w:t xml:space="preserve"> </w:t>
            </w:r>
            <w:r w:rsidRPr="008A2F29">
              <w:rPr>
                <w:iCs/>
                <w:lang w:val="en-GB"/>
              </w:rPr>
              <w:t>Geneva, 8</w:t>
            </w:r>
            <w:r w:rsidR="00E738E0" w:rsidRPr="008A2F29">
              <w:rPr>
                <w:iCs/>
                <w:lang w:val="en-GB"/>
              </w:rPr>
              <w:t>-</w:t>
            </w:r>
            <w:r w:rsidRPr="008A2F29">
              <w:rPr>
                <w:iCs/>
                <w:lang w:val="en-GB"/>
              </w:rPr>
              <w:t>19 October 2018</w:t>
            </w:r>
          </w:p>
        </w:tc>
        <w:tc>
          <w:tcPr>
            <w:tcW w:w="1701" w:type="dxa"/>
          </w:tcPr>
          <w:p w14:paraId="7BCAFE2E" w14:textId="591735A0" w:rsidR="00083CD9" w:rsidRPr="00C1421E" w:rsidRDefault="00083CD9" w:rsidP="00C1421E">
            <w:pPr>
              <w:pStyle w:val="TableText0"/>
              <w:jc w:val="center"/>
              <w:rPr>
                <w:highlight w:val="yellow"/>
                <w:lang w:val="en-GB"/>
              </w:rPr>
            </w:pPr>
            <w:r w:rsidRPr="00C1421E">
              <w:rPr>
                <w:lang w:val="en-GB"/>
              </w:rPr>
              <w:t>0</w:t>
            </w:r>
          </w:p>
        </w:tc>
        <w:tc>
          <w:tcPr>
            <w:tcW w:w="1559" w:type="dxa"/>
          </w:tcPr>
          <w:p w14:paraId="35862239" w14:textId="77544C06"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2 cancelled</w:t>
            </w:r>
            <w:r w:rsidR="00E738E0">
              <w:rPr>
                <w:lang w:val="en-GB"/>
              </w:rPr>
              <w:t>)</w:t>
            </w:r>
          </w:p>
        </w:tc>
        <w:tc>
          <w:tcPr>
            <w:tcW w:w="2551" w:type="dxa"/>
          </w:tcPr>
          <w:p w14:paraId="75DBB3C1" w14:textId="036F4E4D" w:rsidR="00083CD9" w:rsidRPr="00C1421E" w:rsidRDefault="00083CD9" w:rsidP="00C1421E">
            <w:pPr>
              <w:pStyle w:val="TableText0"/>
              <w:rPr>
                <w:highlight w:val="yellow"/>
                <w:lang w:val="en-GB"/>
              </w:rPr>
            </w:pPr>
            <w:r w:rsidRPr="00C1421E">
              <w:rPr>
                <w:lang w:val="en-GB"/>
              </w:rPr>
              <w:t>9 fellowships awarded</w:t>
            </w:r>
            <w:r w:rsidR="00E738E0">
              <w:rPr>
                <w:lang w:val="en-GB"/>
              </w:rPr>
              <w:t>,</w:t>
            </w:r>
            <w:r w:rsidRPr="00C1421E">
              <w:rPr>
                <w:lang w:val="en-GB"/>
              </w:rPr>
              <w:br/>
              <w:t>7 participants</w:t>
            </w:r>
          </w:p>
        </w:tc>
      </w:tr>
      <w:tr w:rsidR="00083CD9" w:rsidRPr="00C1421E" w14:paraId="46E396AF" w14:textId="77777777" w:rsidTr="007339CE">
        <w:tc>
          <w:tcPr>
            <w:tcW w:w="3828" w:type="dxa"/>
          </w:tcPr>
          <w:p w14:paraId="4743E01D" w14:textId="403315EC" w:rsidR="00083CD9" w:rsidRPr="00C1421E" w:rsidRDefault="00083CD9" w:rsidP="00C1421E">
            <w:pPr>
              <w:pStyle w:val="TableText0"/>
              <w:rPr>
                <w:highlight w:val="yellow"/>
                <w:lang w:val="en-GB"/>
              </w:rPr>
            </w:pPr>
            <w:r w:rsidRPr="00C1421E">
              <w:rPr>
                <w:lang w:val="en-GB"/>
              </w:rPr>
              <w:t>ITU-T S</w:t>
            </w:r>
            <w:r w:rsidR="00E738E0">
              <w:rPr>
                <w:lang w:val="en-GB"/>
              </w:rPr>
              <w:t>G</w:t>
            </w:r>
            <w:r w:rsidRPr="00C1421E">
              <w:rPr>
                <w:lang w:val="en-GB"/>
              </w:rPr>
              <w:t>17RG-ARB</w:t>
            </w:r>
            <w:r w:rsidR="00E738E0">
              <w:rPr>
                <w:lang w:val="en-GB"/>
              </w:rPr>
              <w:t xml:space="preserve">, </w:t>
            </w:r>
            <w:r w:rsidRPr="008A2F29">
              <w:rPr>
                <w:iCs/>
                <w:lang w:val="en-GB"/>
              </w:rPr>
              <w:t>Kuwait City, Kuwait</w:t>
            </w:r>
            <w:r w:rsidR="00E738E0" w:rsidRPr="008A2F29">
              <w:rPr>
                <w:iCs/>
                <w:lang w:val="en-GB"/>
              </w:rPr>
              <w:t xml:space="preserve">, </w:t>
            </w:r>
            <w:r w:rsidRPr="008A2F29">
              <w:rPr>
                <w:iCs/>
                <w:lang w:val="en-GB"/>
              </w:rPr>
              <w:t>25 October 2018</w:t>
            </w:r>
          </w:p>
        </w:tc>
        <w:tc>
          <w:tcPr>
            <w:tcW w:w="1701" w:type="dxa"/>
          </w:tcPr>
          <w:p w14:paraId="11F997FF" w14:textId="3DFEC98E" w:rsidR="00083CD9" w:rsidRPr="00C1421E" w:rsidRDefault="00083CD9" w:rsidP="00C1421E">
            <w:pPr>
              <w:pStyle w:val="TableText0"/>
              <w:jc w:val="center"/>
              <w:rPr>
                <w:highlight w:val="yellow"/>
                <w:lang w:val="en-GB"/>
              </w:rPr>
            </w:pPr>
            <w:r w:rsidRPr="00C1421E">
              <w:rPr>
                <w:lang w:val="en-GB"/>
              </w:rPr>
              <w:t>0</w:t>
            </w:r>
          </w:p>
        </w:tc>
        <w:tc>
          <w:tcPr>
            <w:tcW w:w="1559" w:type="dxa"/>
          </w:tcPr>
          <w:p w14:paraId="2F48D4D9" w14:textId="728726F2" w:rsidR="00083CD9" w:rsidRPr="00C1421E" w:rsidRDefault="00083CD9" w:rsidP="00C1421E">
            <w:pPr>
              <w:pStyle w:val="TableText0"/>
              <w:jc w:val="center"/>
              <w:rPr>
                <w:highlight w:val="yellow"/>
                <w:lang w:val="en-GB"/>
              </w:rPr>
            </w:pPr>
            <w:r w:rsidRPr="00C1421E">
              <w:rPr>
                <w:lang w:val="en-GB"/>
              </w:rPr>
              <w:t>2</w:t>
            </w:r>
          </w:p>
        </w:tc>
        <w:tc>
          <w:tcPr>
            <w:tcW w:w="2551" w:type="dxa"/>
          </w:tcPr>
          <w:p w14:paraId="181A600D" w14:textId="4A2F33E1" w:rsidR="00083CD9" w:rsidRPr="00C1421E" w:rsidRDefault="00083CD9" w:rsidP="00C1421E">
            <w:pPr>
              <w:pStyle w:val="TableText0"/>
              <w:rPr>
                <w:highlight w:val="yellow"/>
                <w:lang w:val="en-GB"/>
              </w:rPr>
            </w:pPr>
            <w:r w:rsidRPr="00C1421E">
              <w:rPr>
                <w:lang w:val="en-GB"/>
              </w:rPr>
              <w:t>2 fellowships awarded, 2 participants</w:t>
            </w:r>
          </w:p>
        </w:tc>
      </w:tr>
      <w:tr w:rsidR="00083CD9" w:rsidRPr="00C1421E" w14:paraId="209D9782" w14:textId="77777777" w:rsidTr="007339CE">
        <w:tc>
          <w:tcPr>
            <w:tcW w:w="3828" w:type="dxa"/>
          </w:tcPr>
          <w:p w14:paraId="07D15E54" w14:textId="2F5D63D1" w:rsidR="00083CD9" w:rsidRPr="00F54903" w:rsidRDefault="00083CD9" w:rsidP="00C1421E">
            <w:pPr>
              <w:pStyle w:val="TableText0"/>
              <w:rPr>
                <w:highlight w:val="yellow"/>
                <w:lang w:val="es-ES"/>
              </w:rPr>
            </w:pPr>
            <w:r w:rsidRPr="00F54903">
              <w:rPr>
                <w:lang w:val="es-ES"/>
              </w:rPr>
              <w:t xml:space="preserve">ITU-T </w:t>
            </w:r>
            <w:r w:rsidR="00E738E0" w:rsidRPr="00F54903">
              <w:rPr>
                <w:lang w:val="es-ES"/>
              </w:rPr>
              <w:t>SG</w:t>
            </w:r>
            <w:r w:rsidRPr="00F54903">
              <w:rPr>
                <w:lang w:val="es-ES"/>
              </w:rPr>
              <w:t>9</w:t>
            </w:r>
            <w:r w:rsidR="00E738E0" w:rsidRPr="00F54903">
              <w:rPr>
                <w:lang w:val="es-ES"/>
              </w:rPr>
              <w:t xml:space="preserve">, </w:t>
            </w:r>
            <w:r w:rsidRPr="00F54903">
              <w:rPr>
                <w:lang w:val="es-ES"/>
              </w:rPr>
              <w:t>Bogota, Colombia, 21</w:t>
            </w:r>
            <w:r w:rsidR="00E738E0" w:rsidRPr="00F54903">
              <w:rPr>
                <w:lang w:val="es-ES"/>
              </w:rPr>
              <w:t>-</w:t>
            </w:r>
            <w:r w:rsidRPr="00F54903">
              <w:rPr>
                <w:lang w:val="es-ES"/>
              </w:rPr>
              <w:t xml:space="preserve">28 </w:t>
            </w:r>
            <w:proofErr w:type="spellStart"/>
            <w:r w:rsidRPr="00F54903">
              <w:rPr>
                <w:lang w:val="es-ES"/>
              </w:rPr>
              <w:t>November</w:t>
            </w:r>
            <w:proofErr w:type="spellEnd"/>
            <w:r w:rsidRPr="00F54903">
              <w:rPr>
                <w:lang w:val="es-ES"/>
              </w:rPr>
              <w:t xml:space="preserve"> 2018</w:t>
            </w:r>
          </w:p>
        </w:tc>
        <w:tc>
          <w:tcPr>
            <w:tcW w:w="1701" w:type="dxa"/>
          </w:tcPr>
          <w:p w14:paraId="061C6E7F" w14:textId="31FCCF96" w:rsidR="00083CD9" w:rsidRPr="00C1421E" w:rsidRDefault="00083CD9" w:rsidP="00C1421E">
            <w:pPr>
              <w:pStyle w:val="TableText0"/>
              <w:jc w:val="center"/>
              <w:rPr>
                <w:highlight w:val="yellow"/>
                <w:lang w:val="en-GB"/>
              </w:rPr>
            </w:pPr>
            <w:r w:rsidRPr="00C1421E">
              <w:rPr>
                <w:lang w:val="en-GB"/>
              </w:rPr>
              <w:t>0</w:t>
            </w:r>
          </w:p>
        </w:tc>
        <w:tc>
          <w:tcPr>
            <w:tcW w:w="1559" w:type="dxa"/>
          </w:tcPr>
          <w:p w14:paraId="0BC7B789" w14:textId="2CCB14C1" w:rsidR="00083CD9" w:rsidRPr="00C1421E" w:rsidRDefault="00083CD9" w:rsidP="00C1421E">
            <w:pPr>
              <w:pStyle w:val="TableText0"/>
              <w:jc w:val="center"/>
              <w:rPr>
                <w:highlight w:val="yellow"/>
                <w:lang w:val="en-GB"/>
              </w:rPr>
            </w:pPr>
            <w:r w:rsidRPr="00C1421E">
              <w:rPr>
                <w:lang w:val="en-GB"/>
              </w:rPr>
              <w:t xml:space="preserve">1 </w:t>
            </w:r>
            <w:r w:rsidR="00E738E0">
              <w:rPr>
                <w:lang w:val="en-GB"/>
              </w:rPr>
              <w:t>(</w:t>
            </w:r>
            <w:r w:rsidRPr="00C1421E">
              <w:rPr>
                <w:lang w:val="en-GB"/>
              </w:rPr>
              <w:t>2 cancelled</w:t>
            </w:r>
            <w:r w:rsidR="00E738E0">
              <w:rPr>
                <w:lang w:val="en-GB"/>
              </w:rPr>
              <w:t>)</w:t>
            </w:r>
          </w:p>
        </w:tc>
        <w:tc>
          <w:tcPr>
            <w:tcW w:w="2551" w:type="dxa"/>
          </w:tcPr>
          <w:p w14:paraId="07D8BB7E" w14:textId="3CE00805" w:rsidR="00083CD9" w:rsidRPr="00C1421E" w:rsidRDefault="00083CD9" w:rsidP="00C1421E">
            <w:pPr>
              <w:pStyle w:val="TableText0"/>
              <w:rPr>
                <w:highlight w:val="yellow"/>
                <w:lang w:val="en-GB"/>
              </w:rPr>
            </w:pPr>
            <w:r w:rsidRPr="00C1421E">
              <w:rPr>
                <w:lang w:val="en-GB"/>
              </w:rPr>
              <w:t>3 fellowships awarded, 1 participant</w:t>
            </w:r>
          </w:p>
        </w:tc>
      </w:tr>
      <w:tr w:rsidR="00083CD9" w:rsidRPr="00C1421E" w14:paraId="7D476F46" w14:textId="77777777" w:rsidTr="007339CE">
        <w:tc>
          <w:tcPr>
            <w:tcW w:w="3828" w:type="dxa"/>
          </w:tcPr>
          <w:p w14:paraId="6D03D05C" w14:textId="581B7383"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w:t>
            </w:r>
            <w:r w:rsidRPr="00C1421E">
              <w:rPr>
                <w:lang w:val="en-GB"/>
              </w:rPr>
              <w:t>12</w:t>
            </w:r>
            <w:r w:rsidR="00E738E0">
              <w:rPr>
                <w:lang w:val="en-GB"/>
              </w:rPr>
              <w:t>,</w:t>
            </w:r>
            <w:r w:rsidR="00E738E0">
              <w:rPr>
                <w:i/>
                <w:iCs/>
                <w:lang w:val="en-GB"/>
              </w:rPr>
              <w:t xml:space="preserve"> </w:t>
            </w:r>
            <w:r w:rsidRPr="008A2F29">
              <w:rPr>
                <w:iCs/>
                <w:lang w:val="en-GB"/>
              </w:rPr>
              <w:t>Geneva, 27 November to 6 December 2018</w:t>
            </w:r>
          </w:p>
        </w:tc>
        <w:tc>
          <w:tcPr>
            <w:tcW w:w="1701" w:type="dxa"/>
          </w:tcPr>
          <w:p w14:paraId="465D458B" w14:textId="6FB4054B" w:rsidR="00083CD9" w:rsidRPr="00C1421E" w:rsidRDefault="00083CD9" w:rsidP="00C1421E">
            <w:pPr>
              <w:pStyle w:val="TableText0"/>
              <w:jc w:val="center"/>
              <w:rPr>
                <w:highlight w:val="yellow"/>
                <w:lang w:val="en-GB"/>
              </w:rPr>
            </w:pPr>
            <w:r w:rsidRPr="00C1421E">
              <w:rPr>
                <w:lang w:val="en-GB"/>
              </w:rPr>
              <w:t>1</w:t>
            </w:r>
          </w:p>
        </w:tc>
        <w:tc>
          <w:tcPr>
            <w:tcW w:w="1559" w:type="dxa"/>
          </w:tcPr>
          <w:p w14:paraId="0341C389" w14:textId="683C12B8" w:rsidR="00083CD9" w:rsidRPr="00C1421E" w:rsidRDefault="00083CD9" w:rsidP="00C1421E">
            <w:pPr>
              <w:pStyle w:val="TableText0"/>
              <w:jc w:val="center"/>
              <w:rPr>
                <w:highlight w:val="yellow"/>
                <w:lang w:val="en-GB"/>
              </w:rPr>
            </w:pPr>
            <w:r w:rsidRPr="00C1421E">
              <w:rPr>
                <w:lang w:val="en-GB"/>
              </w:rPr>
              <w:t>8</w:t>
            </w:r>
          </w:p>
        </w:tc>
        <w:tc>
          <w:tcPr>
            <w:tcW w:w="2551" w:type="dxa"/>
          </w:tcPr>
          <w:p w14:paraId="0CF710AD" w14:textId="7C41BA54" w:rsidR="00083CD9" w:rsidRPr="00C1421E" w:rsidRDefault="00083CD9" w:rsidP="00C1421E">
            <w:pPr>
              <w:pStyle w:val="TableText0"/>
              <w:rPr>
                <w:highlight w:val="yellow"/>
                <w:lang w:val="en-GB"/>
              </w:rPr>
            </w:pPr>
            <w:r w:rsidRPr="00C1421E">
              <w:rPr>
                <w:lang w:val="en-GB"/>
              </w:rPr>
              <w:t>9 fellowships awarded, 9 participants</w:t>
            </w:r>
          </w:p>
        </w:tc>
      </w:tr>
      <w:tr w:rsidR="00083CD9" w:rsidRPr="00C1421E" w14:paraId="3330FEE0" w14:textId="77777777" w:rsidTr="007339CE">
        <w:tc>
          <w:tcPr>
            <w:tcW w:w="3828" w:type="dxa"/>
          </w:tcPr>
          <w:p w14:paraId="2CCDC777" w14:textId="057834F5"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SG20</w:t>
            </w:r>
            <w:r w:rsidR="00E738E0">
              <w:rPr>
                <w:i/>
                <w:iCs/>
                <w:lang w:val="en-GB"/>
              </w:rPr>
              <w:t xml:space="preserve">, </w:t>
            </w:r>
            <w:r w:rsidRPr="008A2F29">
              <w:rPr>
                <w:iCs/>
                <w:lang w:val="en-GB"/>
              </w:rPr>
              <w:t>Wuxi, China, 3 - 13 December 2018</w:t>
            </w:r>
          </w:p>
        </w:tc>
        <w:tc>
          <w:tcPr>
            <w:tcW w:w="1701" w:type="dxa"/>
          </w:tcPr>
          <w:p w14:paraId="6D69DCD8" w14:textId="32CBAA48" w:rsidR="00083CD9" w:rsidRPr="00C1421E" w:rsidRDefault="00083CD9" w:rsidP="00C1421E">
            <w:pPr>
              <w:pStyle w:val="TableText0"/>
              <w:jc w:val="center"/>
              <w:rPr>
                <w:highlight w:val="yellow"/>
                <w:lang w:val="en-GB"/>
              </w:rPr>
            </w:pPr>
            <w:r w:rsidRPr="00C1421E">
              <w:rPr>
                <w:lang w:val="en-GB"/>
              </w:rPr>
              <w:t>1</w:t>
            </w:r>
          </w:p>
        </w:tc>
        <w:tc>
          <w:tcPr>
            <w:tcW w:w="1559" w:type="dxa"/>
          </w:tcPr>
          <w:p w14:paraId="114A48A7" w14:textId="6F945080" w:rsidR="00083CD9" w:rsidRPr="00C1421E" w:rsidRDefault="00083CD9" w:rsidP="00C1421E">
            <w:pPr>
              <w:pStyle w:val="TableText0"/>
              <w:jc w:val="center"/>
              <w:rPr>
                <w:highlight w:val="yellow"/>
                <w:lang w:val="en-GB"/>
              </w:rPr>
            </w:pPr>
            <w:r w:rsidRPr="00C1421E">
              <w:rPr>
                <w:lang w:val="en-GB"/>
              </w:rPr>
              <w:t>4</w:t>
            </w:r>
            <w:r w:rsidR="00E738E0">
              <w:rPr>
                <w:lang w:val="en-GB"/>
              </w:rPr>
              <w:t xml:space="preserve"> (</w:t>
            </w:r>
            <w:r w:rsidRPr="00C1421E">
              <w:rPr>
                <w:lang w:val="en-GB"/>
              </w:rPr>
              <w:t>3 cancelled</w:t>
            </w:r>
            <w:r w:rsidR="00E738E0">
              <w:rPr>
                <w:lang w:val="en-GB"/>
              </w:rPr>
              <w:t>)</w:t>
            </w:r>
          </w:p>
        </w:tc>
        <w:tc>
          <w:tcPr>
            <w:tcW w:w="2551" w:type="dxa"/>
          </w:tcPr>
          <w:p w14:paraId="69D1DDA5" w14:textId="2300F3E6" w:rsidR="00083CD9" w:rsidRPr="00C1421E" w:rsidRDefault="00083CD9" w:rsidP="00C1421E">
            <w:pPr>
              <w:pStyle w:val="TableText0"/>
              <w:rPr>
                <w:highlight w:val="yellow"/>
                <w:lang w:val="en-GB"/>
              </w:rPr>
            </w:pPr>
            <w:r w:rsidRPr="00C1421E">
              <w:rPr>
                <w:lang w:val="en-GB"/>
              </w:rPr>
              <w:t>8 fellowships awarded, 5 participants</w:t>
            </w:r>
          </w:p>
        </w:tc>
      </w:tr>
      <w:tr w:rsidR="00083CD9" w:rsidRPr="00C1421E" w14:paraId="406E1AE8" w14:textId="77777777" w:rsidTr="007339CE">
        <w:tc>
          <w:tcPr>
            <w:tcW w:w="3828" w:type="dxa"/>
          </w:tcPr>
          <w:p w14:paraId="5616B91A" w14:textId="4BFA4F8D" w:rsidR="00083CD9" w:rsidRPr="00E738E0" w:rsidRDefault="00083CD9" w:rsidP="00C1421E">
            <w:pPr>
              <w:pStyle w:val="TableText0"/>
              <w:rPr>
                <w:highlight w:val="yellow"/>
                <w:lang w:val="en-GB"/>
              </w:rPr>
            </w:pPr>
            <w:r w:rsidRPr="00C1421E">
              <w:rPr>
                <w:lang w:val="en-GB"/>
              </w:rPr>
              <w:t xml:space="preserve">ITU-T </w:t>
            </w:r>
            <w:r w:rsidR="00E738E0">
              <w:rPr>
                <w:lang w:val="en-GB"/>
              </w:rPr>
              <w:t>SG</w:t>
            </w:r>
            <w:r w:rsidRPr="00C1421E">
              <w:rPr>
                <w:lang w:val="en-GB"/>
              </w:rPr>
              <w:t>2RG-ARB and SG2RG-AFR</w:t>
            </w:r>
            <w:r w:rsidR="00E738E0">
              <w:rPr>
                <w:lang w:val="en-GB"/>
              </w:rPr>
              <w:t>,</w:t>
            </w:r>
            <w:r w:rsidR="006025E0">
              <w:rPr>
                <w:iCs/>
                <w:lang w:val="en-GB"/>
              </w:rPr>
              <w:t xml:space="preserve"> </w:t>
            </w:r>
            <w:r w:rsidRPr="008A2F29">
              <w:rPr>
                <w:iCs/>
                <w:lang w:val="en-GB"/>
              </w:rPr>
              <w:t>Cairo, Egypt 4-6 December 2018</w:t>
            </w:r>
          </w:p>
        </w:tc>
        <w:tc>
          <w:tcPr>
            <w:tcW w:w="1701" w:type="dxa"/>
          </w:tcPr>
          <w:p w14:paraId="40C806B8" w14:textId="5CCABDCC"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2 cancelled</w:t>
            </w:r>
            <w:r w:rsidR="00E738E0">
              <w:rPr>
                <w:lang w:val="en-GB"/>
              </w:rPr>
              <w:t>)</w:t>
            </w:r>
          </w:p>
        </w:tc>
        <w:tc>
          <w:tcPr>
            <w:tcW w:w="1559" w:type="dxa"/>
          </w:tcPr>
          <w:p w14:paraId="54B68660" w14:textId="68E01253"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3 cancelled</w:t>
            </w:r>
            <w:r w:rsidR="00E738E0">
              <w:rPr>
                <w:lang w:val="en-GB"/>
              </w:rPr>
              <w:t>)</w:t>
            </w:r>
          </w:p>
        </w:tc>
        <w:tc>
          <w:tcPr>
            <w:tcW w:w="2551" w:type="dxa"/>
          </w:tcPr>
          <w:p w14:paraId="794E004A" w14:textId="5312179E" w:rsidR="00083CD9" w:rsidRPr="00C1421E" w:rsidRDefault="00083CD9" w:rsidP="00C1421E">
            <w:pPr>
              <w:pStyle w:val="TableText0"/>
              <w:rPr>
                <w:highlight w:val="yellow"/>
                <w:lang w:val="en-GB"/>
              </w:rPr>
            </w:pPr>
            <w:r w:rsidRPr="00C1421E">
              <w:rPr>
                <w:lang w:val="en-GB"/>
              </w:rPr>
              <w:t>15 fellowships awarded, 10 participants</w:t>
            </w:r>
          </w:p>
        </w:tc>
      </w:tr>
      <w:tr w:rsidR="00083CD9" w:rsidRPr="00C1421E" w14:paraId="47BF792A" w14:textId="77777777" w:rsidTr="007339CE">
        <w:tc>
          <w:tcPr>
            <w:tcW w:w="3828" w:type="dxa"/>
          </w:tcPr>
          <w:p w14:paraId="3D2F66B6" w14:textId="69E8EC7E" w:rsidR="00083CD9" w:rsidRPr="00C1421E" w:rsidRDefault="00083CD9" w:rsidP="00C1421E">
            <w:pPr>
              <w:pStyle w:val="TableText0"/>
              <w:rPr>
                <w:highlight w:val="yellow"/>
                <w:lang w:val="en-GB"/>
              </w:rPr>
            </w:pPr>
            <w:r w:rsidRPr="00C1421E">
              <w:rPr>
                <w:lang w:val="en-GB"/>
              </w:rPr>
              <w:t>TSAG</w:t>
            </w:r>
            <w:r w:rsidR="00E738E0">
              <w:rPr>
                <w:lang w:val="en-GB"/>
              </w:rPr>
              <w:t xml:space="preserve">, </w:t>
            </w:r>
            <w:r w:rsidRPr="008A2F29">
              <w:rPr>
                <w:iCs/>
                <w:lang w:val="en-GB"/>
              </w:rPr>
              <w:t>Geneva</w:t>
            </w:r>
            <w:r w:rsidR="00E738E0" w:rsidRPr="008A2F29">
              <w:rPr>
                <w:iCs/>
                <w:lang w:val="en-GB"/>
              </w:rPr>
              <w:t xml:space="preserve">, </w:t>
            </w:r>
            <w:r w:rsidRPr="008A2F29">
              <w:rPr>
                <w:iCs/>
                <w:lang w:val="en-GB"/>
              </w:rPr>
              <w:t>10-14 December 2018</w:t>
            </w:r>
          </w:p>
        </w:tc>
        <w:tc>
          <w:tcPr>
            <w:tcW w:w="1701" w:type="dxa"/>
          </w:tcPr>
          <w:p w14:paraId="5E8427F6" w14:textId="67E0DA1F" w:rsidR="00083CD9" w:rsidRPr="00C1421E" w:rsidRDefault="00083CD9" w:rsidP="00C1421E">
            <w:pPr>
              <w:pStyle w:val="TableText0"/>
              <w:jc w:val="center"/>
              <w:rPr>
                <w:highlight w:val="yellow"/>
                <w:lang w:val="en-GB"/>
              </w:rPr>
            </w:pPr>
            <w:r w:rsidRPr="00C1421E">
              <w:rPr>
                <w:lang w:val="en-GB"/>
              </w:rPr>
              <w:t>1</w:t>
            </w:r>
          </w:p>
        </w:tc>
        <w:tc>
          <w:tcPr>
            <w:tcW w:w="1559" w:type="dxa"/>
          </w:tcPr>
          <w:p w14:paraId="0EFDEC06" w14:textId="5F9B7BE9" w:rsidR="00083CD9" w:rsidRPr="00C1421E" w:rsidRDefault="00083CD9">
            <w:pPr>
              <w:pStyle w:val="TableText0"/>
              <w:jc w:val="center"/>
              <w:rPr>
                <w:highlight w:val="yellow"/>
                <w:lang w:val="en-GB"/>
              </w:rPr>
            </w:pPr>
            <w:r w:rsidRPr="00C1421E">
              <w:rPr>
                <w:lang w:val="en-GB"/>
              </w:rPr>
              <w:t>7</w:t>
            </w:r>
            <w:r w:rsidR="00E738E0">
              <w:rPr>
                <w:lang w:val="en-GB"/>
              </w:rPr>
              <w:t xml:space="preserve"> (</w:t>
            </w:r>
            <w:r w:rsidRPr="00C1421E">
              <w:rPr>
                <w:lang w:val="en-GB"/>
              </w:rPr>
              <w:t>1 cancelled</w:t>
            </w:r>
            <w:r w:rsidR="00E738E0">
              <w:rPr>
                <w:lang w:val="en-GB"/>
              </w:rPr>
              <w:t>)</w:t>
            </w:r>
          </w:p>
        </w:tc>
        <w:tc>
          <w:tcPr>
            <w:tcW w:w="2551" w:type="dxa"/>
          </w:tcPr>
          <w:p w14:paraId="0A0FB753" w14:textId="0956EE14" w:rsidR="00083CD9" w:rsidRPr="00C1421E" w:rsidRDefault="00083CD9" w:rsidP="00C1421E">
            <w:pPr>
              <w:pStyle w:val="TableText0"/>
              <w:rPr>
                <w:lang w:val="en-GB"/>
              </w:rPr>
            </w:pPr>
            <w:r w:rsidRPr="00C1421E">
              <w:rPr>
                <w:lang w:val="en-GB"/>
              </w:rPr>
              <w:t>8 fellowships awarded</w:t>
            </w:r>
            <w:r w:rsidR="00E738E0">
              <w:rPr>
                <w:lang w:val="en-GB"/>
              </w:rPr>
              <w:t>,</w:t>
            </w:r>
          </w:p>
          <w:p w14:paraId="3E546BFC" w14:textId="772C30B0" w:rsidR="00083CD9" w:rsidRPr="00C1421E" w:rsidRDefault="00083CD9" w:rsidP="00C1421E">
            <w:pPr>
              <w:pStyle w:val="TableText0"/>
              <w:rPr>
                <w:highlight w:val="yellow"/>
                <w:lang w:val="en-GB"/>
              </w:rPr>
            </w:pPr>
            <w:r w:rsidRPr="00C1421E">
              <w:rPr>
                <w:lang w:val="en-GB"/>
              </w:rPr>
              <w:t>7 participants</w:t>
            </w:r>
          </w:p>
        </w:tc>
      </w:tr>
      <w:tr w:rsidR="00083CD9" w:rsidRPr="00C1421E" w14:paraId="1C206707" w14:textId="77777777" w:rsidTr="007339CE">
        <w:tc>
          <w:tcPr>
            <w:tcW w:w="3828" w:type="dxa"/>
          </w:tcPr>
          <w:p w14:paraId="3630B27E" w14:textId="73D0BA22" w:rsidR="00083CD9" w:rsidRPr="00E738E0" w:rsidRDefault="00083CD9" w:rsidP="00C1421E">
            <w:pPr>
              <w:pStyle w:val="TableText0"/>
              <w:rPr>
                <w:highlight w:val="yellow"/>
                <w:lang w:val="en-GB"/>
              </w:rPr>
            </w:pPr>
            <w:r w:rsidRPr="00C1421E">
              <w:rPr>
                <w:lang w:val="en-GB"/>
              </w:rPr>
              <w:t xml:space="preserve">ITU-T </w:t>
            </w:r>
            <w:r w:rsidR="00E738E0">
              <w:rPr>
                <w:lang w:val="en-GB"/>
              </w:rPr>
              <w:t>SG</w:t>
            </w:r>
            <w:r w:rsidRPr="00C1421E">
              <w:rPr>
                <w:lang w:val="en-GB"/>
              </w:rPr>
              <w:t xml:space="preserve">3RG-ARB and </w:t>
            </w:r>
            <w:r w:rsidR="00E738E0">
              <w:rPr>
                <w:lang w:val="en-GB"/>
              </w:rPr>
              <w:t>SG</w:t>
            </w:r>
            <w:r w:rsidRPr="00C1421E">
              <w:rPr>
                <w:lang w:val="en-GB"/>
              </w:rPr>
              <w:t>5RG-ARB</w:t>
            </w:r>
            <w:r w:rsidR="00E738E0">
              <w:rPr>
                <w:lang w:val="en-GB"/>
              </w:rPr>
              <w:t>,</w:t>
            </w:r>
            <w:r w:rsidR="006025E0">
              <w:rPr>
                <w:iCs/>
                <w:lang w:val="en-GB"/>
              </w:rPr>
              <w:t xml:space="preserve"> </w:t>
            </w:r>
            <w:r w:rsidRPr="008A2F29">
              <w:rPr>
                <w:iCs/>
                <w:lang w:val="en-GB"/>
              </w:rPr>
              <w:t>Kuwait City, Kuwait 18-20 December 2018</w:t>
            </w:r>
          </w:p>
        </w:tc>
        <w:tc>
          <w:tcPr>
            <w:tcW w:w="1701" w:type="dxa"/>
          </w:tcPr>
          <w:p w14:paraId="053C4AB8" w14:textId="734FB132" w:rsidR="00083CD9" w:rsidRPr="00C1421E" w:rsidRDefault="00083CD9" w:rsidP="00C1421E">
            <w:pPr>
              <w:pStyle w:val="TableText0"/>
              <w:jc w:val="center"/>
              <w:rPr>
                <w:highlight w:val="yellow"/>
                <w:lang w:val="en-GB"/>
              </w:rPr>
            </w:pPr>
            <w:r w:rsidRPr="00C1421E">
              <w:rPr>
                <w:lang w:val="en-GB"/>
              </w:rPr>
              <w:t>0</w:t>
            </w:r>
          </w:p>
        </w:tc>
        <w:tc>
          <w:tcPr>
            <w:tcW w:w="1559" w:type="dxa"/>
          </w:tcPr>
          <w:p w14:paraId="750B1822" w14:textId="2981A0F7" w:rsidR="00083CD9" w:rsidRPr="00C1421E" w:rsidRDefault="00083CD9" w:rsidP="00C1421E">
            <w:pPr>
              <w:pStyle w:val="TableText0"/>
              <w:jc w:val="center"/>
              <w:rPr>
                <w:highlight w:val="yellow"/>
                <w:lang w:val="en-GB"/>
              </w:rPr>
            </w:pPr>
            <w:r w:rsidRPr="00C1421E">
              <w:rPr>
                <w:lang w:val="en-GB"/>
              </w:rPr>
              <w:t xml:space="preserve">2 </w:t>
            </w:r>
            <w:r w:rsidR="00E738E0">
              <w:rPr>
                <w:lang w:val="en-GB"/>
              </w:rPr>
              <w:t>(</w:t>
            </w:r>
            <w:r w:rsidRPr="00C1421E">
              <w:rPr>
                <w:lang w:val="en-GB"/>
              </w:rPr>
              <w:t>1 cancelled</w:t>
            </w:r>
            <w:r w:rsidR="00E738E0">
              <w:rPr>
                <w:lang w:val="en-GB"/>
              </w:rPr>
              <w:t>)</w:t>
            </w:r>
          </w:p>
        </w:tc>
        <w:tc>
          <w:tcPr>
            <w:tcW w:w="2551" w:type="dxa"/>
          </w:tcPr>
          <w:p w14:paraId="68661F01" w14:textId="4F3D5CC8" w:rsidR="00083CD9" w:rsidRPr="00C1421E" w:rsidRDefault="00083CD9" w:rsidP="00C1421E">
            <w:pPr>
              <w:pStyle w:val="TableText0"/>
              <w:rPr>
                <w:lang w:val="en-GB"/>
              </w:rPr>
            </w:pPr>
            <w:r w:rsidRPr="00C1421E">
              <w:rPr>
                <w:lang w:val="en-GB"/>
              </w:rPr>
              <w:t>3 fellowships awarded</w:t>
            </w:r>
            <w:r w:rsidR="00E738E0">
              <w:rPr>
                <w:lang w:val="en-GB"/>
              </w:rPr>
              <w:t>,</w:t>
            </w:r>
          </w:p>
          <w:p w14:paraId="45A9BF65" w14:textId="1171676A" w:rsidR="00083CD9" w:rsidRPr="00C1421E" w:rsidRDefault="00083CD9" w:rsidP="00C1421E">
            <w:pPr>
              <w:pStyle w:val="TableText0"/>
              <w:rPr>
                <w:highlight w:val="yellow"/>
                <w:lang w:val="en-GB"/>
              </w:rPr>
            </w:pPr>
            <w:r w:rsidRPr="00C1421E">
              <w:rPr>
                <w:lang w:val="en-GB"/>
              </w:rPr>
              <w:t>2 participants</w:t>
            </w:r>
          </w:p>
        </w:tc>
      </w:tr>
      <w:tr w:rsidR="00083CD9" w:rsidRPr="00C1421E" w14:paraId="7A367E52" w14:textId="77777777" w:rsidTr="007339CE">
        <w:tc>
          <w:tcPr>
            <w:tcW w:w="3828" w:type="dxa"/>
          </w:tcPr>
          <w:p w14:paraId="6E8F14DC" w14:textId="761CD075" w:rsidR="00083CD9" w:rsidRPr="00C1421E" w:rsidRDefault="00083CD9" w:rsidP="00C1421E">
            <w:pPr>
              <w:pStyle w:val="TableText0"/>
              <w:rPr>
                <w:highlight w:val="yellow"/>
                <w:lang w:val="en-GB"/>
              </w:rPr>
            </w:pPr>
            <w:r w:rsidRPr="00C1421E">
              <w:rPr>
                <w:lang w:val="en-GB"/>
              </w:rPr>
              <w:t xml:space="preserve">ITU-T </w:t>
            </w:r>
            <w:r w:rsidR="00E738E0">
              <w:rPr>
                <w:lang w:val="en-GB"/>
              </w:rPr>
              <w:t>SG</w:t>
            </w:r>
            <w:r w:rsidRPr="00C1421E">
              <w:rPr>
                <w:lang w:val="en-GB"/>
              </w:rPr>
              <w:t>17</w:t>
            </w:r>
            <w:r w:rsidR="00E738E0">
              <w:rPr>
                <w:lang w:val="en-GB"/>
              </w:rPr>
              <w:t xml:space="preserve">, </w:t>
            </w:r>
            <w:r w:rsidRPr="00C1421E">
              <w:rPr>
                <w:lang w:val="en-GB"/>
              </w:rPr>
              <w:t>Geneva, 22</w:t>
            </w:r>
            <w:r w:rsidR="00E738E0">
              <w:rPr>
                <w:lang w:val="en-GB"/>
              </w:rPr>
              <w:t>-</w:t>
            </w:r>
            <w:r w:rsidRPr="00C1421E">
              <w:rPr>
                <w:lang w:val="en-GB"/>
              </w:rPr>
              <w:t>30 January 2019</w:t>
            </w:r>
          </w:p>
        </w:tc>
        <w:tc>
          <w:tcPr>
            <w:tcW w:w="1701" w:type="dxa"/>
          </w:tcPr>
          <w:p w14:paraId="02201E3B" w14:textId="19A0A481" w:rsidR="00083CD9" w:rsidRPr="00C1421E" w:rsidRDefault="00083CD9" w:rsidP="00C1421E">
            <w:pPr>
              <w:pStyle w:val="TableText0"/>
              <w:jc w:val="center"/>
              <w:rPr>
                <w:highlight w:val="yellow"/>
                <w:lang w:val="en-GB"/>
              </w:rPr>
            </w:pPr>
            <w:r w:rsidRPr="00C1421E">
              <w:rPr>
                <w:lang w:val="en-GB"/>
              </w:rPr>
              <w:t>1</w:t>
            </w:r>
          </w:p>
        </w:tc>
        <w:tc>
          <w:tcPr>
            <w:tcW w:w="1559" w:type="dxa"/>
          </w:tcPr>
          <w:p w14:paraId="25347CE6" w14:textId="4A760F57" w:rsidR="00083CD9" w:rsidRPr="00C1421E" w:rsidRDefault="00083CD9" w:rsidP="00C1421E">
            <w:pPr>
              <w:pStyle w:val="TableText0"/>
              <w:jc w:val="center"/>
              <w:rPr>
                <w:highlight w:val="yellow"/>
                <w:lang w:val="en-GB"/>
              </w:rPr>
            </w:pPr>
            <w:r w:rsidRPr="00C1421E">
              <w:rPr>
                <w:lang w:val="en-GB"/>
              </w:rPr>
              <w:t>6</w:t>
            </w:r>
            <w:r w:rsidR="00E738E0">
              <w:rPr>
                <w:lang w:val="en-GB"/>
              </w:rPr>
              <w:t xml:space="preserve"> (</w:t>
            </w:r>
            <w:r w:rsidRPr="00C1421E">
              <w:rPr>
                <w:lang w:val="en-GB"/>
              </w:rPr>
              <w:t>2 cancelled</w:t>
            </w:r>
            <w:r w:rsidR="00E738E0">
              <w:rPr>
                <w:lang w:val="en-GB"/>
              </w:rPr>
              <w:t>)</w:t>
            </w:r>
          </w:p>
        </w:tc>
        <w:tc>
          <w:tcPr>
            <w:tcW w:w="2551" w:type="dxa"/>
          </w:tcPr>
          <w:p w14:paraId="4A47111B" w14:textId="1C257B3E" w:rsidR="00083CD9" w:rsidRPr="00C1421E" w:rsidRDefault="00083CD9" w:rsidP="00C1421E">
            <w:pPr>
              <w:pStyle w:val="TableText0"/>
              <w:rPr>
                <w:lang w:val="en-GB"/>
              </w:rPr>
            </w:pPr>
            <w:r w:rsidRPr="00C1421E">
              <w:rPr>
                <w:lang w:val="en-GB"/>
              </w:rPr>
              <w:t>9 fellowships awarded</w:t>
            </w:r>
            <w:r w:rsidR="00E738E0">
              <w:rPr>
                <w:lang w:val="en-GB"/>
              </w:rPr>
              <w:t>,</w:t>
            </w:r>
          </w:p>
          <w:p w14:paraId="69A857A0" w14:textId="11669483" w:rsidR="00083CD9" w:rsidRPr="00C1421E" w:rsidRDefault="00083CD9" w:rsidP="00C1421E">
            <w:pPr>
              <w:pStyle w:val="TableText0"/>
              <w:rPr>
                <w:highlight w:val="yellow"/>
                <w:lang w:val="en-GB"/>
              </w:rPr>
            </w:pPr>
            <w:r w:rsidRPr="00C1421E">
              <w:rPr>
                <w:lang w:val="en-GB"/>
              </w:rPr>
              <w:t>7 participants</w:t>
            </w:r>
          </w:p>
        </w:tc>
      </w:tr>
      <w:tr w:rsidR="00083CD9" w:rsidRPr="00C1421E" w14:paraId="51D99D36" w14:textId="77777777" w:rsidTr="007339CE">
        <w:tc>
          <w:tcPr>
            <w:tcW w:w="3828" w:type="dxa"/>
          </w:tcPr>
          <w:p w14:paraId="7EE6AF17" w14:textId="7A2EC400" w:rsidR="00083CD9" w:rsidRPr="007064AE" w:rsidRDefault="00083CD9" w:rsidP="00C1421E">
            <w:pPr>
              <w:pStyle w:val="TableText0"/>
              <w:rPr>
                <w:highlight w:val="yellow"/>
                <w:lang w:val="es-ES"/>
              </w:rPr>
            </w:pPr>
            <w:r w:rsidRPr="007064AE">
              <w:rPr>
                <w:lang w:val="es-ES"/>
              </w:rPr>
              <w:t xml:space="preserve">ITU-T </w:t>
            </w:r>
            <w:r w:rsidR="00E738E0" w:rsidRPr="007064AE">
              <w:rPr>
                <w:lang w:val="es-ES"/>
              </w:rPr>
              <w:t>SG</w:t>
            </w:r>
            <w:r w:rsidRPr="007064AE">
              <w:rPr>
                <w:lang w:val="es-ES"/>
              </w:rPr>
              <w:t>3RG-AFR</w:t>
            </w:r>
            <w:r w:rsidR="00E738E0" w:rsidRPr="007064AE">
              <w:rPr>
                <w:lang w:val="es-ES"/>
              </w:rPr>
              <w:t>,</w:t>
            </w:r>
            <w:r w:rsidR="006025E0" w:rsidRPr="007064AE">
              <w:rPr>
                <w:lang w:val="es-ES"/>
              </w:rPr>
              <w:t xml:space="preserve"> </w:t>
            </w:r>
            <w:r w:rsidRPr="007064AE">
              <w:rPr>
                <w:lang w:val="es-ES"/>
              </w:rPr>
              <w:t>Antananarivo, Madagascar, 18</w:t>
            </w:r>
            <w:r w:rsidR="006025E0" w:rsidRPr="007064AE">
              <w:rPr>
                <w:lang w:val="es-ES"/>
              </w:rPr>
              <w:t>-</w:t>
            </w:r>
            <w:r w:rsidRPr="007064AE">
              <w:rPr>
                <w:lang w:val="es-ES"/>
              </w:rPr>
              <w:t>22 February 2019</w:t>
            </w:r>
          </w:p>
        </w:tc>
        <w:tc>
          <w:tcPr>
            <w:tcW w:w="1701" w:type="dxa"/>
          </w:tcPr>
          <w:p w14:paraId="72D8070E" w14:textId="6F22346D"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2 cancelled</w:t>
            </w:r>
            <w:r w:rsidR="00E738E0">
              <w:rPr>
                <w:lang w:val="en-GB"/>
              </w:rPr>
              <w:t>)</w:t>
            </w:r>
          </w:p>
        </w:tc>
        <w:tc>
          <w:tcPr>
            <w:tcW w:w="1559" w:type="dxa"/>
          </w:tcPr>
          <w:p w14:paraId="64938E1C" w14:textId="19DEEB31" w:rsidR="00083CD9" w:rsidRPr="00C1421E" w:rsidRDefault="00083CD9" w:rsidP="00C1421E">
            <w:pPr>
              <w:pStyle w:val="TableText0"/>
              <w:jc w:val="center"/>
              <w:rPr>
                <w:highlight w:val="yellow"/>
                <w:lang w:val="en-GB"/>
              </w:rPr>
            </w:pPr>
            <w:r w:rsidRPr="00C1421E">
              <w:rPr>
                <w:lang w:val="en-GB"/>
              </w:rPr>
              <w:t>10</w:t>
            </w:r>
            <w:r w:rsidR="00E738E0">
              <w:rPr>
                <w:lang w:val="en-GB"/>
              </w:rPr>
              <w:t xml:space="preserve"> (</w:t>
            </w:r>
            <w:r w:rsidRPr="00C1421E">
              <w:rPr>
                <w:lang w:val="en-GB"/>
              </w:rPr>
              <w:t>3 cancelled</w:t>
            </w:r>
            <w:r w:rsidR="00E738E0">
              <w:rPr>
                <w:lang w:val="en-GB"/>
              </w:rPr>
              <w:t>)</w:t>
            </w:r>
          </w:p>
        </w:tc>
        <w:tc>
          <w:tcPr>
            <w:tcW w:w="2551" w:type="dxa"/>
          </w:tcPr>
          <w:p w14:paraId="0A2F4A2E" w14:textId="744552D7" w:rsidR="00083CD9" w:rsidRPr="00C1421E" w:rsidRDefault="00083CD9" w:rsidP="00C1421E">
            <w:pPr>
              <w:pStyle w:val="TableText0"/>
              <w:rPr>
                <w:lang w:val="en-GB"/>
              </w:rPr>
            </w:pPr>
            <w:r w:rsidRPr="00C1421E">
              <w:rPr>
                <w:lang w:val="en-GB"/>
              </w:rPr>
              <w:t>19 fellowships awarded</w:t>
            </w:r>
            <w:r w:rsidR="00E738E0">
              <w:rPr>
                <w:lang w:val="en-GB"/>
              </w:rPr>
              <w:t>,</w:t>
            </w:r>
          </w:p>
          <w:p w14:paraId="0BBFA2EA" w14:textId="19F4BDBA" w:rsidR="00083CD9" w:rsidRPr="00C1421E" w:rsidRDefault="00083CD9" w:rsidP="00C1421E">
            <w:pPr>
              <w:pStyle w:val="TableText0"/>
              <w:rPr>
                <w:highlight w:val="yellow"/>
                <w:lang w:val="en-GB"/>
              </w:rPr>
            </w:pPr>
            <w:r w:rsidRPr="00C1421E">
              <w:rPr>
                <w:lang w:val="en-GB"/>
              </w:rPr>
              <w:t>14 participants</w:t>
            </w:r>
          </w:p>
        </w:tc>
      </w:tr>
      <w:tr w:rsidR="00083CD9" w:rsidRPr="00C1421E" w14:paraId="2D9A9538" w14:textId="77777777" w:rsidTr="007339CE">
        <w:tc>
          <w:tcPr>
            <w:tcW w:w="3828" w:type="dxa"/>
          </w:tcPr>
          <w:p w14:paraId="4D63A93A" w14:textId="777540CD" w:rsidR="00083CD9" w:rsidRPr="00C1421E" w:rsidRDefault="00083CD9" w:rsidP="00C1421E">
            <w:pPr>
              <w:pStyle w:val="TableText0"/>
              <w:rPr>
                <w:highlight w:val="yellow"/>
                <w:lang w:val="en-GB"/>
              </w:rPr>
            </w:pPr>
            <w:r w:rsidRPr="00C1421E">
              <w:rPr>
                <w:lang w:val="en-GB"/>
              </w:rPr>
              <w:t>ITU-T S</w:t>
            </w:r>
            <w:r w:rsidR="006025E0">
              <w:rPr>
                <w:lang w:val="en-GB"/>
              </w:rPr>
              <w:t>G</w:t>
            </w:r>
            <w:r w:rsidRPr="00C1421E">
              <w:rPr>
                <w:lang w:val="en-GB"/>
              </w:rPr>
              <w:t>2</w:t>
            </w:r>
            <w:r w:rsidR="006025E0">
              <w:rPr>
                <w:lang w:val="en-GB"/>
              </w:rPr>
              <w:t xml:space="preserve">, </w:t>
            </w:r>
            <w:r w:rsidRPr="00C1421E">
              <w:rPr>
                <w:lang w:val="en-GB"/>
              </w:rPr>
              <w:t>Geneva, 19</w:t>
            </w:r>
            <w:r w:rsidR="006025E0">
              <w:rPr>
                <w:lang w:val="en-GB"/>
              </w:rPr>
              <w:t>-</w:t>
            </w:r>
            <w:r w:rsidRPr="00C1421E">
              <w:rPr>
                <w:lang w:val="en-GB"/>
              </w:rPr>
              <w:t>28 February 2019</w:t>
            </w:r>
          </w:p>
        </w:tc>
        <w:tc>
          <w:tcPr>
            <w:tcW w:w="1701" w:type="dxa"/>
          </w:tcPr>
          <w:p w14:paraId="035FFC80" w14:textId="3FCED2FF" w:rsidR="00083CD9" w:rsidRPr="00C1421E" w:rsidRDefault="00083CD9" w:rsidP="00C1421E">
            <w:pPr>
              <w:pStyle w:val="TableText0"/>
              <w:jc w:val="center"/>
              <w:rPr>
                <w:highlight w:val="yellow"/>
                <w:lang w:val="en-GB"/>
              </w:rPr>
            </w:pPr>
            <w:r w:rsidRPr="00C1421E">
              <w:rPr>
                <w:lang w:val="en-GB"/>
              </w:rPr>
              <w:t>0</w:t>
            </w:r>
          </w:p>
        </w:tc>
        <w:tc>
          <w:tcPr>
            <w:tcW w:w="1559" w:type="dxa"/>
          </w:tcPr>
          <w:p w14:paraId="14667998" w14:textId="6843FEF8" w:rsidR="00083CD9" w:rsidRPr="00C1421E" w:rsidRDefault="00083CD9" w:rsidP="00C1421E">
            <w:pPr>
              <w:pStyle w:val="TableText0"/>
              <w:jc w:val="center"/>
              <w:rPr>
                <w:highlight w:val="yellow"/>
                <w:lang w:val="en-GB"/>
              </w:rPr>
            </w:pPr>
            <w:r w:rsidRPr="00C1421E">
              <w:rPr>
                <w:lang w:val="en-GB"/>
              </w:rPr>
              <w:t xml:space="preserve">8 </w:t>
            </w:r>
            <w:r w:rsidR="00E738E0">
              <w:rPr>
                <w:lang w:val="en-GB"/>
              </w:rPr>
              <w:t>(</w:t>
            </w:r>
            <w:r w:rsidRPr="00C1421E">
              <w:rPr>
                <w:lang w:val="en-GB"/>
              </w:rPr>
              <w:t>2 cancelled</w:t>
            </w:r>
            <w:r w:rsidR="00E738E0">
              <w:rPr>
                <w:lang w:val="en-GB"/>
              </w:rPr>
              <w:t>)</w:t>
            </w:r>
          </w:p>
        </w:tc>
        <w:tc>
          <w:tcPr>
            <w:tcW w:w="2551" w:type="dxa"/>
          </w:tcPr>
          <w:p w14:paraId="07D23F02" w14:textId="7656069E" w:rsidR="00083CD9" w:rsidRPr="00C1421E" w:rsidRDefault="00083CD9" w:rsidP="00C1421E">
            <w:pPr>
              <w:pStyle w:val="TableText0"/>
              <w:rPr>
                <w:lang w:val="en-GB"/>
              </w:rPr>
            </w:pPr>
            <w:r w:rsidRPr="00C1421E">
              <w:rPr>
                <w:lang w:val="en-GB"/>
              </w:rPr>
              <w:t>10 fellowships awarded</w:t>
            </w:r>
            <w:r w:rsidR="00E738E0">
              <w:rPr>
                <w:lang w:val="en-GB"/>
              </w:rPr>
              <w:t>,</w:t>
            </w:r>
          </w:p>
          <w:p w14:paraId="3A536D73" w14:textId="6EE615CF" w:rsidR="00083CD9" w:rsidRPr="00C1421E" w:rsidRDefault="00083CD9" w:rsidP="00C1421E">
            <w:pPr>
              <w:pStyle w:val="TableText0"/>
              <w:rPr>
                <w:highlight w:val="yellow"/>
                <w:lang w:val="en-GB"/>
              </w:rPr>
            </w:pPr>
            <w:r w:rsidRPr="00C1421E">
              <w:rPr>
                <w:lang w:val="en-GB"/>
              </w:rPr>
              <w:t>8 participants</w:t>
            </w:r>
          </w:p>
        </w:tc>
      </w:tr>
      <w:tr w:rsidR="00083CD9" w:rsidRPr="00C1421E" w14:paraId="0D8FC3D0" w14:textId="77777777" w:rsidTr="007339CE">
        <w:tc>
          <w:tcPr>
            <w:tcW w:w="3828" w:type="dxa"/>
          </w:tcPr>
          <w:p w14:paraId="5040E1AF" w14:textId="09AFE48D"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20RG-EECAT</w:t>
            </w:r>
            <w:r w:rsidR="006025E0">
              <w:rPr>
                <w:lang w:val="en-GB"/>
              </w:rPr>
              <w:t xml:space="preserve">, </w:t>
            </w:r>
            <w:r w:rsidRPr="00C1421E">
              <w:rPr>
                <w:lang w:val="en-GB"/>
              </w:rPr>
              <w:t>Minsk, Belarus, 26</w:t>
            </w:r>
            <w:r w:rsidR="006025E0">
              <w:rPr>
                <w:lang w:val="en-GB"/>
              </w:rPr>
              <w:t>-</w:t>
            </w:r>
            <w:r w:rsidRPr="00C1421E">
              <w:rPr>
                <w:lang w:val="en-GB"/>
              </w:rPr>
              <w:t>28 February 2019</w:t>
            </w:r>
          </w:p>
        </w:tc>
        <w:tc>
          <w:tcPr>
            <w:tcW w:w="1701" w:type="dxa"/>
          </w:tcPr>
          <w:p w14:paraId="641EE46B" w14:textId="70DE369F" w:rsidR="00083CD9" w:rsidRPr="00C1421E" w:rsidRDefault="00083CD9" w:rsidP="00C1421E">
            <w:pPr>
              <w:pStyle w:val="TableText0"/>
              <w:jc w:val="center"/>
              <w:rPr>
                <w:highlight w:val="yellow"/>
                <w:lang w:val="en-GB"/>
              </w:rPr>
            </w:pPr>
            <w:r w:rsidRPr="00C1421E">
              <w:rPr>
                <w:lang w:val="en-GB"/>
              </w:rPr>
              <w:t>1</w:t>
            </w:r>
          </w:p>
        </w:tc>
        <w:tc>
          <w:tcPr>
            <w:tcW w:w="1559" w:type="dxa"/>
          </w:tcPr>
          <w:p w14:paraId="102DC1A7" w14:textId="3BDF9AEA" w:rsidR="00083CD9" w:rsidRPr="00C1421E" w:rsidRDefault="00083CD9" w:rsidP="00C1421E">
            <w:pPr>
              <w:pStyle w:val="TableText0"/>
              <w:jc w:val="center"/>
              <w:rPr>
                <w:highlight w:val="yellow"/>
                <w:lang w:val="en-GB"/>
              </w:rPr>
            </w:pPr>
            <w:r w:rsidRPr="00C1421E">
              <w:rPr>
                <w:lang w:val="en-GB"/>
              </w:rPr>
              <w:t xml:space="preserve">0 </w:t>
            </w:r>
            <w:r w:rsidR="00E738E0">
              <w:rPr>
                <w:lang w:val="en-GB"/>
              </w:rPr>
              <w:t>(</w:t>
            </w:r>
            <w:r w:rsidRPr="00C1421E">
              <w:rPr>
                <w:lang w:val="en-GB"/>
              </w:rPr>
              <w:t>1 cancelled</w:t>
            </w:r>
            <w:r w:rsidR="00E738E0">
              <w:rPr>
                <w:lang w:val="en-GB"/>
              </w:rPr>
              <w:t>)</w:t>
            </w:r>
          </w:p>
        </w:tc>
        <w:tc>
          <w:tcPr>
            <w:tcW w:w="2551" w:type="dxa"/>
          </w:tcPr>
          <w:p w14:paraId="639740E5" w14:textId="4A2EBF16" w:rsidR="00083CD9" w:rsidRPr="00C1421E" w:rsidRDefault="00083CD9" w:rsidP="00C1421E">
            <w:pPr>
              <w:pStyle w:val="TableText0"/>
              <w:rPr>
                <w:lang w:val="en-GB"/>
              </w:rPr>
            </w:pPr>
            <w:r w:rsidRPr="00C1421E">
              <w:rPr>
                <w:lang w:val="en-GB"/>
              </w:rPr>
              <w:t>2 fellowships awarded</w:t>
            </w:r>
            <w:r w:rsidR="00E738E0">
              <w:rPr>
                <w:lang w:val="en-GB"/>
              </w:rPr>
              <w:t>,</w:t>
            </w:r>
          </w:p>
          <w:p w14:paraId="466AE2E8" w14:textId="436796D5" w:rsidR="00083CD9" w:rsidRPr="00C1421E" w:rsidRDefault="00083CD9" w:rsidP="00C1421E">
            <w:pPr>
              <w:pStyle w:val="TableText0"/>
              <w:rPr>
                <w:highlight w:val="yellow"/>
                <w:lang w:val="en-GB"/>
              </w:rPr>
            </w:pPr>
            <w:r w:rsidRPr="00C1421E">
              <w:rPr>
                <w:lang w:val="en-GB"/>
              </w:rPr>
              <w:t>1 participant</w:t>
            </w:r>
          </w:p>
        </w:tc>
      </w:tr>
      <w:tr w:rsidR="00083CD9" w:rsidRPr="00C1421E" w14:paraId="2E3A5F48" w14:textId="77777777" w:rsidTr="007339CE">
        <w:tc>
          <w:tcPr>
            <w:tcW w:w="3828" w:type="dxa"/>
          </w:tcPr>
          <w:p w14:paraId="0CA819B6" w14:textId="731241F0" w:rsidR="00083CD9" w:rsidRPr="007064AE" w:rsidRDefault="00083CD9" w:rsidP="00C1421E">
            <w:pPr>
              <w:pStyle w:val="TableText0"/>
              <w:rPr>
                <w:highlight w:val="yellow"/>
                <w:lang w:val="fr-FR"/>
              </w:rPr>
            </w:pPr>
            <w:r w:rsidRPr="007064AE">
              <w:rPr>
                <w:lang w:val="fr-FR"/>
              </w:rPr>
              <w:t>ITU-T S</w:t>
            </w:r>
            <w:r w:rsidR="006025E0" w:rsidRPr="007064AE">
              <w:rPr>
                <w:lang w:val="fr-FR"/>
              </w:rPr>
              <w:t>G</w:t>
            </w:r>
            <w:r w:rsidRPr="007064AE">
              <w:rPr>
                <w:lang w:val="fr-FR"/>
              </w:rPr>
              <w:t>12RG-AFR</w:t>
            </w:r>
            <w:r w:rsidR="006025E0" w:rsidRPr="007064AE">
              <w:rPr>
                <w:lang w:val="fr-FR"/>
              </w:rPr>
              <w:t xml:space="preserve">, </w:t>
            </w:r>
            <w:r w:rsidRPr="007064AE">
              <w:rPr>
                <w:lang w:val="fr-FR"/>
              </w:rPr>
              <w:t>Kigali, Rwanda, 7</w:t>
            </w:r>
            <w:r w:rsidR="006025E0" w:rsidRPr="007064AE">
              <w:rPr>
                <w:lang w:val="fr-FR"/>
              </w:rPr>
              <w:t>-</w:t>
            </w:r>
            <w:r w:rsidRPr="007064AE">
              <w:rPr>
                <w:lang w:val="fr-FR"/>
              </w:rPr>
              <w:t>8 March 2019</w:t>
            </w:r>
          </w:p>
        </w:tc>
        <w:tc>
          <w:tcPr>
            <w:tcW w:w="1701" w:type="dxa"/>
          </w:tcPr>
          <w:p w14:paraId="27EF06BA" w14:textId="71CE78D5" w:rsidR="00083CD9" w:rsidRPr="00C1421E" w:rsidRDefault="00083CD9" w:rsidP="00C1421E">
            <w:pPr>
              <w:pStyle w:val="TableText0"/>
              <w:jc w:val="center"/>
              <w:rPr>
                <w:highlight w:val="yellow"/>
                <w:lang w:val="en-GB"/>
              </w:rPr>
            </w:pPr>
            <w:r w:rsidRPr="00C1421E">
              <w:rPr>
                <w:lang w:val="en-GB"/>
              </w:rPr>
              <w:t>3</w:t>
            </w:r>
          </w:p>
        </w:tc>
        <w:tc>
          <w:tcPr>
            <w:tcW w:w="1559" w:type="dxa"/>
          </w:tcPr>
          <w:p w14:paraId="17E1DC79" w14:textId="0FD0D576" w:rsidR="00083CD9" w:rsidRPr="00C1421E" w:rsidRDefault="00083CD9" w:rsidP="00C1421E">
            <w:pPr>
              <w:pStyle w:val="TableText0"/>
              <w:jc w:val="center"/>
              <w:rPr>
                <w:highlight w:val="yellow"/>
                <w:lang w:val="en-GB"/>
              </w:rPr>
            </w:pPr>
            <w:r w:rsidRPr="00C1421E">
              <w:rPr>
                <w:lang w:val="en-GB"/>
              </w:rPr>
              <w:t xml:space="preserve">11 </w:t>
            </w:r>
            <w:r w:rsidR="00E738E0">
              <w:rPr>
                <w:lang w:val="en-GB"/>
              </w:rPr>
              <w:t>(</w:t>
            </w:r>
            <w:r w:rsidRPr="00C1421E">
              <w:rPr>
                <w:lang w:val="en-GB"/>
              </w:rPr>
              <w:t>1 cancelled</w:t>
            </w:r>
            <w:r w:rsidR="00E738E0">
              <w:rPr>
                <w:lang w:val="en-GB"/>
              </w:rPr>
              <w:t>)</w:t>
            </w:r>
          </w:p>
        </w:tc>
        <w:tc>
          <w:tcPr>
            <w:tcW w:w="2551" w:type="dxa"/>
          </w:tcPr>
          <w:p w14:paraId="761C2788" w14:textId="4F1A1654" w:rsidR="00083CD9" w:rsidRPr="00C1421E" w:rsidRDefault="00083CD9" w:rsidP="00C1421E">
            <w:pPr>
              <w:pStyle w:val="TableText0"/>
              <w:rPr>
                <w:lang w:val="en-GB"/>
              </w:rPr>
            </w:pPr>
            <w:r w:rsidRPr="00C1421E">
              <w:rPr>
                <w:lang w:val="en-GB"/>
              </w:rPr>
              <w:t>15 fellowships awarded</w:t>
            </w:r>
            <w:r w:rsidR="00E738E0">
              <w:rPr>
                <w:lang w:val="en-GB"/>
              </w:rPr>
              <w:t>,</w:t>
            </w:r>
          </w:p>
          <w:p w14:paraId="4ED3CBB3" w14:textId="1764A3FC" w:rsidR="00083CD9" w:rsidRPr="00C1421E" w:rsidRDefault="00083CD9" w:rsidP="00C1421E">
            <w:pPr>
              <w:pStyle w:val="TableText0"/>
              <w:rPr>
                <w:highlight w:val="yellow"/>
                <w:lang w:val="en-GB"/>
              </w:rPr>
            </w:pPr>
            <w:r w:rsidRPr="00C1421E">
              <w:rPr>
                <w:lang w:val="en-GB"/>
              </w:rPr>
              <w:t>14 participants</w:t>
            </w:r>
          </w:p>
        </w:tc>
      </w:tr>
      <w:tr w:rsidR="00083CD9" w:rsidRPr="00C1421E" w14:paraId="431C229E" w14:textId="77777777" w:rsidTr="007339CE">
        <w:tc>
          <w:tcPr>
            <w:tcW w:w="3828" w:type="dxa"/>
          </w:tcPr>
          <w:p w14:paraId="15EFAB17" w14:textId="180CA503"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13</w:t>
            </w:r>
            <w:r w:rsidR="006025E0">
              <w:rPr>
                <w:lang w:val="en-GB"/>
              </w:rPr>
              <w:t xml:space="preserve">, </w:t>
            </w:r>
            <w:r w:rsidRPr="00C1421E">
              <w:rPr>
                <w:lang w:val="en-GB"/>
              </w:rPr>
              <w:t>Victoria Falls, Zimbabwe, 4</w:t>
            </w:r>
            <w:r w:rsidR="006025E0">
              <w:rPr>
                <w:lang w:val="en-GB"/>
              </w:rPr>
              <w:t>-</w:t>
            </w:r>
            <w:r w:rsidRPr="00C1421E">
              <w:rPr>
                <w:lang w:val="en-GB"/>
              </w:rPr>
              <w:t>14 March 2019</w:t>
            </w:r>
          </w:p>
        </w:tc>
        <w:tc>
          <w:tcPr>
            <w:tcW w:w="1701" w:type="dxa"/>
          </w:tcPr>
          <w:p w14:paraId="26833B8B" w14:textId="38231ADD" w:rsidR="00083CD9" w:rsidRPr="00C1421E" w:rsidRDefault="00083CD9" w:rsidP="00C1421E">
            <w:pPr>
              <w:pStyle w:val="TableText0"/>
              <w:jc w:val="center"/>
              <w:rPr>
                <w:highlight w:val="yellow"/>
                <w:lang w:val="en-GB"/>
              </w:rPr>
            </w:pPr>
            <w:r w:rsidRPr="00C1421E">
              <w:rPr>
                <w:lang w:val="en-GB"/>
              </w:rPr>
              <w:t xml:space="preserve">0 </w:t>
            </w:r>
            <w:r w:rsidR="00E738E0">
              <w:rPr>
                <w:lang w:val="en-GB"/>
              </w:rPr>
              <w:t>(</w:t>
            </w:r>
            <w:r w:rsidRPr="00C1421E">
              <w:rPr>
                <w:lang w:val="en-GB"/>
              </w:rPr>
              <w:t>1 cancelled</w:t>
            </w:r>
            <w:r w:rsidR="00E738E0">
              <w:rPr>
                <w:lang w:val="en-GB"/>
              </w:rPr>
              <w:t>)</w:t>
            </w:r>
          </w:p>
        </w:tc>
        <w:tc>
          <w:tcPr>
            <w:tcW w:w="1559" w:type="dxa"/>
          </w:tcPr>
          <w:p w14:paraId="13900117" w14:textId="47E2AB9D" w:rsidR="00083CD9" w:rsidRPr="00C1421E" w:rsidRDefault="00083CD9" w:rsidP="00C1421E">
            <w:pPr>
              <w:pStyle w:val="TableText0"/>
              <w:jc w:val="center"/>
              <w:rPr>
                <w:highlight w:val="yellow"/>
                <w:lang w:val="en-GB"/>
              </w:rPr>
            </w:pPr>
            <w:r w:rsidRPr="00C1421E">
              <w:rPr>
                <w:lang w:val="en-GB"/>
              </w:rPr>
              <w:t>3</w:t>
            </w:r>
          </w:p>
        </w:tc>
        <w:tc>
          <w:tcPr>
            <w:tcW w:w="2551" w:type="dxa"/>
          </w:tcPr>
          <w:p w14:paraId="5DDE917B" w14:textId="4A4EE39F" w:rsidR="00083CD9" w:rsidRPr="00C1421E" w:rsidRDefault="00083CD9" w:rsidP="00C1421E">
            <w:pPr>
              <w:pStyle w:val="TableText0"/>
              <w:rPr>
                <w:lang w:val="en-GB"/>
              </w:rPr>
            </w:pPr>
            <w:r w:rsidRPr="00C1421E">
              <w:rPr>
                <w:lang w:val="en-GB"/>
              </w:rPr>
              <w:t>4 fellowships awarded</w:t>
            </w:r>
            <w:r w:rsidR="00E738E0">
              <w:rPr>
                <w:lang w:val="en-GB"/>
              </w:rPr>
              <w:t>,</w:t>
            </w:r>
          </w:p>
          <w:p w14:paraId="16868EAC" w14:textId="61A4D28F" w:rsidR="00083CD9" w:rsidRPr="00C1421E" w:rsidRDefault="00083CD9" w:rsidP="00C1421E">
            <w:pPr>
              <w:pStyle w:val="TableText0"/>
              <w:rPr>
                <w:highlight w:val="yellow"/>
                <w:lang w:val="en-GB"/>
              </w:rPr>
            </w:pPr>
            <w:r w:rsidRPr="00C1421E">
              <w:rPr>
                <w:lang w:val="en-GB"/>
              </w:rPr>
              <w:t>3 participants</w:t>
            </w:r>
          </w:p>
        </w:tc>
      </w:tr>
      <w:tr w:rsidR="00083CD9" w:rsidRPr="00C1421E" w14:paraId="759CD8E1" w14:textId="77777777" w:rsidTr="007339CE">
        <w:tc>
          <w:tcPr>
            <w:tcW w:w="3828" w:type="dxa"/>
          </w:tcPr>
          <w:p w14:paraId="1FAD048B" w14:textId="09BAE751"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11</w:t>
            </w:r>
            <w:r w:rsidR="006025E0">
              <w:rPr>
                <w:lang w:val="en-GB"/>
              </w:rPr>
              <w:t xml:space="preserve">, </w:t>
            </w:r>
            <w:r w:rsidRPr="00C1421E">
              <w:rPr>
                <w:lang w:val="en-GB"/>
              </w:rPr>
              <w:t>Geneva, 6</w:t>
            </w:r>
            <w:r w:rsidR="006025E0">
              <w:rPr>
                <w:lang w:val="en-GB"/>
              </w:rPr>
              <w:t>-</w:t>
            </w:r>
            <w:r w:rsidRPr="00C1421E">
              <w:rPr>
                <w:lang w:val="en-GB"/>
              </w:rPr>
              <w:t>15 March 2019</w:t>
            </w:r>
          </w:p>
        </w:tc>
        <w:tc>
          <w:tcPr>
            <w:tcW w:w="1701" w:type="dxa"/>
          </w:tcPr>
          <w:p w14:paraId="4B941D04" w14:textId="09E5A92A" w:rsidR="00083CD9" w:rsidRPr="00C1421E" w:rsidRDefault="00083CD9" w:rsidP="00C1421E">
            <w:pPr>
              <w:pStyle w:val="TableText0"/>
              <w:jc w:val="center"/>
              <w:rPr>
                <w:highlight w:val="yellow"/>
                <w:lang w:val="en-GB"/>
              </w:rPr>
            </w:pPr>
            <w:r w:rsidRPr="00C1421E">
              <w:rPr>
                <w:lang w:val="en-GB"/>
              </w:rPr>
              <w:t>0</w:t>
            </w:r>
          </w:p>
        </w:tc>
        <w:tc>
          <w:tcPr>
            <w:tcW w:w="1559" w:type="dxa"/>
          </w:tcPr>
          <w:p w14:paraId="0C29F81A" w14:textId="6248C220"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3 cancelled</w:t>
            </w:r>
            <w:r w:rsidR="00E738E0">
              <w:rPr>
                <w:lang w:val="en-GB"/>
              </w:rPr>
              <w:t>)</w:t>
            </w:r>
          </w:p>
        </w:tc>
        <w:tc>
          <w:tcPr>
            <w:tcW w:w="2551" w:type="dxa"/>
          </w:tcPr>
          <w:p w14:paraId="2B9DC332" w14:textId="31CE21EA" w:rsidR="00083CD9" w:rsidRPr="00C1421E" w:rsidRDefault="00083CD9" w:rsidP="00C1421E">
            <w:pPr>
              <w:pStyle w:val="TableText0"/>
              <w:rPr>
                <w:lang w:val="en-GB"/>
              </w:rPr>
            </w:pPr>
            <w:r w:rsidRPr="00C1421E">
              <w:rPr>
                <w:lang w:val="en-GB"/>
              </w:rPr>
              <w:t>7 fellowships awarded</w:t>
            </w:r>
            <w:r w:rsidR="00E738E0">
              <w:rPr>
                <w:lang w:val="en-GB"/>
              </w:rPr>
              <w:t>,</w:t>
            </w:r>
          </w:p>
          <w:p w14:paraId="411FA229" w14:textId="172BF4D9" w:rsidR="00083CD9" w:rsidRPr="00C1421E" w:rsidRDefault="00083CD9" w:rsidP="00C1421E">
            <w:pPr>
              <w:pStyle w:val="TableText0"/>
              <w:rPr>
                <w:highlight w:val="yellow"/>
                <w:lang w:val="en-GB"/>
              </w:rPr>
            </w:pPr>
            <w:r w:rsidRPr="00C1421E">
              <w:rPr>
                <w:lang w:val="en-GB"/>
              </w:rPr>
              <w:t>4 participants</w:t>
            </w:r>
          </w:p>
        </w:tc>
      </w:tr>
      <w:tr w:rsidR="00083CD9" w:rsidRPr="00C1421E" w14:paraId="1CDB9F37" w14:textId="77777777" w:rsidTr="007339CE">
        <w:tc>
          <w:tcPr>
            <w:tcW w:w="3828" w:type="dxa"/>
          </w:tcPr>
          <w:p w14:paraId="5581F495" w14:textId="485F6DB8"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16</w:t>
            </w:r>
            <w:r w:rsidR="006025E0">
              <w:rPr>
                <w:lang w:val="en-GB"/>
              </w:rPr>
              <w:t xml:space="preserve">, </w:t>
            </w:r>
            <w:r w:rsidRPr="00C1421E">
              <w:rPr>
                <w:lang w:val="en-GB"/>
              </w:rPr>
              <w:t>Geneva, 6</w:t>
            </w:r>
            <w:r w:rsidR="006025E0">
              <w:rPr>
                <w:lang w:val="en-GB"/>
              </w:rPr>
              <w:t>-</w:t>
            </w:r>
            <w:r w:rsidRPr="00C1421E">
              <w:rPr>
                <w:lang w:val="en-GB"/>
              </w:rPr>
              <w:t>15 March 2019</w:t>
            </w:r>
          </w:p>
        </w:tc>
        <w:tc>
          <w:tcPr>
            <w:tcW w:w="1701" w:type="dxa"/>
          </w:tcPr>
          <w:p w14:paraId="7590E166" w14:textId="10011366" w:rsidR="00083CD9" w:rsidRPr="00C1421E" w:rsidRDefault="00083CD9" w:rsidP="00C1421E">
            <w:pPr>
              <w:pStyle w:val="TableText0"/>
              <w:jc w:val="center"/>
              <w:rPr>
                <w:highlight w:val="yellow"/>
                <w:lang w:val="en-GB"/>
              </w:rPr>
            </w:pPr>
            <w:r w:rsidRPr="00C1421E">
              <w:rPr>
                <w:lang w:val="en-GB"/>
              </w:rPr>
              <w:t xml:space="preserve">2 </w:t>
            </w:r>
            <w:r w:rsidR="00E738E0">
              <w:rPr>
                <w:lang w:val="en-GB"/>
              </w:rPr>
              <w:t>(</w:t>
            </w:r>
            <w:r w:rsidRPr="00C1421E">
              <w:rPr>
                <w:lang w:val="en-GB"/>
              </w:rPr>
              <w:t>1 cancelled</w:t>
            </w:r>
            <w:r w:rsidR="00E738E0">
              <w:rPr>
                <w:lang w:val="en-GB"/>
              </w:rPr>
              <w:t>)</w:t>
            </w:r>
          </w:p>
        </w:tc>
        <w:tc>
          <w:tcPr>
            <w:tcW w:w="1559" w:type="dxa"/>
          </w:tcPr>
          <w:p w14:paraId="52240E20" w14:textId="0BD876E7" w:rsidR="00083CD9" w:rsidRPr="00C1421E" w:rsidRDefault="00083CD9" w:rsidP="00C1421E">
            <w:pPr>
              <w:pStyle w:val="TableText0"/>
              <w:jc w:val="center"/>
              <w:rPr>
                <w:highlight w:val="yellow"/>
                <w:lang w:val="en-GB"/>
              </w:rPr>
            </w:pPr>
            <w:r w:rsidRPr="00C1421E">
              <w:rPr>
                <w:lang w:val="en-GB"/>
              </w:rPr>
              <w:t>3</w:t>
            </w:r>
          </w:p>
        </w:tc>
        <w:tc>
          <w:tcPr>
            <w:tcW w:w="2551" w:type="dxa"/>
          </w:tcPr>
          <w:p w14:paraId="0A56437A" w14:textId="3F78D0A8" w:rsidR="00083CD9" w:rsidRPr="00C1421E" w:rsidRDefault="00083CD9" w:rsidP="00C1421E">
            <w:pPr>
              <w:pStyle w:val="TableText0"/>
              <w:rPr>
                <w:lang w:val="en-GB"/>
              </w:rPr>
            </w:pPr>
            <w:r w:rsidRPr="00C1421E">
              <w:rPr>
                <w:lang w:val="en-GB"/>
              </w:rPr>
              <w:t>6 fellowships awarded</w:t>
            </w:r>
            <w:r w:rsidR="00E738E0">
              <w:rPr>
                <w:lang w:val="en-GB"/>
              </w:rPr>
              <w:t>,</w:t>
            </w:r>
          </w:p>
          <w:p w14:paraId="4C3EB612" w14:textId="67112745" w:rsidR="00083CD9" w:rsidRPr="00C1421E" w:rsidRDefault="00083CD9" w:rsidP="00C1421E">
            <w:pPr>
              <w:pStyle w:val="TableText0"/>
              <w:rPr>
                <w:highlight w:val="yellow"/>
                <w:lang w:val="en-GB"/>
              </w:rPr>
            </w:pPr>
            <w:r w:rsidRPr="00C1421E">
              <w:rPr>
                <w:lang w:val="en-GB"/>
              </w:rPr>
              <w:t>5 participants</w:t>
            </w:r>
          </w:p>
        </w:tc>
      </w:tr>
      <w:tr w:rsidR="00083CD9" w:rsidRPr="00C1421E" w14:paraId="4FB31FFF" w14:textId="77777777" w:rsidTr="007339CE">
        <w:tc>
          <w:tcPr>
            <w:tcW w:w="3828" w:type="dxa"/>
          </w:tcPr>
          <w:p w14:paraId="56D1EF44" w14:textId="7B868FE4" w:rsidR="00083CD9" w:rsidRPr="00C1421E" w:rsidRDefault="00083CD9" w:rsidP="00C1421E">
            <w:pPr>
              <w:pStyle w:val="TableText0"/>
              <w:rPr>
                <w:highlight w:val="yellow"/>
                <w:lang w:val="en-GB"/>
              </w:rPr>
            </w:pPr>
            <w:r w:rsidRPr="00C1421E">
              <w:rPr>
                <w:lang w:val="en-GB"/>
              </w:rPr>
              <w:t>ITU-T S</w:t>
            </w:r>
            <w:r w:rsidR="006025E0">
              <w:rPr>
                <w:lang w:val="en-GB"/>
              </w:rPr>
              <w:t>G</w:t>
            </w:r>
            <w:r w:rsidRPr="00C1421E">
              <w:rPr>
                <w:lang w:val="en-GB"/>
              </w:rPr>
              <w:t>2RG-AMR</w:t>
            </w:r>
            <w:r w:rsidR="001C37A8">
              <w:rPr>
                <w:lang w:val="en-GB"/>
              </w:rPr>
              <w:t xml:space="preserve"> </w:t>
            </w:r>
            <w:r w:rsidRPr="00C1421E">
              <w:rPr>
                <w:lang w:val="en-GB"/>
              </w:rPr>
              <w:t>and SG3RG-LAC</w:t>
            </w:r>
            <w:r w:rsidR="006025E0">
              <w:rPr>
                <w:lang w:val="en-GB"/>
              </w:rPr>
              <w:t xml:space="preserve">, </w:t>
            </w:r>
            <w:r w:rsidRPr="00C1421E">
              <w:rPr>
                <w:lang w:val="en-GB"/>
              </w:rPr>
              <w:t>Managua, Nicaragua, 28</w:t>
            </w:r>
            <w:r w:rsidR="006025E0">
              <w:rPr>
                <w:lang w:val="en-GB"/>
              </w:rPr>
              <w:t>-</w:t>
            </w:r>
            <w:r w:rsidRPr="00C1421E">
              <w:rPr>
                <w:lang w:val="en-GB"/>
              </w:rPr>
              <w:t>29 March 2019</w:t>
            </w:r>
          </w:p>
        </w:tc>
        <w:tc>
          <w:tcPr>
            <w:tcW w:w="1701" w:type="dxa"/>
          </w:tcPr>
          <w:p w14:paraId="4ED4D4ED" w14:textId="29F1E281" w:rsidR="00083CD9" w:rsidRPr="00C1421E" w:rsidRDefault="00083CD9" w:rsidP="00C1421E">
            <w:pPr>
              <w:pStyle w:val="TableText0"/>
              <w:jc w:val="center"/>
              <w:rPr>
                <w:highlight w:val="yellow"/>
                <w:lang w:val="en-GB"/>
              </w:rPr>
            </w:pPr>
            <w:r w:rsidRPr="00C1421E">
              <w:rPr>
                <w:lang w:val="en-GB"/>
              </w:rPr>
              <w:t>1</w:t>
            </w:r>
          </w:p>
        </w:tc>
        <w:tc>
          <w:tcPr>
            <w:tcW w:w="1559" w:type="dxa"/>
          </w:tcPr>
          <w:p w14:paraId="55F95E0A" w14:textId="3F8B4315" w:rsidR="00083CD9" w:rsidRPr="00C1421E" w:rsidRDefault="00083CD9" w:rsidP="00C1421E">
            <w:pPr>
              <w:pStyle w:val="TableText0"/>
              <w:jc w:val="center"/>
              <w:rPr>
                <w:highlight w:val="yellow"/>
                <w:lang w:val="en-GB"/>
              </w:rPr>
            </w:pPr>
            <w:r w:rsidRPr="00C1421E">
              <w:rPr>
                <w:lang w:val="en-GB"/>
              </w:rPr>
              <w:t>2</w:t>
            </w:r>
          </w:p>
        </w:tc>
        <w:tc>
          <w:tcPr>
            <w:tcW w:w="2551" w:type="dxa"/>
          </w:tcPr>
          <w:p w14:paraId="5C995CC3" w14:textId="2A5D472A" w:rsidR="00083CD9" w:rsidRPr="00C1421E" w:rsidRDefault="00083CD9" w:rsidP="00C1421E">
            <w:pPr>
              <w:pStyle w:val="TableText0"/>
              <w:rPr>
                <w:lang w:val="en-GB"/>
              </w:rPr>
            </w:pPr>
            <w:r w:rsidRPr="00C1421E">
              <w:rPr>
                <w:lang w:val="en-GB"/>
              </w:rPr>
              <w:t>3 fellowships awarded</w:t>
            </w:r>
            <w:r w:rsidR="00E738E0">
              <w:rPr>
                <w:lang w:val="en-GB"/>
              </w:rPr>
              <w:t>,</w:t>
            </w:r>
          </w:p>
          <w:p w14:paraId="5A998C95" w14:textId="39653137" w:rsidR="00083CD9" w:rsidRPr="00C1421E" w:rsidRDefault="00083CD9" w:rsidP="00C1421E">
            <w:pPr>
              <w:pStyle w:val="TableText0"/>
              <w:rPr>
                <w:highlight w:val="yellow"/>
                <w:lang w:val="en-GB"/>
              </w:rPr>
            </w:pPr>
            <w:r w:rsidRPr="00C1421E">
              <w:rPr>
                <w:lang w:val="en-GB"/>
              </w:rPr>
              <w:t>3 participants</w:t>
            </w:r>
          </w:p>
        </w:tc>
      </w:tr>
      <w:tr w:rsidR="00083CD9" w:rsidRPr="00C1421E" w14:paraId="00CC9FE2" w14:textId="77777777" w:rsidTr="007339CE">
        <w:tc>
          <w:tcPr>
            <w:tcW w:w="3828" w:type="dxa"/>
          </w:tcPr>
          <w:p w14:paraId="5F4B5C98" w14:textId="5256D22B"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17RG-AFR</w:t>
            </w:r>
            <w:r w:rsidR="001C37A8">
              <w:rPr>
                <w:lang w:val="en-GB"/>
              </w:rPr>
              <w:t xml:space="preserve"> </w:t>
            </w:r>
            <w:r w:rsidRPr="00C1421E">
              <w:rPr>
                <w:lang w:val="en-GB"/>
              </w:rPr>
              <w:t>and SG17RG-ARB</w:t>
            </w:r>
            <w:r w:rsidR="006025E0">
              <w:rPr>
                <w:lang w:val="en-GB"/>
              </w:rPr>
              <w:t xml:space="preserve">, </w:t>
            </w:r>
            <w:r w:rsidRPr="00C1421E">
              <w:rPr>
                <w:lang w:val="en-GB"/>
              </w:rPr>
              <w:t>Tunis, Tunisia, 2</w:t>
            </w:r>
            <w:r w:rsidR="006025E0">
              <w:rPr>
                <w:lang w:val="en-GB"/>
              </w:rPr>
              <w:t>-</w:t>
            </w:r>
            <w:r w:rsidRPr="00C1421E">
              <w:rPr>
                <w:lang w:val="en-GB"/>
              </w:rPr>
              <w:t>3 April 2019</w:t>
            </w:r>
          </w:p>
        </w:tc>
        <w:tc>
          <w:tcPr>
            <w:tcW w:w="1701" w:type="dxa"/>
          </w:tcPr>
          <w:p w14:paraId="692C1CF1" w14:textId="67C98FFD" w:rsidR="00083CD9" w:rsidRPr="00C1421E" w:rsidRDefault="00083CD9" w:rsidP="00C1421E">
            <w:pPr>
              <w:pStyle w:val="TableText0"/>
              <w:jc w:val="center"/>
              <w:rPr>
                <w:highlight w:val="yellow"/>
                <w:lang w:val="en-GB"/>
              </w:rPr>
            </w:pPr>
            <w:r w:rsidRPr="00C1421E">
              <w:rPr>
                <w:lang w:val="en-GB"/>
              </w:rPr>
              <w:t xml:space="preserve">1 </w:t>
            </w:r>
            <w:r w:rsidR="00E738E0">
              <w:rPr>
                <w:lang w:val="en-GB"/>
              </w:rPr>
              <w:t>(</w:t>
            </w:r>
            <w:r w:rsidRPr="00C1421E">
              <w:rPr>
                <w:lang w:val="en-GB"/>
              </w:rPr>
              <w:t>1 cancelled</w:t>
            </w:r>
            <w:r w:rsidR="00E738E0">
              <w:rPr>
                <w:lang w:val="en-GB"/>
              </w:rPr>
              <w:t>)</w:t>
            </w:r>
          </w:p>
        </w:tc>
        <w:tc>
          <w:tcPr>
            <w:tcW w:w="1559" w:type="dxa"/>
          </w:tcPr>
          <w:p w14:paraId="5C5F2EB4" w14:textId="3AA5CAFB"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4 cancelled</w:t>
            </w:r>
            <w:r w:rsidR="00E738E0">
              <w:rPr>
                <w:lang w:val="en-GB"/>
              </w:rPr>
              <w:t>)</w:t>
            </w:r>
          </w:p>
        </w:tc>
        <w:tc>
          <w:tcPr>
            <w:tcW w:w="2551" w:type="dxa"/>
          </w:tcPr>
          <w:p w14:paraId="14851345" w14:textId="08EE7982" w:rsidR="00083CD9" w:rsidRPr="00C1421E" w:rsidRDefault="00083CD9" w:rsidP="00C1421E">
            <w:pPr>
              <w:pStyle w:val="TableText0"/>
              <w:rPr>
                <w:lang w:val="en-GB"/>
              </w:rPr>
            </w:pPr>
            <w:r w:rsidRPr="00C1421E">
              <w:rPr>
                <w:lang w:val="en-GB"/>
              </w:rPr>
              <w:t>10 fellowships awarded</w:t>
            </w:r>
            <w:r w:rsidR="00E738E0">
              <w:rPr>
                <w:lang w:val="en-GB"/>
              </w:rPr>
              <w:t>,</w:t>
            </w:r>
          </w:p>
          <w:p w14:paraId="4A8F9179" w14:textId="20FABE75" w:rsidR="00083CD9" w:rsidRPr="00C1421E" w:rsidRDefault="00083CD9" w:rsidP="00C1421E">
            <w:pPr>
              <w:pStyle w:val="TableText0"/>
              <w:rPr>
                <w:highlight w:val="yellow"/>
                <w:lang w:val="en-GB"/>
              </w:rPr>
            </w:pPr>
            <w:r w:rsidRPr="00C1421E">
              <w:rPr>
                <w:lang w:val="en-GB"/>
              </w:rPr>
              <w:t>5 participants</w:t>
            </w:r>
          </w:p>
        </w:tc>
      </w:tr>
      <w:tr w:rsidR="00083CD9" w:rsidRPr="00C1421E" w14:paraId="3D33ABFD" w14:textId="77777777" w:rsidTr="007339CE">
        <w:tc>
          <w:tcPr>
            <w:tcW w:w="3828" w:type="dxa"/>
          </w:tcPr>
          <w:p w14:paraId="59550B53" w14:textId="2160781B" w:rsidR="00083CD9" w:rsidRPr="00C1421E" w:rsidRDefault="00083CD9" w:rsidP="00C1421E">
            <w:pPr>
              <w:pStyle w:val="TableText0"/>
              <w:rPr>
                <w:highlight w:val="yellow"/>
                <w:lang w:val="en-GB"/>
              </w:rPr>
            </w:pPr>
            <w:r w:rsidRPr="00C1421E">
              <w:rPr>
                <w:lang w:val="en-GB"/>
              </w:rPr>
              <w:t xml:space="preserve">ITU-T </w:t>
            </w:r>
            <w:r w:rsidR="006025E0">
              <w:rPr>
                <w:lang w:val="en-GB"/>
              </w:rPr>
              <w:t xml:space="preserve">SG20, </w:t>
            </w:r>
            <w:r w:rsidRPr="00C1421E">
              <w:rPr>
                <w:lang w:val="en-GB"/>
              </w:rPr>
              <w:t>Geneva, 9</w:t>
            </w:r>
            <w:r w:rsidR="006025E0">
              <w:rPr>
                <w:lang w:val="en-GB"/>
              </w:rPr>
              <w:t>-</w:t>
            </w:r>
            <w:r w:rsidRPr="00C1421E">
              <w:rPr>
                <w:lang w:val="en-GB"/>
              </w:rPr>
              <w:t>18 April 2019</w:t>
            </w:r>
          </w:p>
        </w:tc>
        <w:tc>
          <w:tcPr>
            <w:tcW w:w="1701" w:type="dxa"/>
          </w:tcPr>
          <w:p w14:paraId="2EA04459" w14:textId="4F557B4D" w:rsidR="00083CD9" w:rsidRPr="00C1421E" w:rsidRDefault="00083CD9" w:rsidP="00C1421E">
            <w:pPr>
              <w:pStyle w:val="TableText0"/>
              <w:jc w:val="center"/>
              <w:rPr>
                <w:highlight w:val="yellow"/>
                <w:lang w:val="en-GB"/>
              </w:rPr>
            </w:pPr>
            <w:r w:rsidRPr="00C1421E">
              <w:rPr>
                <w:lang w:val="en-GB"/>
              </w:rPr>
              <w:t>2</w:t>
            </w:r>
          </w:p>
        </w:tc>
        <w:tc>
          <w:tcPr>
            <w:tcW w:w="1559" w:type="dxa"/>
          </w:tcPr>
          <w:p w14:paraId="556AD1F6" w14:textId="0CEC641A"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3 cancelled</w:t>
            </w:r>
            <w:r w:rsidR="00E738E0">
              <w:rPr>
                <w:lang w:val="en-GB"/>
              </w:rPr>
              <w:t>)</w:t>
            </w:r>
          </w:p>
        </w:tc>
        <w:tc>
          <w:tcPr>
            <w:tcW w:w="2551" w:type="dxa"/>
          </w:tcPr>
          <w:p w14:paraId="45FEBEE6" w14:textId="1DED6AE5" w:rsidR="00083CD9" w:rsidRPr="00C1421E" w:rsidRDefault="00083CD9" w:rsidP="00C1421E">
            <w:pPr>
              <w:pStyle w:val="TableText0"/>
              <w:rPr>
                <w:lang w:val="en-GB"/>
              </w:rPr>
            </w:pPr>
            <w:r w:rsidRPr="00C1421E">
              <w:rPr>
                <w:lang w:val="en-GB"/>
              </w:rPr>
              <w:t>8 fellowships awarded</w:t>
            </w:r>
            <w:r w:rsidR="00E738E0">
              <w:rPr>
                <w:lang w:val="en-GB"/>
              </w:rPr>
              <w:t>,</w:t>
            </w:r>
          </w:p>
          <w:p w14:paraId="7E05BD14" w14:textId="354A2564" w:rsidR="00083CD9" w:rsidRPr="00C1421E" w:rsidRDefault="00083CD9" w:rsidP="00C1421E">
            <w:pPr>
              <w:pStyle w:val="TableText0"/>
              <w:rPr>
                <w:highlight w:val="yellow"/>
                <w:lang w:val="en-GB"/>
              </w:rPr>
            </w:pPr>
            <w:r w:rsidRPr="00C1421E">
              <w:rPr>
                <w:lang w:val="en-GB"/>
              </w:rPr>
              <w:t>5 participants</w:t>
            </w:r>
          </w:p>
        </w:tc>
      </w:tr>
      <w:tr w:rsidR="00083CD9" w:rsidRPr="00C1421E" w14:paraId="2FB74BCC" w14:textId="77777777" w:rsidTr="007339CE">
        <w:tc>
          <w:tcPr>
            <w:tcW w:w="3828" w:type="dxa"/>
          </w:tcPr>
          <w:p w14:paraId="07709AAF" w14:textId="4C208AB3" w:rsidR="00083CD9" w:rsidRPr="00C1421E" w:rsidRDefault="00083CD9">
            <w:pPr>
              <w:pStyle w:val="TableText0"/>
              <w:rPr>
                <w:highlight w:val="yellow"/>
                <w:lang w:val="en-GB"/>
              </w:rPr>
            </w:pPr>
            <w:r w:rsidRPr="00C1421E">
              <w:rPr>
                <w:lang w:val="en-GB"/>
              </w:rPr>
              <w:t xml:space="preserve">ITU-T </w:t>
            </w:r>
            <w:r w:rsidR="006025E0">
              <w:rPr>
                <w:lang w:val="en-GB"/>
              </w:rPr>
              <w:t>SG</w:t>
            </w:r>
            <w:r w:rsidRPr="00C1421E">
              <w:rPr>
                <w:lang w:val="en-GB"/>
              </w:rPr>
              <w:t>3</w:t>
            </w:r>
            <w:r w:rsidR="006025E0">
              <w:rPr>
                <w:lang w:val="en-GB"/>
              </w:rPr>
              <w:t xml:space="preserve">, </w:t>
            </w:r>
            <w:r w:rsidRPr="00C1421E">
              <w:rPr>
                <w:lang w:val="en-GB"/>
              </w:rPr>
              <w:t xml:space="preserve">Geneva, 23 April </w:t>
            </w:r>
            <w:r w:rsidR="006025E0">
              <w:rPr>
                <w:lang w:val="en-GB"/>
              </w:rPr>
              <w:t xml:space="preserve">- </w:t>
            </w:r>
            <w:r w:rsidRPr="00C1421E">
              <w:rPr>
                <w:lang w:val="en-GB"/>
              </w:rPr>
              <w:t>2 May 2019</w:t>
            </w:r>
          </w:p>
        </w:tc>
        <w:tc>
          <w:tcPr>
            <w:tcW w:w="1701" w:type="dxa"/>
          </w:tcPr>
          <w:p w14:paraId="05EAD803" w14:textId="1775CC66"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2 cancelled</w:t>
            </w:r>
            <w:r w:rsidR="00E738E0">
              <w:rPr>
                <w:lang w:val="en-GB"/>
              </w:rPr>
              <w:t>)</w:t>
            </w:r>
          </w:p>
        </w:tc>
        <w:tc>
          <w:tcPr>
            <w:tcW w:w="1559" w:type="dxa"/>
          </w:tcPr>
          <w:p w14:paraId="1D6D938E" w14:textId="1D2F1097" w:rsidR="00083CD9" w:rsidRPr="00C1421E" w:rsidRDefault="00083CD9" w:rsidP="00C1421E">
            <w:pPr>
              <w:pStyle w:val="TableText0"/>
              <w:jc w:val="center"/>
              <w:rPr>
                <w:highlight w:val="yellow"/>
                <w:lang w:val="en-GB"/>
              </w:rPr>
            </w:pPr>
            <w:r w:rsidRPr="00C1421E">
              <w:rPr>
                <w:lang w:val="en-GB"/>
              </w:rPr>
              <w:t xml:space="preserve">9 </w:t>
            </w:r>
            <w:r w:rsidR="00E738E0">
              <w:rPr>
                <w:lang w:val="en-GB"/>
              </w:rPr>
              <w:t>(</w:t>
            </w:r>
            <w:r w:rsidRPr="00C1421E">
              <w:rPr>
                <w:lang w:val="en-GB"/>
              </w:rPr>
              <w:t>2 cancelled</w:t>
            </w:r>
            <w:r w:rsidR="00E738E0">
              <w:rPr>
                <w:lang w:val="en-GB"/>
              </w:rPr>
              <w:t>)</w:t>
            </w:r>
          </w:p>
        </w:tc>
        <w:tc>
          <w:tcPr>
            <w:tcW w:w="2551" w:type="dxa"/>
          </w:tcPr>
          <w:p w14:paraId="7A93BC23" w14:textId="6EE7A661" w:rsidR="00083CD9" w:rsidRPr="00C1421E" w:rsidRDefault="00083CD9" w:rsidP="00C1421E">
            <w:pPr>
              <w:pStyle w:val="TableText0"/>
              <w:rPr>
                <w:lang w:val="en-GB"/>
              </w:rPr>
            </w:pPr>
            <w:r w:rsidRPr="00C1421E">
              <w:rPr>
                <w:lang w:val="en-GB"/>
              </w:rPr>
              <w:t>20 fellowships awarded</w:t>
            </w:r>
            <w:r w:rsidR="00E738E0">
              <w:rPr>
                <w:lang w:val="en-GB"/>
              </w:rPr>
              <w:t>,</w:t>
            </w:r>
          </w:p>
          <w:p w14:paraId="0FC2655D" w14:textId="162C7914" w:rsidR="00083CD9" w:rsidRPr="00C1421E" w:rsidRDefault="00083CD9" w:rsidP="00C1421E">
            <w:pPr>
              <w:pStyle w:val="TableText0"/>
              <w:rPr>
                <w:highlight w:val="yellow"/>
                <w:lang w:val="en-GB"/>
              </w:rPr>
            </w:pPr>
            <w:r w:rsidRPr="00C1421E">
              <w:rPr>
                <w:lang w:val="en-GB"/>
              </w:rPr>
              <w:t>16 participants</w:t>
            </w:r>
          </w:p>
        </w:tc>
      </w:tr>
      <w:tr w:rsidR="00083CD9" w:rsidRPr="00C1421E" w14:paraId="43F3166E" w14:textId="77777777" w:rsidTr="007339CE">
        <w:tc>
          <w:tcPr>
            <w:tcW w:w="3828" w:type="dxa"/>
          </w:tcPr>
          <w:p w14:paraId="50C47F76" w14:textId="6DC1C0C3"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12</w:t>
            </w:r>
            <w:r w:rsidR="006025E0">
              <w:rPr>
                <w:lang w:val="en-GB"/>
              </w:rPr>
              <w:t xml:space="preserve">, </w:t>
            </w:r>
            <w:r w:rsidRPr="00C1421E">
              <w:rPr>
                <w:lang w:val="en-GB"/>
              </w:rPr>
              <w:t>Geneva, 7</w:t>
            </w:r>
            <w:r w:rsidR="006025E0">
              <w:rPr>
                <w:lang w:val="en-GB"/>
              </w:rPr>
              <w:t>-</w:t>
            </w:r>
            <w:r w:rsidRPr="00C1421E">
              <w:rPr>
                <w:lang w:val="en-GB"/>
              </w:rPr>
              <w:t>16 May 2019</w:t>
            </w:r>
          </w:p>
        </w:tc>
        <w:tc>
          <w:tcPr>
            <w:tcW w:w="1701" w:type="dxa"/>
          </w:tcPr>
          <w:p w14:paraId="1D5AA8DD" w14:textId="53A80DB8" w:rsidR="00083CD9" w:rsidRPr="00C1421E" w:rsidRDefault="00083CD9" w:rsidP="00C1421E">
            <w:pPr>
              <w:pStyle w:val="TableText0"/>
              <w:jc w:val="center"/>
              <w:rPr>
                <w:highlight w:val="yellow"/>
                <w:lang w:val="en-GB"/>
              </w:rPr>
            </w:pPr>
            <w:r w:rsidRPr="00C1421E">
              <w:rPr>
                <w:lang w:val="en-GB"/>
              </w:rPr>
              <w:t>0</w:t>
            </w:r>
          </w:p>
        </w:tc>
        <w:tc>
          <w:tcPr>
            <w:tcW w:w="1559" w:type="dxa"/>
          </w:tcPr>
          <w:p w14:paraId="3A0CD557" w14:textId="3D0CE09E" w:rsidR="00083CD9" w:rsidRPr="00C1421E" w:rsidRDefault="00083CD9" w:rsidP="00C1421E">
            <w:pPr>
              <w:pStyle w:val="TableText0"/>
              <w:jc w:val="center"/>
              <w:rPr>
                <w:highlight w:val="yellow"/>
                <w:lang w:val="en-GB"/>
              </w:rPr>
            </w:pPr>
            <w:r w:rsidRPr="00C1421E">
              <w:rPr>
                <w:lang w:val="en-GB"/>
              </w:rPr>
              <w:t xml:space="preserve">6 </w:t>
            </w:r>
            <w:r w:rsidR="00E738E0">
              <w:rPr>
                <w:lang w:val="en-GB"/>
              </w:rPr>
              <w:t>(</w:t>
            </w:r>
            <w:r w:rsidRPr="00C1421E">
              <w:rPr>
                <w:lang w:val="en-GB"/>
              </w:rPr>
              <w:t>2 cancelled</w:t>
            </w:r>
            <w:r w:rsidR="00E738E0">
              <w:rPr>
                <w:lang w:val="en-GB"/>
              </w:rPr>
              <w:t>)</w:t>
            </w:r>
          </w:p>
        </w:tc>
        <w:tc>
          <w:tcPr>
            <w:tcW w:w="2551" w:type="dxa"/>
          </w:tcPr>
          <w:p w14:paraId="0A424399" w14:textId="06443224" w:rsidR="00083CD9" w:rsidRPr="00C1421E" w:rsidRDefault="00083CD9" w:rsidP="00C1421E">
            <w:pPr>
              <w:pStyle w:val="TableText0"/>
              <w:rPr>
                <w:lang w:val="en-GB"/>
              </w:rPr>
            </w:pPr>
            <w:r w:rsidRPr="00C1421E">
              <w:rPr>
                <w:lang w:val="en-GB"/>
              </w:rPr>
              <w:t>8 fellowships awarded</w:t>
            </w:r>
            <w:r w:rsidR="00E738E0">
              <w:rPr>
                <w:lang w:val="en-GB"/>
              </w:rPr>
              <w:t>,</w:t>
            </w:r>
          </w:p>
          <w:p w14:paraId="19614725" w14:textId="0E9DCE26" w:rsidR="00083CD9" w:rsidRPr="00C1421E" w:rsidRDefault="00083CD9" w:rsidP="00C1421E">
            <w:pPr>
              <w:pStyle w:val="TableText0"/>
              <w:rPr>
                <w:highlight w:val="yellow"/>
                <w:lang w:val="en-GB"/>
              </w:rPr>
            </w:pPr>
            <w:r w:rsidRPr="00C1421E">
              <w:rPr>
                <w:lang w:val="en-GB"/>
              </w:rPr>
              <w:t>6 participants</w:t>
            </w:r>
          </w:p>
        </w:tc>
      </w:tr>
      <w:tr w:rsidR="00083CD9" w:rsidRPr="00C1421E" w14:paraId="7750D2FE" w14:textId="77777777" w:rsidTr="007339CE">
        <w:tc>
          <w:tcPr>
            <w:tcW w:w="3828" w:type="dxa"/>
          </w:tcPr>
          <w:p w14:paraId="4185AB21" w14:textId="2D27F89B"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5</w:t>
            </w:r>
            <w:r w:rsidR="006025E0">
              <w:rPr>
                <w:lang w:val="en-GB"/>
              </w:rPr>
              <w:t xml:space="preserve">, </w:t>
            </w:r>
            <w:r w:rsidRPr="00C1421E">
              <w:rPr>
                <w:lang w:val="en-GB"/>
              </w:rPr>
              <w:t>Geneva, 13</w:t>
            </w:r>
            <w:r w:rsidR="006025E0">
              <w:rPr>
                <w:lang w:val="en-GB"/>
              </w:rPr>
              <w:t>-</w:t>
            </w:r>
            <w:r w:rsidRPr="00C1421E">
              <w:rPr>
                <w:lang w:val="en-GB"/>
              </w:rPr>
              <w:t>22 May 2019</w:t>
            </w:r>
          </w:p>
        </w:tc>
        <w:tc>
          <w:tcPr>
            <w:tcW w:w="1701" w:type="dxa"/>
          </w:tcPr>
          <w:p w14:paraId="4002F71E" w14:textId="71791BA9"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2 cancelled</w:t>
            </w:r>
            <w:r w:rsidR="00E738E0">
              <w:rPr>
                <w:lang w:val="en-GB"/>
              </w:rPr>
              <w:t>)</w:t>
            </w:r>
          </w:p>
        </w:tc>
        <w:tc>
          <w:tcPr>
            <w:tcW w:w="1559" w:type="dxa"/>
          </w:tcPr>
          <w:p w14:paraId="4CCF037A" w14:textId="4E271BED"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1 cancelled</w:t>
            </w:r>
            <w:r w:rsidR="00E738E0">
              <w:rPr>
                <w:lang w:val="en-GB"/>
              </w:rPr>
              <w:t>)</w:t>
            </w:r>
          </w:p>
        </w:tc>
        <w:tc>
          <w:tcPr>
            <w:tcW w:w="2551" w:type="dxa"/>
          </w:tcPr>
          <w:p w14:paraId="0DBFEC9F" w14:textId="4CD746AD" w:rsidR="00083CD9" w:rsidRPr="00C1421E" w:rsidRDefault="00083CD9" w:rsidP="00C1421E">
            <w:pPr>
              <w:pStyle w:val="TableText0"/>
              <w:rPr>
                <w:lang w:val="en-GB"/>
              </w:rPr>
            </w:pPr>
            <w:r w:rsidRPr="00C1421E">
              <w:rPr>
                <w:lang w:val="en-GB"/>
              </w:rPr>
              <w:t>9 fellowships awarded</w:t>
            </w:r>
            <w:r w:rsidR="00E738E0">
              <w:rPr>
                <w:lang w:val="en-GB"/>
              </w:rPr>
              <w:t>,</w:t>
            </w:r>
          </w:p>
          <w:p w14:paraId="3CC54765" w14:textId="4F24D31F" w:rsidR="00083CD9" w:rsidRPr="00C1421E" w:rsidRDefault="00083CD9" w:rsidP="00C1421E">
            <w:pPr>
              <w:pStyle w:val="TableText0"/>
              <w:rPr>
                <w:highlight w:val="yellow"/>
                <w:lang w:val="en-GB"/>
              </w:rPr>
            </w:pPr>
            <w:r w:rsidRPr="00C1421E">
              <w:rPr>
                <w:lang w:val="en-GB"/>
              </w:rPr>
              <w:lastRenderedPageBreak/>
              <w:t>6 participants</w:t>
            </w:r>
          </w:p>
        </w:tc>
      </w:tr>
      <w:tr w:rsidR="00083CD9" w:rsidRPr="00C1421E" w14:paraId="28C92D60" w14:textId="77777777" w:rsidTr="007339CE">
        <w:tc>
          <w:tcPr>
            <w:tcW w:w="3828" w:type="dxa"/>
          </w:tcPr>
          <w:p w14:paraId="4C07CDC4" w14:textId="45DD147D" w:rsidR="00083CD9" w:rsidRPr="00C1421E" w:rsidRDefault="00083CD9" w:rsidP="00C1421E">
            <w:pPr>
              <w:pStyle w:val="TableText0"/>
              <w:rPr>
                <w:highlight w:val="yellow"/>
                <w:lang w:val="en-GB"/>
              </w:rPr>
            </w:pPr>
            <w:r w:rsidRPr="00C1421E">
              <w:rPr>
                <w:lang w:val="en-GB"/>
              </w:rPr>
              <w:lastRenderedPageBreak/>
              <w:t xml:space="preserve">ITU-T </w:t>
            </w:r>
            <w:r w:rsidR="006025E0">
              <w:rPr>
                <w:lang w:val="en-GB"/>
              </w:rPr>
              <w:t>SG</w:t>
            </w:r>
            <w:r w:rsidRPr="00C1421E">
              <w:rPr>
                <w:lang w:val="en-GB"/>
              </w:rPr>
              <w:t>3RG-EECAT, SG11RG-EECAT and SG13RG-ECCAT,</w:t>
            </w:r>
            <w:r w:rsidR="006025E0">
              <w:rPr>
                <w:lang w:val="en-GB"/>
              </w:rPr>
              <w:t xml:space="preserve"> </w:t>
            </w:r>
            <w:r w:rsidRPr="00C1421E">
              <w:rPr>
                <w:lang w:val="en-GB"/>
              </w:rPr>
              <w:t>Saint-Petersburg, Russia, 21</w:t>
            </w:r>
            <w:r w:rsidR="006025E0">
              <w:rPr>
                <w:lang w:val="en-GB"/>
              </w:rPr>
              <w:t>-</w:t>
            </w:r>
            <w:r w:rsidRPr="00C1421E">
              <w:rPr>
                <w:lang w:val="en-GB"/>
              </w:rPr>
              <w:t>23 May 2019</w:t>
            </w:r>
          </w:p>
        </w:tc>
        <w:tc>
          <w:tcPr>
            <w:tcW w:w="1701" w:type="dxa"/>
          </w:tcPr>
          <w:p w14:paraId="626DA60D" w14:textId="7677B2F4" w:rsidR="00083CD9" w:rsidRPr="00C1421E" w:rsidRDefault="00083CD9" w:rsidP="00C1421E">
            <w:pPr>
              <w:pStyle w:val="TableText0"/>
              <w:jc w:val="center"/>
              <w:rPr>
                <w:highlight w:val="yellow"/>
                <w:lang w:val="en-GB"/>
              </w:rPr>
            </w:pPr>
            <w:r w:rsidRPr="00C1421E">
              <w:rPr>
                <w:lang w:val="en-GB"/>
              </w:rPr>
              <w:t>2</w:t>
            </w:r>
          </w:p>
        </w:tc>
        <w:tc>
          <w:tcPr>
            <w:tcW w:w="1559" w:type="dxa"/>
          </w:tcPr>
          <w:p w14:paraId="2388365D" w14:textId="69192350" w:rsidR="00083CD9" w:rsidRPr="00C1421E" w:rsidRDefault="00083CD9" w:rsidP="00C1421E">
            <w:pPr>
              <w:pStyle w:val="TableText0"/>
              <w:jc w:val="center"/>
              <w:rPr>
                <w:highlight w:val="yellow"/>
                <w:lang w:val="en-GB"/>
              </w:rPr>
            </w:pPr>
            <w:r w:rsidRPr="00C1421E">
              <w:rPr>
                <w:lang w:val="en-GB"/>
              </w:rPr>
              <w:t>1</w:t>
            </w:r>
          </w:p>
        </w:tc>
        <w:tc>
          <w:tcPr>
            <w:tcW w:w="2551" w:type="dxa"/>
          </w:tcPr>
          <w:p w14:paraId="1C582C0B" w14:textId="638D1833" w:rsidR="00083CD9" w:rsidRPr="00C1421E" w:rsidRDefault="00083CD9" w:rsidP="00C1421E">
            <w:pPr>
              <w:pStyle w:val="TableText0"/>
              <w:rPr>
                <w:lang w:val="en-GB"/>
              </w:rPr>
            </w:pPr>
            <w:r w:rsidRPr="00C1421E">
              <w:rPr>
                <w:lang w:val="en-GB"/>
              </w:rPr>
              <w:t>3 fellowships awarded</w:t>
            </w:r>
            <w:r w:rsidR="00E738E0">
              <w:rPr>
                <w:lang w:val="en-GB"/>
              </w:rPr>
              <w:t>,</w:t>
            </w:r>
          </w:p>
          <w:p w14:paraId="3B9A4801" w14:textId="3A01A74E" w:rsidR="00083CD9" w:rsidRPr="00C1421E" w:rsidRDefault="00083CD9" w:rsidP="00C1421E">
            <w:pPr>
              <w:pStyle w:val="TableText0"/>
              <w:rPr>
                <w:highlight w:val="yellow"/>
                <w:lang w:val="en-GB"/>
              </w:rPr>
            </w:pPr>
            <w:r w:rsidRPr="00C1421E">
              <w:rPr>
                <w:lang w:val="en-GB"/>
              </w:rPr>
              <w:t>3 participants</w:t>
            </w:r>
          </w:p>
        </w:tc>
      </w:tr>
      <w:tr w:rsidR="00083CD9" w:rsidRPr="00C1421E" w14:paraId="7E29ADB3" w14:textId="77777777" w:rsidTr="007339CE">
        <w:tc>
          <w:tcPr>
            <w:tcW w:w="3828" w:type="dxa"/>
          </w:tcPr>
          <w:p w14:paraId="58FBBBE6" w14:textId="1731C400"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9</w:t>
            </w:r>
            <w:r w:rsidR="006025E0">
              <w:rPr>
                <w:lang w:val="en-GB"/>
              </w:rPr>
              <w:t xml:space="preserve">, </w:t>
            </w:r>
            <w:r w:rsidRPr="00C1421E">
              <w:rPr>
                <w:lang w:val="en-GB"/>
              </w:rPr>
              <w:t>Geneva, 6</w:t>
            </w:r>
            <w:r w:rsidR="006025E0">
              <w:rPr>
                <w:lang w:val="en-GB"/>
              </w:rPr>
              <w:t>-</w:t>
            </w:r>
            <w:r w:rsidRPr="00C1421E">
              <w:rPr>
                <w:lang w:val="en-GB"/>
              </w:rPr>
              <w:t>13 June 2019</w:t>
            </w:r>
          </w:p>
        </w:tc>
        <w:tc>
          <w:tcPr>
            <w:tcW w:w="1701" w:type="dxa"/>
          </w:tcPr>
          <w:p w14:paraId="4C64494F" w14:textId="5BB8B8DD" w:rsidR="00083CD9" w:rsidRPr="00C1421E" w:rsidRDefault="00083CD9" w:rsidP="00C1421E">
            <w:pPr>
              <w:pStyle w:val="TableText0"/>
              <w:jc w:val="center"/>
              <w:rPr>
                <w:highlight w:val="yellow"/>
                <w:lang w:val="en-GB"/>
              </w:rPr>
            </w:pPr>
            <w:r w:rsidRPr="00C1421E">
              <w:rPr>
                <w:lang w:val="en-GB"/>
              </w:rPr>
              <w:t>1</w:t>
            </w:r>
          </w:p>
        </w:tc>
        <w:tc>
          <w:tcPr>
            <w:tcW w:w="1559" w:type="dxa"/>
          </w:tcPr>
          <w:p w14:paraId="3E5D44F9" w14:textId="6B38F6AF" w:rsidR="00083CD9" w:rsidRPr="00C1421E" w:rsidRDefault="00083CD9" w:rsidP="00C1421E">
            <w:pPr>
              <w:pStyle w:val="TableText0"/>
              <w:jc w:val="center"/>
              <w:rPr>
                <w:highlight w:val="yellow"/>
                <w:lang w:val="en-GB"/>
              </w:rPr>
            </w:pPr>
            <w:r w:rsidRPr="00C1421E">
              <w:rPr>
                <w:lang w:val="en-GB"/>
              </w:rPr>
              <w:t xml:space="preserve">5 </w:t>
            </w:r>
            <w:r w:rsidR="00E738E0">
              <w:rPr>
                <w:lang w:val="en-GB"/>
              </w:rPr>
              <w:t>(</w:t>
            </w:r>
            <w:r w:rsidRPr="00C1421E">
              <w:rPr>
                <w:lang w:val="en-GB"/>
              </w:rPr>
              <w:t>3 cancelled</w:t>
            </w:r>
            <w:r w:rsidR="00E738E0">
              <w:rPr>
                <w:lang w:val="en-GB"/>
              </w:rPr>
              <w:t>)</w:t>
            </w:r>
          </w:p>
        </w:tc>
        <w:tc>
          <w:tcPr>
            <w:tcW w:w="2551" w:type="dxa"/>
          </w:tcPr>
          <w:p w14:paraId="04647B62" w14:textId="43E01D23" w:rsidR="00083CD9" w:rsidRPr="00C1421E" w:rsidRDefault="00083CD9" w:rsidP="00C1421E">
            <w:pPr>
              <w:pStyle w:val="TableText0"/>
              <w:rPr>
                <w:lang w:val="en-GB"/>
              </w:rPr>
            </w:pPr>
            <w:r w:rsidRPr="00C1421E">
              <w:rPr>
                <w:lang w:val="en-GB"/>
              </w:rPr>
              <w:t>9 fellowships awarded</w:t>
            </w:r>
            <w:r w:rsidR="00E738E0">
              <w:rPr>
                <w:lang w:val="en-GB"/>
              </w:rPr>
              <w:t>,</w:t>
            </w:r>
          </w:p>
          <w:p w14:paraId="1B2BE62B" w14:textId="2CADC417" w:rsidR="00083CD9" w:rsidRPr="00C1421E" w:rsidRDefault="00083CD9" w:rsidP="00C1421E">
            <w:pPr>
              <w:pStyle w:val="TableText0"/>
              <w:rPr>
                <w:highlight w:val="yellow"/>
                <w:lang w:val="en-GB"/>
              </w:rPr>
            </w:pPr>
            <w:r w:rsidRPr="00C1421E">
              <w:rPr>
                <w:lang w:val="en-GB"/>
              </w:rPr>
              <w:t>6 participants</w:t>
            </w:r>
          </w:p>
        </w:tc>
      </w:tr>
      <w:tr w:rsidR="00083CD9" w:rsidRPr="00C1421E" w14:paraId="492AC064" w14:textId="77777777" w:rsidTr="007339CE">
        <w:tc>
          <w:tcPr>
            <w:tcW w:w="3828" w:type="dxa"/>
          </w:tcPr>
          <w:p w14:paraId="24056369" w14:textId="5AFC9118" w:rsidR="00083CD9" w:rsidRPr="00C1421E" w:rsidRDefault="00083CD9">
            <w:pPr>
              <w:pStyle w:val="TableText0"/>
              <w:rPr>
                <w:highlight w:val="yellow"/>
                <w:lang w:val="en-GB"/>
              </w:rPr>
            </w:pPr>
            <w:r w:rsidRPr="00C1421E">
              <w:rPr>
                <w:lang w:val="en-GB"/>
              </w:rPr>
              <w:t xml:space="preserve">ITU-T </w:t>
            </w:r>
            <w:r w:rsidR="006025E0">
              <w:rPr>
                <w:lang w:val="en-GB"/>
              </w:rPr>
              <w:t>SG</w:t>
            </w:r>
            <w:r w:rsidRPr="00C1421E">
              <w:rPr>
                <w:lang w:val="en-GB"/>
              </w:rPr>
              <w:t>15, 1</w:t>
            </w:r>
            <w:r w:rsidR="006025E0">
              <w:rPr>
                <w:lang w:val="en-GB"/>
              </w:rPr>
              <w:t>-</w:t>
            </w:r>
            <w:r w:rsidRPr="00C1421E">
              <w:rPr>
                <w:lang w:val="en-GB"/>
              </w:rPr>
              <w:t>12 July 2019</w:t>
            </w:r>
          </w:p>
        </w:tc>
        <w:tc>
          <w:tcPr>
            <w:tcW w:w="1701" w:type="dxa"/>
          </w:tcPr>
          <w:p w14:paraId="7DC37CB8" w14:textId="719D35DD" w:rsidR="00083CD9" w:rsidRPr="00C1421E" w:rsidRDefault="00083CD9" w:rsidP="00C1421E">
            <w:pPr>
              <w:pStyle w:val="TableText0"/>
              <w:jc w:val="center"/>
              <w:rPr>
                <w:highlight w:val="yellow"/>
                <w:lang w:val="en-GB"/>
              </w:rPr>
            </w:pPr>
            <w:r w:rsidRPr="00C1421E">
              <w:rPr>
                <w:lang w:val="en-GB"/>
              </w:rPr>
              <w:t>0</w:t>
            </w:r>
          </w:p>
        </w:tc>
        <w:tc>
          <w:tcPr>
            <w:tcW w:w="1559" w:type="dxa"/>
          </w:tcPr>
          <w:p w14:paraId="4F94AD48" w14:textId="37284D48" w:rsidR="00083CD9" w:rsidRPr="00C1421E" w:rsidRDefault="00083CD9" w:rsidP="00C1421E">
            <w:pPr>
              <w:pStyle w:val="TableText0"/>
              <w:jc w:val="center"/>
              <w:rPr>
                <w:highlight w:val="yellow"/>
                <w:lang w:val="en-GB"/>
              </w:rPr>
            </w:pPr>
            <w:r w:rsidRPr="00C1421E">
              <w:rPr>
                <w:lang w:val="en-GB"/>
              </w:rPr>
              <w:t>6</w:t>
            </w:r>
          </w:p>
        </w:tc>
        <w:tc>
          <w:tcPr>
            <w:tcW w:w="2551" w:type="dxa"/>
          </w:tcPr>
          <w:p w14:paraId="63279FC4" w14:textId="79B01F6D" w:rsidR="00083CD9" w:rsidRPr="00C1421E" w:rsidRDefault="00083CD9" w:rsidP="00C1421E">
            <w:pPr>
              <w:pStyle w:val="TableText0"/>
              <w:rPr>
                <w:lang w:val="en-GB"/>
              </w:rPr>
            </w:pPr>
            <w:r w:rsidRPr="00C1421E">
              <w:rPr>
                <w:lang w:val="en-GB"/>
              </w:rPr>
              <w:t>6 fellowships awarded</w:t>
            </w:r>
            <w:r w:rsidR="00E738E0">
              <w:rPr>
                <w:lang w:val="en-GB"/>
              </w:rPr>
              <w:t>,</w:t>
            </w:r>
          </w:p>
          <w:p w14:paraId="15C8888A" w14:textId="64A097BE" w:rsidR="00083CD9" w:rsidRPr="00C1421E" w:rsidRDefault="00083CD9" w:rsidP="00C1421E">
            <w:pPr>
              <w:pStyle w:val="TableText0"/>
              <w:rPr>
                <w:highlight w:val="yellow"/>
                <w:lang w:val="en-GB"/>
              </w:rPr>
            </w:pPr>
            <w:r w:rsidRPr="00C1421E">
              <w:rPr>
                <w:lang w:val="en-GB"/>
              </w:rPr>
              <w:t>6 participants</w:t>
            </w:r>
          </w:p>
        </w:tc>
      </w:tr>
    </w:tbl>
    <w:p w14:paraId="35A9B2AD" w14:textId="7EB4B975" w:rsidR="006944F8" w:rsidRPr="00C1421E" w:rsidRDefault="00D64AF8" w:rsidP="00EF080A">
      <w:pPr>
        <w:pStyle w:val="Heading2"/>
      </w:pPr>
      <w:bookmarkStart w:id="136" w:name="_Toc18509765"/>
      <w:bookmarkStart w:id="137" w:name="_Toc480527858"/>
      <w:r w:rsidRPr="00C1421E">
        <w:t>7</w:t>
      </w:r>
      <w:r w:rsidR="006944F8" w:rsidRPr="00C1421E">
        <w:t>.9</w:t>
      </w:r>
      <w:r w:rsidR="006944F8" w:rsidRPr="00C1421E">
        <w:tab/>
      </w:r>
      <w:r w:rsidR="00EF080A" w:rsidRPr="00C1421E">
        <w:t>Questionnaires for</w:t>
      </w:r>
      <w:r w:rsidR="006944F8" w:rsidRPr="00C1421E">
        <w:t xml:space="preserve"> </w:t>
      </w:r>
      <w:r w:rsidR="00B72A2A" w:rsidRPr="00C1421E">
        <w:t>d</w:t>
      </w:r>
      <w:r w:rsidR="006944F8" w:rsidRPr="00C1421E">
        <w:t xml:space="preserve">eveloping </w:t>
      </w:r>
      <w:r w:rsidR="00B72A2A" w:rsidRPr="00C1421E">
        <w:t>c</w:t>
      </w:r>
      <w:r w:rsidR="006944F8" w:rsidRPr="00C1421E">
        <w:t>ountries</w:t>
      </w:r>
      <w:bookmarkEnd w:id="136"/>
    </w:p>
    <w:p w14:paraId="2F621C25" w14:textId="2657372A" w:rsidR="00564FEE" w:rsidRPr="00C1421E" w:rsidRDefault="00EF080A" w:rsidP="0033393D">
      <w:pPr>
        <w:rPr>
          <w:szCs w:val="22"/>
          <w:lang w:val="en-GB"/>
        </w:rPr>
      </w:pPr>
      <w:r w:rsidRPr="00C1421E">
        <w:rPr>
          <w:szCs w:val="22"/>
          <w:lang w:val="en-GB"/>
        </w:rPr>
        <w:t>Two questionnaires on</w:t>
      </w:r>
      <w:r w:rsidRPr="00C1421E">
        <w:rPr>
          <w:i/>
          <w:iCs/>
          <w:szCs w:val="22"/>
          <w:lang w:val="en-GB"/>
        </w:rPr>
        <w:t xml:space="preserve"> </w:t>
      </w:r>
      <w:r w:rsidR="00CA2D85" w:rsidRPr="00C1421E">
        <w:rPr>
          <w:szCs w:val="22"/>
          <w:lang w:val="en-GB"/>
        </w:rPr>
        <w:t>"</w:t>
      </w:r>
      <w:r w:rsidRPr="00C1421E">
        <w:rPr>
          <w:szCs w:val="22"/>
          <w:lang w:val="en-GB"/>
        </w:rPr>
        <w:t>Big Data Adoption in Developing Countries</w:t>
      </w:r>
      <w:r w:rsidR="00CA2D85" w:rsidRPr="00C1421E">
        <w:rPr>
          <w:szCs w:val="22"/>
          <w:lang w:val="en-GB"/>
        </w:rPr>
        <w:t>"</w:t>
      </w:r>
      <w:r w:rsidRPr="00C1421E">
        <w:rPr>
          <w:szCs w:val="22"/>
          <w:lang w:val="en-GB"/>
        </w:rPr>
        <w:t xml:space="preserve"> and </w:t>
      </w:r>
      <w:r w:rsidR="00B72A2A" w:rsidRPr="00C1421E">
        <w:rPr>
          <w:szCs w:val="22"/>
          <w:lang w:val="en-GB"/>
        </w:rPr>
        <w:t xml:space="preserve">the </w:t>
      </w:r>
      <w:r w:rsidR="00CA2D85" w:rsidRPr="00C1421E">
        <w:rPr>
          <w:szCs w:val="22"/>
          <w:lang w:val="en-GB"/>
        </w:rPr>
        <w:t>"</w:t>
      </w:r>
      <w:r w:rsidRPr="00C1421E">
        <w:rPr>
          <w:szCs w:val="22"/>
          <w:lang w:val="en-GB"/>
        </w:rPr>
        <w:t>Use of ITU-T Recommendations by Developing Countries</w:t>
      </w:r>
      <w:r w:rsidR="00CA2D85" w:rsidRPr="00C1421E">
        <w:rPr>
          <w:szCs w:val="22"/>
          <w:lang w:val="en-GB"/>
        </w:rPr>
        <w:t>"</w:t>
      </w:r>
      <w:r w:rsidRPr="00C1421E">
        <w:rPr>
          <w:b/>
          <w:bCs/>
          <w:szCs w:val="22"/>
          <w:lang w:val="en-GB"/>
        </w:rPr>
        <w:t xml:space="preserve"> </w:t>
      </w:r>
      <w:r w:rsidRPr="00C1421E">
        <w:rPr>
          <w:szCs w:val="22"/>
          <w:lang w:val="en-GB"/>
        </w:rPr>
        <w:t xml:space="preserve">were </w:t>
      </w:r>
      <w:r w:rsidR="00B72A2A" w:rsidRPr="00C1421E">
        <w:rPr>
          <w:szCs w:val="22"/>
          <w:lang w:val="en-GB"/>
        </w:rPr>
        <w:t xml:space="preserve">distributed in </w:t>
      </w:r>
      <w:r w:rsidRPr="00C1421E">
        <w:rPr>
          <w:szCs w:val="22"/>
          <w:lang w:val="en-GB"/>
        </w:rPr>
        <w:t xml:space="preserve">July 2018. </w:t>
      </w:r>
      <w:r w:rsidR="00181523" w:rsidRPr="00C1421E">
        <w:rPr>
          <w:szCs w:val="22"/>
          <w:lang w:val="en-GB"/>
        </w:rPr>
        <w:t>The deadline for replies was extended until 31 August 2019.</w:t>
      </w:r>
    </w:p>
    <w:p w14:paraId="31A95224" w14:textId="7AEC10E2" w:rsidR="00564FEE" w:rsidRPr="00C1421E" w:rsidRDefault="00B72A2A" w:rsidP="009E5FFA">
      <w:pPr>
        <w:rPr>
          <w:szCs w:val="22"/>
          <w:lang w:val="en-GB"/>
        </w:rPr>
      </w:pPr>
      <w:r w:rsidRPr="00C1421E">
        <w:rPr>
          <w:szCs w:val="22"/>
          <w:lang w:val="en-GB"/>
        </w:rPr>
        <w:t>R</w:t>
      </w:r>
      <w:r w:rsidR="00EF080A" w:rsidRPr="00C1421E">
        <w:rPr>
          <w:szCs w:val="22"/>
          <w:lang w:val="en-GB"/>
        </w:rPr>
        <w:t xml:space="preserve">esponses </w:t>
      </w:r>
      <w:r w:rsidRPr="00C1421E">
        <w:rPr>
          <w:szCs w:val="22"/>
          <w:lang w:val="en-GB"/>
        </w:rPr>
        <w:t xml:space="preserve">to the first questionnaire </w:t>
      </w:r>
      <w:r w:rsidR="00EF080A" w:rsidRPr="00C1421E">
        <w:rPr>
          <w:szCs w:val="22"/>
          <w:lang w:val="en-GB"/>
        </w:rPr>
        <w:t xml:space="preserve">will </w:t>
      </w:r>
      <w:r w:rsidRPr="00C1421E">
        <w:rPr>
          <w:szCs w:val="22"/>
          <w:lang w:val="en-GB"/>
        </w:rPr>
        <w:t>in</w:t>
      </w:r>
      <w:r w:rsidR="00EF080A" w:rsidRPr="00C1421E">
        <w:rPr>
          <w:szCs w:val="22"/>
          <w:lang w:val="en-GB"/>
        </w:rPr>
        <w:t xml:space="preserve">form </w:t>
      </w:r>
      <w:r w:rsidRPr="00C1421E">
        <w:rPr>
          <w:szCs w:val="22"/>
          <w:lang w:val="en-GB"/>
        </w:rPr>
        <w:t xml:space="preserve">the </w:t>
      </w:r>
      <w:r w:rsidR="00EF080A" w:rsidRPr="00C1421E">
        <w:rPr>
          <w:szCs w:val="22"/>
          <w:lang w:val="en-GB"/>
        </w:rPr>
        <w:t xml:space="preserve">development of </w:t>
      </w:r>
      <w:r w:rsidR="009C4D1A" w:rsidRPr="00C1421E">
        <w:rPr>
          <w:szCs w:val="22"/>
          <w:lang w:val="en-GB"/>
        </w:rPr>
        <w:t>a</w:t>
      </w:r>
      <w:r w:rsidR="00EF080A" w:rsidRPr="00C1421E">
        <w:rPr>
          <w:szCs w:val="22"/>
          <w:lang w:val="en-GB"/>
        </w:rPr>
        <w:t xml:space="preserve"> new Supplement on </w:t>
      </w:r>
      <w:r w:rsidR="00CA2D85" w:rsidRPr="00C1421E">
        <w:rPr>
          <w:szCs w:val="22"/>
          <w:lang w:val="en-GB"/>
        </w:rPr>
        <w:t>"</w:t>
      </w:r>
      <w:r w:rsidR="00EF080A" w:rsidRPr="00C1421E">
        <w:rPr>
          <w:szCs w:val="22"/>
          <w:lang w:val="en-GB"/>
        </w:rPr>
        <w:t>Big Data Adoption in Developing Countries</w:t>
      </w:r>
      <w:r w:rsidR="00CA2D85" w:rsidRPr="00C1421E">
        <w:rPr>
          <w:szCs w:val="22"/>
          <w:lang w:val="en-GB"/>
        </w:rPr>
        <w:t>"</w:t>
      </w:r>
      <w:r w:rsidR="00EF080A" w:rsidRPr="00C1421E">
        <w:rPr>
          <w:szCs w:val="22"/>
          <w:lang w:val="en-GB"/>
        </w:rPr>
        <w:t xml:space="preserve">. </w:t>
      </w:r>
      <w:r w:rsidR="00564FEE" w:rsidRPr="00C1421E">
        <w:rPr>
          <w:iCs/>
          <w:szCs w:val="22"/>
          <w:lang w:val="en-GB"/>
        </w:rPr>
        <w:t xml:space="preserve">The questionnaire is </w:t>
      </w:r>
      <w:r w:rsidR="00564FEE" w:rsidRPr="00C1421E">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w:t>
      </w:r>
    </w:p>
    <w:p w14:paraId="5C417010" w14:textId="4245D9B5" w:rsidR="006944F8" w:rsidRPr="00C1421E" w:rsidRDefault="00B72A2A" w:rsidP="0033393D">
      <w:pPr>
        <w:rPr>
          <w:szCs w:val="22"/>
          <w:lang w:val="en-GB"/>
        </w:rPr>
      </w:pPr>
      <w:r w:rsidRPr="00C1421E">
        <w:rPr>
          <w:szCs w:val="22"/>
          <w:lang w:val="en-GB"/>
        </w:rPr>
        <w:t>R</w:t>
      </w:r>
      <w:r w:rsidR="00EF080A" w:rsidRPr="00C1421E">
        <w:rPr>
          <w:szCs w:val="22"/>
          <w:lang w:val="en-GB"/>
        </w:rPr>
        <w:t>esponses to the second questionnaire will</w:t>
      </w:r>
      <w:r w:rsidR="00564FEE" w:rsidRPr="00C1421E">
        <w:rPr>
          <w:szCs w:val="22"/>
          <w:lang w:val="en-GB"/>
        </w:rPr>
        <w:t xml:space="preserve"> support the </w:t>
      </w:r>
      <w:r w:rsidR="00EF080A" w:rsidRPr="00C1421E">
        <w:rPr>
          <w:szCs w:val="22"/>
          <w:lang w:val="en-GB"/>
        </w:rPr>
        <w:t>promotion of ITU-T Recommendations in developing countries</w:t>
      </w:r>
      <w:r w:rsidR="00564FEE" w:rsidRPr="00C1421E">
        <w:rPr>
          <w:szCs w:val="22"/>
          <w:lang w:val="en-GB"/>
        </w:rPr>
        <w:t xml:space="preserve">, </w:t>
      </w:r>
      <w:r w:rsidR="00EF080A" w:rsidRPr="00C1421E">
        <w:rPr>
          <w:szCs w:val="22"/>
          <w:lang w:val="en-GB"/>
        </w:rPr>
        <w:t>contribut</w:t>
      </w:r>
      <w:r w:rsidR="00564FEE" w:rsidRPr="00C1421E">
        <w:rPr>
          <w:szCs w:val="22"/>
          <w:lang w:val="en-GB"/>
        </w:rPr>
        <w:t xml:space="preserve">ing to the BSG programme. </w:t>
      </w:r>
      <w:r w:rsidR="006944F8" w:rsidRPr="00C1421E">
        <w:rPr>
          <w:szCs w:val="22"/>
          <w:lang w:val="en-GB"/>
        </w:rPr>
        <w:t xml:space="preserve">The questionnaire </w:t>
      </w:r>
      <w:r w:rsidR="00564FEE" w:rsidRPr="00C1421E">
        <w:rPr>
          <w:szCs w:val="22"/>
          <w:lang w:val="en-GB"/>
        </w:rPr>
        <w:t xml:space="preserve">is </w:t>
      </w:r>
      <w:r w:rsidR="006944F8" w:rsidRPr="00C1421E">
        <w:rPr>
          <w:szCs w:val="22"/>
          <w:lang w:val="en-GB"/>
        </w:rPr>
        <w:t>collect</w:t>
      </w:r>
      <w:r w:rsidR="00564FEE" w:rsidRPr="00C1421E">
        <w:rPr>
          <w:szCs w:val="22"/>
          <w:lang w:val="en-GB"/>
        </w:rPr>
        <w:t>ing</w:t>
      </w:r>
      <w:r w:rsidR="006944F8" w:rsidRPr="00C1421E">
        <w:rPr>
          <w:szCs w:val="22"/>
          <w:lang w:val="en-GB"/>
        </w:rPr>
        <w:t xml:space="preserve"> information</w:t>
      </w:r>
      <w:r w:rsidR="00564FEE" w:rsidRPr="00C1421E">
        <w:rPr>
          <w:szCs w:val="22"/>
          <w:lang w:val="en-GB"/>
        </w:rPr>
        <w:t xml:space="preserve"> on </w:t>
      </w:r>
      <w:r w:rsidR="006944F8" w:rsidRPr="00C1421E">
        <w:rPr>
          <w:szCs w:val="22"/>
          <w:lang w:val="en-GB"/>
        </w:rPr>
        <w:t xml:space="preserve">how developing countries use ITU-T Recommendations </w:t>
      </w:r>
      <w:r w:rsidR="00564FEE" w:rsidRPr="00C1421E">
        <w:rPr>
          <w:szCs w:val="22"/>
          <w:lang w:val="en-GB"/>
        </w:rPr>
        <w:t>and standards developed b</w:t>
      </w:r>
      <w:r w:rsidR="00E46F6D" w:rsidRPr="00C1421E">
        <w:rPr>
          <w:szCs w:val="22"/>
          <w:lang w:val="en-GB"/>
        </w:rPr>
        <w:t>y other standards bodies.</w:t>
      </w:r>
    </w:p>
    <w:p w14:paraId="3895E01E" w14:textId="77777777" w:rsidR="000245ED" w:rsidRPr="00C1421E" w:rsidRDefault="000245ED" w:rsidP="000245ED">
      <w:pPr>
        <w:pStyle w:val="Heading2"/>
      </w:pPr>
      <w:bookmarkStart w:id="138" w:name="_Toc18509766"/>
      <w:r w:rsidRPr="00C1421E">
        <w:t>7.10</w:t>
      </w:r>
      <w:r w:rsidRPr="00C1421E">
        <w:tab/>
        <w:t>World Telecommunication and Information Society Day</w:t>
      </w:r>
      <w:bookmarkEnd w:id="138"/>
    </w:p>
    <w:p w14:paraId="2E627E2A" w14:textId="09E561B5" w:rsidR="000245ED" w:rsidRPr="00C1421E" w:rsidRDefault="000245ED" w:rsidP="000245ED">
      <w:pPr>
        <w:spacing w:after="120"/>
        <w:rPr>
          <w:szCs w:val="24"/>
          <w:lang w:val="en-GB"/>
        </w:rPr>
      </w:pPr>
      <w:r w:rsidRPr="00C1421E">
        <w:rPr>
          <w:szCs w:val="24"/>
          <w:lang w:val="en-GB"/>
        </w:rPr>
        <w:t xml:space="preserve">ITU celebrated the 50th </w:t>
      </w:r>
      <w:r w:rsidR="006025E0">
        <w:rPr>
          <w:szCs w:val="24"/>
          <w:lang w:val="en-GB"/>
        </w:rPr>
        <w:t>a</w:t>
      </w:r>
      <w:r w:rsidRPr="00C1421E">
        <w:rPr>
          <w:szCs w:val="24"/>
          <w:lang w:val="en-GB"/>
        </w:rPr>
        <w:t xml:space="preserve">nniversary of </w:t>
      </w:r>
      <w:hyperlink r:id="rId130" w:history="1">
        <w:r w:rsidRPr="00C1421E">
          <w:rPr>
            <w:rStyle w:val="Hyperlink"/>
            <w:szCs w:val="24"/>
            <w:lang w:val="en-GB"/>
          </w:rPr>
          <w:t>World Telecommunication and Information Society Day (WTISD)</w:t>
        </w:r>
      </w:hyperlink>
      <w:r w:rsidRPr="00C1421E">
        <w:rPr>
          <w:szCs w:val="24"/>
          <w:lang w:val="en-GB"/>
        </w:rPr>
        <w:t xml:space="preserve"> at ITU headquarters in Geneva</w:t>
      </w:r>
      <w:r w:rsidR="00F30C83">
        <w:rPr>
          <w:szCs w:val="24"/>
          <w:lang w:val="en-GB"/>
        </w:rPr>
        <w:t xml:space="preserve"> on </w:t>
      </w:r>
      <w:r w:rsidRPr="00C1421E">
        <w:rPr>
          <w:szCs w:val="24"/>
          <w:lang w:val="en-GB"/>
        </w:rPr>
        <w:t>17 May 2019</w:t>
      </w:r>
      <w:r w:rsidR="006025E0">
        <w:rPr>
          <w:szCs w:val="24"/>
          <w:lang w:val="en-GB"/>
        </w:rPr>
        <w:t xml:space="preserve">. The theme for WTISD 2019 was </w:t>
      </w:r>
      <w:r w:rsidR="006025E0" w:rsidRPr="00C1421E">
        <w:rPr>
          <w:szCs w:val="24"/>
          <w:lang w:val="en-GB"/>
        </w:rPr>
        <w:t>"B</w:t>
      </w:r>
      <w:r w:rsidR="006025E0">
        <w:rPr>
          <w:szCs w:val="24"/>
          <w:lang w:val="en-GB"/>
        </w:rPr>
        <w:t>ridging the standardization gap</w:t>
      </w:r>
      <w:r w:rsidR="006025E0" w:rsidRPr="00C1421E">
        <w:rPr>
          <w:szCs w:val="24"/>
          <w:lang w:val="en-GB"/>
        </w:rPr>
        <w:t>"</w:t>
      </w:r>
      <w:r w:rsidR="006025E0">
        <w:rPr>
          <w:szCs w:val="24"/>
          <w:lang w:val="en-GB"/>
        </w:rPr>
        <w:t>.</w:t>
      </w:r>
      <w:r w:rsidR="0079375E">
        <w:rPr>
          <w:szCs w:val="24"/>
          <w:lang w:val="en-GB"/>
        </w:rPr>
        <w:t xml:space="preserve"> </w:t>
      </w:r>
      <w:r w:rsidR="006025E0">
        <w:rPr>
          <w:szCs w:val="24"/>
          <w:lang w:val="en-GB"/>
        </w:rPr>
        <w:t xml:space="preserve">WTISD celebrations featured a </w:t>
      </w:r>
      <w:r w:rsidRPr="00C1421E">
        <w:rPr>
          <w:szCs w:val="24"/>
          <w:lang w:val="en-GB"/>
        </w:rPr>
        <w:t xml:space="preserve">panel discussion </w:t>
      </w:r>
      <w:r w:rsidR="005D27CA">
        <w:rPr>
          <w:szCs w:val="24"/>
          <w:lang w:val="en-GB"/>
        </w:rPr>
        <w:t>on the importance of inclusive international standards for digital health, digital financial inclusion, and smart cities and communities.</w:t>
      </w:r>
      <w:r w:rsidR="0079375E">
        <w:rPr>
          <w:szCs w:val="24"/>
          <w:lang w:val="en-GB"/>
        </w:rPr>
        <w:t xml:space="preserve"> </w:t>
      </w:r>
      <w:r w:rsidRPr="00C1421E">
        <w:rPr>
          <w:szCs w:val="24"/>
          <w:lang w:val="en-GB"/>
        </w:rPr>
        <w:t>Six award</w:t>
      </w:r>
      <w:r w:rsidR="003D4F6B">
        <w:rPr>
          <w:szCs w:val="24"/>
          <w:lang w:val="en-GB"/>
        </w:rPr>
        <w:t xml:space="preserve"> winners, in the following categories, were honoured</w:t>
      </w:r>
      <w:r w:rsidRPr="00C1421E">
        <w:rPr>
          <w:szCs w:val="24"/>
          <w:lang w:val="en-GB"/>
        </w:rPr>
        <w:t xml:space="preserve"> for their </w:t>
      </w:r>
      <w:r w:rsidR="006278C2">
        <w:rPr>
          <w:szCs w:val="24"/>
          <w:lang w:val="en-GB"/>
        </w:rPr>
        <w:t xml:space="preserve">significant contributions to ITU’s </w:t>
      </w:r>
      <w:r w:rsidRPr="00C1421E">
        <w:rPr>
          <w:szCs w:val="24"/>
          <w:lang w:val="en-GB"/>
        </w:rPr>
        <w:t>work to bridge the standardization gap</w:t>
      </w:r>
      <w:r w:rsidR="003D4F6B">
        <w:rPr>
          <w:szCs w:val="24"/>
          <w:lang w:val="en-GB"/>
        </w:rPr>
        <w:t xml:space="preserve">. </w:t>
      </w:r>
      <w:r w:rsidR="0079375E">
        <w:rPr>
          <w:szCs w:val="24"/>
          <w:lang w:val="en-GB"/>
        </w:rPr>
        <w:t xml:space="preserve">See relevant </w:t>
      </w:r>
      <w:hyperlink r:id="rId131" w:history="1">
        <w:r w:rsidR="0079375E" w:rsidRPr="0079375E">
          <w:rPr>
            <w:rStyle w:val="Hyperlink"/>
            <w:szCs w:val="24"/>
            <w:lang w:val="en-GB"/>
          </w:rPr>
          <w:t>ITU News story</w:t>
        </w:r>
      </w:hyperlink>
      <w:r w:rsidR="0079375E">
        <w:rPr>
          <w:szCs w:val="24"/>
          <w:lang w:val="en-GB"/>
        </w:rPr>
        <w:t xml:space="preserve">. </w:t>
      </w:r>
    </w:p>
    <w:p w14:paraId="138EE974" w14:textId="4662EC84" w:rsidR="000245ED" w:rsidRPr="00C1421E" w:rsidRDefault="000245ED" w:rsidP="000245ED">
      <w:pPr>
        <w:spacing w:after="120"/>
        <w:rPr>
          <w:szCs w:val="24"/>
          <w:lang w:val="en-GB"/>
        </w:rPr>
      </w:pPr>
      <w:r w:rsidRPr="008A2F29">
        <w:rPr>
          <w:b/>
          <w:szCs w:val="24"/>
          <w:lang w:val="en-GB"/>
        </w:rPr>
        <w:t>Awareness:</w:t>
      </w:r>
      <w:r w:rsidRPr="00C1421E">
        <w:rPr>
          <w:szCs w:val="24"/>
          <w:lang w:val="en-GB"/>
        </w:rPr>
        <w:t xml:space="preserve"> </w:t>
      </w:r>
      <w:r w:rsidR="003D4F6B" w:rsidRPr="00C1421E">
        <w:rPr>
          <w:szCs w:val="24"/>
          <w:lang w:val="en-GB"/>
        </w:rPr>
        <w:t xml:space="preserve">The Asia-Pacific </w:t>
      </w:r>
      <w:proofErr w:type="spellStart"/>
      <w:r w:rsidR="003D4F6B" w:rsidRPr="00C1421E">
        <w:rPr>
          <w:szCs w:val="24"/>
          <w:lang w:val="en-GB"/>
        </w:rPr>
        <w:t>Telecommunity</w:t>
      </w:r>
      <w:proofErr w:type="spellEnd"/>
      <w:r w:rsidR="003D4F6B" w:rsidRPr="00C1421E">
        <w:rPr>
          <w:szCs w:val="24"/>
          <w:lang w:val="en-GB"/>
        </w:rPr>
        <w:t xml:space="preserve"> Wireless Group </w:t>
      </w:r>
      <w:r w:rsidR="003D4F6B">
        <w:rPr>
          <w:szCs w:val="24"/>
          <w:lang w:val="en-GB"/>
        </w:rPr>
        <w:t>was r</w:t>
      </w:r>
      <w:r w:rsidRPr="00C1421E">
        <w:rPr>
          <w:szCs w:val="24"/>
          <w:lang w:val="en-GB"/>
        </w:rPr>
        <w:t>ecogniz</w:t>
      </w:r>
      <w:r w:rsidR="003D4F6B">
        <w:rPr>
          <w:szCs w:val="24"/>
          <w:lang w:val="en-GB"/>
        </w:rPr>
        <w:t>ed for its</w:t>
      </w:r>
      <w:r w:rsidRPr="00C1421E">
        <w:rPr>
          <w:szCs w:val="24"/>
          <w:lang w:val="en-GB"/>
        </w:rPr>
        <w:t xml:space="preserve"> outstanding efforts to raise awareness of the importance of international standardization. </w:t>
      </w:r>
    </w:p>
    <w:p w14:paraId="6C9EB299" w14:textId="6AA00002" w:rsidR="000245ED" w:rsidRPr="00C1421E" w:rsidRDefault="000245ED" w:rsidP="000245ED">
      <w:pPr>
        <w:spacing w:after="120"/>
        <w:rPr>
          <w:szCs w:val="24"/>
          <w:lang w:val="en-GB"/>
        </w:rPr>
      </w:pPr>
      <w:r w:rsidRPr="008A2F29">
        <w:rPr>
          <w:b/>
          <w:szCs w:val="24"/>
          <w:lang w:val="en-GB"/>
        </w:rPr>
        <w:t>Know-how:</w:t>
      </w:r>
      <w:r w:rsidRPr="00C1421E">
        <w:rPr>
          <w:szCs w:val="24"/>
          <w:lang w:val="en-GB"/>
        </w:rPr>
        <w:t xml:space="preserve"> </w:t>
      </w:r>
      <w:r w:rsidR="003D4F6B">
        <w:rPr>
          <w:szCs w:val="24"/>
          <w:lang w:val="en-GB"/>
        </w:rPr>
        <w:t xml:space="preserve">Lwando Bbuku, Zambia Information &amp; Communications Technology Authority, Co-chairman of ITU-T SGRG-AFR, was recognized for his significant </w:t>
      </w:r>
      <w:r w:rsidRPr="00C1421E">
        <w:rPr>
          <w:szCs w:val="24"/>
          <w:lang w:val="en-GB"/>
        </w:rPr>
        <w:t xml:space="preserve">accomplishments </w:t>
      </w:r>
      <w:r w:rsidR="003D4F6B">
        <w:rPr>
          <w:szCs w:val="24"/>
          <w:lang w:val="en-GB"/>
        </w:rPr>
        <w:t xml:space="preserve">in </w:t>
      </w:r>
      <w:r w:rsidRPr="00C1421E">
        <w:rPr>
          <w:szCs w:val="24"/>
          <w:lang w:val="en-GB"/>
        </w:rPr>
        <w:t>increasing</w:t>
      </w:r>
      <w:r w:rsidR="003D4F6B">
        <w:rPr>
          <w:szCs w:val="24"/>
          <w:lang w:val="en-GB"/>
        </w:rPr>
        <w:t xml:space="preserve"> his </w:t>
      </w:r>
      <w:r w:rsidRPr="00C1421E">
        <w:rPr>
          <w:szCs w:val="24"/>
          <w:lang w:val="en-GB"/>
        </w:rPr>
        <w:t xml:space="preserve">expertise in international standards development. </w:t>
      </w:r>
    </w:p>
    <w:p w14:paraId="1F367EE9" w14:textId="3FE198A7" w:rsidR="000245ED" w:rsidRPr="00C1421E" w:rsidRDefault="000245ED" w:rsidP="000245ED">
      <w:pPr>
        <w:spacing w:after="120"/>
        <w:rPr>
          <w:szCs w:val="24"/>
          <w:lang w:val="en-GB"/>
        </w:rPr>
      </w:pPr>
      <w:r w:rsidRPr="008A2F29">
        <w:rPr>
          <w:b/>
          <w:szCs w:val="24"/>
          <w:lang w:val="en-GB"/>
        </w:rPr>
        <w:t>Community:</w:t>
      </w:r>
      <w:r w:rsidRPr="00C1421E">
        <w:rPr>
          <w:szCs w:val="24"/>
          <w:lang w:val="en-GB"/>
        </w:rPr>
        <w:t xml:space="preserve"> </w:t>
      </w:r>
      <w:r w:rsidR="003D4F6B">
        <w:rPr>
          <w:szCs w:val="24"/>
          <w:lang w:val="en-GB"/>
        </w:rPr>
        <w:t xml:space="preserve">Tunisia and the U.S. were recognized for their recent </w:t>
      </w:r>
      <w:r w:rsidRPr="00C1421E">
        <w:rPr>
          <w:szCs w:val="24"/>
          <w:lang w:val="en-GB"/>
        </w:rPr>
        <w:t xml:space="preserve">hosting </w:t>
      </w:r>
      <w:r w:rsidR="003D4F6B">
        <w:rPr>
          <w:szCs w:val="24"/>
          <w:lang w:val="en-GB"/>
        </w:rPr>
        <w:t xml:space="preserve">of </w:t>
      </w:r>
      <w:r w:rsidRPr="00C1421E">
        <w:rPr>
          <w:szCs w:val="24"/>
          <w:lang w:val="en-GB"/>
        </w:rPr>
        <w:t xml:space="preserve">considerable numbers of the ITU meetings that bring together the international standardization community. </w:t>
      </w:r>
    </w:p>
    <w:p w14:paraId="08AF76B5" w14:textId="7113EADE" w:rsidR="000245ED" w:rsidRPr="00C1421E" w:rsidRDefault="000245ED" w:rsidP="000245ED">
      <w:pPr>
        <w:spacing w:after="120"/>
        <w:rPr>
          <w:szCs w:val="24"/>
          <w:lang w:val="en-GB"/>
        </w:rPr>
      </w:pPr>
      <w:r w:rsidRPr="008A2F29">
        <w:rPr>
          <w:b/>
          <w:szCs w:val="24"/>
          <w:lang w:val="en-GB"/>
        </w:rPr>
        <w:t>Engagement:</w:t>
      </w:r>
      <w:r w:rsidRPr="00C1421E">
        <w:rPr>
          <w:szCs w:val="24"/>
          <w:lang w:val="en-GB"/>
        </w:rPr>
        <w:t xml:space="preserve"> </w:t>
      </w:r>
      <w:r w:rsidR="003D4F6B">
        <w:rPr>
          <w:szCs w:val="24"/>
          <w:lang w:val="en-GB"/>
        </w:rPr>
        <w:t xml:space="preserve">China was recognized for </w:t>
      </w:r>
      <w:r w:rsidRPr="00C1421E">
        <w:rPr>
          <w:szCs w:val="24"/>
          <w:lang w:val="en-GB"/>
        </w:rPr>
        <w:t xml:space="preserve">increasing </w:t>
      </w:r>
      <w:r w:rsidR="003D4F6B">
        <w:rPr>
          <w:szCs w:val="24"/>
          <w:lang w:val="en-GB"/>
        </w:rPr>
        <w:t>its</w:t>
      </w:r>
      <w:r w:rsidRPr="00C1421E">
        <w:rPr>
          <w:szCs w:val="24"/>
          <w:lang w:val="en-GB"/>
        </w:rPr>
        <w:t xml:space="preserve"> participation in ITU standardization work. </w:t>
      </w:r>
    </w:p>
    <w:p w14:paraId="0CBDD2CB" w14:textId="543502FC" w:rsidR="000245ED" w:rsidRPr="00C1421E" w:rsidRDefault="000245ED" w:rsidP="000245ED">
      <w:pPr>
        <w:spacing w:after="120"/>
        <w:rPr>
          <w:szCs w:val="24"/>
          <w:lang w:val="en-GB"/>
        </w:rPr>
      </w:pPr>
      <w:r w:rsidRPr="008A2F29">
        <w:rPr>
          <w:b/>
          <w:szCs w:val="24"/>
          <w:lang w:val="en-GB"/>
        </w:rPr>
        <w:t>Partnering:</w:t>
      </w:r>
      <w:r w:rsidRPr="00C1421E">
        <w:rPr>
          <w:szCs w:val="24"/>
          <w:lang w:val="en-GB"/>
        </w:rPr>
        <w:t xml:space="preserve"> </w:t>
      </w:r>
      <w:r w:rsidR="003D4F6B">
        <w:rPr>
          <w:szCs w:val="24"/>
          <w:lang w:val="en-GB"/>
        </w:rPr>
        <w:t xml:space="preserve">Korea was recognized for its consistent </w:t>
      </w:r>
      <w:r w:rsidRPr="00C1421E">
        <w:rPr>
          <w:szCs w:val="24"/>
          <w:lang w:val="en-GB"/>
        </w:rPr>
        <w:t>financial and in-kind support for ITU</w:t>
      </w:r>
      <w:r w:rsidR="00CA2D85" w:rsidRPr="00C1421E">
        <w:rPr>
          <w:szCs w:val="24"/>
          <w:lang w:val="en-GB"/>
        </w:rPr>
        <w:t>'</w:t>
      </w:r>
      <w:r w:rsidRPr="00C1421E">
        <w:rPr>
          <w:szCs w:val="24"/>
          <w:lang w:val="en-GB"/>
        </w:rPr>
        <w:t xml:space="preserve">s Bridging the Standardization Gap programme. </w:t>
      </w:r>
    </w:p>
    <w:p w14:paraId="5574FC17" w14:textId="5402C48E" w:rsidR="006944F8" w:rsidRPr="00C1421E" w:rsidRDefault="00D64AF8" w:rsidP="006944F8">
      <w:pPr>
        <w:pStyle w:val="Heading1"/>
      </w:pPr>
      <w:bookmarkStart w:id="139" w:name="_Toc18509767"/>
      <w:r w:rsidRPr="00C1421E">
        <w:lastRenderedPageBreak/>
        <w:t>8</w:t>
      </w:r>
      <w:r w:rsidR="006944F8" w:rsidRPr="00C1421E">
        <w:tab/>
        <w:t>Membership</w:t>
      </w:r>
      <w:bookmarkEnd w:id="106"/>
      <w:bookmarkEnd w:id="107"/>
      <w:bookmarkEnd w:id="108"/>
      <w:bookmarkEnd w:id="109"/>
      <w:bookmarkEnd w:id="110"/>
      <w:bookmarkEnd w:id="111"/>
      <w:bookmarkEnd w:id="112"/>
      <w:bookmarkEnd w:id="133"/>
      <w:bookmarkEnd w:id="134"/>
      <w:bookmarkEnd w:id="135"/>
      <w:bookmarkEnd w:id="137"/>
      <w:bookmarkEnd w:id="139"/>
    </w:p>
    <w:p w14:paraId="03F7D5E0" w14:textId="4AC7FCEC" w:rsidR="006944F8" w:rsidRPr="00C1421E" w:rsidRDefault="00D64AF8" w:rsidP="00C1421E">
      <w:pPr>
        <w:pStyle w:val="Heading2"/>
      </w:pPr>
      <w:bookmarkStart w:id="140" w:name="_Toc462664266"/>
      <w:bookmarkStart w:id="141" w:name="_Toc480527859"/>
      <w:bookmarkStart w:id="142" w:name="_Toc18509768"/>
      <w:r w:rsidRPr="00C1421E">
        <w:t>8</w:t>
      </w:r>
      <w:r w:rsidR="006944F8" w:rsidRPr="00C1421E">
        <w:t>.1</w:t>
      </w:r>
      <w:r w:rsidR="006944F8" w:rsidRPr="00C1421E">
        <w:tab/>
        <w:t>Evolution of ITU-T membership</w:t>
      </w:r>
      <w:bookmarkEnd w:id="140"/>
      <w:bookmarkEnd w:id="141"/>
      <w:bookmarkEnd w:id="142"/>
    </w:p>
    <w:p w14:paraId="0CA880F2" w14:textId="77F5EB26" w:rsidR="00044D72" w:rsidRPr="00C1421E" w:rsidRDefault="00044D72" w:rsidP="00044D72">
      <w:pPr>
        <w:rPr>
          <w:rFonts w:eastAsia="Calibri"/>
          <w:szCs w:val="24"/>
          <w:lang w:val="en-GB"/>
        </w:rPr>
      </w:pPr>
      <w:r w:rsidRPr="00C1421E">
        <w:rPr>
          <w:rFonts w:eastAsia="Calibri"/>
          <w:szCs w:val="24"/>
          <w:lang w:val="en-GB"/>
        </w:rPr>
        <w:t xml:space="preserve">ITU-T membership </w:t>
      </w:r>
      <w:r w:rsidR="00293B8F">
        <w:rPr>
          <w:rFonts w:eastAsia="Calibri"/>
          <w:szCs w:val="24"/>
          <w:lang w:val="en-GB"/>
        </w:rPr>
        <w:t xml:space="preserve">has </w:t>
      </w:r>
      <w:r w:rsidRPr="00C1421E">
        <w:rPr>
          <w:rFonts w:eastAsia="Calibri"/>
          <w:szCs w:val="24"/>
          <w:lang w:val="en-GB"/>
        </w:rPr>
        <w:t>maintained strong growth</w:t>
      </w:r>
      <w:r w:rsidR="00293B8F">
        <w:rPr>
          <w:rFonts w:eastAsia="Calibri"/>
          <w:szCs w:val="24"/>
          <w:lang w:val="en-GB"/>
        </w:rPr>
        <w:t xml:space="preserve"> in 2019</w:t>
      </w:r>
      <w:r w:rsidR="00A4200D">
        <w:rPr>
          <w:rFonts w:eastAsia="Calibri"/>
          <w:szCs w:val="24"/>
          <w:lang w:val="en-GB"/>
        </w:rPr>
        <w:t>, achieving a net increase of 22</w:t>
      </w:r>
      <w:r w:rsidRPr="00C1421E">
        <w:rPr>
          <w:rFonts w:eastAsia="Calibri"/>
          <w:szCs w:val="24"/>
          <w:lang w:val="en-GB"/>
        </w:rPr>
        <w:t xml:space="preserve"> memberships since December 2018 (not including A</w:t>
      </w:r>
      <w:r w:rsidR="00911C3F">
        <w:rPr>
          <w:rFonts w:eastAsia="Calibri"/>
          <w:szCs w:val="24"/>
          <w:lang w:val="en-GB"/>
        </w:rPr>
        <w:t>cademia). During this period, 14 Sector Members and 26</w:t>
      </w:r>
      <w:r w:rsidRPr="00C1421E">
        <w:rPr>
          <w:rFonts w:eastAsia="Calibri"/>
          <w:szCs w:val="24"/>
          <w:lang w:val="en-GB"/>
        </w:rPr>
        <w:t xml:space="preserve"> Associates joined ITU-T</w:t>
      </w:r>
      <w:r w:rsidR="00293B8F">
        <w:rPr>
          <w:rFonts w:eastAsia="Calibri"/>
          <w:szCs w:val="24"/>
          <w:lang w:val="en-GB"/>
        </w:rPr>
        <w:t>,</w:t>
      </w:r>
      <w:r w:rsidR="00911C3F">
        <w:rPr>
          <w:rFonts w:eastAsia="Calibri"/>
          <w:szCs w:val="24"/>
          <w:lang w:val="en-GB"/>
        </w:rPr>
        <w:t xml:space="preserve"> amounting to a total of 40 new members. In addition, 16</w:t>
      </w:r>
      <w:r w:rsidRPr="00C1421E">
        <w:rPr>
          <w:rFonts w:eastAsia="Calibri"/>
          <w:szCs w:val="24"/>
          <w:lang w:val="en-GB"/>
        </w:rPr>
        <w:t xml:space="preserve"> new Academia members joined</w:t>
      </w:r>
      <w:r w:rsidR="00293B8F">
        <w:rPr>
          <w:rFonts w:eastAsia="Calibri"/>
          <w:szCs w:val="24"/>
          <w:lang w:val="en-GB"/>
        </w:rPr>
        <w:t>,</w:t>
      </w:r>
      <w:r w:rsidRPr="00C1421E">
        <w:rPr>
          <w:rFonts w:eastAsia="Calibri"/>
          <w:szCs w:val="24"/>
          <w:lang w:val="en-GB"/>
        </w:rPr>
        <w:t xml:space="preserve"> leading to a net increase of </w:t>
      </w:r>
      <w:r w:rsidR="00911C3F">
        <w:rPr>
          <w:rFonts w:eastAsia="Calibri"/>
          <w:szCs w:val="24"/>
          <w:lang w:val="en-GB"/>
        </w:rPr>
        <w:t>four</w:t>
      </w:r>
      <w:r w:rsidR="00293B8F">
        <w:rPr>
          <w:rFonts w:eastAsia="Calibri"/>
          <w:szCs w:val="24"/>
          <w:lang w:val="en-GB"/>
        </w:rPr>
        <w:t xml:space="preserve"> Academia memberships</w:t>
      </w:r>
      <w:r w:rsidRPr="00C1421E">
        <w:rPr>
          <w:rFonts w:eastAsia="Calibri"/>
          <w:szCs w:val="24"/>
          <w:lang w:val="en-GB"/>
        </w:rPr>
        <w:t>.</w:t>
      </w:r>
    </w:p>
    <w:p w14:paraId="66C60313" w14:textId="7435D173" w:rsidR="00293B8F" w:rsidRPr="008A2F29" w:rsidRDefault="00044D72" w:rsidP="00044D72">
      <w:pPr>
        <w:rPr>
          <w:rFonts w:eastAsia="Calibri"/>
          <w:szCs w:val="24"/>
          <w:lang w:val="en-GB"/>
        </w:rPr>
      </w:pPr>
      <w:r w:rsidRPr="00C1421E">
        <w:rPr>
          <w:rFonts w:eastAsia="Calibri"/>
          <w:szCs w:val="24"/>
          <w:lang w:val="en-GB" w:eastAsia="ja-JP"/>
        </w:rPr>
        <w:t xml:space="preserve">New </w:t>
      </w:r>
      <w:r w:rsidR="00293B8F">
        <w:rPr>
          <w:rFonts w:eastAsia="Calibri"/>
          <w:szCs w:val="24"/>
          <w:lang w:val="en-GB" w:eastAsia="ja-JP"/>
        </w:rPr>
        <w:t xml:space="preserve">ITU-T </w:t>
      </w:r>
      <w:r w:rsidRPr="00C1421E">
        <w:rPr>
          <w:rFonts w:eastAsia="Calibri"/>
          <w:szCs w:val="24"/>
          <w:lang w:val="en-GB" w:eastAsia="ja-JP"/>
        </w:rPr>
        <w:t>member</w:t>
      </w:r>
      <w:r w:rsidR="00293B8F">
        <w:rPr>
          <w:rFonts w:eastAsia="Calibri"/>
          <w:szCs w:val="24"/>
          <w:lang w:val="en-GB" w:eastAsia="ja-JP"/>
        </w:rPr>
        <w:t>s</w:t>
      </w:r>
      <w:r w:rsidRPr="00C1421E">
        <w:rPr>
          <w:rFonts w:eastAsia="Calibri"/>
          <w:szCs w:val="24"/>
          <w:lang w:val="en-GB" w:eastAsia="ja-JP"/>
        </w:rPr>
        <w:t xml:space="preserve"> include companies in </w:t>
      </w:r>
      <w:r w:rsidRPr="00C1421E">
        <w:rPr>
          <w:rFonts w:eastAsia="Calibri"/>
          <w:szCs w:val="24"/>
          <w:lang w:val="en-GB"/>
        </w:rPr>
        <w:t>energy and utilities, shipping and logistics, mobile payments,</w:t>
      </w:r>
      <w:r w:rsidR="00293B8F">
        <w:rPr>
          <w:rFonts w:eastAsia="Calibri"/>
          <w:szCs w:val="24"/>
          <w:lang w:val="en-GB"/>
        </w:rPr>
        <w:t xml:space="preserve"> over-the-top applications</w:t>
      </w:r>
      <w:r w:rsidRPr="00C1421E">
        <w:rPr>
          <w:rFonts w:eastAsia="Calibri"/>
          <w:szCs w:val="24"/>
          <w:lang w:val="en-GB"/>
        </w:rPr>
        <w:t>, automotive, IoT/M2M connectivity, distributed ledger technologies, quantum communications, cybersecurity, AI</w:t>
      </w:r>
      <w:r w:rsidR="00293B8F">
        <w:rPr>
          <w:rFonts w:eastAsia="Calibri"/>
          <w:szCs w:val="24"/>
          <w:lang w:val="en-GB"/>
        </w:rPr>
        <w:t>,</w:t>
      </w:r>
      <w:r w:rsidRPr="00C1421E">
        <w:rPr>
          <w:rFonts w:eastAsia="Calibri"/>
          <w:szCs w:val="24"/>
          <w:lang w:val="en-GB"/>
        </w:rPr>
        <w:t xml:space="preserve"> and </w:t>
      </w:r>
      <w:r w:rsidR="00293B8F">
        <w:rPr>
          <w:rFonts w:eastAsia="Calibri"/>
          <w:szCs w:val="24"/>
          <w:lang w:val="en-GB"/>
        </w:rPr>
        <w:t>quality of service and experience.</w:t>
      </w:r>
    </w:p>
    <w:p w14:paraId="60CD28CE" w14:textId="5B192FF2" w:rsidR="0084775E" w:rsidRPr="00C1421E" w:rsidRDefault="00044D72" w:rsidP="00044D72">
      <w:pPr>
        <w:spacing w:after="120"/>
        <w:rPr>
          <w:rFonts w:eastAsia="SimSun"/>
          <w:szCs w:val="24"/>
          <w:highlight w:val="yellow"/>
          <w:lang w:val="en-GB" w:eastAsia="ja-JP"/>
        </w:rPr>
      </w:pPr>
      <w:r w:rsidRPr="00C1421E">
        <w:rPr>
          <w:rFonts w:eastAsia="Calibri"/>
          <w:szCs w:val="24"/>
          <w:lang w:val="en-GB" w:eastAsia="ja-JP"/>
        </w:rPr>
        <w:t xml:space="preserve">Targeted membership outreach, campaigns and events – executed in collaboration </w:t>
      </w:r>
      <w:r w:rsidR="00293B8F">
        <w:rPr>
          <w:rFonts w:eastAsia="Calibri"/>
          <w:szCs w:val="24"/>
          <w:lang w:val="en-GB" w:eastAsia="ja-JP"/>
        </w:rPr>
        <w:t xml:space="preserve">by </w:t>
      </w:r>
      <w:r w:rsidRPr="00C1421E">
        <w:rPr>
          <w:rFonts w:eastAsia="Calibri"/>
          <w:szCs w:val="24"/>
          <w:lang w:val="en-GB" w:eastAsia="ja-JP"/>
        </w:rPr>
        <w:t>TSB</w:t>
      </w:r>
      <w:r w:rsidR="00CA2D85" w:rsidRPr="00C1421E">
        <w:rPr>
          <w:rFonts w:eastAsia="Calibri"/>
          <w:szCs w:val="24"/>
          <w:lang w:val="en-GB" w:eastAsia="ja-JP"/>
        </w:rPr>
        <w:t>'</w:t>
      </w:r>
      <w:r w:rsidRPr="00C1421E">
        <w:rPr>
          <w:rFonts w:eastAsia="Calibri"/>
          <w:szCs w:val="24"/>
          <w:lang w:val="en-GB" w:eastAsia="ja-JP"/>
        </w:rPr>
        <w:t>s Strategic Engagement Division and Study Groups</w:t>
      </w:r>
      <w:r w:rsidR="00293B8F">
        <w:rPr>
          <w:rFonts w:eastAsia="Calibri"/>
          <w:szCs w:val="24"/>
          <w:lang w:val="en-GB" w:eastAsia="ja-JP"/>
        </w:rPr>
        <w:t xml:space="preserve"> Department </w:t>
      </w:r>
      <w:r w:rsidRPr="00C1421E">
        <w:rPr>
          <w:rFonts w:eastAsia="Calibri"/>
          <w:szCs w:val="24"/>
          <w:lang w:val="en-GB" w:eastAsia="ja-JP"/>
        </w:rPr>
        <w:t>– continue to show great promise in attracting and recruiting new ITU-T members. TSB continues to put an increased emphasis on tailored outreach to membership prospects while also enhancing the level of account management to ITU-T</w:t>
      </w:r>
      <w:r w:rsidR="00CA2D85" w:rsidRPr="00C1421E">
        <w:rPr>
          <w:rFonts w:eastAsia="Calibri"/>
          <w:szCs w:val="24"/>
          <w:lang w:val="en-GB" w:eastAsia="ja-JP"/>
        </w:rPr>
        <w:t>'</w:t>
      </w:r>
      <w:r w:rsidRPr="00C1421E">
        <w:rPr>
          <w:rFonts w:eastAsia="Calibri"/>
          <w:szCs w:val="24"/>
          <w:lang w:val="en-GB" w:eastAsia="ja-JP"/>
        </w:rPr>
        <w:t>s existing membership.</w:t>
      </w:r>
    </w:p>
    <w:p w14:paraId="76EFE028" w14:textId="70513EE9" w:rsidR="005E08E7" w:rsidRPr="00C1421E" w:rsidRDefault="005E08E7" w:rsidP="007339CE">
      <w:pPr>
        <w:pStyle w:val="Index2"/>
        <w:rPr>
          <w:rFonts w:eastAsia="Calibri"/>
        </w:rPr>
      </w:pPr>
      <w:r w:rsidRPr="00C1421E">
        <w:rPr>
          <w:rFonts w:eastAsia="Calibri"/>
        </w:rPr>
        <w:t xml:space="preserve">New Sector Members </w:t>
      </w:r>
      <w:r w:rsidR="00293B8F">
        <w:rPr>
          <w:rFonts w:eastAsia="Calibri"/>
        </w:rPr>
        <w:t xml:space="preserve">in </w:t>
      </w:r>
      <w:r w:rsidRPr="00C1421E">
        <w:rPr>
          <w:rFonts w:eastAsia="Calibri"/>
        </w:rPr>
        <w:t>2019:</w:t>
      </w:r>
    </w:p>
    <w:p w14:paraId="6B7744F5" w14:textId="5C5D4418" w:rsidR="005E08E7" w:rsidRPr="00C1421E" w:rsidRDefault="00044D72" w:rsidP="005E08E7">
      <w:pPr>
        <w:spacing w:after="120"/>
        <w:rPr>
          <w:rFonts w:eastAsia="Calibri"/>
          <w:szCs w:val="24"/>
          <w:lang w:val="en-GB" w:eastAsia="ja-JP"/>
        </w:rPr>
      </w:pPr>
      <w:r w:rsidRPr="00C1421E">
        <w:rPr>
          <w:rFonts w:eastAsia="Calibri"/>
          <w:szCs w:val="24"/>
          <w:lang w:val="en-GB" w:eastAsia="ja-JP"/>
        </w:rPr>
        <w:t>Bangladesh Communication Satellite Company Limited (BCSCL)</w:t>
      </w:r>
      <w:r w:rsidR="00293B8F">
        <w:rPr>
          <w:rFonts w:eastAsia="Calibri"/>
          <w:szCs w:val="24"/>
          <w:lang w:val="en-GB" w:eastAsia="ja-JP"/>
        </w:rPr>
        <w:t>;</w:t>
      </w:r>
      <w:r w:rsidRPr="00C1421E">
        <w:rPr>
          <w:rFonts w:eastAsia="Calibri"/>
          <w:szCs w:val="24"/>
          <w:lang w:val="en-GB" w:eastAsia="ja-JP"/>
        </w:rPr>
        <w:t xml:space="preserve"> Beijing Baidu Netcom Science Technology Co., Ltd.</w:t>
      </w:r>
      <w:r w:rsidR="00293B8F">
        <w:rPr>
          <w:rFonts w:eastAsia="Calibri"/>
          <w:szCs w:val="24"/>
          <w:lang w:val="en-GB" w:eastAsia="ja-JP"/>
        </w:rPr>
        <w:t>;</w:t>
      </w:r>
      <w:r w:rsidRPr="00C1421E">
        <w:rPr>
          <w:rFonts w:eastAsia="Calibri"/>
          <w:szCs w:val="24"/>
          <w:lang w:val="en-GB" w:eastAsia="ja-JP"/>
        </w:rPr>
        <w:t xml:space="preserve"> CAS Quantum Network Co. Ltd.</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QuantumCTek</w:t>
      </w:r>
      <w:proofErr w:type="spellEnd"/>
      <w:r w:rsidRPr="00C1421E">
        <w:rPr>
          <w:rFonts w:eastAsia="Calibri"/>
          <w:szCs w:val="24"/>
          <w:lang w:val="en-GB" w:eastAsia="ja-JP"/>
        </w:rPr>
        <w:t xml:space="preserve"> Co., Ltd.</w:t>
      </w:r>
      <w:r w:rsidR="00293B8F">
        <w:rPr>
          <w:rFonts w:eastAsia="Calibri"/>
          <w:szCs w:val="24"/>
          <w:lang w:val="en-GB" w:eastAsia="ja-JP"/>
        </w:rPr>
        <w:t>;</w:t>
      </w:r>
      <w:r w:rsidRPr="00C1421E">
        <w:rPr>
          <w:rFonts w:eastAsia="Calibri"/>
          <w:szCs w:val="24"/>
          <w:lang w:val="en-GB" w:eastAsia="ja-JP"/>
        </w:rPr>
        <w:t xml:space="preserve"> Credit Pilot PLC</w:t>
      </w:r>
      <w:r w:rsidR="00293B8F">
        <w:rPr>
          <w:rFonts w:eastAsia="Calibri"/>
          <w:szCs w:val="24"/>
          <w:lang w:val="en-GB" w:eastAsia="ja-JP"/>
        </w:rPr>
        <w:t>;</w:t>
      </w:r>
      <w:r w:rsidR="001C37A8">
        <w:rPr>
          <w:rFonts w:eastAsia="Calibri"/>
          <w:szCs w:val="24"/>
          <w:lang w:val="en-GB" w:eastAsia="ja-JP"/>
        </w:rPr>
        <w:t xml:space="preserve"> </w:t>
      </w:r>
      <w:r w:rsidRPr="00C1421E">
        <w:rPr>
          <w:rFonts w:eastAsia="Calibri"/>
          <w:szCs w:val="24"/>
          <w:lang w:val="en-GB" w:eastAsia="ja-JP"/>
        </w:rPr>
        <w:t>Volkswagen AG</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Subah</w:t>
      </w:r>
      <w:proofErr w:type="spellEnd"/>
      <w:r w:rsidRPr="00C1421E">
        <w:rPr>
          <w:rFonts w:eastAsia="Calibri"/>
          <w:szCs w:val="24"/>
          <w:lang w:val="en-GB" w:eastAsia="ja-JP"/>
        </w:rPr>
        <w:t xml:space="preserve"> </w:t>
      </w:r>
      <w:proofErr w:type="spellStart"/>
      <w:r w:rsidRPr="00C1421E">
        <w:rPr>
          <w:rFonts w:eastAsia="Calibri"/>
          <w:szCs w:val="24"/>
          <w:lang w:val="en-GB" w:eastAsia="ja-JP"/>
        </w:rPr>
        <w:t>Infosolutions</w:t>
      </w:r>
      <w:proofErr w:type="spellEnd"/>
      <w:r w:rsidRPr="00C1421E">
        <w:rPr>
          <w:rFonts w:eastAsia="Calibri"/>
          <w:szCs w:val="24"/>
          <w:lang w:val="en-GB" w:eastAsia="ja-JP"/>
        </w:rPr>
        <w:t xml:space="preserve"> Ghana Limited</w:t>
      </w:r>
      <w:r w:rsidR="00293B8F">
        <w:rPr>
          <w:rFonts w:eastAsia="Calibri"/>
          <w:szCs w:val="24"/>
          <w:lang w:val="en-GB" w:eastAsia="ja-JP"/>
        </w:rPr>
        <w:t>;</w:t>
      </w:r>
      <w:r w:rsidRPr="00C1421E">
        <w:rPr>
          <w:rFonts w:eastAsia="Calibri"/>
          <w:szCs w:val="24"/>
          <w:lang w:val="en-GB" w:eastAsia="ja-JP"/>
        </w:rPr>
        <w:t xml:space="preserve"> Reliance </w:t>
      </w:r>
      <w:proofErr w:type="spellStart"/>
      <w:r w:rsidRPr="00C1421E">
        <w:rPr>
          <w:rFonts w:eastAsia="Calibri"/>
          <w:szCs w:val="24"/>
          <w:lang w:val="en-GB" w:eastAsia="ja-JP"/>
        </w:rPr>
        <w:t>Jio</w:t>
      </w:r>
      <w:proofErr w:type="spellEnd"/>
      <w:r w:rsidRPr="00C1421E">
        <w:rPr>
          <w:rFonts w:eastAsia="Calibri"/>
          <w:szCs w:val="24"/>
          <w:lang w:val="en-GB" w:eastAsia="ja-JP"/>
        </w:rPr>
        <w:t xml:space="preserve"> </w:t>
      </w:r>
      <w:proofErr w:type="spellStart"/>
      <w:r w:rsidRPr="00C1421E">
        <w:rPr>
          <w:rFonts w:eastAsia="Calibri"/>
          <w:szCs w:val="24"/>
          <w:lang w:val="en-GB" w:eastAsia="ja-JP"/>
        </w:rPr>
        <w:t>Infocomm</w:t>
      </w:r>
      <w:proofErr w:type="spellEnd"/>
      <w:r w:rsidRPr="00C1421E">
        <w:rPr>
          <w:rFonts w:eastAsia="Calibri"/>
          <w:szCs w:val="24"/>
          <w:lang w:val="en-GB" w:eastAsia="ja-JP"/>
        </w:rPr>
        <w:t xml:space="preserve"> Limited</w:t>
      </w:r>
      <w:r w:rsidR="00293B8F">
        <w:rPr>
          <w:rFonts w:eastAsia="Calibri"/>
          <w:szCs w:val="24"/>
          <w:lang w:val="en-GB" w:eastAsia="ja-JP"/>
        </w:rPr>
        <w:t>;</w:t>
      </w:r>
      <w:r w:rsidRPr="00C1421E">
        <w:rPr>
          <w:rFonts w:eastAsia="Calibri"/>
          <w:szCs w:val="24"/>
          <w:lang w:val="en-GB" w:eastAsia="ja-JP"/>
        </w:rPr>
        <w:t xml:space="preserve"> LG </w:t>
      </w:r>
      <w:proofErr w:type="spellStart"/>
      <w:r w:rsidRPr="00C1421E">
        <w:rPr>
          <w:rFonts w:eastAsia="Calibri"/>
          <w:szCs w:val="24"/>
          <w:lang w:val="en-GB" w:eastAsia="ja-JP"/>
        </w:rPr>
        <w:t>Uplus</w:t>
      </w:r>
      <w:proofErr w:type="spellEnd"/>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Infinera</w:t>
      </w:r>
      <w:proofErr w:type="spellEnd"/>
      <w:r w:rsidRPr="00C1421E">
        <w:rPr>
          <w:rFonts w:eastAsia="Calibri"/>
          <w:szCs w:val="24"/>
          <w:lang w:val="en-GB" w:eastAsia="ja-JP"/>
        </w:rPr>
        <w:t xml:space="preserve"> Corporation</w:t>
      </w:r>
      <w:r w:rsidR="00293B8F">
        <w:rPr>
          <w:rFonts w:eastAsia="Calibri"/>
          <w:szCs w:val="24"/>
          <w:lang w:val="en-GB" w:eastAsia="ja-JP"/>
        </w:rPr>
        <w:t>;</w:t>
      </w:r>
      <w:r w:rsidRPr="00C1421E">
        <w:rPr>
          <w:rFonts w:eastAsia="Calibri"/>
          <w:szCs w:val="24"/>
          <w:lang w:val="en-GB" w:eastAsia="ja-JP"/>
        </w:rPr>
        <w:t xml:space="preserve"> ITRI International Inc.</w:t>
      </w:r>
      <w:r w:rsidR="00293B8F">
        <w:rPr>
          <w:rFonts w:eastAsia="Calibri"/>
          <w:szCs w:val="24"/>
          <w:lang w:val="en-GB" w:eastAsia="ja-JP"/>
        </w:rPr>
        <w:t xml:space="preserve">; </w:t>
      </w:r>
      <w:r w:rsidRPr="00C1421E">
        <w:rPr>
          <w:rFonts w:eastAsia="Calibri"/>
          <w:szCs w:val="24"/>
          <w:lang w:val="en-GB" w:eastAsia="ja-JP"/>
        </w:rPr>
        <w:t>Plantronics, Inc</w:t>
      </w:r>
      <w:r w:rsidR="005E08E7" w:rsidRPr="00C1421E">
        <w:rPr>
          <w:rFonts w:eastAsia="Calibri"/>
          <w:szCs w:val="24"/>
          <w:lang w:val="en-GB" w:eastAsia="ja-JP"/>
        </w:rPr>
        <w:t>.</w:t>
      </w:r>
      <w:r w:rsidR="00911C3F">
        <w:rPr>
          <w:rFonts w:eastAsia="Calibri"/>
          <w:szCs w:val="24"/>
          <w:lang w:val="en-GB" w:eastAsia="ja-JP"/>
        </w:rPr>
        <w:t xml:space="preserve">; </w:t>
      </w:r>
      <w:r w:rsidR="00911C3F">
        <w:rPr>
          <w:rFonts w:eastAsia="Calibri"/>
          <w:szCs w:val="24"/>
          <w:lang w:eastAsia="ja-JP"/>
        </w:rPr>
        <w:t>XPRIZE Foundation Inc.; and ADA Innovation Lab, Ltd..</w:t>
      </w:r>
    </w:p>
    <w:p w14:paraId="0327500B" w14:textId="010A349C" w:rsidR="005E08E7" w:rsidRPr="00C1421E" w:rsidRDefault="005E08E7" w:rsidP="007339CE">
      <w:pPr>
        <w:pStyle w:val="Index2"/>
        <w:rPr>
          <w:rFonts w:eastAsia="Calibri"/>
        </w:rPr>
      </w:pPr>
      <w:r w:rsidRPr="00C1421E">
        <w:rPr>
          <w:rFonts w:eastAsia="Calibri"/>
        </w:rPr>
        <w:t xml:space="preserve">New Associates </w:t>
      </w:r>
      <w:r w:rsidR="00293B8F">
        <w:rPr>
          <w:rFonts w:eastAsia="Calibri"/>
        </w:rPr>
        <w:t xml:space="preserve">in </w:t>
      </w:r>
      <w:r w:rsidRPr="00C1421E">
        <w:rPr>
          <w:rFonts w:eastAsia="Calibri"/>
        </w:rPr>
        <w:t>2019:</w:t>
      </w:r>
    </w:p>
    <w:p w14:paraId="581FF4FA" w14:textId="5A9D7385" w:rsidR="00412E28" w:rsidRPr="00C1421E" w:rsidRDefault="00044D72" w:rsidP="00044D72">
      <w:pPr>
        <w:rPr>
          <w:rFonts w:eastAsia="Calibri"/>
          <w:szCs w:val="24"/>
          <w:lang w:val="en-GB" w:eastAsia="ja-JP"/>
        </w:rPr>
      </w:pPr>
      <w:r w:rsidRPr="00C1421E">
        <w:rPr>
          <w:rFonts w:eastAsia="Calibri"/>
          <w:szCs w:val="24"/>
          <w:lang w:val="en-GB" w:eastAsia="ja-JP"/>
        </w:rPr>
        <w:t>Maersk Line A/S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Vattenfall</w:t>
      </w:r>
      <w:proofErr w:type="spellEnd"/>
      <w:r w:rsidRPr="00C1421E">
        <w:rPr>
          <w:rFonts w:eastAsia="Calibri"/>
          <w:szCs w:val="24"/>
          <w:lang w:val="en-GB" w:eastAsia="ja-JP"/>
        </w:rPr>
        <w:t xml:space="preserve"> </w:t>
      </w:r>
      <w:proofErr w:type="spellStart"/>
      <w:r w:rsidRPr="00C1421E">
        <w:rPr>
          <w:rFonts w:eastAsia="Calibri"/>
          <w:szCs w:val="24"/>
          <w:lang w:val="en-GB" w:eastAsia="ja-JP"/>
        </w:rPr>
        <w:t>Vindkraft</w:t>
      </w:r>
      <w:proofErr w:type="spellEnd"/>
      <w:r w:rsidRPr="00C1421E">
        <w:rPr>
          <w:rFonts w:eastAsia="Calibri"/>
          <w:szCs w:val="24"/>
          <w:lang w:val="en-GB" w:eastAsia="ja-JP"/>
        </w:rPr>
        <w:t xml:space="preserve"> A/S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Clementvale</w:t>
      </w:r>
      <w:proofErr w:type="spellEnd"/>
      <w:r w:rsidRPr="00C1421E">
        <w:rPr>
          <w:rFonts w:eastAsia="Calibri"/>
          <w:szCs w:val="24"/>
          <w:lang w:val="en-GB" w:eastAsia="ja-JP"/>
        </w:rPr>
        <w:t xml:space="preserve"> Baltic OÜ (SG2)</w:t>
      </w:r>
      <w:r w:rsidR="00293B8F">
        <w:rPr>
          <w:rFonts w:eastAsia="Calibri"/>
          <w:szCs w:val="24"/>
          <w:lang w:val="en-GB" w:eastAsia="ja-JP"/>
        </w:rPr>
        <w:t>;</w:t>
      </w:r>
      <w:r w:rsidRPr="00C1421E">
        <w:rPr>
          <w:rFonts w:eastAsia="Calibri"/>
          <w:szCs w:val="24"/>
          <w:lang w:val="en-GB" w:eastAsia="ja-JP"/>
        </w:rPr>
        <w:t xml:space="preserve"> Bouygues Telecom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Athalos</w:t>
      </w:r>
      <w:proofErr w:type="spellEnd"/>
      <w:r w:rsidRPr="00C1421E">
        <w:rPr>
          <w:rFonts w:eastAsia="Calibri"/>
          <w:szCs w:val="24"/>
          <w:lang w:val="en-GB" w:eastAsia="ja-JP"/>
        </w:rPr>
        <w:t xml:space="preserve"> PRS-Telecom (SG2)</w:t>
      </w:r>
      <w:r w:rsidR="00293B8F">
        <w:rPr>
          <w:rFonts w:eastAsia="Calibri"/>
          <w:szCs w:val="24"/>
          <w:lang w:val="en-GB" w:eastAsia="ja-JP"/>
        </w:rPr>
        <w:t>;</w:t>
      </w:r>
      <w:r w:rsidRPr="00C1421E">
        <w:rPr>
          <w:rFonts w:eastAsia="Calibri"/>
          <w:szCs w:val="24"/>
          <w:lang w:val="en-GB" w:eastAsia="ja-JP"/>
        </w:rPr>
        <w:t xml:space="preserve"> Tele2 IoT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Phonegroup</w:t>
      </w:r>
      <w:proofErr w:type="spellEnd"/>
      <w:r w:rsidRPr="00C1421E">
        <w:rPr>
          <w:rFonts w:eastAsia="Calibri"/>
          <w:szCs w:val="24"/>
          <w:lang w:val="en-GB" w:eastAsia="ja-JP"/>
        </w:rPr>
        <w:t xml:space="preserve"> SA (SG2)</w:t>
      </w:r>
      <w:r w:rsidR="00293B8F">
        <w:rPr>
          <w:rFonts w:eastAsia="Calibri"/>
          <w:szCs w:val="24"/>
          <w:lang w:val="en-GB" w:eastAsia="ja-JP"/>
        </w:rPr>
        <w:t>;</w:t>
      </w:r>
      <w:r w:rsidRPr="00C1421E">
        <w:rPr>
          <w:rFonts w:eastAsia="Calibri"/>
          <w:szCs w:val="24"/>
          <w:lang w:val="en-GB" w:eastAsia="ja-JP"/>
        </w:rPr>
        <w:t xml:space="preserve"> Dense Air (SG2)</w:t>
      </w:r>
      <w:r w:rsidR="00293B8F">
        <w:rPr>
          <w:rFonts w:eastAsia="Calibri"/>
          <w:szCs w:val="24"/>
          <w:lang w:val="en-GB" w:eastAsia="ja-JP"/>
        </w:rPr>
        <w:t>;</w:t>
      </w:r>
      <w:r w:rsidRPr="00C1421E">
        <w:rPr>
          <w:rFonts w:eastAsia="Calibri"/>
          <w:szCs w:val="24"/>
          <w:lang w:val="en-GB" w:eastAsia="ja-JP"/>
        </w:rPr>
        <w:t xml:space="preserve"> </w:t>
      </w:r>
      <w:proofErr w:type="spellStart"/>
      <w:r w:rsidR="00DC55F1">
        <w:rPr>
          <w:rFonts w:eastAsia="Calibri"/>
          <w:szCs w:val="24"/>
          <w:lang w:val="en-GB" w:eastAsia="ja-JP"/>
        </w:rPr>
        <w:t>Arkessa</w:t>
      </w:r>
      <w:proofErr w:type="spellEnd"/>
      <w:r w:rsidR="00DC55F1">
        <w:rPr>
          <w:rFonts w:eastAsia="Calibri"/>
          <w:szCs w:val="24"/>
          <w:lang w:val="en-GB" w:eastAsia="ja-JP"/>
        </w:rPr>
        <w:t xml:space="preserve">, Ltd. (SG2); </w:t>
      </w:r>
      <w:proofErr w:type="spellStart"/>
      <w:r w:rsidRPr="00C1421E">
        <w:rPr>
          <w:rFonts w:eastAsia="Calibri"/>
          <w:szCs w:val="24"/>
          <w:lang w:val="en-GB" w:eastAsia="ja-JP"/>
        </w:rPr>
        <w:t>MovieLabs</w:t>
      </w:r>
      <w:proofErr w:type="spellEnd"/>
      <w:r w:rsidRPr="00C1421E">
        <w:rPr>
          <w:rFonts w:eastAsia="Calibri"/>
          <w:szCs w:val="24"/>
          <w:lang w:val="en-GB" w:eastAsia="ja-JP"/>
        </w:rPr>
        <w:t xml:space="preserve"> (SG9)</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Synamedia</w:t>
      </w:r>
      <w:proofErr w:type="spellEnd"/>
      <w:r w:rsidRPr="00C1421E">
        <w:rPr>
          <w:rFonts w:eastAsia="Calibri"/>
          <w:szCs w:val="24"/>
          <w:lang w:val="en-GB" w:eastAsia="ja-JP"/>
        </w:rPr>
        <w:t xml:space="preserve"> (SG9)</w:t>
      </w:r>
      <w:r w:rsidR="00293B8F">
        <w:rPr>
          <w:rFonts w:eastAsia="Calibri"/>
          <w:szCs w:val="24"/>
          <w:lang w:val="en-GB" w:eastAsia="ja-JP"/>
        </w:rPr>
        <w:t>;</w:t>
      </w:r>
      <w:r w:rsidRPr="00C1421E">
        <w:rPr>
          <w:rFonts w:eastAsia="Calibri"/>
          <w:szCs w:val="24"/>
          <w:lang w:val="en-GB" w:eastAsia="ja-JP"/>
        </w:rPr>
        <w:t xml:space="preserve"> OpenSignal</w:t>
      </w:r>
      <w:r w:rsidR="00DC55F1">
        <w:rPr>
          <w:rFonts w:eastAsia="Calibri"/>
          <w:szCs w:val="24"/>
          <w:lang w:val="en-GB" w:eastAsia="ja-JP"/>
        </w:rPr>
        <w:t>, Lt</w:t>
      </w:r>
      <w:r w:rsidRPr="00C1421E">
        <w:rPr>
          <w:rFonts w:eastAsia="Calibri"/>
          <w:szCs w:val="24"/>
          <w:lang w:val="en-GB" w:eastAsia="ja-JP"/>
        </w:rPr>
        <w:t>d</w:t>
      </w:r>
      <w:r w:rsidR="00DC55F1">
        <w:rPr>
          <w:rFonts w:eastAsia="Calibri"/>
          <w:szCs w:val="24"/>
          <w:lang w:val="en-GB" w:eastAsia="ja-JP"/>
        </w:rPr>
        <w:t>.</w:t>
      </w:r>
      <w:r w:rsidRPr="00C1421E">
        <w:rPr>
          <w:rFonts w:eastAsia="Calibri"/>
          <w:szCs w:val="24"/>
          <w:lang w:val="en-GB" w:eastAsia="ja-JP"/>
        </w:rPr>
        <w:t xml:space="preserve"> (SG12)</w:t>
      </w:r>
      <w:r w:rsidR="00293B8F">
        <w:rPr>
          <w:rFonts w:eastAsia="Calibri"/>
          <w:szCs w:val="24"/>
          <w:lang w:val="en-GB" w:eastAsia="ja-JP"/>
        </w:rPr>
        <w:t>;</w:t>
      </w:r>
      <w:r w:rsidRPr="00C1421E">
        <w:rPr>
          <w:rFonts w:eastAsia="Calibri"/>
          <w:szCs w:val="24"/>
          <w:lang w:val="en-GB" w:eastAsia="ja-JP"/>
        </w:rPr>
        <w:t xml:space="preserve"> Continental Automotive Systems Inc.</w:t>
      </w:r>
      <w:r w:rsidR="00293B8F">
        <w:rPr>
          <w:rFonts w:eastAsia="Calibri"/>
          <w:szCs w:val="24"/>
          <w:lang w:val="en-GB" w:eastAsia="ja-JP"/>
        </w:rPr>
        <w:t xml:space="preserve"> </w:t>
      </w:r>
      <w:r w:rsidRPr="00C1421E">
        <w:rPr>
          <w:rFonts w:eastAsia="Calibri"/>
          <w:szCs w:val="24"/>
          <w:lang w:val="en-GB" w:eastAsia="ja-JP"/>
        </w:rPr>
        <w:t>(SG12)</w:t>
      </w:r>
      <w:r w:rsidR="00293B8F">
        <w:rPr>
          <w:rFonts w:eastAsia="Calibri"/>
          <w:szCs w:val="24"/>
          <w:lang w:val="en-GB" w:eastAsia="ja-JP"/>
        </w:rPr>
        <w:t>;</w:t>
      </w:r>
      <w:r w:rsidRPr="00C1421E">
        <w:rPr>
          <w:rFonts w:eastAsia="Calibri"/>
          <w:szCs w:val="24"/>
          <w:lang w:val="en-GB"/>
        </w:rPr>
        <w:t xml:space="preserve"> </w:t>
      </w:r>
      <w:r w:rsidRPr="00C1421E">
        <w:rPr>
          <w:rFonts w:eastAsia="Calibri"/>
          <w:szCs w:val="24"/>
          <w:lang w:val="en-GB" w:eastAsia="ja-JP"/>
        </w:rPr>
        <w:t xml:space="preserve">Hyundai </w:t>
      </w:r>
      <w:proofErr w:type="spellStart"/>
      <w:r w:rsidRPr="00C1421E">
        <w:rPr>
          <w:rFonts w:eastAsia="Calibri"/>
          <w:szCs w:val="24"/>
          <w:lang w:val="en-GB" w:eastAsia="ja-JP"/>
        </w:rPr>
        <w:t>Mobis</w:t>
      </w:r>
      <w:proofErr w:type="spellEnd"/>
      <w:r w:rsidRPr="00C1421E">
        <w:rPr>
          <w:rFonts w:eastAsia="Calibri"/>
          <w:szCs w:val="24"/>
          <w:lang w:val="en-GB" w:eastAsia="ja-JP"/>
        </w:rPr>
        <w:t xml:space="preserve"> Co., Ltd (SG12)</w:t>
      </w:r>
      <w:r w:rsidR="00293B8F">
        <w:rPr>
          <w:rFonts w:eastAsia="Calibri"/>
          <w:szCs w:val="24"/>
          <w:lang w:val="en-GB" w:eastAsia="ja-JP"/>
        </w:rPr>
        <w:t>;</w:t>
      </w:r>
      <w:r w:rsidRPr="00C1421E">
        <w:rPr>
          <w:rFonts w:eastAsia="Calibri"/>
          <w:szCs w:val="24"/>
          <w:lang w:val="en-GB" w:eastAsia="ja-JP"/>
        </w:rPr>
        <w:t xml:space="preserve"> CEZ </w:t>
      </w:r>
      <w:proofErr w:type="spellStart"/>
      <w:r w:rsidRPr="00C1421E">
        <w:rPr>
          <w:rFonts w:eastAsia="Calibri"/>
          <w:szCs w:val="24"/>
          <w:lang w:val="en-GB" w:eastAsia="ja-JP"/>
        </w:rPr>
        <w:t>Distribuce</w:t>
      </w:r>
      <w:proofErr w:type="spellEnd"/>
      <w:r w:rsidRPr="00C1421E">
        <w:rPr>
          <w:rFonts w:eastAsia="Calibri"/>
          <w:szCs w:val="24"/>
          <w:lang w:val="en-GB" w:eastAsia="ja-JP"/>
        </w:rPr>
        <w:t xml:space="preserve">, </w:t>
      </w:r>
      <w:proofErr w:type="spellStart"/>
      <w:r w:rsidRPr="00C1421E">
        <w:rPr>
          <w:rFonts w:eastAsia="Calibri"/>
          <w:szCs w:val="24"/>
          <w:lang w:val="en-GB" w:eastAsia="ja-JP"/>
        </w:rPr>
        <w:t>a.s</w:t>
      </w:r>
      <w:proofErr w:type="spellEnd"/>
      <w:r w:rsidRPr="00C1421E">
        <w:rPr>
          <w:rFonts w:eastAsia="Calibri"/>
          <w:szCs w:val="24"/>
          <w:lang w:val="en-GB" w:eastAsia="ja-JP"/>
        </w:rPr>
        <w:t>.</w:t>
      </w:r>
      <w:r w:rsidR="00293B8F">
        <w:rPr>
          <w:rFonts w:eastAsia="Calibri"/>
          <w:szCs w:val="24"/>
          <w:lang w:val="en-GB" w:eastAsia="ja-JP"/>
        </w:rPr>
        <w:t xml:space="preserve"> </w:t>
      </w:r>
      <w:r w:rsidRPr="00C1421E">
        <w:rPr>
          <w:rFonts w:eastAsia="Calibri"/>
          <w:szCs w:val="24"/>
          <w:lang w:val="en-GB" w:eastAsia="ja-JP"/>
        </w:rPr>
        <w:t>(SG15)</w:t>
      </w:r>
      <w:r w:rsidR="00293B8F">
        <w:rPr>
          <w:rFonts w:eastAsia="Calibri"/>
          <w:szCs w:val="24"/>
          <w:lang w:val="en-GB" w:eastAsia="ja-JP"/>
        </w:rPr>
        <w:t>;</w:t>
      </w:r>
      <w:r w:rsidRPr="00C1421E">
        <w:rPr>
          <w:rFonts w:eastAsia="Calibri"/>
          <w:szCs w:val="24"/>
          <w:lang w:val="en-GB" w:eastAsia="ja-JP"/>
        </w:rPr>
        <w:t xml:space="preserve"> Signify/Philips Lighting B.V.</w:t>
      </w:r>
      <w:r w:rsidR="00A47A10">
        <w:rPr>
          <w:rFonts w:eastAsia="Calibri"/>
          <w:szCs w:val="24"/>
          <w:lang w:val="en-GB" w:eastAsia="ja-JP"/>
        </w:rPr>
        <w:t xml:space="preserve"> </w:t>
      </w:r>
      <w:r w:rsidRPr="00C1421E">
        <w:rPr>
          <w:rFonts w:eastAsia="Calibri"/>
          <w:szCs w:val="24"/>
          <w:lang w:val="en-GB" w:eastAsia="ja-JP"/>
        </w:rPr>
        <w:t>(SG15)</w:t>
      </w:r>
      <w:r w:rsidR="00A47A10">
        <w:rPr>
          <w:rFonts w:eastAsia="Calibri"/>
          <w:szCs w:val="24"/>
          <w:lang w:val="en-GB" w:eastAsia="ja-JP"/>
        </w:rPr>
        <w:t>;</w:t>
      </w:r>
      <w:r w:rsidRPr="00C1421E">
        <w:rPr>
          <w:rFonts w:eastAsia="Calibri"/>
          <w:szCs w:val="24"/>
          <w:lang w:val="en-GB" w:eastAsia="ja-JP"/>
        </w:rPr>
        <w:t xml:space="preserve"> u-</w:t>
      </w:r>
      <w:proofErr w:type="spellStart"/>
      <w:r w:rsidRPr="00C1421E">
        <w:rPr>
          <w:rFonts w:eastAsia="Calibri"/>
          <w:szCs w:val="24"/>
          <w:lang w:val="en-GB" w:eastAsia="ja-JP"/>
        </w:rPr>
        <w:t>blox</w:t>
      </w:r>
      <w:proofErr w:type="spellEnd"/>
      <w:r w:rsidRPr="00C1421E">
        <w:rPr>
          <w:rFonts w:eastAsia="Calibri"/>
          <w:szCs w:val="24"/>
          <w:lang w:val="en-GB" w:eastAsia="ja-JP"/>
        </w:rPr>
        <w:t xml:space="preserve"> AG (SG15)</w:t>
      </w:r>
      <w:r w:rsidR="00A47A10">
        <w:rPr>
          <w:rFonts w:eastAsia="Calibri"/>
          <w:szCs w:val="24"/>
          <w:lang w:val="en-GB" w:eastAsia="ja-JP"/>
        </w:rPr>
        <w:t>;</w:t>
      </w:r>
      <w:r w:rsidRPr="00C1421E">
        <w:rPr>
          <w:rFonts w:eastAsia="Calibri"/>
          <w:szCs w:val="24"/>
          <w:lang w:val="en-GB" w:eastAsia="ja-JP"/>
        </w:rPr>
        <w:t xml:space="preserve"> IBM (SG15)</w:t>
      </w:r>
      <w:r w:rsidR="00A47A10">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Tibit</w:t>
      </w:r>
      <w:proofErr w:type="spellEnd"/>
      <w:r w:rsidRPr="00C1421E">
        <w:rPr>
          <w:rFonts w:eastAsia="Calibri"/>
          <w:szCs w:val="24"/>
          <w:lang w:val="en-GB" w:eastAsia="ja-JP"/>
        </w:rPr>
        <w:t xml:space="preserve"> Communications (SG15)</w:t>
      </w:r>
      <w:r w:rsidR="00A47A10">
        <w:rPr>
          <w:rFonts w:eastAsia="Calibri"/>
          <w:szCs w:val="24"/>
          <w:lang w:val="en-GB" w:eastAsia="ja-JP"/>
        </w:rPr>
        <w:t>;</w:t>
      </w:r>
      <w:r w:rsidRPr="00C1421E">
        <w:rPr>
          <w:rFonts w:eastAsia="Calibri"/>
          <w:szCs w:val="24"/>
          <w:lang w:val="en-GB" w:eastAsia="ja-JP"/>
        </w:rPr>
        <w:t xml:space="preserve"> </w:t>
      </w:r>
      <w:r w:rsidR="00DC55F1">
        <w:rPr>
          <w:rFonts w:eastAsia="Calibri"/>
          <w:szCs w:val="24"/>
          <w:lang w:val="en-GB" w:eastAsia="ja-JP"/>
        </w:rPr>
        <w:t xml:space="preserve">Xilinx Inc. (SG15); </w:t>
      </w:r>
      <w:proofErr w:type="spellStart"/>
      <w:r w:rsidRPr="00C1421E">
        <w:rPr>
          <w:rFonts w:eastAsia="Calibri"/>
          <w:szCs w:val="24"/>
          <w:lang w:val="en-GB" w:eastAsia="ja-JP"/>
        </w:rPr>
        <w:t>VisionVera</w:t>
      </w:r>
      <w:proofErr w:type="spellEnd"/>
      <w:r w:rsidRPr="00C1421E">
        <w:rPr>
          <w:rFonts w:eastAsia="Calibri"/>
          <w:szCs w:val="24"/>
          <w:lang w:val="en-GB" w:eastAsia="ja-JP"/>
        </w:rPr>
        <w:t xml:space="preserve"> Information Technology Co.</w:t>
      </w:r>
      <w:r w:rsidR="00DC55F1">
        <w:rPr>
          <w:rFonts w:eastAsia="Calibri"/>
          <w:szCs w:val="24"/>
          <w:lang w:val="en-GB" w:eastAsia="ja-JP"/>
        </w:rPr>
        <w:t>,</w:t>
      </w:r>
      <w:r w:rsidRPr="00C1421E">
        <w:rPr>
          <w:rFonts w:eastAsia="Calibri"/>
          <w:szCs w:val="24"/>
          <w:lang w:val="en-GB" w:eastAsia="ja-JP"/>
        </w:rPr>
        <w:t xml:space="preserve"> Ltd. (SG16)</w:t>
      </w:r>
      <w:r w:rsidR="00A47A10">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Fondation</w:t>
      </w:r>
      <w:proofErr w:type="spellEnd"/>
      <w:r w:rsidRPr="00C1421E">
        <w:rPr>
          <w:rFonts w:eastAsia="Calibri"/>
          <w:szCs w:val="24"/>
          <w:lang w:val="en-GB" w:eastAsia="ja-JP"/>
        </w:rPr>
        <w:t xml:space="preserve"> </w:t>
      </w:r>
      <w:proofErr w:type="spellStart"/>
      <w:r w:rsidRPr="00C1421E">
        <w:rPr>
          <w:rFonts w:eastAsia="Calibri"/>
          <w:szCs w:val="24"/>
          <w:lang w:val="en-GB" w:eastAsia="ja-JP"/>
        </w:rPr>
        <w:t>Botnar</w:t>
      </w:r>
      <w:proofErr w:type="spellEnd"/>
      <w:r w:rsidRPr="00C1421E">
        <w:rPr>
          <w:rFonts w:eastAsia="Calibri"/>
          <w:szCs w:val="24"/>
          <w:lang w:val="en-GB" w:eastAsia="ja-JP"/>
        </w:rPr>
        <w:t xml:space="preserve"> (SG16)</w:t>
      </w:r>
      <w:r w:rsidR="00A47A10">
        <w:rPr>
          <w:rFonts w:eastAsia="Calibri"/>
          <w:szCs w:val="24"/>
          <w:lang w:val="en-GB" w:eastAsia="ja-JP"/>
        </w:rPr>
        <w:t>;</w:t>
      </w:r>
      <w:r w:rsidRPr="00C1421E">
        <w:rPr>
          <w:rFonts w:eastAsia="Calibri"/>
          <w:szCs w:val="24"/>
          <w:lang w:val="en-GB" w:eastAsia="ja-JP"/>
        </w:rPr>
        <w:t xml:space="preserve"> Cambridge Quantum Computing (SG17)</w:t>
      </w:r>
      <w:r w:rsidR="00A47A10">
        <w:rPr>
          <w:rFonts w:eastAsia="Calibri"/>
          <w:szCs w:val="24"/>
          <w:lang w:val="en-GB" w:eastAsia="ja-JP"/>
        </w:rPr>
        <w:t>;</w:t>
      </w:r>
      <w:r w:rsidRPr="00C1421E">
        <w:rPr>
          <w:rFonts w:eastAsia="Calibri"/>
          <w:szCs w:val="24"/>
          <w:lang w:val="en-GB" w:eastAsia="ja-JP"/>
        </w:rPr>
        <w:t xml:space="preserve"> Capital City Service Limited (SG17)</w:t>
      </w:r>
      <w:r w:rsidR="00A47A10">
        <w:rPr>
          <w:rFonts w:eastAsia="Calibri"/>
          <w:szCs w:val="24"/>
          <w:lang w:val="en-GB" w:eastAsia="ja-JP"/>
        </w:rPr>
        <w:t>;</w:t>
      </w:r>
      <w:r w:rsidRPr="00C1421E">
        <w:rPr>
          <w:rFonts w:eastAsia="Calibri"/>
          <w:szCs w:val="24"/>
          <w:lang w:val="en-GB"/>
        </w:rPr>
        <w:t xml:space="preserve"> </w:t>
      </w:r>
      <w:r w:rsidRPr="00C1421E">
        <w:rPr>
          <w:rFonts w:eastAsia="Calibri"/>
          <w:szCs w:val="24"/>
          <w:lang w:val="en-GB" w:eastAsia="ja-JP"/>
        </w:rPr>
        <w:t>FORTINET Inc. (SG17)</w:t>
      </w:r>
      <w:r w:rsidR="00A47A10">
        <w:rPr>
          <w:rFonts w:eastAsia="Calibri"/>
          <w:szCs w:val="24"/>
          <w:lang w:val="en-GB" w:eastAsia="ja-JP"/>
        </w:rPr>
        <w:t>;</w:t>
      </w:r>
      <w:r w:rsidRPr="00C1421E">
        <w:rPr>
          <w:rFonts w:eastAsia="Calibri"/>
          <w:szCs w:val="24"/>
          <w:lang w:val="en-GB" w:eastAsia="ja-JP"/>
        </w:rPr>
        <w:t xml:space="preserve"> </w:t>
      </w:r>
      <w:r w:rsidR="00A47A10">
        <w:rPr>
          <w:rFonts w:eastAsia="Calibri"/>
          <w:szCs w:val="24"/>
          <w:lang w:val="en-GB" w:eastAsia="ja-JP"/>
        </w:rPr>
        <w:t xml:space="preserve">and </w:t>
      </w:r>
      <w:r w:rsidRPr="00C1421E">
        <w:rPr>
          <w:rFonts w:eastAsia="Calibri"/>
          <w:szCs w:val="24"/>
          <w:lang w:val="en-GB" w:eastAsia="ja-JP"/>
        </w:rPr>
        <w:t>System Engineering Research Institute (SG20).</w:t>
      </w:r>
    </w:p>
    <w:p w14:paraId="0A8CF2E5" w14:textId="6565A3AF" w:rsidR="00044D72" w:rsidRPr="00C1421E" w:rsidRDefault="00044D72" w:rsidP="007339CE">
      <w:pPr>
        <w:pStyle w:val="Index2"/>
        <w:rPr>
          <w:rFonts w:eastAsia="Calibri"/>
        </w:rPr>
      </w:pPr>
      <w:r w:rsidRPr="00C1421E">
        <w:rPr>
          <w:rFonts w:eastAsia="Calibri"/>
        </w:rPr>
        <w:t xml:space="preserve">New Academia </w:t>
      </w:r>
      <w:r w:rsidR="00A47A10">
        <w:rPr>
          <w:rFonts w:eastAsia="Calibri"/>
        </w:rPr>
        <w:t xml:space="preserve">in </w:t>
      </w:r>
      <w:r w:rsidRPr="00C1421E">
        <w:rPr>
          <w:rFonts w:eastAsia="Calibri"/>
        </w:rPr>
        <w:t>2019:</w:t>
      </w:r>
    </w:p>
    <w:p w14:paraId="7A39BC06" w14:textId="3AC14BE3" w:rsidR="00044D72" w:rsidRPr="00911C3F" w:rsidRDefault="00044D72" w:rsidP="00911C3F">
      <w:pPr>
        <w:keepNext/>
        <w:keepLines/>
        <w:rPr>
          <w:szCs w:val="24"/>
          <w:highlight w:val="yellow"/>
          <w:lang w:eastAsia="ja-JP"/>
        </w:rPr>
      </w:pPr>
      <w:r w:rsidRPr="00C1421E">
        <w:rPr>
          <w:rFonts w:eastAsia="Calibri"/>
          <w:szCs w:val="24"/>
          <w:lang w:val="en-GB" w:eastAsia="ja-JP"/>
        </w:rPr>
        <w:t>Universidad</w:t>
      </w:r>
      <w:r w:rsidRPr="00C1421E">
        <w:rPr>
          <w:szCs w:val="24"/>
          <w:lang w:val="en-GB" w:eastAsia="ja-JP"/>
        </w:rPr>
        <w:t xml:space="preserve"> Nacional del </w:t>
      </w:r>
      <w:proofErr w:type="spellStart"/>
      <w:r w:rsidRPr="00C1421E">
        <w:rPr>
          <w:szCs w:val="24"/>
          <w:lang w:val="en-GB" w:eastAsia="ja-JP"/>
        </w:rPr>
        <w:t>Litoral</w:t>
      </w:r>
      <w:proofErr w:type="spellEnd"/>
      <w:r w:rsidR="00A47A10">
        <w:rPr>
          <w:szCs w:val="24"/>
          <w:lang w:val="en-GB" w:eastAsia="ja-JP"/>
        </w:rPr>
        <w:t>;</w:t>
      </w:r>
      <w:r w:rsidRPr="00C1421E">
        <w:rPr>
          <w:szCs w:val="24"/>
          <w:lang w:val="en-GB" w:eastAsia="ja-JP"/>
        </w:rPr>
        <w:t xml:space="preserve"> Hong Kong Applied Science and Technology Research Institute</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Institut</w:t>
      </w:r>
      <w:proofErr w:type="spellEnd"/>
      <w:r w:rsidRPr="00C1421E">
        <w:rPr>
          <w:szCs w:val="24"/>
          <w:lang w:val="en-GB" w:eastAsia="ja-JP"/>
        </w:rPr>
        <w:t xml:space="preserve"> </w:t>
      </w:r>
      <w:proofErr w:type="spellStart"/>
      <w:r w:rsidRPr="00C1421E">
        <w:rPr>
          <w:szCs w:val="24"/>
          <w:lang w:val="en-GB" w:eastAsia="ja-JP"/>
        </w:rPr>
        <w:t>Scientifique</w:t>
      </w:r>
      <w:proofErr w:type="spellEnd"/>
      <w:r w:rsidRPr="00C1421E">
        <w:rPr>
          <w:szCs w:val="24"/>
          <w:lang w:val="en-GB" w:eastAsia="ja-JP"/>
        </w:rPr>
        <w:t xml:space="preserve"> </w:t>
      </w:r>
      <w:proofErr w:type="spellStart"/>
      <w:r w:rsidRPr="00C1421E">
        <w:rPr>
          <w:szCs w:val="24"/>
          <w:lang w:val="en-GB" w:eastAsia="ja-JP"/>
        </w:rPr>
        <w:t>Européen</w:t>
      </w:r>
      <w:proofErr w:type="spellEnd"/>
      <w:r w:rsidR="00A47A10">
        <w:rPr>
          <w:szCs w:val="24"/>
          <w:lang w:val="en-GB" w:eastAsia="ja-JP"/>
        </w:rPr>
        <w:t>;</w:t>
      </w:r>
      <w:r w:rsidRPr="00C1421E">
        <w:rPr>
          <w:szCs w:val="24"/>
          <w:lang w:val="en-GB" w:eastAsia="ja-JP"/>
        </w:rPr>
        <w:t xml:space="preserve"> </w:t>
      </w:r>
      <w:proofErr w:type="spellStart"/>
      <w:r w:rsidRPr="00C1421E">
        <w:rPr>
          <w:szCs w:val="24"/>
          <w:lang w:val="en-GB" w:eastAsia="ja-JP"/>
        </w:rPr>
        <w:t>Ilmenau</w:t>
      </w:r>
      <w:proofErr w:type="spellEnd"/>
      <w:r w:rsidRPr="00C1421E">
        <w:rPr>
          <w:szCs w:val="24"/>
          <w:lang w:val="en-GB" w:eastAsia="ja-JP"/>
        </w:rPr>
        <w:t xml:space="preserve"> University of Technology</w:t>
      </w:r>
      <w:r w:rsidR="00A47A10">
        <w:rPr>
          <w:szCs w:val="24"/>
          <w:lang w:val="en-GB" w:eastAsia="ja-JP"/>
        </w:rPr>
        <w:t>;</w:t>
      </w:r>
      <w:r w:rsidRPr="00C1421E">
        <w:rPr>
          <w:szCs w:val="24"/>
          <w:lang w:val="en-GB" w:eastAsia="ja-JP"/>
        </w:rPr>
        <w:t xml:space="preserve"> Centre for Development of Telematics</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Amirkabir</w:t>
      </w:r>
      <w:proofErr w:type="spellEnd"/>
      <w:r w:rsidRPr="00C1421E">
        <w:rPr>
          <w:szCs w:val="24"/>
          <w:lang w:val="en-GB" w:eastAsia="ja-JP"/>
        </w:rPr>
        <w:t xml:space="preserve"> University of Technology</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Tarbiat</w:t>
      </w:r>
      <w:proofErr w:type="spellEnd"/>
      <w:r w:rsidRPr="00C1421E">
        <w:rPr>
          <w:szCs w:val="24"/>
          <w:lang w:val="en-GB" w:eastAsia="ja-JP"/>
        </w:rPr>
        <w:t xml:space="preserve"> </w:t>
      </w:r>
      <w:proofErr w:type="spellStart"/>
      <w:r w:rsidRPr="00C1421E">
        <w:rPr>
          <w:szCs w:val="24"/>
          <w:lang w:val="en-GB" w:eastAsia="ja-JP"/>
        </w:rPr>
        <w:t>Modares</w:t>
      </w:r>
      <w:proofErr w:type="spellEnd"/>
      <w:r w:rsidRPr="00C1421E">
        <w:rPr>
          <w:szCs w:val="24"/>
          <w:lang w:val="en-GB" w:eastAsia="ja-JP"/>
        </w:rPr>
        <w:t xml:space="preserve"> University</w:t>
      </w:r>
      <w:r w:rsidR="00A47A10">
        <w:rPr>
          <w:szCs w:val="24"/>
          <w:lang w:val="en-GB" w:eastAsia="ja-JP"/>
        </w:rPr>
        <w:t>;</w:t>
      </w:r>
      <w:r w:rsidRPr="00C1421E">
        <w:rPr>
          <w:szCs w:val="24"/>
          <w:lang w:val="en-GB" w:eastAsia="ja-JP"/>
        </w:rPr>
        <w:t xml:space="preserve"> University of Tehran</w:t>
      </w:r>
      <w:r w:rsidR="00A47A10">
        <w:rPr>
          <w:szCs w:val="24"/>
          <w:lang w:val="en-GB" w:eastAsia="ja-JP"/>
        </w:rPr>
        <w:t>;</w:t>
      </w:r>
      <w:r w:rsidRPr="00C1421E">
        <w:rPr>
          <w:szCs w:val="24"/>
          <w:lang w:val="en-GB" w:eastAsia="ja-JP"/>
        </w:rPr>
        <w:t xml:space="preserve"> Tokyo Institute of Technology</w:t>
      </w:r>
      <w:r w:rsidR="00A47A10">
        <w:rPr>
          <w:szCs w:val="24"/>
          <w:lang w:val="en-GB" w:eastAsia="ja-JP"/>
        </w:rPr>
        <w:t>;</w:t>
      </w:r>
      <w:r w:rsidRPr="00C1421E">
        <w:rPr>
          <w:szCs w:val="24"/>
          <w:lang w:val="en-GB" w:eastAsia="ja-JP"/>
        </w:rPr>
        <w:t xml:space="preserve"> Arab States Research and Education Network</w:t>
      </w:r>
      <w:r w:rsidR="00A47A10">
        <w:rPr>
          <w:szCs w:val="24"/>
          <w:lang w:val="en-GB" w:eastAsia="ja-JP"/>
        </w:rPr>
        <w:t>;</w:t>
      </w:r>
      <w:r w:rsidRPr="00C1421E">
        <w:rPr>
          <w:szCs w:val="24"/>
          <w:lang w:val="en-GB" w:eastAsia="ja-JP"/>
        </w:rPr>
        <w:t xml:space="preserve"> Smart Quantum Communication ITRC</w:t>
      </w:r>
      <w:r w:rsidR="00A47A10">
        <w:rPr>
          <w:szCs w:val="24"/>
          <w:lang w:val="en-GB" w:eastAsia="ja-JP"/>
        </w:rPr>
        <w:t xml:space="preserve">, </w:t>
      </w:r>
      <w:r w:rsidRPr="00C1421E">
        <w:rPr>
          <w:szCs w:val="24"/>
          <w:lang w:val="en-GB" w:eastAsia="ja-JP"/>
        </w:rPr>
        <w:t>Korea University</w:t>
      </w:r>
      <w:r w:rsidR="00A47A10">
        <w:rPr>
          <w:szCs w:val="24"/>
          <w:lang w:val="en-GB" w:eastAsia="ja-JP"/>
        </w:rPr>
        <w:t>;</w:t>
      </w:r>
      <w:r w:rsidRPr="00C1421E">
        <w:rPr>
          <w:szCs w:val="24"/>
          <w:lang w:val="en-GB" w:eastAsia="ja-JP"/>
        </w:rPr>
        <w:t xml:space="preserve"> Hamad Bin </w:t>
      </w:r>
      <w:proofErr w:type="spellStart"/>
      <w:r w:rsidRPr="00C1421E">
        <w:rPr>
          <w:szCs w:val="24"/>
          <w:lang w:val="en-GB" w:eastAsia="ja-JP"/>
        </w:rPr>
        <w:t>Khalifa</w:t>
      </w:r>
      <w:proofErr w:type="spellEnd"/>
      <w:r w:rsidRPr="00C1421E">
        <w:rPr>
          <w:szCs w:val="24"/>
          <w:lang w:val="en-GB" w:eastAsia="ja-JP"/>
        </w:rPr>
        <w:t xml:space="preserve"> University</w:t>
      </w:r>
      <w:r w:rsidR="00A47A10">
        <w:rPr>
          <w:szCs w:val="24"/>
          <w:lang w:val="en-GB" w:eastAsia="ja-JP"/>
        </w:rPr>
        <w:t>;</w:t>
      </w:r>
      <w:r w:rsidRPr="00C1421E">
        <w:rPr>
          <w:szCs w:val="24"/>
          <w:lang w:val="en-GB" w:eastAsia="ja-JP"/>
        </w:rPr>
        <w:t xml:space="preserve"> University of Dodoma</w:t>
      </w:r>
      <w:r w:rsidR="00A47A10">
        <w:rPr>
          <w:szCs w:val="24"/>
          <w:lang w:val="en-GB" w:eastAsia="ja-JP"/>
        </w:rPr>
        <w:t xml:space="preserve">; </w:t>
      </w:r>
      <w:r w:rsidR="00911C3F">
        <w:rPr>
          <w:szCs w:val="24"/>
          <w:lang w:val="en-GB" w:eastAsia="ja-JP"/>
        </w:rPr>
        <w:t xml:space="preserve">University of Bristol; </w:t>
      </w:r>
      <w:r w:rsidR="00911C3F">
        <w:rPr>
          <w:szCs w:val="24"/>
          <w:lang w:eastAsia="ja-JP"/>
        </w:rPr>
        <w:t xml:space="preserve">Universidad </w:t>
      </w:r>
      <w:proofErr w:type="spellStart"/>
      <w:r w:rsidR="00911C3F">
        <w:rPr>
          <w:szCs w:val="24"/>
          <w:lang w:eastAsia="ja-JP"/>
        </w:rPr>
        <w:t>Técnica</w:t>
      </w:r>
      <w:proofErr w:type="spellEnd"/>
      <w:r w:rsidR="00911C3F">
        <w:rPr>
          <w:szCs w:val="24"/>
          <w:lang w:eastAsia="ja-JP"/>
        </w:rPr>
        <w:t xml:space="preserve"> del Norte; and Shinshu University.</w:t>
      </w:r>
    </w:p>
    <w:p w14:paraId="4B6A87D4" w14:textId="17CFCC89" w:rsidR="00412E28" w:rsidRDefault="005E08E7" w:rsidP="00C1421E">
      <w:pPr>
        <w:pStyle w:val="Headingb"/>
      </w:pPr>
      <w:r w:rsidRPr="00C1421E">
        <w:t>Total ITU-T Sector Members, Associates and Academia (31 December 2006 – 31 July 2019):</w:t>
      </w:r>
    </w:p>
    <w:p w14:paraId="61548468" w14:textId="24891A4F" w:rsidR="001C37A8" w:rsidRPr="001C37A8" w:rsidRDefault="001C37A8" w:rsidP="001C37A8">
      <w:pPr>
        <w:rPr>
          <w:highlight w:val="yellow"/>
          <w:lang w:val="en-GB" w:eastAsia="en-US"/>
        </w:rPr>
      </w:pPr>
      <w:r w:rsidRPr="001C37A8">
        <w:rPr>
          <w:lang w:val="en-GB" w:eastAsia="en-US"/>
        </w:rPr>
        <w:t xml:space="preserve">The following table </w:t>
      </w:r>
      <w:r>
        <w:rPr>
          <w:lang w:val="en-GB" w:eastAsia="en-US"/>
        </w:rPr>
        <w:t xml:space="preserve">and figure </w:t>
      </w:r>
      <w:r w:rsidRPr="001C37A8">
        <w:rPr>
          <w:lang w:val="en-GB" w:eastAsia="en-US"/>
        </w:rPr>
        <w:t>illustrate the evolution of the ITU-T membership from 31 December 2006 to 31 July 2019</w:t>
      </w:r>
      <w:r>
        <w:rPr>
          <w:lang w:val="en-GB" w:eastAsia="en-US"/>
        </w:rPr>
        <w:t xml:space="preserve"> (noting that the Academia </w:t>
      </w:r>
      <w:r w:rsidR="00A47A10">
        <w:rPr>
          <w:lang w:val="en-GB" w:eastAsia="en-US"/>
        </w:rPr>
        <w:t xml:space="preserve">membership </w:t>
      </w:r>
      <w:r>
        <w:rPr>
          <w:lang w:val="en-GB" w:eastAsia="en-US"/>
        </w:rPr>
        <w:t xml:space="preserve">category </w:t>
      </w:r>
      <w:r w:rsidR="00A47A10">
        <w:rPr>
          <w:lang w:val="en-GB" w:eastAsia="en-US"/>
        </w:rPr>
        <w:t xml:space="preserve">opened </w:t>
      </w:r>
      <w:r>
        <w:rPr>
          <w:lang w:val="en-GB" w:eastAsia="en-US"/>
        </w:rPr>
        <w:t>in 2011).</w:t>
      </w:r>
    </w:p>
    <w:p w14:paraId="5BA34C54" w14:textId="77777777" w:rsidR="00CF4005" w:rsidRDefault="00CF4005" w:rsidP="00CF4005">
      <w:pPr>
        <w:keepNext/>
        <w:keepLines/>
        <w:spacing w:after="120"/>
        <w:jc w:val="center"/>
        <w:rPr>
          <w:b/>
        </w:rPr>
      </w:pPr>
      <w:r>
        <w:rPr>
          <w:b/>
        </w:rPr>
        <w:t>Table 1: Evolution of ITU-T membership from 31 December 2006 to 31 August 2019</w:t>
      </w:r>
    </w:p>
    <w:p w14:paraId="22B40D68" w14:textId="77777777" w:rsidR="00CF4005" w:rsidRDefault="00CF4005" w:rsidP="00CF4005">
      <w:pPr>
        <w:jc w:val="center"/>
        <w:rPr>
          <w:highlight w:val="yellow"/>
        </w:rP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CF4005" w14:paraId="2BAB467F" w14:textId="77777777" w:rsidTr="00CF4005">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70730EEB" w14:textId="77777777" w:rsidR="00CF4005" w:rsidRDefault="00CF4005">
            <w:pPr>
              <w:rPr>
                <w:highlight w:val="yellow"/>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1039CC" w14:textId="77777777" w:rsidR="00CF4005" w:rsidRDefault="00CF4005">
            <w:pPr>
              <w:keepNext/>
              <w:spacing w:before="80" w:after="80" w:line="256" w:lineRule="auto"/>
              <w:jc w:val="center"/>
              <w:rPr>
                <w:rFonts w:eastAsia="Calibri"/>
                <w:b/>
                <w:bCs/>
                <w:sz w:val="20"/>
              </w:rPr>
            </w:pPr>
            <w:r>
              <w:rPr>
                <w:rFonts w:eastAsia="Calibri"/>
                <w:b/>
                <w:bCs/>
                <w:sz w:val="20"/>
              </w:rPr>
              <w:t>2006</w:t>
            </w:r>
          </w:p>
        </w:tc>
        <w:tc>
          <w:tcPr>
            <w:tcW w:w="516" w:type="dxa"/>
            <w:tcBorders>
              <w:top w:val="single" w:sz="12" w:space="0" w:color="auto"/>
              <w:left w:val="nil"/>
              <w:bottom w:val="single" w:sz="12" w:space="0" w:color="auto"/>
              <w:right w:val="single" w:sz="8" w:space="0" w:color="auto"/>
            </w:tcBorders>
            <w:hideMark/>
          </w:tcPr>
          <w:p w14:paraId="4E85F44A" w14:textId="77777777" w:rsidR="00CF4005" w:rsidRDefault="00CF4005">
            <w:pPr>
              <w:keepNext/>
              <w:spacing w:before="80" w:after="80" w:line="256" w:lineRule="auto"/>
              <w:jc w:val="center"/>
              <w:rPr>
                <w:rFonts w:eastAsia="Calibri"/>
                <w:b/>
                <w:bCs/>
                <w:sz w:val="20"/>
              </w:rPr>
            </w:pPr>
            <w:r>
              <w:rPr>
                <w:rFonts w:eastAsia="Calibri"/>
                <w:b/>
                <w:bCs/>
                <w:sz w:val="20"/>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F9A908" w14:textId="77777777" w:rsidR="00CF4005" w:rsidRDefault="00CF4005">
            <w:pPr>
              <w:keepNext/>
              <w:spacing w:before="80" w:after="80" w:line="256" w:lineRule="auto"/>
              <w:jc w:val="center"/>
              <w:rPr>
                <w:rFonts w:eastAsia="Calibri"/>
                <w:b/>
                <w:bCs/>
                <w:sz w:val="20"/>
              </w:rPr>
            </w:pPr>
            <w:r>
              <w:rPr>
                <w:rFonts w:eastAsia="Calibri"/>
                <w:b/>
                <w:bCs/>
                <w:sz w:val="20"/>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D64BD6" w14:textId="77777777" w:rsidR="00CF4005" w:rsidRDefault="00CF4005">
            <w:pPr>
              <w:keepNext/>
              <w:spacing w:before="80" w:after="80" w:line="256" w:lineRule="auto"/>
              <w:jc w:val="center"/>
              <w:rPr>
                <w:rFonts w:eastAsia="Calibri"/>
                <w:b/>
                <w:bCs/>
                <w:sz w:val="20"/>
              </w:rPr>
            </w:pPr>
            <w:r>
              <w:rPr>
                <w:rFonts w:eastAsia="Calibri"/>
                <w:b/>
                <w:bCs/>
                <w:sz w:val="20"/>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27FF80" w14:textId="77777777" w:rsidR="00CF4005" w:rsidRDefault="00CF4005">
            <w:pPr>
              <w:keepNext/>
              <w:spacing w:before="80" w:after="80" w:line="256" w:lineRule="auto"/>
              <w:jc w:val="center"/>
              <w:rPr>
                <w:rFonts w:eastAsia="Calibri"/>
                <w:b/>
                <w:bCs/>
                <w:sz w:val="20"/>
              </w:rPr>
            </w:pPr>
            <w:r>
              <w:rPr>
                <w:rFonts w:eastAsia="Calibri"/>
                <w:b/>
                <w:bCs/>
                <w:sz w:val="20"/>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922A" w14:textId="77777777" w:rsidR="00CF4005" w:rsidRDefault="00CF4005">
            <w:pPr>
              <w:keepNext/>
              <w:spacing w:before="80" w:after="80" w:line="256" w:lineRule="auto"/>
              <w:jc w:val="center"/>
              <w:rPr>
                <w:rFonts w:eastAsia="Calibri"/>
                <w:b/>
                <w:bCs/>
                <w:sz w:val="20"/>
              </w:rPr>
            </w:pPr>
            <w:r>
              <w:rPr>
                <w:rFonts w:eastAsia="Calibri"/>
                <w:b/>
                <w:bCs/>
                <w:sz w:val="20"/>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D125BC" w14:textId="77777777" w:rsidR="00CF4005" w:rsidRDefault="00CF4005">
            <w:pPr>
              <w:keepNext/>
              <w:spacing w:before="80" w:after="80" w:line="256" w:lineRule="auto"/>
              <w:jc w:val="center"/>
              <w:rPr>
                <w:rFonts w:eastAsia="Calibri"/>
                <w:b/>
                <w:bCs/>
                <w:sz w:val="20"/>
              </w:rPr>
            </w:pPr>
            <w:r>
              <w:rPr>
                <w:rFonts w:eastAsia="Calibri"/>
                <w:b/>
                <w:bCs/>
                <w:sz w:val="20"/>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A153EC" w14:textId="77777777" w:rsidR="00CF4005" w:rsidRDefault="00CF4005">
            <w:pPr>
              <w:keepNext/>
              <w:spacing w:before="80" w:after="80" w:line="256" w:lineRule="auto"/>
              <w:jc w:val="center"/>
              <w:rPr>
                <w:rFonts w:eastAsia="Calibri"/>
                <w:b/>
                <w:bCs/>
                <w:sz w:val="20"/>
              </w:rPr>
            </w:pPr>
            <w:r>
              <w:rPr>
                <w:rFonts w:eastAsia="Calibri"/>
                <w:b/>
                <w:bCs/>
                <w:sz w:val="20"/>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1D482B" w14:textId="77777777" w:rsidR="00CF4005" w:rsidRDefault="00CF4005">
            <w:pPr>
              <w:keepNext/>
              <w:spacing w:before="80" w:after="80" w:line="256" w:lineRule="auto"/>
              <w:jc w:val="center"/>
              <w:rPr>
                <w:rFonts w:eastAsia="Calibri"/>
                <w:b/>
                <w:bCs/>
                <w:sz w:val="20"/>
              </w:rPr>
            </w:pPr>
            <w:r>
              <w:rPr>
                <w:rFonts w:eastAsia="Calibri"/>
                <w:b/>
                <w:bCs/>
                <w:sz w:val="20"/>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6685BF" w14:textId="77777777" w:rsidR="00CF4005" w:rsidRDefault="00CF4005">
            <w:pPr>
              <w:keepNext/>
              <w:spacing w:before="80" w:after="80" w:line="256" w:lineRule="auto"/>
              <w:jc w:val="center"/>
              <w:rPr>
                <w:rFonts w:eastAsia="Calibri"/>
                <w:b/>
                <w:bCs/>
                <w:sz w:val="20"/>
              </w:rPr>
            </w:pPr>
            <w:r>
              <w:rPr>
                <w:rFonts w:eastAsia="Calibri"/>
                <w:b/>
                <w:bCs/>
                <w:sz w:val="20"/>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925A7FB" w14:textId="77777777" w:rsidR="00CF4005" w:rsidRDefault="00CF4005">
            <w:pPr>
              <w:keepNext/>
              <w:spacing w:before="80" w:after="80" w:line="256" w:lineRule="auto"/>
              <w:jc w:val="center"/>
              <w:rPr>
                <w:rFonts w:eastAsia="Calibri"/>
                <w:b/>
                <w:bCs/>
                <w:sz w:val="20"/>
              </w:rPr>
            </w:pPr>
            <w:r>
              <w:rPr>
                <w:rFonts w:eastAsia="Calibri"/>
                <w:b/>
                <w:bCs/>
                <w:sz w:val="20"/>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4AA3FD8" w14:textId="77777777" w:rsidR="00CF4005" w:rsidRDefault="00CF4005">
            <w:pPr>
              <w:keepNext/>
              <w:spacing w:before="80" w:after="80" w:line="256" w:lineRule="auto"/>
              <w:jc w:val="center"/>
              <w:rPr>
                <w:rFonts w:eastAsia="Calibri"/>
                <w:b/>
                <w:bCs/>
                <w:sz w:val="20"/>
              </w:rPr>
            </w:pPr>
            <w:r>
              <w:rPr>
                <w:rFonts w:eastAsia="Calibri"/>
                <w:b/>
                <w:bCs/>
                <w:sz w:val="20"/>
              </w:rPr>
              <w:t>2017</w:t>
            </w:r>
          </w:p>
        </w:tc>
        <w:tc>
          <w:tcPr>
            <w:tcW w:w="498" w:type="dxa"/>
            <w:tcBorders>
              <w:top w:val="single" w:sz="12" w:space="0" w:color="auto"/>
              <w:left w:val="nil"/>
              <w:bottom w:val="single" w:sz="12" w:space="0" w:color="auto"/>
              <w:right w:val="single" w:sz="12" w:space="0" w:color="auto"/>
            </w:tcBorders>
            <w:hideMark/>
          </w:tcPr>
          <w:p w14:paraId="72601E61" w14:textId="77777777" w:rsidR="00CF4005" w:rsidRDefault="00CF4005">
            <w:pPr>
              <w:keepNext/>
              <w:spacing w:before="80" w:after="80" w:line="256" w:lineRule="auto"/>
              <w:jc w:val="center"/>
              <w:rPr>
                <w:rFonts w:eastAsia="Calibri"/>
                <w:b/>
                <w:bCs/>
                <w:sz w:val="20"/>
              </w:rPr>
            </w:pPr>
            <w:r>
              <w:rPr>
                <w:rFonts w:eastAsia="Calibri"/>
                <w:b/>
                <w:bCs/>
                <w:sz w:val="20"/>
              </w:rPr>
              <w:t>2018</w:t>
            </w:r>
          </w:p>
        </w:tc>
        <w:tc>
          <w:tcPr>
            <w:tcW w:w="597" w:type="dxa"/>
            <w:tcBorders>
              <w:top w:val="single" w:sz="12" w:space="0" w:color="auto"/>
              <w:left w:val="nil"/>
              <w:bottom w:val="single" w:sz="12" w:space="0" w:color="auto"/>
              <w:right w:val="single" w:sz="12" w:space="0" w:color="auto"/>
            </w:tcBorders>
            <w:hideMark/>
          </w:tcPr>
          <w:p w14:paraId="6C7A5211" w14:textId="77777777" w:rsidR="00CF4005" w:rsidRDefault="00CF4005">
            <w:pPr>
              <w:keepNext/>
              <w:spacing w:before="80" w:after="80" w:line="256" w:lineRule="auto"/>
              <w:jc w:val="center"/>
              <w:rPr>
                <w:rFonts w:eastAsia="Calibri"/>
                <w:b/>
                <w:bCs/>
                <w:sz w:val="20"/>
              </w:rPr>
            </w:pPr>
            <w:r>
              <w:rPr>
                <w:rFonts w:eastAsia="Calibri"/>
                <w:b/>
                <w:bCs/>
                <w:sz w:val="20"/>
              </w:rPr>
              <w:t>2019</w:t>
            </w:r>
          </w:p>
        </w:tc>
      </w:tr>
      <w:tr w:rsidR="00CF4005" w14:paraId="25B98100"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BC3466" w14:textId="77777777" w:rsidR="00CF4005" w:rsidRDefault="00CF4005">
            <w:pPr>
              <w:spacing w:before="40" w:after="40" w:line="256" w:lineRule="auto"/>
              <w:rPr>
                <w:rFonts w:eastAsia="Calibri"/>
                <w:sz w:val="20"/>
              </w:rPr>
            </w:pPr>
            <w:r>
              <w:rPr>
                <w:rFonts w:eastAsia="Calibri"/>
                <w:sz w:val="20"/>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3332B16" w14:textId="77777777" w:rsidR="00CF4005" w:rsidRDefault="00CF4005">
            <w:pPr>
              <w:spacing w:before="40" w:after="40" w:line="256" w:lineRule="auto"/>
              <w:jc w:val="center"/>
              <w:rPr>
                <w:rFonts w:eastAsia="Calibri"/>
                <w:sz w:val="20"/>
              </w:rPr>
            </w:pPr>
            <w:r>
              <w:rPr>
                <w:rFonts w:eastAsia="Calibri"/>
                <w:sz w:val="20"/>
              </w:rPr>
              <w:t>344</w:t>
            </w:r>
          </w:p>
        </w:tc>
        <w:tc>
          <w:tcPr>
            <w:tcW w:w="516" w:type="dxa"/>
            <w:tcBorders>
              <w:top w:val="nil"/>
              <w:left w:val="nil"/>
              <w:bottom w:val="single" w:sz="8" w:space="0" w:color="auto"/>
              <w:right w:val="single" w:sz="8" w:space="0" w:color="auto"/>
            </w:tcBorders>
            <w:hideMark/>
          </w:tcPr>
          <w:p w14:paraId="7D08B265" w14:textId="77777777" w:rsidR="00CF4005" w:rsidRDefault="00CF4005">
            <w:pPr>
              <w:spacing w:before="40" w:after="40" w:line="256" w:lineRule="auto"/>
              <w:jc w:val="center"/>
              <w:rPr>
                <w:rFonts w:eastAsia="Calibri"/>
                <w:sz w:val="20"/>
              </w:rPr>
            </w:pPr>
            <w:r>
              <w:rPr>
                <w:rFonts w:eastAsia="Calibri"/>
                <w:sz w:val="20"/>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51B0D0DD" w14:textId="77777777" w:rsidR="00CF4005" w:rsidRDefault="00CF4005">
            <w:pPr>
              <w:spacing w:before="40" w:after="40" w:line="256" w:lineRule="auto"/>
              <w:jc w:val="center"/>
              <w:rPr>
                <w:rFonts w:eastAsia="Calibri"/>
                <w:sz w:val="20"/>
              </w:rPr>
            </w:pPr>
            <w:r>
              <w:rPr>
                <w:rFonts w:eastAsia="Calibri"/>
                <w:sz w:val="20"/>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7499803" w14:textId="77777777" w:rsidR="00CF4005" w:rsidRDefault="00CF4005">
            <w:pPr>
              <w:spacing w:before="40" w:after="40" w:line="256" w:lineRule="auto"/>
              <w:jc w:val="center"/>
              <w:rPr>
                <w:rFonts w:eastAsia="Calibri"/>
                <w:sz w:val="20"/>
              </w:rPr>
            </w:pPr>
            <w:r>
              <w:rPr>
                <w:rFonts w:eastAsia="Calibri"/>
                <w:sz w:val="20"/>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D5969E2" w14:textId="77777777" w:rsidR="00CF4005" w:rsidRDefault="00CF4005">
            <w:pPr>
              <w:spacing w:before="40" w:after="40" w:line="256" w:lineRule="auto"/>
              <w:jc w:val="center"/>
              <w:rPr>
                <w:rFonts w:eastAsia="Calibri"/>
                <w:sz w:val="20"/>
              </w:rPr>
            </w:pPr>
            <w:r>
              <w:rPr>
                <w:rFonts w:eastAsia="Calibri"/>
                <w:sz w:val="20"/>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3FBED1" w14:textId="77777777" w:rsidR="00CF4005" w:rsidRDefault="00CF4005">
            <w:pPr>
              <w:spacing w:before="40" w:after="40" w:line="256" w:lineRule="auto"/>
              <w:jc w:val="center"/>
              <w:rPr>
                <w:rFonts w:eastAsia="Calibri"/>
                <w:sz w:val="20"/>
              </w:rPr>
            </w:pPr>
            <w:r>
              <w:rPr>
                <w:rFonts w:eastAsia="Calibri"/>
                <w:sz w:val="20"/>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884F36" w14:textId="77777777" w:rsidR="00CF4005" w:rsidRDefault="00CF4005">
            <w:pPr>
              <w:spacing w:before="40" w:after="40" w:line="256" w:lineRule="auto"/>
              <w:jc w:val="center"/>
              <w:rPr>
                <w:rFonts w:eastAsia="Calibri"/>
                <w:sz w:val="20"/>
              </w:rPr>
            </w:pPr>
            <w:r>
              <w:rPr>
                <w:rFonts w:eastAsia="Calibri"/>
                <w:sz w:val="20"/>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A53AB0D" w14:textId="77777777" w:rsidR="00CF4005" w:rsidRDefault="00CF4005">
            <w:pPr>
              <w:spacing w:before="40" w:after="40" w:line="256" w:lineRule="auto"/>
              <w:jc w:val="center"/>
              <w:rPr>
                <w:rFonts w:eastAsia="Calibri"/>
                <w:sz w:val="20"/>
              </w:rPr>
            </w:pPr>
            <w:r>
              <w:rPr>
                <w:rFonts w:eastAsia="Calibri"/>
                <w:sz w:val="20"/>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6D5E2CC" w14:textId="77777777" w:rsidR="00CF4005" w:rsidRDefault="00CF4005">
            <w:pPr>
              <w:spacing w:before="40" w:after="40" w:line="256" w:lineRule="auto"/>
              <w:jc w:val="center"/>
              <w:rPr>
                <w:rFonts w:eastAsia="Calibri"/>
                <w:sz w:val="20"/>
              </w:rPr>
            </w:pPr>
            <w:r>
              <w:rPr>
                <w:rFonts w:eastAsia="Calibri"/>
                <w:sz w:val="20"/>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66A741E" w14:textId="77777777" w:rsidR="00CF4005" w:rsidRDefault="00CF4005">
            <w:pPr>
              <w:spacing w:before="40" w:after="40" w:line="256" w:lineRule="auto"/>
              <w:jc w:val="center"/>
              <w:rPr>
                <w:rFonts w:eastAsia="Calibri"/>
                <w:sz w:val="20"/>
              </w:rPr>
            </w:pPr>
            <w:r>
              <w:rPr>
                <w:rFonts w:eastAsia="Calibri"/>
                <w:sz w:val="20"/>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CF56BBA" w14:textId="77777777" w:rsidR="00CF4005" w:rsidRDefault="00CF4005">
            <w:pPr>
              <w:spacing w:before="40" w:after="40" w:line="256" w:lineRule="auto"/>
              <w:jc w:val="center"/>
              <w:rPr>
                <w:rFonts w:eastAsia="Calibri"/>
                <w:sz w:val="20"/>
              </w:rPr>
            </w:pPr>
            <w:r>
              <w:rPr>
                <w:rFonts w:eastAsia="Calibri"/>
                <w:sz w:val="20"/>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E32ADB0" w14:textId="77777777" w:rsidR="00CF4005" w:rsidRDefault="00CF4005">
            <w:pPr>
              <w:spacing w:before="40" w:after="40" w:line="256" w:lineRule="auto"/>
              <w:rPr>
                <w:rFonts w:eastAsia="Calibri"/>
                <w:sz w:val="20"/>
              </w:rPr>
            </w:pPr>
            <w:r>
              <w:rPr>
                <w:rFonts w:eastAsia="Calibri"/>
                <w:sz w:val="20"/>
              </w:rPr>
              <w:t>258</w:t>
            </w:r>
          </w:p>
        </w:tc>
        <w:tc>
          <w:tcPr>
            <w:tcW w:w="498" w:type="dxa"/>
            <w:tcBorders>
              <w:top w:val="nil"/>
              <w:left w:val="nil"/>
              <w:bottom w:val="single" w:sz="8" w:space="0" w:color="auto"/>
              <w:right w:val="single" w:sz="12" w:space="0" w:color="auto"/>
            </w:tcBorders>
            <w:hideMark/>
          </w:tcPr>
          <w:p w14:paraId="293E212A" w14:textId="77777777" w:rsidR="00CF4005" w:rsidRDefault="00CF4005">
            <w:pPr>
              <w:spacing w:before="40" w:after="40" w:line="256" w:lineRule="auto"/>
              <w:rPr>
                <w:rFonts w:eastAsia="Calibri"/>
                <w:sz w:val="20"/>
              </w:rPr>
            </w:pPr>
            <w:r>
              <w:rPr>
                <w:rFonts w:eastAsia="Calibri"/>
                <w:sz w:val="20"/>
              </w:rPr>
              <w:t xml:space="preserve">  261</w:t>
            </w:r>
          </w:p>
        </w:tc>
        <w:tc>
          <w:tcPr>
            <w:tcW w:w="597" w:type="dxa"/>
            <w:tcBorders>
              <w:top w:val="nil"/>
              <w:left w:val="nil"/>
              <w:bottom w:val="single" w:sz="8" w:space="0" w:color="auto"/>
              <w:right w:val="single" w:sz="12" w:space="0" w:color="auto"/>
            </w:tcBorders>
            <w:hideMark/>
          </w:tcPr>
          <w:p w14:paraId="4F8B1535" w14:textId="77777777" w:rsidR="00CF4005" w:rsidRDefault="00CF4005">
            <w:pPr>
              <w:spacing w:before="40" w:after="40" w:line="256" w:lineRule="auto"/>
              <w:jc w:val="center"/>
              <w:rPr>
                <w:rFonts w:eastAsia="Calibri"/>
                <w:sz w:val="20"/>
              </w:rPr>
            </w:pPr>
            <w:r>
              <w:rPr>
                <w:rFonts w:eastAsia="Calibri"/>
                <w:sz w:val="20"/>
              </w:rPr>
              <w:t>267</w:t>
            </w:r>
          </w:p>
        </w:tc>
      </w:tr>
      <w:tr w:rsidR="00CF4005" w14:paraId="33AF6258"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896A24F" w14:textId="77777777" w:rsidR="00CF4005" w:rsidRDefault="00CF4005">
            <w:pPr>
              <w:spacing w:before="40" w:after="40" w:line="256" w:lineRule="auto"/>
              <w:rPr>
                <w:rFonts w:eastAsia="Calibri"/>
                <w:sz w:val="20"/>
              </w:rPr>
            </w:pPr>
            <w:r>
              <w:rPr>
                <w:rFonts w:eastAsia="Calibri"/>
                <w:sz w:val="20"/>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5DD8B37" w14:textId="77777777" w:rsidR="00CF4005" w:rsidRDefault="00CF4005">
            <w:pPr>
              <w:spacing w:before="40" w:after="40" w:line="256" w:lineRule="auto"/>
              <w:jc w:val="center"/>
              <w:rPr>
                <w:rFonts w:eastAsia="Calibri"/>
                <w:sz w:val="20"/>
              </w:rPr>
            </w:pPr>
            <w:r>
              <w:rPr>
                <w:rFonts w:eastAsia="Calibri"/>
                <w:sz w:val="20"/>
              </w:rPr>
              <w:t>112</w:t>
            </w:r>
          </w:p>
        </w:tc>
        <w:tc>
          <w:tcPr>
            <w:tcW w:w="516" w:type="dxa"/>
            <w:tcBorders>
              <w:top w:val="nil"/>
              <w:left w:val="nil"/>
              <w:bottom w:val="single" w:sz="8" w:space="0" w:color="auto"/>
              <w:right w:val="single" w:sz="8" w:space="0" w:color="auto"/>
            </w:tcBorders>
            <w:hideMark/>
          </w:tcPr>
          <w:p w14:paraId="3F3280A4" w14:textId="77777777" w:rsidR="00CF4005" w:rsidRDefault="00CF4005">
            <w:pPr>
              <w:spacing w:before="40" w:after="40" w:line="256" w:lineRule="auto"/>
              <w:jc w:val="center"/>
              <w:rPr>
                <w:rFonts w:eastAsia="Calibri"/>
                <w:sz w:val="20"/>
              </w:rPr>
            </w:pPr>
            <w:r>
              <w:rPr>
                <w:rFonts w:eastAsia="Calibri"/>
                <w:sz w:val="20"/>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F7DEE3F"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D29921E" w14:textId="77777777" w:rsidR="00CF4005" w:rsidRDefault="00CF4005">
            <w:pPr>
              <w:spacing w:before="40" w:after="40" w:line="256" w:lineRule="auto"/>
              <w:jc w:val="center"/>
              <w:rPr>
                <w:rFonts w:eastAsia="Calibri"/>
                <w:sz w:val="20"/>
              </w:rPr>
            </w:pPr>
            <w:r>
              <w:rPr>
                <w:rFonts w:eastAsia="Calibri"/>
                <w:sz w:val="20"/>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D781AE" w14:textId="77777777" w:rsidR="00CF4005" w:rsidRDefault="00CF4005">
            <w:pPr>
              <w:spacing w:before="40" w:after="40" w:line="256" w:lineRule="auto"/>
              <w:jc w:val="center"/>
              <w:rPr>
                <w:rFonts w:eastAsia="Calibri"/>
                <w:sz w:val="20"/>
              </w:rPr>
            </w:pPr>
            <w:r>
              <w:rPr>
                <w:rFonts w:eastAsia="Calibri"/>
                <w:sz w:val="20"/>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C96E8EB" w14:textId="77777777" w:rsidR="00CF4005" w:rsidRDefault="00CF4005">
            <w:pPr>
              <w:spacing w:before="40" w:after="40" w:line="256" w:lineRule="auto"/>
              <w:jc w:val="center"/>
              <w:rPr>
                <w:rFonts w:eastAsia="Calibri"/>
                <w:sz w:val="20"/>
              </w:rPr>
            </w:pPr>
            <w:r>
              <w:rPr>
                <w:rFonts w:eastAsia="Calibri"/>
                <w:sz w:val="20"/>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4727130" w14:textId="77777777" w:rsidR="00CF4005" w:rsidRDefault="00CF4005">
            <w:pPr>
              <w:spacing w:before="40" w:after="40" w:line="256" w:lineRule="auto"/>
              <w:jc w:val="center"/>
              <w:rPr>
                <w:rFonts w:eastAsia="Calibri"/>
                <w:sz w:val="20"/>
              </w:rPr>
            </w:pPr>
            <w:r>
              <w:rPr>
                <w:rFonts w:eastAsia="Calibri"/>
                <w:sz w:val="20"/>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56D14E7" w14:textId="77777777" w:rsidR="00CF4005" w:rsidRDefault="00CF4005">
            <w:pPr>
              <w:spacing w:before="40" w:after="40" w:line="256" w:lineRule="auto"/>
              <w:jc w:val="center"/>
              <w:rPr>
                <w:rFonts w:eastAsia="Calibri"/>
                <w:sz w:val="20"/>
              </w:rPr>
            </w:pPr>
            <w:r>
              <w:rPr>
                <w:rFonts w:eastAsia="Calibri"/>
                <w:sz w:val="20"/>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4C7D349"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1016A8B"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6113DC" w14:textId="77777777" w:rsidR="00CF4005" w:rsidRDefault="00CF4005">
            <w:pPr>
              <w:spacing w:before="40" w:after="40" w:line="256" w:lineRule="auto"/>
              <w:jc w:val="center"/>
              <w:rPr>
                <w:rFonts w:eastAsia="Calibri"/>
                <w:sz w:val="20"/>
              </w:rPr>
            </w:pPr>
            <w:r>
              <w:rPr>
                <w:rFonts w:eastAsia="Calibri"/>
                <w:sz w:val="20"/>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D43D60E" w14:textId="77777777" w:rsidR="00CF4005" w:rsidRDefault="00CF4005">
            <w:pPr>
              <w:spacing w:before="40" w:after="40" w:line="256" w:lineRule="auto"/>
              <w:jc w:val="center"/>
              <w:rPr>
                <w:rFonts w:eastAsia="Calibri"/>
                <w:sz w:val="20"/>
              </w:rPr>
            </w:pPr>
            <w:r>
              <w:rPr>
                <w:rFonts w:eastAsia="Calibri"/>
                <w:sz w:val="20"/>
              </w:rPr>
              <w:t>139</w:t>
            </w:r>
          </w:p>
        </w:tc>
        <w:tc>
          <w:tcPr>
            <w:tcW w:w="498" w:type="dxa"/>
            <w:tcBorders>
              <w:top w:val="nil"/>
              <w:left w:val="nil"/>
              <w:bottom w:val="single" w:sz="8" w:space="0" w:color="auto"/>
              <w:right w:val="single" w:sz="12" w:space="0" w:color="auto"/>
            </w:tcBorders>
            <w:hideMark/>
          </w:tcPr>
          <w:p w14:paraId="5E77D018" w14:textId="77777777" w:rsidR="00CF4005" w:rsidRDefault="00CF4005">
            <w:pPr>
              <w:spacing w:before="40" w:after="40" w:line="256" w:lineRule="auto"/>
              <w:rPr>
                <w:rFonts w:eastAsia="Calibri"/>
                <w:sz w:val="20"/>
              </w:rPr>
            </w:pPr>
            <w:r>
              <w:rPr>
                <w:rFonts w:eastAsia="Calibri"/>
                <w:sz w:val="20"/>
              </w:rPr>
              <w:t xml:space="preserve">  162</w:t>
            </w:r>
          </w:p>
        </w:tc>
        <w:tc>
          <w:tcPr>
            <w:tcW w:w="597" w:type="dxa"/>
            <w:tcBorders>
              <w:top w:val="nil"/>
              <w:left w:val="nil"/>
              <w:bottom w:val="single" w:sz="8" w:space="0" w:color="auto"/>
              <w:right w:val="single" w:sz="12" w:space="0" w:color="auto"/>
            </w:tcBorders>
            <w:hideMark/>
          </w:tcPr>
          <w:p w14:paraId="3577100C" w14:textId="77777777" w:rsidR="00CF4005" w:rsidRDefault="00CF4005">
            <w:pPr>
              <w:spacing w:before="40" w:after="40" w:line="256" w:lineRule="auto"/>
              <w:jc w:val="center"/>
              <w:rPr>
                <w:rFonts w:eastAsia="Calibri"/>
                <w:sz w:val="20"/>
              </w:rPr>
            </w:pPr>
            <w:r>
              <w:rPr>
                <w:rFonts w:eastAsia="Calibri"/>
                <w:sz w:val="20"/>
              </w:rPr>
              <w:t>178</w:t>
            </w:r>
          </w:p>
        </w:tc>
      </w:tr>
      <w:tr w:rsidR="00CF4005" w14:paraId="0669751E"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5C9678" w14:textId="77777777" w:rsidR="00CF4005" w:rsidRDefault="00CF4005">
            <w:pPr>
              <w:spacing w:before="40" w:after="40" w:line="256" w:lineRule="auto"/>
              <w:rPr>
                <w:rFonts w:eastAsia="Calibri"/>
                <w:sz w:val="20"/>
              </w:rPr>
            </w:pPr>
            <w:r>
              <w:rPr>
                <w:rFonts w:eastAsia="Calibri"/>
                <w:sz w:val="20"/>
              </w:rPr>
              <w:lastRenderedPageBreak/>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0564E3" w14:textId="77777777" w:rsidR="00CF4005" w:rsidRDefault="00CF4005">
            <w:pPr>
              <w:spacing w:before="40" w:after="40" w:line="256" w:lineRule="auto"/>
              <w:jc w:val="center"/>
              <w:rPr>
                <w:rFonts w:eastAsia="Calibri"/>
                <w:sz w:val="20"/>
              </w:rPr>
            </w:pPr>
            <w:r>
              <w:rPr>
                <w:rFonts w:eastAsia="Calibri"/>
                <w:sz w:val="20"/>
              </w:rPr>
              <w:noBreakHyphen/>
            </w:r>
          </w:p>
        </w:tc>
        <w:tc>
          <w:tcPr>
            <w:tcW w:w="516" w:type="dxa"/>
            <w:tcBorders>
              <w:top w:val="nil"/>
              <w:left w:val="nil"/>
              <w:bottom w:val="single" w:sz="8" w:space="0" w:color="auto"/>
              <w:right w:val="single" w:sz="8" w:space="0" w:color="auto"/>
            </w:tcBorders>
            <w:hideMark/>
          </w:tcPr>
          <w:p w14:paraId="52FC5CDD" w14:textId="77777777" w:rsidR="00CF4005" w:rsidRDefault="00CF4005">
            <w:pPr>
              <w:spacing w:before="40" w:after="40" w:line="256" w:lineRule="auto"/>
              <w:jc w:val="center"/>
              <w:rPr>
                <w:rFonts w:eastAsia="Calibri"/>
                <w:sz w:val="20"/>
              </w:rPr>
            </w:pPr>
            <w:r>
              <w:rPr>
                <w:rFonts w:eastAsia="Calibri"/>
                <w:sz w:val="20"/>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368362A0"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96B73E2"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49842F"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160EC2B" w14:textId="77777777" w:rsidR="00CF4005" w:rsidRDefault="00CF4005">
            <w:pPr>
              <w:spacing w:before="40" w:after="40" w:line="256" w:lineRule="auto"/>
              <w:jc w:val="center"/>
              <w:rPr>
                <w:rFonts w:eastAsia="Calibri"/>
                <w:sz w:val="20"/>
              </w:rPr>
            </w:pPr>
            <w:r>
              <w:rPr>
                <w:rFonts w:eastAsia="Calibri"/>
                <w:sz w:val="20"/>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E511972" w14:textId="77777777" w:rsidR="00CF4005" w:rsidRDefault="00CF4005">
            <w:pPr>
              <w:spacing w:before="40" w:after="40" w:line="256" w:lineRule="auto"/>
              <w:jc w:val="center"/>
              <w:rPr>
                <w:rFonts w:eastAsia="Calibri"/>
                <w:sz w:val="20"/>
              </w:rPr>
            </w:pPr>
            <w:r>
              <w:rPr>
                <w:rFonts w:eastAsia="Calibri"/>
                <w:sz w:val="20"/>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849EC80" w14:textId="77777777" w:rsidR="00CF4005" w:rsidRDefault="00CF4005">
            <w:pPr>
              <w:spacing w:before="40" w:after="40" w:line="256" w:lineRule="auto"/>
              <w:jc w:val="center"/>
              <w:rPr>
                <w:rFonts w:eastAsia="Calibri"/>
                <w:sz w:val="20"/>
              </w:rPr>
            </w:pPr>
            <w:r>
              <w:rPr>
                <w:rFonts w:eastAsia="Calibri"/>
                <w:sz w:val="20"/>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702CC49" w14:textId="77777777" w:rsidR="00CF4005" w:rsidRDefault="00CF4005">
            <w:pPr>
              <w:spacing w:before="40" w:after="40" w:line="256" w:lineRule="auto"/>
              <w:jc w:val="center"/>
              <w:rPr>
                <w:rFonts w:eastAsia="Calibri"/>
                <w:sz w:val="20"/>
              </w:rPr>
            </w:pPr>
            <w:r>
              <w:rPr>
                <w:rFonts w:eastAsia="Calibri"/>
                <w:sz w:val="20"/>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163C192" w14:textId="77777777" w:rsidR="00CF4005" w:rsidRDefault="00CF4005">
            <w:pPr>
              <w:spacing w:before="40" w:after="40" w:line="256" w:lineRule="auto"/>
              <w:jc w:val="center"/>
              <w:rPr>
                <w:rFonts w:eastAsia="Calibri"/>
                <w:sz w:val="20"/>
              </w:rPr>
            </w:pPr>
            <w:r>
              <w:rPr>
                <w:rFonts w:eastAsia="Calibri"/>
                <w:sz w:val="20"/>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B05C897" w14:textId="77777777" w:rsidR="00CF4005" w:rsidRDefault="00CF4005">
            <w:pPr>
              <w:spacing w:before="40" w:after="40" w:line="256" w:lineRule="auto"/>
              <w:jc w:val="center"/>
              <w:rPr>
                <w:rFonts w:eastAsia="Calibri"/>
                <w:sz w:val="20"/>
              </w:rPr>
            </w:pPr>
            <w:r>
              <w:rPr>
                <w:rFonts w:eastAsia="Calibri"/>
                <w:sz w:val="20"/>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07ED3ECC" w14:textId="77777777" w:rsidR="00CF4005" w:rsidRDefault="00CF4005">
            <w:pPr>
              <w:spacing w:before="40" w:after="40" w:line="256" w:lineRule="auto"/>
              <w:jc w:val="center"/>
              <w:rPr>
                <w:rFonts w:eastAsia="Calibri"/>
                <w:sz w:val="20"/>
              </w:rPr>
            </w:pPr>
            <w:r>
              <w:rPr>
                <w:rFonts w:eastAsia="Calibri"/>
                <w:sz w:val="20"/>
              </w:rPr>
              <w:t>125</w:t>
            </w:r>
          </w:p>
        </w:tc>
        <w:tc>
          <w:tcPr>
            <w:tcW w:w="498" w:type="dxa"/>
            <w:tcBorders>
              <w:top w:val="nil"/>
              <w:left w:val="nil"/>
              <w:bottom w:val="single" w:sz="8" w:space="0" w:color="auto"/>
              <w:right w:val="single" w:sz="12" w:space="0" w:color="auto"/>
            </w:tcBorders>
            <w:hideMark/>
          </w:tcPr>
          <w:p w14:paraId="338EC7D7" w14:textId="77777777" w:rsidR="00CF4005" w:rsidRDefault="00CF4005">
            <w:pPr>
              <w:spacing w:before="40" w:after="40" w:line="256" w:lineRule="auto"/>
              <w:jc w:val="center"/>
              <w:rPr>
                <w:rFonts w:eastAsia="Calibri"/>
                <w:sz w:val="20"/>
              </w:rPr>
            </w:pPr>
            <w:r>
              <w:rPr>
                <w:rFonts w:eastAsia="Calibri"/>
                <w:sz w:val="20"/>
              </w:rPr>
              <w:t>155</w:t>
            </w:r>
          </w:p>
        </w:tc>
        <w:tc>
          <w:tcPr>
            <w:tcW w:w="597" w:type="dxa"/>
            <w:tcBorders>
              <w:top w:val="nil"/>
              <w:left w:val="nil"/>
              <w:bottom w:val="single" w:sz="8" w:space="0" w:color="auto"/>
              <w:right w:val="single" w:sz="12" w:space="0" w:color="auto"/>
            </w:tcBorders>
            <w:hideMark/>
          </w:tcPr>
          <w:p w14:paraId="079551A2" w14:textId="77777777" w:rsidR="00CF4005" w:rsidRDefault="00CF4005">
            <w:pPr>
              <w:spacing w:before="40" w:after="40" w:line="256" w:lineRule="auto"/>
              <w:jc w:val="center"/>
              <w:rPr>
                <w:rFonts w:eastAsia="Calibri"/>
                <w:sz w:val="20"/>
              </w:rPr>
            </w:pPr>
            <w:r>
              <w:rPr>
                <w:rFonts w:eastAsia="Calibri"/>
                <w:sz w:val="20"/>
              </w:rPr>
              <w:t>159</w:t>
            </w:r>
          </w:p>
        </w:tc>
      </w:tr>
      <w:tr w:rsidR="00CF4005" w14:paraId="63583101" w14:textId="77777777" w:rsidTr="00CF4005">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6BEBB65" w14:textId="77777777" w:rsidR="00CF4005" w:rsidRDefault="00CF4005">
            <w:pPr>
              <w:spacing w:before="40" w:after="40" w:line="256" w:lineRule="auto"/>
              <w:rPr>
                <w:rFonts w:eastAsia="Calibri"/>
                <w:sz w:val="20"/>
              </w:rPr>
            </w:pPr>
            <w:r>
              <w:rPr>
                <w:rFonts w:eastAsia="Calibri"/>
                <w:sz w:val="20"/>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2E27CDB6" w14:textId="77777777" w:rsidR="00CF4005" w:rsidRDefault="00CF4005">
            <w:pPr>
              <w:spacing w:before="40" w:after="40" w:line="256" w:lineRule="auto"/>
              <w:jc w:val="center"/>
              <w:rPr>
                <w:rFonts w:eastAsia="Calibri"/>
                <w:sz w:val="20"/>
              </w:rPr>
            </w:pPr>
            <w:r>
              <w:rPr>
                <w:rFonts w:eastAsia="Calibri"/>
                <w:sz w:val="20"/>
              </w:rPr>
              <w:t>456</w:t>
            </w:r>
          </w:p>
        </w:tc>
        <w:tc>
          <w:tcPr>
            <w:tcW w:w="516" w:type="dxa"/>
            <w:tcBorders>
              <w:top w:val="nil"/>
              <w:left w:val="nil"/>
              <w:bottom w:val="single" w:sz="12" w:space="0" w:color="auto"/>
              <w:right w:val="single" w:sz="8" w:space="0" w:color="auto"/>
            </w:tcBorders>
            <w:hideMark/>
          </w:tcPr>
          <w:p w14:paraId="480B858D" w14:textId="77777777" w:rsidR="00CF4005" w:rsidRDefault="00CF4005">
            <w:pPr>
              <w:spacing w:before="40" w:after="40" w:line="256" w:lineRule="auto"/>
              <w:jc w:val="center"/>
              <w:rPr>
                <w:rFonts w:eastAsia="Calibri"/>
                <w:sz w:val="20"/>
              </w:rPr>
            </w:pPr>
            <w:r>
              <w:rPr>
                <w:rFonts w:eastAsia="Calibri"/>
                <w:sz w:val="20"/>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7D0F422B" w14:textId="77777777" w:rsidR="00CF4005" w:rsidRDefault="00CF4005">
            <w:pPr>
              <w:spacing w:before="40" w:after="40" w:line="256" w:lineRule="auto"/>
              <w:jc w:val="center"/>
              <w:rPr>
                <w:rFonts w:eastAsia="Calibri"/>
                <w:sz w:val="20"/>
              </w:rPr>
            </w:pPr>
            <w:r>
              <w:rPr>
                <w:rFonts w:eastAsia="Calibri"/>
                <w:sz w:val="20"/>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D6A648E" w14:textId="77777777" w:rsidR="00CF4005" w:rsidRDefault="00CF4005">
            <w:pPr>
              <w:spacing w:before="40" w:after="40" w:line="256" w:lineRule="auto"/>
              <w:jc w:val="center"/>
              <w:rPr>
                <w:rFonts w:eastAsia="Calibri"/>
                <w:sz w:val="20"/>
              </w:rPr>
            </w:pPr>
            <w:r>
              <w:rPr>
                <w:rFonts w:eastAsia="Calibri"/>
                <w:sz w:val="20"/>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5A07C06" w14:textId="77777777" w:rsidR="00CF4005" w:rsidRDefault="00CF4005">
            <w:pPr>
              <w:spacing w:before="40" w:after="40" w:line="256" w:lineRule="auto"/>
              <w:jc w:val="center"/>
              <w:rPr>
                <w:rFonts w:eastAsia="Calibri"/>
                <w:sz w:val="20"/>
              </w:rPr>
            </w:pPr>
            <w:r>
              <w:rPr>
                <w:rFonts w:eastAsia="Calibri"/>
                <w:sz w:val="20"/>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8C29CE3" w14:textId="77777777" w:rsidR="00CF4005" w:rsidRDefault="00CF4005">
            <w:pPr>
              <w:spacing w:before="40" w:after="40" w:line="256" w:lineRule="auto"/>
              <w:jc w:val="center"/>
              <w:rPr>
                <w:rFonts w:eastAsia="Calibri"/>
                <w:sz w:val="20"/>
              </w:rPr>
            </w:pPr>
            <w:r>
              <w:rPr>
                <w:rFonts w:eastAsia="Calibri"/>
                <w:sz w:val="20"/>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D099ED5" w14:textId="77777777" w:rsidR="00CF4005" w:rsidRDefault="00CF4005">
            <w:pPr>
              <w:spacing w:before="40" w:after="40" w:line="256" w:lineRule="auto"/>
              <w:jc w:val="center"/>
              <w:rPr>
                <w:rFonts w:eastAsia="Calibri"/>
                <w:sz w:val="20"/>
              </w:rPr>
            </w:pPr>
            <w:r>
              <w:rPr>
                <w:rFonts w:eastAsia="Calibri"/>
                <w:sz w:val="20"/>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51F40A5" w14:textId="77777777" w:rsidR="00CF4005" w:rsidRDefault="00CF4005">
            <w:pPr>
              <w:spacing w:before="40" w:after="40" w:line="256" w:lineRule="auto"/>
              <w:jc w:val="center"/>
              <w:rPr>
                <w:rFonts w:eastAsia="Calibri"/>
                <w:sz w:val="20"/>
              </w:rPr>
            </w:pPr>
            <w:r>
              <w:rPr>
                <w:rFonts w:eastAsia="Calibri"/>
                <w:sz w:val="20"/>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AFFF008" w14:textId="77777777" w:rsidR="00CF4005" w:rsidRDefault="00CF4005">
            <w:pPr>
              <w:spacing w:before="40" w:after="40" w:line="256" w:lineRule="auto"/>
              <w:jc w:val="center"/>
              <w:rPr>
                <w:rFonts w:eastAsia="Calibri"/>
                <w:sz w:val="20"/>
              </w:rPr>
            </w:pPr>
            <w:r>
              <w:rPr>
                <w:rFonts w:eastAsia="Calibri"/>
                <w:sz w:val="20"/>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37A82093" w14:textId="77777777" w:rsidR="00CF4005" w:rsidRDefault="00CF4005">
            <w:pPr>
              <w:spacing w:before="40" w:after="40" w:line="256" w:lineRule="auto"/>
              <w:jc w:val="center"/>
              <w:rPr>
                <w:rFonts w:eastAsia="Calibri"/>
                <w:sz w:val="20"/>
              </w:rPr>
            </w:pPr>
            <w:r>
              <w:rPr>
                <w:rFonts w:eastAsia="Calibri"/>
                <w:sz w:val="20"/>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7F66DAF" w14:textId="77777777" w:rsidR="00CF4005" w:rsidRDefault="00CF4005">
            <w:pPr>
              <w:spacing w:before="40" w:after="40" w:line="256" w:lineRule="auto"/>
              <w:rPr>
                <w:rFonts w:eastAsia="Calibri"/>
                <w:sz w:val="20"/>
              </w:rPr>
            </w:pPr>
            <w:r>
              <w:rPr>
                <w:rFonts w:eastAsia="Calibri"/>
                <w:sz w:val="20"/>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53DABAF3" w14:textId="77777777" w:rsidR="00CF4005" w:rsidRDefault="00CF4005">
            <w:pPr>
              <w:spacing w:before="40" w:after="40" w:line="256" w:lineRule="auto"/>
              <w:jc w:val="center"/>
              <w:rPr>
                <w:rFonts w:eastAsia="Calibri"/>
                <w:sz w:val="20"/>
              </w:rPr>
            </w:pPr>
            <w:r>
              <w:rPr>
                <w:rFonts w:eastAsia="Calibri"/>
                <w:sz w:val="20"/>
              </w:rPr>
              <w:t>522</w:t>
            </w:r>
          </w:p>
        </w:tc>
        <w:tc>
          <w:tcPr>
            <w:tcW w:w="498" w:type="dxa"/>
            <w:tcBorders>
              <w:top w:val="nil"/>
              <w:left w:val="nil"/>
              <w:bottom w:val="single" w:sz="12" w:space="0" w:color="auto"/>
              <w:right w:val="single" w:sz="12" w:space="0" w:color="auto"/>
            </w:tcBorders>
            <w:hideMark/>
          </w:tcPr>
          <w:p w14:paraId="0942D718" w14:textId="77777777" w:rsidR="00CF4005" w:rsidRDefault="00CF4005">
            <w:pPr>
              <w:spacing w:before="40" w:after="40" w:line="256" w:lineRule="auto"/>
              <w:jc w:val="center"/>
              <w:rPr>
                <w:rFonts w:eastAsia="Calibri"/>
                <w:sz w:val="20"/>
              </w:rPr>
            </w:pPr>
            <w:r>
              <w:rPr>
                <w:rFonts w:eastAsia="Calibri"/>
                <w:sz w:val="20"/>
              </w:rPr>
              <w:t>578</w:t>
            </w:r>
          </w:p>
        </w:tc>
        <w:tc>
          <w:tcPr>
            <w:tcW w:w="597" w:type="dxa"/>
            <w:tcBorders>
              <w:top w:val="nil"/>
              <w:left w:val="nil"/>
              <w:bottom w:val="single" w:sz="12" w:space="0" w:color="auto"/>
              <w:right w:val="single" w:sz="12" w:space="0" w:color="auto"/>
            </w:tcBorders>
            <w:hideMark/>
          </w:tcPr>
          <w:p w14:paraId="64426CE3" w14:textId="77777777" w:rsidR="00CF4005" w:rsidRDefault="00CF4005">
            <w:pPr>
              <w:spacing w:before="40" w:after="40" w:line="256" w:lineRule="auto"/>
              <w:jc w:val="center"/>
              <w:rPr>
                <w:rFonts w:eastAsia="Calibri"/>
                <w:sz w:val="20"/>
              </w:rPr>
            </w:pPr>
            <w:r>
              <w:rPr>
                <w:rFonts w:eastAsia="Calibri"/>
                <w:sz w:val="20"/>
              </w:rPr>
              <w:t>604</w:t>
            </w:r>
          </w:p>
        </w:tc>
      </w:tr>
    </w:tbl>
    <w:p w14:paraId="495CECD2" w14:textId="77777777" w:rsidR="00CF4005" w:rsidRDefault="00CF4005" w:rsidP="00CF4005">
      <w:pPr>
        <w:jc w:val="center"/>
        <w:rPr>
          <w:rFonts w:eastAsia="MS Mincho"/>
          <w:b/>
          <w:bCs/>
          <w:szCs w:val="24"/>
        </w:rPr>
      </w:pPr>
    </w:p>
    <w:p w14:paraId="0CF61EFE" w14:textId="77777777" w:rsidR="00CF4005" w:rsidRDefault="00CF4005" w:rsidP="00CF4005">
      <w:pPr>
        <w:jc w:val="center"/>
        <w:rPr>
          <w:rFonts w:eastAsia="MS Mincho"/>
          <w:b/>
          <w:bCs/>
          <w:szCs w:val="24"/>
        </w:rPr>
      </w:pPr>
      <w:r>
        <w:rPr>
          <w:rFonts w:eastAsia="MS Mincho"/>
          <w:b/>
          <w:bCs/>
          <w:szCs w:val="24"/>
        </w:rPr>
        <w:t>Figure 3 – Evolution of ITU-T membership from 31 December 2006 to 31 August 2019</w:t>
      </w:r>
    </w:p>
    <w:p w14:paraId="590F9C90" w14:textId="77777777" w:rsidR="00CF4005" w:rsidRDefault="00CF4005" w:rsidP="00CF4005">
      <w:pPr>
        <w:tabs>
          <w:tab w:val="left" w:pos="1005"/>
        </w:tabs>
        <w:rPr>
          <w:rFonts w:eastAsia="MS Mincho"/>
          <w:szCs w:val="24"/>
        </w:rPr>
      </w:pPr>
    </w:p>
    <w:p w14:paraId="46F6132F" w14:textId="711AE194" w:rsidR="00CF4005" w:rsidRDefault="00CF4005" w:rsidP="00CF4005">
      <w:pPr>
        <w:jc w:val="center"/>
        <w:rPr>
          <w:highlight w:val="yellow"/>
        </w:rPr>
      </w:pPr>
      <w:r>
        <w:rPr>
          <w:noProof/>
          <w:lang w:val="en-GB"/>
        </w:rPr>
        <w:drawing>
          <wp:inline distT="0" distB="0" distL="0" distR="0" wp14:anchorId="3CD53D73" wp14:editId="2AC560AF">
            <wp:extent cx="553402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694AC7DD" w14:textId="77777777" w:rsidR="00CF4005" w:rsidRDefault="00CF4005" w:rsidP="00CF4005">
      <w:pPr>
        <w:keepNext/>
        <w:keepLines/>
        <w:spacing w:after="120"/>
        <w:ind w:left="567"/>
        <w:rPr>
          <w:sz w:val="18"/>
        </w:rPr>
      </w:pPr>
      <w:r>
        <w:rPr>
          <w:sz w:val="18"/>
        </w:rPr>
        <w:t>NOTE – The Academia category was created in 2011.</w:t>
      </w:r>
    </w:p>
    <w:p w14:paraId="6A9851FD" w14:textId="1CF41AF8" w:rsidR="00412E28" w:rsidRPr="00C1421E" w:rsidRDefault="00D64AF8" w:rsidP="00C1421E">
      <w:pPr>
        <w:pStyle w:val="Heading2"/>
      </w:pPr>
      <w:bookmarkStart w:id="143" w:name="_Toc18509769"/>
      <w:r w:rsidRPr="00C1421E">
        <w:t>8</w:t>
      </w:r>
      <w:r w:rsidR="002F0E38" w:rsidRPr="00C1421E">
        <w:t>.2</w:t>
      </w:r>
      <w:r w:rsidRPr="00C1421E">
        <w:tab/>
        <w:t>Implementation of SME Pilot Project</w:t>
      </w:r>
      <w:bookmarkEnd w:id="143"/>
    </w:p>
    <w:p w14:paraId="086EAC08" w14:textId="6850997D" w:rsidR="00564FEE" w:rsidRPr="00C1421E" w:rsidRDefault="00044D72" w:rsidP="001A5609">
      <w:pPr>
        <w:rPr>
          <w:highlight w:val="yellow"/>
          <w:lang w:val="en-GB"/>
        </w:rPr>
      </w:pPr>
      <w:r w:rsidRPr="00C1421E">
        <w:rPr>
          <w:lang w:val="en-GB"/>
        </w:rPr>
        <w:t xml:space="preserve">ITU-T Study Groups 5, 11, 16 and 20 have implemented a pilot project to increase the engagement of SMEs in the work of ITU. </w:t>
      </w:r>
      <w:r w:rsidR="00A47A10">
        <w:rPr>
          <w:lang w:val="en-GB"/>
        </w:rPr>
        <w:t xml:space="preserve">The participation of </w:t>
      </w:r>
      <w:r w:rsidRPr="00C1421E">
        <w:rPr>
          <w:lang w:val="en-GB"/>
        </w:rPr>
        <w:t xml:space="preserve">16 SMEs </w:t>
      </w:r>
      <w:r w:rsidR="00A47A10">
        <w:rPr>
          <w:lang w:val="en-GB"/>
        </w:rPr>
        <w:t xml:space="preserve">in ITU-T </w:t>
      </w:r>
      <w:r w:rsidRPr="00C1421E">
        <w:rPr>
          <w:lang w:val="en-GB"/>
        </w:rPr>
        <w:t>ha</w:t>
      </w:r>
      <w:r w:rsidR="00A47A10">
        <w:rPr>
          <w:lang w:val="en-GB"/>
        </w:rPr>
        <w:t xml:space="preserve">s </w:t>
      </w:r>
      <w:r w:rsidRPr="00C1421E">
        <w:rPr>
          <w:lang w:val="en-GB"/>
        </w:rPr>
        <w:t xml:space="preserve">been approved by </w:t>
      </w:r>
      <w:r w:rsidR="00A47A10">
        <w:rPr>
          <w:lang w:val="en-GB"/>
        </w:rPr>
        <w:t xml:space="preserve">their </w:t>
      </w:r>
      <w:r w:rsidRPr="00C1421E">
        <w:rPr>
          <w:lang w:val="en-GB"/>
        </w:rPr>
        <w:t xml:space="preserve">relevant administrations </w:t>
      </w:r>
      <w:r w:rsidR="00A47A10">
        <w:rPr>
          <w:lang w:val="en-GB"/>
        </w:rPr>
        <w:t xml:space="preserve">as part of </w:t>
      </w:r>
      <w:r w:rsidRPr="00C1421E">
        <w:rPr>
          <w:lang w:val="en-GB"/>
        </w:rPr>
        <w:t>the pilot</w:t>
      </w:r>
      <w:r w:rsidR="00A47A10">
        <w:rPr>
          <w:lang w:val="en-GB"/>
        </w:rPr>
        <w:t xml:space="preserve"> project</w:t>
      </w:r>
      <w:r w:rsidRPr="00C1421E">
        <w:rPr>
          <w:lang w:val="en-GB"/>
        </w:rPr>
        <w:t>.</w:t>
      </w:r>
    </w:p>
    <w:p w14:paraId="4A86D9BE" w14:textId="020E0BC6" w:rsidR="00715DA1" w:rsidRPr="00C1421E" w:rsidRDefault="00A47A10" w:rsidP="001A5609">
      <w:pPr>
        <w:rPr>
          <w:lang w:val="en-GB"/>
        </w:rPr>
      </w:pPr>
      <w:r>
        <w:rPr>
          <w:lang w:val="en-GB"/>
        </w:rPr>
        <w:t>Examples of work underway as a result of this pilot project include</w:t>
      </w:r>
      <w:r w:rsidR="00715DA1" w:rsidRPr="00C1421E">
        <w:rPr>
          <w:lang w:val="en-GB"/>
        </w:rPr>
        <w:t>:</w:t>
      </w:r>
    </w:p>
    <w:p w14:paraId="4A9F6F37" w14:textId="759AD81D" w:rsidR="00691998" w:rsidRPr="00C1421E" w:rsidRDefault="00715DA1" w:rsidP="007339CE">
      <w:pPr>
        <w:numPr>
          <w:ilvl w:val="0"/>
          <w:numId w:val="56"/>
        </w:numPr>
        <w:rPr>
          <w:lang w:val="en-GB"/>
        </w:rPr>
      </w:pPr>
      <w:r w:rsidRPr="00C1421E">
        <w:rPr>
          <w:lang w:val="en-GB"/>
        </w:rPr>
        <w:t xml:space="preserve">In </w:t>
      </w:r>
      <w:r w:rsidR="00A47A10">
        <w:rPr>
          <w:lang w:val="en-GB"/>
        </w:rPr>
        <w:t xml:space="preserve">ITU-T </w:t>
      </w:r>
      <w:r w:rsidR="00CA2D85" w:rsidRPr="00C1421E">
        <w:rPr>
          <w:lang w:val="en-GB"/>
        </w:rPr>
        <w:t>SG5</w:t>
      </w:r>
      <w:r w:rsidR="00A47A10">
        <w:rPr>
          <w:lang w:val="en-GB"/>
        </w:rPr>
        <w:t>,</w:t>
      </w:r>
      <w:r w:rsidR="00CA2D85" w:rsidRPr="00C1421E">
        <w:rPr>
          <w:lang w:val="en-GB"/>
        </w:rPr>
        <w:t xml:space="preserve"> </w:t>
      </w:r>
      <w:proofErr w:type="spellStart"/>
      <w:r w:rsidR="00691998" w:rsidRPr="00C1421E">
        <w:rPr>
          <w:lang w:val="en-GB"/>
        </w:rPr>
        <w:t>WaveControl</w:t>
      </w:r>
      <w:proofErr w:type="spellEnd"/>
      <w:r w:rsidR="00691998" w:rsidRPr="00C1421E">
        <w:rPr>
          <w:lang w:val="en-GB"/>
        </w:rPr>
        <w:t xml:space="preserve"> (Spain) is leading the development of </w:t>
      </w:r>
      <w:r w:rsidR="00A47A10">
        <w:rPr>
          <w:lang w:val="en-GB"/>
        </w:rPr>
        <w:t xml:space="preserve">the </w:t>
      </w:r>
      <w:r w:rsidR="00E512E1">
        <w:rPr>
          <w:lang w:val="en-GB"/>
        </w:rPr>
        <w:t xml:space="preserve">work item </w:t>
      </w:r>
      <w:proofErr w:type="spellStart"/>
      <w:r w:rsidR="00691998" w:rsidRPr="00C1421E">
        <w:rPr>
          <w:lang w:val="en-GB"/>
        </w:rPr>
        <w:t>K.workers</w:t>
      </w:r>
      <w:proofErr w:type="spellEnd"/>
      <w:r w:rsidR="00691998" w:rsidRPr="00C1421E">
        <w:rPr>
          <w:lang w:val="en-GB"/>
        </w:rPr>
        <w:t xml:space="preserve"> on </w:t>
      </w:r>
      <w:r w:rsidR="00CA2D85" w:rsidRPr="00C1421E">
        <w:rPr>
          <w:lang w:val="en-GB"/>
        </w:rPr>
        <w:t>"</w:t>
      </w:r>
      <w:r w:rsidR="00691998" w:rsidRPr="00C1421E">
        <w:rPr>
          <w:lang w:val="en-GB"/>
        </w:rPr>
        <w:t xml:space="preserve">Assessment and management of compliance with RF EMF exposure limits for workers at </w:t>
      </w:r>
      <w:proofErr w:type="spellStart"/>
      <w:r w:rsidR="00691998" w:rsidRPr="00C1421E">
        <w:rPr>
          <w:lang w:val="en-GB"/>
        </w:rPr>
        <w:t>radiocommunication</w:t>
      </w:r>
      <w:proofErr w:type="spellEnd"/>
      <w:r w:rsidR="00691998" w:rsidRPr="00C1421E">
        <w:rPr>
          <w:lang w:val="en-GB"/>
        </w:rPr>
        <w:t xml:space="preserve"> sites and facilities</w:t>
      </w:r>
      <w:r w:rsidR="00CA2D85" w:rsidRPr="00C1421E">
        <w:rPr>
          <w:lang w:val="en-GB"/>
        </w:rPr>
        <w:t>"</w:t>
      </w:r>
      <w:r w:rsidR="00A47A10">
        <w:rPr>
          <w:lang w:val="en-GB"/>
        </w:rPr>
        <w:t>;</w:t>
      </w:r>
      <w:r w:rsidR="00691998" w:rsidRPr="00C1421E">
        <w:rPr>
          <w:lang w:val="en-GB"/>
        </w:rPr>
        <w:t xml:space="preserve"> and MJRD Assessment Inc. (Canada) is leading the development of </w:t>
      </w:r>
      <w:r w:rsidR="00A47A10">
        <w:rPr>
          <w:lang w:val="en-GB"/>
        </w:rPr>
        <w:t xml:space="preserve">the </w:t>
      </w:r>
      <w:r w:rsidR="00E512E1">
        <w:rPr>
          <w:lang w:val="en-GB"/>
        </w:rPr>
        <w:t xml:space="preserve">work item </w:t>
      </w:r>
      <w:r w:rsidR="00691998" w:rsidRPr="00C1421E">
        <w:rPr>
          <w:lang w:val="en-GB"/>
        </w:rPr>
        <w:t xml:space="preserve">L.SP_OB on </w:t>
      </w:r>
      <w:r w:rsidR="00CA2D85" w:rsidRPr="00C1421E">
        <w:rPr>
          <w:lang w:val="en-GB"/>
        </w:rPr>
        <w:t>"</w:t>
      </w:r>
      <w:r w:rsidR="00691998" w:rsidRPr="00C1421E">
        <w:rPr>
          <w:lang w:val="en-GB"/>
        </w:rPr>
        <w:t>A methodology for improving, assessing and scoring the sustainability performance of office buildings</w:t>
      </w:r>
      <w:r w:rsidR="00CA2D85" w:rsidRPr="00C1421E">
        <w:rPr>
          <w:lang w:val="en-GB"/>
        </w:rPr>
        <w:t>"</w:t>
      </w:r>
      <w:r w:rsidR="00691998" w:rsidRPr="00C1421E">
        <w:rPr>
          <w:lang w:val="en-GB"/>
        </w:rPr>
        <w:t>.</w:t>
      </w:r>
    </w:p>
    <w:p w14:paraId="7E57F0D5" w14:textId="2D45344C" w:rsidR="005E08E7" w:rsidRPr="00C1421E" w:rsidRDefault="005E08E7" w:rsidP="007339CE">
      <w:pPr>
        <w:numPr>
          <w:ilvl w:val="0"/>
          <w:numId w:val="56"/>
        </w:numPr>
        <w:rPr>
          <w:lang w:val="en-GB"/>
        </w:rPr>
      </w:pPr>
      <w:r w:rsidRPr="00C1421E">
        <w:rPr>
          <w:lang w:val="en-GB"/>
        </w:rPr>
        <w:t xml:space="preserve">In ITU-T </w:t>
      </w:r>
      <w:r w:rsidR="00A47A10">
        <w:rPr>
          <w:lang w:val="en-GB"/>
        </w:rPr>
        <w:t>SG</w:t>
      </w:r>
      <w:r w:rsidRPr="00C1421E">
        <w:rPr>
          <w:lang w:val="en-GB"/>
        </w:rPr>
        <w:t xml:space="preserve">11, </w:t>
      </w:r>
      <w:proofErr w:type="spellStart"/>
      <w:r w:rsidRPr="00C1421E">
        <w:rPr>
          <w:lang w:val="en-GB"/>
        </w:rPr>
        <w:t>Vaulto</w:t>
      </w:r>
      <w:proofErr w:type="spellEnd"/>
      <w:r w:rsidRPr="00C1421E">
        <w:rPr>
          <w:lang w:val="en-GB"/>
        </w:rPr>
        <w:t xml:space="preserve"> Technologies (Israel) contributed a </w:t>
      </w:r>
      <w:r w:rsidR="00A47A10">
        <w:rPr>
          <w:lang w:val="en-GB"/>
        </w:rPr>
        <w:t>T</w:t>
      </w:r>
      <w:r w:rsidRPr="00C1421E">
        <w:rPr>
          <w:lang w:val="en-GB"/>
        </w:rPr>
        <w:t xml:space="preserve">echnical </w:t>
      </w:r>
      <w:r w:rsidR="00A47A10">
        <w:rPr>
          <w:lang w:val="en-GB"/>
        </w:rPr>
        <w:t>R</w:t>
      </w:r>
      <w:r w:rsidRPr="00C1421E">
        <w:rPr>
          <w:lang w:val="en-GB"/>
        </w:rPr>
        <w:t xml:space="preserve">eport on the abuse of SS7 </w:t>
      </w:r>
      <w:r w:rsidR="00A47A10">
        <w:rPr>
          <w:lang w:val="en-GB"/>
        </w:rPr>
        <w:t xml:space="preserve">security </w:t>
      </w:r>
      <w:r w:rsidRPr="00C1421E">
        <w:rPr>
          <w:lang w:val="en-GB"/>
        </w:rPr>
        <w:t xml:space="preserve">vulnerabilities to commit financial fraud. </w:t>
      </w:r>
      <w:proofErr w:type="spellStart"/>
      <w:r w:rsidRPr="00C1421E">
        <w:rPr>
          <w:lang w:val="en-GB"/>
        </w:rPr>
        <w:t>Vaulto</w:t>
      </w:r>
      <w:proofErr w:type="spellEnd"/>
      <w:r w:rsidRPr="00C1421E">
        <w:rPr>
          <w:lang w:val="en-GB"/>
        </w:rPr>
        <w:t xml:space="preserve"> Technologies</w:t>
      </w:r>
      <w:r w:rsidR="00CA2D85" w:rsidRPr="00C1421E">
        <w:rPr>
          <w:lang w:val="en-GB"/>
        </w:rPr>
        <w:t>'</w:t>
      </w:r>
      <w:r w:rsidRPr="00C1421E">
        <w:rPr>
          <w:lang w:val="en-GB"/>
        </w:rPr>
        <w:t xml:space="preserve"> work in ITU-T S</w:t>
      </w:r>
      <w:r w:rsidR="00A47A10">
        <w:rPr>
          <w:lang w:val="en-GB"/>
        </w:rPr>
        <w:t>G</w:t>
      </w:r>
      <w:r w:rsidRPr="00C1421E">
        <w:rPr>
          <w:lang w:val="en-GB"/>
        </w:rPr>
        <w:t xml:space="preserve">11 </w:t>
      </w:r>
      <w:r w:rsidR="00A47A10" w:rsidRPr="004B6D09">
        <w:rPr>
          <w:lang w:val="en-GB"/>
        </w:rPr>
        <w:t xml:space="preserve">has led to the establishment of a </w:t>
      </w:r>
      <w:r w:rsidRPr="004B6D09">
        <w:rPr>
          <w:lang w:val="en-GB"/>
        </w:rPr>
        <w:t xml:space="preserve">new work item </w:t>
      </w:r>
      <w:r w:rsidR="00A47A10" w:rsidRPr="004B6D09">
        <w:rPr>
          <w:lang w:val="en-GB"/>
        </w:rPr>
        <w:t>t</w:t>
      </w:r>
      <w:r w:rsidR="00A47A10">
        <w:rPr>
          <w:lang w:val="en-GB"/>
        </w:rPr>
        <w:t xml:space="preserve">o assist network operators </w:t>
      </w:r>
      <w:proofErr w:type="gramStart"/>
      <w:r w:rsidR="00A47A10">
        <w:rPr>
          <w:lang w:val="en-GB"/>
        </w:rPr>
        <w:t>an</w:t>
      </w:r>
      <w:proofErr w:type="gramEnd"/>
      <w:r w:rsidR="00A47A10">
        <w:rPr>
          <w:lang w:val="en-GB"/>
        </w:rPr>
        <w:t xml:space="preserve"> financial institutions in addressing SS7 security vulnerabilities</w:t>
      </w:r>
      <w:r w:rsidRPr="00C1421E">
        <w:rPr>
          <w:lang w:val="en-GB"/>
        </w:rPr>
        <w:t>.</w:t>
      </w:r>
    </w:p>
    <w:p w14:paraId="2DD254DF" w14:textId="52F40533" w:rsidR="00CA2D85" w:rsidRPr="00C1421E" w:rsidRDefault="00CA2D85" w:rsidP="007339CE">
      <w:pPr>
        <w:numPr>
          <w:ilvl w:val="0"/>
          <w:numId w:val="56"/>
        </w:numPr>
        <w:rPr>
          <w:lang w:val="en-GB"/>
        </w:rPr>
      </w:pPr>
      <w:r w:rsidRPr="00C1421E">
        <w:rPr>
          <w:lang w:val="en-GB"/>
        </w:rPr>
        <w:t xml:space="preserve">In ITU-T SG16, Wayfindr (UK) contributed the material that became ITU-T F.921 and FSTP-CONF-F921 on indoor and outdoor network navigation for persons with visual </w:t>
      </w:r>
      <w:r w:rsidR="00715DA1" w:rsidRPr="00C1421E">
        <w:rPr>
          <w:lang w:val="en-GB"/>
        </w:rPr>
        <w:t>impairments.</w:t>
      </w:r>
    </w:p>
    <w:p w14:paraId="7581C266" w14:textId="76785B34" w:rsidR="005E08E7" w:rsidRPr="00C1421E" w:rsidRDefault="00044D72" w:rsidP="005E08E7">
      <w:pPr>
        <w:rPr>
          <w:lang w:val="en-GB"/>
        </w:rPr>
      </w:pPr>
      <w:r w:rsidRPr="00C1421E">
        <w:rPr>
          <w:lang w:val="en-GB"/>
        </w:rPr>
        <w:t>A number of SMEs currently participating in this pilot project have expressed a strong interest in applying for Associate status under the reduced fee structure contained in Resolution 209 (Dubai, 2018)</w:t>
      </w:r>
      <w:r w:rsidR="00BE7E0A">
        <w:rPr>
          <w:lang w:val="en-GB"/>
        </w:rPr>
        <w:t xml:space="preserve">, </w:t>
      </w:r>
      <w:r w:rsidRPr="00C1421E">
        <w:rPr>
          <w:lang w:val="en-GB"/>
        </w:rPr>
        <w:t>which will come into effect on 31 January 2020</w:t>
      </w:r>
      <w:r w:rsidR="005E08E7" w:rsidRPr="00C1421E">
        <w:rPr>
          <w:lang w:val="en-GB"/>
        </w:rPr>
        <w:t>.</w:t>
      </w:r>
    </w:p>
    <w:p w14:paraId="388FD5E3" w14:textId="5D5EC839" w:rsidR="00FB7CDF" w:rsidRPr="00C1421E" w:rsidRDefault="00FB7CDF" w:rsidP="009E5FFA">
      <w:pPr>
        <w:pStyle w:val="Heading1"/>
      </w:pPr>
      <w:bookmarkStart w:id="144" w:name="_Toc18509770"/>
      <w:bookmarkStart w:id="145" w:name="_Toc438553987"/>
      <w:bookmarkStart w:id="146" w:name="_Toc453929111"/>
      <w:bookmarkStart w:id="147" w:name="_Toc453932982"/>
      <w:bookmarkStart w:id="148" w:name="_Toc454295888"/>
      <w:bookmarkStart w:id="149" w:name="_Toc462664268"/>
      <w:bookmarkStart w:id="150" w:name="_Toc480527861"/>
      <w:r w:rsidRPr="00C1421E">
        <w:lastRenderedPageBreak/>
        <w:t>9</w:t>
      </w:r>
      <w:r w:rsidRPr="00C1421E">
        <w:tab/>
        <w:t>Gender</w:t>
      </w:r>
      <w:bookmarkEnd w:id="144"/>
    </w:p>
    <w:p w14:paraId="1CBEDC34" w14:textId="3D56F7A1" w:rsidR="006944F8" w:rsidRPr="00C1421E" w:rsidRDefault="006816D0" w:rsidP="002013A1">
      <w:pPr>
        <w:rPr>
          <w:lang w:val="en-GB"/>
        </w:rPr>
      </w:pPr>
      <w:r w:rsidRPr="00C1421E">
        <w:rPr>
          <w:lang w:val="en-GB"/>
        </w:rPr>
        <w:t xml:space="preserve">In alignment with </w:t>
      </w:r>
      <w:r w:rsidRPr="00C1421E">
        <w:rPr>
          <w:rFonts w:eastAsia="SimSun"/>
          <w:szCs w:val="24"/>
          <w:lang w:val="en-GB"/>
        </w:rPr>
        <w:t xml:space="preserve">ITU-T Resolution 55 (Rev. </w:t>
      </w:r>
      <w:proofErr w:type="spellStart"/>
      <w:r w:rsidRPr="00C1421E">
        <w:rPr>
          <w:rFonts w:eastAsia="SimSun"/>
          <w:szCs w:val="24"/>
          <w:lang w:val="en-GB"/>
        </w:rPr>
        <w:t>Hammamet</w:t>
      </w:r>
      <w:proofErr w:type="spellEnd"/>
      <w:r w:rsidR="00834621" w:rsidRPr="00C1421E">
        <w:rPr>
          <w:rFonts w:eastAsia="SimSun"/>
          <w:szCs w:val="24"/>
          <w:lang w:val="en-GB"/>
        </w:rPr>
        <w:t>, 2016</w:t>
      </w:r>
      <w:r w:rsidRPr="00C1421E">
        <w:rPr>
          <w:rFonts w:eastAsia="SimSun"/>
          <w:szCs w:val="24"/>
          <w:lang w:val="en-GB"/>
        </w:rPr>
        <w:t xml:space="preserve">), </w:t>
      </w:r>
      <w:r w:rsidR="006944F8" w:rsidRPr="00C1421E">
        <w:rPr>
          <w:lang w:val="en-GB"/>
        </w:rPr>
        <w:t xml:space="preserve">TSB continues </w:t>
      </w:r>
      <w:r w:rsidRPr="00C1421E">
        <w:rPr>
          <w:lang w:val="en-GB"/>
        </w:rPr>
        <w:t xml:space="preserve">to undertake actions to improve gender equality in TSB and ITU-T. </w:t>
      </w:r>
      <w:r w:rsidR="00BE7E0A" w:rsidRPr="004B6D09">
        <w:rPr>
          <w:rFonts w:eastAsia="SimSun"/>
          <w:szCs w:val="24"/>
          <w:lang w:val="en-GB"/>
        </w:rPr>
        <w:t>60</w:t>
      </w:r>
      <w:r w:rsidRPr="004B6D09">
        <w:rPr>
          <w:rFonts w:eastAsia="SimSun"/>
          <w:szCs w:val="24"/>
          <w:lang w:val="en-GB"/>
        </w:rPr>
        <w:t xml:space="preserve"> per cent of </w:t>
      </w:r>
      <w:r w:rsidR="004B6D09" w:rsidRPr="008A2F29">
        <w:rPr>
          <w:rFonts w:eastAsia="SimSun"/>
          <w:szCs w:val="24"/>
          <w:lang w:val="en-GB"/>
        </w:rPr>
        <w:t xml:space="preserve">all </w:t>
      </w:r>
      <w:r w:rsidR="00BE7E0A" w:rsidRPr="004B6D09">
        <w:rPr>
          <w:rFonts w:eastAsia="SimSun"/>
          <w:szCs w:val="24"/>
          <w:lang w:val="en-GB"/>
        </w:rPr>
        <w:t xml:space="preserve">TSB </w:t>
      </w:r>
      <w:r w:rsidRPr="004B6D09">
        <w:rPr>
          <w:rFonts w:eastAsia="SimSun"/>
          <w:szCs w:val="24"/>
          <w:lang w:val="en-GB"/>
        </w:rPr>
        <w:t>promotion</w:t>
      </w:r>
      <w:r w:rsidR="00BE7E0A" w:rsidRPr="004B6D09">
        <w:rPr>
          <w:rFonts w:eastAsia="SimSun"/>
          <w:szCs w:val="24"/>
          <w:lang w:val="en-GB"/>
        </w:rPr>
        <w:t>s over the last two years were awarded</w:t>
      </w:r>
      <w:r w:rsidRPr="004B6D09">
        <w:rPr>
          <w:rFonts w:eastAsia="SimSun"/>
          <w:szCs w:val="24"/>
          <w:lang w:val="en-GB"/>
        </w:rPr>
        <w:t xml:space="preserve"> </w:t>
      </w:r>
      <w:r w:rsidR="00BE7E0A" w:rsidRPr="004B6D09">
        <w:rPr>
          <w:rFonts w:eastAsia="SimSun"/>
          <w:szCs w:val="24"/>
          <w:lang w:val="en-GB"/>
        </w:rPr>
        <w:t>to women in the Professional category of staff</w:t>
      </w:r>
      <w:r w:rsidRPr="004B6D09">
        <w:rPr>
          <w:lang w:val="en-GB"/>
        </w:rPr>
        <w:t>.</w:t>
      </w:r>
      <w:r w:rsidRPr="00C1421E">
        <w:rPr>
          <w:lang w:val="en-GB"/>
        </w:rPr>
        <w:t xml:space="preserve"> </w:t>
      </w:r>
      <w:r w:rsidRPr="00C1421E">
        <w:rPr>
          <w:rFonts w:eastAsia="SimSun"/>
          <w:szCs w:val="24"/>
          <w:lang w:val="en-GB"/>
        </w:rPr>
        <w:t xml:space="preserve">TSB has endorsed the </w:t>
      </w:r>
      <w:r w:rsidR="00CA2D85" w:rsidRPr="00C1421E">
        <w:rPr>
          <w:rFonts w:eastAsia="SimSun"/>
          <w:szCs w:val="24"/>
          <w:lang w:val="en-GB"/>
        </w:rPr>
        <w:t>"</w:t>
      </w:r>
      <w:r w:rsidRPr="00C1421E">
        <w:rPr>
          <w:rFonts w:eastAsia="SimSun"/>
          <w:szCs w:val="24"/>
          <w:lang w:val="en-GB"/>
        </w:rPr>
        <w:t>Gender Responsive Standards</w:t>
      </w:r>
      <w:r w:rsidR="00CA2D85" w:rsidRPr="00C1421E">
        <w:rPr>
          <w:rFonts w:eastAsia="SimSun"/>
          <w:szCs w:val="24"/>
          <w:lang w:val="en-GB"/>
        </w:rPr>
        <w:t>"</w:t>
      </w:r>
      <w:r w:rsidRPr="00C1421E">
        <w:rPr>
          <w:rFonts w:eastAsia="SimSun"/>
          <w:szCs w:val="24"/>
          <w:lang w:val="en-GB"/>
        </w:rPr>
        <w:t xml:space="preserve"> initiative by UNECE</w:t>
      </w:r>
      <w:r w:rsidR="00BE7E0A">
        <w:rPr>
          <w:rFonts w:eastAsia="SimSun"/>
          <w:szCs w:val="24"/>
          <w:lang w:val="en-GB"/>
        </w:rPr>
        <w:t xml:space="preserve"> which aims </w:t>
      </w:r>
      <w:r w:rsidRPr="00C1421E">
        <w:rPr>
          <w:rFonts w:eastAsia="SimSun"/>
          <w:szCs w:val="24"/>
          <w:lang w:val="en-GB"/>
        </w:rPr>
        <w:t>to improve gender balance in standards development and ensure that the content and impact</w:t>
      </w:r>
      <w:r w:rsidR="00BE7E0A">
        <w:rPr>
          <w:rFonts w:eastAsia="SimSun"/>
          <w:szCs w:val="24"/>
          <w:lang w:val="en-GB"/>
        </w:rPr>
        <w:t>s</w:t>
      </w:r>
      <w:r w:rsidRPr="00C1421E">
        <w:rPr>
          <w:rFonts w:eastAsia="SimSun"/>
          <w:szCs w:val="24"/>
          <w:lang w:val="en-GB"/>
        </w:rPr>
        <w:t xml:space="preserve"> of standards are gender responsive.</w:t>
      </w:r>
      <w:r w:rsidR="00BE7E0A">
        <w:rPr>
          <w:lang w:val="en-GB"/>
        </w:rPr>
        <w:t xml:space="preserve"> </w:t>
      </w:r>
      <w:r w:rsidR="006944F8" w:rsidRPr="00C1421E">
        <w:rPr>
          <w:lang w:val="en-GB"/>
        </w:rPr>
        <w:t>Diversity of staff, gender equality and the empowerment of women continue to be among TSB</w:t>
      </w:r>
      <w:r w:rsidR="00CA2D85" w:rsidRPr="00C1421E">
        <w:rPr>
          <w:lang w:val="en-GB"/>
        </w:rPr>
        <w:t>'</w:t>
      </w:r>
      <w:r w:rsidR="006944F8" w:rsidRPr="00C1421E">
        <w:rPr>
          <w:lang w:val="en-GB"/>
        </w:rPr>
        <w:t>s priorities.</w:t>
      </w:r>
    </w:p>
    <w:p w14:paraId="6112790D" w14:textId="3F6E2F50" w:rsidR="006944F8" w:rsidRPr="00C1421E" w:rsidRDefault="002F0E38" w:rsidP="006944F8">
      <w:pPr>
        <w:pStyle w:val="Heading1"/>
      </w:pPr>
      <w:bookmarkStart w:id="151" w:name="_Toc18509771"/>
      <w:r w:rsidRPr="00C1421E">
        <w:t>10</w:t>
      </w:r>
      <w:r w:rsidR="006944F8" w:rsidRPr="00C1421E">
        <w:tab/>
        <w:t>Academia</w:t>
      </w:r>
      <w:bookmarkEnd w:id="145"/>
      <w:bookmarkEnd w:id="146"/>
      <w:bookmarkEnd w:id="147"/>
      <w:bookmarkEnd w:id="148"/>
      <w:bookmarkEnd w:id="149"/>
      <w:bookmarkEnd w:id="150"/>
      <w:bookmarkEnd w:id="151"/>
    </w:p>
    <w:p w14:paraId="1CBAD07A" w14:textId="2FCC07B1" w:rsidR="006944F8" w:rsidRPr="00C1421E" w:rsidRDefault="002F0E38" w:rsidP="00C1421E">
      <w:pPr>
        <w:pStyle w:val="Heading2"/>
      </w:pPr>
      <w:bookmarkStart w:id="152" w:name="_Toc18509772"/>
      <w:r w:rsidRPr="00C1421E">
        <w:t>10</w:t>
      </w:r>
      <w:r w:rsidR="006944F8" w:rsidRPr="00C1421E">
        <w:t>.1</w:t>
      </w:r>
      <w:r w:rsidR="006944F8" w:rsidRPr="00C1421E">
        <w:tab/>
        <w:t>ITU Kaleidoscope academic conferences</w:t>
      </w:r>
      <w:bookmarkEnd w:id="152"/>
    </w:p>
    <w:p w14:paraId="45DC8940" w14:textId="77777777" w:rsidR="006944F8" w:rsidRPr="001C37A8" w:rsidRDefault="006944F8" w:rsidP="001C37A8">
      <w:r w:rsidRPr="001C37A8">
        <w:t>The ITU Kaleidoscope series of peer-reviewed academic conferences – technically co-sponsored by the IEEE Communications Society – calls for original research on ICT innovation and related demands on international standardization.</w:t>
      </w:r>
    </w:p>
    <w:p w14:paraId="270DDBC4" w14:textId="1078619F" w:rsidR="006944F8" w:rsidRPr="001C37A8" w:rsidRDefault="006944F8" w:rsidP="001C37A8">
      <w:r w:rsidRPr="001C37A8">
        <w:t xml:space="preserve">The 10th edition of Kaleidoscope, </w:t>
      </w:r>
      <w:hyperlink r:id="rId133" w:history="1">
        <w:r w:rsidRPr="001C37A8">
          <w:rPr>
            <w:rStyle w:val="Hyperlink"/>
          </w:rPr>
          <w:t>Kaleidos</w:t>
        </w:r>
        <w:r w:rsidR="00F35A9A" w:rsidRPr="001C37A8">
          <w:rPr>
            <w:rStyle w:val="Hyperlink"/>
          </w:rPr>
          <w:t>c</w:t>
        </w:r>
        <w:r w:rsidRPr="001C37A8">
          <w:rPr>
            <w:rStyle w:val="Hyperlink"/>
          </w:rPr>
          <w:t>ope 2018: Machine Learning for a 5G future</w:t>
        </w:r>
      </w:hyperlink>
      <w:r w:rsidRPr="001C37A8">
        <w:t>, w</w:t>
      </w:r>
      <w:r w:rsidR="00895B87" w:rsidRPr="001C37A8">
        <w:t>as</w:t>
      </w:r>
      <w:r w:rsidRPr="001C37A8">
        <w:t xml:space="preserve"> </w:t>
      </w:r>
      <w:r w:rsidR="00564FEE" w:rsidRPr="001C37A8">
        <w:t xml:space="preserve">held in Santa Fe, Argentina, 26-28 November 2018, </w:t>
      </w:r>
      <w:r w:rsidRPr="001C37A8">
        <w:t>hosted by Universidad Tecnológica Nacional.</w:t>
      </w:r>
      <w:r w:rsidR="00E512E1">
        <w:t xml:space="preserve"> The winning paper, authored by researchers at Japan’s </w:t>
      </w:r>
      <w:r w:rsidR="00E512E1" w:rsidRPr="00E512E1">
        <w:t xml:space="preserve">National Institute of Information and </w:t>
      </w:r>
      <w:r w:rsidR="00E512E1">
        <w:t xml:space="preserve">Communications Technology, highlighted Machine Learning’s potential to support automated network slicing. See relevant </w:t>
      </w:r>
      <w:hyperlink r:id="rId134" w:history="1">
        <w:r w:rsidR="00E512E1" w:rsidRPr="00E512E1">
          <w:rPr>
            <w:rStyle w:val="Hyperlink"/>
          </w:rPr>
          <w:t>ITU News story</w:t>
        </w:r>
      </w:hyperlink>
      <w:r w:rsidR="00E512E1">
        <w:t xml:space="preserve">. </w:t>
      </w:r>
      <w:r w:rsidRPr="001C37A8">
        <w:t>Authors of outstanding Kaleidoscope 2018 papers w</w:t>
      </w:r>
      <w:r w:rsidR="00895B87" w:rsidRPr="001C37A8">
        <w:t>ere</w:t>
      </w:r>
      <w:r w:rsidRPr="001C37A8">
        <w:t xml:space="preserve"> invited to contribute to the work of the </w:t>
      </w:r>
      <w:hyperlink r:id="rId135" w:history="1">
        <w:r w:rsidRPr="001C37A8">
          <w:rPr>
            <w:rStyle w:val="Hyperlink"/>
          </w:rPr>
          <w:t>ITU-T Focus Group on Machine Learning for Future Networks including 5G</w:t>
        </w:r>
      </w:hyperlink>
      <w:r w:rsidRPr="001C37A8">
        <w:t>.</w:t>
      </w:r>
    </w:p>
    <w:p w14:paraId="66E3CA40" w14:textId="3530C842" w:rsidR="00895B87" w:rsidRPr="001C37A8" w:rsidRDefault="00895B87" w:rsidP="001C37A8">
      <w:r w:rsidRPr="001C37A8">
        <w:t>The 11th</w:t>
      </w:r>
      <w:r w:rsidR="00BE7E0A">
        <w:t xml:space="preserve"> edition of Kaleidoscope,</w:t>
      </w:r>
      <w:r w:rsidRPr="001C37A8">
        <w:t xml:space="preserve"> </w:t>
      </w:r>
      <w:hyperlink r:id="rId136" w:history="1">
        <w:r w:rsidRPr="001C37A8">
          <w:rPr>
            <w:rStyle w:val="Hyperlink"/>
          </w:rPr>
          <w:t>Kaleidoscope 2019: ICT for Health: Networks, standards and innovation</w:t>
        </w:r>
      </w:hyperlink>
      <w:r w:rsidRPr="001C37A8">
        <w:t xml:space="preserve">, </w:t>
      </w:r>
      <w:r w:rsidR="00BE7E0A">
        <w:t>organized by ITU in</w:t>
      </w:r>
      <w:r w:rsidR="00F35A9A" w:rsidRPr="001C37A8">
        <w:t xml:space="preserve"> collaboration with</w:t>
      </w:r>
      <w:r w:rsidR="00BE7E0A">
        <w:t xml:space="preserve"> WHO</w:t>
      </w:r>
      <w:r w:rsidR="00F35A9A" w:rsidRPr="001C37A8">
        <w:t xml:space="preserve">, will </w:t>
      </w:r>
      <w:r w:rsidR="00BE7E0A">
        <w:t xml:space="preserve">be held in </w:t>
      </w:r>
      <w:r w:rsidR="00BE7E0A" w:rsidRPr="001C37A8">
        <w:t xml:space="preserve">Atlanta, </w:t>
      </w:r>
      <w:r w:rsidR="00BE7E0A">
        <w:t xml:space="preserve">U.S., </w:t>
      </w:r>
      <w:r w:rsidR="00F35A9A" w:rsidRPr="001C37A8">
        <w:t>4-6 December 2019</w:t>
      </w:r>
      <w:r w:rsidR="00BE7E0A">
        <w:t xml:space="preserve">, </w:t>
      </w:r>
      <w:r w:rsidR="00F35A9A" w:rsidRPr="001C37A8">
        <w:t xml:space="preserve">hosted by </w:t>
      </w:r>
      <w:r w:rsidR="00BE7E0A">
        <w:t xml:space="preserve">ITU Academia member, the </w:t>
      </w:r>
      <w:r w:rsidR="00F35A9A" w:rsidRPr="001C37A8">
        <w:t>Georgia Institute of Technology.</w:t>
      </w:r>
      <w:r w:rsidR="00C535A5">
        <w:t xml:space="preserve"> IEEE, IEEE </w:t>
      </w:r>
      <w:proofErr w:type="spellStart"/>
      <w:r w:rsidR="00C535A5">
        <w:t>ComSoc</w:t>
      </w:r>
      <w:proofErr w:type="spellEnd"/>
      <w:r w:rsidR="00F35A9A" w:rsidRPr="001C37A8">
        <w:t xml:space="preserve"> </w:t>
      </w:r>
      <w:r w:rsidR="00C535A5">
        <w:t xml:space="preserve">and The Lancet Digital Health </w:t>
      </w:r>
      <w:r w:rsidR="00BE7E0A">
        <w:t xml:space="preserve">are </w:t>
      </w:r>
      <w:r w:rsidR="00F35A9A" w:rsidRPr="001C37A8">
        <w:t>technical co-sponsors</w:t>
      </w:r>
      <w:r w:rsidR="00BE7E0A">
        <w:t xml:space="preserve"> </w:t>
      </w:r>
      <w:r w:rsidR="00CB6CB5">
        <w:t xml:space="preserve">of </w:t>
      </w:r>
      <w:r w:rsidR="00BE7E0A">
        <w:t>Kaleidoscope 2019</w:t>
      </w:r>
      <w:r w:rsidR="00CB6CB5">
        <w:t xml:space="preserve">. </w:t>
      </w:r>
      <w:hyperlink r:id="rId137" w:history="1">
        <w:r w:rsidR="00CB6CB5" w:rsidRPr="001C37A8">
          <w:rPr>
            <w:rStyle w:val="Hyperlink"/>
          </w:rPr>
          <w:t>The Lancet Digital Health</w:t>
        </w:r>
      </w:hyperlink>
      <w:r w:rsidR="00BE7E0A">
        <w:t xml:space="preserve"> may</w:t>
      </w:r>
      <w:r w:rsidR="00F35A9A" w:rsidRPr="001C37A8">
        <w:t xml:space="preserve"> publish selected papers presented at Kaleidoscope.</w:t>
      </w:r>
      <w:r w:rsidR="005C0984">
        <w:t xml:space="preserve"> See relevant </w:t>
      </w:r>
      <w:hyperlink r:id="rId138" w:history="1">
        <w:r w:rsidR="005C0984" w:rsidRPr="005C0984">
          <w:rPr>
            <w:rStyle w:val="Hyperlink"/>
          </w:rPr>
          <w:t>ITU News story</w:t>
        </w:r>
      </w:hyperlink>
      <w:r w:rsidR="005C0984">
        <w:t xml:space="preserve">. </w:t>
      </w:r>
    </w:p>
    <w:p w14:paraId="59B4AFB0" w14:textId="4926AF3F" w:rsidR="006944F8" w:rsidRPr="00C1421E" w:rsidRDefault="006944F8" w:rsidP="00C1421E">
      <w:pPr>
        <w:pStyle w:val="Heading2"/>
      </w:pPr>
      <w:bookmarkStart w:id="153" w:name="_Toc18509773"/>
      <w:r w:rsidRPr="00C1421E">
        <w:t>1</w:t>
      </w:r>
      <w:r w:rsidR="002F0E38" w:rsidRPr="00C1421E">
        <w:t>0</w:t>
      </w:r>
      <w:r w:rsidRPr="00C1421E">
        <w:t>.2</w:t>
      </w:r>
      <w:r w:rsidRPr="00C1421E">
        <w:tab/>
        <w:t>ITU Journal: ICT Discoveries</w:t>
      </w:r>
      <w:bookmarkEnd w:id="153"/>
    </w:p>
    <w:p w14:paraId="684112F8" w14:textId="07EFC9C2" w:rsidR="00F35A9A" w:rsidRPr="001C37A8" w:rsidRDefault="00F35A9A" w:rsidP="001C37A8">
      <w:r w:rsidRPr="001C37A8">
        <w:t xml:space="preserve">In December 2018, a special issue </w:t>
      </w:r>
      <w:r w:rsidR="00BE7E0A">
        <w:t xml:space="preserve">of the ITU Journal </w:t>
      </w:r>
      <w:r w:rsidRPr="001C37A8">
        <w:t xml:space="preserve">dedicated to the theme </w:t>
      </w:r>
      <w:r w:rsidR="00CA2D85" w:rsidRPr="001C37A8">
        <w:t>"</w:t>
      </w:r>
      <w:hyperlink r:id="rId139" w:history="1">
        <w:r w:rsidRPr="001C37A8">
          <w:rPr>
            <w:rStyle w:val="Hyperlink"/>
          </w:rPr>
          <w:t>Data for Good</w:t>
        </w:r>
      </w:hyperlink>
      <w:r w:rsidR="00CA2D85" w:rsidRPr="001C37A8">
        <w:t>"</w:t>
      </w:r>
      <w:r w:rsidR="00BE7E0A">
        <w:t xml:space="preserve"> published </w:t>
      </w:r>
      <w:r w:rsidRPr="001C37A8">
        <w:t>original academic papers investigating the technical, business and policy challenges underlying effective data management and analysis.</w:t>
      </w:r>
      <w:r w:rsidR="005C0984">
        <w:t xml:space="preserve"> See relevant </w:t>
      </w:r>
      <w:hyperlink r:id="rId140" w:history="1">
        <w:r w:rsidR="005C0984" w:rsidRPr="005C0984">
          <w:rPr>
            <w:rStyle w:val="Hyperlink"/>
          </w:rPr>
          <w:t>ITU News story</w:t>
        </w:r>
      </w:hyperlink>
      <w:r w:rsidR="005C0984">
        <w:t xml:space="preserve">. </w:t>
      </w:r>
    </w:p>
    <w:p w14:paraId="2381ADB4" w14:textId="62120CA1" w:rsidR="00F35A9A" w:rsidRPr="001C37A8" w:rsidRDefault="00F35A9A" w:rsidP="001C37A8">
      <w:r w:rsidRPr="001C37A8">
        <w:t xml:space="preserve">In February 2019, </w:t>
      </w:r>
      <w:r w:rsidR="00BE7E0A">
        <w:t xml:space="preserve">ITU issued a Call for Papers for a </w:t>
      </w:r>
      <w:r w:rsidRPr="001C37A8">
        <w:t>new special issue o</w:t>
      </w:r>
      <w:r w:rsidR="00BE7E0A">
        <w:t>n</w:t>
      </w:r>
      <w:r w:rsidRPr="001C37A8">
        <w:t xml:space="preserve"> </w:t>
      </w:r>
      <w:r w:rsidR="00CA2D85" w:rsidRPr="001C37A8">
        <w:t>"</w:t>
      </w:r>
      <w:proofErr w:type="spellStart"/>
      <w:r w:rsidR="00267090">
        <w:rPr>
          <w:rStyle w:val="Hyperlink"/>
        </w:rPr>
        <w:fldChar w:fldCharType="begin"/>
      </w:r>
      <w:r w:rsidR="00267090">
        <w:rPr>
          <w:rStyle w:val="Hyperlink"/>
        </w:rPr>
        <w:instrText xml:space="preserve"> HYPERLINK "https://www.itu.int/en/journal/2019/001/Pages/default.aspx" </w:instrText>
      </w:r>
      <w:r w:rsidR="00267090">
        <w:rPr>
          <w:rStyle w:val="Hyperlink"/>
        </w:rPr>
        <w:fldChar w:fldCharType="separate"/>
      </w:r>
      <w:r w:rsidRPr="001C37A8">
        <w:rPr>
          <w:rStyle w:val="Hyperlink"/>
        </w:rPr>
        <w:t>Propagatiom</w:t>
      </w:r>
      <w:proofErr w:type="spellEnd"/>
      <w:r w:rsidRPr="001C37A8">
        <w:rPr>
          <w:rStyle w:val="Hyperlink"/>
        </w:rPr>
        <w:t xml:space="preserve"> modelling for advanced future radio systems – Challenges for a congested radio spectrum</w:t>
      </w:r>
      <w:r w:rsidR="00267090">
        <w:rPr>
          <w:rStyle w:val="Hyperlink"/>
        </w:rPr>
        <w:fldChar w:fldCharType="end"/>
      </w:r>
      <w:r w:rsidR="00CA2D85" w:rsidRPr="001C37A8">
        <w:t>"</w:t>
      </w:r>
      <w:r w:rsidRPr="001C37A8">
        <w:t>. This issue is due to be published in December 2019.</w:t>
      </w:r>
      <w:r w:rsidR="005C0984">
        <w:t xml:space="preserve"> See relevant </w:t>
      </w:r>
      <w:hyperlink r:id="rId141" w:history="1">
        <w:r w:rsidR="005C0984" w:rsidRPr="005C0984">
          <w:rPr>
            <w:rStyle w:val="Hyperlink"/>
          </w:rPr>
          <w:t>ITU News story</w:t>
        </w:r>
      </w:hyperlink>
      <w:r w:rsidR="005C0984">
        <w:t xml:space="preserve">. </w:t>
      </w:r>
    </w:p>
    <w:p w14:paraId="40F1A4AA" w14:textId="0E484548" w:rsidR="00F35A9A" w:rsidRPr="001C37A8" w:rsidRDefault="008077A1" w:rsidP="001C37A8">
      <w:r>
        <w:t xml:space="preserve">In </w:t>
      </w:r>
      <w:r w:rsidR="00F35A9A" w:rsidRPr="001C37A8">
        <w:t xml:space="preserve">July 2019, </w:t>
      </w:r>
      <w:r>
        <w:t>ITU issued a Call for Papers</w:t>
      </w:r>
      <w:r w:rsidR="00F35A9A" w:rsidRPr="001C37A8">
        <w:t xml:space="preserve"> for a </w:t>
      </w:r>
      <w:r w:rsidR="00E567D9" w:rsidRPr="001C37A8">
        <w:t>new</w:t>
      </w:r>
      <w:r w:rsidR="00F35A9A" w:rsidRPr="001C37A8">
        <w:t xml:space="preserve"> special issue on </w:t>
      </w:r>
      <w:r w:rsidR="00CA2D85" w:rsidRPr="001C37A8">
        <w:t>"</w:t>
      </w:r>
      <w:hyperlink r:id="rId142" w:history="1">
        <w:r w:rsidR="00F35A9A" w:rsidRPr="001C37A8">
          <w:rPr>
            <w:rStyle w:val="Hyperlink"/>
          </w:rPr>
          <w:t>The future of video and immersive media</w:t>
        </w:r>
      </w:hyperlink>
      <w:r w:rsidR="00CA2D85" w:rsidRPr="001C37A8">
        <w:t>"</w:t>
      </w:r>
      <w:r>
        <w:t xml:space="preserve">. The issue is inviting </w:t>
      </w:r>
      <w:r w:rsidR="00F35A9A" w:rsidRPr="001C37A8">
        <w:t xml:space="preserve">submissions </w:t>
      </w:r>
      <w:r>
        <w:t xml:space="preserve">until </w:t>
      </w:r>
      <w:r w:rsidR="00F35A9A" w:rsidRPr="001C37A8">
        <w:t>11 November 20</w:t>
      </w:r>
      <w:r>
        <w:t>19</w:t>
      </w:r>
      <w:r w:rsidR="00F35A9A" w:rsidRPr="001C37A8">
        <w:t xml:space="preserve">. </w:t>
      </w:r>
      <w:r w:rsidR="005C0984">
        <w:t xml:space="preserve">See relevant </w:t>
      </w:r>
      <w:hyperlink r:id="rId143" w:history="1">
        <w:r w:rsidR="005C0984" w:rsidRPr="005C0984">
          <w:rPr>
            <w:rStyle w:val="Hyperlink"/>
          </w:rPr>
          <w:t>ITU News story</w:t>
        </w:r>
      </w:hyperlink>
      <w:r w:rsidR="005C0984">
        <w:t xml:space="preserve">. </w:t>
      </w:r>
    </w:p>
    <w:p w14:paraId="1146D22C" w14:textId="46475FE8" w:rsidR="00F35A9A" w:rsidRPr="001C37A8" w:rsidRDefault="008077A1" w:rsidP="001C37A8">
      <w:r>
        <w:t>The new PP Resolution 207 (Dubai, 2018) highlights ITU membership’s support for the ITU Journal.</w:t>
      </w:r>
      <w:r w:rsidR="005C0984">
        <w:t xml:space="preserve"> </w:t>
      </w:r>
      <w:r w:rsidR="00F35A9A" w:rsidRPr="001C37A8">
        <w:t xml:space="preserve">The ITU Journal </w:t>
      </w:r>
      <w:r w:rsidR="005C0984">
        <w:t xml:space="preserve">has </w:t>
      </w:r>
      <w:r w:rsidR="00F35A9A" w:rsidRPr="001C37A8">
        <w:t>also embarked on a new expansion effort,</w:t>
      </w:r>
      <w:r>
        <w:t xml:space="preserve"> an effort that began with</w:t>
      </w:r>
      <w:r w:rsidR="00F35A9A" w:rsidRPr="001C37A8">
        <w:t xml:space="preserve"> </w:t>
      </w:r>
      <w:r>
        <w:t>ITU</w:t>
      </w:r>
      <w:r w:rsidR="00F35A9A" w:rsidRPr="001C37A8">
        <w:t xml:space="preserve"> signing a co-publishing agreement with Tsinghua Univers</w:t>
      </w:r>
      <w:r w:rsidR="006C1CAD" w:rsidRPr="001C37A8">
        <w:t>ity Press in January 2019.</w:t>
      </w:r>
    </w:p>
    <w:p w14:paraId="05484A99" w14:textId="57DAD0A3" w:rsidR="006944F8" w:rsidRPr="00C1421E" w:rsidRDefault="006944F8" w:rsidP="00C1421E">
      <w:pPr>
        <w:pStyle w:val="Heading2"/>
      </w:pPr>
      <w:bookmarkStart w:id="154" w:name="_Toc18509774"/>
      <w:r w:rsidRPr="00C1421E">
        <w:t>1</w:t>
      </w:r>
      <w:r w:rsidR="002F0E38" w:rsidRPr="00C1421E">
        <w:t>0</w:t>
      </w:r>
      <w:r w:rsidRPr="00C1421E">
        <w:t>.3</w:t>
      </w:r>
      <w:r w:rsidRPr="00C1421E">
        <w:tab/>
        <w:t>World Standards Cooperation and Academia</w:t>
      </w:r>
      <w:bookmarkEnd w:id="154"/>
    </w:p>
    <w:p w14:paraId="41628F1F" w14:textId="2E1C5843" w:rsidR="006944F8" w:rsidRPr="001C37A8" w:rsidRDefault="006944F8" w:rsidP="001C37A8">
      <w:r w:rsidRPr="001C37A8">
        <w:t>IEC, ISO and</w:t>
      </w:r>
      <w:r w:rsidR="008D184E" w:rsidRPr="001C37A8">
        <w:t xml:space="preserve"> ITU </w:t>
      </w:r>
      <w:r w:rsidRPr="001C37A8">
        <w:t xml:space="preserve">organize </w:t>
      </w:r>
      <w:r w:rsidR="008077A1">
        <w:t xml:space="preserve">academic events under the banner of the </w:t>
      </w:r>
      <w:r w:rsidRPr="001C37A8">
        <w:t>World Standards Cooperation</w:t>
      </w:r>
      <w:r w:rsidR="008077A1">
        <w:t xml:space="preserve"> to </w:t>
      </w:r>
      <w:r w:rsidRPr="001C37A8">
        <w:t xml:space="preserve">discuss the role </w:t>
      </w:r>
      <w:r w:rsidR="008077A1">
        <w:t xml:space="preserve">played by </w:t>
      </w:r>
      <w:r w:rsidRPr="001C37A8">
        <w:t>academia in the standards-development process.</w:t>
      </w:r>
    </w:p>
    <w:p w14:paraId="7D19734C" w14:textId="7DE2D75C" w:rsidR="006944F8" w:rsidRPr="001C37A8" w:rsidRDefault="006944F8" w:rsidP="001C37A8">
      <w:r w:rsidRPr="001C37A8">
        <w:t>WSC Academic Day</w:t>
      </w:r>
      <w:r w:rsidR="008077A1">
        <w:t>s</w:t>
      </w:r>
      <w:r w:rsidRPr="001C37A8">
        <w:t xml:space="preserve"> took place in China (2011), Indonesia (2012), France (2013), Canada (2014), Korea (2015), Germany (2016), </w:t>
      </w:r>
      <w:r w:rsidR="008D184E" w:rsidRPr="001C37A8">
        <w:t xml:space="preserve">the </w:t>
      </w:r>
      <w:r w:rsidRPr="001C37A8">
        <w:t>U</w:t>
      </w:r>
      <w:r w:rsidR="003D4F6B">
        <w:t>.S.</w:t>
      </w:r>
      <w:r w:rsidRPr="001C37A8">
        <w:t xml:space="preserve"> (2017)</w:t>
      </w:r>
      <w:r w:rsidR="00F35A9A" w:rsidRPr="001C37A8">
        <w:t xml:space="preserve"> and Indonesia (2018)</w:t>
      </w:r>
      <w:r w:rsidR="008D184E" w:rsidRPr="001C37A8">
        <w:t>. These events are held</w:t>
      </w:r>
      <w:r w:rsidRPr="001C37A8">
        <w:t xml:space="preserve"> in </w:t>
      </w:r>
      <w:r w:rsidRPr="001C37A8">
        <w:lastRenderedPageBreak/>
        <w:t>conjunction with the annual International Cooperation for Education about Standardization (ICES) conferences.</w:t>
      </w:r>
    </w:p>
    <w:p w14:paraId="2BA7DD1F" w14:textId="12EBA1BE" w:rsidR="00F35A9A" w:rsidRPr="001C37A8" w:rsidRDefault="00F35A9A" w:rsidP="001C37A8">
      <w:pPr>
        <w:rPr>
          <w:rFonts w:eastAsia="Arial"/>
          <w:highlight w:val="yellow"/>
        </w:rPr>
      </w:pPr>
      <w:r w:rsidRPr="001C37A8">
        <w:t xml:space="preserve">WSC Academic Day 2019 will take place </w:t>
      </w:r>
      <w:r w:rsidR="008077A1">
        <w:t>in Belgrade, Serbia,</w:t>
      </w:r>
      <w:r w:rsidRPr="001C37A8">
        <w:t xml:space="preserve"> 11 October 2019, hosted by the University of Belgrade. The central theme </w:t>
      </w:r>
      <w:r w:rsidR="008077A1">
        <w:t xml:space="preserve">of WSC </w:t>
      </w:r>
      <w:r w:rsidRPr="001C37A8">
        <w:t xml:space="preserve">Academic Day </w:t>
      </w:r>
      <w:r w:rsidR="008077A1">
        <w:t xml:space="preserve">2019 will be </w:t>
      </w:r>
      <w:r w:rsidRPr="001C37A8">
        <w:t>the economic, social and environmental benefits of International Standards.</w:t>
      </w:r>
    </w:p>
    <w:p w14:paraId="5FD8F3B0" w14:textId="21782E0F" w:rsidR="006944F8" w:rsidRPr="00C1421E" w:rsidRDefault="002F0E38" w:rsidP="006944F8">
      <w:pPr>
        <w:pStyle w:val="Heading1"/>
      </w:pPr>
      <w:bookmarkStart w:id="155" w:name="_Toc462664274"/>
      <w:bookmarkStart w:id="156" w:name="_Toc480527863"/>
      <w:bookmarkStart w:id="157" w:name="_Toc18509775"/>
      <w:bookmarkStart w:id="158" w:name="_Toc453929120"/>
      <w:bookmarkStart w:id="159" w:name="_Toc453932991"/>
      <w:bookmarkStart w:id="160" w:name="_Toc454295897"/>
      <w:bookmarkStart w:id="161" w:name="_Toc387390042"/>
      <w:bookmarkStart w:id="162" w:name="_Toc416161372"/>
      <w:bookmarkStart w:id="163" w:name="_Toc438553998"/>
      <w:r w:rsidRPr="00C1421E">
        <w:t>11</w:t>
      </w:r>
      <w:r w:rsidR="006944F8" w:rsidRPr="00C1421E">
        <w:tab/>
        <w:t>Publications</w:t>
      </w:r>
      <w:bookmarkEnd w:id="155"/>
      <w:bookmarkEnd w:id="156"/>
      <w:bookmarkEnd w:id="157"/>
    </w:p>
    <w:p w14:paraId="21098919" w14:textId="6BD6908F" w:rsidR="006944F8" w:rsidRPr="00C1421E" w:rsidRDefault="006944F8" w:rsidP="002013A1">
      <w:pPr>
        <w:rPr>
          <w:lang w:val="en-GB"/>
        </w:rPr>
      </w:pPr>
      <w:r w:rsidRPr="00C1421E">
        <w:rPr>
          <w:lang w:val="en-GB"/>
        </w:rPr>
        <w:t xml:space="preserve">Over </w:t>
      </w:r>
      <w:r w:rsidR="00AC4C00" w:rsidRPr="00C1421E">
        <w:rPr>
          <w:lang w:val="en-GB"/>
        </w:rPr>
        <w:t>1</w:t>
      </w:r>
      <w:r w:rsidR="001F724D">
        <w:rPr>
          <w:lang w:val="en-GB"/>
        </w:rPr>
        <w:t>4</w:t>
      </w:r>
      <w:r w:rsidR="008D184E" w:rsidRPr="00C1421E">
        <w:rPr>
          <w:lang w:val="en-GB"/>
        </w:rPr>
        <w:t>,</w:t>
      </w:r>
      <w:r w:rsidR="001F724D">
        <w:rPr>
          <w:lang w:val="en-GB"/>
        </w:rPr>
        <w:t>0</w:t>
      </w:r>
      <w:r w:rsidRPr="00C1421E">
        <w:rPr>
          <w:lang w:val="en-GB"/>
        </w:rPr>
        <w:t xml:space="preserve">00 pages of ITU-T Recommendations and Supplements were published between </w:t>
      </w:r>
      <w:r w:rsidR="00AC4C00" w:rsidRPr="00C1421E">
        <w:rPr>
          <w:lang w:val="en-GB"/>
        </w:rPr>
        <w:t xml:space="preserve">October 2018 and July </w:t>
      </w:r>
      <w:r w:rsidRPr="00C1421E">
        <w:rPr>
          <w:lang w:val="en-GB"/>
        </w:rPr>
        <w:t>201</w:t>
      </w:r>
      <w:r w:rsidR="00AC4C00" w:rsidRPr="00C1421E">
        <w:rPr>
          <w:lang w:val="en-GB"/>
        </w:rPr>
        <w:t>9</w:t>
      </w:r>
      <w:r w:rsidRPr="00C1421E">
        <w:rPr>
          <w:lang w:val="en-GB"/>
        </w:rPr>
        <w:t xml:space="preserve">. Figure 4 illustrates the number of Recommendations (including Supplements) published per year </w:t>
      </w:r>
      <w:r w:rsidR="004C0A18" w:rsidRPr="00C1421E">
        <w:rPr>
          <w:lang w:val="en-GB"/>
        </w:rPr>
        <w:t>since 201</w:t>
      </w:r>
      <w:r w:rsidR="009A4E2D" w:rsidRPr="00C1421E">
        <w:rPr>
          <w:lang w:val="en-GB"/>
        </w:rPr>
        <w:t>6</w:t>
      </w:r>
      <w:r w:rsidR="0021319C">
        <w:rPr>
          <w:lang w:val="en-GB"/>
        </w:rPr>
        <w:t xml:space="preserve">, </w:t>
      </w:r>
      <w:r w:rsidR="00345610" w:rsidRPr="00C1421E">
        <w:rPr>
          <w:lang w:val="en-GB"/>
        </w:rPr>
        <w:t>not</w:t>
      </w:r>
      <w:r w:rsidR="0021319C">
        <w:rPr>
          <w:lang w:val="en-GB"/>
        </w:rPr>
        <w:t>ing</w:t>
      </w:r>
      <w:r w:rsidR="00345610" w:rsidRPr="00C1421E">
        <w:rPr>
          <w:lang w:val="en-GB"/>
        </w:rPr>
        <w:t xml:space="preserve"> that 201</w:t>
      </w:r>
      <w:r w:rsidR="00AC4C00" w:rsidRPr="00C1421E">
        <w:rPr>
          <w:lang w:val="en-GB"/>
        </w:rPr>
        <w:t>9</w:t>
      </w:r>
      <w:r w:rsidR="00345610" w:rsidRPr="00C1421E">
        <w:rPr>
          <w:lang w:val="en-GB"/>
        </w:rPr>
        <w:t xml:space="preserve"> </w:t>
      </w:r>
      <w:r w:rsidR="009A4E2D" w:rsidRPr="00C1421E">
        <w:rPr>
          <w:lang w:val="en-GB"/>
        </w:rPr>
        <w:t xml:space="preserve">covers only until </w:t>
      </w:r>
      <w:r w:rsidR="001F724D">
        <w:rPr>
          <w:lang w:val="en-GB"/>
        </w:rPr>
        <w:t>August</w:t>
      </w:r>
      <w:r w:rsidRPr="00C1421E">
        <w:rPr>
          <w:lang w:val="en-GB"/>
        </w:rPr>
        <w:t>.</w:t>
      </w:r>
    </w:p>
    <w:p w14:paraId="05DD359D" w14:textId="11AAC9A7" w:rsidR="006944F8" w:rsidRPr="00C1421E" w:rsidRDefault="006944F8" w:rsidP="002013A1">
      <w:pPr>
        <w:rPr>
          <w:lang w:val="en-GB"/>
        </w:rPr>
      </w:pPr>
      <w:r w:rsidRPr="00C1421E">
        <w:rPr>
          <w:lang w:val="en-GB"/>
        </w:rPr>
        <w:t xml:space="preserve">All major revisions of ITU-T Recommendations are now also being </w:t>
      </w:r>
      <w:r w:rsidR="00AC4C00" w:rsidRPr="00C1421E">
        <w:rPr>
          <w:lang w:val="en-GB"/>
        </w:rPr>
        <w:t xml:space="preserve">converted to </w:t>
      </w:r>
      <w:r w:rsidRPr="00C1421E">
        <w:rPr>
          <w:lang w:val="en-GB"/>
        </w:rPr>
        <w:t xml:space="preserve">the reflowable ePub format, </w:t>
      </w:r>
      <w:r w:rsidR="00AC4C00" w:rsidRPr="00C1421E">
        <w:rPr>
          <w:lang w:val="en-GB"/>
        </w:rPr>
        <w:t xml:space="preserve">and will soon be published for free download </w:t>
      </w:r>
      <w:r w:rsidRPr="00C1421E">
        <w:rPr>
          <w:lang w:val="en-GB"/>
        </w:rPr>
        <w:t xml:space="preserve">alongside the usual PDF format. The ePub format allows users to read the Recommendations on devices of different screen sizes, and </w:t>
      </w:r>
      <w:r w:rsidR="008D184E" w:rsidRPr="00C1421E">
        <w:rPr>
          <w:lang w:val="en-GB"/>
        </w:rPr>
        <w:t xml:space="preserve">also </w:t>
      </w:r>
      <w:r w:rsidRPr="00C1421E">
        <w:rPr>
          <w:lang w:val="en-GB"/>
        </w:rPr>
        <w:t xml:space="preserve">to </w:t>
      </w:r>
      <w:r w:rsidR="008D184E" w:rsidRPr="00C1421E">
        <w:rPr>
          <w:lang w:val="en-GB"/>
        </w:rPr>
        <w:t xml:space="preserve">apply functions such as </w:t>
      </w:r>
      <w:r w:rsidRPr="00C1421E">
        <w:rPr>
          <w:lang w:val="en-GB"/>
        </w:rPr>
        <w:t>bookmark</w:t>
      </w:r>
      <w:r w:rsidR="008D184E" w:rsidRPr="00C1421E">
        <w:rPr>
          <w:lang w:val="en-GB"/>
        </w:rPr>
        <w:t>s</w:t>
      </w:r>
      <w:r w:rsidRPr="00C1421E">
        <w:rPr>
          <w:lang w:val="en-GB"/>
        </w:rPr>
        <w:t>, notes and highlight</w:t>
      </w:r>
      <w:r w:rsidR="008D184E" w:rsidRPr="00C1421E">
        <w:rPr>
          <w:lang w:val="en-GB"/>
        </w:rPr>
        <w:t>s</w:t>
      </w:r>
      <w:r w:rsidRPr="00C1421E">
        <w:rPr>
          <w:lang w:val="en-GB"/>
        </w:rPr>
        <w:t xml:space="preserve">. </w:t>
      </w:r>
    </w:p>
    <w:p w14:paraId="125E7DFD" w14:textId="58691955" w:rsidR="006944F8" w:rsidRPr="00C1421E" w:rsidRDefault="006944F8" w:rsidP="002013A1">
      <w:pPr>
        <w:rPr>
          <w:lang w:val="en-GB"/>
        </w:rPr>
      </w:pPr>
      <w:r w:rsidRPr="00C1421E">
        <w:rPr>
          <w:lang w:val="en-GB"/>
        </w:rPr>
        <w:t xml:space="preserve">The ITU product </w:t>
      </w:r>
      <w:r w:rsidR="00CA2D85" w:rsidRPr="00C1421E">
        <w:rPr>
          <w:lang w:val="en-GB"/>
        </w:rPr>
        <w:t>"</w:t>
      </w:r>
      <w:r w:rsidRPr="00C1421E">
        <w:rPr>
          <w:lang w:val="en-GB"/>
        </w:rPr>
        <w:t>ITU-T Recommendations and selected Handbooks</w:t>
      </w:r>
      <w:r w:rsidR="00CA2D85" w:rsidRPr="00C1421E">
        <w:rPr>
          <w:lang w:val="en-GB"/>
        </w:rPr>
        <w:t>"</w:t>
      </w:r>
      <w:r w:rsidRPr="00C1421E">
        <w:rPr>
          <w:lang w:val="en-GB"/>
        </w:rPr>
        <w:t xml:space="preserve"> continues to be distributed on a quarterly basis as a USB key. This product represents a tool of great value to standards developers and implementers as a consolidated archive of the over 4</w:t>
      </w:r>
      <w:r w:rsidR="008D184E" w:rsidRPr="00C1421E">
        <w:rPr>
          <w:lang w:val="en-GB"/>
        </w:rPr>
        <w:t>,</w:t>
      </w:r>
      <w:r w:rsidRPr="00C1421E">
        <w:rPr>
          <w:lang w:val="en-GB"/>
        </w:rPr>
        <w:t>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44D397D8" w14:textId="6006BF5E" w:rsidR="009673A2" w:rsidRPr="001C37A8" w:rsidRDefault="001F724D" w:rsidP="009673A2">
      <w:pPr>
        <w:jc w:val="center"/>
        <w:rPr>
          <w:lang w:val="en-GB"/>
        </w:rPr>
      </w:pPr>
      <w:r w:rsidRPr="001F724D">
        <w:rPr>
          <w:lang w:eastAsia="en-GB"/>
        </w:rPr>
        <w:t xml:space="preserve"> </w:t>
      </w:r>
      <w:r>
        <w:rPr>
          <w:noProof/>
          <w:lang w:val="en-GB"/>
        </w:rPr>
        <w:drawing>
          <wp:inline distT="0" distB="0" distL="0" distR="0" wp14:anchorId="2ED386C9" wp14:editId="1CC4B2E5">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44" r:link="rId14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003E41E" w14:textId="0860F07A" w:rsidR="006944F8" w:rsidRPr="007339CE" w:rsidRDefault="006944F8" w:rsidP="007339CE">
      <w:pPr>
        <w:pStyle w:val="Title"/>
        <w:rPr>
          <w:rFonts w:ascii="Times New Roman" w:eastAsia="Times New Roman" w:hAnsi="Times New Roman"/>
          <w:bCs w:val="0"/>
          <w:sz w:val="24"/>
          <w:szCs w:val="20"/>
          <w:lang w:val="en-GB"/>
        </w:rPr>
      </w:pPr>
      <w:bookmarkStart w:id="164" w:name="_Toc16780647"/>
      <w:bookmarkStart w:id="165" w:name="_Toc18509776"/>
      <w:r w:rsidRPr="007339CE">
        <w:rPr>
          <w:rFonts w:ascii="Times New Roman" w:eastAsia="Times New Roman" w:hAnsi="Times New Roman"/>
          <w:bCs w:val="0"/>
          <w:sz w:val="24"/>
          <w:szCs w:val="20"/>
          <w:lang w:val="en-GB"/>
        </w:rPr>
        <w:t xml:space="preserve">Figure </w:t>
      </w:r>
      <w:r w:rsidR="00C1421E" w:rsidRPr="007339CE">
        <w:rPr>
          <w:rFonts w:ascii="Times New Roman" w:eastAsia="Times New Roman" w:hAnsi="Times New Roman"/>
          <w:bCs w:val="0"/>
          <w:sz w:val="24"/>
          <w:szCs w:val="20"/>
          <w:lang w:val="en-GB"/>
        </w:rPr>
        <w:fldChar w:fldCharType="begin"/>
      </w:r>
      <w:r w:rsidR="00C1421E" w:rsidRPr="007339CE">
        <w:rPr>
          <w:rFonts w:ascii="Times New Roman" w:eastAsia="Times New Roman" w:hAnsi="Times New Roman"/>
          <w:bCs w:val="0"/>
          <w:sz w:val="24"/>
          <w:szCs w:val="20"/>
          <w:lang w:val="en-GB"/>
        </w:rPr>
        <w:instrText xml:space="preserve"> SEQ Figure \* ARABIC </w:instrText>
      </w:r>
      <w:r w:rsidR="00C1421E" w:rsidRPr="007339CE">
        <w:rPr>
          <w:rFonts w:ascii="Times New Roman" w:eastAsia="Times New Roman" w:hAnsi="Times New Roman"/>
          <w:bCs w:val="0"/>
          <w:sz w:val="24"/>
          <w:szCs w:val="20"/>
          <w:lang w:val="en-GB"/>
        </w:rPr>
        <w:fldChar w:fldCharType="separate"/>
      </w:r>
      <w:r w:rsidR="00281171">
        <w:rPr>
          <w:rFonts w:ascii="Times New Roman" w:eastAsia="Times New Roman" w:hAnsi="Times New Roman"/>
          <w:bCs w:val="0"/>
          <w:noProof/>
          <w:sz w:val="24"/>
          <w:szCs w:val="20"/>
          <w:lang w:val="en-GB"/>
        </w:rPr>
        <w:t>2</w:t>
      </w:r>
      <w:r w:rsidR="00C1421E" w:rsidRPr="007339CE">
        <w:rPr>
          <w:rFonts w:ascii="Times New Roman" w:eastAsia="Times New Roman" w:hAnsi="Times New Roman"/>
          <w:bCs w:val="0"/>
          <w:sz w:val="24"/>
          <w:szCs w:val="20"/>
          <w:lang w:val="en-GB"/>
        </w:rPr>
        <w:fldChar w:fldCharType="end"/>
      </w:r>
      <w:r w:rsidRPr="007339CE">
        <w:rPr>
          <w:rFonts w:ascii="Times New Roman" w:eastAsia="Times New Roman" w:hAnsi="Times New Roman"/>
          <w:bCs w:val="0"/>
          <w:sz w:val="24"/>
          <w:szCs w:val="20"/>
          <w:lang w:val="en-GB"/>
        </w:rPr>
        <w:t xml:space="preserve"> – Number of Recommendations, amendments and Supplements </w:t>
      </w:r>
      <w:r w:rsidRPr="007339CE">
        <w:rPr>
          <w:rFonts w:ascii="Times New Roman" w:eastAsia="Times New Roman" w:hAnsi="Times New Roman"/>
          <w:bCs w:val="0"/>
          <w:sz w:val="24"/>
          <w:szCs w:val="20"/>
          <w:lang w:val="en-GB"/>
        </w:rPr>
        <w:br/>
        <w:t>published per year since 201</w:t>
      </w:r>
      <w:r w:rsidR="009A4E2D" w:rsidRPr="007339CE">
        <w:rPr>
          <w:rFonts w:ascii="Times New Roman" w:eastAsia="Times New Roman" w:hAnsi="Times New Roman"/>
          <w:bCs w:val="0"/>
          <w:sz w:val="24"/>
          <w:szCs w:val="20"/>
          <w:lang w:val="en-GB"/>
        </w:rPr>
        <w:t>6</w:t>
      </w:r>
      <w:bookmarkEnd w:id="164"/>
      <w:bookmarkEnd w:id="165"/>
    </w:p>
    <w:p w14:paraId="605353D9" w14:textId="064E727D" w:rsidR="006944F8" w:rsidRPr="00C1421E" w:rsidRDefault="006944F8" w:rsidP="006944F8">
      <w:pPr>
        <w:pStyle w:val="Heading1"/>
      </w:pPr>
      <w:bookmarkStart w:id="166" w:name="_Toc462664275"/>
      <w:bookmarkStart w:id="167" w:name="_Toc480527864"/>
      <w:bookmarkStart w:id="168" w:name="_Toc18509777"/>
      <w:r w:rsidRPr="00C1421E">
        <w:t>1</w:t>
      </w:r>
      <w:r w:rsidR="002F0E38" w:rsidRPr="00C1421E">
        <w:t>2</w:t>
      </w:r>
      <w:r w:rsidRPr="00C1421E">
        <w:tab/>
      </w:r>
      <w:bookmarkStart w:id="169" w:name="_Toc480527865"/>
      <w:bookmarkStart w:id="170" w:name="_Toc505235939"/>
      <w:bookmarkEnd w:id="158"/>
      <w:bookmarkEnd w:id="159"/>
      <w:bookmarkEnd w:id="160"/>
      <w:bookmarkEnd w:id="161"/>
      <w:bookmarkEnd w:id="162"/>
      <w:bookmarkEnd w:id="163"/>
      <w:bookmarkEnd w:id="166"/>
      <w:bookmarkEnd w:id="167"/>
      <w:r w:rsidRPr="00C1421E">
        <w:t>Media and promotion</w:t>
      </w:r>
      <w:bookmarkEnd w:id="168"/>
      <w:bookmarkEnd w:id="169"/>
      <w:bookmarkEnd w:id="170"/>
    </w:p>
    <w:p w14:paraId="2B0A2FA8" w14:textId="509D3D4A" w:rsidR="004E6F00" w:rsidRPr="001C37A8" w:rsidRDefault="006944F8" w:rsidP="001C37A8">
      <w:r w:rsidRPr="001C37A8">
        <w:t>TSB maintains a consistent output of original ITU-T news content, coupled with a coordinated social media strategy led by the ITU General Secretar</w:t>
      </w:r>
      <w:r w:rsidR="00084C58" w:rsidRPr="001C37A8">
        <w:t>iat.</w:t>
      </w:r>
    </w:p>
    <w:p w14:paraId="657F0167" w14:textId="6BBF5427" w:rsidR="004E6F00" w:rsidRPr="001C37A8" w:rsidRDefault="004258B1" w:rsidP="001C37A8">
      <w:r w:rsidRPr="001C37A8">
        <w:t>TSB produces the most communications of any sector and these communications feature among the most popular ITU content each year.</w:t>
      </w:r>
      <w:r w:rsidR="004E6F00" w:rsidRPr="001C37A8">
        <w:t xml:space="preserve"> </w:t>
      </w:r>
      <w:r w:rsidR="006944F8" w:rsidRPr="001C37A8">
        <w:t xml:space="preserve">ITU-T news is published on the new </w:t>
      </w:r>
      <w:hyperlink r:id="rId146" w:history="1">
        <w:r w:rsidR="006944F8" w:rsidRPr="001C37A8">
          <w:rPr>
            <w:rStyle w:val="Hyperlink"/>
          </w:rPr>
          <w:t>ITU News platform</w:t>
        </w:r>
      </w:hyperlink>
      <w:r w:rsidR="001D7B96" w:rsidRPr="001C37A8">
        <w:t xml:space="preserve">, a </w:t>
      </w:r>
      <w:r w:rsidRPr="001C37A8">
        <w:t xml:space="preserve">mobile-optimized platform </w:t>
      </w:r>
      <w:r w:rsidR="001D7B96" w:rsidRPr="001C37A8">
        <w:t xml:space="preserve">which </w:t>
      </w:r>
      <w:r w:rsidRPr="001C37A8">
        <w:t xml:space="preserve">supports the incorporation of multimedia and improves search-engine results and sharing. A new </w:t>
      </w:r>
      <w:hyperlink r:id="rId147" w:history="1">
        <w:r w:rsidR="00CA2D85" w:rsidRPr="001C37A8">
          <w:rPr>
            <w:rStyle w:val="Hyperlink"/>
          </w:rPr>
          <w:t>'</w:t>
        </w:r>
        <w:r w:rsidRPr="001C37A8">
          <w:rPr>
            <w:rStyle w:val="Hyperlink"/>
          </w:rPr>
          <w:t>Standards</w:t>
        </w:r>
        <w:r w:rsidR="00CA2D85" w:rsidRPr="001C37A8">
          <w:rPr>
            <w:rStyle w:val="Hyperlink"/>
          </w:rPr>
          <w:t>'</w:t>
        </w:r>
        <w:r w:rsidRPr="001C37A8">
          <w:rPr>
            <w:rStyle w:val="Hyperlink"/>
          </w:rPr>
          <w:t xml:space="preserve"> category of ITU News</w:t>
        </w:r>
      </w:hyperlink>
      <w:r w:rsidRPr="001C37A8">
        <w:t xml:space="preserve"> focuses </w:t>
      </w:r>
      <w:r w:rsidR="00BE3030" w:rsidRPr="001C37A8">
        <w:t>on the work of ITU-R and ITU-T.</w:t>
      </w:r>
    </w:p>
    <w:p w14:paraId="77C49CE5" w14:textId="0099AB51" w:rsidR="006944F8" w:rsidRPr="001C37A8" w:rsidRDefault="004E6F00" w:rsidP="001C37A8">
      <w:r w:rsidRPr="001C37A8">
        <w:lastRenderedPageBreak/>
        <w:t xml:space="preserve">TSB communications are systematically distributed using a variety of social media channels including Twitter, Facebook, LinkedIn, Weibo and YouTube. </w:t>
      </w:r>
      <w:r w:rsidR="00F053CB" w:rsidRPr="00F053CB">
        <w:rPr>
          <w:lang w:val="en-GB"/>
        </w:rPr>
        <w:t xml:space="preserve">Infographics, animations and video form part of coordinated packages of TSB communications. </w:t>
      </w:r>
    </w:p>
    <w:p w14:paraId="4CC40111" w14:textId="77777777" w:rsidR="006944F8" w:rsidRPr="00F053CB" w:rsidRDefault="006944F8" w:rsidP="001C37A8">
      <w:r w:rsidRPr="00F053CB">
        <w:t>High-priority ITU-T news topics include:</w:t>
      </w:r>
    </w:p>
    <w:p w14:paraId="49B61ACC" w14:textId="6152DEFA" w:rsidR="00150C92" w:rsidRPr="00150C92" w:rsidRDefault="006944F8" w:rsidP="00150C92">
      <w:pPr>
        <w:numPr>
          <w:ilvl w:val="0"/>
          <w:numId w:val="34"/>
        </w:numPr>
        <w:rPr>
          <w:lang w:val="en-GB"/>
        </w:rPr>
      </w:pPr>
      <w:r w:rsidRPr="00150C92">
        <w:rPr>
          <w:lang w:val="en-GB"/>
        </w:rPr>
        <w:t>Transport and access</w:t>
      </w:r>
      <w:r w:rsidR="001D7B96" w:rsidRPr="00150C92">
        <w:rPr>
          <w:lang w:val="en-GB"/>
        </w:rPr>
        <w:t>,</w:t>
      </w:r>
      <w:r w:rsidRPr="00150C92">
        <w:rPr>
          <w:lang w:val="en-GB"/>
        </w:rPr>
        <w:t xml:space="preserve"> video coding</w:t>
      </w:r>
      <w:r w:rsidR="001D7B96" w:rsidRPr="00150C92">
        <w:rPr>
          <w:lang w:val="en-GB"/>
        </w:rPr>
        <w:t xml:space="preserve">, </w:t>
      </w:r>
      <w:r w:rsidRPr="00150C92">
        <w:rPr>
          <w:lang w:val="en-GB"/>
        </w:rPr>
        <w:t>and performance, QoS and QoE are of great interest to ITU-T</w:t>
      </w:r>
      <w:r w:rsidR="00CA2D85" w:rsidRPr="00150C92">
        <w:rPr>
          <w:lang w:val="en-GB"/>
        </w:rPr>
        <w:t>'</w:t>
      </w:r>
      <w:r w:rsidRPr="00150C92">
        <w:rPr>
          <w:lang w:val="en-GB"/>
        </w:rPr>
        <w:t>s audience. The success of related ITU-T news can be attributed to ITU</w:t>
      </w:r>
      <w:r w:rsidR="00CA2D85" w:rsidRPr="00150C92">
        <w:rPr>
          <w:lang w:val="en-GB"/>
        </w:rPr>
        <w:t>'</w:t>
      </w:r>
      <w:r w:rsidRPr="00150C92">
        <w:rPr>
          <w:lang w:val="en-GB"/>
        </w:rPr>
        <w:t>s leadership and credibility in these fields.</w:t>
      </w:r>
    </w:p>
    <w:p w14:paraId="6C08B6D3" w14:textId="43410353" w:rsidR="00150C92" w:rsidRPr="00150C92" w:rsidRDefault="006653E5" w:rsidP="00150C92">
      <w:pPr>
        <w:numPr>
          <w:ilvl w:val="0"/>
          <w:numId w:val="34"/>
        </w:numPr>
        <w:rPr>
          <w:lang w:val="en-GB"/>
        </w:rPr>
      </w:pPr>
      <w:r>
        <w:rPr>
          <w:lang w:val="en-GB"/>
        </w:rPr>
        <w:t>5G, trust, IoT and smart c</w:t>
      </w:r>
      <w:r w:rsidR="006944F8" w:rsidRPr="00150C92">
        <w:rPr>
          <w:lang w:val="en-GB"/>
        </w:rPr>
        <w:t xml:space="preserve">ities are effective </w:t>
      </w:r>
      <w:r w:rsidR="00CA2D85" w:rsidRPr="00150C92">
        <w:rPr>
          <w:lang w:val="en-GB"/>
        </w:rPr>
        <w:t>'</w:t>
      </w:r>
      <w:r w:rsidR="006944F8" w:rsidRPr="00150C92">
        <w:rPr>
          <w:lang w:val="en-GB"/>
        </w:rPr>
        <w:t>headline</w:t>
      </w:r>
      <w:r w:rsidR="00CA2D85" w:rsidRPr="00150C92">
        <w:rPr>
          <w:lang w:val="en-GB"/>
        </w:rPr>
        <w:t>'</w:t>
      </w:r>
      <w:r w:rsidR="006944F8" w:rsidRPr="00150C92">
        <w:rPr>
          <w:lang w:val="en-GB"/>
        </w:rPr>
        <w:t xml:space="preserve"> topics, helping ITU-T news to highlight how I</w:t>
      </w:r>
      <w:r w:rsidR="00E81BEB" w:rsidRPr="008011D6">
        <w:rPr>
          <w:lang w:val="en-GB"/>
        </w:rPr>
        <w:t>TU standards support ICT users.</w:t>
      </w:r>
    </w:p>
    <w:p w14:paraId="19D46D32" w14:textId="30294D36" w:rsidR="006944F8" w:rsidRPr="00F053CB" w:rsidRDefault="00CA2D85" w:rsidP="00150C92">
      <w:pPr>
        <w:numPr>
          <w:ilvl w:val="0"/>
          <w:numId w:val="34"/>
        </w:numPr>
      </w:pPr>
      <w:r w:rsidRPr="00150C92">
        <w:rPr>
          <w:lang w:val="en-GB"/>
        </w:rPr>
        <w:t>'</w:t>
      </w:r>
      <w:r w:rsidR="00AF6AAA" w:rsidRPr="00150C92">
        <w:rPr>
          <w:lang w:val="en-GB"/>
        </w:rPr>
        <w:t>Emerging trends</w:t>
      </w:r>
      <w:r w:rsidRPr="00150C92">
        <w:rPr>
          <w:lang w:val="en-GB"/>
        </w:rPr>
        <w:t>'</w:t>
      </w:r>
      <w:r w:rsidR="006653E5">
        <w:rPr>
          <w:lang w:val="en-GB"/>
        </w:rPr>
        <w:t xml:space="preserve"> such as AI, ITS, </w:t>
      </w:r>
      <w:proofErr w:type="spellStart"/>
      <w:r w:rsidR="006653E5">
        <w:rPr>
          <w:lang w:val="en-GB"/>
        </w:rPr>
        <w:t>b</w:t>
      </w:r>
      <w:r w:rsidR="00AF6AAA" w:rsidRPr="00150C92">
        <w:rPr>
          <w:lang w:val="en-GB"/>
        </w:rPr>
        <w:t>lockchain</w:t>
      </w:r>
      <w:proofErr w:type="spellEnd"/>
      <w:r w:rsidR="00AF6AAA" w:rsidRPr="00150C92">
        <w:rPr>
          <w:lang w:val="en-GB"/>
        </w:rPr>
        <w:t xml:space="preserve">, DFS and quantum </w:t>
      </w:r>
      <w:r w:rsidR="0021319C" w:rsidRPr="00150C92">
        <w:rPr>
          <w:lang w:val="en-GB"/>
        </w:rPr>
        <w:t xml:space="preserve">information technologies </w:t>
      </w:r>
      <w:r w:rsidR="00150C92" w:rsidRPr="008011D6">
        <w:rPr>
          <w:lang w:val="en-GB"/>
        </w:rPr>
        <w:t xml:space="preserve">are also proving </w:t>
      </w:r>
      <w:r w:rsidR="00AF6AAA" w:rsidRPr="008011D6">
        <w:rPr>
          <w:lang w:val="en-GB"/>
        </w:rPr>
        <w:t>popular with ITU-T</w:t>
      </w:r>
      <w:r w:rsidRPr="008011D6">
        <w:rPr>
          <w:lang w:val="en-GB"/>
        </w:rPr>
        <w:t>'</w:t>
      </w:r>
      <w:r w:rsidR="00AF6AAA" w:rsidRPr="008011D6">
        <w:rPr>
          <w:lang w:val="en-GB"/>
        </w:rPr>
        <w:t>s audience</w:t>
      </w:r>
      <w:r w:rsidR="006944F8" w:rsidRPr="008011D6">
        <w:rPr>
          <w:lang w:val="en-GB"/>
        </w:rPr>
        <w:t>.</w:t>
      </w:r>
    </w:p>
    <w:p w14:paraId="63791F6A" w14:textId="0E4999CA" w:rsidR="006944F8" w:rsidRPr="00C1421E" w:rsidRDefault="002F0E38" w:rsidP="00C1421E">
      <w:pPr>
        <w:pStyle w:val="Heading1"/>
      </w:pPr>
      <w:bookmarkStart w:id="171" w:name="_Toc416161374"/>
      <w:bookmarkStart w:id="172" w:name="_Toc438553999"/>
      <w:bookmarkStart w:id="173" w:name="_Toc453929121"/>
      <w:bookmarkStart w:id="174" w:name="_Toc453932992"/>
      <w:bookmarkStart w:id="175" w:name="_Toc454295898"/>
      <w:bookmarkStart w:id="176" w:name="_Toc462664276"/>
      <w:bookmarkStart w:id="177" w:name="_Toc480527868"/>
      <w:bookmarkStart w:id="178" w:name="_Ref16697318"/>
      <w:bookmarkStart w:id="179" w:name="_Toc18509778"/>
      <w:r w:rsidRPr="00C1421E">
        <w:t>13</w:t>
      </w:r>
      <w:r w:rsidR="006944F8" w:rsidRPr="00C1421E">
        <w:tab/>
        <w:t>Services and tools</w:t>
      </w:r>
      <w:bookmarkEnd w:id="171"/>
      <w:bookmarkEnd w:id="172"/>
      <w:bookmarkEnd w:id="173"/>
      <w:bookmarkEnd w:id="174"/>
      <w:bookmarkEnd w:id="175"/>
      <w:bookmarkEnd w:id="176"/>
      <w:bookmarkEnd w:id="177"/>
      <w:bookmarkEnd w:id="178"/>
      <w:bookmarkEnd w:id="179"/>
    </w:p>
    <w:p w14:paraId="38B721F7" w14:textId="56D9D3AF" w:rsidR="006944F8" w:rsidRPr="00C1421E" w:rsidRDefault="006944F8" w:rsidP="002013A1">
      <w:pPr>
        <w:rPr>
          <w:lang w:val="en-GB"/>
        </w:rPr>
      </w:pPr>
      <w:r w:rsidRPr="00C1421E">
        <w:rPr>
          <w:lang w:val="en-GB"/>
        </w:rPr>
        <w:t>Electronic working methods offer crucial support to members engaged in ITU</w:t>
      </w:r>
      <w:r w:rsidR="008D184E" w:rsidRPr="00C1421E">
        <w:rPr>
          <w:lang w:val="en-GB"/>
        </w:rPr>
        <w:t>-T</w:t>
      </w:r>
      <w:r w:rsidRPr="00C1421E">
        <w:rPr>
          <w:lang w:val="en-GB"/>
        </w:rPr>
        <w:t xml:space="preserve"> standardization work. </w:t>
      </w:r>
      <w:r w:rsidR="008D184E" w:rsidRPr="00C1421E">
        <w:rPr>
          <w:lang w:val="en-GB"/>
        </w:rPr>
        <w:t xml:space="preserve">TSB </w:t>
      </w:r>
      <w:r w:rsidRPr="00C1421E">
        <w:rPr>
          <w:lang w:val="en-GB"/>
        </w:rPr>
        <w:t>continues to develop new applications and services to maintain and expand ITU</w:t>
      </w:r>
      <w:r w:rsidR="008D184E" w:rsidRPr="00C1421E">
        <w:rPr>
          <w:lang w:val="en-GB"/>
        </w:rPr>
        <w:t>-T</w:t>
      </w:r>
      <w:r w:rsidR="00CA2D85" w:rsidRPr="00C1421E">
        <w:rPr>
          <w:lang w:val="en-GB"/>
        </w:rPr>
        <w:t>'</w:t>
      </w:r>
      <w:r w:rsidRPr="00C1421E">
        <w:rPr>
          <w:lang w:val="en-GB"/>
        </w:rPr>
        <w:t>s advanced electronic working environment.</w:t>
      </w:r>
    </w:p>
    <w:p w14:paraId="649ECF41" w14:textId="1988CE44" w:rsidR="006944F8" w:rsidRPr="00C1421E" w:rsidRDefault="002F0E38" w:rsidP="006944F8">
      <w:pPr>
        <w:pStyle w:val="Heading2"/>
      </w:pPr>
      <w:bookmarkStart w:id="180" w:name="_Toc312148142"/>
      <w:bookmarkStart w:id="181" w:name="_Toc462664277"/>
      <w:bookmarkStart w:id="182" w:name="_Toc480527869"/>
      <w:bookmarkStart w:id="183" w:name="_Toc18509779"/>
      <w:r w:rsidRPr="00C1421E">
        <w:t>13</w:t>
      </w:r>
      <w:r w:rsidR="006944F8" w:rsidRPr="00C1421E">
        <w:t>.1</w:t>
      </w:r>
      <w:r w:rsidR="006944F8" w:rsidRPr="00C1421E">
        <w:tab/>
        <w:t xml:space="preserve">ITU-T </w:t>
      </w:r>
      <w:r w:rsidR="001C37A8" w:rsidRPr="00C1421E">
        <w:t>databases</w:t>
      </w:r>
      <w:bookmarkEnd w:id="180"/>
      <w:bookmarkEnd w:id="181"/>
      <w:bookmarkEnd w:id="182"/>
      <w:bookmarkEnd w:id="183"/>
    </w:p>
    <w:p w14:paraId="3B81D83D" w14:textId="46111F5E" w:rsidR="006944F8" w:rsidRPr="00C1421E" w:rsidRDefault="006944F8" w:rsidP="002013A1">
      <w:pPr>
        <w:rPr>
          <w:lang w:val="en-GB"/>
        </w:rPr>
      </w:pPr>
      <w:r w:rsidRPr="00C1421E">
        <w:rPr>
          <w:lang w:val="en-GB"/>
        </w:rPr>
        <w:t>To serve ITU-T delegates and secretariat staff, the following databases are available online:</w:t>
      </w:r>
    </w:p>
    <w:p w14:paraId="7F517E03"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48" w:history="1">
        <w:r w:rsidR="006944F8" w:rsidRPr="00C1421E">
          <w:rPr>
            <w:rStyle w:val="Hyperlink"/>
            <w:rFonts w:asciiTheme="majorBidi" w:eastAsia="SimSun" w:hAnsiTheme="majorBidi" w:cstheme="majorBidi"/>
            <w:lang w:val="en-GB"/>
          </w:rPr>
          <w:t>ITU-T Work Programme</w:t>
        </w:r>
      </w:hyperlink>
    </w:p>
    <w:p w14:paraId="745C41D5"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49" w:history="1">
        <w:r w:rsidR="006944F8" w:rsidRPr="00C1421E">
          <w:rPr>
            <w:rStyle w:val="Hyperlink"/>
            <w:rFonts w:asciiTheme="majorBidi" w:eastAsia="SimSun" w:hAnsiTheme="majorBidi" w:cstheme="majorBidi"/>
            <w:lang w:val="en-GB"/>
          </w:rPr>
          <w:t>ITU-T A.4, A.5 and A.6 recognized organizations</w:t>
        </w:r>
      </w:hyperlink>
    </w:p>
    <w:p w14:paraId="12567541"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0" w:history="1">
        <w:r w:rsidR="006944F8" w:rsidRPr="00C1421E">
          <w:rPr>
            <w:rStyle w:val="Hyperlink"/>
            <w:rFonts w:asciiTheme="majorBidi" w:hAnsiTheme="majorBidi" w:cstheme="majorBidi"/>
            <w:lang w:val="en-GB"/>
          </w:rPr>
          <w:t>ITU-T AAP</w:t>
        </w:r>
      </w:hyperlink>
      <w:r w:rsidR="006944F8" w:rsidRPr="00C1421E">
        <w:rPr>
          <w:lang w:val="en-GB"/>
        </w:rPr>
        <w:t xml:space="preserve"> &amp; </w:t>
      </w:r>
      <w:hyperlink r:id="rId151" w:history="1">
        <w:r w:rsidR="006944F8" w:rsidRPr="00C1421E">
          <w:rPr>
            <w:rStyle w:val="Hyperlink"/>
            <w:rFonts w:asciiTheme="majorBidi" w:hAnsiTheme="majorBidi" w:cstheme="majorBidi"/>
            <w:lang w:val="en-GB"/>
          </w:rPr>
          <w:t>TAP</w:t>
        </w:r>
      </w:hyperlink>
    </w:p>
    <w:p w14:paraId="19DCEF3F"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2" w:history="1">
        <w:r w:rsidR="006944F8" w:rsidRPr="00C1421E">
          <w:rPr>
            <w:rStyle w:val="Hyperlink"/>
            <w:rFonts w:asciiTheme="majorBidi" w:eastAsia="SimSun" w:hAnsiTheme="majorBidi" w:cstheme="majorBidi"/>
            <w:lang w:val="en-GB"/>
          </w:rPr>
          <w:t>ITU-T Recommendations</w:t>
        </w:r>
      </w:hyperlink>
    </w:p>
    <w:p w14:paraId="4BD2F2F1"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3" w:history="1">
        <w:r w:rsidR="006944F8" w:rsidRPr="00C1421E">
          <w:rPr>
            <w:rStyle w:val="Hyperlink"/>
            <w:rFonts w:asciiTheme="majorBidi" w:eastAsia="SimSun" w:hAnsiTheme="majorBidi" w:cstheme="majorBidi"/>
            <w:lang w:val="en-GB"/>
          </w:rPr>
          <w:t>ITU-T Liaison Statements</w:t>
        </w:r>
      </w:hyperlink>
    </w:p>
    <w:p w14:paraId="76BEE416"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4" w:history="1">
        <w:r w:rsidR="006944F8" w:rsidRPr="00C1421E">
          <w:rPr>
            <w:rStyle w:val="Hyperlink"/>
            <w:rFonts w:asciiTheme="majorBidi" w:eastAsia="SimSun" w:hAnsiTheme="majorBidi" w:cstheme="majorBidi"/>
            <w:lang w:val="en-GB"/>
          </w:rPr>
          <w:t>ITU-T Patents and Software Copyrights</w:t>
        </w:r>
      </w:hyperlink>
    </w:p>
    <w:p w14:paraId="14410659"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5" w:history="1">
        <w:r w:rsidR="006944F8" w:rsidRPr="00C1421E">
          <w:rPr>
            <w:rStyle w:val="Hyperlink"/>
            <w:rFonts w:asciiTheme="majorBidi" w:eastAsia="SimSun" w:hAnsiTheme="majorBidi" w:cstheme="majorBidi"/>
            <w:lang w:val="en-GB"/>
          </w:rPr>
          <w:t>ITU Product Conformity Database</w:t>
        </w:r>
      </w:hyperlink>
    </w:p>
    <w:p w14:paraId="1D9D3C9B"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6" w:history="1">
        <w:r w:rsidR="006944F8" w:rsidRPr="00C1421E">
          <w:rPr>
            <w:rStyle w:val="Hyperlink"/>
            <w:rFonts w:asciiTheme="majorBidi" w:eastAsia="SimSun" w:hAnsiTheme="majorBidi" w:cstheme="majorBidi"/>
            <w:lang w:val="en-GB"/>
          </w:rPr>
          <w:t>ITU-T Formal descriptions and Object identifiers</w:t>
        </w:r>
      </w:hyperlink>
    </w:p>
    <w:p w14:paraId="342AC998"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7" w:history="1">
        <w:r w:rsidR="006944F8" w:rsidRPr="00C1421E">
          <w:rPr>
            <w:rStyle w:val="Hyperlink"/>
            <w:rFonts w:asciiTheme="majorBidi" w:eastAsia="SimSun" w:hAnsiTheme="majorBidi" w:cstheme="majorBidi"/>
            <w:lang w:val="en-GB"/>
          </w:rPr>
          <w:t>ITU-T Test Signals</w:t>
        </w:r>
      </w:hyperlink>
    </w:p>
    <w:p w14:paraId="6884AA67" w14:textId="77777777"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58" w:history="1">
        <w:r w:rsidR="006944F8" w:rsidRPr="00C1421E">
          <w:rPr>
            <w:rStyle w:val="Hyperlink"/>
            <w:rFonts w:asciiTheme="majorBidi" w:eastAsia="SimSun" w:hAnsiTheme="majorBidi" w:cstheme="majorBidi"/>
            <w:lang w:val="en-GB"/>
          </w:rPr>
          <w:t>ITU-T Terms &amp; Definitions</w:t>
        </w:r>
      </w:hyperlink>
    </w:p>
    <w:p w14:paraId="50026380" w14:textId="77777777" w:rsidR="004872B7" w:rsidRPr="00C1421E" w:rsidRDefault="00267090" w:rsidP="002013A1">
      <w:pPr>
        <w:numPr>
          <w:ilvl w:val="0"/>
          <w:numId w:val="15"/>
        </w:numPr>
        <w:tabs>
          <w:tab w:val="clear" w:pos="794"/>
          <w:tab w:val="clear" w:pos="1191"/>
          <w:tab w:val="clear" w:pos="1588"/>
          <w:tab w:val="clear" w:pos="1985"/>
        </w:tabs>
        <w:spacing w:before="0"/>
        <w:rPr>
          <w:lang w:val="en-GB"/>
        </w:rPr>
      </w:pPr>
      <w:hyperlink r:id="rId159" w:history="1">
        <w:r w:rsidR="006944F8" w:rsidRPr="00C1421E">
          <w:rPr>
            <w:rStyle w:val="Hyperlink"/>
            <w:rFonts w:asciiTheme="majorBidi" w:eastAsia="SimSun" w:hAnsiTheme="majorBidi" w:cstheme="majorBidi"/>
            <w:lang w:val="en-GB"/>
          </w:rPr>
          <w:t>International Numbering Resources</w:t>
        </w:r>
      </w:hyperlink>
      <w:r w:rsidR="00DD288D" w:rsidRPr="00C1421E">
        <w:rPr>
          <w:lang w:val="en-GB"/>
        </w:rPr>
        <w:t xml:space="preserve"> (See </w:t>
      </w:r>
      <w:r w:rsidR="00DD288D" w:rsidRPr="008011D6">
        <w:rPr>
          <w:lang w:val="en-GB"/>
        </w:rPr>
        <w:t>section 13</w:t>
      </w:r>
      <w:r w:rsidR="006944F8" w:rsidRPr="008011D6">
        <w:rPr>
          <w:lang w:val="en-GB"/>
        </w:rPr>
        <w:t>.6 for more details</w:t>
      </w:r>
      <w:r w:rsidR="006944F8" w:rsidRPr="00C1421E">
        <w:rPr>
          <w:lang w:val="en-GB"/>
        </w:rPr>
        <w:t>)</w:t>
      </w:r>
    </w:p>
    <w:p w14:paraId="01899100" w14:textId="3B11D5FC" w:rsidR="001C37A8" w:rsidRDefault="00267090" w:rsidP="002013A1">
      <w:pPr>
        <w:numPr>
          <w:ilvl w:val="0"/>
          <w:numId w:val="15"/>
        </w:numPr>
        <w:tabs>
          <w:tab w:val="clear" w:pos="794"/>
          <w:tab w:val="clear" w:pos="1191"/>
          <w:tab w:val="clear" w:pos="1588"/>
          <w:tab w:val="clear" w:pos="1985"/>
        </w:tabs>
        <w:spacing w:before="0"/>
        <w:rPr>
          <w:lang w:val="en-GB"/>
        </w:rPr>
      </w:pPr>
      <w:hyperlink r:id="rId160" w:anchor="?topic=0.131&amp;workgroup=1&amp;searchValue=&amp;page=1&amp;sort=Revelance" w:history="1">
        <w:r w:rsidR="001C37A8">
          <w:rPr>
            <w:rStyle w:val="Hyperlink"/>
            <w:bCs/>
          </w:rPr>
          <w:t>ITS Communication Standards database</w:t>
        </w:r>
      </w:hyperlink>
      <w:r w:rsidR="001C37A8">
        <w:t xml:space="preserve"> (from CITS)</w:t>
      </w:r>
    </w:p>
    <w:p w14:paraId="448A179F" w14:textId="2A93C216" w:rsidR="006944F8" w:rsidRPr="00C1421E" w:rsidRDefault="00267090" w:rsidP="002013A1">
      <w:pPr>
        <w:numPr>
          <w:ilvl w:val="0"/>
          <w:numId w:val="15"/>
        </w:numPr>
        <w:tabs>
          <w:tab w:val="clear" w:pos="794"/>
          <w:tab w:val="clear" w:pos="1191"/>
          <w:tab w:val="clear" w:pos="1588"/>
          <w:tab w:val="clear" w:pos="1985"/>
        </w:tabs>
        <w:spacing w:before="0"/>
        <w:rPr>
          <w:lang w:val="en-GB"/>
        </w:rPr>
      </w:pPr>
      <w:hyperlink r:id="rId161" w:history="1">
        <w:r w:rsidR="004872B7" w:rsidRPr="00C1421E">
          <w:rPr>
            <w:rStyle w:val="Hyperlink"/>
            <w:lang w:val="en-GB"/>
          </w:rPr>
          <w:t>ICT standards landscape</w:t>
        </w:r>
      </w:hyperlink>
      <w:r w:rsidR="004872B7" w:rsidRPr="00C1421E">
        <w:rPr>
          <w:lang w:val="en-GB"/>
        </w:rPr>
        <w:t xml:space="preserve"> (from SG17)</w:t>
      </w:r>
    </w:p>
    <w:p w14:paraId="00B8FF50" w14:textId="77D7EC73" w:rsidR="006944F8" w:rsidRPr="00C1421E" w:rsidRDefault="002F0E38" w:rsidP="006944F8">
      <w:pPr>
        <w:pStyle w:val="Heading2"/>
      </w:pPr>
      <w:bookmarkStart w:id="184" w:name="_Toc18509780"/>
      <w:r w:rsidRPr="00C1421E">
        <w:t>13</w:t>
      </w:r>
      <w:r w:rsidR="006944F8" w:rsidRPr="00C1421E">
        <w:t>.2</w:t>
      </w:r>
      <w:r w:rsidR="006944F8" w:rsidRPr="00C1421E">
        <w:tab/>
        <w:t>ITU-T MyWorkspace</w:t>
      </w:r>
      <w:bookmarkEnd w:id="184"/>
    </w:p>
    <w:p w14:paraId="4B9BF6CC" w14:textId="4FA0A913" w:rsidR="00E04195" w:rsidRPr="00C1421E" w:rsidRDefault="00E04195" w:rsidP="00E04195">
      <w:pPr>
        <w:rPr>
          <w:szCs w:val="24"/>
          <w:lang w:val="en-GB"/>
        </w:rPr>
      </w:pPr>
      <w:r w:rsidRPr="00C1421E">
        <w:rPr>
          <w:szCs w:val="24"/>
          <w:lang w:val="en-GB"/>
        </w:rPr>
        <w:t>MyWorkspace is a set of mobile-friendly tools and services to facilitate the work of ITU-T experts</w:t>
      </w:r>
      <w:r w:rsidR="0021319C">
        <w:rPr>
          <w:szCs w:val="24"/>
          <w:lang w:val="en-GB"/>
        </w:rPr>
        <w:t>. MyWorkspace responds to</w:t>
      </w:r>
      <w:r w:rsidRPr="00C1421E">
        <w:rPr>
          <w:szCs w:val="24"/>
          <w:lang w:val="en-GB"/>
        </w:rPr>
        <w:t xml:space="preserve"> WTSA Resolution 32 on strengthening electronic working methods. The f</w:t>
      </w:r>
      <w:r w:rsidRPr="00C1421E">
        <w:rPr>
          <w:lang w:val="en-GB"/>
        </w:rPr>
        <w:t>irst version was released in 2017</w:t>
      </w:r>
      <w:r w:rsidR="0021319C">
        <w:rPr>
          <w:lang w:val="en-GB"/>
        </w:rPr>
        <w:t xml:space="preserve"> and has since welcomed </w:t>
      </w:r>
      <w:r w:rsidRPr="00C1421E">
        <w:rPr>
          <w:lang w:val="en-GB"/>
        </w:rPr>
        <w:t>1</w:t>
      </w:r>
      <w:r w:rsidR="0021319C">
        <w:rPr>
          <w:lang w:val="en-GB"/>
        </w:rPr>
        <w:t>,</w:t>
      </w:r>
      <w:r w:rsidRPr="00C1421E">
        <w:rPr>
          <w:lang w:val="en-GB"/>
        </w:rPr>
        <w:t xml:space="preserve">600 </w:t>
      </w:r>
      <w:r w:rsidR="0021319C">
        <w:rPr>
          <w:lang w:val="en-GB"/>
        </w:rPr>
        <w:t>users. T</w:t>
      </w:r>
      <w:r w:rsidRPr="00C1421E">
        <w:rPr>
          <w:lang w:val="en-GB"/>
        </w:rPr>
        <w:t xml:space="preserve">he site </w:t>
      </w:r>
      <w:r w:rsidR="0021319C">
        <w:rPr>
          <w:lang w:val="en-GB"/>
        </w:rPr>
        <w:t xml:space="preserve">receives visits from </w:t>
      </w:r>
      <w:r w:rsidRPr="00C1421E">
        <w:rPr>
          <w:lang w:val="en-GB"/>
        </w:rPr>
        <w:t xml:space="preserve">an average of 500 </w:t>
      </w:r>
      <w:r w:rsidR="0021319C">
        <w:rPr>
          <w:lang w:val="en-GB"/>
        </w:rPr>
        <w:t xml:space="preserve">users </w:t>
      </w:r>
      <w:r w:rsidRPr="00C1421E">
        <w:rPr>
          <w:lang w:val="en-GB"/>
        </w:rPr>
        <w:t>per month.</w:t>
      </w:r>
    </w:p>
    <w:p w14:paraId="3957D257" w14:textId="582E7437" w:rsidR="00E04195" w:rsidRPr="00C1421E" w:rsidRDefault="00E04195" w:rsidP="00E04195">
      <w:pPr>
        <w:rPr>
          <w:lang w:val="en-GB"/>
        </w:rPr>
      </w:pPr>
      <w:r w:rsidRPr="00C1421E">
        <w:rPr>
          <w:lang w:val="en-GB"/>
        </w:rPr>
        <w:t xml:space="preserve">The </w:t>
      </w:r>
      <w:r w:rsidR="0021319C">
        <w:rPr>
          <w:lang w:val="en-GB"/>
        </w:rPr>
        <w:t>lates</w:t>
      </w:r>
      <w:r w:rsidR="00CB6CB5">
        <w:rPr>
          <w:lang w:val="en-GB"/>
        </w:rPr>
        <w:t>t</w:t>
      </w:r>
      <w:r w:rsidR="0021319C">
        <w:rPr>
          <w:lang w:val="en-GB"/>
        </w:rPr>
        <w:t xml:space="preserve"> </w:t>
      </w:r>
      <w:r w:rsidRPr="00C1421E">
        <w:rPr>
          <w:lang w:val="en-GB"/>
        </w:rPr>
        <w:t>version</w:t>
      </w:r>
      <w:r w:rsidR="0021319C">
        <w:rPr>
          <w:lang w:val="en-GB"/>
        </w:rPr>
        <w:t>, version</w:t>
      </w:r>
      <w:r w:rsidRPr="00C1421E">
        <w:rPr>
          <w:lang w:val="en-GB"/>
        </w:rPr>
        <w:t xml:space="preserve"> 3.0</w:t>
      </w:r>
      <w:r w:rsidR="0021319C">
        <w:rPr>
          <w:lang w:val="en-GB"/>
        </w:rPr>
        <w:t>,</w:t>
      </w:r>
      <w:r w:rsidRPr="00C1421E">
        <w:rPr>
          <w:lang w:val="en-GB"/>
        </w:rPr>
        <w:t xml:space="preserve"> was released in </w:t>
      </w:r>
      <w:r w:rsidR="0021319C">
        <w:rPr>
          <w:lang w:val="en-GB"/>
        </w:rPr>
        <w:t xml:space="preserve">the </w:t>
      </w:r>
      <w:r w:rsidRPr="00C1421E">
        <w:rPr>
          <w:lang w:val="en-GB"/>
        </w:rPr>
        <w:t>second quarter of 2019</w:t>
      </w:r>
      <w:r w:rsidR="0021319C">
        <w:rPr>
          <w:lang w:val="en-GB"/>
        </w:rPr>
        <w:t xml:space="preserve">. Version 3.0 includes </w:t>
      </w:r>
      <w:r w:rsidRPr="00C1421E">
        <w:rPr>
          <w:lang w:val="en-GB"/>
        </w:rPr>
        <w:t>enhance</w:t>
      </w:r>
      <w:r w:rsidR="0021319C">
        <w:rPr>
          <w:lang w:val="en-GB"/>
        </w:rPr>
        <w:t xml:space="preserve">s the </w:t>
      </w:r>
      <w:r w:rsidRPr="00C1421E">
        <w:rPr>
          <w:lang w:val="en-GB"/>
        </w:rPr>
        <w:t xml:space="preserve">user interface </w:t>
      </w:r>
      <w:r w:rsidR="0021319C">
        <w:rPr>
          <w:lang w:val="en-GB"/>
        </w:rPr>
        <w:t xml:space="preserve">and includes a </w:t>
      </w:r>
      <w:r w:rsidRPr="00C1421E">
        <w:rPr>
          <w:lang w:val="en-GB"/>
        </w:rPr>
        <w:t>new section for ITU-T events. My</w:t>
      </w:r>
      <w:r w:rsidR="0021319C">
        <w:rPr>
          <w:lang w:val="en-GB"/>
        </w:rPr>
        <w:t>W</w:t>
      </w:r>
      <w:r w:rsidRPr="00C1421E">
        <w:rPr>
          <w:lang w:val="en-GB"/>
        </w:rPr>
        <w:t xml:space="preserve">orkspace is accessible through a responsive website and new mobile application (Android &amp; </w:t>
      </w:r>
      <w:r w:rsidR="0021319C">
        <w:rPr>
          <w:lang w:val="en-GB"/>
        </w:rPr>
        <w:t>i</w:t>
      </w:r>
      <w:r w:rsidRPr="00C1421E">
        <w:rPr>
          <w:lang w:val="en-GB"/>
        </w:rPr>
        <w:t>OS)</w:t>
      </w:r>
      <w:r w:rsidR="0021319C">
        <w:rPr>
          <w:lang w:val="en-GB"/>
        </w:rPr>
        <w:t xml:space="preserve">. Secure access to MyWorkspace is enabled through ITU </w:t>
      </w:r>
      <w:r w:rsidR="00DE1505">
        <w:rPr>
          <w:lang w:val="en-GB"/>
        </w:rPr>
        <w:t>User A</w:t>
      </w:r>
      <w:r w:rsidR="0021319C">
        <w:rPr>
          <w:lang w:val="en-GB"/>
        </w:rPr>
        <w:t xml:space="preserve">ccount </w:t>
      </w:r>
      <w:r w:rsidR="00DE1505">
        <w:rPr>
          <w:lang w:val="en-GB"/>
        </w:rPr>
        <w:t xml:space="preserve">(TIES) </w:t>
      </w:r>
      <w:r w:rsidR="0021319C">
        <w:rPr>
          <w:lang w:val="en-GB"/>
        </w:rPr>
        <w:t>credentials.</w:t>
      </w:r>
    </w:p>
    <w:p w14:paraId="792D3276" w14:textId="15145CC3" w:rsidR="00E04195" w:rsidRPr="00C1421E" w:rsidRDefault="00E04195" w:rsidP="00E04195">
      <w:pPr>
        <w:rPr>
          <w:lang w:val="en-GB"/>
        </w:rPr>
      </w:pPr>
      <w:r w:rsidRPr="00C1421E">
        <w:rPr>
          <w:lang w:val="en-GB"/>
        </w:rPr>
        <w:t>The following services are available from the platform:</w:t>
      </w:r>
    </w:p>
    <w:p w14:paraId="55F5D76C" w14:textId="053DE3F7" w:rsidR="00E04195" w:rsidRPr="00C1421E" w:rsidRDefault="00E04195" w:rsidP="001C37A8">
      <w:pPr>
        <w:numPr>
          <w:ilvl w:val="0"/>
          <w:numId w:val="34"/>
        </w:numPr>
        <w:rPr>
          <w:lang w:val="en-GB"/>
        </w:rPr>
      </w:pPr>
      <w:r w:rsidRPr="00C1421E">
        <w:rPr>
          <w:lang w:val="en-GB"/>
        </w:rPr>
        <w:t>ITU-T experts directory</w:t>
      </w:r>
    </w:p>
    <w:p w14:paraId="53561C21" w14:textId="325F3267" w:rsidR="00E04195" w:rsidRPr="00C1421E" w:rsidRDefault="00E04195" w:rsidP="001C37A8">
      <w:pPr>
        <w:numPr>
          <w:ilvl w:val="0"/>
          <w:numId w:val="34"/>
        </w:numPr>
        <w:rPr>
          <w:lang w:val="en-GB"/>
        </w:rPr>
      </w:pPr>
      <w:r w:rsidRPr="00C1421E">
        <w:rPr>
          <w:lang w:val="en-GB"/>
        </w:rPr>
        <w:t>Chat service for real-time communication</w:t>
      </w:r>
    </w:p>
    <w:p w14:paraId="29820C49" w14:textId="091D71B0" w:rsidR="00E04195" w:rsidRPr="00C1421E" w:rsidRDefault="00E04195" w:rsidP="001C37A8">
      <w:pPr>
        <w:numPr>
          <w:ilvl w:val="0"/>
          <w:numId w:val="34"/>
        </w:numPr>
        <w:rPr>
          <w:lang w:val="en-GB"/>
        </w:rPr>
      </w:pPr>
      <w:r w:rsidRPr="00C1421E">
        <w:rPr>
          <w:lang w:val="en-GB"/>
        </w:rPr>
        <w:t xml:space="preserve">Meeting documents with </w:t>
      </w:r>
      <w:r w:rsidR="0021319C">
        <w:rPr>
          <w:lang w:val="en-GB"/>
        </w:rPr>
        <w:t xml:space="preserve">the </w:t>
      </w:r>
      <w:r w:rsidRPr="00C1421E">
        <w:rPr>
          <w:lang w:val="en-GB"/>
        </w:rPr>
        <w:t>option to bookmark favourites</w:t>
      </w:r>
    </w:p>
    <w:p w14:paraId="7D1E0E61" w14:textId="499F1F5D" w:rsidR="00E04195" w:rsidRPr="00C1421E" w:rsidRDefault="00E04195" w:rsidP="001C37A8">
      <w:pPr>
        <w:numPr>
          <w:ilvl w:val="0"/>
          <w:numId w:val="34"/>
        </w:numPr>
        <w:rPr>
          <w:lang w:val="en-GB"/>
        </w:rPr>
      </w:pPr>
      <w:r w:rsidRPr="00C1421E">
        <w:rPr>
          <w:lang w:val="en-GB"/>
        </w:rPr>
        <w:lastRenderedPageBreak/>
        <w:t>Mailing list subscriptions</w:t>
      </w:r>
    </w:p>
    <w:p w14:paraId="051A927B" w14:textId="57EF77A1" w:rsidR="00E04195" w:rsidRPr="00C1421E" w:rsidRDefault="00E04195" w:rsidP="001C37A8">
      <w:pPr>
        <w:numPr>
          <w:ilvl w:val="0"/>
          <w:numId w:val="34"/>
        </w:numPr>
        <w:rPr>
          <w:lang w:val="en-GB"/>
        </w:rPr>
      </w:pPr>
      <w:r w:rsidRPr="00C1421E">
        <w:rPr>
          <w:lang w:val="en-GB"/>
        </w:rPr>
        <w:t xml:space="preserve">Calendar </w:t>
      </w:r>
      <w:r w:rsidR="0021319C">
        <w:rPr>
          <w:lang w:val="en-GB"/>
        </w:rPr>
        <w:t xml:space="preserve">of </w:t>
      </w:r>
      <w:r w:rsidRPr="00C1421E">
        <w:rPr>
          <w:lang w:val="en-GB"/>
        </w:rPr>
        <w:t xml:space="preserve">ITU-T events with filters by </w:t>
      </w:r>
      <w:r w:rsidR="0021319C">
        <w:rPr>
          <w:lang w:val="en-GB"/>
        </w:rPr>
        <w:t xml:space="preserve">working </w:t>
      </w:r>
      <w:r w:rsidRPr="00C1421E">
        <w:rPr>
          <w:lang w:val="en-GB"/>
        </w:rPr>
        <w:t>group</w:t>
      </w:r>
    </w:p>
    <w:p w14:paraId="67723A3E" w14:textId="18CD4AE9" w:rsidR="00E04195" w:rsidRPr="00C1421E" w:rsidRDefault="00E04195" w:rsidP="001C37A8">
      <w:pPr>
        <w:numPr>
          <w:ilvl w:val="0"/>
          <w:numId w:val="34"/>
        </w:numPr>
        <w:rPr>
          <w:lang w:val="en-GB"/>
        </w:rPr>
      </w:pPr>
      <w:r w:rsidRPr="00C1421E">
        <w:rPr>
          <w:lang w:val="en-GB"/>
        </w:rPr>
        <w:t>User profile management (CRM profiles) and additional preferences</w:t>
      </w:r>
    </w:p>
    <w:p w14:paraId="24315A41" w14:textId="1031950A" w:rsidR="00E04195" w:rsidRPr="00C1421E" w:rsidRDefault="00E04195" w:rsidP="001C37A8">
      <w:pPr>
        <w:numPr>
          <w:ilvl w:val="0"/>
          <w:numId w:val="34"/>
        </w:numPr>
        <w:rPr>
          <w:lang w:val="en-GB"/>
        </w:rPr>
      </w:pPr>
      <w:r w:rsidRPr="00C1421E">
        <w:rPr>
          <w:lang w:val="en-GB"/>
        </w:rPr>
        <w:t>New applications included in 2019:</w:t>
      </w:r>
    </w:p>
    <w:p w14:paraId="14604183" w14:textId="45685954" w:rsidR="00E04195" w:rsidRPr="00C1421E" w:rsidRDefault="00E04195" w:rsidP="001C37A8">
      <w:pPr>
        <w:numPr>
          <w:ilvl w:val="0"/>
          <w:numId w:val="35"/>
        </w:numPr>
        <w:rPr>
          <w:lang w:val="en-GB"/>
        </w:rPr>
      </w:pPr>
      <w:r w:rsidRPr="00C1421E">
        <w:rPr>
          <w:lang w:val="en-GB"/>
        </w:rPr>
        <w:t>Neural</w:t>
      </w:r>
      <w:r w:rsidR="00715DA1" w:rsidRPr="00C1421E">
        <w:rPr>
          <w:lang w:val="en-GB"/>
        </w:rPr>
        <w:t>-net based</w:t>
      </w:r>
      <w:r w:rsidRPr="00C1421E">
        <w:rPr>
          <w:lang w:val="en-GB"/>
        </w:rPr>
        <w:t xml:space="preserve"> machine translation prototype for document</w:t>
      </w:r>
      <w:r w:rsidR="008D22B5">
        <w:rPr>
          <w:lang w:val="en-GB"/>
        </w:rPr>
        <w:t>s</w:t>
      </w:r>
      <w:r w:rsidRPr="00C1421E">
        <w:rPr>
          <w:lang w:val="en-GB"/>
        </w:rPr>
        <w:t xml:space="preserve"> in the </w:t>
      </w:r>
      <w:r w:rsidR="00715DA1" w:rsidRPr="00C1421E">
        <w:rPr>
          <w:lang w:val="en-GB"/>
        </w:rPr>
        <w:t>six</w:t>
      </w:r>
      <w:r w:rsidRPr="00C1421E">
        <w:rPr>
          <w:lang w:val="en-GB"/>
        </w:rPr>
        <w:t xml:space="preserve"> official languages (including formatting)</w:t>
      </w:r>
    </w:p>
    <w:p w14:paraId="4BBE0685" w14:textId="16BF83F2" w:rsidR="00E04195" w:rsidRPr="00C1421E" w:rsidRDefault="00E04195" w:rsidP="001C37A8">
      <w:pPr>
        <w:numPr>
          <w:ilvl w:val="0"/>
          <w:numId w:val="35"/>
        </w:numPr>
        <w:rPr>
          <w:lang w:val="en-GB"/>
        </w:rPr>
      </w:pPr>
      <w:r w:rsidRPr="00C1421E">
        <w:rPr>
          <w:lang w:val="en-GB"/>
        </w:rPr>
        <w:t>Remote participation service frequently used by study groups, based on an open</w:t>
      </w:r>
      <w:r w:rsidR="008D22B5">
        <w:rPr>
          <w:lang w:val="en-GB"/>
        </w:rPr>
        <w:t>-</w:t>
      </w:r>
      <w:r w:rsidRPr="00C1421E">
        <w:rPr>
          <w:lang w:val="en-GB"/>
        </w:rPr>
        <w:t>source tool</w:t>
      </w:r>
    </w:p>
    <w:p w14:paraId="540D048A" w14:textId="6F2DA9EE" w:rsidR="00E04195" w:rsidRPr="00C1421E" w:rsidRDefault="00E04195" w:rsidP="001C37A8">
      <w:pPr>
        <w:numPr>
          <w:ilvl w:val="0"/>
          <w:numId w:val="35"/>
        </w:numPr>
        <w:rPr>
          <w:lang w:val="en-GB"/>
        </w:rPr>
      </w:pPr>
      <w:r w:rsidRPr="00C1421E">
        <w:rPr>
          <w:lang w:val="en-GB"/>
        </w:rPr>
        <w:t>New ITU-T events service, fully integrated with CRM events and registered participants</w:t>
      </w:r>
      <w:r w:rsidR="008D22B5">
        <w:rPr>
          <w:lang w:val="en-GB"/>
        </w:rPr>
        <w:t xml:space="preserve">, </w:t>
      </w:r>
      <w:r w:rsidRPr="00C1421E">
        <w:rPr>
          <w:lang w:val="en-GB"/>
        </w:rPr>
        <w:t>includ</w:t>
      </w:r>
      <w:r w:rsidR="008D22B5">
        <w:rPr>
          <w:lang w:val="en-GB"/>
        </w:rPr>
        <w:t>ing a ‘</w:t>
      </w:r>
      <w:r w:rsidRPr="00C1421E">
        <w:rPr>
          <w:lang w:val="en-GB"/>
        </w:rPr>
        <w:t>matchmaking</w:t>
      </w:r>
      <w:r w:rsidR="008D22B5">
        <w:rPr>
          <w:lang w:val="en-GB"/>
        </w:rPr>
        <w:t>’</w:t>
      </w:r>
      <w:r w:rsidRPr="00C1421E">
        <w:rPr>
          <w:lang w:val="en-GB"/>
        </w:rPr>
        <w:t xml:space="preserve"> feature to </w:t>
      </w:r>
      <w:r w:rsidR="008D22B5" w:rsidRPr="00C1421E">
        <w:rPr>
          <w:lang w:val="en-GB"/>
        </w:rPr>
        <w:t>enhance</w:t>
      </w:r>
      <w:r w:rsidR="008D22B5">
        <w:rPr>
          <w:lang w:val="en-GB"/>
        </w:rPr>
        <w:t xml:space="preserve"> delegate </w:t>
      </w:r>
      <w:r w:rsidRPr="00C1421E">
        <w:rPr>
          <w:lang w:val="en-GB"/>
        </w:rPr>
        <w:t>networking.</w:t>
      </w:r>
    </w:p>
    <w:p w14:paraId="1D53CB08" w14:textId="0C34411F" w:rsidR="006944F8" w:rsidRPr="00C1421E" w:rsidRDefault="002F0E38" w:rsidP="009E5FFA">
      <w:pPr>
        <w:pStyle w:val="Heading2"/>
      </w:pPr>
      <w:bookmarkStart w:id="185" w:name="_Toc18509781"/>
      <w:r w:rsidRPr="00C1421E">
        <w:t>13</w:t>
      </w:r>
      <w:r w:rsidR="006944F8" w:rsidRPr="00C1421E">
        <w:t>.3</w:t>
      </w:r>
      <w:r w:rsidR="006944F8" w:rsidRPr="00C1421E">
        <w:tab/>
        <w:t>ITU</w:t>
      </w:r>
      <w:r w:rsidR="004258B1" w:rsidRPr="00C1421E">
        <w:t xml:space="preserve"> </w:t>
      </w:r>
      <w:r w:rsidR="001D7B96" w:rsidRPr="00C1421E">
        <w:t>s</w:t>
      </w:r>
      <w:r w:rsidR="006944F8" w:rsidRPr="00C1421E">
        <w:t>earch</w:t>
      </w:r>
      <w:r w:rsidR="001D7B96" w:rsidRPr="00C1421E">
        <w:t xml:space="preserve"> engine</w:t>
      </w:r>
      <w:bookmarkEnd w:id="185"/>
    </w:p>
    <w:p w14:paraId="7CC74ABF" w14:textId="5A32BFF2" w:rsidR="00635E20" w:rsidRPr="00C1421E" w:rsidRDefault="008D22B5" w:rsidP="002013A1">
      <w:pPr>
        <w:rPr>
          <w:lang w:val="en-GB"/>
        </w:rPr>
      </w:pPr>
      <w:r>
        <w:rPr>
          <w:lang w:val="en-GB"/>
        </w:rPr>
        <w:t>The</w:t>
      </w:r>
      <w:r w:rsidR="00DE1505">
        <w:rPr>
          <w:lang w:val="en-GB"/>
        </w:rPr>
        <w:t xml:space="preserve"> mobile-friendly</w:t>
      </w:r>
      <w:r>
        <w:rPr>
          <w:lang w:val="en-GB"/>
        </w:rPr>
        <w:t xml:space="preserve"> </w:t>
      </w:r>
      <w:hyperlink r:id="rId162" w:history="1">
        <w:r w:rsidR="00635E20" w:rsidRPr="00DE1505">
          <w:rPr>
            <w:rStyle w:val="Hyperlink"/>
            <w:lang w:val="en-GB"/>
          </w:rPr>
          <w:t>ITU</w:t>
        </w:r>
        <w:r w:rsidRPr="00DE1505">
          <w:rPr>
            <w:rStyle w:val="Hyperlink"/>
            <w:lang w:val="en-GB"/>
          </w:rPr>
          <w:t xml:space="preserve"> s</w:t>
        </w:r>
        <w:r w:rsidR="00635E20" w:rsidRPr="00DE1505">
          <w:rPr>
            <w:rStyle w:val="Hyperlink"/>
            <w:lang w:val="en-GB"/>
          </w:rPr>
          <w:t>earch</w:t>
        </w:r>
        <w:r w:rsidRPr="00DE1505">
          <w:rPr>
            <w:rStyle w:val="Hyperlink"/>
            <w:lang w:val="en-GB"/>
          </w:rPr>
          <w:t xml:space="preserve"> engine</w:t>
        </w:r>
      </w:hyperlink>
      <w:r w:rsidR="00635E20" w:rsidRPr="00C1421E">
        <w:rPr>
          <w:lang w:val="en-GB"/>
        </w:rPr>
        <w:t xml:space="preserve"> facilitates access to ITU documents, websites, publications and other resources. </w:t>
      </w:r>
      <w:r>
        <w:rPr>
          <w:lang w:val="en-GB"/>
        </w:rPr>
        <w:t xml:space="preserve">2018 saw the expansion of the tool from ITU-T resources to the resources of all ITU Sectors. An average of 15,000 searches take place each month. </w:t>
      </w:r>
    </w:p>
    <w:p w14:paraId="048B6BDD" w14:textId="749EC6A1" w:rsidR="00635E20" w:rsidRPr="00C1421E" w:rsidRDefault="00635E20" w:rsidP="002013A1">
      <w:pPr>
        <w:rPr>
          <w:lang w:val="en-GB"/>
        </w:rPr>
      </w:pPr>
      <w:r w:rsidRPr="00C1421E">
        <w:rPr>
          <w:lang w:val="en-GB"/>
        </w:rPr>
        <w:t xml:space="preserve">The latest version </w:t>
      </w:r>
      <w:r w:rsidR="00DE1505">
        <w:rPr>
          <w:lang w:val="en-GB"/>
        </w:rPr>
        <w:t xml:space="preserve">of the search engine </w:t>
      </w:r>
      <w:r w:rsidRPr="00C1421E">
        <w:rPr>
          <w:lang w:val="en-GB"/>
        </w:rPr>
        <w:t>was released in December 2018</w:t>
      </w:r>
      <w:r w:rsidR="00DE1505">
        <w:rPr>
          <w:lang w:val="en-GB"/>
        </w:rPr>
        <w:t>. This</w:t>
      </w:r>
      <w:r w:rsidRPr="00C1421E">
        <w:rPr>
          <w:lang w:val="en-GB"/>
        </w:rPr>
        <w:t xml:space="preserve"> </w:t>
      </w:r>
      <w:r w:rsidR="00DE1505">
        <w:rPr>
          <w:lang w:val="en-GB"/>
        </w:rPr>
        <w:t>latest</w:t>
      </w:r>
      <w:r w:rsidRPr="00C1421E">
        <w:rPr>
          <w:lang w:val="en-GB"/>
        </w:rPr>
        <w:t xml:space="preserve"> version includes:</w:t>
      </w:r>
    </w:p>
    <w:p w14:paraId="73B5B51B" w14:textId="37BEC89A" w:rsidR="00635E20" w:rsidRPr="00C1421E" w:rsidRDefault="00635E20" w:rsidP="001C37A8">
      <w:pPr>
        <w:numPr>
          <w:ilvl w:val="0"/>
          <w:numId w:val="36"/>
        </w:numPr>
        <w:rPr>
          <w:lang w:val="en-GB"/>
        </w:rPr>
      </w:pPr>
      <w:r w:rsidRPr="00C1421E">
        <w:rPr>
          <w:lang w:val="en-GB"/>
        </w:rPr>
        <w:t xml:space="preserve">Filters to narrow searches by Sector, </w:t>
      </w:r>
      <w:r w:rsidR="00DE1505">
        <w:rPr>
          <w:lang w:val="en-GB"/>
        </w:rPr>
        <w:t>t</w:t>
      </w:r>
      <w:r w:rsidRPr="00C1421E">
        <w:rPr>
          <w:lang w:val="en-GB"/>
        </w:rPr>
        <w:t xml:space="preserve">ype of document or </w:t>
      </w:r>
      <w:r w:rsidR="00DE1505">
        <w:rPr>
          <w:lang w:val="en-GB"/>
        </w:rPr>
        <w:t>l</w:t>
      </w:r>
      <w:r w:rsidRPr="00C1421E">
        <w:rPr>
          <w:lang w:val="en-GB"/>
        </w:rPr>
        <w:t>anguage</w:t>
      </w:r>
    </w:p>
    <w:p w14:paraId="1CF1B303" w14:textId="6E7DBF9B" w:rsidR="00635E20" w:rsidRPr="00C1421E" w:rsidRDefault="00635E20" w:rsidP="001C37A8">
      <w:pPr>
        <w:numPr>
          <w:ilvl w:val="0"/>
          <w:numId w:val="36"/>
        </w:numPr>
        <w:rPr>
          <w:lang w:val="en-GB"/>
        </w:rPr>
      </w:pPr>
      <w:r w:rsidRPr="00C1421E">
        <w:rPr>
          <w:lang w:val="en-GB"/>
        </w:rPr>
        <w:t>New collections available:</w:t>
      </w:r>
    </w:p>
    <w:p w14:paraId="7F6D4AA2" w14:textId="610038D9" w:rsidR="00635E20" w:rsidRPr="00C1421E" w:rsidRDefault="00635E20" w:rsidP="001C37A8">
      <w:pPr>
        <w:numPr>
          <w:ilvl w:val="1"/>
          <w:numId w:val="36"/>
        </w:numPr>
        <w:rPr>
          <w:lang w:val="en-GB"/>
        </w:rPr>
      </w:pPr>
      <w:r w:rsidRPr="00C1421E">
        <w:rPr>
          <w:lang w:val="en-GB"/>
        </w:rPr>
        <w:t xml:space="preserve">Meeting documents and websites from all </w:t>
      </w:r>
      <w:r w:rsidR="00DE1505">
        <w:rPr>
          <w:lang w:val="en-GB"/>
        </w:rPr>
        <w:t xml:space="preserve">ITU </w:t>
      </w:r>
      <w:r w:rsidRPr="00C1421E">
        <w:rPr>
          <w:lang w:val="en-GB"/>
        </w:rPr>
        <w:t>Sectors</w:t>
      </w:r>
    </w:p>
    <w:p w14:paraId="1ED5332C" w14:textId="219FBFCA" w:rsidR="00635E20" w:rsidRPr="00C1421E" w:rsidRDefault="00635E20" w:rsidP="001C37A8">
      <w:pPr>
        <w:numPr>
          <w:ilvl w:val="1"/>
          <w:numId w:val="36"/>
        </w:numPr>
        <w:rPr>
          <w:lang w:val="en-GB"/>
        </w:rPr>
      </w:pPr>
      <w:r w:rsidRPr="00C1421E">
        <w:rPr>
          <w:lang w:val="en-GB"/>
        </w:rPr>
        <w:t>Social media (</w:t>
      </w:r>
      <w:r w:rsidR="00DE1505">
        <w:rPr>
          <w:lang w:val="en-GB"/>
        </w:rPr>
        <w:t xml:space="preserve">ITU </w:t>
      </w:r>
      <w:r w:rsidRPr="00C1421E">
        <w:rPr>
          <w:lang w:val="en-GB"/>
        </w:rPr>
        <w:t>Facebook</w:t>
      </w:r>
      <w:r w:rsidR="00DE1505">
        <w:rPr>
          <w:lang w:val="en-GB"/>
        </w:rPr>
        <w:t xml:space="preserve"> and </w:t>
      </w:r>
      <w:r w:rsidRPr="00C1421E">
        <w:rPr>
          <w:lang w:val="en-GB"/>
        </w:rPr>
        <w:t>Twitter</w:t>
      </w:r>
      <w:r w:rsidR="00DE1505">
        <w:rPr>
          <w:lang w:val="en-GB"/>
        </w:rPr>
        <w:t xml:space="preserve"> accounts</w:t>
      </w:r>
      <w:r w:rsidRPr="00C1421E">
        <w:rPr>
          <w:lang w:val="en-GB"/>
        </w:rPr>
        <w:t>) and Multimedia (</w:t>
      </w:r>
      <w:r w:rsidR="00DE1505">
        <w:rPr>
          <w:lang w:val="en-GB"/>
        </w:rPr>
        <w:t xml:space="preserve">ITU </w:t>
      </w:r>
      <w:r w:rsidRPr="00C1421E">
        <w:rPr>
          <w:lang w:val="en-GB"/>
        </w:rPr>
        <w:t>Flickr</w:t>
      </w:r>
      <w:r w:rsidR="00DE1505">
        <w:rPr>
          <w:lang w:val="en-GB"/>
        </w:rPr>
        <w:t xml:space="preserve"> and </w:t>
      </w:r>
      <w:r w:rsidRPr="00C1421E">
        <w:rPr>
          <w:lang w:val="en-GB"/>
        </w:rPr>
        <w:t>YouTube</w:t>
      </w:r>
      <w:r w:rsidR="00DE1505">
        <w:rPr>
          <w:lang w:val="en-GB"/>
        </w:rPr>
        <w:t xml:space="preserve"> accounts</w:t>
      </w:r>
      <w:r w:rsidRPr="00C1421E">
        <w:rPr>
          <w:lang w:val="en-GB"/>
        </w:rPr>
        <w:t>)</w:t>
      </w:r>
    </w:p>
    <w:p w14:paraId="7418DE72" w14:textId="360C0A6D" w:rsidR="00635E20" w:rsidRPr="008F380F" w:rsidRDefault="00635E20" w:rsidP="001C37A8">
      <w:pPr>
        <w:numPr>
          <w:ilvl w:val="0"/>
          <w:numId w:val="36"/>
        </w:numPr>
        <w:rPr>
          <w:lang w:val="en-GB"/>
        </w:rPr>
      </w:pPr>
      <w:r w:rsidRPr="008F380F">
        <w:rPr>
          <w:lang w:val="en-GB"/>
        </w:rPr>
        <w:t xml:space="preserve">New section </w:t>
      </w:r>
      <w:r w:rsidR="008F380F" w:rsidRPr="008A2F29">
        <w:rPr>
          <w:lang w:val="en-GB"/>
        </w:rPr>
        <w:t xml:space="preserve">to search </w:t>
      </w:r>
      <w:r w:rsidRPr="008F380F">
        <w:rPr>
          <w:lang w:val="en-GB"/>
        </w:rPr>
        <w:t xml:space="preserve">resolutions and decisions of ITU </w:t>
      </w:r>
      <w:r w:rsidR="008F380F" w:rsidRPr="008A2F29">
        <w:rPr>
          <w:lang w:val="en-GB"/>
        </w:rPr>
        <w:t>governing bodies</w:t>
      </w:r>
      <w:r w:rsidR="008F380F" w:rsidRPr="008A2F29" w:rsidDel="008F380F">
        <w:rPr>
          <w:lang w:val="en-GB"/>
        </w:rPr>
        <w:t xml:space="preserve"> </w:t>
      </w:r>
    </w:p>
    <w:p w14:paraId="791AB5D8" w14:textId="0BFF8D9F" w:rsidR="00635E20" w:rsidRPr="00C1421E" w:rsidRDefault="00635E20" w:rsidP="001C37A8">
      <w:pPr>
        <w:numPr>
          <w:ilvl w:val="0"/>
          <w:numId w:val="36"/>
        </w:numPr>
        <w:rPr>
          <w:lang w:val="en-GB"/>
        </w:rPr>
      </w:pPr>
      <w:r w:rsidRPr="00C1421E">
        <w:rPr>
          <w:lang w:val="en-GB"/>
        </w:rPr>
        <w:t xml:space="preserve">Multilingual search, support any of the </w:t>
      </w:r>
      <w:r w:rsidR="001C37A8">
        <w:rPr>
          <w:lang w:val="en-GB"/>
        </w:rPr>
        <w:t>six</w:t>
      </w:r>
      <w:r w:rsidRPr="00C1421E">
        <w:rPr>
          <w:lang w:val="en-GB"/>
        </w:rPr>
        <w:t xml:space="preserve"> official languages</w:t>
      </w:r>
    </w:p>
    <w:p w14:paraId="3099D356" w14:textId="5B4E2DD7" w:rsidR="006944F8" w:rsidRPr="00C1421E" w:rsidRDefault="002F0E38" w:rsidP="006944F8">
      <w:pPr>
        <w:pStyle w:val="Heading2"/>
      </w:pPr>
      <w:bookmarkStart w:id="186" w:name="_Toc18509782"/>
      <w:r w:rsidRPr="00C1421E">
        <w:t>13</w:t>
      </w:r>
      <w:r w:rsidR="006944F8" w:rsidRPr="00C1421E">
        <w:t>.4</w:t>
      </w:r>
      <w:r w:rsidR="006944F8" w:rsidRPr="00C1421E">
        <w:tab/>
        <w:t>ITU-T services &amp; tools announcements</w:t>
      </w:r>
      <w:bookmarkEnd w:id="186"/>
    </w:p>
    <w:p w14:paraId="184D5ADE" w14:textId="03BDC001" w:rsidR="006944F8" w:rsidRPr="001C37A8" w:rsidRDefault="00194F77" w:rsidP="0033393D">
      <w:pPr>
        <w:rPr>
          <w:b/>
          <w:bCs/>
          <w:lang w:val="en-GB"/>
        </w:rPr>
      </w:pPr>
      <w:r w:rsidRPr="00C1421E">
        <w:rPr>
          <w:lang w:val="en-GB"/>
        </w:rPr>
        <w:t xml:space="preserve">A service announcements platform, </w:t>
      </w:r>
      <w:hyperlink r:id="rId163" w:history="1">
        <w:r w:rsidRPr="00C1421E">
          <w:rPr>
            <w:rStyle w:val="Hyperlink"/>
            <w:rFonts w:asciiTheme="majorBidi" w:hAnsiTheme="majorBidi" w:cstheme="majorBidi"/>
            <w:lang w:val="en-GB"/>
          </w:rPr>
          <w:t>http://tsbtech.itu.int/</w:t>
        </w:r>
      </w:hyperlink>
      <w:r w:rsidRPr="00C1421E">
        <w:rPr>
          <w:lang w:val="en-GB"/>
        </w:rPr>
        <w:t xml:space="preserve">, keeps </w:t>
      </w:r>
      <w:r w:rsidR="006944F8" w:rsidRPr="00C1421E">
        <w:rPr>
          <w:lang w:val="en-GB"/>
        </w:rPr>
        <w:t>the ITU-T community</w:t>
      </w:r>
      <w:r w:rsidRPr="00C1421E">
        <w:rPr>
          <w:lang w:val="en-GB"/>
        </w:rPr>
        <w:t xml:space="preserve"> up to date </w:t>
      </w:r>
      <w:r w:rsidR="006944F8" w:rsidRPr="00C1421E">
        <w:rPr>
          <w:lang w:val="en-GB"/>
        </w:rPr>
        <w:t xml:space="preserve">with the latest </w:t>
      </w:r>
      <w:r w:rsidR="00DE1505">
        <w:rPr>
          <w:lang w:val="en-GB"/>
        </w:rPr>
        <w:t xml:space="preserve">enhancements to the </w:t>
      </w:r>
      <w:r w:rsidR="006944F8" w:rsidRPr="00C1421E">
        <w:rPr>
          <w:lang w:val="en-GB"/>
        </w:rPr>
        <w:t>services and tool</w:t>
      </w:r>
      <w:r w:rsidR="00DE1505">
        <w:rPr>
          <w:lang w:val="en-GB"/>
        </w:rPr>
        <w:t>s provided to ITU-T members</w:t>
      </w:r>
      <w:r w:rsidRPr="00C1421E">
        <w:rPr>
          <w:lang w:val="en-GB"/>
        </w:rPr>
        <w:t>.</w:t>
      </w:r>
    </w:p>
    <w:p w14:paraId="6AA3BB35" w14:textId="3E6130E8" w:rsidR="006944F8" w:rsidRPr="00C1421E" w:rsidRDefault="002F0E38" w:rsidP="006944F8">
      <w:pPr>
        <w:pStyle w:val="Heading2"/>
      </w:pPr>
      <w:bookmarkStart w:id="187" w:name="_Toc480527871"/>
      <w:bookmarkStart w:id="188" w:name="_Toc18509783"/>
      <w:r w:rsidRPr="00C1421E">
        <w:t>13</w:t>
      </w:r>
      <w:r w:rsidR="006944F8" w:rsidRPr="00C1421E">
        <w:t>.5</w:t>
      </w:r>
      <w:r w:rsidR="006944F8" w:rsidRPr="00C1421E">
        <w:tab/>
        <w:t>Document Management System for Rapporteur Groups</w:t>
      </w:r>
      <w:bookmarkEnd w:id="187"/>
      <w:bookmarkEnd w:id="188"/>
    </w:p>
    <w:p w14:paraId="2651C1D0" w14:textId="217B9F9C" w:rsidR="006944F8" w:rsidRPr="00C1421E" w:rsidRDefault="006944F8" w:rsidP="0033393D">
      <w:pPr>
        <w:rPr>
          <w:lang w:val="en-GB"/>
        </w:rPr>
      </w:pPr>
      <w:r w:rsidRPr="00C1421E">
        <w:rPr>
          <w:szCs w:val="24"/>
          <w:lang w:val="en-GB"/>
        </w:rPr>
        <w:t>The M</w:t>
      </w:r>
      <w:r w:rsidR="00DE1505">
        <w:rPr>
          <w:szCs w:val="24"/>
          <w:lang w:val="en-GB"/>
        </w:rPr>
        <w:t>icrosoft</w:t>
      </w:r>
      <w:r w:rsidRPr="00C1421E">
        <w:rPr>
          <w:szCs w:val="24"/>
          <w:lang w:val="en-GB"/>
        </w:rPr>
        <w:t xml:space="preserve"> SharePoint</w:t>
      </w:r>
      <w:r w:rsidR="00194F77" w:rsidRPr="00C1421E">
        <w:rPr>
          <w:szCs w:val="24"/>
          <w:lang w:val="en-GB"/>
        </w:rPr>
        <w:t>-</w:t>
      </w:r>
      <w:r w:rsidRPr="00C1421E">
        <w:rPr>
          <w:szCs w:val="24"/>
          <w:lang w:val="en-GB"/>
        </w:rPr>
        <w:t>based Document Management System for ITU-T Rapporteur Group Meetings (RGM</w:t>
      </w:r>
      <w:r w:rsidR="00194F77" w:rsidRPr="00C1421E">
        <w:rPr>
          <w:szCs w:val="24"/>
          <w:lang w:val="en-GB"/>
        </w:rPr>
        <w:t>s</w:t>
      </w:r>
      <w:r w:rsidRPr="00C1421E">
        <w:rPr>
          <w:szCs w:val="24"/>
          <w:lang w:val="en-GB"/>
        </w:rPr>
        <w:t xml:space="preserve">) </w:t>
      </w:r>
      <w:r w:rsidR="00B018B9" w:rsidRPr="00C1421E">
        <w:rPr>
          <w:szCs w:val="24"/>
          <w:lang w:val="en-GB"/>
        </w:rPr>
        <w:t>has been</w:t>
      </w:r>
      <w:r w:rsidRPr="00C1421E">
        <w:rPr>
          <w:szCs w:val="24"/>
          <w:lang w:val="en-GB"/>
        </w:rPr>
        <w:t xml:space="preserve"> used</w:t>
      </w:r>
      <w:r w:rsidRPr="00C1421E">
        <w:rPr>
          <w:lang w:val="en-GB"/>
        </w:rPr>
        <w:t xml:space="preserve"> </w:t>
      </w:r>
      <w:r w:rsidRPr="00C1421E">
        <w:rPr>
          <w:szCs w:val="24"/>
          <w:lang w:val="en-GB"/>
        </w:rPr>
        <w:t xml:space="preserve">extensively by </w:t>
      </w:r>
      <w:r w:rsidR="00194F77" w:rsidRPr="00C1421E">
        <w:rPr>
          <w:szCs w:val="24"/>
          <w:lang w:val="en-GB"/>
        </w:rPr>
        <w:t xml:space="preserve">the </w:t>
      </w:r>
      <w:r w:rsidRPr="00C1421E">
        <w:rPr>
          <w:szCs w:val="24"/>
          <w:lang w:val="en-GB"/>
        </w:rPr>
        <w:t>majority of ITU-T Study Groups</w:t>
      </w:r>
      <w:r w:rsidR="00194F77" w:rsidRPr="00C1421E">
        <w:rPr>
          <w:szCs w:val="24"/>
          <w:lang w:val="en-GB"/>
        </w:rPr>
        <w:t>,</w:t>
      </w:r>
      <w:r w:rsidRPr="00C1421E">
        <w:rPr>
          <w:szCs w:val="24"/>
          <w:lang w:val="en-GB"/>
        </w:rPr>
        <w:t xml:space="preserve"> notably Study Groups 2, 3, 9, 11, 13, 15, 16 and TSAG. </w:t>
      </w:r>
      <w:r w:rsidR="00194F77" w:rsidRPr="00C1421E">
        <w:rPr>
          <w:szCs w:val="24"/>
          <w:lang w:val="en-GB"/>
        </w:rPr>
        <w:t>Feedback from Rapporteurs drives the continuous improvement of t</w:t>
      </w:r>
      <w:r w:rsidRPr="00C1421E">
        <w:rPr>
          <w:szCs w:val="24"/>
          <w:lang w:val="en-GB"/>
        </w:rPr>
        <w:t>he RGM system</w:t>
      </w:r>
      <w:r w:rsidR="00194F77" w:rsidRPr="00C1421E">
        <w:rPr>
          <w:szCs w:val="24"/>
          <w:lang w:val="en-GB"/>
        </w:rPr>
        <w:t>.</w:t>
      </w:r>
    </w:p>
    <w:p w14:paraId="29850F12" w14:textId="3AA75837" w:rsidR="006944F8" w:rsidRPr="00C1421E" w:rsidRDefault="00194F77" w:rsidP="009E5FFA">
      <w:pPr>
        <w:rPr>
          <w:szCs w:val="24"/>
          <w:lang w:val="en-GB"/>
        </w:rPr>
      </w:pPr>
      <w:r w:rsidRPr="00C1421E">
        <w:rPr>
          <w:szCs w:val="24"/>
          <w:lang w:val="en-GB"/>
        </w:rPr>
        <w:t>C</w:t>
      </w:r>
      <w:r w:rsidR="006944F8" w:rsidRPr="00C1421E">
        <w:rPr>
          <w:szCs w:val="24"/>
          <w:lang w:val="en-GB"/>
        </w:rPr>
        <w:t xml:space="preserve">urrent and past RGM meetings </w:t>
      </w:r>
      <w:r w:rsidRPr="00C1421E">
        <w:rPr>
          <w:szCs w:val="24"/>
          <w:lang w:val="en-GB"/>
        </w:rPr>
        <w:t xml:space="preserve">can </w:t>
      </w:r>
      <w:r w:rsidR="006944F8" w:rsidRPr="00C1421E">
        <w:rPr>
          <w:szCs w:val="24"/>
          <w:lang w:val="en-GB"/>
        </w:rPr>
        <w:t>be accessed</w:t>
      </w:r>
      <w:r w:rsidRPr="00C1421E">
        <w:rPr>
          <w:szCs w:val="24"/>
          <w:lang w:val="en-GB"/>
        </w:rPr>
        <w:t xml:space="preserve"> at</w:t>
      </w:r>
      <w:r w:rsidR="006944F8" w:rsidRPr="00C1421E">
        <w:rPr>
          <w:szCs w:val="24"/>
          <w:lang w:val="en-GB"/>
        </w:rPr>
        <w:t xml:space="preserve"> </w:t>
      </w:r>
      <w:hyperlink r:id="rId164" w:history="1">
        <w:r w:rsidR="006944F8" w:rsidRPr="00C1421E">
          <w:rPr>
            <w:rStyle w:val="Hyperlink"/>
            <w:szCs w:val="24"/>
            <w:lang w:val="en-GB"/>
          </w:rPr>
          <w:t>http://itu.int/go/itu-t/rgm</w:t>
        </w:r>
      </w:hyperlink>
    </w:p>
    <w:p w14:paraId="709FFC74" w14:textId="0B537E1B" w:rsidR="006944F8" w:rsidRPr="00C1421E" w:rsidRDefault="006944F8" w:rsidP="009E5FFA">
      <w:pPr>
        <w:rPr>
          <w:szCs w:val="24"/>
          <w:lang w:val="en-GB"/>
        </w:rPr>
      </w:pPr>
      <w:r w:rsidRPr="00C1421E">
        <w:rPr>
          <w:szCs w:val="24"/>
          <w:lang w:val="en-GB"/>
        </w:rPr>
        <w:t xml:space="preserve">A comprehensive support and FAQs page offering RGM tips and best practices is available </w:t>
      </w:r>
      <w:r w:rsidR="00194F77" w:rsidRPr="00C1421E">
        <w:rPr>
          <w:szCs w:val="24"/>
          <w:lang w:val="en-GB"/>
        </w:rPr>
        <w:t>at</w:t>
      </w:r>
      <w:r w:rsidRPr="00C1421E">
        <w:rPr>
          <w:szCs w:val="24"/>
          <w:lang w:val="en-GB"/>
        </w:rPr>
        <w:t xml:space="preserve"> </w:t>
      </w:r>
      <w:hyperlink r:id="rId165" w:history="1">
        <w:r w:rsidRPr="00C1421E">
          <w:rPr>
            <w:rStyle w:val="Hyperlink"/>
            <w:szCs w:val="24"/>
            <w:lang w:val="en-GB"/>
          </w:rPr>
          <w:t>http://itu.int/go/itu-t/rgm-support</w:t>
        </w:r>
      </w:hyperlink>
    </w:p>
    <w:p w14:paraId="44A4E2F4" w14:textId="0C5A63DC" w:rsidR="006944F8" w:rsidRPr="00C1421E" w:rsidRDefault="006944F8" w:rsidP="009E5FFA">
      <w:pPr>
        <w:rPr>
          <w:szCs w:val="24"/>
          <w:lang w:val="en-GB"/>
        </w:rPr>
      </w:pPr>
      <w:r w:rsidRPr="00C1421E">
        <w:rPr>
          <w:szCs w:val="24"/>
          <w:lang w:val="en-GB"/>
        </w:rPr>
        <w:t>A detailed online user guide for the RGM System</w:t>
      </w:r>
      <w:r w:rsidR="00194F77" w:rsidRPr="00C1421E">
        <w:rPr>
          <w:szCs w:val="24"/>
          <w:lang w:val="en-GB"/>
        </w:rPr>
        <w:t xml:space="preserve">, including video tutorials, </w:t>
      </w:r>
      <w:r w:rsidRPr="00C1421E">
        <w:rPr>
          <w:szCs w:val="24"/>
          <w:lang w:val="en-GB"/>
        </w:rPr>
        <w:t xml:space="preserve">is available at </w:t>
      </w:r>
      <w:hyperlink r:id="rId166" w:history="1">
        <w:r w:rsidRPr="00C1421E">
          <w:rPr>
            <w:rStyle w:val="Hyperlink"/>
            <w:szCs w:val="24"/>
            <w:lang w:val="en-GB"/>
          </w:rPr>
          <w:t>http://itu.int/go/itu-t/rgm-guide</w:t>
        </w:r>
      </w:hyperlink>
    </w:p>
    <w:p w14:paraId="04A38B61" w14:textId="060AEB44" w:rsidR="006944F8" w:rsidRPr="00C1421E" w:rsidRDefault="006944F8" w:rsidP="009E5FFA">
      <w:pPr>
        <w:rPr>
          <w:lang w:val="en-GB"/>
        </w:rPr>
      </w:pPr>
      <w:r w:rsidRPr="00C1421E">
        <w:rPr>
          <w:lang w:val="en-GB"/>
        </w:rPr>
        <w:t xml:space="preserve">The RGM system </w:t>
      </w:r>
      <w:r w:rsidRPr="00C1421E">
        <w:rPr>
          <w:szCs w:val="24"/>
          <w:lang w:val="en-GB"/>
        </w:rPr>
        <w:t xml:space="preserve">is </w:t>
      </w:r>
      <w:r w:rsidR="00194F77" w:rsidRPr="00C1421E">
        <w:rPr>
          <w:szCs w:val="24"/>
          <w:lang w:val="en-GB"/>
        </w:rPr>
        <w:t xml:space="preserve">one </w:t>
      </w:r>
      <w:r w:rsidRPr="00C1421E">
        <w:rPr>
          <w:lang w:val="en-GB"/>
        </w:rPr>
        <w:t>of several services available in the ITU-T SharePoint collaboration sites</w:t>
      </w:r>
      <w:r w:rsidR="00194F77" w:rsidRPr="00C1421E">
        <w:rPr>
          <w:lang w:val="en-GB"/>
        </w:rPr>
        <w:t>. These sites</w:t>
      </w:r>
      <w:r w:rsidRPr="00C1421E">
        <w:rPr>
          <w:lang w:val="en-GB"/>
        </w:rPr>
        <w:t xml:space="preserve"> </w:t>
      </w:r>
      <w:r w:rsidR="00194F77" w:rsidRPr="00C1421E">
        <w:rPr>
          <w:lang w:val="en-GB"/>
        </w:rPr>
        <w:t xml:space="preserve">are </w:t>
      </w:r>
      <w:r w:rsidRPr="00C1421E">
        <w:rPr>
          <w:lang w:val="en-GB"/>
        </w:rPr>
        <w:t xml:space="preserve">restricted to ITU-T </w:t>
      </w:r>
      <w:r w:rsidR="00DE1505">
        <w:rPr>
          <w:lang w:val="en-GB"/>
        </w:rPr>
        <w:t>m</w:t>
      </w:r>
      <w:r w:rsidRPr="00C1421E">
        <w:rPr>
          <w:lang w:val="en-GB"/>
        </w:rPr>
        <w:t xml:space="preserve">embers and </w:t>
      </w:r>
      <w:r w:rsidR="00194F77" w:rsidRPr="00C1421E">
        <w:rPr>
          <w:lang w:val="en-GB"/>
        </w:rPr>
        <w:t xml:space="preserve">can </w:t>
      </w:r>
      <w:r w:rsidRPr="00C1421E">
        <w:rPr>
          <w:lang w:val="en-GB"/>
        </w:rPr>
        <w:t xml:space="preserve">be accessed using an ITU User </w:t>
      </w:r>
      <w:r w:rsidR="00DE1505">
        <w:rPr>
          <w:lang w:val="en-GB"/>
        </w:rPr>
        <w:t xml:space="preserve">Account </w:t>
      </w:r>
      <w:r w:rsidRPr="00C1421E">
        <w:rPr>
          <w:lang w:val="en-GB"/>
        </w:rPr>
        <w:t>(TIES).</w:t>
      </w:r>
    </w:p>
    <w:p w14:paraId="1126A876" w14:textId="352D3700" w:rsidR="006944F8" w:rsidRPr="00C1421E" w:rsidRDefault="002F0E38" w:rsidP="006944F8">
      <w:pPr>
        <w:pStyle w:val="Heading2"/>
        <w:rPr>
          <w:highlight w:val="yellow"/>
        </w:rPr>
      </w:pPr>
      <w:bookmarkStart w:id="189" w:name="_Toc480527873"/>
      <w:bookmarkStart w:id="190" w:name="_Toc18509784"/>
      <w:r w:rsidRPr="00C1421E">
        <w:lastRenderedPageBreak/>
        <w:t>13</w:t>
      </w:r>
      <w:r w:rsidR="006944F8" w:rsidRPr="00C1421E">
        <w:t>.6</w:t>
      </w:r>
      <w:r w:rsidR="006944F8" w:rsidRPr="00C1421E">
        <w:tab/>
        <w:t>International Numbering Resources (INRs)</w:t>
      </w:r>
      <w:bookmarkEnd w:id="189"/>
      <w:bookmarkEnd w:id="190"/>
    </w:p>
    <w:p w14:paraId="7DC41C1B" w14:textId="300C913C" w:rsidR="00ED445F" w:rsidRDefault="00ED445F" w:rsidP="001C37A8">
      <w:pPr>
        <w:rPr>
          <w:lang w:val="en-GB"/>
        </w:rPr>
      </w:pPr>
      <w:r>
        <w:rPr>
          <w:szCs w:val="24"/>
          <w:lang w:val="en-GB"/>
        </w:rPr>
        <w:t xml:space="preserve">A </w:t>
      </w:r>
      <w:r w:rsidRPr="008F380F">
        <w:rPr>
          <w:szCs w:val="24"/>
          <w:lang w:val="en-GB"/>
        </w:rPr>
        <w:t xml:space="preserve">prototype of </w:t>
      </w:r>
      <w:r>
        <w:rPr>
          <w:szCs w:val="24"/>
          <w:lang w:val="en-GB"/>
        </w:rPr>
        <w:t>a</w:t>
      </w:r>
      <w:r w:rsidRPr="008F380F">
        <w:rPr>
          <w:szCs w:val="24"/>
          <w:lang w:val="en-GB"/>
        </w:rPr>
        <w:t xml:space="preserve"> new</w:t>
      </w:r>
      <w:r w:rsidRPr="008F380F">
        <w:rPr>
          <w:lang w:val="en-GB"/>
        </w:rPr>
        <w:t xml:space="preserve"> repository of national numbering plans</w:t>
      </w:r>
      <w:r>
        <w:rPr>
          <w:lang w:val="en-GB"/>
        </w:rPr>
        <w:t xml:space="preserve"> has been developed and</w:t>
      </w:r>
      <w:r w:rsidRPr="008F380F">
        <w:rPr>
          <w:lang w:val="en-GB"/>
        </w:rPr>
        <w:t xml:space="preserve"> is available at: </w:t>
      </w:r>
      <w:hyperlink r:id="rId167" w:history="1">
        <w:r w:rsidRPr="008F380F">
          <w:rPr>
            <w:rStyle w:val="Hyperlink"/>
            <w:lang w:val="en-GB"/>
          </w:rPr>
          <w:t>https://www.itu.int/net4/itu-t/nnp</w:t>
        </w:r>
      </w:hyperlink>
      <w:r w:rsidRPr="008F380F">
        <w:rPr>
          <w:lang w:val="en-GB"/>
        </w:rPr>
        <w:t xml:space="preserve">. </w:t>
      </w:r>
      <w:r>
        <w:rPr>
          <w:lang w:val="en-GB"/>
        </w:rPr>
        <w:t xml:space="preserve">The prototype responds to </w:t>
      </w:r>
      <w:r w:rsidRPr="008F380F">
        <w:rPr>
          <w:rFonts w:eastAsia="SimSun"/>
          <w:lang w:val="en-GB"/>
        </w:rPr>
        <w:t xml:space="preserve">WTSA Resolution 91 </w:t>
      </w:r>
      <w:r>
        <w:rPr>
          <w:rFonts w:eastAsia="SimSun"/>
          <w:lang w:val="en-GB"/>
        </w:rPr>
        <w:t>(</w:t>
      </w:r>
      <w:proofErr w:type="spellStart"/>
      <w:r>
        <w:rPr>
          <w:rFonts w:eastAsia="SimSun"/>
          <w:lang w:val="en-GB"/>
        </w:rPr>
        <w:t>Hammamet</w:t>
      </w:r>
      <w:proofErr w:type="spellEnd"/>
      <w:r>
        <w:rPr>
          <w:rFonts w:eastAsia="SimSun"/>
          <w:lang w:val="en-GB"/>
        </w:rPr>
        <w:t xml:space="preserve">, 2016) </w:t>
      </w:r>
      <w:r w:rsidRPr="008F380F">
        <w:rPr>
          <w:rFonts w:eastAsia="SimSun"/>
          <w:lang w:val="en-GB"/>
        </w:rPr>
        <w:t>on "Enhancing access to an electronic repository of information on numbering plans published by the ITU Telecommunication Standardization Sector"</w:t>
      </w:r>
      <w:r>
        <w:rPr>
          <w:rFonts w:eastAsia="SimSun"/>
          <w:lang w:val="en-GB"/>
        </w:rPr>
        <w:t>.</w:t>
      </w:r>
      <w:r>
        <w:rPr>
          <w:lang w:val="en-GB"/>
        </w:rPr>
        <w:t xml:space="preserve"> </w:t>
      </w:r>
      <w:r w:rsidRPr="008F380F">
        <w:rPr>
          <w:rFonts w:eastAsia="SimSun"/>
          <w:lang w:val="en-GB"/>
        </w:rPr>
        <w:t xml:space="preserve">Pursuant to the relevant ITU-T Recommendations, Member States are invited to </w:t>
      </w:r>
      <w:r w:rsidRPr="008F380F">
        <w:rPr>
          <w:lang w:val="en-GB"/>
        </w:rPr>
        <w:t xml:space="preserve">provide information on the presentation of their national numbering plans and amendments thereto in a timely manner, so as to ensure that the electronic repository remains up to date. </w:t>
      </w:r>
    </w:p>
    <w:p w14:paraId="13196E64" w14:textId="538DB0CA" w:rsidR="006944F8" w:rsidRPr="008F380F" w:rsidRDefault="006944F8" w:rsidP="001C37A8">
      <w:pPr>
        <w:rPr>
          <w:lang w:val="en-GB"/>
        </w:rPr>
      </w:pPr>
      <w:r w:rsidRPr="008F380F">
        <w:rPr>
          <w:lang w:val="en-GB"/>
        </w:rPr>
        <w:t>ITU assigns about two-dozen types of International Numbering Resources (INRs), either directly or indirectly.</w:t>
      </w:r>
    </w:p>
    <w:p w14:paraId="51ACBCA8" w14:textId="19B425DE" w:rsidR="006944F8" w:rsidRPr="008F380F" w:rsidRDefault="006944F8" w:rsidP="009E5FFA">
      <w:pPr>
        <w:rPr>
          <w:lang w:val="en-GB"/>
        </w:rPr>
      </w:pPr>
      <w:r w:rsidRPr="008F380F">
        <w:rPr>
          <w:lang w:val="en-GB"/>
        </w:rPr>
        <w:t>Notifications of national numbering/identification plan update</w:t>
      </w:r>
      <w:r w:rsidR="00194F77" w:rsidRPr="008F380F">
        <w:rPr>
          <w:lang w:val="en-GB"/>
        </w:rPr>
        <w:t>s</w:t>
      </w:r>
      <w:r w:rsidRPr="008F380F">
        <w:rPr>
          <w:lang w:val="en-GB"/>
        </w:rPr>
        <w:t xml:space="preserve"> and assignment</w:t>
      </w:r>
      <w:r w:rsidR="00194F77" w:rsidRPr="008F380F">
        <w:rPr>
          <w:lang w:val="en-GB"/>
        </w:rPr>
        <w:t>s</w:t>
      </w:r>
      <w:r w:rsidRPr="008F380F">
        <w:rPr>
          <w:lang w:val="en-GB"/>
        </w:rPr>
        <w:t xml:space="preserve"> or reclamation</w:t>
      </w:r>
      <w:r w:rsidR="00194F77" w:rsidRPr="008F380F">
        <w:rPr>
          <w:lang w:val="en-GB"/>
        </w:rPr>
        <w:t>s</w:t>
      </w:r>
      <w:r w:rsidRPr="008F380F">
        <w:rPr>
          <w:lang w:val="en-GB"/>
        </w:rPr>
        <w:t xml:space="preserve"> of national numbering/identification resources </w:t>
      </w:r>
      <w:r w:rsidR="00194F77" w:rsidRPr="008F380F">
        <w:rPr>
          <w:lang w:val="en-GB"/>
        </w:rPr>
        <w:t xml:space="preserve">are </w:t>
      </w:r>
      <w:r w:rsidRPr="008F380F">
        <w:rPr>
          <w:lang w:val="en-GB"/>
        </w:rPr>
        <w:t xml:space="preserve">received and published in the </w:t>
      </w:r>
      <w:hyperlink r:id="rId168" w:history="1">
        <w:r w:rsidRPr="008F380F">
          <w:rPr>
            <w:rFonts w:asciiTheme="majorBidi" w:hAnsiTheme="majorBidi" w:cstheme="majorBidi"/>
            <w:color w:val="0000FF"/>
            <w:u w:val="single" w:color="0000FF"/>
            <w:lang w:val="en-GB"/>
          </w:rPr>
          <w:t>ITU Operational Bulletin</w:t>
        </w:r>
      </w:hyperlink>
      <w:r w:rsidRPr="008F380F">
        <w:rPr>
          <w:lang w:val="en-GB"/>
        </w:rPr>
        <w:t xml:space="preserve">. The ITU Operational Bulletin is published in the six official languages </w:t>
      </w:r>
      <w:r w:rsidR="00194F77" w:rsidRPr="008F380F">
        <w:rPr>
          <w:lang w:val="en-GB"/>
        </w:rPr>
        <w:t xml:space="preserve">of the Union </w:t>
      </w:r>
      <w:r w:rsidRPr="008F380F">
        <w:rPr>
          <w:lang w:val="en-GB"/>
        </w:rPr>
        <w:t xml:space="preserve">twice a month. Some 20 annexes </w:t>
      </w:r>
      <w:r w:rsidR="005C3985" w:rsidRPr="008F380F">
        <w:rPr>
          <w:lang w:val="en-GB"/>
        </w:rPr>
        <w:t xml:space="preserve">are maintained </w:t>
      </w:r>
      <w:r w:rsidRPr="008F380F">
        <w:rPr>
          <w:lang w:val="en-GB"/>
        </w:rPr>
        <w:t>on numbers and codes allocated in accordance with the following recommendations:</w:t>
      </w:r>
    </w:p>
    <w:p w14:paraId="6ACE5A10" w14:textId="1B9E08AC"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E.164 </w:t>
      </w:r>
      <w:r w:rsidR="00CA2D85" w:rsidRPr="008F380F">
        <w:rPr>
          <w:rFonts w:eastAsiaTheme="minorEastAsia"/>
          <w:lang w:val="en-GB"/>
        </w:rPr>
        <w:t>"</w:t>
      </w:r>
      <w:r w:rsidRPr="008F380F">
        <w:rPr>
          <w:rFonts w:eastAsiaTheme="minorEastAsia"/>
          <w:lang w:val="en-GB"/>
        </w:rPr>
        <w:t>The international public telecommunication numbering plan</w:t>
      </w:r>
      <w:r w:rsidR="00CA2D85" w:rsidRPr="008F380F">
        <w:rPr>
          <w:rFonts w:eastAsiaTheme="minorEastAsia"/>
          <w:lang w:val="en-GB"/>
        </w:rPr>
        <w:t>"</w:t>
      </w:r>
    </w:p>
    <w:p w14:paraId="0961FA46" w14:textId="5972A0C8"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E.118 </w:t>
      </w:r>
      <w:r w:rsidR="00CA2D85" w:rsidRPr="008F380F">
        <w:rPr>
          <w:rFonts w:eastAsiaTheme="minorEastAsia"/>
          <w:lang w:val="en-GB"/>
        </w:rPr>
        <w:t>"</w:t>
      </w:r>
      <w:r w:rsidRPr="008F380F">
        <w:rPr>
          <w:rFonts w:eastAsiaTheme="minorEastAsia"/>
          <w:lang w:val="en-GB"/>
        </w:rPr>
        <w:t>The international telecommunication charge card</w:t>
      </w:r>
      <w:r w:rsidR="00CA2D85" w:rsidRPr="008F380F">
        <w:rPr>
          <w:rFonts w:eastAsiaTheme="minorEastAsia"/>
          <w:lang w:val="en-GB"/>
        </w:rPr>
        <w:t>"</w:t>
      </w:r>
    </w:p>
    <w:p w14:paraId="0ECAF69F" w14:textId="5BA67F74"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E.212 </w:t>
      </w:r>
      <w:r w:rsidR="00CA2D85" w:rsidRPr="008F380F">
        <w:rPr>
          <w:rFonts w:eastAsiaTheme="minorEastAsia"/>
          <w:lang w:val="en-GB"/>
        </w:rPr>
        <w:t>"</w:t>
      </w:r>
      <w:r w:rsidRPr="008F380F">
        <w:rPr>
          <w:rFonts w:eastAsiaTheme="minorEastAsia"/>
          <w:lang w:val="en-GB"/>
        </w:rPr>
        <w:t>The international identification plan for public networks and subscriptions</w:t>
      </w:r>
      <w:r w:rsidR="00CA2D85" w:rsidRPr="008F380F">
        <w:rPr>
          <w:rFonts w:eastAsiaTheme="minorEastAsia"/>
          <w:lang w:val="en-GB"/>
        </w:rPr>
        <w:t>"</w:t>
      </w:r>
    </w:p>
    <w:p w14:paraId="1B63E52A" w14:textId="6EF9DF20"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E.218 </w:t>
      </w:r>
      <w:r w:rsidR="00CA2D85" w:rsidRPr="008F380F">
        <w:rPr>
          <w:rFonts w:eastAsiaTheme="minorEastAsia"/>
          <w:lang w:val="en-GB"/>
        </w:rPr>
        <w:t>"</w:t>
      </w:r>
      <w:r w:rsidRPr="008F380F">
        <w:rPr>
          <w:rFonts w:eastAsiaTheme="minorEastAsia"/>
          <w:lang w:val="en-GB"/>
        </w:rPr>
        <w:t>Management of the allocation of terrestrial trunk radio Mobile Country Codes</w:t>
      </w:r>
      <w:r w:rsidR="00CA2D85" w:rsidRPr="008F380F">
        <w:rPr>
          <w:rFonts w:eastAsiaTheme="minorEastAsia"/>
          <w:lang w:val="en-GB"/>
        </w:rPr>
        <w:t>"</w:t>
      </w:r>
    </w:p>
    <w:p w14:paraId="625B46F6" w14:textId="5E2FF1FD"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Q.708 </w:t>
      </w:r>
      <w:r w:rsidR="00CA2D85" w:rsidRPr="008F380F">
        <w:rPr>
          <w:rFonts w:eastAsiaTheme="minorEastAsia"/>
          <w:lang w:val="en-GB"/>
        </w:rPr>
        <w:t>"</w:t>
      </w:r>
      <w:r w:rsidRPr="008F380F">
        <w:rPr>
          <w:rFonts w:eastAsiaTheme="minorEastAsia"/>
          <w:lang w:val="en-GB"/>
        </w:rPr>
        <w:t>Assignment procedures for international signalling point codes</w:t>
      </w:r>
      <w:r w:rsidR="00CA2D85" w:rsidRPr="008F380F">
        <w:rPr>
          <w:rFonts w:eastAsiaTheme="minorEastAsia"/>
          <w:lang w:val="en-GB"/>
        </w:rPr>
        <w:t>"</w:t>
      </w:r>
      <w:r w:rsidRPr="008F380F">
        <w:rPr>
          <w:rFonts w:eastAsiaTheme="minorEastAsia"/>
          <w:lang w:val="en-GB"/>
        </w:rPr>
        <w:t>.</w:t>
      </w:r>
    </w:p>
    <w:p w14:paraId="0050D20F" w14:textId="7DE32FA2" w:rsidR="00C22237" w:rsidRDefault="008F380F" w:rsidP="008569B7">
      <w:pPr>
        <w:rPr>
          <w:lang w:val="en-GB"/>
        </w:rPr>
      </w:pPr>
      <w:r w:rsidRPr="008A2F29">
        <w:t>ITU-T E.156 "Guidelines for ITU-T action on reported misuse of E.164 number resources"</w:t>
      </w:r>
      <w:r w:rsidR="006944F8" w:rsidRPr="008F380F">
        <w:rPr>
          <w:lang w:val="en-GB"/>
        </w:rPr>
        <w:t xml:space="preserve"> is under revision to include new cases of misuse and to investigate more efficient means of combating misuse.</w:t>
      </w:r>
      <w:r w:rsidR="008569B7" w:rsidRPr="008F380F">
        <w:rPr>
          <w:lang w:val="en-GB"/>
        </w:rPr>
        <w:t xml:space="preserve"> </w:t>
      </w:r>
    </w:p>
    <w:p w14:paraId="740446F1" w14:textId="0D9273C3" w:rsidR="00C22237" w:rsidRDefault="008569B7" w:rsidP="008569B7">
      <w:pPr>
        <w:rPr>
          <w:szCs w:val="24"/>
          <w:lang w:val="en-GB"/>
        </w:rPr>
      </w:pPr>
      <w:r w:rsidRPr="008F380F">
        <w:rPr>
          <w:szCs w:val="24"/>
          <w:lang w:val="en-GB"/>
        </w:rPr>
        <w:t xml:space="preserve">Following the instruction of WTSA Resolution 20 (Rev. </w:t>
      </w:r>
      <w:proofErr w:type="spellStart"/>
      <w:r w:rsidRPr="008F380F">
        <w:rPr>
          <w:szCs w:val="24"/>
          <w:lang w:val="en-GB"/>
        </w:rPr>
        <w:t>Hammamet</w:t>
      </w:r>
      <w:proofErr w:type="spellEnd"/>
      <w:r w:rsidRPr="008F380F">
        <w:rPr>
          <w:szCs w:val="24"/>
          <w:lang w:val="en-GB"/>
        </w:rPr>
        <w:t xml:space="preserve">, 2016), the </w:t>
      </w:r>
      <w:r w:rsidR="00CB05D7" w:rsidRPr="008F380F">
        <w:rPr>
          <w:szCs w:val="24"/>
          <w:lang w:val="en-GB"/>
        </w:rPr>
        <w:t xml:space="preserve">TSB Director </w:t>
      </w:r>
      <w:r w:rsidRPr="008F380F">
        <w:rPr>
          <w:szCs w:val="24"/>
          <w:lang w:val="en-GB"/>
        </w:rPr>
        <w:t>informed ITU Council 2019</w:t>
      </w:r>
      <w:r w:rsidR="00C22237">
        <w:rPr>
          <w:szCs w:val="24"/>
          <w:lang w:val="en-GB"/>
        </w:rPr>
        <w:t xml:space="preserve"> of recently received reports of numbering resource </w:t>
      </w:r>
      <w:r w:rsidRPr="008F380F">
        <w:rPr>
          <w:szCs w:val="24"/>
          <w:lang w:val="en-GB"/>
        </w:rPr>
        <w:t>misuse</w:t>
      </w:r>
      <w:r w:rsidR="00C22237">
        <w:rPr>
          <w:szCs w:val="24"/>
          <w:lang w:val="en-GB"/>
        </w:rPr>
        <w:t xml:space="preserve">. </w:t>
      </w:r>
      <w:r w:rsidRPr="008F380F">
        <w:rPr>
          <w:szCs w:val="24"/>
          <w:lang w:val="en-GB"/>
        </w:rPr>
        <w:t xml:space="preserve">TSB </w:t>
      </w:r>
      <w:r w:rsidR="00CB6CB5">
        <w:rPr>
          <w:szCs w:val="24"/>
          <w:lang w:val="en-GB"/>
        </w:rPr>
        <w:t>has</w:t>
      </w:r>
      <w:r w:rsidRPr="008F380F">
        <w:rPr>
          <w:szCs w:val="24"/>
          <w:lang w:val="en-GB"/>
        </w:rPr>
        <w:t xml:space="preserve"> been </w:t>
      </w:r>
      <w:r w:rsidR="00C22237">
        <w:rPr>
          <w:szCs w:val="24"/>
          <w:lang w:val="en-GB"/>
        </w:rPr>
        <w:t xml:space="preserve">working </w:t>
      </w:r>
      <w:r w:rsidRPr="008F380F">
        <w:rPr>
          <w:szCs w:val="24"/>
          <w:lang w:val="en-GB"/>
        </w:rPr>
        <w:t xml:space="preserve">in close collaboration with </w:t>
      </w:r>
      <w:r w:rsidR="00C22237">
        <w:rPr>
          <w:szCs w:val="24"/>
          <w:lang w:val="en-GB"/>
        </w:rPr>
        <w:t>the experts of ITU-T SG</w:t>
      </w:r>
      <w:r w:rsidRPr="008F380F">
        <w:rPr>
          <w:szCs w:val="24"/>
          <w:lang w:val="en-GB"/>
        </w:rPr>
        <w:t xml:space="preserve">2 in investigating the </w:t>
      </w:r>
      <w:r w:rsidR="00C22237">
        <w:rPr>
          <w:szCs w:val="24"/>
          <w:lang w:val="en-GB"/>
        </w:rPr>
        <w:t xml:space="preserve">reported </w:t>
      </w:r>
      <w:r w:rsidRPr="008F380F">
        <w:rPr>
          <w:szCs w:val="24"/>
          <w:lang w:val="en-GB"/>
        </w:rPr>
        <w:t xml:space="preserve">misuse </w:t>
      </w:r>
      <w:r w:rsidR="00C22237">
        <w:rPr>
          <w:szCs w:val="24"/>
          <w:lang w:val="en-GB"/>
        </w:rPr>
        <w:t xml:space="preserve">of </w:t>
      </w:r>
      <w:r w:rsidRPr="008F380F">
        <w:rPr>
          <w:szCs w:val="24"/>
          <w:lang w:val="en-GB"/>
        </w:rPr>
        <w:t xml:space="preserve">one particular ITU telephone number. </w:t>
      </w:r>
    </w:p>
    <w:p w14:paraId="5D28C3E8" w14:textId="466FBF01" w:rsidR="008569B7" w:rsidRPr="008F380F" w:rsidRDefault="008569B7" w:rsidP="008569B7">
      <w:pPr>
        <w:rPr>
          <w:szCs w:val="24"/>
          <w:lang w:val="en-GB"/>
        </w:rPr>
      </w:pPr>
      <w:r w:rsidRPr="008F380F">
        <w:rPr>
          <w:szCs w:val="24"/>
          <w:lang w:val="en-GB"/>
        </w:rPr>
        <w:t xml:space="preserve">Member States are encouraged to contribute to the implementation of PP Resolution 190 (Busan, 2014) </w:t>
      </w:r>
      <w:r w:rsidR="00CA2D85" w:rsidRPr="008F380F">
        <w:rPr>
          <w:szCs w:val="24"/>
          <w:lang w:val="en-GB"/>
        </w:rPr>
        <w:t>"</w:t>
      </w:r>
      <w:r w:rsidRPr="008F380F">
        <w:rPr>
          <w:szCs w:val="24"/>
          <w:lang w:val="en-GB"/>
        </w:rPr>
        <w:t>Countering misappropriation and misuse of international telecommu</w:t>
      </w:r>
      <w:r w:rsidR="00CB05D7" w:rsidRPr="008F380F">
        <w:rPr>
          <w:szCs w:val="24"/>
          <w:lang w:val="en-GB"/>
        </w:rPr>
        <w:t>nication numbering resources</w:t>
      </w:r>
      <w:r w:rsidR="00CA2D85" w:rsidRPr="008F380F">
        <w:rPr>
          <w:szCs w:val="24"/>
          <w:lang w:val="en-GB"/>
        </w:rPr>
        <w:t>"</w:t>
      </w:r>
      <w:r w:rsidR="00CB05D7" w:rsidRPr="008F380F">
        <w:rPr>
          <w:szCs w:val="24"/>
          <w:lang w:val="en-GB"/>
        </w:rPr>
        <w:t xml:space="preserve">, </w:t>
      </w:r>
      <w:r w:rsidRPr="008F380F">
        <w:rPr>
          <w:szCs w:val="24"/>
          <w:lang w:val="en-GB"/>
        </w:rPr>
        <w:t>in particular</w:t>
      </w:r>
      <w:r w:rsidR="00C22237">
        <w:rPr>
          <w:szCs w:val="24"/>
          <w:lang w:val="en-GB"/>
        </w:rPr>
        <w:t xml:space="preserve"> </w:t>
      </w:r>
      <w:r w:rsidR="00CA2D85" w:rsidRPr="008F380F">
        <w:rPr>
          <w:szCs w:val="24"/>
          <w:lang w:val="en-GB"/>
        </w:rPr>
        <w:t>"</w:t>
      </w:r>
      <w:r w:rsidRPr="008F380F">
        <w:rPr>
          <w:szCs w:val="24"/>
          <w:lang w:val="en-GB"/>
        </w:rPr>
        <w:t>to continue to study ways and means to improve the understanding, identification and resolution of misappropriation and misuse of ITU-T E.164 telephone numbers through activities of ITU-T and ITU-D study groups</w:t>
      </w:r>
      <w:r w:rsidR="00CA2D85" w:rsidRPr="008F380F">
        <w:rPr>
          <w:szCs w:val="24"/>
          <w:lang w:val="en-GB"/>
        </w:rPr>
        <w:t>"</w:t>
      </w:r>
      <w:r w:rsidRPr="008F380F">
        <w:rPr>
          <w:szCs w:val="24"/>
          <w:lang w:val="en-GB"/>
        </w:rPr>
        <w:t xml:space="preserve"> and </w:t>
      </w:r>
      <w:r w:rsidR="00CA2D85" w:rsidRPr="008F380F">
        <w:rPr>
          <w:szCs w:val="24"/>
          <w:lang w:val="en-GB"/>
        </w:rPr>
        <w:t>"</w:t>
      </w:r>
      <w:r w:rsidRPr="008F380F">
        <w:rPr>
          <w:szCs w:val="24"/>
          <w:lang w:val="en-GB"/>
        </w:rPr>
        <w:t>develop national legal and regulatory frameworks that are sufficient to ensure best practices in ITU-T E.164 telephone numbering management in order to counter telephone number misappropriation and misuse</w:t>
      </w:r>
      <w:r w:rsidR="00CA2D85" w:rsidRPr="008F380F">
        <w:rPr>
          <w:szCs w:val="24"/>
          <w:lang w:val="en-GB"/>
        </w:rPr>
        <w:t>"</w:t>
      </w:r>
      <w:r w:rsidRPr="008F380F">
        <w:rPr>
          <w:szCs w:val="24"/>
          <w:lang w:val="en-GB"/>
        </w:rPr>
        <w:t>.</w:t>
      </w:r>
    </w:p>
    <w:p w14:paraId="7FF0806E" w14:textId="77777777" w:rsidR="008569B7" w:rsidRPr="008F380F" w:rsidRDefault="008569B7" w:rsidP="001C37A8">
      <w:pPr>
        <w:snapToGrid w:val="0"/>
        <w:rPr>
          <w:szCs w:val="24"/>
          <w:lang w:val="en-GB"/>
        </w:rPr>
      </w:pPr>
      <w:r w:rsidRPr="008F380F">
        <w:rPr>
          <w:rFonts w:eastAsia="SimSun"/>
          <w:szCs w:val="24"/>
          <w:lang w:val="en-GB"/>
        </w:rPr>
        <w:t xml:space="preserve">Council 2017 </w:t>
      </w:r>
      <w:r w:rsidRPr="008F380F">
        <w:rPr>
          <w:szCs w:val="24"/>
          <w:lang w:val="en-GB"/>
        </w:rPr>
        <w:t>approved the new fee structure for UIFN (Universal International Freephone Number) and IIN (Issuer Identifier Number) by approving new Decision 600 (</w:t>
      </w:r>
      <w:hyperlink r:id="rId169" w:history="1">
        <w:r w:rsidRPr="008F380F">
          <w:rPr>
            <w:rStyle w:val="Hyperlink"/>
            <w:szCs w:val="24"/>
            <w:lang w:val="en-GB"/>
          </w:rPr>
          <w:t>C17/133</w:t>
        </w:r>
      </w:hyperlink>
      <w:r w:rsidRPr="008F380F">
        <w:rPr>
          <w:szCs w:val="24"/>
          <w:lang w:val="en-GB"/>
        </w:rPr>
        <w:t>) and 601 (</w:t>
      </w:r>
      <w:hyperlink r:id="rId170" w:history="1">
        <w:r w:rsidRPr="008F380F">
          <w:rPr>
            <w:rStyle w:val="Hyperlink"/>
            <w:szCs w:val="24"/>
            <w:lang w:val="en-GB"/>
          </w:rPr>
          <w:t>C17/134</w:t>
        </w:r>
      </w:hyperlink>
      <w:r w:rsidRPr="008F380F">
        <w:rPr>
          <w:szCs w:val="24"/>
          <w:lang w:val="en-GB"/>
        </w:rPr>
        <w:t>). ITU has been in the process of implementing these Decisions.</w:t>
      </w:r>
    </w:p>
    <w:p w14:paraId="487C0468" w14:textId="0E0074DF" w:rsidR="008569B7" w:rsidRPr="008F380F" w:rsidRDefault="008569B7" w:rsidP="001C37A8">
      <w:pPr>
        <w:numPr>
          <w:ilvl w:val="0"/>
          <w:numId w:val="37"/>
        </w:numPr>
        <w:rPr>
          <w:lang w:val="en-GB"/>
        </w:rPr>
      </w:pPr>
      <w:r w:rsidRPr="008F380F">
        <w:rPr>
          <w:lang w:val="en-GB"/>
        </w:rPr>
        <w:t>The improved systems went live on 16 January 2018 following the new fee structure approved in Council Decision 600</w:t>
      </w:r>
      <w:r w:rsidRPr="008F380F">
        <w:rPr>
          <w:rFonts w:eastAsia="SimSun"/>
          <w:lang w:val="en-GB"/>
        </w:rPr>
        <w:t>.</w:t>
      </w:r>
    </w:p>
    <w:p w14:paraId="58C1DAC7" w14:textId="4DD06203" w:rsidR="008569B7" w:rsidRPr="008F380F" w:rsidRDefault="00C22237" w:rsidP="001C37A8">
      <w:pPr>
        <w:numPr>
          <w:ilvl w:val="0"/>
          <w:numId w:val="37"/>
        </w:numPr>
        <w:rPr>
          <w:lang w:val="en-GB"/>
        </w:rPr>
      </w:pPr>
      <w:r>
        <w:rPr>
          <w:lang w:val="en-GB"/>
        </w:rPr>
        <w:t xml:space="preserve">At its </w:t>
      </w:r>
      <w:r w:rsidR="008569B7" w:rsidRPr="008F380F">
        <w:rPr>
          <w:lang w:val="en-GB"/>
        </w:rPr>
        <w:t>February 2019</w:t>
      </w:r>
      <w:r>
        <w:rPr>
          <w:lang w:val="en-GB"/>
        </w:rPr>
        <w:t xml:space="preserve"> meeting</w:t>
      </w:r>
      <w:r w:rsidR="008569B7" w:rsidRPr="008F380F">
        <w:rPr>
          <w:lang w:val="en-GB"/>
        </w:rPr>
        <w:t xml:space="preserve">, </w:t>
      </w:r>
      <w:r>
        <w:rPr>
          <w:lang w:val="en-GB"/>
        </w:rPr>
        <w:t xml:space="preserve">ITU-T SG2 </w:t>
      </w:r>
      <w:r w:rsidR="008569B7" w:rsidRPr="008F380F">
        <w:rPr>
          <w:lang w:val="en-GB"/>
        </w:rPr>
        <w:t xml:space="preserve">approved revisions to ITU-T E.169.1 </w:t>
      </w:r>
      <w:r w:rsidR="00CA2D85" w:rsidRPr="008F380F">
        <w:rPr>
          <w:lang w:val="en-GB"/>
        </w:rPr>
        <w:t>"</w:t>
      </w:r>
      <w:r w:rsidR="008569B7" w:rsidRPr="008F380F">
        <w:rPr>
          <w:lang w:val="en-GB"/>
        </w:rPr>
        <w:t xml:space="preserve">Application of Recommendation E.164 numbering plan for universal international </w:t>
      </w:r>
      <w:proofErr w:type="spellStart"/>
      <w:r w:rsidR="008569B7" w:rsidRPr="008F380F">
        <w:rPr>
          <w:lang w:val="en-GB"/>
        </w:rPr>
        <w:t>freephone</w:t>
      </w:r>
      <w:proofErr w:type="spellEnd"/>
      <w:r w:rsidR="008569B7" w:rsidRPr="008F380F">
        <w:rPr>
          <w:lang w:val="en-GB"/>
        </w:rPr>
        <w:t xml:space="preserve"> numbers for international </w:t>
      </w:r>
      <w:proofErr w:type="spellStart"/>
      <w:r w:rsidR="008569B7" w:rsidRPr="008F380F">
        <w:rPr>
          <w:lang w:val="en-GB"/>
        </w:rPr>
        <w:t>freephone</w:t>
      </w:r>
      <w:proofErr w:type="spellEnd"/>
      <w:r w:rsidR="008569B7" w:rsidRPr="008F380F">
        <w:rPr>
          <w:lang w:val="en-GB"/>
        </w:rPr>
        <w:t xml:space="preserve"> service</w:t>
      </w:r>
      <w:r w:rsidR="00CA2D85" w:rsidRPr="008F380F">
        <w:rPr>
          <w:lang w:val="en-GB"/>
        </w:rPr>
        <w:t>"</w:t>
      </w:r>
      <w:r w:rsidR="008569B7" w:rsidRPr="008F380F">
        <w:rPr>
          <w:lang w:val="en-GB"/>
        </w:rPr>
        <w:t xml:space="preserve"> and ITU-T E.118 </w:t>
      </w:r>
      <w:r w:rsidR="00CA2D85" w:rsidRPr="008F380F">
        <w:rPr>
          <w:lang w:val="en-GB"/>
        </w:rPr>
        <w:t>"</w:t>
      </w:r>
      <w:r w:rsidR="008569B7" w:rsidRPr="008F380F">
        <w:rPr>
          <w:lang w:val="en-GB"/>
        </w:rPr>
        <w:t>The international telecommunication charge card</w:t>
      </w:r>
      <w:r w:rsidR="00CA2D85" w:rsidRPr="008F380F">
        <w:rPr>
          <w:lang w:val="en-GB"/>
        </w:rPr>
        <w:t>"</w:t>
      </w:r>
      <w:r w:rsidR="008569B7" w:rsidRPr="008F380F">
        <w:rPr>
          <w:lang w:val="en-GB"/>
        </w:rPr>
        <w:t xml:space="preserve"> to reflect Council Decision 600 and 601.</w:t>
      </w:r>
    </w:p>
    <w:p w14:paraId="1FF2EBB2" w14:textId="6A7B4FE2" w:rsidR="008569B7" w:rsidRPr="008F380F" w:rsidRDefault="008569B7" w:rsidP="001C37A8">
      <w:pPr>
        <w:numPr>
          <w:ilvl w:val="0"/>
          <w:numId w:val="37"/>
        </w:numPr>
        <w:rPr>
          <w:rFonts w:eastAsia="Calibri"/>
          <w:lang w:val="en-GB"/>
        </w:rPr>
      </w:pPr>
      <w:r w:rsidRPr="008F380F">
        <w:rPr>
          <w:rFonts w:eastAsia="Calibri"/>
          <w:lang w:val="en-GB"/>
        </w:rPr>
        <w:t>For the UIFN annual maintenance fee for 2018, invoices representing CHF 744</w:t>
      </w:r>
      <w:r w:rsidR="00C22237">
        <w:rPr>
          <w:rFonts w:eastAsia="Calibri"/>
          <w:lang w:val="en-GB"/>
        </w:rPr>
        <w:t>,</w:t>
      </w:r>
      <w:r w:rsidRPr="008F380F">
        <w:rPr>
          <w:rFonts w:eastAsia="Calibri"/>
          <w:lang w:val="en-GB"/>
        </w:rPr>
        <w:t xml:space="preserve">200 were </w:t>
      </w:r>
      <w:r w:rsidR="00C22237">
        <w:rPr>
          <w:rFonts w:eastAsia="Calibri"/>
          <w:lang w:val="en-GB"/>
        </w:rPr>
        <w:t xml:space="preserve">distributed </w:t>
      </w:r>
      <w:r w:rsidRPr="008F380F">
        <w:rPr>
          <w:rFonts w:eastAsia="Calibri"/>
          <w:lang w:val="en-GB"/>
        </w:rPr>
        <w:t xml:space="preserve">in January 2018. Applying the principle of pro rata fee for newly joined Sector </w:t>
      </w:r>
      <w:r w:rsidRPr="008F380F">
        <w:rPr>
          <w:rFonts w:eastAsia="Calibri"/>
          <w:lang w:val="en-GB"/>
        </w:rPr>
        <w:lastRenderedPageBreak/>
        <w:t>Members in 2018, the total amount to be paid was CHF 553</w:t>
      </w:r>
      <w:r w:rsidR="00C22237">
        <w:rPr>
          <w:rFonts w:eastAsia="Calibri"/>
          <w:lang w:val="en-GB"/>
        </w:rPr>
        <w:t>,</w:t>
      </w:r>
      <w:r w:rsidRPr="008F380F">
        <w:rPr>
          <w:rFonts w:eastAsia="Calibri"/>
          <w:lang w:val="en-GB"/>
        </w:rPr>
        <w:t>567. As of 10 June 2019, CHF 224</w:t>
      </w:r>
      <w:r w:rsidR="00C22237">
        <w:rPr>
          <w:rFonts w:eastAsia="Calibri"/>
          <w:lang w:val="en-GB"/>
        </w:rPr>
        <w:t>,</w:t>
      </w:r>
      <w:r w:rsidRPr="008F380F">
        <w:rPr>
          <w:rFonts w:eastAsia="Calibri"/>
          <w:lang w:val="en-GB"/>
        </w:rPr>
        <w:t>600 (41</w:t>
      </w:r>
      <w:r w:rsidR="00C22237">
        <w:rPr>
          <w:rFonts w:eastAsia="Calibri"/>
          <w:lang w:val="en-GB"/>
        </w:rPr>
        <w:t xml:space="preserve"> per cent</w:t>
      </w:r>
      <w:r w:rsidRPr="008F380F">
        <w:rPr>
          <w:rFonts w:eastAsia="Calibri"/>
          <w:lang w:val="en-GB"/>
        </w:rPr>
        <w:t>) has been</w:t>
      </w:r>
      <w:r w:rsidR="00C22237">
        <w:rPr>
          <w:rFonts w:eastAsia="Calibri"/>
          <w:lang w:val="en-GB"/>
        </w:rPr>
        <w:t xml:space="preserve"> received</w:t>
      </w:r>
      <w:r w:rsidRPr="008F380F">
        <w:rPr>
          <w:rFonts w:eastAsia="Calibri"/>
          <w:lang w:val="en-GB"/>
        </w:rPr>
        <w:t>. It is important to note, however, that 45 per</w:t>
      </w:r>
      <w:r w:rsidR="00C22237">
        <w:rPr>
          <w:rFonts w:eastAsia="Calibri"/>
          <w:lang w:val="en-GB"/>
        </w:rPr>
        <w:t xml:space="preserve"> </w:t>
      </w:r>
      <w:r w:rsidRPr="008F380F">
        <w:rPr>
          <w:rFonts w:eastAsia="Calibri"/>
          <w:lang w:val="en-GB"/>
        </w:rPr>
        <w:t>cent of the unpaid CHF 328</w:t>
      </w:r>
      <w:r w:rsidR="00C22237">
        <w:rPr>
          <w:rFonts w:eastAsia="Calibri"/>
          <w:lang w:val="en-GB"/>
        </w:rPr>
        <w:t>,</w:t>
      </w:r>
      <w:r w:rsidRPr="008F380F">
        <w:rPr>
          <w:rFonts w:eastAsia="Calibri"/>
          <w:lang w:val="en-GB"/>
        </w:rPr>
        <w:t xml:space="preserve">967 </w:t>
      </w:r>
      <w:r w:rsidR="00682C4B">
        <w:rPr>
          <w:rFonts w:eastAsia="Calibri"/>
          <w:lang w:val="en-GB"/>
        </w:rPr>
        <w:t>con</w:t>
      </w:r>
      <w:r w:rsidR="000711B0">
        <w:rPr>
          <w:rFonts w:eastAsia="Calibri"/>
          <w:lang w:val="en-GB"/>
        </w:rPr>
        <w:t xml:space="preserve">cerns only </w:t>
      </w:r>
      <w:r w:rsidR="00C22237">
        <w:rPr>
          <w:rFonts w:eastAsia="Calibri"/>
          <w:lang w:val="en-GB"/>
        </w:rPr>
        <w:t>two</w:t>
      </w:r>
      <w:r w:rsidRPr="008F380F">
        <w:rPr>
          <w:rFonts w:eastAsia="Calibri"/>
          <w:lang w:val="en-GB"/>
        </w:rPr>
        <w:t xml:space="preserve"> UIFN service providers.</w:t>
      </w:r>
    </w:p>
    <w:p w14:paraId="4548D89E" w14:textId="75E1B2AD" w:rsidR="008569B7" w:rsidRPr="008F380F" w:rsidRDefault="008569B7" w:rsidP="001C37A8">
      <w:pPr>
        <w:numPr>
          <w:ilvl w:val="0"/>
          <w:numId w:val="37"/>
        </w:numPr>
        <w:rPr>
          <w:rFonts w:eastAsia="Calibri"/>
          <w:lang w:val="en-GB"/>
        </w:rPr>
      </w:pPr>
      <w:r w:rsidRPr="008F380F">
        <w:rPr>
          <w:rFonts w:eastAsia="Calibri"/>
          <w:lang w:val="en-GB"/>
        </w:rPr>
        <w:t>The list</w:t>
      </w:r>
      <w:r w:rsidR="000711B0">
        <w:rPr>
          <w:rFonts w:eastAsia="Calibri"/>
          <w:lang w:val="en-GB"/>
        </w:rPr>
        <w:t>s</w:t>
      </w:r>
      <w:r w:rsidRPr="008F380F">
        <w:rPr>
          <w:rFonts w:eastAsia="Calibri"/>
          <w:lang w:val="en-GB"/>
        </w:rPr>
        <w:t xml:space="preserve"> of invoices for </w:t>
      </w:r>
      <w:r w:rsidR="000711B0">
        <w:rPr>
          <w:rFonts w:eastAsia="Calibri"/>
          <w:lang w:val="en-GB"/>
        </w:rPr>
        <w:t xml:space="preserve">the </w:t>
      </w:r>
      <w:r w:rsidRPr="008F380F">
        <w:rPr>
          <w:rFonts w:eastAsia="Calibri"/>
          <w:lang w:val="en-GB"/>
        </w:rPr>
        <w:t>IIN annual maintenance fee</w:t>
      </w:r>
      <w:r w:rsidR="000711B0">
        <w:rPr>
          <w:rFonts w:eastAsia="Calibri"/>
          <w:lang w:val="en-GB"/>
        </w:rPr>
        <w:t>s</w:t>
      </w:r>
      <w:r w:rsidRPr="008F380F">
        <w:rPr>
          <w:rFonts w:eastAsia="Calibri"/>
          <w:lang w:val="en-GB"/>
        </w:rPr>
        <w:t xml:space="preserve"> </w:t>
      </w:r>
      <w:r w:rsidR="000711B0">
        <w:rPr>
          <w:rFonts w:eastAsia="Calibri"/>
          <w:lang w:val="en-GB"/>
        </w:rPr>
        <w:t xml:space="preserve">of </w:t>
      </w:r>
      <w:r w:rsidRPr="008F380F">
        <w:rPr>
          <w:rFonts w:eastAsia="Calibri"/>
          <w:lang w:val="en-GB"/>
        </w:rPr>
        <w:t>2018 and 2019 ha</w:t>
      </w:r>
      <w:r w:rsidR="000711B0">
        <w:rPr>
          <w:rFonts w:eastAsia="Calibri"/>
          <w:lang w:val="en-GB"/>
        </w:rPr>
        <w:t>ve</w:t>
      </w:r>
      <w:r w:rsidRPr="008F380F">
        <w:rPr>
          <w:rFonts w:eastAsia="Calibri"/>
          <w:lang w:val="en-GB"/>
        </w:rPr>
        <w:t xml:space="preserve"> not </w:t>
      </w:r>
      <w:r w:rsidR="000711B0">
        <w:rPr>
          <w:rFonts w:eastAsia="Calibri"/>
          <w:lang w:val="en-GB"/>
        </w:rPr>
        <w:t xml:space="preserve">yet </w:t>
      </w:r>
      <w:r w:rsidRPr="008F380F">
        <w:rPr>
          <w:rFonts w:eastAsia="Calibri"/>
          <w:lang w:val="en-GB"/>
        </w:rPr>
        <w:t xml:space="preserve">been generated as </w:t>
      </w:r>
      <w:r w:rsidR="000711B0">
        <w:rPr>
          <w:rFonts w:eastAsia="Calibri"/>
          <w:lang w:val="en-GB"/>
        </w:rPr>
        <w:t xml:space="preserve">TSB </w:t>
      </w:r>
      <w:r w:rsidRPr="008F380F">
        <w:rPr>
          <w:rFonts w:eastAsia="Calibri"/>
          <w:lang w:val="en-GB"/>
        </w:rPr>
        <w:t xml:space="preserve">continues to seek confirmation of </w:t>
      </w:r>
      <w:r w:rsidR="000711B0">
        <w:rPr>
          <w:rFonts w:eastAsia="Calibri"/>
          <w:lang w:val="en-GB"/>
        </w:rPr>
        <w:t xml:space="preserve">relevant </w:t>
      </w:r>
      <w:r w:rsidRPr="008F380F">
        <w:rPr>
          <w:rFonts w:eastAsia="Calibri"/>
          <w:lang w:val="en-GB"/>
        </w:rPr>
        <w:t>contact</w:t>
      </w:r>
      <w:r w:rsidR="000711B0">
        <w:rPr>
          <w:rFonts w:eastAsia="Calibri"/>
          <w:lang w:val="en-GB"/>
        </w:rPr>
        <w:t xml:space="preserve"> information from </w:t>
      </w:r>
      <w:r w:rsidRPr="008F380F">
        <w:rPr>
          <w:rFonts w:eastAsia="Calibri"/>
          <w:lang w:val="en-GB"/>
        </w:rPr>
        <w:t>national Administrations/regulators or authorized agencies for IIN assignees.</w:t>
      </w:r>
    </w:p>
    <w:p w14:paraId="3670D6F7" w14:textId="1C5CBC16" w:rsidR="008569B7" w:rsidRPr="008F380F" w:rsidRDefault="000711B0" w:rsidP="001C37A8">
      <w:pPr>
        <w:snapToGrid w:val="0"/>
        <w:rPr>
          <w:rFonts w:eastAsia="Calibri"/>
          <w:szCs w:val="24"/>
          <w:lang w:val="en-GB"/>
        </w:rPr>
      </w:pPr>
      <w:r>
        <w:rPr>
          <w:rFonts w:eastAsia="Calibri"/>
          <w:szCs w:val="24"/>
          <w:lang w:val="en-GB"/>
        </w:rPr>
        <w:t>Although p</w:t>
      </w:r>
      <w:r w:rsidR="008569B7" w:rsidRPr="008F380F">
        <w:rPr>
          <w:rFonts w:eastAsia="Calibri"/>
          <w:szCs w:val="24"/>
          <w:lang w:val="en-GB"/>
        </w:rPr>
        <w:t>rogress is being</w:t>
      </w:r>
      <w:r>
        <w:rPr>
          <w:rFonts w:eastAsia="Calibri"/>
          <w:szCs w:val="24"/>
          <w:lang w:val="en-GB"/>
        </w:rPr>
        <w:t xml:space="preserve"> achieved</w:t>
      </w:r>
      <w:r w:rsidR="008569B7" w:rsidRPr="008F380F">
        <w:rPr>
          <w:rFonts w:eastAsia="Calibri"/>
          <w:szCs w:val="24"/>
          <w:lang w:val="en-GB"/>
        </w:rPr>
        <w:t xml:space="preserve"> in implementing Council Decision</w:t>
      </w:r>
      <w:r>
        <w:rPr>
          <w:rFonts w:eastAsia="Calibri"/>
          <w:szCs w:val="24"/>
          <w:lang w:val="en-GB"/>
        </w:rPr>
        <w:t>s</w:t>
      </w:r>
      <w:r w:rsidR="008569B7" w:rsidRPr="008F380F">
        <w:rPr>
          <w:rFonts w:eastAsia="Calibri"/>
          <w:szCs w:val="24"/>
          <w:lang w:val="en-GB"/>
        </w:rPr>
        <w:t xml:space="preserve"> 600 and 601</w:t>
      </w:r>
      <w:r>
        <w:rPr>
          <w:rFonts w:eastAsia="Calibri"/>
          <w:szCs w:val="24"/>
          <w:lang w:val="en-GB"/>
        </w:rPr>
        <w:t xml:space="preserve">, further </w:t>
      </w:r>
      <w:r w:rsidR="008569B7" w:rsidRPr="008F380F">
        <w:rPr>
          <w:rFonts w:eastAsia="Calibri"/>
          <w:szCs w:val="24"/>
          <w:lang w:val="en-GB"/>
        </w:rPr>
        <w:t xml:space="preserve">assistance from Member States </w:t>
      </w:r>
      <w:r>
        <w:rPr>
          <w:rFonts w:eastAsia="Calibri"/>
          <w:szCs w:val="24"/>
          <w:lang w:val="en-GB"/>
        </w:rPr>
        <w:t xml:space="preserve">is required </w:t>
      </w:r>
      <w:r w:rsidR="00ED445F">
        <w:rPr>
          <w:rFonts w:eastAsia="Calibri"/>
          <w:szCs w:val="24"/>
          <w:lang w:val="en-GB"/>
        </w:rPr>
        <w:t xml:space="preserve">either </w:t>
      </w:r>
      <w:r w:rsidR="008569B7" w:rsidRPr="008F380F">
        <w:rPr>
          <w:rFonts w:eastAsia="Calibri"/>
          <w:szCs w:val="24"/>
          <w:lang w:val="en-GB"/>
        </w:rPr>
        <w:t>to identify the contact information of UIFN service providers and IIN assignees or ensure th</w:t>
      </w:r>
      <w:r>
        <w:rPr>
          <w:rFonts w:eastAsia="Calibri"/>
          <w:szCs w:val="24"/>
          <w:lang w:val="en-GB"/>
        </w:rPr>
        <w:t>at</w:t>
      </w:r>
      <w:r w:rsidR="008569B7" w:rsidRPr="008F380F">
        <w:rPr>
          <w:rFonts w:eastAsia="Calibri"/>
          <w:szCs w:val="24"/>
          <w:lang w:val="en-GB"/>
        </w:rPr>
        <w:t xml:space="preserve"> invoices are paid </w:t>
      </w:r>
      <w:r w:rsidR="00ED445F">
        <w:rPr>
          <w:rFonts w:eastAsia="Calibri"/>
          <w:szCs w:val="24"/>
          <w:lang w:val="en-GB"/>
        </w:rPr>
        <w:t>on</w:t>
      </w:r>
      <w:r w:rsidR="008569B7" w:rsidRPr="008F380F">
        <w:rPr>
          <w:rFonts w:eastAsia="Calibri"/>
          <w:szCs w:val="24"/>
          <w:lang w:val="en-GB"/>
        </w:rPr>
        <w:t xml:space="preserve"> time. It was also observed that </w:t>
      </w:r>
      <w:r w:rsidR="008569B7" w:rsidRPr="008F380F">
        <w:rPr>
          <w:szCs w:val="24"/>
          <w:lang w:val="en-GB"/>
        </w:rPr>
        <w:t xml:space="preserve">Council Decision 600 encouraged operators to update their list of active UIFNs and return the unused UIFNs to ITU, and </w:t>
      </w:r>
      <w:r w:rsidR="00ED445F">
        <w:rPr>
          <w:szCs w:val="24"/>
          <w:lang w:val="en-GB"/>
        </w:rPr>
        <w:t xml:space="preserve">that </w:t>
      </w:r>
      <w:r w:rsidR="008569B7" w:rsidRPr="008F380F">
        <w:rPr>
          <w:szCs w:val="24"/>
          <w:lang w:val="en-GB"/>
        </w:rPr>
        <w:t xml:space="preserve">Council Decision 601 improves the precision of the IIN records kept in the ITU </w:t>
      </w:r>
      <w:proofErr w:type="spellStart"/>
      <w:r w:rsidR="008569B7" w:rsidRPr="008F380F">
        <w:rPr>
          <w:szCs w:val="24"/>
          <w:lang w:val="en-GB"/>
        </w:rPr>
        <w:t>database.The</w:t>
      </w:r>
      <w:proofErr w:type="spellEnd"/>
      <w:r w:rsidR="008569B7" w:rsidRPr="008F380F">
        <w:rPr>
          <w:szCs w:val="24"/>
          <w:lang w:val="en-GB"/>
        </w:rPr>
        <w:t xml:space="preserve"> following recommendati</w:t>
      </w:r>
      <w:r w:rsidR="00D20522" w:rsidRPr="008F380F">
        <w:rPr>
          <w:szCs w:val="24"/>
          <w:lang w:val="en-GB"/>
        </w:rPr>
        <w:t xml:space="preserve">on was approved by </w:t>
      </w:r>
      <w:r>
        <w:rPr>
          <w:szCs w:val="24"/>
          <w:lang w:val="en-GB"/>
        </w:rPr>
        <w:t xml:space="preserve">ITU </w:t>
      </w:r>
      <w:r w:rsidR="00D20522" w:rsidRPr="008F380F">
        <w:rPr>
          <w:szCs w:val="24"/>
          <w:lang w:val="en-GB"/>
        </w:rPr>
        <w:t>Council 2019:</w:t>
      </w:r>
    </w:p>
    <w:p w14:paraId="33889592" w14:textId="483029D0" w:rsidR="00CB05D7" w:rsidRPr="008F380F" w:rsidRDefault="008569B7" w:rsidP="00D20522">
      <w:pPr>
        <w:overflowPunct/>
        <w:autoSpaceDE/>
        <w:autoSpaceDN/>
        <w:adjustRightInd/>
        <w:ind w:left="567"/>
        <w:textAlignment w:val="auto"/>
        <w:rPr>
          <w:rFonts w:eastAsia="SimSun"/>
          <w:b/>
          <w:bCs/>
          <w:i/>
          <w:iCs/>
          <w:szCs w:val="24"/>
          <w:lang w:val="en-GB"/>
        </w:rPr>
      </w:pPr>
      <w:r w:rsidRPr="008F380F">
        <w:rPr>
          <w:rFonts w:eastAsia="SimSun"/>
          <w:i/>
          <w:szCs w:val="24"/>
          <w:lang w:val="en-GB"/>
        </w:rPr>
        <w:t xml:space="preserve">The list of UIFN service providers in Annex A to Document C19/47 will be marked as </w:t>
      </w:r>
      <w:r w:rsidR="00CA2D85" w:rsidRPr="008F380F">
        <w:rPr>
          <w:rFonts w:eastAsia="SimSun"/>
          <w:i/>
          <w:szCs w:val="24"/>
          <w:lang w:val="en-GB"/>
        </w:rPr>
        <w:t>"</w:t>
      </w:r>
      <w:r w:rsidRPr="008F380F">
        <w:rPr>
          <w:rFonts w:eastAsia="SimSun"/>
          <w:i/>
          <w:szCs w:val="24"/>
          <w:lang w:val="en-GB"/>
        </w:rPr>
        <w:t>not reachable</w:t>
      </w:r>
      <w:r w:rsidR="00CA2D85" w:rsidRPr="008F380F">
        <w:rPr>
          <w:rFonts w:eastAsia="SimSun"/>
          <w:i/>
          <w:szCs w:val="24"/>
          <w:lang w:val="en-GB"/>
        </w:rPr>
        <w:t>"</w:t>
      </w:r>
      <w:r w:rsidRPr="008F380F">
        <w:rPr>
          <w:rFonts w:eastAsia="SimSun"/>
          <w:i/>
          <w:szCs w:val="24"/>
          <w:lang w:val="en-GB"/>
        </w:rPr>
        <w:t xml:space="preserv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45C3586" w14:textId="7BDB9FA6" w:rsidR="008569B7" w:rsidRPr="008F380F" w:rsidRDefault="008569B7" w:rsidP="00D20522">
      <w:pPr>
        <w:overflowPunct/>
        <w:autoSpaceDE/>
        <w:autoSpaceDN/>
        <w:adjustRightInd/>
        <w:ind w:left="567"/>
        <w:textAlignment w:val="auto"/>
        <w:rPr>
          <w:rFonts w:eastAsia="SimSun"/>
          <w:i/>
          <w:szCs w:val="24"/>
          <w:lang w:val="en-GB"/>
        </w:rPr>
      </w:pPr>
      <w:r w:rsidRPr="008F380F">
        <w:rPr>
          <w:i/>
          <w:szCs w:val="24"/>
          <w:lang w:val="en-GB"/>
        </w:rPr>
        <w:t>If the invoices sent to the UIFN service providers in Annex B to Document C19/47 remain unpaid for an extended period, the secretariat will seek assistance from Member States to recover the debt.</w:t>
      </w:r>
    </w:p>
    <w:p w14:paraId="007E2748" w14:textId="77777777" w:rsidR="008569B7" w:rsidRPr="008F380F" w:rsidRDefault="008569B7" w:rsidP="00D20522">
      <w:pPr>
        <w:ind w:left="567"/>
        <w:rPr>
          <w:rFonts w:eastAsia="SimSun"/>
          <w:i/>
          <w:lang w:val="en-GB"/>
        </w:rPr>
      </w:pPr>
      <w:r w:rsidRPr="008F380F">
        <w:rPr>
          <w:rFonts w:eastAsia="SimSun"/>
          <w:i/>
          <w:lang w:val="en-GB"/>
        </w:rPr>
        <w:t>National Administrations/regulators or</w:t>
      </w:r>
      <w:r w:rsidRPr="008F380F">
        <w:rPr>
          <w:i/>
          <w:lang w:val="en-GB"/>
        </w:rPr>
        <w:t xml:space="preserve"> authorized agencies</w:t>
      </w:r>
      <w:r w:rsidRPr="008F380F">
        <w:rPr>
          <w:rFonts w:eastAsia="SimSun"/>
          <w:i/>
          <w:lang w:val="en-GB"/>
        </w:rPr>
        <w:t xml:space="preserve"> are encouraged to provide assistance in identifying the up-to-date contact or status of the UIFN service providers (e.g., if they are no longer in business) listed in Annex C to </w:t>
      </w:r>
      <w:r w:rsidRPr="008F380F">
        <w:rPr>
          <w:i/>
          <w:lang w:val="en-GB"/>
        </w:rPr>
        <w:t>Document C19/47</w:t>
      </w:r>
      <w:r w:rsidRPr="008F380F">
        <w:rPr>
          <w:rFonts w:eastAsia="SimSun"/>
          <w:i/>
          <w:lang w:val="en-GB"/>
        </w:rPr>
        <w:t>.</w:t>
      </w:r>
    </w:p>
    <w:p w14:paraId="02B5A138" w14:textId="33E942C9" w:rsidR="008569B7" w:rsidRPr="008F380F" w:rsidRDefault="008569B7" w:rsidP="00D20522">
      <w:pPr>
        <w:ind w:left="567"/>
        <w:rPr>
          <w:rFonts w:eastAsia="SimSun"/>
          <w:i/>
          <w:lang w:val="en-GB"/>
        </w:rPr>
      </w:pPr>
      <w:r w:rsidRPr="008F380F">
        <w:rPr>
          <w:rFonts w:eastAsia="SimSun"/>
          <w:i/>
          <w:lang w:val="en-GB"/>
        </w:rPr>
        <w:t xml:space="preserve">The list of IINs for which contact information is pending will be published on ITU website as IINs with the status </w:t>
      </w:r>
      <w:r w:rsidR="00CA2D85" w:rsidRPr="008F380F">
        <w:rPr>
          <w:rFonts w:eastAsia="SimSun"/>
          <w:i/>
          <w:lang w:val="en-GB"/>
        </w:rPr>
        <w:t>"</w:t>
      </w:r>
      <w:r w:rsidRPr="008F380F">
        <w:rPr>
          <w:rFonts w:eastAsia="SimSun"/>
          <w:i/>
          <w:lang w:val="en-GB"/>
        </w:rPr>
        <w:t>assignee not reachable</w:t>
      </w:r>
      <w:r w:rsidR="00CA2D85" w:rsidRPr="008F380F">
        <w:rPr>
          <w:rFonts w:eastAsia="SimSun"/>
          <w:i/>
          <w:lang w:val="en-GB"/>
        </w:rPr>
        <w:t>"</w:t>
      </w:r>
      <w:r w:rsidRPr="008F380F">
        <w:rPr>
          <w:rFonts w:eastAsia="SimSun"/>
          <w:i/>
          <w:lang w:val="en-GB"/>
        </w:rPr>
        <w:t xml:space="preserve"> and will be announced in the ITU Operational Bulletin. National Administrations/regulators or authorized agencies are encouraged to provide assistance in identifying their up-to-date status and/or contact information.</w:t>
      </w:r>
    </w:p>
    <w:p w14:paraId="0CF68D55" w14:textId="77777777" w:rsidR="008569B7" w:rsidRPr="008F380F" w:rsidRDefault="008569B7" w:rsidP="00D20522">
      <w:pPr>
        <w:ind w:left="567"/>
        <w:rPr>
          <w:rFonts w:eastAsia="SimSun"/>
          <w:i/>
          <w:lang w:val="en-GB"/>
        </w:rPr>
      </w:pPr>
      <w:r w:rsidRPr="008F380F">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3460DC46" w14:textId="0CE86F71" w:rsidR="008569B7" w:rsidRPr="008F380F" w:rsidRDefault="008569B7" w:rsidP="00D20522">
      <w:pPr>
        <w:snapToGrid w:val="0"/>
        <w:ind w:left="567"/>
        <w:rPr>
          <w:i/>
          <w:lang w:val="en-GB"/>
        </w:rPr>
      </w:pPr>
      <w:r w:rsidRPr="008F380F">
        <w:rPr>
          <w:rFonts w:eastAsia="SimSun"/>
          <w:i/>
          <w:iCs/>
          <w:szCs w:val="24"/>
          <w:lang w:val="en-GB"/>
        </w:rPr>
        <w:t xml:space="preserve">UIFN service providers or IIN assignees with the status of </w:t>
      </w:r>
      <w:r w:rsidRPr="008F380F">
        <w:rPr>
          <w:rFonts w:eastAsia="SimSun"/>
          <w:i/>
          <w:szCs w:val="24"/>
          <w:lang w:val="en-GB"/>
        </w:rPr>
        <w:t>ADMIN RELATED</w:t>
      </w:r>
      <w:r w:rsidRPr="008F380F">
        <w:rPr>
          <w:rFonts w:eastAsia="SimSun"/>
          <w:i/>
          <w:iCs/>
          <w:szCs w:val="24"/>
          <w:lang w:val="en-GB"/>
        </w:rPr>
        <w:t xml:space="preserve"> are not subject to the annual maintenance fee.</w:t>
      </w:r>
    </w:p>
    <w:p w14:paraId="07262E19" w14:textId="5B74D21A" w:rsidR="006944F8" w:rsidRPr="00C1421E" w:rsidRDefault="002F0E38" w:rsidP="00541269">
      <w:pPr>
        <w:pStyle w:val="Heading2"/>
      </w:pPr>
      <w:bookmarkStart w:id="191" w:name="_Toc462664279"/>
      <w:bookmarkStart w:id="192" w:name="_Toc480527874"/>
      <w:bookmarkStart w:id="193" w:name="_Toc18509785"/>
      <w:r w:rsidRPr="00C1421E">
        <w:t>13</w:t>
      </w:r>
      <w:r w:rsidR="006944F8" w:rsidRPr="00C1421E">
        <w:t>.7</w:t>
      </w:r>
      <w:r w:rsidR="006944F8" w:rsidRPr="00C1421E">
        <w:tab/>
        <w:t>ITU-T SharePoint collaboration sites</w:t>
      </w:r>
      <w:bookmarkEnd w:id="191"/>
      <w:bookmarkEnd w:id="192"/>
      <w:bookmarkEnd w:id="193"/>
    </w:p>
    <w:p w14:paraId="5EC327E2" w14:textId="2100EDE9" w:rsidR="006944F8" w:rsidRPr="00C1421E" w:rsidRDefault="006944F8" w:rsidP="00541269">
      <w:pPr>
        <w:overflowPunct/>
        <w:autoSpaceDE/>
        <w:autoSpaceDN/>
        <w:adjustRightInd/>
        <w:textAlignment w:val="auto"/>
        <w:rPr>
          <w:lang w:val="en-GB"/>
        </w:rPr>
      </w:pPr>
      <w:r w:rsidRPr="00C1421E">
        <w:rPr>
          <w:lang w:val="en-GB"/>
        </w:rPr>
        <w:t xml:space="preserve">The ITU-T SharePoint </w:t>
      </w:r>
      <w:r w:rsidR="00541269" w:rsidRPr="00C1421E">
        <w:rPr>
          <w:lang w:val="en-GB"/>
        </w:rPr>
        <w:t>c</w:t>
      </w:r>
      <w:r w:rsidRPr="00C1421E">
        <w:rPr>
          <w:lang w:val="en-GB"/>
        </w:rPr>
        <w:t xml:space="preserve">ollaboration sites </w:t>
      </w:r>
      <w:r w:rsidR="00541269" w:rsidRPr="00C1421E">
        <w:rPr>
          <w:lang w:val="en-GB"/>
        </w:rPr>
        <w:t xml:space="preserve">enable </w:t>
      </w:r>
      <w:r w:rsidRPr="00C1421E">
        <w:rPr>
          <w:lang w:val="en-GB"/>
        </w:rPr>
        <w:t xml:space="preserve">participants </w:t>
      </w:r>
      <w:r w:rsidR="00541269" w:rsidRPr="00C1421E">
        <w:rPr>
          <w:lang w:val="en-GB"/>
        </w:rPr>
        <w:t xml:space="preserve">in ITU-T working groups </w:t>
      </w:r>
      <w:r w:rsidRPr="00C1421E">
        <w:rPr>
          <w:lang w:val="en-GB"/>
        </w:rPr>
        <w:t xml:space="preserve">to conduct online discussions, work on projects, </w:t>
      </w:r>
      <w:r w:rsidR="00541269" w:rsidRPr="00C1421E">
        <w:rPr>
          <w:lang w:val="en-GB"/>
        </w:rPr>
        <w:t>schedule</w:t>
      </w:r>
      <w:r w:rsidRPr="00C1421E">
        <w:rPr>
          <w:lang w:val="en-GB"/>
        </w:rPr>
        <w:t xml:space="preserve"> meeting</w:t>
      </w:r>
      <w:r w:rsidR="00541269" w:rsidRPr="00C1421E">
        <w:rPr>
          <w:lang w:val="en-GB"/>
        </w:rPr>
        <w:t xml:space="preserve">s and </w:t>
      </w:r>
      <w:r w:rsidRPr="00C1421E">
        <w:rPr>
          <w:lang w:val="en-GB"/>
        </w:rPr>
        <w:t>manage and store documents in a secure shared environment.</w:t>
      </w:r>
    </w:p>
    <w:p w14:paraId="7FDDE8C8" w14:textId="70EA208D" w:rsidR="006944F8" w:rsidRPr="00C1421E" w:rsidRDefault="006944F8" w:rsidP="006944F8">
      <w:pPr>
        <w:overflowPunct/>
        <w:autoSpaceDE/>
        <w:autoSpaceDN/>
        <w:adjustRightInd/>
        <w:textAlignment w:val="auto"/>
        <w:rPr>
          <w:lang w:val="en-GB"/>
        </w:rPr>
      </w:pPr>
      <w:r w:rsidRPr="00C1421E">
        <w:rPr>
          <w:lang w:val="en-GB"/>
        </w:rPr>
        <w:t xml:space="preserve">The </w:t>
      </w:r>
      <w:r w:rsidR="00541269" w:rsidRPr="00C1421E">
        <w:rPr>
          <w:lang w:val="en-GB"/>
        </w:rPr>
        <w:t xml:space="preserve">home of </w:t>
      </w:r>
      <w:r w:rsidRPr="00C1421E">
        <w:rPr>
          <w:lang w:val="en-GB"/>
        </w:rPr>
        <w:t>ITU-T SharePoint collaboration site</w:t>
      </w:r>
      <w:r w:rsidR="00541269" w:rsidRPr="00C1421E">
        <w:rPr>
          <w:lang w:val="en-GB"/>
        </w:rPr>
        <w:t>s can</w:t>
      </w:r>
      <w:r w:rsidRPr="00C1421E">
        <w:rPr>
          <w:lang w:val="en-GB"/>
        </w:rPr>
        <w:t xml:space="preserve"> be accessed </w:t>
      </w:r>
      <w:r w:rsidR="00541269" w:rsidRPr="00C1421E">
        <w:rPr>
          <w:lang w:val="en-GB"/>
        </w:rPr>
        <w:t>at</w:t>
      </w:r>
      <w:r w:rsidRPr="00C1421E">
        <w:rPr>
          <w:lang w:val="en-GB"/>
        </w:rPr>
        <w:t xml:space="preserve">: </w:t>
      </w:r>
      <w:hyperlink r:id="rId171" w:history="1">
        <w:r w:rsidRPr="00C1421E">
          <w:rPr>
            <w:rStyle w:val="Hyperlink"/>
            <w:rFonts w:asciiTheme="majorBidi" w:hAnsiTheme="majorBidi" w:cstheme="majorBidi"/>
            <w:szCs w:val="24"/>
            <w:lang w:val="en-GB"/>
          </w:rPr>
          <w:t>https://extranet.itu.int/sites/ITU-T/</w:t>
        </w:r>
      </w:hyperlink>
      <w:r w:rsidRPr="00C1421E">
        <w:rPr>
          <w:lang w:val="en-GB"/>
        </w:rPr>
        <w:t>.</w:t>
      </w:r>
    </w:p>
    <w:p w14:paraId="7F383F22" w14:textId="79BF4A3A" w:rsidR="006944F8" w:rsidRPr="001C37A8" w:rsidRDefault="00541269" w:rsidP="001C37A8">
      <w:r w:rsidRPr="001C37A8">
        <w:t xml:space="preserve">A selection of </w:t>
      </w:r>
      <w:r w:rsidR="006944F8" w:rsidRPr="001C37A8">
        <w:t xml:space="preserve">notable </w:t>
      </w:r>
      <w:r w:rsidRPr="001C37A8">
        <w:t>c</w:t>
      </w:r>
      <w:r w:rsidR="006944F8" w:rsidRPr="001C37A8">
        <w:t>ollaboration sites</w:t>
      </w:r>
      <w:r w:rsidRPr="001C37A8">
        <w:t xml:space="preserve"> is found below</w:t>
      </w:r>
      <w:r w:rsidR="006944F8" w:rsidRPr="001C37A8">
        <w:t>:</w:t>
      </w:r>
    </w:p>
    <w:p w14:paraId="2BDAEC92" w14:textId="77777777" w:rsidR="006944F8" w:rsidRPr="00C1421E" w:rsidRDefault="006944F8" w:rsidP="001C37A8">
      <w:pPr>
        <w:numPr>
          <w:ilvl w:val="0"/>
          <w:numId w:val="38"/>
        </w:numPr>
        <w:rPr>
          <w:lang w:val="en-GB"/>
        </w:rPr>
      </w:pPr>
      <w:r w:rsidRPr="00C1421E">
        <w:rPr>
          <w:lang w:val="en-GB"/>
        </w:rPr>
        <w:t>ITU-T Study Groups (Study Period 2017-2020) (</w:t>
      </w:r>
      <w:hyperlink r:id="rId172" w:history="1">
        <w:r w:rsidRPr="00C1421E">
          <w:rPr>
            <w:rStyle w:val="Hyperlink"/>
            <w:rFonts w:asciiTheme="majorBidi" w:hAnsiTheme="majorBidi" w:cstheme="majorBidi"/>
            <w:lang w:val="en-GB"/>
          </w:rPr>
          <w:t>https://extranet.itu.int/sites/itu-t/studygroups/2017-2020</w:t>
        </w:r>
      </w:hyperlink>
      <w:r w:rsidRPr="00C1421E">
        <w:rPr>
          <w:lang w:val="en-GB"/>
        </w:rPr>
        <w:t>)</w:t>
      </w:r>
    </w:p>
    <w:p w14:paraId="08B26234" w14:textId="77777777" w:rsidR="006944F8" w:rsidRPr="00C1421E" w:rsidRDefault="006944F8" w:rsidP="001C37A8">
      <w:pPr>
        <w:numPr>
          <w:ilvl w:val="0"/>
          <w:numId w:val="38"/>
        </w:numPr>
        <w:rPr>
          <w:lang w:val="en-GB"/>
        </w:rPr>
      </w:pPr>
      <w:r w:rsidRPr="00C1421E">
        <w:rPr>
          <w:lang w:val="en-GB"/>
        </w:rPr>
        <w:t>United for Smart Sustainable Cities (U4SSC) (</w:t>
      </w:r>
      <w:hyperlink r:id="rId173" w:history="1">
        <w:r w:rsidRPr="00C1421E">
          <w:rPr>
            <w:rStyle w:val="Hyperlink"/>
            <w:rFonts w:asciiTheme="majorBidi" w:hAnsiTheme="majorBidi" w:cstheme="majorBidi"/>
            <w:lang w:val="en-GB"/>
          </w:rPr>
          <w:t>https://extranet.itu.int/sites/itu-t/initiatives/U4SSC/</w:t>
        </w:r>
      </w:hyperlink>
      <w:r w:rsidRPr="00C1421E">
        <w:rPr>
          <w:lang w:val="en-GB"/>
        </w:rPr>
        <w:t>)</w:t>
      </w:r>
    </w:p>
    <w:p w14:paraId="3E6E0B1B" w14:textId="77777777" w:rsidR="006944F8" w:rsidRPr="00C1421E" w:rsidRDefault="006944F8" w:rsidP="001C37A8">
      <w:pPr>
        <w:numPr>
          <w:ilvl w:val="0"/>
          <w:numId w:val="38"/>
        </w:numPr>
        <w:rPr>
          <w:lang w:val="en-GB"/>
        </w:rPr>
      </w:pPr>
      <w:r w:rsidRPr="00C1421E">
        <w:rPr>
          <w:lang w:val="en-GB"/>
        </w:rPr>
        <w:lastRenderedPageBreak/>
        <w:t>Security, Infrastructure and Trust Working Group (SIT WG) (</w:t>
      </w:r>
      <w:hyperlink r:id="rId174" w:history="1">
        <w:r w:rsidRPr="00C1421E">
          <w:rPr>
            <w:rStyle w:val="Hyperlink"/>
            <w:rFonts w:asciiTheme="majorBidi" w:hAnsiTheme="majorBidi" w:cstheme="majorBidi"/>
            <w:lang w:val="en-GB"/>
          </w:rPr>
          <w:t>https://extranet.itu.int/sites/itu-t/initiatives/sitwg/</w:t>
        </w:r>
      </w:hyperlink>
      <w:r w:rsidRPr="00C1421E">
        <w:rPr>
          <w:lang w:val="en-GB"/>
        </w:rPr>
        <w:t>)</w:t>
      </w:r>
    </w:p>
    <w:p w14:paraId="1EACD6B7" w14:textId="77777777" w:rsidR="006944F8" w:rsidRPr="00C1421E" w:rsidRDefault="006944F8" w:rsidP="001C37A8">
      <w:pPr>
        <w:numPr>
          <w:ilvl w:val="0"/>
          <w:numId w:val="38"/>
        </w:numPr>
        <w:rPr>
          <w:lang w:val="en-GB"/>
        </w:rPr>
      </w:pPr>
      <w:r w:rsidRPr="00C1421E">
        <w:rPr>
          <w:lang w:val="en-GB"/>
        </w:rPr>
        <w:t>FG DPM - ITU-T Focus Group on Data Processing and Management to support IoT and Smart Cities &amp; Communities (</w:t>
      </w:r>
      <w:hyperlink r:id="rId175" w:history="1">
        <w:r w:rsidRPr="00C1421E">
          <w:rPr>
            <w:rStyle w:val="Hyperlink"/>
            <w:rFonts w:asciiTheme="majorBidi" w:hAnsiTheme="majorBidi" w:cstheme="majorBidi"/>
            <w:lang w:val="en-GB"/>
          </w:rPr>
          <w:t>https://extranet.itu.int/sites/itu-t/focusgroups/dpm/</w:t>
        </w:r>
      </w:hyperlink>
      <w:r w:rsidRPr="00C1421E">
        <w:rPr>
          <w:lang w:val="en-GB"/>
        </w:rPr>
        <w:t>)</w:t>
      </w:r>
    </w:p>
    <w:p w14:paraId="67B5DE07" w14:textId="77777777" w:rsidR="006944F8" w:rsidRPr="00C1421E" w:rsidRDefault="006944F8" w:rsidP="001C37A8">
      <w:pPr>
        <w:numPr>
          <w:ilvl w:val="0"/>
          <w:numId w:val="38"/>
        </w:numPr>
        <w:rPr>
          <w:lang w:val="en-GB"/>
        </w:rPr>
      </w:pPr>
      <w:r w:rsidRPr="00C1421E">
        <w:rPr>
          <w:lang w:val="en-GB"/>
        </w:rPr>
        <w:t>FG DFC - ITU-T Focus Group on Digital Currency including digital fiat currency</w:t>
      </w:r>
      <w:r w:rsidRPr="00C1421E">
        <w:rPr>
          <w:rFonts w:eastAsia="MS Gothic"/>
          <w:lang w:val="en-GB"/>
        </w:rPr>
        <w:t xml:space="preserve"> (</w:t>
      </w:r>
      <w:hyperlink r:id="rId176" w:history="1">
        <w:r w:rsidRPr="00C1421E">
          <w:rPr>
            <w:rStyle w:val="Hyperlink"/>
            <w:rFonts w:asciiTheme="majorBidi" w:eastAsia="MS Gothic" w:hAnsiTheme="majorBidi" w:cstheme="majorBidi"/>
            <w:lang w:val="en-GB"/>
          </w:rPr>
          <w:t>https://extranet.itu.int/sites/itu-t/focusgroups/dfc/</w:t>
        </w:r>
      </w:hyperlink>
      <w:r w:rsidRPr="00C1421E">
        <w:rPr>
          <w:rFonts w:eastAsia="MS Gothic"/>
          <w:lang w:val="en-GB"/>
        </w:rPr>
        <w:t>)</w:t>
      </w:r>
    </w:p>
    <w:p w14:paraId="4713B18C" w14:textId="77777777" w:rsidR="006944F8" w:rsidRPr="00C1421E" w:rsidRDefault="006944F8" w:rsidP="001C37A8">
      <w:pPr>
        <w:numPr>
          <w:ilvl w:val="0"/>
          <w:numId w:val="38"/>
        </w:numPr>
        <w:rPr>
          <w:lang w:val="en-GB"/>
        </w:rPr>
      </w:pPr>
      <w:r w:rsidRPr="00C1421E">
        <w:rPr>
          <w:lang w:val="en-GB"/>
        </w:rPr>
        <w:t>FG DLT - ITU-T Focus Group on Application of Distributed Ledger Technology (</w:t>
      </w:r>
      <w:hyperlink r:id="rId177" w:history="1">
        <w:r w:rsidRPr="00C1421E">
          <w:rPr>
            <w:rStyle w:val="Hyperlink"/>
            <w:rFonts w:asciiTheme="majorBidi" w:hAnsiTheme="majorBidi" w:cstheme="majorBidi"/>
            <w:lang w:val="en-GB"/>
          </w:rPr>
          <w:t>https://extranet.itu.int/sites/itu-t/focusgroups/fgdlt/</w:t>
        </w:r>
      </w:hyperlink>
      <w:r w:rsidRPr="00C1421E">
        <w:rPr>
          <w:lang w:val="en-GB"/>
        </w:rPr>
        <w:t>)</w:t>
      </w:r>
    </w:p>
    <w:p w14:paraId="598F1D20" w14:textId="77777777" w:rsidR="006944F8" w:rsidRPr="00C1421E" w:rsidRDefault="006944F8" w:rsidP="001C37A8">
      <w:pPr>
        <w:numPr>
          <w:ilvl w:val="0"/>
          <w:numId w:val="38"/>
        </w:numPr>
        <w:rPr>
          <w:lang w:val="en-GB"/>
        </w:rPr>
      </w:pPr>
      <w:r w:rsidRPr="00C1421E">
        <w:rPr>
          <w:lang w:val="en-GB"/>
        </w:rPr>
        <w:t>FG ML5G - ITU-T Focus Group on Machine Learning for Future Networks including 5G (</w:t>
      </w:r>
      <w:hyperlink r:id="rId178" w:history="1">
        <w:r w:rsidRPr="00C1421E">
          <w:rPr>
            <w:rStyle w:val="Hyperlink"/>
            <w:rFonts w:asciiTheme="majorBidi" w:hAnsiTheme="majorBidi" w:cstheme="majorBidi"/>
            <w:lang w:val="en-GB"/>
          </w:rPr>
          <w:t>https://extranet.itu.int/sites/itu-t/focusgroups/ML5G/</w:t>
        </w:r>
      </w:hyperlink>
      <w:r w:rsidRPr="00C1421E">
        <w:rPr>
          <w:lang w:val="en-GB"/>
        </w:rPr>
        <w:t>)</w:t>
      </w:r>
    </w:p>
    <w:p w14:paraId="625D4996" w14:textId="77777777" w:rsidR="006944F8" w:rsidRPr="00C1421E" w:rsidRDefault="006944F8" w:rsidP="001C37A8">
      <w:pPr>
        <w:numPr>
          <w:ilvl w:val="0"/>
          <w:numId w:val="38"/>
        </w:numPr>
        <w:rPr>
          <w:lang w:val="en-GB"/>
        </w:rPr>
      </w:pPr>
      <w:r w:rsidRPr="00C1421E">
        <w:rPr>
          <w:lang w:val="en-GB"/>
        </w:rPr>
        <w:t>FG NET-2030 – ITU-T Focus Group on Technologies for Network 2030 (</w:t>
      </w:r>
      <w:hyperlink r:id="rId179" w:history="1">
        <w:r w:rsidRPr="00C1421E">
          <w:rPr>
            <w:rStyle w:val="Hyperlink"/>
            <w:rFonts w:asciiTheme="majorBidi" w:hAnsiTheme="majorBidi" w:cstheme="majorBidi"/>
            <w:lang w:val="en-GB"/>
          </w:rPr>
          <w:t>https://extranet.itu.int/sites/itu-t/focusgroups/net-2030/</w:t>
        </w:r>
      </w:hyperlink>
      <w:r w:rsidRPr="00C1421E">
        <w:rPr>
          <w:lang w:val="en-GB"/>
        </w:rPr>
        <w:t>)</w:t>
      </w:r>
    </w:p>
    <w:p w14:paraId="2FDCEE16" w14:textId="77777777" w:rsidR="006944F8" w:rsidRPr="00C1421E" w:rsidRDefault="006944F8" w:rsidP="001C37A8">
      <w:pPr>
        <w:numPr>
          <w:ilvl w:val="0"/>
          <w:numId w:val="38"/>
        </w:numPr>
        <w:rPr>
          <w:lang w:val="en-GB"/>
        </w:rPr>
      </w:pPr>
      <w:r w:rsidRPr="00C1421E">
        <w:rPr>
          <w:lang w:val="en-GB"/>
        </w:rPr>
        <w:t>FG-AI4H - ITU-T Focus Group on Artificial Intelligence for Health (</w:t>
      </w:r>
      <w:hyperlink r:id="rId180" w:history="1">
        <w:r w:rsidRPr="00C1421E">
          <w:rPr>
            <w:rStyle w:val="Hyperlink"/>
            <w:rFonts w:asciiTheme="majorBidi" w:hAnsiTheme="majorBidi" w:cstheme="majorBidi"/>
            <w:lang w:val="en-GB"/>
          </w:rPr>
          <w:t>https://extranet.itu.int/sites/itu-t/focusgroups/ai4h/</w:t>
        </w:r>
      </w:hyperlink>
      <w:r w:rsidRPr="00C1421E">
        <w:rPr>
          <w:lang w:val="en-GB"/>
        </w:rPr>
        <w:t>)</w:t>
      </w:r>
    </w:p>
    <w:p w14:paraId="49A69FBA" w14:textId="7289EB1C" w:rsidR="006944F8" w:rsidRPr="00C1421E" w:rsidRDefault="006944F8" w:rsidP="001C37A8">
      <w:pPr>
        <w:numPr>
          <w:ilvl w:val="0"/>
          <w:numId w:val="38"/>
        </w:numPr>
        <w:rPr>
          <w:lang w:val="en-GB"/>
        </w:rPr>
      </w:pPr>
      <w:r w:rsidRPr="00C1421E">
        <w:rPr>
          <w:lang w:val="en-GB"/>
        </w:rPr>
        <w:t>FG-VM - ITU-T Focus Group on Vehicular Multimedia</w:t>
      </w:r>
      <w:r w:rsidRPr="00C1421E">
        <w:rPr>
          <w:lang w:val="en-GB"/>
        </w:rPr>
        <w:br/>
        <w:t>(</w:t>
      </w:r>
      <w:hyperlink r:id="rId181" w:history="1">
        <w:r w:rsidRPr="00C1421E">
          <w:rPr>
            <w:rStyle w:val="Hyperlink"/>
            <w:rFonts w:asciiTheme="majorBidi" w:hAnsiTheme="majorBidi" w:cstheme="majorBidi"/>
            <w:lang w:val="en-GB"/>
          </w:rPr>
          <w:t>https://extranet.itu.int/sites/itu-t/focusgroups/vm/</w:t>
        </w:r>
      </w:hyperlink>
      <w:r w:rsidRPr="00C1421E">
        <w:rPr>
          <w:lang w:val="en-GB"/>
        </w:rPr>
        <w:t>)</w:t>
      </w:r>
    </w:p>
    <w:p w14:paraId="300D82B1" w14:textId="0811D8E0" w:rsidR="006F517F" w:rsidRPr="00C1421E" w:rsidRDefault="006F517F" w:rsidP="001C37A8">
      <w:pPr>
        <w:numPr>
          <w:ilvl w:val="0"/>
          <w:numId w:val="38"/>
        </w:numPr>
        <w:rPr>
          <w:lang w:val="en-GB"/>
        </w:rPr>
      </w:pPr>
      <w:r w:rsidRPr="00C1421E">
        <w:rPr>
          <w:lang w:val="en-GB"/>
        </w:rPr>
        <w:t>FG-AI4EE - Focus Group on Environmental Efficiency for Artificial Intelligence and other Emerging Technologies</w:t>
      </w:r>
      <w:r w:rsidRPr="00C1421E">
        <w:rPr>
          <w:lang w:val="en-GB"/>
        </w:rPr>
        <w:br/>
        <w:t>(</w:t>
      </w:r>
      <w:hyperlink r:id="rId182" w:history="1">
        <w:r w:rsidRPr="00C1421E">
          <w:rPr>
            <w:rStyle w:val="Hyperlink"/>
            <w:rFonts w:asciiTheme="majorBidi" w:hAnsiTheme="majorBidi" w:cstheme="majorBidi"/>
            <w:lang w:val="en-GB"/>
          </w:rPr>
          <w:t>https://extranet.itu.int/sites/itu-t/focusgroups/ai4ee/</w:t>
        </w:r>
      </w:hyperlink>
      <w:r w:rsidRPr="00C1421E">
        <w:rPr>
          <w:lang w:val="en-GB"/>
        </w:rPr>
        <w:t>)</w:t>
      </w:r>
    </w:p>
    <w:p w14:paraId="184A8554" w14:textId="3DC1C60B" w:rsidR="006944F8" w:rsidRPr="00C1421E" w:rsidRDefault="006944F8" w:rsidP="002013A1">
      <w:pPr>
        <w:rPr>
          <w:lang w:val="en-GB"/>
        </w:rPr>
      </w:pPr>
      <w:r w:rsidRPr="00C1421E">
        <w:rPr>
          <w:lang w:val="en-GB"/>
        </w:rPr>
        <w:t>A support site contain</w:t>
      </w:r>
      <w:r w:rsidR="00541269" w:rsidRPr="00C1421E">
        <w:rPr>
          <w:lang w:val="en-GB"/>
        </w:rPr>
        <w:t>ing</w:t>
      </w:r>
      <w:r w:rsidRPr="00C1421E">
        <w:rPr>
          <w:lang w:val="en-GB"/>
        </w:rPr>
        <w:t xml:space="preserve"> a knowledge base of FAQs and user guides on the various SharePoint services is available at: </w:t>
      </w:r>
      <w:hyperlink r:id="rId183" w:history="1">
        <w:r w:rsidRPr="00C1421E">
          <w:rPr>
            <w:rStyle w:val="Hyperlink"/>
            <w:rFonts w:asciiTheme="majorBidi" w:hAnsiTheme="majorBidi" w:cstheme="majorBidi"/>
            <w:szCs w:val="24"/>
            <w:lang w:val="en-GB"/>
          </w:rPr>
          <w:t>https://extranet.itu.int/ITU-T/support/</w:t>
        </w:r>
      </w:hyperlink>
      <w:r w:rsidRPr="00C1421E">
        <w:rPr>
          <w:lang w:val="en-GB"/>
        </w:rPr>
        <w:t>.</w:t>
      </w:r>
    </w:p>
    <w:p w14:paraId="7DE9AA6C" w14:textId="612AD6F3" w:rsidR="006944F8" w:rsidRPr="00C1421E" w:rsidRDefault="006944F8" w:rsidP="002013A1">
      <w:pPr>
        <w:rPr>
          <w:lang w:val="en-GB"/>
        </w:rPr>
      </w:pPr>
      <w:r w:rsidRPr="00C1421E">
        <w:rPr>
          <w:lang w:val="en-GB"/>
        </w:rPr>
        <w:t xml:space="preserve">Most of the collaboration sites are restricted to ITU-T </w:t>
      </w:r>
      <w:r w:rsidR="00541269" w:rsidRPr="00C1421E">
        <w:rPr>
          <w:lang w:val="en-GB"/>
        </w:rPr>
        <w:t>m</w:t>
      </w:r>
      <w:r w:rsidRPr="00C1421E">
        <w:rPr>
          <w:lang w:val="en-GB"/>
        </w:rPr>
        <w:t>embers</w:t>
      </w:r>
      <w:r w:rsidR="00541269" w:rsidRPr="00C1421E">
        <w:rPr>
          <w:lang w:val="en-GB"/>
        </w:rPr>
        <w:t xml:space="preserve">, </w:t>
      </w:r>
      <w:r w:rsidRPr="00C1421E">
        <w:rPr>
          <w:lang w:val="en-GB"/>
        </w:rPr>
        <w:t xml:space="preserve">accessed using an ITU User </w:t>
      </w:r>
      <w:r w:rsidR="00DE1505">
        <w:rPr>
          <w:lang w:val="en-GB"/>
        </w:rPr>
        <w:t xml:space="preserve">Account </w:t>
      </w:r>
      <w:r w:rsidRPr="00C1421E">
        <w:rPr>
          <w:lang w:val="en-GB"/>
        </w:rPr>
        <w:t>(TIES).</w:t>
      </w:r>
      <w:r w:rsidR="00541269" w:rsidRPr="00C1421E">
        <w:rPr>
          <w:lang w:val="en-GB"/>
        </w:rPr>
        <w:t xml:space="preserve"> Certain</w:t>
      </w:r>
      <w:r w:rsidRPr="00C1421E">
        <w:rPr>
          <w:lang w:val="en-GB"/>
        </w:rPr>
        <w:t xml:space="preserve"> collaboration sites are open to non-members</w:t>
      </w:r>
      <w:r w:rsidR="00541269" w:rsidRPr="00C1421E">
        <w:rPr>
          <w:lang w:val="en-GB"/>
        </w:rPr>
        <w:t>,</w:t>
      </w:r>
      <w:r w:rsidRPr="00C1421E">
        <w:rPr>
          <w:lang w:val="en-GB"/>
        </w:rPr>
        <w:t xml:space="preserve"> </w:t>
      </w:r>
      <w:r w:rsidR="00541269" w:rsidRPr="00C1421E">
        <w:rPr>
          <w:lang w:val="en-GB"/>
        </w:rPr>
        <w:t xml:space="preserve">accessed </w:t>
      </w:r>
      <w:r w:rsidRPr="00C1421E">
        <w:rPr>
          <w:lang w:val="en-GB"/>
        </w:rPr>
        <w:t xml:space="preserve">using non-member ITU User </w:t>
      </w:r>
      <w:r w:rsidR="00DE1505">
        <w:rPr>
          <w:lang w:val="en-GB"/>
        </w:rPr>
        <w:t>A</w:t>
      </w:r>
      <w:r w:rsidRPr="00C1421E">
        <w:rPr>
          <w:lang w:val="en-GB"/>
        </w:rPr>
        <w:t>ccounts.</w:t>
      </w:r>
    </w:p>
    <w:p w14:paraId="083BF94F" w14:textId="3A92AD41" w:rsidR="006944F8" w:rsidRPr="00C1421E" w:rsidRDefault="002F0E38" w:rsidP="006944F8">
      <w:pPr>
        <w:pStyle w:val="Heading2"/>
      </w:pPr>
      <w:bookmarkStart w:id="194" w:name="_Toc462664281"/>
      <w:bookmarkStart w:id="195" w:name="_Toc480527876"/>
      <w:bookmarkStart w:id="196" w:name="_Toc18509786"/>
      <w:r w:rsidRPr="00C1421E">
        <w:t>13</w:t>
      </w:r>
      <w:r w:rsidR="006944F8" w:rsidRPr="00C1421E">
        <w:t>.8</w:t>
      </w:r>
      <w:r w:rsidR="006944F8" w:rsidRPr="00C1421E">
        <w:tab/>
        <w:t>Meeting Documents Sync Application</w:t>
      </w:r>
      <w:bookmarkEnd w:id="194"/>
      <w:bookmarkEnd w:id="195"/>
      <w:bookmarkEnd w:id="196"/>
    </w:p>
    <w:p w14:paraId="7FD7F9C7" w14:textId="731CCC1E" w:rsidR="006944F8" w:rsidRPr="001C37A8" w:rsidRDefault="006944F8" w:rsidP="00541269">
      <w:pPr>
        <w:rPr>
          <w:lang w:val="en-GB"/>
        </w:rPr>
      </w:pPr>
      <w:bookmarkStart w:id="197" w:name="_Toc462664282"/>
      <w:r w:rsidRPr="00C1421E">
        <w:rPr>
          <w:lang w:val="en-GB"/>
        </w:rPr>
        <w:t xml:space="preserve">This application </w:t>
      </w:r>
      <w:r w:rsidR="00541269" w:rsidRPr="00C1421E">
        <w:rPr>
          <w:lang w:val="en-GB"/>
        </w:rPr>
        <w:t xml:space="preserve">enables </w:t>
      </w:r>
      <w:r w:rsidRPr="00C1421E">
        <w:rPr>
          <w:lang w:val="en-GB"/>
        </w:rPr>
        <w:t xml:space="preserve">meeting participants to synchronize documents of </w:t>
      </w:r>
      <w:r w:rsidR="00541269" w:rsidRPr="00C1421E">
        <w:rPr>
          <w:lang w:val="en-GB"/>
        </w:rPr>
        <w:t xml:space="preserve">ongoing </w:t>
      </w:r>
      <w:r w:rsidRPr="00C1421E">
        <w:rPr>
          <w:lang w:val="en-GB"/>
        </w:rPr>
        <w:t xml:space="preserve">ITU-T Study Group </w:t>
      </w:r>
      <w:r w:rsidR="00541269" w:rsidRPr="00C1421E">
        <w:rPr>
          <w:lang w:val="en-GB"/>
        </w:rPr>
        <w:t xml:space="preserve">meetings </w:t>
      </w:r>
      <w:r w:rsidRPr="00C1421E">
        <w:rPr>
          <w:lang w:val="en-GB"/>
        </w:rPr>
        <w:t xml:space="preserve">from the ITU server to their local drive. </w:t>
      </w:r>
      <w:r w:rsidRPr="001C37A8">
        <w:rPr>
          <w:lang w:val="en-GB"/>
        </w:rPr>
        <w:t>The application is constantly enhanced and updated following feedback and suggestions from users. An improved Windows version and a new Mac version of the sync application for RGM documents are now available.</w:t>
      </w:r>
    </w:p>
    <w:p w14:paraId="1B963C55" w14:textId="723711DD" w:rsidR="006944F8" w:rsidRPr="00C1421E" w:rsidRDefault="002F0E38" w:rsidP="006944F8">
      <w:pPr>
        <w:pStyle w:val="Heading2"/>
      </w:pPr>
      <w:bookmarkStart w:id="198" w:name="_Toc18509787"/>
      <w:r w:rsidRPr="00C1421E">
        <w:t>13</w:t>
      </w:r>
      <w:r w:rsidR="006944F8" w:rsidRPr="00C1421E">
        <w:t>.9</w:t>
      </w:r>
      <w:r w:rsidR="006944F8" w:rsidRPr="00C1421E">
        <w:tab/>
        <w:t>Electronic meetings</w:t>
      </w:r>
      <w:bookmarkEnd w:id="197"/>
      <w:bookmarkEnd w:id="198"/>
    </w:p>
    <w:p w14:paraId="46FAC529" w14:textId="5CC2896D" w:rsidR="006B5F4A" w:rsidRPr="00C1421E" w:rsidRDefault="006B5F4A" w:rsidP="002013A1">
      <w:pPr>
        <w:rPr>
          <w:lang w:val="en-GB"/>
        </w:rPr>
      </w:pPr>
      <w:r w:rsidRPr="00C1421E">
        <w:rPr>
          <w:lang w:val="en-GB"/>
        </w:rPr>
        <w:t xml:space="preserve">TSB continues to improve electronic meeting facilities offered to ITU-T members. </w:t>
      </w:r>
      <w:r w:rsidR="00A5644E">
        <w:rPr>
          <w:lang w:val="en-GB"/>
        </w:rPr>
        <w:t xml:space="preserve">2019 saw </w:t>
      </w:r>
      <w:r w:rsidRPr="00C1421E">
        <w:rPr>
          <w:lang w:val="en-GB"/>
        </w:rPr>
        <w:t>the</w:t>
      </w:r>
      <w:r w:rsidR="00A5644E">
        <w:rPr>
          <w:lang w:val="en-GB"/>
        </w:rPr>
        <w:t xml:space="preserve"> introduction of a </w:t>
      </w:r>
      <w:r w:rsidRPr="00C1421E">
        <w:rPr>
          <w:lang w:val="en-GB"/>
        </w:rPr>
        <w:t xml:space="preserve">new </w:t>
      </w:r>
      <w:r w:rsidR="00A5644E">
        <w:rPr>
          <w:lang w:val="en-GB"/>
        </w:rPr>
        <w:t xml:space="preserve">tool for </w:t>
      </w:r>
      <w:r w:rsidRPr="00C1421E">
        <w:rPr>
          <w:lang w:val="en-GB"/>
        </w:rPr>
        <w:t xml:space="preserve">ITU-T </w:t>
      </w:r>
      <w:r w:rsidR="00A5644E">
        <w:rPr>
          <w:lang w:val="en-GB"/>
        </w:rPr>
        <w:t>electronic meetings</w:t>
      </w:r>
      <w:r w:rsidRPr="00C1421E">
        <w:rPr>
          <w:lang w:val="en-GB"/>
        </w:rPr>
        <w:t xml:space="preserve"> </w:t>
      </w:r>
      <w:r w:rsidR="00A5644E">
        <w:rPr>
          <w:lang w:val="en-GB"/>
        </w:rPr>
        <w:t>with the aim of p</w:t>
      </w:r>
      <w:r w:rsidRPr="00C1421E">
        <w:rPr>
          <w:lang w:val="en-GB"/>
        </w:rPr>
        <w:t>rovid</w:t>
      </w:r>
      <w:r w:rsidR="00A5644E">
        <w:rPr>
          <w:lang w:val="en-GB"/>
        </w:rPr>
        <w:t xml:space="preserve">ing </w:t>
      </w:r>
      <w:r w:rsidRPr="00C1421E">
        <w:rPr>
          <w:lang w:val="en-GB"/>
        </w:rPr>
        <w:t>a consistent, efficient service to</w:t>
      </w:r>
      <w:r w:rsidR="00A5644E">
        <w:rPr>
          <w:lang w:val="en-GB"/>
        </w:rPr>
        <w:t xml:space="preserve"> the ITU-T community</w:t>
      </w:r>
      <w:r w:rsidRPr="00C1421E">
        <w:rPr>
          <w:lang w:val="en-GB"/>
        </w:rPr>
        <w:t xml:space="preserve">. </w:t>
      </w:r>
      <w:r w:rsidRPr="008F380F">
        <w:rPr>
          <w:lang w:val="en-GB"/>
        </w:rPr>
        <w:t xml:space="preserve">This tool is now being used for all </w:t>
      </w:r>
      <w:r w:rsidR="005E2B39" w:rsidRPr="008A2F29">
        <w:rPr>
          <w:lang w:val="en-GB"/>
        </w:rPr>
        <w:t xml:space="preserve">ITU-T </w:t>
      </w:r>
      <w:r w:rsidRPr="008F380F">
        <w:rPr>
          <w:lang w:val="en-GB"/>
        </w:rPr>
        <w:t>statutory meetings</w:t>
      </w:r>
      <w:r w:rsidRPr="00C1421E">
        <w:rPr>
          <w:lang w:val="en-GB"/>
        </w:rPr>
        <w:t xml:space="preserve">. Adobe Connect will continue to be used for multilingual sessions. GoToMeeting and Zoom are used for non-statutory, fully online (virtual) and any on-demand ad-hoc meetings. Statistics on </w:t>
      </w:r>
      <w:proofErr w:type="spellStart"/>
      <w:r w:rsidRPr="00C1421E">
        <w:rPr>
          <w:lang w:val="en-GB"/>
        </w:rPr>
        <w:t>e-meetings</w:t>
      </w:r>
      <w:proofErr w:type="spellEnd"/>
      <w:r w:rsidRPr="00C1421E">
        <w:rPr>
          <w:lang w:val="en-GB"/>
        </w:rPr>
        <w:t xml:space="preserve"> for the last three years are indicated below.</w:t>
      </w:r>
    </w:p>
    <w:p w14:paraId="2DC5FFBB" w14:textId="54A91894" w:rsidR="006B5F4A" w:rsidRPr="00C1421E" w:rsidRDefault="006B5F4A" w:rsidP="00541269">
      <w:pPr>
        <w:rPr>
          <w:lang w:val="en-GB"/>
        </w:rPr>
      </w:pPr>
      <w:r w:rsidRPr="00C1421E">
        <w:rPr>
          <w:noProof/>
          <w:lang w:val="en-GB"/>
        </w:rPr>
        <w:lastRenderedPageBreak/>
        <w:drawing>
          <wp:inline distT="0" distB="0" distL="0" distR="0" wp14:anchorId="2B4AD324" wp14:editId="7F149BC7">
            <wp:extent cx="6105525" cy="2981325"/>
            <wp:effectExtent l="0" t="0" r="9525" b="9525"/>
            <wp:docPr id="1" name="Picture 1"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156690A0" w14:textId="4B8BA9C2" w:rsidR="006944F8" w:rsidRPr="001C37A8" w:rsidRDefault="006944F8" w:rsidP="001C37A8">
      <w:pPr>
        <w:pStyle w:val="Caption"/>
      </w:pPr>
      <w:r w:rsidRPr="001C37A8">
        <w:t xml:space="preserve">Figure </w:t>
      </w:r>
      <w:r w:rsidR="001C37A8" w:rsidRPr="00C1421E">
        <w:rPr>
          <w:lang w:val="en-GB"/>
        </w:rPr>
        <w:fldChar w:fldCharType="begin"/>
      </w:r>
      <w:r w:rsidR="001C37A8" w:rsidRPr="00C1421E">
        <w:rPr>
          <w:lang w:val="en-GB"/>
        </w:rPr>
        <w:instrText xml:space="preserve"> SEQ Figure \* ARABIC </w:instrText>
      </w:r>
      <w:r w:rsidR="001C37A8" w:rsidRPr="00C1421E">
        <w:rPr>
          <w:lang w:val="en-GB"/>
        </w:rPr>
        <w:fldChar w:fldCharType="separate"/>
      </w:r>
      <w:r w:rsidR="00281171">
        <w:rPr>
          <w:noProof/>
          <w:lang w:val="en-GB"/>
        </w:rPr>
        <w:t>3</w:t>
      </w:r>
      <w:r w:rsidR="001C37A8" w:rsidRPr="00C1421E">
        <w:rPr>
          <w:lang w:val="en-GB"/>
        </w:rPr>
        <w:fldChar w:fldCharType="end"/>
      </w:r>
      <w:r w:rsidRPr="001C37A8">
        <w:t xml:space="preserve"> – Remote participation and </w:t>
      </w:r>
      <w:proofErr w:type="spellStart"/>
      <w:r w:rsidRPr="001C37A8">
        <w:t>e-meetings</w:t>
      </w:r>
      <w:proofErr w:type="spellEnd"/>
    </w:p>
    <w:p w14:paraId="1AC6FECD" w14:textId="53017263" w:rsidR="006944F8" w:rsidRPr="00C1421E" w:rsidRDefault="002F0E38" w:rsidP="006944F8">
      <w:pPr>
        <w:pStyle w:val="Heading2"/>
      </w:pPr>
      <w:bookmarkStart w:id="199" w:name="_Toc389154483"/>
      <w:bookmarkStart w:id="200" w:name="_Toc462664285"/>
      <w:bookmarkStart w:id="201" w:name="_Toc480527879"/>
      <w:bookmarkStart w:id="202" w:name="_Toc18509788"/>
      <w:r w:rsidRPr="00C1421E">
        <w:t>13</w:t>
      </w:r>
      <w:r w:rsidR="006944F8" w:rsidRPr="00C1421E">
        <w:t>.10</w:t>
      </w:r>
      <w:r w:rsidR="006944F8" w:rsidRPr="00C1421E">
        <w:tab/>
        <w:t xml:space="preserve">Use in the ITU-T of the </w:t>
      </w:r>
      <w:r w:rsidR="00541269" w:rsidRPr="00C1421E">
        <w:t xml:space="preserve">official </w:t>
      </w:r>
      <w:r w:rsidR="006944F8" w:rsidRPr="00C1421E">
        <w:t>languages of the Union on an equal footing</w:t>
      </w:r>
      <w:bookmarkEnd w:id="199"/>
      <w:bookmarkEnd w:id="200"/>
      <w:bookmarkEnd w:id="201"/>
      <w:bookmarkEnd w:id="202"/>
    </w:p>
    <w:p w14:paraId="5F29CC8C" w14:textId="3B4701F8" w:rsidR="006944F8" w:rsidRPr="00C1421E" w:rsidRDefault="006944F8" w:rsidP="002013A1">
      <w:pPr>
        <w:rPr>
          <w:lang w:val="en-GB"/>
        </w:rPr>
      </w:pPr>
      <w:r w:rsidRPr="00C1421E">
        <w:rPr>
          <w:lang w:val="en-GB"/>
        </w:rPr>
        <w:t xml:space="preserve">The Standardization Committee for Vocabulary (SCV), composed </w:t>
      </w:r>
      <w:r w:rsidR="00541269" w:rsidRPr="00C1421E">
        <w:rPr>
          <w:lang w:val="en-GB"/>
        </w:rPr>
        <w:t>of</w:t>
      </w:r>
      <w:r w:rsidRPr="00C1421E">
        <w:rPr>
          <w:lang w:val="en-GB"/>
        </w:rPr>
        <w:t xml:space="preserve"> ITU-T </w:t>
      </w:r>
      <w:proofErr w:type="gramStart"/>
      <w:r w:rsidR="00541269" w:rsidRPr="00C1421E">
        <w:rPr>
          <w:lang w:val="en-GB"/>
        </w:rPr>
        <w:t>members</w:t>
      </w:r>
      <w:proofErr w:type="gramEnd"/>
      <w:r w:rsidR="00541269" w:rsidRPr="00C1421E">
        <w:rPr>
          <w:lang w:val="en-GB"/>
        </w:rPr>
        <w:t xml:space="preserve"> </w:t>
      </w:r>
      <w:r w:rsidRPr="00C1421E">
        <w:rPr>
          <w:lang w:val="en-GB"/>
        </w:rPr>
        <w:t>expert in all the official languages, serves as focal point to ITU-T Study Groups in terminology-related matters</w:t>
      </w:r>
      <w:r w:rsidR="00541269" w:rsidRPr="00C1421E">
        <w:rPr>
          <w:lang w:val="en-GB"/>
        </w:rPr>
        <w:t xml:space="preserve">. SCV guides the adoption of </w:t>
      </w:r>
      <w:r w:rsidRPr="00C1421E">
        <w:rPr>
          <w:lang w:val="en-GB"/>
        </w:rPr>
        <w:t>terms and definitions in ITU-T Recommendations in accordance with WTSA Resolution 67.</w:t>
      </w:r>
    </w:p>
    <w:p w14:paraId="6198FB09" w14:textId="60CAE9F4" w:rsidR="006944F8" w:rsidRPr="00C1421E" w:rsidRDefault="00267090" w:rsidP="002013A1">
      <w:pPr>
        <w:rPr>
          <w:lang w:val="en-GB"/>
        </w:rPr>
      </w:pPr>
      <w:hyperlink r:id="rId186" w:history="1">
        <w:r w:rsidR="006944F8" w:rsidRPr="00C1421E">
          <w:rPr>
            <w:rStyle w:val="Hyperlink"/>
            <w:rFonts w:eastAsiaTheme="majorEastAsia"/>
            <w:szCs w:val="24"/>
            <w:lang w:val="en-GB"/>
          </w:rPr>
          <w:t>Council Resolution 1386</w:t>
        </w:r>
      </w:hyperlink>
      <w:r w:rsidR="006944F8" w:rsidRPr="00C1421E">
        <w:rPr>
          <w:szCs w:val="24"/>
          <w:lang w:val="en-GB"/>
        </w:rPr>
        <w:t xml:space="preserve"> of 26 May 2017 created the ITU Coordination Committee for Terminology (CCT), </w:t>
      </w:r>
      <w:r w:rsidR="00541269" w:rsidRPr="00C1421E">
        <w:rPr>
          <w:szCs w:val="24"/>
          <w:lang w:val="en-GB"/>
        </w:rPr>
        <w:t xml:space="preserve">which is </w:t>
      </w:r>
      <w:r w:rsidR="006944F8" w:rsidRPr="00C1421E">
        <w:rPr>
          <w:szCs w:val="24"/>
          <w:lang w:val="en-GB"/>
        </w:rPr>
        <w:t xml:space="preserve">composed </w:t>
      </w:r>
      <w:r w:rsidR="00541269" w:rsidRPr="00C1421E">
        <w:rPr>
          <w:szCs w:val="24"/>
          <w:lang w:val="en-GB"/>
        </w:rPr>
        <w:t xml:space="preserve">of </w:t>
      </w:r>
      <w:r w:rsidR="006944F8" w:rsidRPr="00C1421E">
        <w:rPr>
          <w:szCs w:val="24"/>
          <w:lang w:val="en-GB"/>
        </w:rPr>
        <w:t>SCV, the ITU-R Coo</w:t>
      </w:r>
      <w:r w:rsidR="00981FB1" w:rsidRPr="00C1421E">
        <w:rPr>
          <w:szCs w:val="24"/>
          <w:lang w:val="en-GB"/>
        </w:rPr>
        <w:t>r</w:t>
      </w:r>
      <w:r w:rsidR="006944F8" w:rsidRPr="00C1421E">
        <w:rPr>
          <w:szCs w:val="24"/>
          <w:lang w:val="en-GB"/>
        </w:rPr>
        <w:t xml:space="preserve">dination Committee for Vocabulary (CCV) and two representatives of ITU-D. SCV met twice in </w:t>
      </w:r>
      <w:r w:rsidR="00CF5A91" w:rsidRPr="00C1421E">
        <w:rPr>
          <w:szCs w:val="24"/>
          <w:lang w:val="en-GB"/>
        </w:rPr>
        <w:t xml:space="preserve">the reporting period, </w:t>
      </w:r>
      <w:r w:rsidR="006944F8" w:rsidRPr="00C1421E">
        <w:rPr>
          <w:szCs w:val="24"/>
          <w:lang w:val="en-GB"/>
        </w:rPr>
        <w:t>under the umbrella of CCT</w:t>
      </w:r>
      <w:r w:rsidR="00CF5A91" w:rsidRPr="00C1421E">
        <w:rPr>
          <w:szCs w:val="24"/>
          <w:lang w:val="en-GB"/>
        </w:rPr>
        <w:t>,</w:t>
      </w:r>
      <w:r w:rsidR="00541269" w:rsidRPr="00C1421E">
        <w:rPr>
          <w:szCs w:val="24"/>
          <w:lang w:val="en-GB"/>
        </w:rPr>
        <w:t xml:space="preserve"> ensuring</w:t>
      </w:r>
      <w:r w:rsidR="003F36F7" w:rsidRPr="00C1421E">
        <w:rPr>
          <w:szCs w:val="24"/>
          <w:lang w:val="en-GB"/>
        </w:rPr>
        <w:t xml:space="preserve"> </w:t>
      </w:r>
      <w:r w:rsidR="00541269" w:rsidRPr="00C1421E">
        <w:rPr>
          <w:szCs w:val="24"/>
          <w:lang w:val="en-GB"/>
        </w:rPr>
        <w:t xml:space="preserve">the </w:t>
      </w:r>
      <w:r w:rsidR="006944F8" w:rsidRPr="00C1421E">
        <w:rPr>
          <w:szCs w:val="24"/>
          <w:lang w:val="en-GB"/>
        </w:rPr>
        <w:t>harmonization of terminology across the Union.</w:t>
      </w:r>
    </w:p>
    <w:p w14:paraId="44E382DA" w14:textId="528A2AB4" w:rsidR="006944F8" w:rsidRPr="00C1421E" w:rsidRDefault="006944F8" w:rsidP="002013A1">
      <w:pPr>
        <w:rPr>
          <w:lang w:val="en-GB"/>
        </w:rPr>
      </w:pPr>
      <w:r w:rsidRPr="00C1421E">
        <w:rPr>
          <w:lang w:val="en-GB"/>
        </w:rPr>
        <w:t>TSB continues to collect all new terms and definitions proposed by ITU-T Study Groups, enter</w:t>
      </w:r>
      <w:r w:rsidR="00541269" w:rsidRPr="00C1421E">
        <w:rPr>
          <w:lang w:val="en-GB"/>
        </w:rPr>
        <w:t>ing</w:t>
      </w:r>
      <w:r w:rsidRPr="00C1421E">
        <w:rPr>
          <w:lang w:val="en-GB"/>
        </w:rPr>
        <w:t xml:space="preserve"> them in</w:t>
      </w:r>
      <w:r w:rsidR="00541269" w:rsidRPr="00C1421E">
        <w:rPr>
          <w:lang w:val="en-GB"/>
        </w:rPr>
        <w:t>to</w:t>
      </w:r>
      <w:r w:rsidRPr="00C1421E">
        <w:rPr>
          <w:lang w:val="en-GB"/>
        </w:rPr>
        <w:t xml:space="preserve"> the online ITU Terms and Definitions database.</w:t>
      </w:r>
    </w:p>
    <w:p w14:paraId="671FC554" w14:textId="68798DBB" w:rsidR="006944F8" w:rsidRPr="00C1421E" w:rsidRDefault="006944F8" w:rsidP="002013A1">
      <w:pPr>
        <w:rPr>
          <w:lang w:val="en-GB"/>
        </w:rPr>
      </w:pPr>
      <w:r w:rsidRPr="00C1421E">
        <w:rPr>
          <w:lang w:val="en-GB"/>
        </w:rPr>
        <w:t xml:space="preserve">As requested by WTSA Resolution 67, TSB continues to translate all Recommendations approved under the </w:t>
      </w:r>
      <w:r w:rsidR="00541269" w:rsidRPr="00C1421E">
        <w:rPr>
          <w:lang w:val="en-GB"/>
        </w:rPr>
        <w:t>T</w:t>
      </w:r>
      <w:r w:rsidRPr="00C1421E">
        <w:rPr>
          <w:lang w:val="en-GB"/>
        </w:rPr>
        <w:t xml:space="preserve">raditional </w:t>
      </w:r>
      <w:r w:rsidR="00541269" w:rsidRPr="00C1421E">
        <w:rPr>
          <w:lang w:val="en-GB"/>
        </w:rPr>
        <w:t>A</w:t>
      </w:r>
      <w:r w:rsidRPr="00C1421E">
        <w:rPr>
          <w:lang w:val="en-GB"/>
        </w:rPr>
        <w:t xml:space="preserve">pproval </w:t>
      </w:r>
      <w:r w:rsidR="00541269" w:rsidRPr="00C1421E">
        <w:rPr>
          <w:lang w:val="en-GB"/>
        </w:rPr>
        <w:t>P</w:t>
      </w:r>
      <w:r w:rsidRPr="00C1421E">
        <w:rPr>
          <w:lang w:val="en-GB"/>
        </w:rPr>
        <w:t>rocess (TAP) as well as all TSAG reports.</w:t>
      </w:r>
    </w:p>
    <w:p w14:paraId="48E20314" w14:textId="74C10D0A" w:rsidR="006944F8" w:rsidRPr="00C1421E" w:rsidRDefault="006944F8" w:rsidP="002013A1">
      <w:pPr>
        <w:rPr>
          <w:lang w:val="en-GB"/>
        </w:rPr>
      </w:pPr>
      <w:r w:rsidRPr="00C1421E">
        <w:rPr>
          <w:lang w:val="en-GB"/>
        </w:rPr>
        <w:t xml:space="preserve">TSB also translated, in the reporting period, </w:t>
      </w:r>
      <w:r w:rsidR="00CD044C" w:rsidRPr="00C1421E">
        <w:rPr>
          <w:lang w:val="en-GB"/>
        </w:rPr>
        <w:t xml:space="preserve">24 </w:t>
      </w:r>
      <w:r w:rsidRPr="00C1421E">
        <w:rPr>
          <w:lang w:val="en-GB"/>
        </w:rPr>
        <w:t>AAP Recommendations, in accordance with requests received from ITU-T Study Groups and linguistic groups.</w:t>
      </w:r>
    </w:p>
    <w:p w14:paraId="219CEEC2" w14:textId="18C1A274" w:rsidR="006944F8" w:rsidRPr="00C1421E" w:rsidRDefault="002F0E38" w:rsidP="006944F8">
      <w:pPr>
        <w:pStyle w:val="Heading2"/>
      </w:pPr>
      <w:bookmarkStart w:id="203" w:name="_Toc18509789"/>
      <w:r w:rsidRPr="00C1421E">
        <w:t>13</w:t>
      </w:r>
      <w:r w:rsidR="006944F8" w:rsidRPr="00C1421E">
        <w:t>.11</w:t>
      </w:r>
      <w:r w:rsidR="006944F8" w:rsidRPr="00C1421E">
        <w:tab/>
        <w:t>Workshops and symposia</w:t>
      </w:r>
      <w:bookmarkEnd w:id="203"/>
    </w:p>
    <w:p w14:paraId="1C804FD0" w14:textId="50F37FD3" w:rsidR="006944F8" w:rsidRPr="00C1421E" w:rsidRDefault="006944F8" w:rsidP="000952E6">
      <w:pPr>
        <w:rPr>
          <w:lang w:val="en-GB"/>
        </w:rPr>
      </w:pPr>
      <w:r w:rsidRPr="00C1421E">
        <w:rPr>
          <w:lang w:val="en-GB"/>
        </w:rPr>
        <w:t>ITU</w:t>
      </w:r>
      <w:r w:rsidR="007E60A7" w:rsidRPr="00C1421E">
        <w:rPr>
          <w:lang w:val="en-GB"/>
        </w:rPr>
        <w:t xml:space="preserve"> workshops and symposia</w:t>
      </w:r>
      <w:r w:rsidRPr="00C1421E">
        <w:rPr>
          <w:lang w:val="en-GB"/>
        </w:rPr>
        <w:t xml:space="preserve"> </w:t>
      </w:r>
      <w:r w:rsidR="007E60A7" w:rsidRPr="00C1421E">
        <w:rPr>
          <w:lang w:val="en-GB"/>
        </w:rPr>
        <w:t xml:space="preserve">discuss emerging trends in standardization, </w:t>
      </w:r>
      <w:r w:rsidRPr="00C1421E">
        <w:rPr>
          <w:lang w:val="en-GB"/>
        </w:rPr>
        <w:t xml:space="preserve">increase </w:t>
      </w:r>
      <w:r w:rsidR="007E60A7" w:rsidRPr="00C1421E">
        <w:rPr>
          <w:lang w:val="en-GB"/>
        </w:rPr>
        <w:t xml:space="preserve">the </w:t>
      </w:r>
      <w:r w:rsidRPr="00C1421E">
        <w:rPr>
          <w:lang w:val="en-GB"/>
        </w:rPr>
        <w:t xml:space="preserve">visibility </w:t>
      </w:r>
      <w:r w:rsidR="007E60A7" w:rsidRPr="00C1421E">
        <w:rPr>
          <w:lang w:val="en-GB"/>
        </w:rPr>
        <w:t xml:space="preserve">of ITU-T work, enhance ITU-T collaboration with other bodies, </w:t>
      </w:r>
      <w:r w:rsidR="000952E6" w:rsidRPr="00C1421E">
        <w:rPr>
          <w:lang w:val="en-GB"/>
        </w:rPr>
        <w:t xml:space="preserve">attract and recruit new ITU-T members, </w:t>
      </w:r>
      <w:r w:rsidR="007E60A7" w:rsidRPr="00C1421E">
        <w:rPr>
          <w:lang w:val="en-GB"/>
        </w:rPr>
        <w:t>and encourage peer-learning relevant to the development and implementation of international standards.</w:t>
      </w:r>
    </w:p>
    <w:p w14:paraId="01828F0C" w14:textId="5742A99B" w:rsidR="006944F8" w:rsidRPr="00C1421E" w:rsidRDefault="006944F8" w:rsidP="007E60A7">
      <w:pPr>
        <w:rPr>
          <w:highlight w:val="yellow"/>
          <w:lang w:val="en-GB"/>
        </w:rPr>
      </w:pPr>
      <w:r w:rsidRPr="00C1421E">
        <w:rPr>
          <w:lang w:val="en-GB"/>
        </w:rPr>
        <w:t>The following ITU workshops</w:t>
      </w:r>
      <w:r w:rsidR="007E60A7" w:rsidRPr="00C1421E">
        <w:rPr>
          <w:lang w:val="en-GB"/>
        </w:rPr>
        <w:t xml:space="preserve"> and </w:t>
      </w:r>
      <w:r w:rsidRPr="00C1421E">
        <w:rPr>
          <w:lang w:val="en-GB"/>
        </w:rPr>
        <w:t>symposia</w:t>
      </w:r>
      <w:r w:rsidR="007E60A7" w:rsidRPr="00C1421E">
        <w:rPr>
          <w:lang w:val="en-GB"/>
        </w:rPr>
        <w:t>, arranged by venue,</w:t>
      </w:r>
      <w:r w:rsidRPr="00C1421E">
        <w:rPr>
          <w:lang w:val="en-GB"/>
        </w:rPr>
        <w:t xml:space="preserve"> were organized </w:t>
      </w:r>
      <w:r w:rsidR="00403A2F" w:rsidRPr="00C1421E">
        <w:rPr>
          <w:lang w:val="en-GB"/>
        </w:rPr>
        <w:t xml:space="preserve">by TSB </w:t>
      </w:r>
      <w:r w:rsidRPr="00C1421E">
        <w:rPr>
          <w:lang w:val="en-GB"/>
        </w:rPr>
        <w:t xml:space="preserve">since </w:t>
      </w:r>
      <w:r w:rsidR="000E605B" w:rsidRPr="00C1421E">
        <w:rPr>
          <w:lang w:val="en-GB"/>
        </w:rPr>
        <w:t>November</w:t>
      </w:r>
      <w:r w:rsidRPr="00C1421E">
        <w:rPr>
          <w:lang w:val="en-GB"/>
        </w:rPr>
        <w:t xml:space="preserve"> 2018:</w:t>
      </w:r>
    </w:p>
    <w:p w14:paraId="42851A49" w14:textId="2E1EFE2E" w:rsidR="006944F8" w:rsidRPr="005C0984" w:rsidRDefault="00A5644E" w:rsidP="006944F8">
      <w:pPr>
        <w:rPr>
          <w:szCs w:val="24"/>
          <w:lang w:val="en-GB"/>
        </w:rPr>
      </w:pPr>
      <w:r w:rsidRPr="00461720">
        <w:rPr>
          <w:b/>
          <w:bCs/>
          <w:szCs w:val="24"/>
          <w:lang w:val="en-GB"/>
        </w:rPr>
        <w:t xml:space="preserve">ITU Headquarters, </w:t>
      </w:r>
      <w:r w:rsidR="006944F8" w:rsidRPr="00461720">
        <w:rPr>
          <w:b/>
          <w:bCs/>
          <w:szCs w:val="24"/>
          <w:lang w:val="en-GB"/>
        </w:rPr>
        <w:t>Geneva</w:t>
      </w:r>
      <w:r w:rsidR="006944F8" w:rsidRPr="005C0984">
        <w:rPr>
          <w:b/>
          <w:bCs/>
          <w:szCs w:val="24"/>
          <w:lang w:val="en-GB"/>
        </w:rPr>
        <w:t>:</w:t>
      </w:r>
    </w:p>
    <w:p w14:paraId="3327C151" w14:textId="20E13609" w:rsidR="0085295A" w:rsidRPr="008A2F29" w:rsidRDefault="00267090" w:rsidP="0085295A">
      <w:pPr>
        <w:numPr>
          <w:ilvl w:val="0"/>
          <w:numId w:val="39"/>
        </w:numPr>
        <w:rPr>
          <w:lang w:val="en-GB"/>
        </w:rPr>
      </w:pPr>
      <w:hyperlink r:id="rId187" w:history="1">
        <w:r w:rsidR="0085295A" w:rsidRPr="0085295A">
          <w:rPr>
            <w:rStyle w:val="Hyperlink"/>
          </w:rPr>
          <w:t>ITU Workshop on ''Cybersecurity Challenges in Automated Driving"</w:t>
        </w:r>
      </w:hyperlink>
      <w:r w:rsidR="0085295A">
        <w:t>, 26 August 2019.</w:t>
      </w:r>
    </w:p>
    <w:p w14:paraId="69E83A87" w14:textId="7FCBC22A" w:rsidR="002013A1" w:rsidRDefault="00267090" w:rsidP="0085295A">
      <w:pPr>
        <w:numPr>
          <w:ilvl w:val="0"/>
          <w:numId w:val="39"/>
        </w:numPr>
        <w:rPr>
          <w:lang w:val="en-GB"/>
        </w:rPr>
      </w:pPr>
      <w:hyperlink r:id="rId188" w:history="1">
        <w:r w:rsidR="006C5DC0" w:rsidRPr="005C0984">
          <w:rPr>
            <w:rStyle w:val="Hyperlink"/>
            <w:lang w:val="en-GB"/>
          </w:rPr>
          <w:t xml:space="preserve">ITU Workshop on </w:t>
        </w:r>
        <w:r w:rsidR="00CA2D85" w:rsidRPr="005C0984">
          <w:rPr>
            <w:rStyle w:val="Hyperlink"/>
            <w:lang w:val="en-GB"/>
          </w:rPr>
          <w:t>''</w:t>
        </w:r>
        <w:r w:rsidR="0085295A">
          <w:rPr>
            <w:rStyle w:val="Hyperlink"/>
            <w:lang w:val="en-GB"/>
          </w:rPr>
          <w:t>Fintech Security</w:t>
        </w:r>
        <w:r w:rsidR="00CA2D85" w:rsidRPr="005C0984">
          <w:rPr>
            <w:rStyle w:val="Hyperlink"/>
            <w:lang w:val="en-GB"/>
          </w:rPr>
          <w:t>"</w:t>
        </w:r>
      </w:hyperlink>
      <w:r w:rsidR="006C5DC0" w:rsidRPr="00461720">
        <w:rPr>
          <w:lang w:val="en-GB"/>
        </w:rPr>
        <w:t xml:space="preserve">, </w:t>
      </w:r>
      <w:r w:rsidR="0085295A">
        <w:rPr>
          <w:lang w:val="en-GB"/>
        </w:rPr>
        <w:t>26 August</w:t>
      </w:r>
      <w:r w:rsidR="006C5DC0" w:rsidRPr="00461720">
        <w:rPr>
          <w:lang w:val="en-GB"/>
        </w:rPr>
        <w:t xml:space="preserve"> 2019.</w:t>
      </w:r>
    </w:p>
    <w:p w14:paraId="2E1034D2" w14:textId="2C77C131" w:rsidR="0085295A" w:rsidRPr="001F724D" w:rsidRDefault="00267090" w:rsidP="001F724D">
      <w:pPr>
        <w:numPr>
          <w:ilvl w:val="0"/>
          <w:numId w:val="39"/>
        </w:numPr>
        <w:rPr>
          <w:lang w:val="en-GB"/>
        </w:rPr>
      </w:pPr>
      <w:hyperlink r:id="rId189" w:history="1">
        <w:r w:rsidR="0085295A" w:rsidRPr="005C0984">
          <w:rPr>
            <w:rStyle w:val="Hyperlink"/>
            <w:lang w:val="en-GB"/>
          </w:rPr>
          <w:t>ITU Workshop on ''</w:t>
        </w:r>
        <w:r w:rsidR="0085295A">
          <w:rPr>
            <w:rStyle w:val="Hyperlink"/>
            <w:lang w:val="en-GB"/>
          </w:rPr>
          <w:t>Distributed Ledger Scalability and Interoperability</w:t>
        </w:r>
        <w:r w:rsidR="0085295A" w:rsidRPr="005C0984">
          <w:rPr>
            <w:rStyle w:val="Hyperlink"/>
            <w:lang w:val="en-GB"/>
          </w:rPr>
          <w:t>"</w:t>
        </w:r>
      </w:hyperlink>
      <w:r w:rsidR="0085295A" w:rsidRPr="00461720">
        <w:rPr>
          <w:lang w:val="en-GB"/>
        </w:rPr>
        <w:t xml:space="preserve">, </w:t>
      </w:r>
      <w:r w:rsidR="0085295A">
        <w:rPr>
          <w:lang w:val="en-GB"/>
        </w:rPr>
        <w:t>2 August</w:t>
      </w:r>
      <w:r w:rsidR="0085295A" w:rsidRPr="00461720">
        <w:rPr>
          <w:lang w:val="en-GB"/>
        </w:rPr>
        <w:t xml:space="preserve"> 2019.</w:t>
      </w:r>
    </w:p>
    <w:p w14:paraId="67165D20" w14:textId="65673527" w:rsidR="0085295A" w:rsidRPr="001F724D" w:rsidRDefault="00267090" w:rsidP="001F724D">
      <w:pPr>
        <w:numPr>
          <w:ilvl w:val="0"/>
          <w:numId w:val="39"/>
        </w:numPr>
        <w:rPr>
          <w:lang w:val="en-GB"/>
        </w:rPr>
      </w:pPr>
      <w:hyperlink r:id="rId190" w:history="1">
        <w:r w:rsidR="0085295A" w:rsidRPr="005C0984">
          <w:rPr>
            <w:rStyle w:val="Hyperlink"/>
            <w:lang w:val="en-GB"/>
          </w:rPr>
          <w:t>ITU Workshop on ''Data Processing and Management for IoT and Smart Cities &amp; Communities"</w:t>
        </w:r>
      </w:hyperlink>
      <w:r w:rsidR="0085295A" w:rsidRPr="00461720">
        <w:rPr>
          <w:lang w:val="en-GB"/>
        </w:rPr>
        <w:t>, 19 July 2019.</w:t>
      </w:r>
    </w:p>
    <w:p w14:paraId="04925F22" w14:textId="46E4CADB" w:rsidR="001C37A8" w:rsidRPr="0021687B" w:rsidRDefault="00267090" w:rsidP="001C37A8">
      <w:pPr>
        <w:numPr>
          <w:ilvl w:val="0"/>
          <w:numId w:val="39"/>
        </w:numPr>
        <w:rPr>
          <w:lang w:val="en-GB"/>
        </w:rPr>
      </w:pPr>
      <w:hyperlink r:id="rId191" w:history="1">
        <w:r w:rsidR="001C37A8" w:rsidRPr="00461720">
          <w:rPr>
            <w:rStyle w:val="Hyperlink"/>
            <w:lang w:val="en-GB"/>
          </w:rPr>
          <w:t>ITU Workshop on "Enhancing human life using e-services"</w:t>
        </w:r>
      </w:hyperlink>
      <w:r w:rsidR="001C37A8" w:rsidRPr="00461720">
        <w:rPr>
          <w:lang w:val="en-GB"/>
        </w:rPr>
        <w:t xml:space="preserve">, </w:t>
      </w:r>
      <w:r w:rsidR="001C37A8" w:rsidRPr="0021687B">
        <w:rPr>
          <w:lang w:val="en-GB"/>
        </w:rPr>
        <w:t>25 March 2019</w:t>
      </w:r>
    </w:p>
    <w:p w14:paraId="6DC20F5A" w14:textId="351453F1" w:rsidR="00A54E94" w:rsidRPr="00461720" w:rsidRDefault="00267090" w:rsidP="001C37A8">
      <w:pPr>
        <w:numPr>
          <w:ilvl w:val="0"/>
          <w:numId w:val="39"/>
        </w:numPr>
        <w:rPr>
          <w:lang w:val="en-GB"/>
        </w:rPr>
      </w:pPr>
      <w:hyperlink r:id="rId192"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Machine Learning for 5G and beyond</w:t>
        </w:r>
        <w:r w:rsidR="00CA2D85" w:rsidRPr="005C0984">
          <w:rPr>
            <w:rStyle w:val="Hyperlink"/>
            <w:lang w:val="en-GB"/>
          </w:rPr>
          <w:t>"</w:t>
        </w:r>
      </w:hyperlink>
      <w:r w:rsidR="00A54E94" w:rsidRPr="00461720">
        <w:rPr>
          <w:lang w:val="en-GB"/>
        </w:rPr>
        <w:t>, 17 June 2019.</w:t>
      </w:r>
    </w:p>
    <w:p w14:paraId="2CE9B7F3" w14:textId="186CB583" w:rsidR="00A54E94" w:rsidRPr="00461720" w:rsidRDefault="00267090" w:rsidP="001C37A8">
      <w:pPr>
        <w:numPr>
          <w:ilvl w:val="0"/>
          <w:numId w:val="39"/>
        </w:numPr>
        <w:rPr>
          <w:lang w:val="en-GB"/>
        </w:rPr>
      </w:pPr>
      <w:hyperlink r:id="rId193" w:history="1">
        <w:r w:rsidR="00A54E94" w:rsidRPr="00461720">
          <w:rPr>
            <w:rStyle w:val="Hyperlink"/>
            <w:lang w:val="en-GB"/>
          </w:rPr>
          <w:t>ITU Digita</w:t>
        </w:r>
        <w:r w:rsidR="00A54E94" w:rsidRPr="0021687B">
          <w:rPr>
            <w:rStyle w:val="Hyperlink"/>
            <w:lang w:val="en-GB"/>
          </w:rPr>
          <w:t>l Fiat Currency Showcase: Use cases and architecture options</w:t>
        </w:r>
      </w:hyperlink>
      <w:r w:rsidR="00A54E94" w:rsidRPr="00461720">
        <w:rPr>
          <w:lang w:val="en-GB"/>
        </w:rPr>
        <w:t>, 13 June 2019.</w:t>
      </w:r>
    </w:p>
    <w:p w14:paraId="52D74997" w14:textId="664C601F" w:rsidR="00A54E94" w:rsidRPr="00461720" w:rsidRDefault="00267090" w:rsidP="001C37A8">
      <w:pPr>
        <w:numPr>
          <w:ilvl w:val="0"/>
          <w:numId w:val="39"/>
        </w:numPr>
        <w:rPr>
          <w:lang w:val="en-GB"/>
        </w:rPr>
      </w:pPr>
      <w:hyperlink r:id="rId194"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Future of TV for Europe</w:t>
        </w:r>
        <w:r w:rsidR="00CA2D85" w:rsidRPr="005C0984">
          <w:rPr>
            <w:rStyle w:val="Hyperlink"/>
            <w:lang w:val="en-GB"/>
          </w:rPr>
          <w:t>"</w:t>
        </w:r>
      </w:hyperlink>
      <w:r w:rsidR="00A54E94" w:rsidRPr="00461720">
        <w:rPr>
          <w:lang w:val="en-GB"/>
        </w:rPr>
        <w:t>, 7 June 2019.</w:t>
      </w:r>
    </w:p>
    <w:p w14:paraId="6FED51C7" w14:textId="5247084D" w:rsidR="00472B84" w:rsidRPr="005C0984" w:rsidRDefault="00267090" w:rsidP="001C37A8">
      <w:pPr>
        <w:numPr>
          <w:ilvl w:val="0"/>
          <w:numId w:val="39"/>
        </w:numPr>
        <w:rPr>
          <w:lang w:val="en-GB"/>
        </w:rPr>
      </w:pPr>
      <w:hyperlink r:id="rId195" w:history="1">
        <w:r w:rsidR="00472B84" w:rsidRPr="0021687B">
          <w:rPr>
            <w:rStyle w:val="Hyperlink"/>
            <w:lang w:val="en-GB"/>
          </w:rPr>
          <w:t xml:space="preserve">ITU/WHO Workshop on </w:t>
        </w:r>
        <w:r w:rsidR="00CA2D85" w:rsidRPr="005C0984">
          <w:rPr>
            <w:rStyle w:val="Hyperlink"/>
            <w:lang w:val="en-GB"/>
          </w:rPr>
          <w:t>"</w:t>
        </w:r>
        <w:r w:rsidR="00472B84" w:rsidRPr="005C0984">
          <w:rPr>
            <w:rStyle w:val="Hyperlink"/>
            <w:lang w:val="en-GB"/>
          </w:rPr>
          <w:t>Artificial Intelligence for Health</w:t>
        </w:r>
        <w:r w:rsidR="00CA2D85" w:rsidRPr="005C0984">
          <w:rPr>
            <w:rStyle w:val="Hyperlink"/>
            <w:lang w:val="en-GB"/>
          </w:rPr>
          <w:t>"</w:t>
        </w:r>
        <w:r w:rsidR="00472B84" w:rsidRPr="005C0984">
          <w:rPr>
            <w:rStyle w:val="Hyperlink"/>
            <w:lang w:val="en-GB"/>
          </w:rPr>
          <w:t xml:space="preserve">, </w:t>
        </w:r>
      </w:hyperlink>
      <w:r w:rsidR="00472B84" w:rsidRPr="00461720">
        <w:rPr>
          <w:lang w:val="en-GB"/>
        </w:rPr>
        <w:t>29 May 2019</w:t>
      </w:r>
      <w:r w:rsidR="002013A1" w:rsidRPr="00461720">
        <w:rPr>
          <w:lang w:val="en-GB"/>
        </w:rPr>
        <w:t xml:space="preserve"> (within the AI for Good </w:t>
      </w:r>
      <w:r w:rsidR="00A5644E" w:rsidRPr="0021687B">
        <w:rPr>
          <w:lang w:val="en-GB"/>
        </w:rPr>
        <w:t xml:space="preserve">Global </w:t>
      </w:r>
      <w:r w:rsidR="002013A1" w:rsidRPr="005C0984">
        <w:rPr>
          <w:lang w:val="en-GB"/>
        </w:rPr>
        <w:t>Summit)</w:t>
      </w:r>
      <w:r w:rsidR="00472B84" w:rsidRPr="005C0984">
        <w:rPr>
          <w:lang w:val="en-GB"/>
        </w:rPr>
        <w:t>.</w:t>
      </w:r>
    </w:p>
    <w:p w14:paraId="634BF5B7" w14:textId="59B059C1" w:rsidR="00897D8D" w:rsidRPr="00461720" w:rsidRDefault="00267090" w:rsidP="001C37A8">
      <w:pPr>
        <w:numPr>
          <w:ilvl w:val="0"/>
          <w:numId w:val="39"/>
        </w:numPr>
        <w:rPr>
          <w:lang w:val="en-GB"/>
        </w:rPr>
      </w:pPr>
      <w:hyperlink r:id="rId196" w:history="1">
        <w:r w:rsidR="00897D8D" w:rsidRPr="00461720">
          <w:rPr>
            <w:rStyle w:val="Hyperlink"/>
            <w:lang w:val="en-GB"/>
          </w:rPr>
          <w:t>AI for Good Global Summit</w:t>
        </w:r>
      </w:hyperlink>
      <w:r w:rsidR="00897D8D" w:rsidRPr="00461720">
        <w:rPr>
          <w:lang w:val="en-GB"/>
        </w:rPr>
        <w:t>, 28-31 May 2019.</w:t>
      </w:r>
    </w:p>
    <w:p w14:paraId="5D929C90" w14:textId="16E83F66" w:rsidR="00AC3FB7" w:rsidRPr="00461720" w:rsidRDefault="00267090" w:rsidP="005769CF">
      <w:pPr>
        <w:numPr>
          <w:ilvl w:val="0"/>
          <w:numId w:val="39"/>
        </w:numPr>
        <w:rPr>
          <w:lang w:val="en-GB"/>
        </w:rPr>
      </w:pPr>
      <w:hyperlink r:id="rId197" w:history="1">
        <w:r w:rsidR="00AC3FB7" w:rsidRPr="0021687B">
          <w:rPr>
            <w:rStyle w:val="Hyperlink"/>
            <w:lang w:val="en-GB"/>
          </w:rPr>
          <w:t>ITU Symposium on</w:t>
        </w:r>
        <w:r w:rsidR="005769CF" w:rsidRPr="008A2F29">
          <w:rPr>
            <w:rStyle w:val="Hyperlink"/>
            <w:lang w:val="en-GB"/>
          </w:rPr>
          <w:t xml:space="preserve"> "</w:t>
        </w:r>
        <w:r w:rsidR="00AC3FB7" w:rsidRPr="00461720">
          <w:rPr>
            <w:rStyle w:val="Hyperlink"/>
            <w:lang w:val="en-GB"/>
          </w:rPr>
          <w:t>ICT, Environment and Climate Change</w:t>
        </w:r>
      </w:hyperlink>
      <w:r w:rsidR="005769CF" w:rsidRPr="008A2F29">
        <w:rPr>
          <w:rStyle w:val="Hyperlink"/>
          <w:lang w:val="en-GB"/>
        </w:rPr>
        <w:t>"</w:t>
      </w:r>
      <w:r w:rsidR="00AC3FB7" w:rsidRPr="00461720">
        <w:rPr>
          <w:lang w:val="en-GB"/>
        </w:rPr>
        <w:t>, 13 May 2019.</w:t>
      </w:r>
    </w:p>
    <w:p w14:paraId="6D35AC78" w14:textId="6BB36483" w:rsidR="00870112" w:rsidRPr="00461720" w:rsidRDefault="00267090" w:rsidP="005769CF">
      <w:pPr>
        <w:numPr>
          <w:ilvl w:val="0"/>
          <w:numId w:val="39"/>
        </w:numPr>
        <w:rPr>
          <w:lang w:val="en-GB"/>
        </w:rPr>
      </w:pPr>
      <w:hyperlink r:id="rId198" w:history="1">
        <w:r w:rsidR="00870112" w:rsidRPr="00461720">
          <w:rPr>
            <w:rStyle w:val="Hyperlink"/>
            <w:lang w:val="en-GB"/>
          </w:rPr>
          <w:t>Smart Environmen</w:t>
        </w:r>
        <w:r w:rsidR="00870112" w:rsidRPr="0021687B">
          <w:rPr>
            <w:rStyle w:val="Hyperlink"/>
            <w:lang w:val="en-GB"/>
          </w:rPr>
          <w:t xml:space="preserve">t Panel on </w:t>
        </w:r>
        <w:r w:rsidR="005769CF" w:rsidRPr="008A2F29">
          <w:rPr>
            <w:rStyle w:val="Hyperlink"/>
            <w:lang w:val="en-GB"/>
          </w:rPr>
          <w:t>"</w:t>
        </w:r>
        <w:r w:rsidR="00870112" w:rsidRPr="00461720">
          <w:rPr>
            <w:rStyle w:val="Hyperlink"/>
            <w:lang w:val="en-GB"/>
          </w:rPr>
          <w:t>GHG emissions trajectories for the ICT sector</w:t>
        </w:r>
        <w:r w:rsidR="005769CF" w:rsidRPr="008A2F29">
          <w:rPr>
            <w:rStyle w:val="Hyperlink"/>
            <w:lang w:val="en-GB"/>
          </w:rPr>
          <w:t>"</w:t>
        </w:r>
        <w:r w:rsidR="00870112" w:rsidRPr="00461720">
          <w:rPr>
            <w:rStyle w:val="Hyperlink"/>
            <w:lang w:val="en-GB"/>
          </w:rPr>
          <w:t>,</w:t>
        </w:r>
      </w:hyperlink>
      <w:r w:rsidR="00870112" w:rsidRPr="00461720">
        <w:rPr>
          <w:lang w:val="en-GB"/>
        </w:rPr>
        <w:t xml:space="preserve"> 15 May 2019</w:t>
      </w:r>
    </w:p>
    <w:p w14:paraId="09E9744C" w14:textId="5CADD5F4" w:rsidR="00691998" w:rsidRPr="00461720" w:rsidRDefault="00267090" w:rsidP="005769CF">
      <w:pPr>
        <w:numPr>
          <w:ilvl w:val="0"/>
          <w:numId w:val="39"/>
        </w:numPr>
        <w:rPr>
          <w:lang w:val="en-GB"/>
        </w:rPr>
      </w:pPr>
      <w:hyperlink r:id="rId199" w:history="1">
        <w:r w:rsidR="00870112" w:rsidRPr="00461720">
          <w:rPr>
            <w:rStyle w:val="Hyperlink"/>
            <w:lang w:val="en-GB"/>
          </w:rPr>
          <w:t xml:space="preserve">Smart Environment Panel on </w:t>
        </w:r>
        <w:r w:rsidR="005769CF" w:rsidRPr="008A2F29">
          <w:rPr>
            <w:rStyle w:val="Hyperlink"/>
            <w:lang w:val="en-GB"/>
          </w:rPr>
          <w:t>"</w:t>
        </w:r>
        <w:r w:rsidR="00870112" w:rsidRPr="00461720">
          <w:rPr>
            <w:rStyle w:val="Hyperlink"/>
            <w:lang w:val="en-GB"/>
          </w:rPr>
          <w:t>New ITU standards on soft errors that affect telecommunicati</w:t>
        </w:r>
        <w:r w:rsidR="00870112" w:rsidRPr="0021687B">
          <w:rPr>
            <w:rStyle w:val="Hyperlink"/>
            <w:lang w:val="en-GB"/>
          </w:rPr>
          <w:t>ons</w:t>
        </w:r>
      </w:hyperlink>
      <w:r w:rsidR="005769CF" w:rsidRPr="008A2F29">
        <w:rPr>
          <w:rStyle w:val="Hyperlink"/>
          <w:lang w:val="en-GB"/>
        </w:rPr>
        <w:t>"</w:t>
      </w:r>
      <w:r w:rsidR="00870112" w:rsidRPr="00461720">
        <w:rPr>
          <w:lang w:val="en-GB"/>
        </w:rPr>
        <w:t>, 20 May 2019</w:t>
      </w:r>
    </w:p>
    <w:p w14:paraId="13C64CE6" w14:textId="3CA5F6D3" w:rsidR="00AC3FB7" w:rsidRPr="00461720" w:rsidRDefault="00267090" w:rsidP="005769CF">
      <w:pPr>
        <w:numPr>
          <w:ilvl w:val="0"/>
          <w:numId w:val="39"/>
        </w:numPr>
        <w:rPr>
          <w:lang w:val="en-GB"/>
        </w:rPr>
      </w:pPr>
      <w:hyperlink r:id="rId200" w:history="1">
        <w:r w:rsidR="00AC3FB7" w:rsidRPr="00461720">
          <w:rPr>
            <w:rStyle w:val="Hyperlink"/>
            <w:lang w:val="en-GB"/>
          </w:rPr>
          <w:t xml:space="preserve">WSIS Forum: </w:t>
        </w:r>
        <w:r w:rsidR="005769CF" w:rsidRPr="008A2F29">
          <w:rPr>
            <w:rStyle w:val="Hyperlink"/>
            <w:lang w:val="en-GB"/>
          </w:rPr>
          <w:t>"</w:t>
        </w:r>
        <w:r w:rsidR="00AC3FB7" w:rsidRPr="00461720">
          <w:rPr>
            <w:rStyle w:val="Hyperlink"/>
            <w:lang w:val="en-GB"/>
          </w:rPr>
          <w:t>Internet of Things - From idea to reality, making it happen in Africa</w:t>
        </w:r>
      </w:hyperlink>
      <w:r w:rsidR="005769CF" w:rsidRPr="008A2F29">
        <w:rPr>
          <w:rStyle w:val="Hyperlink"/>
          <w:lang w:val="en-GB"/>
        </w:rPr>
        <w:t>"</w:t>
      </w:r>
      <w:r w:rsidR="00010805" w:rsidRPr="00461720">
        <w:rPr>
          <w:lang w:val="en-GB"/>
        </w:rPr>
        <w:t xml:space="preserve">, </w:t>
      </w:r>
      <w:r w:rsidR="00AC3FB7" w:rsidRPr="00461720">
        <w:rPr>
          <w:lang w:val="en-GB"/>
        </w:rPr>
        <w:t>11 April 2019.</w:t>
      </w:r>
    </w:p>
    <w:p w14:paraId="7CAF81C5" w14:textId="66D4E0CD" w:rsidR="00870112" w:rsidRPr="00461720" w:rsidRDefault="00267090" w:rsidP="005769CF">
      <w:pPr>
        <w:numPr>
          <w:ilvl w:val="0"/>
          <w:numId w:val="39"/>
        </w:numPr>
        <w:rPr>
          <w:lang w:val="en-GB"/>
        </w:rPr>
      </w:pPr>
      <w:hyperlink r:id="rId201" w:history="1">
        <w:r w:rsidR="00A5644E" w:rsidRPr="0021687B">
          <w:rPr>
            <w:rStyle w:val="Hyperlink"/>
            <w:lang w:val="en-GB"/>
          </w:rPr>
          <w:t xml:space="preserve">WSIS Thematic </w:t>
        </w:r>
        <w:r w:rsidR="00870112" w:rsidRPr="005C0984">
          <w:rPr>
            <w:rStyle w:val="Hyperlink"/>
            <w:lang w:val="en-GB"/>
          </w:rPr>
          <w:t xml:space="preserve">Workshop on </w:t>
        </w:r>
        <w:r w:rsidR="005769CF" w:rsidRPr="008A2F29">
          <w:rPr>
            <w:rStyle w:val="Hyperlink"/>
            <w:lang w:val="en-GB"/>
          </w:rPr>
          <w:t>"</w:t>
        </w:r>
        <w:r w:rsidR="00870112" w:rsidRPr="00461720">
          <w:rPr>
            <w:rStyle w:val="Hyperlink"/>
            <w:lang w:val="en-GB"/>
          </w:rPr>
          <w:t>Connecting the Circular model of E-waste Management to the Sustainable Development Goals</w:t>
        </w:r>
      </w:hyperlink>
      <w:r w:rsidR="005769CF" w:rsidRPr="008A2F29">
        <w:rPr>
          <w:rStyle w:val="Hyperlink"/>
          <w:lang w:val="en-GB"/>
        </w:rPr>
        <w:t>"</w:t>
      </w:r>
      <w:r w:rsidR="00870112" w:rsidRPr="00461720">
        <w:rPr>
          <w:lang w:val="en-GB"/>
        </w:rPr>
        <w:t>, 11 April 2019</w:t>
      </w:r>
    </w:p>
    <w:p w14:paraId="116E154E" w14:textId="0FC113E2" w:rsidR="00870112" w:rsidRPr="00461720" w:rsidRDefault="00267090" w:rsidP="005769CF">
      <w:pPr>
        <w:numPr>
          <w:ilvl w:val="0"/>
          <w:numId w:val="39"/>
        </w:numPr>
        <w:rPr>
          <w:lang w:val="en-GB"/>
        </w:rPr>
      </w:pPr>
      <w:hyperlink r:id="rId202" w:history="1">
        <w:r w:rsidR="00A5644E" w:rsidRPr="0021687B">
          <w:rPr>
            <w:rStyle w:val="Hyperlink"/>
            <w:lang w:val="en-GB"/>
          </w:rPr>
          <w:t>WSIS</w:t>
        </w:r>
        <w:r w:rsidR="00A5644E" w:rsidRPr="005C0984">
          <w:rPr>
            <w:rStyle w:val="Hyperlink"/>
            <w:lang w:val="en-GB"/>
          </w:rPr>
          <w:t xml:space="preserve"> Thematic </w:t>
        </w:r>
        <w:r w:rsidR="00870112" w:rsidRPr="005C0984">
          <w:rPr>
            <w:rStyle w:val="Hyperlink"/>
            <w:lang w:val="en-GB"/>
          </w:rPr>
          <w:t xml:space="preserve">Workshop on </w:t>
        </w:r>
        <w:r w:rsidR="005769CF" w:rsidRPr="008A2F29">
          <w:rPr>
            <w:rStyle w:val="Hyperlink"/>
            <w:lang w:val="en-GB"/>
          </w:rPr>
          <w:t>"</w:t>
        </w:r>
        <w:r w:rsidR="00870112" w:rsidRPr="00461720">
          <w:rPr>
            <w:rStyle w:val="Hyperlink"/>
            <w:lang w:val="en-GB"/>
          </w:rPr>
          <w:t xml:space="preserve">United for Smart Sustainable Cities: </w:t>
        </w:r>
        <w:proofErr w:type="spellStart"/>
        <w:r w:rsidR="00870112" w:rsidRPr="00461720">
          <w:rPr>
            <w:rStyle w:val="Hyperlink"/>
            <w:lang w:val="en-GB"/>
          </w:rPr>
          <w:t>Blockchain</w:t>
        </w:r>
        <w:proofErr w:type="spellEnd"/>
        <w:r w:rsidR="00870112" w:rsidRPr="00461720">
          <w:rPr>
            <w:rStyle w:val="Hyperlink"/>
            <w:lang w:val="en-GB"/>
          </w:rPr>
          <w:t xml:space="preserve"> for Cities</w:t>
        </w:r>
      </w:hyperlink>
      <w:r w:rsidR="005769CF" w:rsidRPr="008A2F29">
        <w:rPr>
          <w:rStyle w:val="Hyperlink"/>
          <w:lang w:val="en-GB"/>
        </w:rPr>
        <w:t>"</w:t>
      </w:r>
      <w:r w:rsidR="00870112" w:rsidRPr="00461720">
        <w:rPr>
          <w:lang w:val="en-GB"/>
        </w:rPr>
        <w:t>, 11 April 2019</w:t>
      </w:r>
    </w:p>
    <w:p w14:paraId="1827C2A9" w14:textId="73FEB158" w:rsidR="00870112" w:rsidRPr="00461720" w:rsidRDefault="00267090" w:rsidP="005769CF">
      <w:pPr>
        <w:numPr>
          <w:ilvl w:val="0"/>
          <w:numId w:val="39"/>
        </w:numPr>
        <w:rPr>
          <w:lang w:val="en-GB"/>
        </w:rPr>
      </w:pPr>
      <w:hyperlink r:id="rId203" w:history="1">
        <w:r w:rsidR="00A5644E" w:rsidRPr="0021687B">
          <w:rPr>
            <w:rStyle w:val="Hyperlink"/>
            <w:lang w:val="en-GB"/>
          </w:rPr>
          <w:t>WSIS T</w:t>
        </w:r>
        <w:r w:rsidR="00870112" w:rsidRPr="005C0984">
          <w:rPr>
            <w:rStyle w:val="Hyperlink"/>
            <w:lang w:val="en-GB"/>
          </w:rPr>
          <w:t xml:space="preserve">hematic Workshop on </w:t>
        </w:r>
        <w:r w:rsidR="005769CF" w:rsidRPr="008A2F29">
          <w:rPr>
            <w:rStyle w:val="Hyperlink"/>
            <w:lang w:val="en-GB"/>
          </w:rPr>
          <w:t>"</w:t>
        </w:r>
        <w:r w:rsidR="00A5644E" w:rsidRPr="00461720">
          <w:rPr>
            <w:rStyle w:val="Hyperlink"/>
            <w:lang w:val="en-GB"/>
          </w:rPr>
          <w:t>(</w:t>
        </w:r>
        <w:proofErr w:type="spellStart"/>
        <w:r w:rsidR="00870112" w:rsidRPr="0021687B">
          <w:rPr>
            <w:rStyle w:val="Hyperlink"/>
            <w:lang w:val="en-GB"/>
          </w:rPr>
          <w:t>En</w:t>
        </w:r>
        <w:proofErr w:type="spellEnd"/>
        <w:r w:rsidR="00A5644E" w:rsidRPr="005C0984">
          <w:rPr>
            <w:rStyle w:val="Hyperlink"/>
            <w:lang w:val="en-GB"/>
          </w:rPr>
          <w:t>)g</w:t>
        </w:r>
        <w:r w:rsidR="00870112" w:rsidRPr="005C0984">
          <w:rPr>
            <w:rStyle w:val="Hyperlink"/>
            <w:lang w:val="en-GB"/>
          </w:rPr>
          <w:t xml:space="preserve">endering the </w:t>
        </w:r>
        <w:r w:rsidR="00A5644E" w:rsidRPr="005C0984">
          <w:rPr>
            <w:rStyle w:val="Hyperlink"/>
            <w:lang w:val="en-GB"/>
          </w:rPr>
          <w:t>S</w:t>
        </w:r>
        <w:r w:rsidR="00870112" w:rsidRPr="005C0984">
          <w:rPr>
            <w:rStyle w:val="Hyperlink"/>
            <w:lang w:val="en-GB"/>
          </w:rPr>
          <w:t xml:space="preserve">mart </w:t>
        </w:r>
        <w:r w:rsidR="00A5644E" w:rsidRPr="00150C92">
          <w:rPr>
            <w:rStyle w:val="Hyperlink"/>
            <w:lang w:val="en-GB"/>
          </w:rPr>
          <w:t>C</w:t>
        </w:r>
        <w:r w:rsidR="00870112" w:rsidRPr="00150C92">
          <w:rPr>
            <w:rStyle w:val="Hyperlink"/>
            <w:lang w:val="en-GB"/>
          </w:rPr>
          <w:t>ity</w:t>
        </w:r>
      </w:hyperlink>
      <w:r w:rsidR="005769CF" w:rsidRPr="008A2F29">
        <w:rPr>
          <w:rStyle w:val="Hyperlink"/>
          <w:lang w:val="en-GB"/>
        </w:rPr>
        <w:t>"</w:t>
      </w:r>
      <w:r w:rsidR="00870112" w:rsidRPr="00461720">
        <w:rPr>
          <w:lang w:val="en-GB"/>
        </w:rPr>
        <w:t>, 11 April 2019</w:t>
      </w:r>
    </w:p>
    <w:p w14:paraId="0243D50D" w14:textId="186AFF5E" w:rsidR="00657C98" w:rsidRPr="00461720" w:rsidRDefault="00267090" w:rsidP="001C37A8">
      <w:pPr>
        <w:numPr>
          <w:ilvl w:val="0"/>
          <w:numId w:val="39"/>
        </w:numPr>
        <w:rPr>
          <w:lang w:val="en-GB"/>
        </w:rPr>
      </w:pPr>
      <w:hyperlink r:id="rId204" w:history="1">
        <w:r w:rsidR="00657C98" w:rsidRPr="00461720">
          <w:rPr>
            <w:rStyle w:val="Hyperlink"/>
            <w:lang w:val="en-GB"/>
          </w:rPr>
          <w:t xml:space="preserve">ITU Workshop on </w:t>
        </w:r>
        <w:r w:rsidR="00CA2D85" w:rsidRPr="0021687B">
          <w:rPr>
            <w:rStyle w:val="Hyperlink"/>
            <w:lang w:val="en-GB"/>
          </w:rPr>
          <w:t>"</w:t>
        </w:r>
        <w:r w:rsidR="00657C98" w:rsidRPr="005C0984">
          <w:rPr>
            <w:rStyle w:val="Hyperlink"/>
            <w:lang w:val="en-GB"/>
          </w:rPr>
          <w:t>Enhancing Human Life Using e-Services</w:t>
        </w:r>
        <w:r w:rsidR="00CA2D85" w:rsidRPr="005C0984">
          <w:rPr>
            <w:rStyle w:val="Hyperlink"/>
            <w:lang w:val="en-GB"/>
          </w:rPr>
          <w:t>"</w:t>
        </w:r>
      </w:hyperlink>
      <w:r w:rsidR="00657C98" w:rsidRPr="00461720">
        <w:rPr>
          <w:lang w:val="en-GB"/>
        </w:rPr>
        <w:t>, 25 March 2019.</w:t>
      </w:r>
    </w:p>
    <w:p w14:paraId="3C06094D" w14:textId="6D968B63" w:rsidR="00D37044" w:rsidRPr="00461720" w:rsidRDefault="00267090" w:rsidP="001C37A8">
      <w:pPr>
        <w:numPr>
          <w:ilvl w:val="0"/>
          <w:numId w:val="39"/>
        </w:numPr>
        <w:rPr>
          <w:lang w:val="en-GB"/>
        </w:rPr>
      </w:pPr>
      <w:hyperlink r:id="rId205"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Benchmarking of Emerging Technologies and Applications. Internet Related Performance Measurements</w:t>
        </w:r>
        <w:r w:rsidR="00CA2D85" w:rsidRPr="005C0984">
          <w:rPr>
            <w:rStyle w:val="Hyperlink"/>
            <w:lang w:val="en-GB"/>
          </w:rPr>
          <w:t>"</w:t>
        </w:r>
      </w:hyperlink>
      <w:r w:rsidR="00D37044" w:rsidRPr="00461720">
        <w:rPr>
          <w:lang w:val="en-GB"/>
        </w:rPr>
        <w:t>, 11 March 2019.</w:t>
      </w:r>
    </w:p>
    <w:p w14:paraId="4761B370" w14:textId="68CABD86" w:rsidR="00D37044" w:rsidRPr="00461720" w:rsidRDefault="00267090" w:rsidP="001C37A8">
      <w:pPr>
        <w:numPr>
          <w:ilvl w:val="0"/>
          <w:numId w:val="39"/>
        </w:numPr>
        <w:rPr>
          <w:lang w:val="en-GB"/>
        </w:rPr>
      </w:pPr>
      <w:hyperlink r:id="rId206" w:history="1">
        <w:r w:rsidR="0046404B">
          <w:rPr>
            <w:rStyle w:val="Hyperlink"/>
            <w:lang w:val="en-GB"/>
          </w:rPr>
          <w:t>ITU-UNECE Symposium on the F</w:t>
        </w:r>
        <w:r w:rsidR="00D37044" w:rsidRPr="00461720">
          <w:rPr>
            <w:rStyle w:val="Hyperlink"/>
            <w:lang w:val="en-GB"/>
          </w:rPr>
          <w:t>uture Networked Car</w:t>
        </w:r>
      </w:hyperlink>
      <w:r w:rsidR="00D37044" w:rsidRPr="00461720">
        <w:rPr>
          <w:lang w:val="en-GB"/>
        </w:rPr>
        <w:t>, 7 March 2019.</w:t>
      </w:r>
    </w:p>
    <w:p w14:paraId="38A8E6E6" w14:textId="5298612E" w:rsidR="003849B9" w:rsidRPr="00461720" w:rsidRDefault="00267090" w:rsidP="005769CF">
      <w:pPr>
        <w:numPr>
          <w:ilvl w:val="0"/>
          <w:numId w:val="39"/>
        </w:numPr>
        <w:rPr>
          <w:lang w:val="en-GB"/>
        </w:rPr>
      </w:pPr>
      <w:hyperlink r:id="rId207" w:history="1">
        <w:r w:rsidR="003849B9" w:rsidRPr="00461720">
          <w:rPr>
            <w:rStyle w:val="Hyperlink"/>
            <w:lang w:val="en-GB"/>
          </w:rPr>
          <w:t xml:space="preserve">Joint ITU-NGMN Conference </w:t>
        </w:r>
        <w:r w:rsidR="00A5644E" w:rsidRPr="0021687B">
          <w:rPr>
            <w:rStyle w:val="Hyperlink"/>
            <w:lang w:val="en-GB"/>
          </w:rPr>
          <w:t xml:space="preserve">on </w:t>
        </w:r>
        <w:r w:rsidR="005769CF" w:rsidRPr="008A2F29">
          <w:rPr>
            <w:rStyle w:val="Hyperlink"/>
            <w:lang w:val="en-GB"/>
          </w:rPr>
          <w:t>"</w:t>
        </w:r>
        <w:r w:rsidR="003849B9" w:rsidRPr="0021687B">
          <w:rPr>
            <w:rStyle w:val="Hyperlink"/>
            <w:lang w:val="en-GB"/>
          </w:rPr>
          <w:t>Licensing practices in 5G industry segments</w:t>
        </w:r>
      </w:hyperlink>
      <w:r w:rsidR="003849B9" w:rsidRPr="00461720">
        <w:rPr>
          <w:lang w:val="en-GB"/>
        </w:rPr>
        <w:t>, 29-30 January 2019.</w:t>
      </w:r>
    </w:p>
    <w:p w14:paraId="4A26E6C1" w14:textId="15A48DAB" w:rsidR="00E37E02" w:rsidRPr="00461720" w:rsidRDefault="00267090" w:rsidP="005769CF">
      <w:pPr>
        <w:numPr>
          <w:ilvl w:val="0"/>
          <w:numId w:val="39"/>
        </w:numPr>
        <w:rPr>
          <w:lang w:val="en-GB"/>
        </w:rPr>
      </w:pPr>
      <w:hyperlink r:id="rId208" w:history="1">
        <w:r w:rsidR="00E37E02" w:rsidRPr="00461720">
          <w:rPr>
            <w:rStyle w:val="Hyperlink"/>
            <w:lang w:val="en-GB"/>
          </w:rPr>
          <w:t>ITU Wo</w:t>
        </w:r>
        <w:r w:rsidR="00E37E02" w:rsidRPr="0021687B">
          <w:rPr>
            <w:rStyle w:val="Hyperlink"/>
            <w:lang w:val="en-GB"/>
          </w:rPr>
          <w:t xml:space="preserve">rkshop on </w:t>
        </w:r>
        <w:r w:rsidR="005769CF" w:rsidRPr="008A2F29">
          <w:rPr>
            <w:rStyle w:val="Hyperlink"/>
            <w:lang w:val="en-GB"/>
          </w:rPr>
          <w:t>"</w:t>
        </w:r>
        <w:r w:rsidR="00E37E02" w:rsidRPr="00461720">
          <w:rPr>
            <w:rStyle w:val="Hyperlink"/>
            <w:lang w:val="en-GB"/>
          </w:rPr>
          <w:t>Artificial Intelligence, Machine Learning and Security</w:t>
        </w:r>
      </w:hyperlink>
      <w:r w:rsidR="005769CF" w:rsidRPr="008A2F29">
        <w:rPr>
          <w:rStyle w:val="Hyperlink"/>
          <w:lang w:val="en-GB"/>
        </w:rPr>
        <w:t>"</w:t>
      </w:r>
      <w:r w:rsidR="00E37E02" w:rsidRPr="00461720">
        <w:rPr>
          <w:lang w:val="en-GB"/>
        </w:rPr>
        <w:t>, 21 January 2019.</w:t>
      </w:r>
    </w:p>
    <w:p w14:paraId="20F9FC1C" w14:textId="464396C0" w:rsidR="009F6192" w:rsidRPr="00461720" w:rsidRDefault="00267090" w:rsidP="005769CF">
      <w:pPr>
        <w:numPr>
          <w:ilvl w:val="0"/>
          <w:numId w:val="39"/>
        </w:numPr>
        <w:rPr>
          <w:lang w:val="en-GB"/>
        </w:rPr>
      </w:pPr>
      <w:hyperlink r:id="rId209" w:history="1">
        <w:r w:rsidR="009F6192" w:rsidRPr="00461720">
          <w:rPr>
            <w:rStyle w:val="Hyperlink"/>
            <w:lang w:val="en-GB"/>
          </w:rPr>
          <w:t xml:space="preserve">ITU Workshop on </w:t>
        </w:r>
        <w:r w:rsidR="005769CF" w:rsidRPr="008A2F29">
          <w:rPr>
            <w:rStyle w:val="Hyperlink"/>
            <w:lang w:val="en-GB"/>
          </w:rPr>
          <w:t>"</w:t>
        </w:r>
        <w:r w:rsidR="009F6192" w:rsidRPr="00461720">
          <w:rPr>
            <w:rStyle w:val="Hyperlink"/>
            <w:lang w:val="en-GB"/>
          </w:rPr>
          <w:t xml:space="preserve">Telecommunication Service Quality Regulatory Frameworks </w:t>
        </w:r>
        <w:r w:rsidR="009F6192" w:rsidRPr="0021687B">
          <w:rPr>
            <w:rStyle w:val="Hyperlink"/>
            <w:lang w:val="en-GB"/>
          </w:rPr>
          <w:t>and Experience-Driven Networking</w:t>
        </w:r>
      </w:hyperlink>
      <w:r w:rsidR="005769CF" w:rsidRPr="008A2F29">
        <w:rPr>
          <w:rStyle w:val="Hyperlink"/>
          <w:lang w:val="en-GB"/>
        </w:rPr>
        <w:t>"</w:t>
      </w:r>
      <w:r w:rsidR="009F6192" w:rsidRPr="00461720">
        <w:rPr>
          <w:lang w:val="en-GB"/>
        </w:rPr>
        <w:t>, 26 November 2018.</w:t>
      </w:r>
    </w:p>
    <w:p w14:paraId="3F3A7E43" w14:textId="7C6390F5" w:rsidR="006944F8" w:rsidRPr="005C0984" w:rsidRDefault="00A47CEC" w:rsidP="006944F8">
      <w:pPr>
        <w:rPr>
          <w:b/>
          <w:bCs/>
          <w:szCs w:val="24"/>
          <w:lang w:val="en-GB"/>
        </w:rPr>
      </w:pPr>
      <w:r w:rsidRPr="005C0984">
        <w:rPr>
          <w:b/>
          <w:bCs/>
          <w:szCs w:val="24"/>
          <w:lang w:val="en-GB"/>
        </w:rPr>
        <w:t xml:space="preserve">Rest of </w:t>
      </w:r>
      <w:r w:rsidR="006944F8" w:rsidRPr="005C0984">
        <w:rPr>
          <w:b/>
          <w:bCs/>
          <w:szCs w:val="24"/>
          <w:lang w:val="en-GB"/>
        </w:rPr>
        <w:t>Europe</w:t>
      </w:r>
      <w:r w:rsidRPr="005C0984">
        <w:rPr>
          <w:b/>
          <w:bCs/>
          <w:szCs w:val="24"/>
          <w:lang w:val="en-GB"/>
        </w:rPr>
        <w:t xml:space="preserve"> (see above for Geneva)</w:t>
      </w:r>
      <w:r w:rsidR="006944F8" w:rsidRPr="005C0984">
        <w:rPr>
          <w:b/>
          <w:bCs/>
          <w:szCs w:val="24"/>
          <w:lang w:val="en-GB"/>
        </w:rPr>
        <w:t>:</w:t>
      </w:r>
    </w:p>
    <w:p w14:paraId="2BFE3FF9" w14:textId="3AD4F362" w:rsidR="00AC3FB7" w:rsidRPr="0021687B" w:rsidRDefault="00267090" w:rsidP="005769CF">
      <w:pPr>
        <w:numPr>
          <w:ilvl w:val="0"/>
          <w:numId w:val="40"/>
        </w:numPr>
        <w:rPr>
          <w:lang w:val="en-GB"/>
        </w:rPr>
      </w:pPr>
      <w:hyperlink r:id="rId210" w:history="1">
        <w:r w:rsidR="00A5644E" w:rsidRPr="00461720">
          <w:rPr>
            <w:rStyle w:val="Hyperlink"/>
            <w:lang w:val="en-GB"/>
          </w:rPr>
          <w:t>ITU</w:t>
        </w:r>
        <w:r w:rsidR="00AC3FB7" w:rsidRPr="005C0984">
          <w:rPr>
            <w:rStyle w:val="Hyperlink"/>
            <w:lang w:val="en-GB"/>
          </w:rPr>
          <w:t xml:space="preserve"> Workshop on </w:t>
        </w:r>
        <w:r w:rsidR="005769CF" w:rsidRPr="008A2F29">
          <w:rPr>
            <w:rStyle w:val="Hyperlink"/>
            <w:lang w:val="en-GB"/>
          </w:rPr>
          <w:t>"</w:t>
        </w:r>
        <w:r w:rsidR="00AC3FB7" w:rsidRPr="00461720">
          <w:rPr>
            <w:rStyle w:val="Hyperlink"/>
            <w:lang w:val="en-GB"/>
          </w:rPr>
          <w:t>Distributed Ledger Technology</w:t>
        </w:r>
      </w:hyperlink>
      <w:r w:rsidR="005769CF" w:rsidRPr="008A2F29">
        <w:rPr>
          <w:rStyle w:val="Hyperlink"/>
          <w:lang w:val="en-GB"/>
        </w:rPr>
        <w:t>"</w:t>
      </w:r>
      <w:r w:rsidR="00AC3FB7" w:rsidRPr="00461720">
        <w:rPr>
          <w:lang w:val="en-GB"/>
        </w:rPr>
        <w:t>, Madrid, Spain,</w:t>
      </w:r>
      <w:r w:rsidR="00A5644E" w:rsidRPr="00461720">
        <w:rPr>
          <w:lang w:val="en-GB"/>
        </w:rPr>
        <w:t xml:space="preserve"> </w:t>
      </w:r>
      <w:r w:rsidR="00AC3FB7" w:rsidRPr="0021687B">
        <w:rPr>
          <w:lang w:val="en-GB"/>
        </w:rPr>
        <w:t>1 April 2019.</w:t>
      </w:r>
    </w:p>
    <w:p w14:paraId="438D06F3" w14:textId="1689CFFE" w:rsidR="00D37044" w:rsidRPr="00461720" w:rsidRDefault="00267090" w:rsidP="005769CF">
      <w:pPr>
        <w:numPr>
          <w:ilvl w:val="0"/>
          <w:numId w:val="40"/>
        </w:numPr>
        <w:rPr>
          <w:lang w:val="en-GB"/>
        </w:rPr>
      </w:pPr>
      <w:hyperlink r:id="rId211" w:history="1">
        <w:r w:rsidR="00D37044" w:rsidRPr="0021687B">
          <w:rPr>
            <w:rStyle w:val="Hyperlink"/>
            <w:lang w:val="en-GB"/>
          </w:rPr>
          <w:t xml:space="preserve">ITU Workshop on </w:t>
        </w:r>
        <w:r w:rsidR="005769CF" w:rsidRPr="008A2F29">
          <w:rPr>
            <w:rStyle w:val="Hyperlink"/>
            <w:lang w:val="en-GB"/>
          </w:rPr>
          <w:t>"</w:t>
        </w:r>
        <w:r w:rsidR="00D37044" w:rsidRPr="00461720">
          <w:rPr>
            <w:rStyle w:val="Hyperlink"/>
            <w:lang w:val="en-GB"/>
          </w:rPr>
          <w:t>Network 2030</w:t>
        </w:r>
      </w:hyperlink>
      <w:r w:rsidR="005769CF" w:rsidRPr="008A2F29">
        <w:rPr>
          <w:rStyle w:val="Hyperlink"/>
          <w:lang w:val="en-GB"/>
        </w:rPr>
        <w:t>"</w:t>
      </w:r>
      <w:r w:rsidR="00D37044" w:rsidRPr="00461720">
        <w:rPr>
          <w:lang w:val="en-GB"/>
        </w:rPr>
        <w:t>, London, United Kingdom, 18 February 2019.</w:t>
      </w:r>
    </w:p>
    <w:p w14:paraId="4E8776B5" w14:textId="3FFD1180" w:rsidR="009F6192" w:rsidRPr="00461720" w:rsidRDefault="00267090" w:rsidP="001C37A8">
      <w:pPr>
        <w:numPr>
          <w:ilvl w:val="0"/>
          <w:numId w:val="40"/>
        </w:numPr>
        <w:rPr>
          <w:lang w:val="en-GB"/>
        </w:rPr>
      </w:pPr>
      <w:hyperlink r:id="rId212" w:history="1">
        <w:r w:rsidR="00E37E02" w:rsidRPr="0021687B">
          <w:rPr>
            <w:rStyle w:val="Hyperlink"/>
            <w:lang w:val="en-GB"/>
          </w:rPr>
          <w:t xml:space="preserve">ITU/WHO Workshop on </w:t>
        </w:r>
        <w:r w:rsidR="00CA2D85" w:rsidRPr="005C0984">
          <w:rPr>
            <w:rStyle w:val="Hyperlink"/>
            <w:lang w:val="en-GB"/>
          </w:rPr>
          <w:t>"</w:t>
        </w:r>
        <w:r w:rsidR="00E37E02" w:rsidRPr="005C0984">
          <w:rPr>
            <w:rStyle w:val="Hyperlink"/>
            <w:lang w:val="en-GB"/>
          </w:rPr>
          <w:t>Artificial Intelligence for Health</w:t>
        </w:r>
        <w:r w:rsidR="00CA2D85" w:rsidRPr="005C0984">
          <w:rPr>
            <w:rStyle w:val="Hyperlink"/>
            <w:lang w:val="en-GB"/>
          </w:rPr>
          <w:t>"</w:t>
        </w:r>
      </w:hyperlink>
      <w:r w:rsidR="00E37E02" w:rsidRPr="00461720">
        <w:rPr>
          <w:lang w:val="en-GB"/>
        </w:rPr>
        <w:t>, Lausanne, Switzerland, 22 January 2019.</w:t>
      </w:r>
    </w:p>
    <w:p w14:paraId="5C62ED0D" w14:textId="3AAFFB72" w:rsidR="006944F8" w:rsidRPr="00461720" w:rsidRDefault="00267090" w:rsidP="001C37A8">
      <w:pPr>
        <w:numPr>
          <w:ilvl w:val="0"/>
          <w:numId w:val="40"/>
        </w:numPr>
        <w:rPr>
          <w:lang w:val="en-GB"/>
        </w:rPr>
      </w:pPr>
      <w:hyperlink r:id="rId213" w:history="1">
        <w:r w:rsidR="009F6192" w:rsidRPr="00461720">
          <w:rPr>
            <w:rStyle w:val="Hyperlink"/>
            <w:lang w:val="en-GB"/>
          </w:rPr>
          <w:t xml:space="preserve">ITU Forum </w:t>
        </w:r>
        <w:r w:rsidR="00CA2D85" w:rsidRPr="0021687B">
          <w:rPr>
            <w:rStyle w:val="Hyperlink"/>
            <w:lang w:val="en-GB"/>
          </w:rPr>
          <w:t>"</w:t>
        </w:r>
        <w:r w:rsidR="009F6192" w:rsidRPr="005C0984">
          <w:rPr>
            <w:rStyle w:val="Hyperlink"/>
            <w:lang w:val="en-GB"/>
          </w:rPr>
          <w:t>Towards 5G Enabled Gigabit Society</w:t>
        </w:r>
        <w:r w:rsidR="00CA2D85" w:rsidRPr="005C0984">
          <w:rPr>
            <w:rStyle w:val="Hyperlink"/>
            <w:lang w:val="en-GB"/>
          </w:rPr>
          <w:t>"</w:t>
        </w:r>
      </w:hyperlink>
      <w:r w:rsidR="009F6192" w:rsidRPr="00461720">
        <w:rPr>
          <w:lang w:val="en-GB"/>
        </w:rPr>
        <w:t>, Athens, Greece, 11-12 October 2018</w:t>
      </w:r>
      <w:r w:rsidR="006944F8" w:rsidRPr="00461720">
        <w:rPr>
          <w:lang w:val="en-GB"/>
        </w:rPr>
        <w:t>.</w:t>
      </w:r>
    </w:p>
    <w:p w14:paraId="5A2CE69C" w14:textId="77777777" w:rsidR="006944F8" w:rsidRPr="0021687B" w:rsidRDefault="006944F8" w:rsidP="006944F8">
      <w:pPr>
        <w:rPr>
          <w:b/>
          <w:bCs/>
          <w:szCs w:val="24"/>
          <w:lang w:val="en-GB"/>
        </w:rPr>
      </w:pPr>
      <w:r w:rsidRPr="0021687B">
        <w:rPr>
          <w:b/>
          <w:bCs/>
          <w:szCs w:val="24"/>
          <w:lang w:val="en-GB"/>
        </w:rPr>
        <w:t>Africa:</w:t>
      </w:r>
    </w:p>
    <w:p w14:paraId="67A4A46E" w14:textId="675C9516" w:rsidR="0085295A" w:rsidRPr="008A2F29" w:rsidRDefault="00267090" w:rsidP="001C37A8">
      <w:pPr>
        <w:numPr>
          <w:ilvl w:val="0"/>
          <w:numId w:val="41"/>
        </w:numPr>
        <w:rPr>
          <w:lang w:val="en-GB"/>
        </w:rPr>
      </w:pPr>
      <w:hyperlink r:id="rId214" w:history="1">
        <w:r w:rsidR="0085295A" w:rsidRPr="0085295A">
          <w:rPr>
            <w:rStyle w:val="Hyperlink"/>
          </w:rPr>
          <w:t>ITU Digital African Week</w:t>
        </w:r>
      </w:hyperlink>
      <w:r w:rsidR="0085295A">
        <w:t>, Abuja, Nigeria, 27-30 August 2019.</w:t>
      </w:r>
    </w:p>
    <w:p w14:paraId="6573D71A" w14:textId="3A54F0BF" w:rsidR="00D37044" w:rsidRPr="00461720" w:rsidRDefault="00267090" w:rsidP="001C37A8">
      <w:pPr>
        <w:numPr>
          <w:ilvl w:val="0"/>
          <w:numId w:val="41"/>
        </w:numPr>
        <w:rPr>
          <w:lang w:val="en-GB"/>
        </w:rPr>
      </w:pPr>
      <w:hyperlink r:id="rId215"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Network Performance, Quality of Service and Quality of Experience</w:t>
        </w:r>
        <w:r w:rsidR="00CA2D85" w:rsidRPr="005C0984">
          <w:rPr>
            <w:rStyle w:val="Hyperlink"/>
            <w:lang w:val="en-GB"/>
          </w:rPr>
          <w:t>"</w:t>
        </w:r>
      </w:hyperlink>
      <w:r w:rsidR="00D37044" w:rsidRPr="00461720">
        <w:rPr>
          <w:lang w:val="en-GB"/>
        </w:rPr>
        <w:t>, Kigali, Rwanda, 4-5 March 2019.</w:t>
      </w:r>
    </w:p>
    <w:p w14:paraId="6D8D1AA4" w14:textId="027306FA" w:rsidR="006944F8" w:rsidRPr="00461720" w:rsidRDefault="00267090" w:rsidP="005769CF">
      <w:pPr>
        <w:numPr>
          <w:ilvl w:val="0"/>
          <w:numId w:val="41"/>
        </w:numPr>
        <w:rPr>
          <w:lang w:val="en-GB"/>
        </w:rPr>
      </w:pPr>
      <w:hyperlink r:id="rId216" w:history="1">
        <w:r w:rsidR="00F625F3" w:rsidRPr="00461720">
          <w:rPr>
            <w:rStyle w:val="Hyperlink"/>
            <w:lang w:val="en-GB"/>
          </w:rPr>
          <w:t xml:space="preserve">ITU Regional Standardization Forum </w:t>
        </w:r>
        <w:proofErr w:type="gramStart"/>
        <w:r w:rsidR="00F625F3" w:rsidRPr="00461720">
          <w:rPr>
            <w:rStyle w:val="Hyperlink"/>
            <w:lang w:val="en-GB"/>
          </w:rPr>
          <w:t xml:space="preserve">on </w:t>
        </w:r>
        <w:r w:rsidR="005769CF" w:rsidRPr="008A2F29">
          <w:rPr>
            <w:rStyle w:val="Hyperlink"/>
            <w:lang w:val="en-GB"/>
          </w:rPr>
          <w:t xml:space="preserve"> "</w:t>
        </w:r>
        <w:proofErr w:type="gramEnd"/>
        <w:r w:rsidR="00F625F3" w:rsidRPr="00461720">
          <w:rPr>
            <w:rStyle w:val="Hyperlink"/>
            <w:lang w:val="en-GB"/>
          </w:rPr>
          <w:t>Emerging Economic, Regulator</w:t>
        </w:r>
        <w:r w:rsidR="00F625F3" w:rsidRPr="0021687B">
          <w:rPr>
            <w:rStyle w:val="Hyperlink"/>
            <w:lang w:val="en-GB"/>
          </w:rPr>
          <w:t>y and Policy Trends for an Inclusive, Sustainable and Trustworthy Digital World</w:t>
        </w:r>
      </w:hyperlink>
      <w:r w:rsidR="005769CF" w:rsidRPr="008A2F29">
        <w:rPr>
          <w:rStyle w:val="Hyperlink"/>
          <w:lang w:val="en-GB"/>
        </w:rPr>
        <w:t>"</w:t>
      </w:r>
      <w:r w:rsidR="00F625F3" w:rsidRPr="00461720">
        <w:rPr>
          <w:lang w:val="en-GB"/>
        </w:rPr>
        <w:t>, Antananarivo, Madagascar, 18 February 2019</w:t>
      </w:r>
      <w:r w:rsidR="006944F8" w:rsidRPr="00461720">
        <w:rPr>
          <w:lang w:val="en-GB"/>
        </w:rPr>
        <w:t>.</w:t>
      </w:r>
    </w:p>
    <w:p w14:paraId="594400FC" w14:textId="6A00BAC5" w:rsidR="006944F8" w:rsidRPr="005C0984" w:rsidRDefault="006944F8" w:rsidP="006944F8">
      <w:pPr>
        <w:rPr>
          <w:b/>
          <w:bCs/>
          <w:szCs w:val="24"/>
          <w:lang w:val="en-GB"/>
        </w:rPr>
      </w:pPr>
      <w:r w:rsidRPr="0021687B">
        <w:rPr>
          <w:b/>
          <w:bCs/>
          <w:szCs w:val="24"/>
          <w:lang w:val="en-GB"/>
        </w:rPr>
        <w:t xml:space="preserve">Asia and </w:t>
      </w:r>
      <w:r w:rsidR="00403A2F" w:rsidRPr="005C0984">
        <w:rPr>
          <w:b/>
          <w:bCs/>
          <w:szCs w:val="24"/>
          <w:lang w:val="en-GB"/>
        </w:rPr>
        <w:t xml:space="preserve">the </w:t>
      </w:r>
      <w:r w:rsidRPr="005C0984">
        <w:rPr>
          <w:b/>
          <w:bCs/>
          <w:szCs w:val="24"/>
          <w:lang w:val="en-GB"/>
        </w:rPr>
        <w:t>Pacific:</w:t>
      </w:r>
    </w:p>
    <w:p w14:paraId="38CD7D58" w14:textId="77777777" w:rsidR="0085295A" w:rsidRDefault="00267090" w:rsidP="0085295A">
      <w:pPr>
        <w:numPr>
          <w:ilvl w:val="0"/>
          <w:numId w:val="42"/>
        </w:numPr>
        <w:rPr>
          <w:lang w:val="en-GB"/>
        </w:rPr>
      </w:pPr>
      <w:hyperlink r:id="rId217" w:history="1">
        <w:r w:rsidR="0085295A" w:rsidRPr="005C0984">
          <w:rPr>
            <w:rStyle w:val="Hyperlink"/>
            <w:lang w:val="en-GB"/>
          </w:rPr>
          <w:t>ITU Workshop on ''</w:t>
        </w:r>
        <w:r w:rsidR="0085295A" w:rsidRPr="0085295A">
          <w:rPr>
            <w:rStyle w:val="Hyperlink"/>
            <w:lang w:val="en-GB"/>
          </w:rPr>
          <w:t>Telecommunication Service Quality as Enabler of the Digital Economy</w:t>
        </w:r>
        <w:r w:rsidR="0085295A" w:rsidRPr="005C0984">
          <w:rPr>
            <w:rStyle w:val="Hyperlink"/>
            <w:lang w:val="en-GB"/>
          </w:rPr>
          <w:t>"</w:t>
        </w:r>
      </w:hyperlink>
      <w:r w:rsidR="0085295A" w:rsidRPr="00461720">
        <w:rPr>
          <w:lang w:val="en-GB"/>
        </w:rPr>
        <w:t xml:space="preserve">, </w:t>
      </w:r>
      <w:r w:rsidR="0085295A">
        <w:rPr>
          <w:lang w:val="en-GB"/>
        </w:rPr>
        <w:t>Singapore, 19-21 August</w:t>
      </w:r>
      <w:r w:rsidR="0085295A" w:rsidRPr="00461720">
        <w:rPr>
          <w:lang w:val="en-GB"/>
        </w:rPr>
        <w:t xml:space="preserve"> 2019.</w:t>
      </w:r>
    </w:p>
    <w:p w14:paraId="0D03B841" w14:textId="043D9164" w:rsidR="00F01177" w:rsidRPr="00461720" w:rsidRDefault="00267090" w:rsidP="001C37A8">
      <w:pPr>
        <w:numPr>
          <w:ilvl w:val="0"/>
          <w:numId w:val="42"/>
        </w:numPr>
        <w:rPr>
          <w:lang w:val="en-GB"/>
        </w:rPr>
      </w:pPr>
      <w:hyperlink r:id="rId218" w:history="1">
        <w:r w:rsidR="00F01177" w:rsidRPr="00461720">
          <w:rPr>
            <w:rStyle w:val="Hyperlink"/>
            <w:lang w:val="en-GB"/>
          </w:rPr>
          <w:t>TSB Director</w:t>
        </w:r>
        <w:r w:rsidR="00CA2D85" w:rsidRPr="0021687B">
          <w:rPr>
            <w:rStyle w:val="Hyperlink"/>
            <w:lang w:val="en-GB"/>
          </w:rPr>
          <w:t>'</w:t>
        </w:r>
        <w:r w:rsidR="00F01177" w:rsidRPr="005C0984">
          <w:rPr>
            <w:rStyle w:val="Hyperlink"/>
            <w:lang w:val="en-GB"/>
          </w:rPr>
          <w:t>s CJK CTO Consultation Meeting</w:t>
        </w:r>
      </w:hyperlink>
      <w:r w:rsidR="00F01177" w:rsidRPr="00461720">
        <w:rPr>
          <w:lang w:val="en-GB"/>
        </w:rPr>
        <w:t>, 16 July 2019, Tokyo, Japan.</w:t>
      </w:r>
    </w:p>
    <w:p w14:paraId="36E64AC7" w14:textId="48CA15E5" w:rsidR="00A54E94" w:rsidRPr="0021687B" w:rsidRDefault="00267090" w:rsidP="001C37A8">
      <w:pPr>
        <w:numPr>
          <w:ilvl w:val="0"/>
          <w:numId w:val="42"/>
        </w:numPr>
        <w:rPr>
          <w:lang w:val="en-GB"/>
        </w:rPr>
      </w:pPr>
      <w:hyperlink r:id="rId219"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Quantum Information Technology (QIT) for Networks</w:t>
        </w:r>
        <w:r w:rsidR="00CA2D85" w:rsidRPr="005C0984">
          <w:rPr>
            <w:rStyle w:val="Hyperlink"/>
            <w:lang w:val="en-GB"/>
          </w:rPr>
          <w:t>"</w:t>
        </w:r>
      </w:hyperlink>
      <w:r w:rsidR="00A54E94" w:rsidRPr="00461720">
        <w:rPr>
          <w:lang w:val="en-GB"/>
        </w:rPr>
        <w:t>, Shanghai, China, 5-7</w:t>
      </w:r>
      <w:r w:rsidR="00A260FA" w:rsidRPr="00461720">
        <w:rPr>
          <w:lang w:val="en-GB"/>
        </w:rPr>
        <w:t xml:space="preserve"> </w:t>
      </w:r>
      <w:r w:rsidR="00A54E94" w:rsidRPr="0021687B">
        <w:rPr>
          <w:lang w:val="en-GB"/>
        </w:rPr>
        <w:t>June 2019.</w:t>
      </w:r>
    </w:p>
    <w:p w14:paraId="107E97CE" w14:textId="770FB496" w:rsidR="00AC3FB7" w:rsidRPr="00461720" w:rsidRDefault="00267090" w:rsidP="005769CF">
      <w:pPr>
        <w:numPr>
          <w:ilvl w:val="0"/>
          <w:numId w:val="42"/>
        </w:numPr>
        <w:rPr>
          <w:lang w:val="en-GB"/>
        </w:rPr>
      </w:pPr>
      <w:hyperlink r:id="rId220" w:history="1">
        <w:r w:rsidR="005769CF" w:rsidRPr="008A2F29">
          <w:rPr>
            <w:rStyle w:val="Hyperlink"/>
            <w:lang w:val="en-GB"/>
          </w:rPr>
          <w:t xml:space="preserve">ITU </w:t>
        </w:r>
        <w:r w:rsidR="00AC3FB7" w:rsidRPr="00461720">
          <w:rPr>
            <w:rStyle w:val="Hyperlink"/>
            <w:lang w:val="en-GB"/>
          </w:rPr>
          <w:t xml:space="preserve">Workshop </w:t>
        </w:r>
        <w:r w:rsidR="005769CF" w:rsidRPr="008A2F29">
          <w:rPr>
            <w:rStyle w:val="Hyperlink"/>
            <w:lang w:val="en-GB"/>
          </w:rPr>
          <w:t>on "</w:t>
        </w:r>
        <w:r w:rsidR="00AC3FB7" w:rsidRPr="0021687B">
          <w:rPr>
            <w:rStyle w:val="Hyperlink"/>
            <w:lang w:val="en-GB"/>
          </w:rPr>
          <w:t>Future Integrated Broadband Cable Networks</w:t>
        </w:r>
      </w:hyperlink>
      <w:r w:rsidR="005769CF" w:rsidRPr="008A2F29">
        <w:rPr>
          <w:rStyle w:val="Hyperlink"/>
          <w:lang w:val="en-GB"/>
        </w:rPr>
        <w:t>"</w:t>
      </w:r>
      <w:r w:rsidR="00AC3FB7" w:rsidRPr="00461720">
        <w:rPr>
          <w:lang w:val="en-GB"/>
        </w:rPr>
        <w:t>, Wuhan, China, 14 April 2019.</w:t>
      </w:r>
    </w:p>
    <w:p w14:paraId="3D5B92B5" w14:textId="308FE5BD" w:rsidR="00AC3FB7" w:rsidRPr="00461720" w:rsidRDefault="00267090" w:rsidP="001C37A8">
      <w:pPr>
        <w:numPr>
          <w:ilvl w:val="0"/>
          <w:numId w:val="42"/>
        </w:numPr>
        <w:rPr>
          <w:lang w:val="en-GB"/>
        </w:rPr>
      </w:pPr>
      <w:hyperlink r:id="rId221" w:history="1">
        <w:r w:rsidR="00AC3FB7" w:rsidRPr="0021687B">
          <w:rPr>
            <w:rStyle w:val="Hyperlink"/>
            <w:lang w:val="en-GB"/>
          </w:rPr>
          <w:t xml:space="preserve">ITU/WHO Workshop on </w:t>
        </w:r>
        <w:r w:rsidR="00CA2D85" w:rsidRPr="005C0984">
          <w:rPr>
            <w:rStyle w:val="Hyperlink"/>
            <w:lang w:val="en-GB"/>
          </w:rPr>
          <w:t>"</w:t>
        </w:r>
        <w:r w:rsidR="00AC3FB7" w:rsidRPr="005C0984">
          <w:rPr>
            <w:rStyle w:val="Hyperlink"/>
            <w:lang w:val="en-GB"/>
          </w:rPr>
          <w:t>Artificial Intelligence for Health</w:t>
        </w:r>
        <w:r w:rsidR="00CA2D85" w:rsidRPr="005C0984">
          <w:rPr>
            <w:rStyle w:val="Hyperlink"/>
            <w:lang w:val="en-GB"/>
          </w:rPr>
          <w:t>"</w:t>
        </w:r>
      </w:hyperlink>
      <w:r w:rsidR="00AC3FB7" w:rsidRPr="00461720">
        <w:rPr>
          <w:lang w:val="en-GB"/>
        </w:rPr>
        <w:t>, Shanghai, China, 1 April 2019.</w:t>
      </w:r>
    </w:p>
    <w:p w14:paraId="0F6BB856" w14:textId="4C4D65F7" w:rsidR="00D37044" w:rsidRPr="00461720" w:rsidRDefault="00267090" w:rsidP="001C37A8">
      <w:pPr>
        <w:numPr>
          <w:ilvl w:val="0"/>
          <w:numId w:val="42"/>
        </w:numPr>
        <w:rPr>
          <w:lang w:val="en-GB"/>
        </w:rPr>
      </w:pPr>
      <w:hyperlink r:id="rId222"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Towards a New Era - AI in 5G</w:t>
        </w:r>
        <w:r w:rsidR="00CA2D85" w:rsidRPr="005C0984">
          <w:rPr>
            <w:rStyle w:val="Hyperlink"/>
            <w:lang w:val="en-GB"/>
          </w:rPr>
          <w:t>"</w:t>
        </w:r>
      </w:hyperlink>
      <w:r w:rsidR="00D37044" w:rsidRPr="00461720">
        <w:rPr>
          <w:lang w:val="en-GB"/>
        </w:rPr>
        <w:t>, Shenzhen, China, 6 March 2019.</w:t>
      </w:r>
    </w:p>
    <w:p w14:paraId="37AB99D5" w14:textId="0EA316F2" w:rsidR="00E37E02" w:rsidRPr="0021687B" w:rsidRDefault="00267090" w:rsidP="001C37A8">
      <w:pPr>
        <w:numPr>
          <w:ilvl w:val="0"/>
          <w:numId w:val="42"/>
        </w:numPr>
        <w:rPr>
          <w:lang w:val="en-GB"/>
        </w:rPr>
      </w:pPr>
      <w:hyperlink r:id="rId223" w:history="1">
        <w:r w:rsidR="00E37E02" w:rsidRPr="00461720">
          <w:rPr>
            <w:rStyle w:val="Hyperlink"/>
            <w:lang w:val="en-GB"/>
          </w:rPr>
          <w:t xml:space="preserve">ITU Workshop on </w:t>
        </w:r>
        <w:r w:rsidR="00CA2D85" w:rsidRPr="0021687B">
          <w:rPr>
            <w:rStyle w:val="Hyperlink"/>
            <w:lang w:val="en-GB"/>
          </w:rPr>
          <w:t>"</w:t>
        </w:r>
        <w:r w:rsidR="00E37E02" w:rsidRPr="005C0984">
          <w:rPr>
            <w:rStyle w:val="Hyperlink"/>
            <w:lang w:val="en-GB"/>
          </w:rPr>
          <w:t>The Future of Vehicular Multimedia</w:t>
        </w:r>
        <w:r w:rsidR="00CA2D85" w:rsidRPr="005C0984">
          <w:rPr>
            <w:rStyle w:val="Hyperlink"/>
            <w:lang w:val="en-GB"/>
          </w:rPr>
          <w:t>"</w:t>
        </w:r>
      </w:hyperlink>
      <w:r w:rsidR="00E37E02" w:rsidRPr="00461720">
        <w:rPr>
          <w:lang w:val="en-GB"/>
        </w:rPr>
        <w:t xml:space="preserve">, </w:t>
      </w:r>
      <w:r w:rsidR="00D37044" w:rsidRPr="00461720">
        <w:rPr>
          <w:lang w:val="en-GB"/>
        </w:rPr>
        <w:t xml:space="preserve">Tokyo, Japan, </w:t>
      </w:r>
      <w:r w:rsidR="00E37E02" w:rsidRPr="0021687B">
        <w:rPr>
          <w:lang w:val="en-GB"/>
        </w:rPr>
        <w:t>23 January 2019.</w:t>
      </w:r>
    </w:p>
    <w:p w14:paraId="4405F045" w14:textId="4CDF9239" w:rsidR="00E37E02" w:rsidRPr="0021687B" w:rsidRDefault="00267090" w:rsidP="00ED445F">
      <w:pPr>
        <w:numPr>
          <w:ilvl w:val="0"/>
          <w:numId w:val="42"/>
        </w:numPr>
        <w:rPr>
          <w:lang w:val="en-GB"/>
        </w:rPr>
      </w:pPr>
      <w:hyperlink r:id="rId224" w:history="1">
        <w:r w:rsidR="00E37E02" w:rsidRPr="0021687B">
          <w:rPr>
            <w:rStyle w:val="Hyperlink"/>
            <w:lang w:val="en-GB"/>
          </w:rPr>
          <w:t xml:space="preserve">ITU Workshop on </w:t>
        </w:r>
        <w:r w:rsidR="00ED445F" w:rsidRPr="008A2F29">
          <w:rPr>
            <w:rStyle w:val="Hyperlink"/>
            <w:lang w:val="en-GB"/>
          </w:rPr>
          <w:t>"</w:t>
        </w:r>
        <w:r w:rsidR="00E37E02" w:rsidRPr="00461720">
          <w:rPr>
            <w:rStyle w:val="Hyperlink"/>
            <w:lang w:val="en-GB"/>
          </w:rPr>
          <w:t>Data Processing and Management for IoT and Smart Cities &amp; Communities</w:t>
        </w:r>
      </w:hyperlink>
      <w:r w:rsidR="005769CF" w:rsidRPr="008A2F29">
        <w:rPr>
          <w:rStyle w:val="Hyperlink"/>
          <w:lang w:val="en-GB"/>
        </w:rPr>
        <w:t>"</w:t>
      </w:r>
      <w:r w:rsidR="00E37E02" w:rsidRPr="00461720">
        <w:rPr>
          <w:lang w:val="en-GB"/>
        </w:rPr>
        <w:t>, Seoul, Korea</w:t>
      </w:r>
      <w:r w:rsidR="00E37E02" w:rsidRPr="0021687B">
        <w:rPr>
          <w:lang w:val="en-GB"/>
        </w:rPr>
        <w:t>, 14 January 2019.</w:t>
      </w:r>
    </w:p>
    <w:p w14:paraId="1ADB30C4" w14:textId="2E2C65DF" w:rsidR="009F6192" w:rsidRPr="00461720" w:rsidRDefault="00267090" w:rsidP="00ED445F">
      <w:pPr>
        <w:numPr>
          <w:ilvl w:val="0"/>
          <w:numId w:val="42"/>
        </w:numPr>
        <w:rPr>
          <w:lang w:val="en-GB"/>
        </w:rPr>
      </w:pPr>
      <w:hyperlink r:id="rId225" w:history="1">
        <w:r w:rsidR="009F6192" w:rsidRPr="00461720">
          <w:rPr>
            <w:rStyle w:val="Hyperlink"/>
            <w:lang w:val="en-GB"/>
          </w:rPr>
          <w:t xml:space="preserve">ITU Workshop on </w:t>
        </w:r>
        <w:r w:rsidR="00ED445F" w:rsidRPr="008A2F29">
          <w:rPr>
            <w:rStyle w:val="Hyperlink"/>
            <w:lang w:val="en-GB"/>
          </w:rPr>
          <w:t>"</w:t>
        </w:r>
        <w:r w:rsidR="009F6192" w:rsidRPr="00461720">
          <w:rPr>
            <w:rStyle w:val="Hyperlink"/>
            <w:lang w:val="en-GB"/>
          </w:rPr>
          <w:t>Technologies for Network 2030</w:t>
        </w:r>
      </w:hyperlink>
      <w:r w:rsidR="00ED445F" w:rsidRPr="008A2F29">
        <w:rPr>
          <w:rStyle w:val="Hyperlink"/>
          <w:lang w:val="en-GB"/>
        </w:rPr>
        <w:t>"</w:t>
      </w:r>
      <w:r w:rsidR="009F6192" w:rsidRPr="00461720">
        <w:rPr>
          <w:lang w:val="en-GB"/>
        </w:rPr>
        <w:t>, Hong Kong, China, 18 December 2018.</w:t>
      </w:r>
    </w:p>
    <w:p w14:paraId="62731F58" w14:textId="738FF4DF" w:rsidR="009F6192" w:rsidRPr="00461720" w:rsidRDefault="00267090" w:rsidP="00ED445F">
      <w:pPr>
        <w:numPr>
          <w:ilvl w:val="0"/>
          <w:numId w:val="42"/>
        </w:numPr>
        <w:rPr>
          <w:lang w:val="en-GB"/>
        </w:rPr>
      </w:pPr>
      <w:hyperlink r:id="rId226" w:history="1">
        <w:r w:rsidR="009F6192" w:rsidRPr="00461720">
          <w:rPr>
            <w:rStyle w:val="Hyperlink"/>
            <w:lang w:val="en-GB"/>
          </w:rPr>
          <w:t xml:space="preserve">ITU Forum on </w:t>
        </w:r>
        <w:r w:rsidR="00ED445F" w:rsidRPr="008A2F29">
          <w:rPr>
            <w:rStyle w:val="Hyperlink"/>
            <w:lang w:val="en-GB"/>
          </w:rPr>
          <w:t>"</w:t>
        </w:r>
        <w:r w:rsidR="009F6192" w:rsidRPr="00461720">
          <w:rPr>
            <w:rStyle w:val="Hyperlink"/>
            <w:lang w:val="en-GB"/>
          </w:rPr>
          <w:t xml:space="preserve">Artificial Intelligence, Internet of </w:t>
        </w:r>
        <w:r w:rsidR="009F6192" w:rsidRPr="0021687B">
          <w:rPr>
            <w:rStyle w:val="Hyperlink"/>
            <w:lang w:val="en-GB"/>
          </w:rPr>
          <w:t>Things and Smart Cities</w:t>
        </w:r>
      </w:hyperlink>
      <w:r w:rsidR="00ED445F" w:rsidRPr="008A2F29">
        <w:rPr>
          <w:rStyle w:val="Hyperlink"/>
          <w:lang w:val="en-GB"/>
        </w:rPr>
        <w:t>"</w:t>
      </w:r>
      <w:r w:rsidR="009F6192" w:rsidRPr="00461720">
        <w:rPr>
          <w:lang w:val="en-GB"/>
        </w:rPr>
        <w:t>, Wuxi, China, 3 December 2018.</w:t>
      </w:r>
    </w:p>
    <w:p w14:paraId="18944C85" w14:textId="77777777" w:rsidR="006944F8" w:rsidRPr="0021687B" w:rsidRDefault="006944F8" w:rsidP="006944F8">
      <w:pPr>
        <w:rPr>
          <w:szCs w:val="24"/>
          <w:lang w:val="en-GB"/>
        </w:rPr>
      </w:pPr>
      <w:r w:rsidRPr="00461720">
        <w:rPr>
          <w:b/>
          <w:bCs/>
          <w:szCs w:val="24"/>
          <w:lang w:val="en-GB"/>
        </w:rPr>
        <w:t>Arab States</w:t>
      </w:r>
      <w:r w:rsidRPr="0021687B">
        <w:rPr>
          <w:szCs w:val="24"/>
          <w:lang w:val="en-GB"/>
        </w:rPr>
        <w:t>:</w:t>
      </w:r>
    </w:p>
    <w:p w14:paraId="59377A55" w14:textId="37F98207" w:rsidR="00AC3FB7" w:rsidRPr="00461720" w:rsidRDefault="00267090" w:rsidP="001C37A8">
      <w:pPr>
        <w:numPr>
          <w:ilvl w:val="0"/>
          <w:numId w:val="43"/>
        </w:numPr>
        <w:rPr>
          <w:lang w:val="en-GB"/>
        </w:rPr>
      </w:pPr>
      <w:hyperlink r:id="rId227" w:history="1">
        <w:r w:rsidR="00AC3FB7" w:rsidRPr="0021687B">
          <w:rPr>
            <w:rStyle w:val="Hyperlink"/>
            <w:lang w:val="en-GB"/>
          </w:rPr>
          <w:t xml:space="preserve">Arab-African Interregional </w:t>
        </w:r>
        <w:r w:rsidR="00ED445F" w:rsidRPr="008A2F29">
          <w:rPr>
            <w:rStyle w:val="Hyperlink"/>
            <w:lang w:val="en-GB"/>
          </w:rPr>
          <w:t xml:space="preserve">ITU </w:t>
        </w:r>
        <w:r w:rsidR="00AC3FB7" w:rsidRPr="00461720">
          <w:rPr>
            <w:rStyle w:val="Hyperlink"/>
            <w:lang w:val="en-GB"/>
          </w:rPr>
          <w:t xml:space="preserve">Standardization Forum on </w:t>
        </w:r>
        <w:r w:rsidR="00ED445F" w:rsidRPr="008A2F29">
          <w:rPr>
            <w:rStyle w:val="Hyperlink"/>
            <w:lang w:val="en-GB"/>
          </w:rPr>
          <w:t>"</w:t>
        </w:r>
        <w:r w:rsidR="00AC3FB7" w:rsidRPr="00461720">
          <w:rPr>
            <w:rStyle w:val="Hyperlink"/>
            <w:lang w:val="en-GB"/>
          </w:rPr>
          <w:t>PKI for e-trust</w:t>
        </w:r>
      </w:hyperlink>
      <w:r w:rsidR="00ED445F" w:rsidRPr="008A2F29">
        <w:rPr>
          <w:rStyle w:val="Hyperlink"/>
          <w:lang w:val="en-GB"/>
        </w:rPr>
        <w:t>"</w:t>
      </w:r>
      <w:r w:rsidR="00AC3FB7" w:rsidRPr="00461720">
        <w:rPr>
          <w:lang w:val="en-GB"/>
        </w:rPr>
        <w:t xml:space="preserve">, </w:t>
      </w:r>
      <w:proofErr w:type="spellStart"/>
      <w:r w:rsidR="00AC3FB7" w:rsidRPr="00461720">
        <w:rPr>
          <w:lang w:val="en-GB"/>
        </w:rPr>
        <w:t>Tunis</w:t>
      </w:r>
      <w:proofErr w:type="gramStart"/>
      <w:r w:rsidR="00AC3FB7" w:rsidRPr="00461720">
        <w:rPr>
          <w:lang w:val="en-GB"/>
        </w:rPr>
        <w:t>,Tunisia</w:t>
      </w:r>
      <w:proofErr w:type="spellEnd"/>
      <w:proofErr w:type="gramEnd"/>
      <w:r w:rsidR="00AC3FB7" w:rsidRPr="00461720">
        <w:rPr>
          <w:lang w:val="en-GB"/>
        </w:rPr>
        <w:t>, 4-5 April 2019.</w:t>
      </w:r>
    </w:p>
    <w:p w14:paraId="2726F9F6" w14:textId="01028867" w:rsidR="00E37E02" w:rsidRPr="00461720" w:rsidRDefault="00267090" w:rsidP="001C37A8">
      <w:pPr>
        <w:numPr>
          <w:ilvl w:val="0"/>
          <w:numId w:val="43"/>
        </w:numPr>
        <w:rPr>
          <w:lang w:val="en-GB"/>
        </w:rPr>
      </w:pPr>
      <w:hyperlink r:id="rId228" w:history="1">
        <w:r w:rsidR="00E37E02" w:rsidRPr="00461720">
          <w:rPr>
            <w:rStyle w:val="Hyperlink"/>
            <w:lang w:val="en-GB"/>
          </w:rPr>
          <w:t>Financial Inclusion Global Initiative (FIGI) Symposium</w:t>
        </w:r>
      </w:hyperlink>
      <w:r w:rsidR="00E37E02" w:rsidRPr="00461720">
        <w:rPr>
          <w:lang w:val="en-GB"/>
        </w:rPr>
        <w:t>, Cairo, Egypt, 22-24 January 2019.</w:t>
      </w:r>
    </w:p>
    <w:p w14:paraId="48EABFD5" w14:textId="39DCEADE" w:rsidR="009F6192" w:rsidRPr="00461720" w:rsidRDefault="00267090" w:rsidP="00ED445F">
      <w:pPr>
        <w:numPr>
          <w:ilvl w:val="0"/>
          <w:numId w:val="43"/>
        </w:numPr>
        <w:rPr>
          <w:lang w:val="en-GB"/>
        </w:rPr>
      </w:pPr>
      <w:hyperlink r:id="rId229" w:history="1">
        <w:r w:rsidR="009F6192" w:rsidRPr="00461720">
          <w:rPr>
            <w:rStyle w:val="Hyperlink"/>
            <w:lang w:val="en-GB"/>
          </w:rPr>
          <w:t xml:space="preserve">ITU Regional Standardization Forum on </w:t>
        </w:r>
        <w:r w:rsidR="00ED445F" w:rsidRPr="008A2F29">
          <w:rPr>
            <w:rStyle w:val="Hyperlink"/>
            <w:lang w:val="en-GB"/>
          </w:rPr>
          <w:t>"</w:t>
        </w:r>
        <w:r w:rsidR="009F6192" w:rsidRPr="00461720">
          <w:rPr>
            <w:rStyle w:val="Hyperlink"/>
            <w:lang w:val="en-GB"/>
          </w:rPr>
          <w:t>Emerging Economic, Regulatory and Policy Trends in a Fast-Changing Digital World</w:t>
        </w:r>
      </w:hyperlink>
      <w:r w:rsidR="00ED445F" w:rsidRPr="008A2F29">
        <w:rPr>
          <w:rStyle w:val="Hyperlink"/>
          <w:lang w:val="en-GB"/>
        </w:rPr>
        <w:t>"</w:t>
      </w:r>
      <w:r w:rsidR="009F6192" w:rsidRPr="00461720">
        <w:rPr>
          <w:lang w:val="en-GB"/>
        </w:rPr>
        <w:t>, Kuwait City, Kuwait, 17 December 2018.</w:t>
      </w:r>
    </w:p>
    <w:p w14:paraId="574005F5" w14:textId="2541405F" w:rsidR="006944F8" w:rsidRPr="005C0984" w:rsidRDefault="00267090" w:rsidP="00ED445F">
      <w:pPr>
        <w:numPr>
          <w:ilvl w:val="0"/>
          <w:numId w:val="43"/>
        </w:numPr>
        <w:rPr>
          <w:lang w:val="en-GB"/>
        </w:rPr>
      </w:pPr>
      <w:hyperlink r:id="rId230" w:history="1">
        <w:r w:rsidR="009F6192" w:rsidRPr="00461720">
          <w:rPr>
            <w:rStyle w:val="Hyperlink"/>
            <w:lang w:val="en-GB"/>
          </w:rPr>
          <w:t xml:space="preserve">ITU Interregional Workshop on </w:t>
        </w:r>
        <w:r w:rsidR="00ED445F" w:rsidRPr="008A2F29">
          <w:rPr>
            <w:rStyle w:val="Hyperlink"/>
            <w:lang w:val="en-GB"/>
          </w:rPr>
          <w:t>"</w:t>
        </w:r>
        <w:r w:rsidR="009F6192" w:rsidRPr="00461720">
          <w:rPr>
            <w:rStyle w:val="Hyperlink"/>
            <w:lang w:val="en-GB"/>
          </w:rPr>
          <w:t xml:space="preserve">ITU International Numbering Resources </w:t>
        </w:r>
        <w:r w:rsidR="009F6192" w:rsidRPr="0021687B">
          <w:rPr>
            <w:rStyle w:val="Hyperlink"/>
            <w:lang w:val="en-GB"/>
          </w:rPr>
          <w:t>for the Arab and Africa Regions</w:t>
        </w:r>
      </w:hyperlink>
      <w:r w:rsidR="00ED445F" w:rsidRPr="008A2F29">
        <w:rPr>
          <w:rStyle w:val="Hyperlink"/>
          <w:lang w:val="en-GB"/>
        </w:rPr>
        <w:t>"</w:t>
      </w:r>
      <w:r w:rsidR="009F6192" w:rsidRPr="00461720">
        <w:rPr>
          <w:lang w:val="en-GB"/>
        </w:rPr>
        <w:t>, Cairo, Egypt, 2</w:t>
      </w:r>
      <w:r w:rsidR="00A260FA" w:rsidRPr="00461720">
        <w:rPr>
          <w:lang w:val="en-GB"/>
        </w:rPr>
        <w:t xml:space="preserve">-4 </w:t>
      </w:r>
      <w:r w:rsidR="009F6192" w:rsidRPr="0021687B">
        <w:rPr>
          <w:lang w:val="en-GB"/>
        </w:rPr>
        <w:t>December 2018</w:t>
      </w:r>
      <w:r w:rsidR="006944F8" w:rsidRPr="005C0984">
        <w:rPr>
          <w:lang w:val="en-GB"/>
        </w:rPr>
        <w:t>.</w:t>
      </w:r>
    </w:p>
    <w:p w14:paraId="4E316A4F" w14:textId="10E5A4AF" w:rsidR="006944F8" w:rsidRPr="005C0984" w:rsidRDefault="006944F8" w:rsidP="005879E4">
      <w:pPr>
        <w:keepNext/>
        <w:keepLines/>
        <w:rPr>
          <w:b/>
          <w:bCs/>
          <w:szCs w:val="24"/>
          <w:lang w:val="en-GB"/>
        </w:rPr>
      </w:pPr>
      <w:r w:rsidRPr="005C0984">
        <w:rPr>
          <w:b/>
          <w:bCs/>
          <w:szCs w:val="24"/>
          <w:lang w:val="en-GB"/>
        </w:rPr>
        <w:t>Americas:</w:t>
      </w:r>
    </w:p>
    <w:p w14:paraId="41C0A62A" w14:textId="0C8B1F3D" w:rsidR="00870112" w:rsidRPr="00461720" w:rsidRDefault="00267090" w:rsidP="001C37A8">
      <w:pPr>
        <w:numPr>
          <w:ilvl w:val="0"/>
          <w:numId w:val="44"/>
        </w:numPr>
        <w:rPr>
          <w:lang w:val="en-GB"/>
        </w:rPr>
      </w:pPr>
      <w:hyperlink r:id="rId231" w:history="1">
        <w:r w:rsidR="00870112" w:rsidRPr="00461720">
          <w:rPr>
            <w:rStyle w:val="Hyperlink"/>
            <w:lang w:val="en-GB"/>
          </w:rPr>
          <w:t xml:space="preserve">HLPF Side Event: </w:t>
        </w:r>
        <w:r w:rsidR="00CA2D85" w:rsidRPr="00461720">
          <w:rPr>
            <w:rStyle w:val="Hyperlink"/>
            <w:lang w:val="en-GB"/>
          </w:rPr>
          <w:t>"</w:t>
        </w:r>
        <w:r w:rsidR="00870112" w:rsidRPr="0021687B">
          <w:rPr>
            <w:rStyle w:val="Hyperlink"/>
            <w:lang w:val="en-GB"/>
          </w:rPr>
          <w:t>Harnessing Frontier Technologies for Accelerating Climate Actions and the SDGs</w:t>
        </w:r>
        <w:r w:rsidR="00CA2D85" w:rsidRPr="005C0984">
          <w:rPr>
            <w:rStyle w:val="Hyperlink"/>
            <w:lang w:val="en-GB"/>
          </w:rPr>
          <w:t>"</w:t>
        </w:r>
      </w:hyperlink>
      <w:r w:rsidR="00870112" w:rsidRPr="00461720">
        <w:rPr>
          <w:lang w:val="en-GB"/>
        </w:rPr>
        <w:t>, New York, United States, 9 July 2019.</w:t>
      </w:r>
    </w:p>
    <w:p w14:paraId="29C8D964" w14:textId="6F9CDCC0" w:rsidR="00870112" w:rsidRPr="005C0984" w:rsidRDefault="00870112" w:rsidP="001C37A8">
      <w:pPr>
        <w:numPr>
          <w:ilvl w:val="0"/>
          <w:numId w:val="44"/>
        </w:numPr>
        <w:rPr>
          <w:lang w:val="en-GB"/>
        </w:rPr>
      </w:pPr>
      <w:r w:rsidRPr="005C0984">
        <w:rPr>
          <w:lang w:val="en-GB"/>
        </w:rPr>
        <w:t>STI Forum Side Event: Frontier Technologies to Protect the Environment and Tackle Climate Change, New York, United States, 14 May 2019.</w:t>
      </w:r>
    </w:p>
    <w:p w14:paraId="1BECF752" w14:textId="24627C74" w:rsidR="00AC3FB7" w:rsidRPr="00461720" w:rsidRDefault="00267090" w:rsidP="001C37A8">
      <w:pPr>
        <w:numPr>
          <w:ilvl w:val="0"/>
          <w:numId w:val="44"/>
        </w:numPr>
        <w:rPr>
          <w:lang w:val="en-GB"/>
        </w:rPr>
      </w:pPr>
      <w:hyperlink r:id="rId232" w:history="1">
        <w:r w:rsidR="00AC3FB7" w:rsidRPr="00461720">
          <w:rPr>
            <w:rStyle w:val="Hyperlink"/>
            <w:lang w:val="en-GB"/>
          </w:rPr>
          <w:t xml:space="preserve">7th Workshop on </w:t>
        </w:r>
        <w:r w:rsidR="00CA2D85" w:rsidRPr="00461720">
          <w:rPr>
            <w:rStyle w:val="Hyperlink"/>
            <w:lang w:val="en-GB"/>
          </w:rPr>
          <w:t>"</w:t>
        </w:r>
        <w:r w:rsidR="00AC3FB7" w:rsidRPr="0021687B">
          <w:rPr>
            <w:rStyle w:val="Hyperlink"/>
            <w:lang w:val="en-GB"/>
          </w:rPr>
          <w:t>SMART Cable Systems: From the Laboratory to the Ocean Floor</w:t>
        </w:r>
        <w:r w:rsidR="00CA2D85" w:rsidRPr="005C0984">
          <w:rPr>
            <w:rStyle w:val="Hyperlink"/>
            <w:lang w:val="en-GB"/>
          </w:rPr>
          <w:t>"</w:t>
        </w:r>
      </w:hyperlink>
      <w:r w:rsidR="00AC3FB7" w:rsidRPr="00461720">
        <w:rPr>
          <w:lang w:val="en-GB"/>
        </w:rPr>
        <w:t>, New Orleans, United States, 12 April 2019.</w:t>
      </w:r>
    </w:p>
    <w:p w14:paraId="5FDB70F0" w14:textId="009B31C7" w:rsidR="00AC3FB7" w:rsidRPr="00461720" w:rsidRDefault="00267090" w:rsidP="00ED445F">
      <w:pPr>
        <w:numPr>
          <w:ilvl w:val="0"/>
          <w:numId w:val="44"/>
        </w:numPr>
        <w:rPr>
          <w:lang w:val="en-GB"/>
        </w:rPr>
      </w:pPr>
      <w:hyperlink r:id="rId233" w:history="1">
        <w:r w:rsidR="00AC3FB7" w:rsidRPr="00461720">
          <w:rPr>
            <w:rStyle w:val="Hyperlink"/>
            <w:lang w:val="en-GB"/>
          </w:rPr>
          <w:t xml:space="preserve">BSG Interactive </w:t>
        </w:r>
        <w:r w:rsidR="00ED445F" w:rsidRPr="008A2F29">
          <w:rPr>
            <w:rStyle w:val="Hyperlink"/>
            <w:lang w:val="en-GB"/>
          </w:rPr>
          <w:t xml:space="preserve">ITU </w:t>
        </w:r>
        <w:r w:rsidR="00AC3FB7" w:rsidRPr="00461720">
          <w:rPr>
            <w:rStyle w:val="Hyperlink"/>
            <w:lang w:val="en-GB"/>
          </w:rPr>
          <w:t xml:space="preserve">Workshop on </w:t>
        </w:r>
        <w:r w:rsidR="00ED445F" w:rsidRPr="008A2F29">
          <w:rPr>
            <w:rStyle w:val="Hyperlink"/>
            <w:lang w:val="en-GB"/>
          </w:rPr>
          <w:t>"</w:t>
        </w:r>
        <w:r w:rsidR="00AC3FB7" w:rsidRPr="00461720">
          <w:rPr>
            <w:rStyle w:val="Hyperlink"/>
            <w:lang w:val="en-GB"/>
          </w:rPr>
          <w:t>Effectiveness in Standardization</w:t>
        </w:r>
      </w:hyperlink>
      <w:r w:rsidR="00ED445F" w:rsidRPr="008A2F29">
        <w:rPr>
          <w:rStyle w:val="Hyperlink"/>
          <w:lang w:val="en-GB"/>
        </w:rPr>
        <w:t>"</w:t>
      </w:r>
      <w:r w:rsidR="00AC3FB7" w:rsidRPr="00461720">
        <w:rPr>
          <w:lang w:val="en-GB"/>
        </w:rPr>
        <w:t>, Managua, Nicaragua, 25-26 March 2019.</w:t>
      </w:r>
    </w:p>
    <w:p w14:paraId="428ED5A5" w14:textId="214F7ECE" w:rsidR="00AC3FB7" w:rsidRPr="00461720" w:rsidRDefault="00267090" w:rsidP="00ED445F">
      <w:pPr>
        <w:numPr>
          <w:ilvl w:val="0"/>
          <w:numId w:val="44"/>
        </w:numPr>
        <w:rPr>
          <w:lang w:val="en-GB"/>
        </w:rPr>
      </w:pPr>
      <w:hyperlink r:id="rId234" w:history="1">
        <w:r w:rsidR="00ED445F" w:rsidRPr="008A2F29">
          <w:rPr>
            <w:rStyle w:val="Hyperlink"/>
            <w:lang w:val="en-GB"/>
          </w:rPr>
          <w:t>ITU W</w:t>
        </w:r>
        <w:r w:rsidR="00AC3FB7" w:rsidRPr="00461720">
          <w:rPr>
            <w:rStyle w:val="Hyperlink"/>
            <w:lang w:val="en-GB"/>
          </w:rPr>
          <w:t xml:space="preserve">orkshop on </w:t>
        </w:r>
        <w:r w:rsidR="00ED445F" w:rsidRPr="008A2F29">
          <w:rPr>
            <w:rStyle w:val="Hyperlink"/>
            <w:lang w:val="en-GB"/>
          </w:rPr>
          <w:t>"</w:t>
        </w:r>
        <w:r w:rsidR="00AC3FB7" w:rsidRPr="00461720">
          <w:rPr>
            <w:rStyle w:val="Hyperlink"/>
            <w:lang w:val="en-GB"/>
          </w:rPr>
          <w:t>ITU International Numbering Resources</w:t>
        </w:r>
        <w:r w:rsidR="00ED445F" w:rsidRPr="008A2F29">
          <w:rPr>
            <w:rStyle w:val="Hyperlink"/>
            <w:lang w:val="en-GB"/>
          </w:rPr>
          <w:t xml:space="preserve"> </w:t>
        </w:r>
        <w:r w:rsidR="00AC3FB7" w:rsidRPr="00461720">
          <w:rPr>
            <w:rStyle w:val="Hyperlink"/>
            <w:lang w:val="en-GB"/>
          </w:rPr>
          <w:t>for the Americas</w:t>
        </w:r>
      </w:hyperlink>
      <w:r w:rsidR="00ED445F" w:rsidRPr="008A2F29">
        <w:rPr>
          <w:rStyle w:val="Hyperlink"/>
          <w:lang w:val="en-GB"/>
        </w:rPr>
        <w:t>"</w:t>
      </w:r>
      <w:r w:rsidR="00AC3FB7" w:rsidRPr="00461720">
        <w:rPr>
          <w:lang w:val="en-GB"/>
        </w:rPr>
        <w:t>, Managua, Nicaragua, 25-26 March 2019.</w:t>
      </w:r>
    </w:p>
    <w:p w14:paraId="3E4FC6F3" w14:textId="73EF4EE7" w:rsidR="009F6192" w:rsidRPr="00461720" w:rsidRDefault="00267090" w:rsidP="00ED445F">
      <w:pPr>
        <w:numPr>
          <w:ilvl w:val="0"/>
          <w:numId w:val="44"/>
        </w:numPr>
        <w:rPr>
          <w:lang w:val="en-GB"/>
        </w:rPr>
      </w:pPr>
      <w:hyperlink r:id="rId235" w:history="1">
        <w:r w:rsidR="00E37E02" w:rsidRPr="00461720">
          <w:rPr>
            <w:rStyle w:val="Hyperlink"/>
            <w:lang w:val="en-GB"/>
          </w:rPr>
          <w:t xml:space="preserve">FG DLT Pre-meeting Workshop on </w:t>
        </w:r>
        <w:r w:rsidR="00ED445F" w:rsidRPr="008A2F29">
          <w:rPr>
            <w:rStyle w:val="Hyperlink"/>
            <w:lang w:val="en-GB"/>
          </w:rPr>
          <w:t>"</w:t>
        </w:r>
        <w:r w:rsidR="00E37E02" w:rsidRPr="00461720">
          <w:rPr>
            <w:rStyle w:val="Hyperlink"/>
            <w:lang w:val="en-GB"/>
          </w:rPr>
          <w:t>Distributed Ledger Technology for Transparency and Integrity</w:t>
        </w:r>
      </w:hyperlink>
      <w:r w:rsidR="00ED445F" w:rsidRPr="008A2F29">
        <w:rPr>
          <w:rStyle w:val="Hyperlink"/>
          <w:lang w:val="en-GB"/>
        </w:rPr>
        <w:t>"</w:t>
      </w:r>
      <w:r w:rsidR="00E37E02" w:rsidRPr="00461720">
        <w:rPr>
          <w:lang w:val="en-GB"/>
        </w:rPr>
        <w:t>, Rio de Janeiro, Brazil, 14 January 2019.</w:t>
      </w:r>
    </w:p>
    <w:p w14:paraId="1E238524" w14:textId="5A8F161A" w:rsidR="009F6192" w:rsidRPr="00461720" w:rsidRDefault="00267090" w:rsidP="001C37A8">
      <w:pPr>
        <w:numPr>
          <w:ilvl w:val="0"/>
          <w:numId w:val="44"/>
        </w:numPr>
        <w:rPr>
          <w:lang w:val="en-GB"/>
        </w:rPr>
      </w:pPr>
      <w:hyperlink r:id="rId236" w:history="1">
        <w:r w:rsidR="009F6192" w:rsidRPr="00461720">
          <w:rPr>
            <w:rStyle w:val="Hyperlink"/>
            <w:lang w:val="en-GB"/>
          </w:rPr>
          <w:t>World Smart City Forum</w:t>
        </w:r>
      </w:hyperlink>
      <w:r w:rsidR="009F6192" w:rsidRPr="00461720">
        <w:rPr>
          <w:lang w:val="en-GB"/>
        </w:rPr>
        <w:t>, Santa Fe, Argentina, 29 November 2018.</w:t>
      </w:r>
    </w:p>
    <w:p w14:paraId="2A6597CB" w14:textId="01C07A2F" w:rsidR="009F6192" w:rsidRPr="00461720" w:rsidRDefault="00267090" w:rsidP="001C37A8">
      <w:pPr>
        <w:numPr>
          <w:ilvl w:val="0"/>
          <w:numId w:val="44"/>
        </w:numPr>
        <w:rPr>
          <w:lang w:val="en-GB"/>
        </w:rPr>
      </w:pPr>
      <w:hyperlink r:id="rId237" w:history="1">
        <w:r w:rsidR="009F6192" w:rsidRPr="00461720">
          <w:rPr>
            <w:rStyle w:val="Hyperlink"/>
            <w:lang w:val="en-GB"/>
          </w:rPr>
          <w:t>ITU Kaleidoscope</w:t>
        </w:r>
        <w:r w:rsidR="00ED445F" w:rsidRPr="008A2F29">
          <w:rPr>
            <w:rStyle w:val="Hyperlink"/>
            <w:lang w:val="en-GB"/>
          </w:rPr>
          <w:t xml:space="preserve">: </w:t>
        </w:r>
        <w:r w:rsidR="009F6192" w:rsidRPr="00461720">
          <w:rPr>
            <w:rStyle w:val="Hyperlink"/>
            <w:lang w:val="en-GB"/>
          </w:rPr>
          <w:t>Machine Learning for a 5G Future</w:t>
        </w:r>
      </w:hyperlink>
      <w:r w:rsidR="009F6192" w:rsidRPr="00461720">
        <w:rPr>
          <w:lang w:val="en-GB"/>
        </w:rPr>
        <w:t>, Santa Fe, Argentina, 26-28 November 2018.</w:t>
      </w:r>
    </w:p>
    <w:p w14:paraId="18B47C23" w14:textId="3A600F30" w:rsidR="009F6192" w:rsidRPr="00461720" w:rsidRDefault="00267090" w:rsidP="001C37A8">
      <w:pPr>
        <w:numPr>
          <w:ilvl w:val="0"/>
          <w:numId w:val="44"/>
        </w:numPr>
        <w:rPr>
          <w:lang w:val="en-GB"/>
        </w:rPr>
      </w:pPr>
      <w:hyperlink r:id="rId238" w:history="1">
        <w:r w:rsidR="009F6192" w:rsidRPr="00461720">
          <w:rPr>
            <w:rStyle w:val="Hyperlink"/>
            <w:lang w:val="en-GB"/>
          </w:rPr>
          <w:t xml:space="preserve">ITU Workshop on </w:t>
        </w:r>
        <w:r w:rsidR="00CA2D85" w:rsidRPr="00461720">
          <w:rPr>
            <w:rStyle w:val="Hyperlink"/>
            <w:lang w:val="en-GB"/>
          </w:rPr>
          <w:t>"</w:t>
        </w:r>
        <w:r w:rsidR="009F6192" w:rsidRPr="0021687B">
          <w:rPr>
            <w:rStyle w:val="Hyperlink"/>
            <w:lang w:val="en-GB"/>
          </w:rPr>
          <w:t>The Future of TV for the Americas</w:t>
        </w:r>
        <w:r w:rsidR="00CA2D85" w:rsidRPr="005C0984">
          <w:rPr>
            <w:rStyle w:val="Hyperlink"/>
            <w:lang w:val="en-GB"/>
          </w:rPr>
          <w:t>"</w:t>
        </w:r>
      </w:hyperlink>
      <w:r w:rsidR="009F6192" w:rsidRPr="00461720">
        <w:rPr>
          <w:lang w:val="en-GB"/>
        </w:rPr>
        <w:t>, Bogotá, Colombia, 26 November 2018.</w:t>
      </w:r>
    </w:p>
    <w:p w14:paraId="3E1088E4" w14:textId="35E0E897" w:rsidR="009F6192" w:rsidRPr="00461720" w:rsidRDefault="00267090" w:rsidP="001C37A8">
      <w:pPr>
        <w:numPr>
          <w:ilvl w:val="0"/>
          <w:numId w:val="44"/>
        </w:numPr>
        <w:rPr>
          <w:lang w:val="en-GB"/>
        </w:rPr>
      </w:pPr>
      <w:hyperlink r:id="rId239" w:history="1">
        <w:r w:rsidR="009F6192" w:rsidRPr="00461720">
          <w:rPr>
            <w:rStyle w:val="Hyperlink"/>
            <w:lang w:val="en-GB"/>
          </w:rPr>
          <w:t xml:space="preserve">ITU Workshop on </w:t>
        </w:r>
        <w:r w:rsidR="00CA2D85" w:rsidRPr="00461720">
          <w:rPr>
            <w:rStyle w:val="Hyperlink"/>
            <w:lang w:val="en-GB"/>
          </w:rPr>
          <w:t>"</w:t>
        </w:r>
        <w:r w:rsidR="009F6192" w:rsidRPr="0021687B">
          <w:rPr>
            <w:rStyle w:val="Hyperlink"/>
            <w:lang w:val="en-GB"/>
          </w:rPr>
          <w:t xml:space="preserve">Artificial </w:t>
        </w:r>
        <w:r w:rsidR="009F6192" w:rsidRPr="005C0984">
          <w:rPr>
            <w:rStyle w:val="Hyperlink"/>
            <w:lang w:val="en-GB"/>
          </w:rPr>
          <w:t>Intelligence for Health</w:t>
        </w:r>
        <w:r w:rsidR="00CA2D85" w:rsidRPr="005C0984">
          <w:rPr>
            <w:rStyle w:val="Hyperlink"/>
            <w:lang w:val="en-GB"/>
          </w:rPr>
          <w:t>"</w:t>
        </w:r>
      </w:hyperlink>
      <w:r w:rsidR="009F6192" w:rsidRPr="00461720">
        <w:rPr>
          <w:lang w:val="en-GB"/>
        </w:rPr>
        <w:t>, New York City, United States, 14 November 2018.</w:t>
      </w:r>
    </w:p>
    <w:p w14:paraId="78387C1F" w14:textId="1B7B2C1C" w:rsidR="009F6192" w:rsidRPr="0021687B" w:rsidRDefault="00267090" w:rsidP="001C37A8">
      <w:pPr>
        <w:numPr>
          <w:ilvl w:val="0"/>
          <w:numId w:val="44"/>
        </w:numPr>
        <w:rPr>
          <w:lang w:val="en-GB"/>
        </w:rPr>
      </w:pPr>
      <w:hyperlink r:id="rId240" w:history="1">
        <w:r w:rsidR="009F6192" w:rsidRPr="00461720">
          <w:rPr>
            <w:rStyle w:val="Hyperlink"/>
            <w:lang w:val="en-GB"/>
          </w:rPr>
          <w:t xml:space="preserve">ITU/SAE Workshop on </w:t>
        </w:r>
        <w:r w:rsidR="00CA2D85" w:rsidRPr="00461720">
          <w:rPr>
            <w:rStyle w:val="Hyperlink"/>
            <w:lang w:val="en-GB"/>
          </w:rPr>
          <w:t>"</w:t>
        </w:r>
        <w:r w:rsidR="009F6192" w:rsidRPr="0021687B">
          <w:rPr>
            <w:rStyle w:val="Hyperlink"/>
            <w:lang w:val="en-GB"/>
          </w:rPr>
          <w:t>How communications will change vehicles and transport</w:t>
        </w:r>
        <w:r w:rsidR="00CA2D85" w:rsidRPr="005C0984">
          <w:rPr>
            <w:rStyle w:val="Hyperlink"/>
            <w:lang w:val="en-GB"/>
          </w:rPr>
          <w:t>"</w:t>
        </w:r>
      </w:hyperlink>
      <w:r w:rsidR="009F6192" w:rsidRPr="00461720">
        <w:rPr>
          <w:lang w:val="en-GB"/>
        </w:rPr>
        <w:t>,</w:t>
      </w:r>
      <w:r w:rsidR="00A260FA" w:rsidRPr="00461720">
        <w:rPr>
          <w:lang w:val="en-GB"/>
        </w:rPr>
        <w:t xml:space="preserve"> </w:t>
      </w:r>
      <w:r w:rsidR="009F6192" w:rsidRPr="00461720">
        <w:rPr>
          <w:lang w:val="en-GB"/>
        </w:rPr>
        <w:t>Detroit,</w:t>
      </w:r>
      <w:r w:rsidR="009F6192" w:rsidRPr="0021687B">
        <w:rPr>
          <w:lang w:val="en-GB"/>
        </w:rPr>
        <w:t xml:space="preserve"> MI, United States, 8-9 October 2018.</w:t>
      </w:r>
    </w:p>
    <w:p w14:paraId="32C0FC6C" w14:textId="501C0C47" w:rsidR="006944F8" w:rsidRPr="00461720" w:rsidRDefault="00267090" w:rsidP="00ED445F">
      <w:pPr>
        <w:numPr>
          <w:ilvl w:val="0"/>
          <w:numId w:val="44"/>
        </w:numPr>
        <w:rPr>
          <w:lang w:val="en-GB"/>
        </w:rPr>
      </w:pPr>
      <w:hyperlink r:id="rId241" w:history="1">
        <w:r w:rsidR="009F6192" w:rsidRPr="00461720">
          <w:rPr>
            <w:rStyle w:val="Hyperlink"/>
            <w:lang w:val="en-GB"/>
          </w:rPr>
          <w:t xml:space="preserve">ITU Workshop on </w:t>
        </w:r>
        <w:r w:rsidR="00ED445F" w:rsidRPr="008A2F29">
          <w:rPr>
            <w:rStyle w:val="Hyperlink"/>
            <w:lang w:val="en-GB"/>
          </w:rPr>
          <w:t>"</w:t>
        </w:r>
        <w:r w:rsidR="009F6192" w:rsidRPr="00461720">
          <w:rPr>
            <w:rStyle w:val="Hyperlink"/>
            <w:lang w:val="en-GB"/>
          </w:rPr>
          <w:t>Network 2030</w:t>
        </w:r>
      </w:hyperlink>
      <w:r w:rsidR="00ED445F" w:rsidRPr="008A2F29">
        <w:rPr>
          <w:rStyle w:val="Hyperlink"/>
          <w:lang w:val="en-GB"/>
        </w:rPr>
        <w:t>"</w:t>
      </w:r>
      <w:r w:rsidR="009F6192" w:rsidRPr="008A2F29">
        <w:rPr>
          <w:rStyle w:val="Hyperlink"/>
          <w:lang w:val="en-GB"/>
        </w:rPr>
        <w:t>,</w:t>
      </w:r>
      <w:r w:rsidR="009F6192" w:rsidRPr="00461720">
        <w:rPr>
          <w:lang w:val="en-GB"/>
        </w:rPr>
        <w:t xml:space="preserve"> New York, United States, 2 October 2018</w:t>
      </w:r>
      <w:r w:rsidR="006944F8" w:rsidRPr="00461720">
        <w:rPr>
          <w:lang w:val="en-GB"/>
        </w:rPr>
        <w:t>.</w:t>
      </w:r>
    </w:p>
    <w:p w14:paraId="76C0A46B" w14:textId="77777777" w:rsidR="006944F8" w:rsidRPr="005C0984" w:rsidRDefault="006944F8" w:rsidP="006944F8">
      <w:pPr>
        <w:rPr>
          <w:b/>
          <w:bCs/>
          <w:szCs w:val="24"/>
          <w:lang w:val="en-GB"/>
        </w:rPr>
      </w:pPr>
      <w:r w:rsidRPr="005C0984">
        <w:rPr>
          <w:b/>
          <w:bCs/>
          <w:szCs w:val="24"/>
          <w:lang w:val="en-GB"/>
        </w:rPr>
        <w:t>CIS:</w:t>
      </w:r>
    </w:p>
    <w:p w14:paraId="7E9F63B6" w14:textId="009B27D2" w:rsidR="00E37EC1" w:rsidRPr="00461720" w:rsidRDefault="00267090" w:rsidP="00ED445F">
      <w:pPr>
        <w:numPr>
          <w:ilvl w:val="0"/>
          <w:numId w:val="45"/>
        </w:numPr>
        <w:rPr>
          <w:lang w:val="en-GB"/>
        </w:rPr>
      </w:pPr>
      <w:hyperlink r:id="rId242" w:history="1">
        <w:r w:rsidR="00E37EC1" w:rsidRPr="00461720">
          <w:rPr>
            <w:rStyle w:val="Hyperlink"/>
            <w:lang w:val="en-GB"/>
          </w:rPr>
          <w:t xml:space="preserve">ITU Workshop on </w:t>
        </w:r>
        <w:r w:rsidR="00ED445F" w:rsidRPr="008A2F29">
          <w:rPr>
            <w:rStyle w:val="Hyperlink"/>
            <w:lang w:val="en-GB"/>
          </w:rPr>
          <w:t>"</w:t>
        </w:r>
        <w:r w:rsidR="00E37EC1" w:rsidRPr="00461720">
          <w:rPr>
            <w:rStyle w:val="Hyperlink"/>
            <w:lang w:val="en-GB"/>
          </w:rPr>
          <w:t>Network 2030</w:t>
        </w:r>
        <w:r w:rsidR="00ED445F" w:rsidRPr="008A2F29">
          <w:rPr>
            <w:rStyle w:val="Hyperlink"/>
            <w:lang w:val="en-GB"/>
          </w:rPr>
          <w:t>"</w:t>
        </w:r>
        <w:r w:rsidR="00E37EC1" w:rsidRPr="00461720">
          <w:rPr>
            <w:rStyle w:val="Hyperlink"/>
            <w:lang w:val="en-GB"/>
          </w:rPr>
          <w:t xml:space="preserve"> </w:t>
        </w:r>
        <w:r w:rsidR="00ED445F" w:rsidRPr="008A2F29">
          <w:rPr>
            <w:rStyle w:val="Hyperlink"/>
            <w:lang w:val="en-GB"/>
          </w:rPr>
          <w:t>in conjunction</w:t>
        </w:r>
        <w:r w:rsidR="00E37EC1" w:rsidRPr="00461720">
          <w:rPr>
            <w:rStyle w:val="Hyperlink"/>
            <w:lang w:val="en-GB"/>
          </w:rPr>
          <w:t xml:space="preserve"> with </w:t>
        </w:r>
        <w:r w:rsidR="00ED445F" w:rsidRPr="008A2F29">
          <w:rPr>
            <w:rStyle w:val="Hyperlink"/>
            <w:lang w:val="en-GB"/>
          </w:rPr>
          <w:t xml:space="preserve">the </w:t>
        </w:r>
        <w:r w:rsidR="00E37EC1" w:rsidRPr="00461720">
          <w:rPr>
            <w:rStyle w:val="Hyperlink"/>
            <w:lang w:val="en-GB"/>
          </w:rPr>
          <w:t xml:space="preserve">ITU Forum on </w:t>
        </w:r>
        <w:r w:rsidR="00ED445F" w:rsidRPr="008A2F29">
          <w:rPr>
            <w:rStyle w:val="Hyperlink"/>
            <w:lang w:val="en-GB"/>
          </w:rPr>
          <w:t>"</w:t>
        </w:r>
        <w:r w:rsidR="00E37EC1" w:rsidRPr="00461720">
          <w:rPr>
            <w:rStyle w:val="Hyperlink"/>
            <w:lang w:val="en-GB"/>
          </w:rPr>
          <w:t>Internet of Things: Future Applications and Services. Perspective 2030</w:t>
        </w:r>
      </w:hyperlink>
      <w:r w:rsidR="00ED445F" w:rsidRPr="008A2F29">
        <w:rPr>
          <w:rStyle w:val="Hyperlink"/>
          <w:lang w:val="en-GB"/>
        </w:rPr>
        <w:t>"</w:t>
      </w:r>
      <w:r w:rsidR="00E37EC1" w:rsidRPr="00461720">
        <w:rPr>
          <w:lang w:val="en-GB"/>
        </w:rPr>
        <w:t>, Saint-Petersburg, Russian Federation, 21-23 May 2019.</w:t>
      </w:r>
    </w:p>
    <w:p w14:paraId="0465DC94" w14:textId="0D9CE9FB" w:rsidR="00FE0A07" w:rsidRPr="00461720" w:rsidRDefault="00267090" w:rsidP="001C37A8">
      <w:pPr>
        <w:numPr>
          <w:ilvl w:val="0"/>
          <w:numId w:val="45"/>
        </w:numPr>
        <w:rPr>
          <w:lang w:val="en-GB"/>
        </w:rPr>
      </w:pPr>
      <w:hyperlink r:id="rId243" w:history="1">
        <w:r w:rsidR="00D37044" w:rsidRPr="00461720">
          <w:rPr>
            <w:rStyle w:val="Hyperlink"/>
            <w:lang w:val="en-GB"/>
          </w:rPr>
          <w:t>ITU</w:t>
        </w:r>
        <w:r w:rsidR="00870112" w:rsidRPr="00461720">
          <w:rPr>
            <w:rStyle w:val="Hyperlink"/>
            <w:lang w:val="en-GB"/>
          </w:rPr>
          <w:t>-UN-Habitat-UNDP</w:t>
        </w:r>
        <w:r w:rsidR="001C37A8" w:rsidRPr="0021687B">
          <w:rPr>
            <w:rStyle w:val="Hyperlink"/>
            <w:lang w:val="en-GB"/>
          </w:rPr>
          <w:t xml:space="preserve"> </w:t>
        </w:r>
        <w:r w:rsidR="00D37044" w:rsidRPr="005C0984">
          <w:rPr>
            <w:rStyle w:val="Hyperlink"/>
            <w:lang w:val="en-GB"/>
          </w:rPr>
          <w:t xml:space="preserve">Forum </w:t>
        </w:r>
        <w:r w:rsidR="00ED445F" w:rsidRPr="008A2F29">
          <w:rPr>
            <w:rStyle w:val="Hyperlink"/>
            <w:lang w:val="en-GB"/>
          </w:rPr>
          <w:t xml:space="preserve">on </w:t>
        </w:r>
        <w:r w:rsidR="00CA2D85" w:rsidRPr="00461720">
          <w:rPr>
            <w:rStyle w:val="Hyperlink"/>
            <w:lang w:val="en-GB"/>
          </w:rPr>
          <w:t>"</w:t>
        </w:r>
        <w:r w:rsidR="00D37044" w:rsidRPr="00461720">
          <w:rPr>
            <w:rStyle w:val="Hyperlink"/>
            <w:lang w:val="en-GB"/>
          </w:rPr>
          <w:t>Smart sustainable cities: technological trends, success stories and future prospects</w:t>
        </w:r>
        <w:r w:rsidR="00CA2D85" w:rsidRPr="0021687B">
          <w:rPr>
            <w:rStyle w:val="Hyperlink"/>
            <w:lang w:val="en-GB"/>
          </w:rPr>
          <w:t>"</w:t>
        </w:r>
      </w:hyperlink>
      <w:r w:rsidR="00D37044" w:rsidRPr="00461720">
        <w:rPr>
          <w:lang w:val="en-GB"/>
        </w:rPr>
        <w:t>, Minsk, Belarus, 26-27 February 2019</w:t>
      </w:r>
      <w:r w:rsidR="00FE0A07" w:rsidRPr="00461720">
        <w:rPr>
          <w:lang w:val="en-GB"/>
        </w:rPr>
        <w:t>.</w:t>
      </w:r>
    </w:p>
    <w:p w14:paraId="32FC00B9" w14:textId="777C5910" w:rsidR="00870112" w:rsidRPr="00461720" w:rsidRDefault="00267090" w:rsidP="00ED445F">
      <w:pPr>
        <w:numPr>
          <w:ilvl w:val="0"/>
          <w:numId w:val="45"/>
        </w:numPr>
        <w:rPr>
          <w:lang w:val="en-GB"/>
        </w:rPr>
      </w:pPr>
      <w:hyperlink r:id="rId244" w:history="1">
        <w:r w:rsidR="00870112" w:rsidRPr="00461720">
          <w:rPr>
            <w:rStyle w:val="Hyperlink"/>
            <w:lang w:val="en-GB"/>
          </w:rPr>
          <w:t xml:space="preserve">ITU Training on </w:t>
        </w:r>
        <w:r w:rsidR="00ED445F" w:rsidRPr="008A2F29">
          <w:rPr>
            <w:rStyle w:val="Hyperlink"/>
            <w:lang w:val="en-GB"/>
          </w:rPr>
          <w:t>"</w:t>
        </w:r>
        <w:r w:rsidR="00870112" w:rsidRPr="00461720">
          <w:rPr>
            <w:rStyle w:val="Hyperlink"/>
            <w:lang w:val="en-GB"/>
          </w:rPr>
          <w:t xml:space="preserve">Key </w:t>
        </w:r>
        <w:r w:rsidR="00ED445F" w:rsidRPr="008A2F29">
          <w:rPr>
            <w:rStyle w:val="Hyperlink"/>
            <w:lang w:val="en-GB"/>
          </w:rPr>
          <w:t>P</w:t>
        </w:r>
        <w:r w:rsidR="00870112" w:rsidRPr="00461720">
          <w:rPr>
            <w:rStyle w:val="Hyperlink"/>
            <w:lang w:val="en-GB"/>
          </w:rPr>
          <w:t xml:space="preserve">erformance </w:t>
        </w:r>
        <w:r w:rsidR="00ED445F" w:rsidRPr="008A2F29">
          <w:rPr>
            <w:rStyle w:val="Hyperlink"/>
            <w:lang w:val="en-GB"/>
          </w:rPr>
          <w:t>I</w:t>
        </w:r>
        <w:r w:rsidR="00870112" w:rsidRPr="00461720">
          <w:rPr>
            <w:rStyle w:val="Hyperlink"/>
            <w:lang w:val="en-GB"/>
          </w:rPr>
          <w:t xml:space="preserve">ndicators for </w:t>
        </w:r>
        <w:r w:rsidR="00ED445F" w:rsidRPr="008A2F29">
          <w:rPr>
            <w:rStyle w:val="Hyperlink"/>
            <w:lang w:val="en-GB"/>
          </w:rPr>
          <w:t>S</w:t>
        </w:r>
        <w:r w:rsidR="00870112" w:rsidRPr="00461720">
          <w:rPr>
            <w:rStyle w:val="Hyperlink"/>
            <w:lang w:val="en-GB"/>
          </w:rPr>
          <w:t xml:space="preserve">mart </w:t>
        </w:r>
        <w:r w:rsidR="00ED445F" w:rsidRPr="008A2F29">
          <w:rPr>
            <w:rStyle w:val="Hyperlink"/>
            <w:lang w:val="en-GB"/>
          </w:rPr>
          <w:t>S</w:t>
        </w:r>
        <w:r w:rsidR="00870112" w:rsidRPr="00461720">
          <w:rPr>
            <w:rStyle w:val="Hyperlink"/>
            <w:lang w:val="en-GB"/>
          </w:rPr>
          <w:t xml:space="preserve">ustainable </w:t>
        </w:r>
        <w:r w:rsidR="00ED445F" w:rsidRPr="008A2F29">
          <w:rPr>
            <w:rStyle w:val="Hyperlink"/>
            <w:lang w:val="en-GB"/>
          </w:rPr>
          <w:t>C</w:t>
        </w:r>
        <w:r w:rsidR="00870112" w:rsidRPr="00461720">
          <w:rPr>
            <w:rStyle w:val="Hyperlink"/>
            <w:lang w:val="en-GB"/>
          </w:rPr>
          <w:t>ities to achieve the SDG</w:t>
        </w:r>
        <w:r w:rsidR="00ED445F" w:rsidRPr="008A2F29">
          <w:rPr>
            <w:rStyle w:val="Hyperlink"/>
            <w:lang w:val="en-GB"/>
          </w:rPr>
          <w:t>s"</w:t>
        </w:r>
      </w:hyperlink>
      <w:r w:rsidR="00870112" w:rsidRPr="00461720">
        <w:rPr>
          <w:lang w:val="en-GB"/>
        </w:rPr>
        <w:t>, Minsk, Belarus, 27 February 2019.</w:t>
      </w:r>
    </w:p>
    <w:p w14:paraId="3933C962" w14:textId="7B89BD50" w:rsidR="006944F8" w:rsidRPr="00C1421E" w:rsidRDefault="002F0E38" w:rsidP="006944F8">
      <w:pPr>
        <w:pStyle w:val="Heading1"/>
      </w:pPr>
      <w:bookmarkStart w:id="204" w:name="_Toc480527880"/>
      <w:bookmarkStart w:id="205" w:name="_Toc18509790"/>
      <w:bookmarkStart w:id="206" w:name="_Toc438554000"/>
      <w:bookmarkStart w:id="207" w:name="_Toc453929122"/>
      <w:bookmarkStart w:id="208" w:name="_Toc453932993"/>
      <w:bookmarkStart w:id="209" w:name="_Toc454295899"/>
      <w:bookmarkStart w:id="210" w:name="_Toc462664286"/>
      <w:r w:rsidRPr="00C1421E">
        <w:t>14</w:t>
      </w:r>
      <w:r w:rsidR="006944F8" w:rsidRPr="00C1421E">
        <w:tab/>
        <w:t>Implementation of WTSA Resolutions</w:t>
      </w:r>
      <w:bookmarkEnd w:id="204"/>
      <w:r w:rsidR="00403A2F" w:rsidRPr="00C1421E">
        <w:t xml:space="preserve"> and A-series ITU-T Recommendations</w:t>
      </w:r>
      <w:bookmarkEnd w:id="205"/>
    </w:p>
    <w:p w14:paraId="28B7B258" w14:textId="3EFA6FAF" w:rsidR="00403A2F" w:rsidRPr="00C1421E" w:rsidRDefault="006944F8" w:rsidP="002013A1">
      <w:pPr>
        <w:rPr>
          <w:lang w:val="en-GB"/>
        </w:rPr>
      </w:pPr>
      <w:r w:rsidRPr="00C1421E">
        <w:rPr>
          <w:lang w:val="en-GB"/>
        </w:rPr>
        <w:t xml:space="preserve">WTSA Resolution 22 instructs the TSB Director to </w:t>
      </w:r>
      <w:r w:rsidR="00403A2F" w:rsidRPr="00C1421E">
        <w:rPr>
          <w:lang w:val="en-GB"/>
        </w:rPr>
        <w:t xml:space="preserve">report to </w:t>
      </w:r>
      <w:r w:rsidRPr="00C1421E">
        <w:rPr>
          <w:lang w:val="en-GB"/>
        </w:rPr>
        <w:t xml:space="preserve">TSAG on the implementation of WTSA resolutions and actions to be undertaken pursuant to their operative paragraphs. </w:t>
      </w:r>
      <w:r w:rsidR="00403A2F" w:rsidRPr="00C1421E">
        <w:rPr>
          <w:lang w:val="en-GB"/>
        </w:rPr>
        <w:t>WTSA Resolution 22 also instructs the TSB Director to report to TSAG on the implementation of the A-series ITU-T Recommendations.</w:t>
      </w:r>
    </w:p>
    <w:p w14:paraId="5C4CFAED" w14:textId="0856482A" w:rsidR="00403A2F" w:rsidRPr="00C1421E" w:rsidRDefault="00403A2F" w:rsidP="002013A1">
      <w:pPr>
        <w:rPr>
          <w:lang w:val="en-GB"/>
        </w:rPr>
      </w:pPr>
      <w:r w:rsidRPr="00C1421E">
        <w:rPr>
          <w:lang w:val="en-GB"/>
        </w:rPr>
        <w:t xml:space="preserve">WTSA Resolutions are available at </w:t>
      </w:r>
      <w:hyperlink r:id="rId245" w:history="1">
        <w:r w:rsidRPr="00C1421E">
          <w:rPr>
            <w:rStyle w:val="Hyperlink"/>
            <w:rFonts w:asciiTheme="majorBidi" w:hAnsiTheme="majorBidi" w:cstheme="majorBidi"/>
            <w:lang w:val="en-GB"/>
          </w:rPr>
          <w:t>http://www.itu.int/pub/T-RES</w:t>
        </w:r>
      </w:hyperlink>
      <w:r w:rsidR="00A14610" w:rsidRPr="00C1421E">
        <w:rPr>
          <w:lang w:val="en-GB"/>
        </w:rPr>
        <w:t>.</w:t>
      </w:r>
    </w:p>
    <w:p w14:paraId="12C17BA3" w14:textId="2A41A892" w:rsidR="006944F8" w:rsidRPr="00C1421E" w:rsidRDefault="006944F8" w:rsidP="002013A1">
      <w:pPr>
        <w:rPr>
          <w:lang w:val="en-GB"/>
        </w:rPr>
      </w:pPr>
      <w:r w:rsidRPr="00C1421E">
        <w:rPr>
          <w:lang w:val="en-GB"/>
        </w:rPr>
        <w:t>The WTSA-16 Action Plan (</w:t>
      </w:r>
      <w:hyperlink r:id="rId246" w:history="1">
        <w:r w:rsidRPr="00C1421E">
          <w:rPr>
            <w:rStyle w:val="Hyperlink"/>
            <w:szCs w:val="24"/>
            <w:lang w:val="en-GB"/>
          </w:rPr>
          <w:t>TSAG-TD292</w:t>
        </w:r>
      </w:hyperlink>
      <w:r w:rsidRPr="00C1421E">
        <w:rPr>
          <w:lang w:val="en-GB"/>
        </w:rPr>
        <w:t>) assigns action items to the operational provisions in the Resolutions and also reports information on the progress of the implementation of those action items.</w:t>
      </w:r>
    </w:p>
    <w:p w14:paraId="48CDE570" w14:textId="5A513C5D" w:rsidR="00403A2F" w:rsidRPr="00C1421E" w:rsidRDefault="00403A2F" w:rsidP="002013A1">
      <w:pPr>
        <w:rPr>
          <w:lang w:val="en-GB"/>
        </w:rPr>
      </w:pPr>
      <w:r w:rsidRPr="00C1421E">
        <w:rPr>
          <w:lang w:val="en-GB"/>
        </w:rPr>
        <w:t>A-series ITU-T Recommendations are available at</w:t>
      </w:r>
      <w:r w:rsidR="003D479E" w:rsidRPr="00C1421E">
        <w:rPr>
          <w:lang w:val="en-GB"/>
        </w:rPr>
        <w:t xml:space="preserve"> </w:t>
      </w:r>
      <w:hyperlink r:id="rId247" w:history="1">
        <w:r w:rsidR="003D479E" w:rsidRPr="00C1421E">
          <w:rPr>
            <w:rStyle w:val="Hyperlink"/>
            <w:lang w:val="en-GB"/>
          </w:rPr>
          <w:t>https://itu.int/rec/T-REC-A</w:t>
        </w:r>
      </w:hyperlink>
      <w:r w:rsidRPr="00C1421E">
        <w:rPr>
          <w:lang w:val="en-GB"/>
        </w:rPr>
        <w:t>.</w:t>
      </w:r>
    </w:p>
    <w:p w14:paraId="523BFE0A" w14:textId="0681490E" w:rsidR="006944F8" w:rsidRPr="00C1421E" w:rsidRDefault="002F0E38" w:rsidP="006944F8">
      <w:pPr>
        <w:pStyle w:val="Heading1"/>
      </w:pPr>
      <w:bookmarkStart w:id="211" w:name="_Toc480527881"/>
      <w:bookmarkStart w:id="212" w:name="_Toc18509791"/>
      <w:r w:rsidRPr="00C1421E">
        <w:t>15</w:t>
      </w:r>
      <w:r w:rsidR="006944F8" w:rsidRPr="00C1421E">
        <w:tab/>
        <w:t>ITU-T</w:t>
      </w:r>
      <w:r w:rsidR="00CA2D85" w:rsidRPr="00C1421E">
        <w:t>'</w:t>
      </w:r>
      <w:r w:rsidR="006944F8" w:rsidRPr="00C1421E">
        <w:t>s activities in the implementation of WSIS</w:t>
      </w:r>
      <w:bookmarkEnd w:id="206"/>
      <w:bookmarkEnd w:id="207"/>
      <w:bookmarkEnd w:id="208"/>
      <w:bookmarkEnd w:id="209"/>
      <w:bookmarkEnd w:id="210"/>
      <w:r w:rsidR="006944F8" w:rsidRPr="00C1421E">
        <w:t xml:space="preserve"> and the Sustainable Development Goals</w:t>
      </w:r>
      <w:bookmarkStart w:id="213" w:name="_Toc261186390"/>
      <w:bookmarkStart w:id="214" w:name="_Toc261186391"/>
      <w:bookmarkEnd w:id="211"/>
      <w:bookmarkEnd w:id="212"/>
    </w:p>
    <w:p w14:paraId="51986A1B" w14:textId="298A97F5" w:rsidR="00403A2F" w:rsidRPr="00C1421E" w:rsidRDefault="00403A2F" w:rsidP="002013A1">
      <w:pPr>
        <w:rPr>
          <w:lang w:val="en-GB"/>
        </w:rPr>
      </w:pPr>
      <w:r w:rsidRPr="00C1421E">
        <w:rPr>
          <w:lang w:val="en-GB"/>
        </w:rPr>
        <w:t>ITU-T</w:t>
      </w:r>
      <w:r w:rsidR="00CA2D85" w:rsidRPr="00C1421E">
        <w:rPr>
          <w:lang w:val="en-GB"/>
        </w:rPr>
        <w:t>'</w:t>
      </w:r>
      <w:r w:rsidRPr="00C1421E">
        <w:rPr>
          <w:lang w:val="en-GB"/>
        </w:rPr>
        <w: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C1421E" w:rsidRDefault="00403A2F" w:rsidP="002013A1">
      <w:pPr>
        <w:rPr>
          <w:lang w:val="en-GB"/>
        </w:rPr>
      </w:pPr>
      <w:r w:rsidRPr="00C1421E">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C1421E" w:rsidRDefault="00403A2F" w:rsidP="002013A1">
      <w:pPr>
        <w:rPr>
          <w:lang w:val="en-GB"/>
        </w:rPr>
      </w:pPr>
      <w:r w:rsidRPr="00C1421E">
        <w:rPr>
          <w:lang w:val="en-GB"/>
        </w:rPr>
        <w:t xml:space="preserve">This mapping of ITU-T work to the SDGs will support the WSIS process in its promotion of efforts to leverage ICTs for sustainable development (see the </w:t>
      </w:r>
      <w:hyperlink r:id="rId248" w:history="1">
        <w:r w:rsidRPr="00C1421E">
          <w:rPr>
            <w:rStyle w:val="Hyperlink"/>
            <w:rFonts w:asciiTheme="majorBidi" w:hAnsiTheme="majorBidi" w:cstheme="majorBidi"/>
            <w:lang w:val="en-GB"/>
          </w:rPr>
          <w:t>WSIS-SDG Matrix</w:t>
        </w:r>
      </w:hyperlink>
      <w:r w:rsidRPr="00C1421E">
        <w:rPr>
          <w:lang w:val="en-GB"/>
        </w:rPr>
        <w:t xml:space="preserve"> linking WSIS Action Lines with the SDGs), highlighting areas where these efforts will receive support from the international standards developed by ITU-T.</w:t>
      </w:r>
    </w:p>
    <w:p w14:paraId="64B23619" w14:textId="534B44B6" w:rsidR="006944F8" w:rsidRPr="00C1421E" w:rsidRDefault="006944F8" w:rsidP="002013A1">
      <w:pPr>
        <w:rPr>
          <w:lang w:val="en-GB"/>
        </w:rPr>
      </w:pPr>
      <w:r w:rsidRPr="00C1421E">
        <w:rPr>
          <w:lang w:val="en-GB"/>
        </w:rPr>
        <w:t>This mapping was presented to the February 2016 meeting of TSAG (</w:t>
      </w:r>
      <w:hyperlink r:id="rId249" w:history="1">
        <w:r w:rsidRPr="00C1421E">
          <w:rPr>
            <w:rStyle w:val="Hyperlink"/>
            <w:rFonts w:asciiTheme="majorBidi" w:hAnsiTheme="majorBidi" w:cstheme="majorBidi"/>
            <w:lang w:val="en-GB"/>
          </w:rPr>
          <w:t>TSAG-TD419</w:t>
        </w:r>
      </w:hyperlink>
      <w:r w:rsidRPr="00C1421E">
        <w:rPr>
          <w:lang w:val="en-GB"/>
        </w:rPr>
        <w:t>) and led to the development of a mapping tool to map ITU-wide objectives and outputs to SDG goals and targets.</w:t>
      </w:r>
    </w:p>
    <w:p w14:paraId="399C8D03" w14:textId="436BFDFE" w:rsidR="006944F8" w:rsidRPr="00C1421E" w:rsidRDefault="00567B70" w:rsidP="009E5FFA">
      <w:pPr>
        <w:pStyle w:val="Heading1"/>
      </w:pPr>
      <w:bookmarkStart w:id="215" w:name="_Toc18509792"/>
      <w:r w:rsidRPr="00C1421E">
        <w:lastRenderedPageBreak/>
        <w:t>16</w:t>
      </w:r>
      <w:r w:rsidRPr="00C1421E">
        <w:tab/>
        <w:t>Implementation of trial authorized by TSAG (July 2016 meeting)</w:t>
      </w:r>
      <w:bookmarkEnd w:id="213"/>
      <w:bookmarkEnd w:id="215"/>
    </w:p>
    <w:p w14:paraId="73F2955E" w14:textId="1D46D0BF" w:rsidR="00EE6C22" w:rsidRDefault="006944F8" w:rsidP="00181523">
      <w:pPr>
        <w:rPr>
          <w:lang w:val="en-GB"/>
        </w:rPr>
      </w:pPr>
      <w:r w:rsidRPr="00C1421E">
        <w:rPr>
          <w:lang w:val="en-GB"/>
        </w:rPr>
        <w:t>In implementing the decision of the July 2016 meeting</w:t>
      </w:r>
      <w:r w:rsidR="00403A2F" w:rsidRPr="00C1421E">
        <w:rPr>
          <w:lang w:val="en-GB"/>
        </w:rPr>
        <w:t xml:space="preserve"> of TSAG</w:t>
      </w:r>
      <w:r w:rsidRPr="00C1421E">
        <w:rPr>
          <w:lang w:val="en-GB"/>
        </w:rPr>
        <w:t xml:space="preserve"> (C.108/TSAG)</w:t>
      </w:r>
      <w:r w:rsidR="00403A2F" w:rsidRPr="00C1421E">
        <w:rPr>
          <w:lang w:val="en-GB"/>
        </w:rPr>
        <w:t xml:space="preserve">, an ad-hoc group created </w:t>
      </w:r>
      <w:r w:rsidR="00883A4E">
        <w:rPr>
          <w:lang w:val="en-GB"/>
        </w:rPr>
        <w:t xml:space="preserve">by ITU-T SG13 </w:t>
      </w:r>
      <w:r w:rsidR="00403A2F" w:rsidRPr="00C1421E">
        <w:rPr>
          <w:lang w:val="en-GB"/>
        </w:rPr>
        <w:t xml:space="preserve">in </w:t>
      </w:r>
      <w:r w:rsidRPr="00C1421E">
        <w:rPr>
          <w:lang w:val="en-GB"/>
        </w:rPr>
        <w:t xml:space="preserve">February 2017 </w:t>
      </w:r>
      <w:r w:rsidR="00EE6C22">
        <w:rPr>
          <w:lang w:val="en-GB"/>
        </w:rPr>
        <w:t xml:space="preserve">has delivered </w:t>
      </w:r>
      <w:r w:rsidRPr="00C1421E">
        <w:rPr>
          <w:lang w:val="en-GB"/>
        </w:rPr>
        <w:t xml:space="preserve">guidance for drafting </w:t>
      </w:r>
      <w:r w:rsidR="00403A2F" w:rsidRPr="00C1421E">
        <w:rPr>
          <w:lang w:val="en-GB"/>
        </w:rPr>
        <w:t xml:space="preserve">ITU-T </w:t>
      </w:r>
      <w:r w:rsidRPr="00C1421E">
        <w:rPr>
          <w:lang w:val="en-GB"/>
        </w:rPr>
        <w:t>Recommendations</w:t>
      </w:r>
      <w:r w:rsidR="00403A2F" w:rsidRPr="00C1421E">
        <w:rPr>
          <w:lang w:val="en-GB"/>
        </w:rPr>
        <w:t xml:space="preserve">. </w:t>
      </w:r>
      <w:r w:rsidR="00181523" w:rsidRPr="00C1421E">
        <w:rPr>
          <w:lang w:val="en-GB"/>
        </w:rPr>
        <w:t xml:space="preserve">The </w:t>
      </w:r>
      <w:r w:rsidR="00EE6C22">
        <w:rPr>
          <w:lang w:val="en-GB"/>
        </w:rPr>
        <w:t>final</w:t>
      </w:r>
      <w:r w:rsidR="00181523" w:rsidRPr="00C1421E">
        <w:rPr>
          <w:lang w:val="en-GB"/>
        </w:rPr>
        <w:t xml:space="preserve"> meeting of th</w:t>
      </w:r>
      <w:r w:rsidR="00D63841" w:rsidRPr="00C1421E">
        <w:rPr>
          <w:lang w:val="en-GB"/>
        </w:rPr>
        <w:t>is</w:t>
      </w:r>
      <w:r w:rsidR="00181523" w:rsidRPr="00C1421E">
        <w:rPr>
          <w:lang w:val="en-GB"/>
        </w:rPr>
        <w:t xml:space="preserve"> </w:t>
      </w:r>
      <w:r w:rsidR="00EE6C22">
        <w:rPr>
          <w:lang w:val="en-GB"/>
        </w:rPr>
        <w:t>a</w:t>
      </w:r>
      <w:r w:rsidR="00181523" w:rsidRPr="00C1421E">
        <w:rPr>
          <w:lang w:val="en-GB"/>
        </w:rPr>
        <w:t xml:space="preserve">d-hoc </w:t>
      </w:r>
      <w:r w:rsidR="00EE6C22">
        <w:rPr>
          <w:lang w:val="en-GB"/>
        </w:rPr>
        <w:t xml:space="preserve">group </w:t>
      </w:r>
      <w:r w:rsidR="00181523" w:rsidRPr="00C1421E">
        <w:rPr>
          <w:lang w:val="en-GB"/>
        </w:rPr>
        <w:t>took place during the</w:t>
      </w:r>
      <w:r w:rsidR="00EE6C22">
        <w:rPr>
          <w:lang w:val="en-GB"/>
        </w:rPr>
        <w:t xml:space="preserve"> March 2019 meeting of</w:t>
      </w:r>
      <w:r w:rsidR="00181523" w:rsidRPr="00C1421E">
        <w:rPr>
          <w:lang w:val="en-GB"/>
        </w:rPr>
        <w:t xml:space="preserve"> </w:t>
      </w:r>
      <w:r w:rsidR="00EE6C22">
        <w:rPr>
          <w:lang w:val="en-GB"/>
        </w:rPr>
        <w:t>ITU</w:t>
      </w:r>
      <w:r w:rsidR="00883A4E">
        <w:rPr>
          <w:lang w:val="en-GB"/>
        </w:rPr>
        <w:t>-T</w:t>
      </w:r>
      <w:r w:rsidR="00EE6C22">
        <w:rPr>
          <w:lang w:val="en-GB"/>
        </w:rPr>
        <w:t xml:space="preserve"> SG</w:t>
      </w:r>
      <w:r w:rsidR="00181523" w:rsidRPr="00C1421E">
        <w:rPr>
          <w:lang w:val="en-GB"/>
        </w:rPr>
        <w:t xml:space="preserve">13 meeting in Victoria Falls, Zimbabwe. </w:t>
      </w:r>
    </w:p>
    <w:p w14:paraId="45DA84F4" w14:textId="67BB1ED5" w:rsidR="006944F8" w:rsidRPr="00C1421E" w:rsidRDefault="00EE6C22" w:rsidP="00181523">
      <w:pPr>
        <w:rPr>
          <w:lang w:val="en-GB"/>
        </w:rPr>
      </w:pPr>
      <w:r>
        <w:rPr>
          <w:lang w:val="en-GB"/>
        </w:rPr>
        <w:t xml:space="preserve">The resulting guideline document – </w:t>
      </w:r>
      <w:hyperlink r:id="rId250" w:history="1">
        <w:r w:rsidR="00CA2D85" w:rsidRPr="00EE6C22">
          <w:rPr>
            <w:rStyle w:val="Hyperlink"/>
            <w:lang w:val="en-GB"/>
          </w:rPr>
          <w:t>"</w:t>
        </w:r>
        <w:r w:rsidR="00181523" w:rsidRPr="008A2F29">
          <w:rPr>
            <w:rStyle w:val="Hyperlink"/>
          </w:rPr>
          <w:t>Guidelines and methodologies for developing technical Recommendations</w:t>
        </w:r>
        <w:r w:rsidR="00CA2D85" w:rsidRPr="00EE6C22">
          <w:rPr>
            <w:rStyle w:val="Hyperlink"/>
            <w:lang w:val="en-GB"/>
          </w:rPr>
          <w:t>"</w:t>
        </w:r>
      </w:hyperlink>
      <w:r w:rsidR="00181523" w:rsidRPr="00C1421E">
        <w:rPr>
          <w:lang w:val="en-GB"/>
        </w:rPr>
        <w:t xml:space="preserve"> </w:t>
      </w:r>
      <w:r>
        <w:rPr>
          <w:lang w:val="en-GB"/>
        </w:rPr>
        <w:t xml:space="preserve">– has been submitted to </w:t>
      </w:r>
      <w:r w:rsidR="00181523" w:rsidRPr="00C1421E">
        <w:rPr>
          <w:lang w:val="en-GB"/>
        </w:rPr>
        <w:t>TSAG for further consideration</w:t>
      </w:r>
      <w:r>
        <w:rPr>
          <w:lang w:val="en-GB"/>
        </w:rPr>
        <w:t>, as described in the L</w:t>
      </w:r>
      <w:r w:rsidR="00181523" w:rsidRPr="00C1421E">
        <w:rPr>
          <w:lang w:val="en-GB"/>
        </w:rPr>
        <w:t xml:space="preserve">iaison </w:t>
      </w:r>
      <w:r>
        <w:rPr>
          <w:lang w:val="en-GB"/>
        </w:rPr>
        <w:t>S</w:t>
      </w:r>
      <w:r w:rsidR="00181523" w:rsidRPr="00C1421E">
        <w:rPr>
          <w:lang w:val="en-GB"/>
        </w:rPr>
        <w:t xml:space="preserve">tatement </w:t>
      </w:r>
      <w:hyperlink r:id="rId251" w:history="1">
        <w:r w:rsidR="003D479E" w:rsidRPr="00C1421E">
          <w:rPr>
            <w:rStyle w:val="Hyperlink"/>
            <w:rFonts w:asciiTheme="majorBidi" w:hAnsiTheme="majorBidi" w:cstheme="majorBidi"/>
            <w:lang w:val="en-GB"/>
          </w:rPr>
          <w:t>SG13-TD170-R1/PLEN</w:t>
        </w:r>
      </w:hyperlink>
      <w:r w:rsidR="00D63841" w:rsidRPr="00C1421E">
        <w:rPr>
          <w:lang w:val="en-GB"/>
        </w:rPr>
        <w:t xml:space="preserve">. </w:t>
      </w:r>
    </w:p>
    <w:p w14:paraId="4B9A346D" w14:textId="77777777" w:rsidR="006944F8" w:rsidRPr="00C1421E" w:rsidRDefault="006944F8" w:rsidP="006944F8">
      <w:pPr>
        <w:pStyle w:val="Heading1"/>
        <w:pageBreakBefore/>
        <w:jc w:val="center"/>
      </w:pPr>
      <w:bookmarkStart w:id="216" w:name="_Toc480527885"/>
      <w:bookmarkStart w:id="217" w:name="_Toc18509793"/>
      <w:r w:rsidRPr="00C1421E">
        <w:lastRenderedPageBreak/>
        <w:t>Appendix I – List of approved Recommendations and other approved texts</w:t>
      </w:r>
      <w:bookmarkEnd w:id="216"/>
      <w:bookmarkEnd w:id="217"/>
    </w:p>
    <w:p w14:paraId="75DA245E" w14:textId="4FFC1A2C" w:rsidR="006944F8" w:rsidRPr="00C1421E" w:rsidRDefault="001C37A8" w:rsidP="001C37A8">
      <w:pPr>
        <w:pStyle w:val="Note"/>
        <w:rPr>
          <w:lang w:val="en-GB"/>
        </w:rPr>
      </w:pPr>
      <w:r w:rsidRPr="00C1421E">
        <w:rPr>
          <w:lang w:val="en-GB"/>
        </w:rPr>
        <w:t xml:space="preserve">NOTE </w:t>
      </w:r>
      <w:r w:rsidR="006944F8" w:rsidRPr="00C1421E">
        <w:rPr>
          <w:lang w:val="en-GB"/>
        </w:rPr>
        <w:t>– Corrigenda are not listed here.</w:t>
      </w:r>
    </w:p>
    <w:p w14:paraId="1F7CC3BC" w14:textId="77777777" w:rsidR="006A46AE" w:rsidRPr="00C1421E" w:rsidRDefault="006A46AE" w:rsidP="006A46AE">
      <w:pPr>
        <w:pStyle w:val="Headingb"/>
      </w:pPr>
      <w:bookmarkStart w:id="218" w:name="_Toc480527886"/>
      <w:bookmarkStart w:id="219" w:name="_Toc480527890"/>
      <w:bookmarkEnd w:id="214"/>
      <w:r w:rsidRPr="00C1421E">
        <w:t>I.1.1</w:t>
      </w:r>
      <w:r w:rsidRPr="00C1421E">
        <w:tab/>
      </w:r>
      <w:proofErr w:type="spellStart"/>
      <w:r w:rsidRPr="00C1421E">
        <w:t>G.fast</w:t>
      </w:r>
      <w:proofErr w:type="spellEnd"/>
      <w:r w:rsidRPr="00C1421E">
        <w:t xml:space="preserve"> and DSL: Breathing new life into existing copper infrastructure</w:t>
      </w:r>
    </w:p>
    <w:p w14:paraId="106DCC94" w14:textId="77777777" w:rsidR="006A46AE" w:rsidRPr="00C1421E" w:rsidRDefault="006A46AE" w:rsidP="006A46AE">
      <w:pPr>
        <w:rPr>
          <w:lang w:val="en-GB" w:eastAsia="en-US"/>
        </w:rPr>
      </w:pPr>
      <w:r w:rsidRPr="00C1421E">
        <w:rPr>
          <w:b/>
          <w:lang w:val="en-GB" w:eastAsia="en-US"/>
        </w:rPr>
        <w:t xml:space="preserve">ITU-T G.993.2 (revised) "Very high speed digital subscriber line transceivers 2 (VDSL2)" </w:t>
      </w:r>
      <w:r w:rsidRPr="00C1421E">
        <w:rPr>
          <w:lang w:val="en-GB" w:eastAsia="en-US"/>
        </w:rPr>
        <w:t xml:space="preserve">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C1421E">
        <w:rPr>
          <w:lang w:val="en-GB" w:eastAsia="en-US"/>
        </w:rPr>
        <w:t>MHz.</w:t>
      </w:r>
      <w:proofErr w:type="spellEnd"/>
    </w:p>
    <w:p w14:paraId="5F4E15F7" w14:textId="77777777" w:rsidR="006A46AE" w:rsidRPr="00C1421E" w:rsidRDefault="006A46AE" w:rsidP="006A46AE">
      <w:pPr>
        <w:rPr>
          <w:lang w:val="en-GB" w:eastAsia="en-US"/>
        </w:rPr>
      </w:pPr>
      <w:r w:rsidRPr="00C1421E">
        <w:rPr>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51AD9A84" w14:textId="77777777" w:rsidR="006A46AE" w:rsidRPr="001C37A8" w:rsidRDefault="006A46AE" w:rsidP="006A46AE">
      <w:pPr>
        <w:numPr>
          <w:ilvl w:val="0"/>
          <w:numId w:val="45"/>
        </w:numPr>
      </w:pPr>
      <w:r w:rsidRPr="001C37A8">
        <w:t xml:space="preserve">Method to address the </w:t>
      </w:r>
      <w:proofErr w:type="spellStart"/>
      <w:r w:rsidRPr="001C37A8">
        <w:t>misestimation</w:t>
      </w:r>
      <w:proofErr w:type="spellEnd"/>
      <w:r w:rsidRPr="001C37A8">
        <w:t xml:space="preserve"> of the SNR during MEDLEY (Amendment 2)</w:t>
      </w:r>
    </w:p>
    <w:p w14:paraId="0C0DA87A" w14:textId="77777777" w:rsidR="006A46AE" w:rsidRPr="001C37A8" w:rsidRDefault="006A46AE" w:rsidP="006A46AE">
      <w:pPr>
        <w:numPr>
          <w:ilvl w:val="0"/>
          <w:numId w:val="45"/>
        </w:numPr>
      </w:pPr>
      <w:r w:rsidRPr="001C37A8">
        <w:t>Segmentation of SOC messages for profile 35b (Corrigendum 1)</w:t>
      </w:r>
    </w:p>
    <w:p w14:paraId="030500BA" w14:textId="77777777" w:rsidR="006A46AE" w:rsidRPr="001C37A8" w:rsidRDefault="006A46AE" w:rsidP="006A46AE">
      <w:pPr>
        <w:numPr>
          <w:ilvl w:val="0"/>
          <w:numId w:val="45"/>
        </w:numPr>
      </w:pPr>
      <w:r w:rsidRPr="001C37A8">
        <w:t>Annex D: Long reach VDSL2 (Amendment 3)</w:t>
      </w:r>
    </w:p>
    <w:p w14:paraId="71F9A015" w14:textId="77777777" w:rsidR="006A46AE" w:rsidRPr="001C37A8" w:rsidRDefault="006A46AE" w:rsidP="006A46AE">
      <w:pPr>
        <w:numPr>
          <w:ilvl w:val="0"/>
          <w:numId w:val="45"/>
        </w:numPr>
      </w:pPr>
      <w:r w:rsidRPr="001C37A8">
        <w:t>Near-end anomalies for loss-of-power, host-</w:t>
      </w:r>
      <w:proofErr w:type="spellStart"/>
      <w:r w:rsidRPr="001C37A8">
        <w:t>reinit</w:t>
      </w:r>
      <w:proofErr w:type="spellEnd"/>
      <w:r w:rsidRPr="001C37A8">
        <w:t xml:space="preserve"> and spontaneous interruptions (Amendment 4)</w:t>
      </w:r>
    </w:p>
    <w:p w14:paraId="107F2E89" w14:textId="77777777" w:rsidR="006A46AE" w:rsidRPr="001C37A8" w:rsidRDefault="006A46AE" w:rsidP="006A46AE">
      <w:pPr>
        <w:numPr>
          <w:ilvl w:val="0"/>
          <w:numId w:val="45"/>
        </w:numPr>
      </w:pPr>
      <w:r w:rsidRPr="001C37A8">
        <w:t>Addition of operation per the North American region for profile 35b (Annex Q) (Amendment 4)</w:t>
      </w:r>
    </w:p>
    <w:p w14:paraId="7A28ED59" w14:textId="77777777" w:rsidR="006A46AE" w:rsidRPr="001C37A8" w:rsidRDefault="006A46AE" w:rsidP="006A46AE">
      <w:pPr>
        <w:numPr>
          <w:ilvl w:val="0"/>
          <w:numId w:val="45"/>
        </w:numPr>
      </w:pPr>
      <w:r w:rsidRPr="001C37A8">
        <w:t>Addition of operation per the China region for profile 35b (Annex Q) (new)</w:t>
      </w:r>
    </w:p>
    <w:p w14:paraId="0F265649" w14:textId="77777777" w:rsidR="006A46AE" w:rsidRPr="001C37A8" w:rsidRDefault="006A46AE" w:rsidP="006A46AE">
      <w:pPr>
        <w:numPr>
          <w:ilvl w:val="0"/>
          <w:numId w:val="45"/>
        </w:numPr>
      </w:pPr>
      <w:r w:rsidRPr="001C37A8">
        <w:t>Addition of Successful SRA counter (new)</w:t>
      </w:r>
    </w:p>
    <w:p w14:paraId="4CC8F82C" w14:textId="77777777" w:rsidR="006A46AE" w:rsidRPr="001C37A8" w:rsidRDefault="006A46AE" w:rsidP="006A46AE">
      <w:pPr>
        <w:numPr>
          <w:ilvl w:val="0"/>
          <w:numId w:val="45"/>
        </w:numPr>
      </w:pPr>
      <w:r w:rsidRPr="001C37A8">
        <w:t>Long reach VDSL2 corrigendum related to MAXNOMATP (new)</w:t>
      </w:r>
    </w:p>
    <w:p w14:paraId="54E59F07" w14:textId="77777777" w:rsidR="006A46AE" w:rsidRPr="001C37A8" w:rsidRDefault="006A46AE" w:rsidP="006A46AE">
      <w:pPr>
        <w:numPr>
          <w:ilvl w:val="0"/>
          <w:numId w:val="45"/>
        </w:numPr>
      </w:pPr>
      <w:r w:rsidRPr="001C37A8">
        <w:t>Corrigendum to MAXMASK definition in Table 7 5 (new)</w:t>
      </w:r>
    </w:p>
    <w:p w14:paraId="0812B0BB" w14:textId="77777777" w:rsidR="006A46AE" w:rsidRPr="001C37A8" w:rsidRDefault="006A46AE" w:rsidP="006A46AE">
      <w:pPr>
        <w:numPr>
          <w:ilvl w:val="0"/>
          <w:numId w:val="45"/>
        </w:numPr>
      </w:pPr>
      <w:r w:rsidRPr="001C37A8">
        <w:t>Corrigendum to use of US0 with 35b profile for the North-America region (new).</w:t>
      </w:r>
    </w:p>
    <w:p w14:paraId="50129999" w14:textId="77777777" w:rsidR="006A46AE" w:rsidRPr="00C1421E" w:rsidRDefault="006A46AE" w:rsidP="006A46AE">
      <w:pPr>
        <w:rPr>
          <w:lang w:val="en-GB" w:eastAsia="en-US"/>
        </w:rPr>
      </w:pPr>
      <w:r w:rsidRPr="00C1421E">
        <w:rPr>
          <w:b/>
          <w:lang w:val="en-GB" w:eastAsia="en-US"/>
        </w:rPr>
        <w:t>ITU-T G.993.5 (revised) "Self-FEXT cancellation (vectoring) for use with VDSL2 transceivers"</w:t>
      </w:r>
      <w:r w:rsidRPr="00C1421E">
        <w:rPr>
          <w:lang w:val="en-GB" w:eastAsia="en-US"/>
        </w:rPr>
        <w:t xml:space="preserve">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749B6E1A" w14:textId="77777777" w:rsidR="006A46AE" w:rsidRPr="001C37A8" w:rsidRDefault="006A46AE" w:rsidP="006A46AE">
      <w:pPr>
        <w:numPr>
          <w:ilvl w:val="0"/>
          <w:numId w:val="45"/>
        </w:numPr>
      </w:pPr>
      <w:r w:rsidRPr="001C37A8">
        <w:t>Typographical correction in clause 8.2 (Corrigendum 1)</w:t>
      </w:r>
    </w:p>
    <w:p w14:paraId="09DBCE64" w14:textId="77777777" w:rsidR="006A46AE" w:rsidRPr="001C37A8" w:rsidRDefault="006A46AE" w:rsidP="006A46AE">
      <w:pPr>
        <w:numPr>
          <w:ilvl w:val="0"/>
          <w:numId w:val="45"/>
        </w:numPr>
      </w:pPr>
      <w:r w:rsidRPr="001C37A8">
        <w:t>Generalization of the segmentation of SOC messages in clause 10.4.2.2 for vectoring of profile 35b (Corrigendum 1)</w:t>
      </w:r>
    </w:p>
    <w:p w14:paraId="50897804" w14:textId="77777777" w:rsidR="006A46AE" w:rsidRPr="001C37A8" w:rsidRDefault="006A46AE" w:rsidP="006A46AE">
      <w:pPr>
        <w:numPr>
          <w:ilvl w:val="0"/>
          <w:numId w:val="45"/>
        </w:numPr>
      </w:pPr>
      <w:r w:rsidRPr="001C37A8">
        <w:t>Transceiver O-DEACTIVATING state (Amendment 1)</w:t>
      </w:r>
    </w:p>
    <w:p w14:paraId="44CE194E" w14:textId="77777777" w:rsidR="006A46AE" w:rsidRPr="001C37A8" w:rsidRDefault="006A46AE" w:rsidP="006A46AE">
      <w:pPr>
        <w:numPr>
          <w:ilvl w:val="0"/>
          <w:numId w:val="45"/>
        </w:numPr>
      </w:pPr>
      <w:r w:rsidRPr="001C37A8">
        <w:t>Annex A: Mitigating strong FEXT (Amendment 2)</w:t>
      </w:r>
    </w:p>
    <w:p w14:paraId="31AD95BC" w14:textId="77777777" w:rsidR="006A46AE" w:rsidRPr="001C37A8" w:rsidRDefault="006A46AE" w:rsidP="006A46AE">
      <w:pPr>
        <w:numPr>
          <w:ilvl w:val="0"/>
          <w:numId w:val="45"/>
        </w:numPr>
      </w:pPr>
      <w:r w:rsidRPr="001C37A8">
        <w:t>Annex B: Vectored Long Reach VDSL2 (Amendment 2)</w:t>
      </w:r>
    </w:p>
    <w:p w14:paraId="6B562350" w14:textId="77777777" w:rsidR="006A46AE" w:rsidRPr="001C37A8" w:rsidRDefault="006A46AE" w:rsidP="006A46AE">
      <w:pPr>
        <w:numPr>
          <w:ilvl w:val="0"/>
          <w:numId w:val="45"/>
        </w:numPr>
      </w:pPr>
      <w:r w:rsidRPr="001C37A8">
        <w:t>Encoding of R-P-VECTOR-2 in LR mode with long loop operation (Annex B) (Corrigendum 2)</w:t>
      </w:r>
    </w:p>
    <w:p w14:paraId="6295A1FB" w14:textId="77777777" w:rsidR="006A46AE" w:rsidRPr="001C37A8" w:rsidRDefault="006A46AE" w:rsidP="006A46AE">
      <w:pPr>
        <w:numPr>
          <w:ilvl w:val="0"/>
          <w:numId w:val="45"/>
        </w:numPr>
      </w:pPr>
      <w:r w:rsidRPr="001C37A8">
        <w:t>Long reach VDSL2 corrigendum related to MAXNOMATP (new).</w:t>
      </w:r>
    </w:p>
    <w:p w14:paraId="21740602" w14:textId="77777777" w:rsidR="006A46AE" w:rsidRPr="00C1421E" w:rsidRDefault="006A46AE" w:rsidP="006A46AE">
      <w:pPr>
        <w:rPr>
          <w:lang w:val="en-GB" w:eastAsia="en-US"/>
        </w:rPr>
      </w:pPr>
      <w:r w:rsidRPr="00C1421E">
        <w:rPr>
          <w:b/>
          <w:lang w:val="en-GB" w:eastAsia="en-US"/>
        </w:rPr>
        <w:lastRenderedPageBreak/>
        <w:t>ITU-T G.997.1 (revised) "Physical layer management for digital subscriber line transceivers"</w:t>
      </w:r>
      <w:r w:rsidRPr="00C1421E">
        <w:rPr>
          <w:lang w:val="en-GB" w:eastAsia="en-US"/>
        </w:rPr>
        <w:t xml:space="preserve">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7B173CCF" w14:textId="77777777" w:rsidR="006A46AE" w:rsidRPr="001C37A8" w:rsidRDefault="006A46AE" w:rsidP="006A46AE">
      <w:r w:rsidRPr="001C37A8">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4584D958" w14:textId="77777777" w:rsidR="006A46AE" w:rsidRPr="001C37A8" w:rsidRDefault="006A46AE" w:rsidP="006A46AE">
      <w:pPr>
        <w:numPr>
          <w:ilvl w:val="0"/>
          <w:numId w:val="45"/>
        </w:numPr>
      </w:pPr>
      <w:r w:rsidRPr="001C37A8">
        <w:t>Add support for G.993.2 Annex N PSD masks.</w:t>
      </w:r>
    </w:p>
    <w:p w14:paraId="1492E076" w14:textId="77777777" w:rsidR="006A46AE" w:rsidRPr="001C37A8" w:rsidRDefault="006A46AE" w:rsidP="006A46AE">
      <w:pPr>
        <w:numPr>
          <w:ilvl w:val="0"/>
          <w:numId w:val="45"/>
        </w:numPr>
      </w:pPr>
      <w:r w:rsidRPr="001C37A8">
        <w:t>Add support of MAXEFTR and extend the definition of the parameters "error-free bits counter" and "MINEFTR" to apply to line with retransmission inactive.</w:t>
      </w:r>
    </w:p>
    <w:p w14:paraId="61B9BA06" w14:textId="77777777" w:rsidR="006A46AE" w:rsidRPr="00C1421E" w:rsidRDefault="006A46AE" w:rsidP="006A46AE">
      <w:pPr>
        <w:rPr>
          <w:lang w:val="en-GB" w:eastAsia="en-US"/>
        </w:rPr>
      </w:pPr>
      <w:r w:rsidRPr="00C1421E">
        <w:rPr>
          <w:b/>
          <w:lang w:val="en-GB" w:eastAsia="en-US"/>
        </w:rPr>
        <w:t xml:space="preserve">ITU-T G.997.2 (revised) "Physical layer management for </w:t>
      </w:r>
      <w:proofErr w:type="spellStart"/>
      <w:r w:rsidRPr="00C1421E">
        <w:rPr>
          <w:b/>
          <w:lang w:val="en-GB" w:eastAsia="en-US"/>
        </w:rPr>
        <w:t>G.fast</w:t>
      </w:r>
      <w:proofErr w:type="spellEnd"/>
      <w:r w:rsidRPr="00C1421E">
        <w:rPr>
          <w:b/>
          <w:lang w:val="en-GB" w:eastAsia="en-US"/>
        </w:rPr>
        <w:t xml:space="preserve"> transceivers"</w:t>
      </w:r>
      <w:r w:rsidRPr="00C1421E">
        <w:rPr>
          <w:lang w:val="en-GB" w:eastAsia="en-US"/>
        </w:rPr>
        <w:t xml:space="preserve"> specifies the physical layer management for fast access to subscriber terminals (</w:t>
      </w:r>
      <w:proofErr w:type="spellStart"/>
      <w:r w:rsidRPr="00C1421E">
        <w:rPr>
          <w:lang w:val="en-GB" w:eastAsia="en-US"/>
        </w:rPr>
        <w:t>G.fast</w:t>
      </w:r>
      <w:proofErr w:type="spellEnd"/>
      <w:r w:rsidRPr="00C1421E">
        <w:rPr>
          <w:lang w:val="en-GB" w:eastAsia="en-US"/>
        </w:rPr>
        <w:t xml:space="preserve">) transmission systems. It specifies managed objects for configuration, fault, status, </w:t>
      </w:r>
      <w:proofErr w:type="gramStart"/>
      <w:r w:rsidRPr="00C1421E">
        <w:rPr>
          <w:lang w:val="en-GB" w:eastAsia="en-US"/>
        </w:rPr>
        <w:t>inventory</w:t>
      </w:r>
      <w:proofErr w:type="gramEnd"/>
      <w:r w:rsidRPr="00C1421E">
        <w:rPr>
          <w:lang w:val="en-GB" w:eastAsia="en-US"/>
        </w:rPr>
        <w:t xml:space="preserve"> and performance management. The 2018 edition of this Recommendation integrates ITU-T G.997.2 (2015) and all its amendments and corrigenda. It adds the following new technical material:</w:t>
      </w:r>
    </w:p>
    <w:p w14:paraId="2D2269FF" w14:textId="77777777" w:rsidR="006A46AE" w:rsidRPr="00C1421E" w:rsidRDefault="006A46AE" w:rsidP="006A46AE">
      <w:pPr>
        <w:numPr>
          <w:ilvl w:val="0"/>
          <w:numId w:val="84"/>
        </w:numPr>
        <w:rPr>
          <w:lang w:val="en-GB" w:eastAsia="en-US"/>
        </w:rPr>
      </w:pPr>
      <w:r w:rsidRPr="00C1421E">
        <w:rPr>
          <w:lang w:val="en-GB" w:eastAsia="en-US"/>
        </w:rPr>
        <w:t>Correction on loss of power definition for RPF.</w:t>
      </w:r>
    </w:p>
    <w:p w14:paraId="1C49321B" w14:textId="77777777" w:rsidR="006A46AE" w:rsidRPr="00416693" w:rsidRDefault="006A46AE" w:rsidP="006A46AE">
      <w:pPr>
        <w:numPr>
          <w:ilvl w:val="0"/>
          <w:numId w:val="84"/>
        </w:numPr>
        <w:rPr>
          <w:lang w:val="en-GB" w:eastAsia="en-US"/>
        </w:rPr>
      </w:pPr>
      <w:r w:rsidRPr="00416693">
        <w:rPr>
          <w:lang w:val="en-GB" w:eastAsia="en-US"/>
        </w:rPr>
        <w:t xml:space="preserve">Correction to the special value of </w:t>
      </w:r>
      <w:proofErr w:type="spellStart"/>
      <w:r w:rsidRPr="00416693">
        <w:rPr>
          <w:lang w:val="en-GB" w:eastAsia="en-US"/>
        </w:rPr>
        <w:t>SNRps</w:t>
      </w:r>
      <w:proofErr w:type="spellEnd"/>
    </w:p>
    <w:p w14:paraId="3F1400D0" w14:textId="77777777" w:rsidR="006A46AE" w:rsidRPr="00416693" w:rsidRDefault="006A46AE" w:rsidP="006A46AE">
      <w:pPr>
        <w:numPr>
          <w:ilvl w:val="0"/>
          <w:numId w:val="84"/>
        </w:numPr>
        <w:rPr>
          <w:lang w:val="en-GB" w:eastAsia="en-US"/>
        </w:rPr>
      </w:pPr>
      <w:r w:rsidRPr="00416693">
        <w:rPr>
          <w:lang w:val="en-GB" w:eastAsia="en-US"/>
        </w:rPr>
        <w:t xml:space="preserve">Inclusion of managed objects for </w:t>
      </w:r>
      <w:proofErr w:type="spellStart"/>
      <w:r w:rsidRPr="00416693">
        <w:rPr>
          <w:lang w:val="en-GB" w:eastAsia="en-US"/>
        </w:rPr>
        <w:t>showtime</w:t>
      </w:r>
      <w:proofErr w:type="spellEnd"/>
      <w:r w:rsidRPr="00416693">
        <w:rPr>
          <w:lang w:val="en-GB" w:eastAsia="en-US"/>
        </w:rPr>
        <w:t xml:space="preserve"> reconfiguration</w:t>
      </w:r>
    </w:p>
    <w:p w14:paraId="7D6FFE94" w14:textId="77777777" w:rsidR="006A46AE" w:rsidRPr="00416693" w:rsidRDefault="006A46AE" w:rsidP="006A46AE">
      <w:pPr>
        <w:numPr>
          <w:ilvl w:val="0"/>
          <w:numId w:val="84"/>
        </w:numPr>
        <w:rPr>
          <w:lang w:val="en-GB" w:eastAsia="en-US"/>
        </w:rPr>
      </w:pPr>
      <w:r w:rsidRPr="00416693">
        <w:rPr>
          <w:lang w:val="en-GB" w:eastAsia="en-US"/>
        </w:rPr>
        <w:t xml:space="preserve">Correction to the range of valid values of </w:t>
      </w:r>
      <w:proofErr w:type="spellStart"/>
      <w:r w:rsidRPr="00416693">
        <w:rPr>
          <w:lang w:val="en-GB" w:eastAsia="en-US"/>
        </w:rPr>
        <w:t>LOM_PERSISTENCYds</w:t>
      </w:r>
      <w:proofErr w:type="spellEnd"/>
      <w:r w:rsidRPr="00416693">
        <w:rPr>
          <w:lang w:val="en-GB" w:eastAsia="en-US"/>
        </w:rPr>
        <w:t>/us</w:t>
      </w:r>
    </w:p>
    <w:p w14:paraId="4C867DDC" w14:textId="77777777" w:rsidR="006A46AE" w:rsidRPr="00416693" w:rsidRDefault="006A46AE" w:rsidP="006A46AE">
      <w:pPr>
        <w:numPr>
          <w:ilvl w:val="0"/>
          <w:numId w:val="84"/>
        </w:numPr>
        <w:rPr>
          <w:lang w:val="en-GB" w:eastAsia="en-US"/>
        </w:rPr>
      </w:pPr>
      <w:r w:rsidRPr="00416693">
        <w:rPr>
          <w:lang w:val="en-GB" w:eastAsia="en-US"/>
        </w:rPr>
        <w:t xml:space="preserve">Inclusion of managed objects </w:t>
      </w:r>
      <w:proofErr w:type="spellStart"/>
      <w:r w:rsidRPr="00416693">
        <w:rPr>
          <w:lang w:val="en-GB" w:eastAsia="en-US"/>
        </w:rPr>
        <w:t>CLASSMASKds</w:t>
      </w:r>
      <w:proofErr w:type="spellEnd"/>
      <w:r w:rsidRPr="00416693">
        <w:rPr>
          <w:lang w:val="en-GB" w:eastAsia="en-US"/>
        </w:rPr>
        <w:t>/us.</w:t>
      </w:r>
    </w:p>
    <w:p w14:paraId="5E9731C5" w14:textId="77777777" w:rsidR="006A46AE" w:rsidRPr="00C1421E" w:rsidRDefault="006A46AE" w:rsidP="006A46AE">
      <w:pPr>
        <w:rPr>
          <w:lang w:val="en-GB"/>
        </w:rPr>
      </w:pPr>
      <w:r w:rsidRPr="001C37A8">
        <w:rPr>
          <w:b/>
          <w:bCs/>
          <w:lang w:val="en-GB"/>
        </w:rPr>
        <w:t>ITU-T G.999.1 (revised) "Interface between the link layer and the physical layer for digital subscriber line (DSL) transceivers"</w:t>
      </w:r>
      <w:r w:rsidRPr="00C1421E">
        <w:rPr>
          <w:lang w:val="en-GB"/>
        </w:rPr>
        <w:t xml:space="preserve"> defines a point-to-point interface between the LINK layer device such as a network processor and a PHY device supporting multiple DSL lines, such as VDSL2, ADSL2, and SHDSL.</w:t>
      </w:r>
    </w:p>
    <w:p w14:paraId="695D2C07" w14:textId="77777777" w:rsidR="006A46AE" w:rsidRPr="007064AE" w:rsidRDefault="006A46AE" w:rsidP="006A46AE">
      <w:pPr>
        <w:rPr>
          <w:lang w:val="fr-FR"/>
        </w:rPr>
      </w:pPr>
      <w:proofErr w:type="spellStart"/>
      <w:r w:rsidRPr="007064AE">
        <w:rPr>
          <w:lang w:val="fr-FR"/>
        </w:rPr>
        <w:t>Corrigendum</w:t>
      </w:r>
      <w:proofErr w:type="spellEnd"/>
      <w:r w:rsidRPr="007064AE">
        <w:rPr>
          <w:lang w:val="fr-FR"/>
        </w:rPr>
        <w:t xml:space="preserve"> 1 to </w:t>
      </w:r>
      <w:proofErr w:type="spellStart"/>
      <w:r w:rsidRPr="007064AE">
        <w:rPr>
          <w:lang w:val="fr-FR"/>
        </w:rPr>
        <w:t>Recommendation</w:t>
      </w:r>
      <w:proofErr w:type="spellEnd"/>
      <w:r w:rsidRPr="007064AE">
        <w:rPr>
          <w:lang w:val="fr-FR"/>
        </w:rPr>
        <w:t xml:space="preserve"> ITU-T G.999.1 (2009) </w:t>
      </w:r>
      <w:proofErr w:type="spellStart"/>
      <w:r w:rsidRPr="007064AE">
        <w:rPr>
          <w:lang w:val="fr-FR"/>
        </w:rPr>
        <w:t>contains</w:t>
      </w:r>
      <w:proofErr w:type="spellEnd"/>
      <w:r w:rsidRPr="007064AE">
        <w:rPr>
          <w:lang w:val="fr-FR"/>
        </w:rPr>
        <w:t>:</w:t>
      </w:r>
    </w:p>
    <w:p w14:paraId="366F041A" w14:textId="77777777" w:rsidR="006A46AE" w:rsidRPr="00416693" w:rsidRDefault="006A46AE" w:rsidP="006A46AE">
      <w:pPr>
        <w:numPr>
          <w:ilvl w:val="0"/>
          <w:numId w:val="87"/>
        </w:numPr>
      </w:pPr>
      <w:r w:rsidRPr="00416693">
        <w:t>Resolution of an inconsistency with TCI bit mapping relative to IEEE 802.1q</w:t>
      </w:r>
    </w:p>
    <w:p w14:paraId="5BFD2113" w14:textId="77777777" w:rsidR="006A46AE" w:rsidRPr="00416693" w:rsidRDefault="006A46AE" w:rsidP="006A46AE">
      <w:pPr>
        <w:numPr>
          <w:ilvl w:val="0"/>
          <w:numId w:val="87"/>
        </w:numPr>
      </w:pPr>
      <w:r w:rsidRPr="00416693">
        <w:t>Clarification of LENGTH field bit mapping</w:t>
      </w:r>
    </w:p>
    <w:p w14:paraId="18EAC89F" w14:textId="77777777" w:rsidR="006A46AE" w:rsidRPr="00416693" w:rsidRDefault="006A46AE" w:rsidP="006A46AE">
      <w:pPr>
        <w:numPr>
          <w:ilvl w:val="0"/>
          <w:numId w:val="87"/>
        </w:numPr>
      </w:pPr>
      <w:r w:rsidRPr="00416693">
        <w:t>Editorial corrections and clarifications to various clauses throughout the Recommendation.</w:t>
      </w:r>
    </w:p>
    <w:p w14:paraId="021F32C3" w14:textId="77777777" w:rsidR="006A46AE" w:rsidRPr="00416693" w:rsidRDefault="006A46AE" w:rsidP="006A46AE">
      <w:r w:rsidRPr="00416693">
        <w:t>Amendment 1 to Recommendation ITU-T G.999.1 (2009) provides the following update:</w:t>
      </w:r>
    </w:p>
    <w:p w14:paraId="01EB22C2" w14:textId="77777777" w:rsidR="006A46AE" w:rsidRPr="00416693" w:rsidRDefault="006A46AE" w:rsidP="006A46AE">
      <w:pPr>
        <w:numPr>
          <w:ilvl w:val="0"/>
          <w:numId w:val="88"/>
        </w:numPr>
      </w:pPr>
      <w:r w:rsidRPr="00416693">
        <w:t>Revision to clause 6.3 with extension for flow control on the PHY-to-LINK data stream over gamma reference point.</w:t>
      </w:r>
    </w:p>
    <w:p w14:paraId="34A11DA2" w14:textId="77777777" w:rsidR="006A46AE" w:rsidRPr="00416693" w:rsidRDefault="006A46AE" w:rsidP="006A46AE">
      <w:pPr>
        <w:numPr>
          <w:ilvl w:val="0"/>
          <w:numId w:val="88"/>
        </w:numPr>
      </w:pPr>
      <w:r w:rsidRPr="00416693">
        <w:t>Update of clause 7, Table 7-1 Configuration parameters for the encapsulation.</w:t>
      </w:r>
    </w:p>
    <w:p w14:paraId="23FAA052" w14:textId="77777777" w:rsidR="006A46AE" w:rsidRPr="001C37A8" w:rsidRDefault="006A46AE" w:rsidP="006A46AE">
      <w:pPr>
        <w:rPr>
          <w:lang w:val="en-GB"/>
        </w:rPr>
      </w:pPr>
      <w:r w:rsidRPr="001C37A8">
        <w:rPr>
          <w:lang w:val="en-GB"/>
        </w:rPr>
        <w:t xml:space="preserve">This revision adds support for 2.5 </w:t>
      </w:r>
      <w:proofErr w:type="spellStart"/>
      <w:r w:rsidRPr="001C37A8">
        <w:rPr>
          <w:lang w:val="en-GB"/>
        </w:rPr>
        <w:t>Gbit</w:t>
      </w:r>
      <w:proofErr w:type="spellEnd"/>
      <w:r w:rsidRPr="001C37A8">
        <w:rPr>
          <w:lang w:val="en-GB"/>
        </w:rPr>
        <w:t xml:space="preserve">/s and 10 </w:t>
      </w:r>
      <w:proofErr w:type="spellStart"/>
      <w:r w:rsidRPr="001C37A8">
        <w:rPr>
          <w:lang w:val="en-GB"/>
        </w:rPr>
        <w:t>Gbit</w:t>
      </w:r>
      <w:proofErr w:type="spellEnd"/>
      <w:r w:rsidRPr="001C37A8">
        <w:rPr>
          <w:lang w:val="en-GB"/>
        </w:rPr>
        <w:t>/s LINK/PHY physical interfaces.</w:t>
      </w:r>
    </w:p>
    <w:p w14:paraId="60E53F21" w14:textId="77777777" w:rsidR="006A46AE" w:rsidRPr="00C1421E" w:rsidRDefault="006A46AE" w:rsidP="006A46AE">
      <w:pPr>
        <w:rPr>
          <w:lang w:val="en-GB" w:eastAsia="en-US"/>
        </w:rPr>
      </w:pPr>
      <w:r w:rsidRPr="00C1421E">
        <w:rPr>
          <w:b/>
          <w:lang w:val="en-GB" w:eastAsia="en-US"/>
        </w:rPr>
        <w:t>ITU-T G.9700 (revised) "Fast access to subscriber terminals (</w:t>
      </w:r>
      <w:proofErr w:type="spellStart"/>
      <w:r w:rsidRPr="00C1421E">
        <w:rPr>
          <w:b/>
          <w:lang w:val="en-GB" w:eastAsia="en-US"/>
        </w:rPr>
        <w:t>G.fast</w:t>
      </w:r>
      <w:proofErr w:type="spellEnd"/>
      <w:r w:rsidRPr="00C1421E">
        <w:rPr>
          <w:b/>
          <w:lang w:val="en-GB" w:eastAsia="en-US"/>
        </w:rPr>
        <w:t>) – Power spectral density specification"</w:t>
      </w:r>
      <w:r w:rsidRPr="00C1421E">
        <w:rPr>
          <w:lang w:val="en-GB" w:eastAsia="en-US"/>
        </w:rPr>
        <w:t xml:space="preserve"> specifies power spectral density (PSD) mask requirements for fast access to subscriber terminals (</w:t>
      </w:r>
      <w:proofErr w:type="spellStart"/>
      <w:r w:rsidRPr="00C1421E">
        <w:rPr>
          <w:lang w:val="en-GB" w:eastAsia="en-US"/>
        </w:rPr>
        <w:t>G.fast</w:t>
      </w:r>
      <w:proofErr w:type="spellEnd"/>
      <w:r w:rsidRPr="00C1421E">
        <w:rPr>
          <w:lang w:val="en-GB" w:eastAsia="en-US"/>
        </w:rPr>
        <w:t xml:space="preserve">), a set of tools to support reduction of the transmit PSD mask, profile control parameters that determine spectral content, including the allowable maximum aggregate transmit power into a specified termination impedance, and a methodology for transmit PSD </w:t>
      </w:r>
      <w:r w:rsidRPr="00C1421E">
        <w:rPr>
          <w:lang w:val="en-GB" w:eastAsia="en-US"/>
        </w:rPr>
        <w:lastRenderedPageBreak/>
        <w:t>verification. It complements the physical layer (PHY) specification in Recommendation ITU-T G.9701.</w:t>
      </w:r>
    </w:p>
    <w:p w14:paraId="55B3D0EB" w14:textId="77777777" w:rsidR="006A46AE" w:rsidRPr="00C1421E" w:rsidRDefault="006A46AE" w:rsidP="006A46AE">
      <w:pPr>
        <w:rPr>
          <w:lang w:val="en-GB" w:eastAsia="en-US"/>
        </w:rPr>
      </w:pPr>
      <w:r w:rsidRPr="00C1421E">
        <w:rPr>
          <w:lang w:val="en-GB" w:eastAsia="en-US"/>
        </w:rPr>
        <w:t xml:space="preserve">Amendment 1 provided support for a new 106 MHz profile with +8 </w:t>
      </w:r>
      <w:proofErr w:type="spellStart"/>
      <w:r w:rsidRPr="00C1421E">
        <w:rPr>
          <w:lang w:val="en-GB" w:eastAsia="en-US"/>
        </w:rPr>
        <w:t>dBm</w:t>
      </w:r>
      <w:proofErr w:type="spellEnd"/>
      <w:r w:rsidRPr="00C1421E">
        <w:rPr>
          <w:lang w:val="en-GB" w:eastAsia="en-US"/>
        </w:rPr>
        <w:t xml:space="preserve"> maximum aggregate transmit power.</w:t>
      </w:r>
    </w:p>
    <w:p w14:paraId="6E62B1D7" w14:textId="77777777" w:rsidR="006A46AE" w:rsidRPr="00C1421E" w:rsidRDefault="006A46AE" w:rsidP="006A46AE">
      <w:pPr>
        <w:rPr>
          <w:lang w:val="en-GB" w:eastAsia="en-US"/>
        </w:rPr>
      </w:pPr>
      <w:r w:rsidRPr="00C1421E">
        <w:rPr>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5B4D8994" w14:textId="77777777" w:rsidR="006A46AE" w:rsidRPr="00C1421E" w:rsidRDefault="006A46AE" w:rsidP="006A46AE">
      <w:pPr>
        <w:rPr>
          <w:b/>
          <w:lang w:val="en-GB" w:eastAsia="en-US"/>
        </w:rPr>
      </w:pPr>
      <w:r w:rsidRPr="00C1421E">
        <w:rPr>
          <w:lang w:val="en-GB" w:eastAsia="en-US"/>
        </w:rPr>
        <w:t>The 2019 version of ITU-T G.9700 integrates the previous version and its amendments, and adds a new 106 MHz limit PSD mask intended to be used for transmission over networks with increased shielding, such as those with shielded cables or where cables are buried underground.</w:t>
      </w:r>
    </w:p>
    <w:p w14:paraId="48A3D200" w14:textId="77777777" w:rsidR="006A46AE" w:rsidRPr="00C1421E" w:rsidRDefault="006A46AE" w:rsidP="006A46AE">
      <w:pPr>
        <w:rPr>
          <w:lang w:val="en-GB" w:eastAsia="en-US"/>
        </w:rPr>
      </w:pPr>
      <w:r w:rsidRPr="00C1421E">
        <w:rPr>
          <w:b/>
          <w:lang w:val="en-GB" w:eastAsia="en-US"/>
        </w:rPr>
        <w:t>ITU-T G.9701 (revised) "Fast access to subscriber terminals (</w:t>
      </w:r>
      <w:proofErr w:type="spellStart"/>
      <w:r w:rsidRPr="00C1421E">
        <w:rPr>
          <w:b/>
          <w:lang w:val="en-GB" w:eastAsia="en-US"/>
        </w:rPr>
        <w:t>G.fast</w:t>
      </w:r>
      <w:proofErr w:type="spellEnd"/>
      <w:r w:rsidRPr="00C1421E">
        <w:rPr>
          <w:b/>
          <w:lang w:val="en-GB" w:eastAsia="en-US"/>
        </w:rPr>
        <w:t>) – Physical layer specification"</w:t>
      </w:r>
      <w:r w:rsidRPr="00C1421E">
        <w:rPr>
          <w:lang w:val="en-GB" w:eastAsia="en-US"/>
        </w:rPr>
        <w:t xml:space="preserve">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C1421E">
        <w:rPr>
          <w:lang w:val="en-GB" w:eastAsia="en-US"/>
        </w:rPr>
        <w:t>FTTdp</w:t>
      </w:r>
      <w:proofErr w:type="spellEnd"/>
      <w:r w:rsidRPr="00C1421E">
        <w:rPr>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C1421E">
        <w:rPr>
          <w:lang w:val="en-GB" w:eastAsia="en-US"/>
        </w:rPr>
        <w:t>Gbit</w:t>
      </w:r>
      <w:proofErr w:type="spellEnd"/>
      <w:r w:rsidRPr="00C1421E">
        <w:rPr>
          <w:lang w:val="en-GB" w:eastAsia="en-US"/>
        </w:rPr>
        <w:t>/s on twisted wire-pairs using spectrum up to 106 MHz and specifies all necessary functionality to support far-end crosstalk (FEXT) cancellation between multiple wire-pairs, and facilitates low power operation.</w:t>
      </w:r>
    </w:p>
    <w:p w14:paraId="4FBC1EAB" w14:textId="77777777" w:rsidR="006A46AE" w:rsidRPr="00C1421E" w:rsidRDefault="006A46AE" w:rsidP="006A46AE">
      <w:pPr>
        <w:rPr>
          <w:lang w:val="en-GB" w:eastAsia="en-US"/>
        </w:rPr>
      </w:pPr>
      <w:r w:rsidRPr="00C1421E">
        <w:rPr>
          <w:lang w:val="en-GB" w:eastAsia="en-US"/>
        </w:rPr>
        <w:t>Corrigendum 1 (2015) provides clarifications and corrects various errors in the Recommendation, and in particular includes a change to the definition of DFT output samples.</w:t>
      </w:r>
    </w:p>
    <w:p w14:paraId="7EF169B3" w14:textId="77777777" w:rsidR="006A46AE" w:rsidRPr="00C1421E" w:rsidRDefault="006A46AE" w:rsidP="006A46AE">
      <w:pPr>
        <w:rPr>
          <w:lang w:val="en-GB" w:eastAsia="en-US"/>
        </w:rPr>
      </w:pPr>
      <w:r w:rsidRPr="00C1421E">
        <w:rPr>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C1421E">
        <w:rPr>
          <w:lang w:val="en-GB" w:eastAsia="en-US"/>
        </w:rPr>
        <w:t>eoc</w:t>
      </w:r>
      <w:proofErr w:type="spellEnd"/>
      <w:r w:rsidRPr="00C1421E">
        <w:rPr>
          <w:lang w:val="en-GB" w:eastAsia="en-US"/>
        </w:rPr>
        <w:t xml:space="preserve"> messages.</w:t>
      </w:r>
    </w:p>
    <w:p w14:paraId="0E70E13B" w14:textId="77777777" w:rsidR="006A46AE" w:rsidRPr="00C1421E" w:rsidRDefault="006A46AE" w:rsidP="006A46AE">
      <w:pPr>
        <w:rPr>
          <w:lang w:val="en-GB" w:eastAsia="en-US"/>
        </w:rPr>
      </w:pPr>
      <w:r w:rsidRPr="00C1421E">
        <w:rPr>
          <w:lang w:val="en-GB" w:eastAsia="en-US"/>
        </w:rPr>
        <w:t>Amendment 1 (2016) specifies test parameters, some of which had previously been left for further study, and specifies support for low power operation.</w:t>
      </w:r>
    </w:p>
    <w:p w14:paraId="1B7D48D0" w14:textId="77777777" w:rsidR="006A46AE" w:rsidRPr="00C1421E" w:rsidRDefault="006A46AE" w:rsidP="006A46AE">
      <w:pPr>
        <w:rPr>
          <w:lang w:val="en-GB" w:eastAsia="en-US"/>
        </w:rPr>
      </w:pPr>
      <w:r w:rsidRPr="00C1421E">
        <w:rPr>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C1421E">
        <w:rPr>
          <w:lang w:val="en-GB" w:eastAsia="en-US"/>
        </w:rPr>
        <w:t>Hlog</w:t>
      </w:r>
      <w:proofErr w:type="spellEnd"/>
      <w:r w:rsidRPr="00C1421E">
        <w:rPr>
          <w:lang w:val="en-GB" w:eastAsia="en-US"/>
        </w:rPr>
        <w:t xml:space="preserve"> reporting in both directions, and </w:t>
      </w:r>
      <w:proofErr w:type="spellStart"/>
      <w:r w:rsidRPr="00C1421E">
        <w:rPr>
          <w:lang w:val="en-GB" w:eastAsia="en-US"/>
        </w:rPr>
        <w:t>Xlog</w:t>
      </w:r>
      <w:proofErr w:type="spellEnd"/>
      <w:r w:rsidRPr="00C1421E">
        <w:rPr>
          <w:lang w:val="en-GB" w:eastAsia="en-US"/>
        </w:rPr>
        <w:t xml:space="preserve"> reporting.</w:t>
      </w:r>
    </w:p>
    <w:p w14:paraId="305F05C4" w14:textId="77777777" w:rsidR="006A46AE" w:rsidRPr="00C1421E" w:rsidRDefault="006A46AE" w:rsidP="006A46AE">
      <w:pPr>
        <w:rPr>
          <w:lang w:val="en-GB" w:eastAsia="en-US"/>
        </w:rPr>
      </w:pPr>
      <w:r w:rsidRPr="00C1421E">
        <w:rPr>
          <w:lang w:val="en-GB" w:eastAsia="en-US"/>
        </w:rPr>
        <w:t>Corrigendum 3 (2017) adds several clarifications, and fixes various errors and inconsistencies.</w:t>
      </w:r>
    </w:p>
    <w:p w14:paraId="486CFE81" w14:textId="77777777" w:rsidR="006A46AE" w:rsidRPr="00C1421E" w:rsidRDefault="006A46AE" w:rsidP="006A46AE">
      <w:pPr>
        <w:rPr>
          <w:lang w:val="en-GB" w:eastAsia="en-US"/>
        </w:rPr>
      </w:pPr>
      <w:r w:rsidRPr="00C1421E">
        <w:rPr>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C1421E">
        <w:rPr>
          <w:lang w:val="en-GB" w:eastAsia="en-US"/>
        </w:rPr>
        <w:t>iDTA</w:t>
      </w:r>
      <w:proofErr w:type="spellEnd"/>
      <w:r w:rsidRPr="00C1421E">
        <w:rPr>
          <w:lang w:val="en-GB" w:eastAsia="en-US"/>
        </w:rPr>
        <w:t>), Annex T – higher layer control aspects of DTA, and Annex S – software download to NTs.</w:t>
      </w:r>
    </w:p>
    <w:p w14:paraId="186C6D96" w14:textId="77777777" w:rsidR="006A46AE" w:rsidRPr="00C1421E" w:rsidRDefault="006A46AE" w:rsidP="006A46AE">
      <w:pPr>
        <w:rPr>
          <w:lang w:val="en-GB" w:eastAsia="en-US"/>
        </w:rPr>
      </w:pPr>
      <w:r w:rsidRPr="00C1421E">
        <w:rPr>
          <w:lang w:val="en-GB" w:eastAsia="en-US"/>
        </w:rPr>
        <w:t>Amendment 4 supports new functionality for impulse noise monitoring (INM), robust management channel recovery (RMCR), and performance monitoring parameter ANDEFTR.</w:t>
      </w:r>
    </w:p>
    <w:p w14:paraId="12B4DB5A" w14:textId="77777777" w:rsidR="006A46AE" w:rsidRPr="00C1421E" w:rsidRDefault="006A46AE" w:rsidP="006A46AE">
      <w:pPr>
        <w:rPr>
          <w:lang w:val="en-GB" w:eastAsia="en-US"/>
        </w:rPr>
      </w:pPr>
      <w:r w:rsidRPr="00C1421E">
        <w:rPr>
          <w:lang w:val="en-GB" w:eastAsia="en-US"/>
        </w:rPr>
        <w:t>Corrigendum 5 adds several clarifications, and fixes various errors and inconsistencies.</w:t>
      </w:r>
    </w:p>
    <w:p w14:paraId="3F4FC697" w14:textId="77777777" w:rsidR="006A46AE" w:rsidRPr="00C1421E" w:rsidRDefault="006A46AE" w:rsidP="006A46AE">
      <w:pPr>
        <w:rPr>
          <w:lang w:val="en-GB" w:eastAsia="en-US"/>
        </w:rPr>
      </w:pPr>
      <w:r w:rsidRPr="00C1421E">
        <w:rPr>
          <w:lang w:val="en-GB" w:eastAsia="en-US"/>
        </w:rPr>
        <w:t>Amendment 5 adds support for coordinated dynamic time assignment (</w:t>
      </w:r>
      <w:proofErr w:type="spellStart"/>
      <w:r w:rsidRPr="00C1421E">
        <w:rPr>
          <w:lang w:val="en-GB" w:eastAsia="en-US"/>
        </w:rPr>
        <w:t>cDTA</w:t>
      </w:r>
      <w:proofErr w:type="spellEnd"/>
      <w:r w:rsidRPr="00C1421E">
        <w:rPr>
          <w:lang w:val="en-GB" w:eastAsia="en-US"/>
        </w:rPr>
        <w:t>).</w:t>
      </w:r>
    </w:p>
    <w:p w14:paraId="72825FDA" w14:textId="77777777" w:rsidR="006A46AE" w:rsidRPr="00C1421E" w:rsidRDefault="006A46AE" w:rsidP="006A46AE">
      <w:pPr>
        <w:rPr>
          <w:lang w:val="en-GB" w:eastAsia="en-US"/>
        </w:rPr>
      </w:pPr>
      <w:r w:rsidRPr="00C1421E">
        <w:rPr>
          <w:lang w:val="en-GB" w:eastAsia="en-US"/>
        </w:rPr>
        <w:t>Corrigendum 6 includes:</w:t>
      </w:r>
    </w:p>
    <w:p w14:paraId="0EA4159A" w14:textId="77777777" w:rsidR="006A46AE" w:rsidRPr="00C1421E" w:rsidRDefault="006A46AE" w:rsidP="006A46AE">
      <w:pPr>
        <w:numPr>
          <w:ilvl w:val="0"/>
          <w:numId w:val="90"/>
        </w:numPr>
        <w:rPr>
          <w:lang w:val="en-GB" w:eastAsia="en-US"/>
        </w:rPr>
      </w:pPr>
      <w:r w:rsidRPr="00C1421E">
        <w:rPr>
          <w:lang w:val="en-GB" w:eastAsia="en-US"/>
        </w:rPr>
        <w:t>Correction of Figure 10-25 in §10.4.4 "Cyclic extension and windowing" according to Q4-180423-C29 (Issue 10.71).</w:t>
      </w:r>
    </w:p>
    <w:p w14:paraId="47DD5B89" w14:textId="77777777" w:rsidR="006A46AE" w:rsidRPr="00C1421E" w:rsidRDefault="006A46AE" w:rsidP="006A46AE">
      <w:pPr>
        <w:numPr>
          <w:ilvl w:val="0"/>
          <w:numId w:val="90"/>
        </w:numPr>
        <w:rPr>
          <w:lang w:val="en-GB" w:eastAsia="en-US"/>
        </w:rPr>
      </w:pPr>
      <w:r w:rsidRPr="00C1421E">
        <w:rPr>
          <w:lang w:val="en-GB" w:eastAsia="en-US"/>
        </w:rPr>
        <w:lastRenderedPageBreak/>
        <w:t>Revision of the text on §11.2.2.5 "OLR commands and responses" according to Q4-180423-C31R1 (Issue 10.73). Further revised according to WD1018 (Issue 10.79).</w:t>
      </w:r>
    </w:p>
    <w:p w14:paraId="120D5F27" w14:textId="77777777" w:rsidR="006A46AE" w:rsidRPr="00C1421E" w:rsidRDefault="006A46AE" w:rsidP="006A46AE">
      <w:pPr>
        <w:numPr>
          <w:ilvl w:val="0"/>
          <w:numId w:val="90"/>
        </w:numPr>
        <w:rPr>
          <w:lang w:val="en-GB" w:eastAsia="en-US"/>
        </w:rPr>
      </w:pPr>
      <w:r w:rsidRPr="00C1421E">
        <w:rPr>
          <w:lang w:val="en-GB" w:eastAsia="en-US"/>
        </w:rPr>
        <w:t>Revision of the text of §13.2.1.1 "SRA procedures" according to Q4-180423-C20R1 (Issue 10.70). Further revised according to Q4-180423-C32R1 (Issue 10.73). Further revised according to WD1018 (Issue 10.79).</w:t>
      </w:r>
    </w:p>
    <w:p w14:paraId="2608207B" w14:textId="77777777" w:rsidR="006A46AE" w:rsidRPr="00C1421E" w:rsidRDefault="006A46AE" w:rsidP="006A46AE">
      <w:pPr>
        <w:numPr>
          <w:ilvl w:val="0"/>
          <w:numId w:val="90"/>
        </w:numPr>
        <w:rPr>
          <w:lang w:val="en-GB" w:eastAsia="en-US"/>
        </w:rPr>
      </w:pPr>
      <w:r w:rsidRPr="00C1421E">
        <w:rPr>
          <w:lang w:val="en-GB" w:eastAsia="en-US"/>
        </w:rPr>
        <w:t>Revision of the text of §13.3.1.1.1.1 "FRA time window (</w:t>
      </w:r>
      <w:proofErr w:type="spellStart"/>
      <w:r w:rsidRPr="00C1421E">
        <w:rPr>
          <w:lang w:val="en-GB" w:eastAsia="en-US"/>
        </w:rPr>
        <w:t>fra</w:t>
      </w:r>
      <w:proofErr w:type="spellEnd"/>
      <w:r w:rsidRPr="00C1421E">
        <w:rPr>
          <w:lang w:val="en-GB" w:eastAsia="en-US"/>
        </w:rPr>
        <w:t>-time)" according to Q4-180423-C30R1 (Issue 10.72).</w:t>
      </w:r>
    </w:p>
    <w:p w14:paraId="20D2C2D6" w14:textId="77777777" w:rsidR="006A46AE" w:rsidRPr="00C1421E" w:rsidRDefault="006A46AE" w:rsidP="006A46AE">
      <w:pPr>
        <w:numPr>
          <w:ilvl w:val="0"/>
          <w:numId w:val="90"/>
        </w:numPr>
        <w:rPr>
          <w:lang w:val="en-GB" w:eastAsia="en-US"/>
        </w:rPr>
      </w:pPr>
      <w:r w:rsidRPr="00C1421E">
        <w:rPr>
          <w:lang w:val="en-GB" w:eastAsia="en-US"/>
        </w:rPr>
        <w:t>Replacing BRMC with NRMC in §9.5 according to Q4-180625-C34 (Issue 10.75).</w:t>
      </w:r>
    </w:p>
    <w:p w14:paraId="50894F67" w14:textId="77777777" w:rsidR="006A46AE" w:rsidRPr="00C1421E" w:rsidRDefault="006A46AE" w:rsidP="006A46AE">
      <w:pPr>
        <w:numPr>
          <w:ilvl w:val="0"/>
          <w:numId w:val="90"/>
        </w:numPr>
        <w:rPr>
          <w:lang w:val="en-GB" w:eastAsia="en-US"/>
        </w:rPr>
      </w:pPr>
      <w:r w:rsidRPr="00C1421E">
        <w:rPr>
          <w:lang w:val="en-GB" w:eastAsia="en-US"/>
        </w:rPr>
        <w:t>Revision of the text of §11.3.1.1 "Near end anomalies" according to Q4-180827-C02R1 (Issue 10.74).</w:t>
      </w:r>
    </w:p>
    <w:p w14:paraId="3EB7FD15" w14:textId="77777777" w:rsidR="006A46AE" w:rsidRPr="00C1421E" w:rsidRDefault="006A46AE" w:rsidP="006A46AE">
      <w:pPr>
        <w:numPr>
          <w:ilvl w:val="0"/>
          <w:numId w:val="90"/>
        </w:numPr>
        <w:rPr>
          <w:lang w:val="en-GB" w:eastAsia="en-US"/>
        </w:rPr>
      </w:pPr>
      <w:r w:rsidRPr="00C1421E">
        <w:rPr>
          <w:lang w:val="en-GB" w:eastAsia="en-US"/>
        </w:rPr>
        <w:t>Revision of the text of §11.4.4.7.3.3 "INM inter arrival time histogram primitives" according to Q4-180827-C17R1 (Issue 10.78.1).</w:t>
      </w:r>
    </w:p>
    <w:p w14:paraId="3374E03A" w14:textId="77777777" w:rsidR="006A46AE" w:rsidRPr="00C1421E" w:rsidRDefault="006A46AE" w:rsidP="006A46AE">
      <w:pPr>
        <w:numPr>
          <w:ilvl w:val="0"/>
          <w:numId w:val="90"/>
        </w:numPr>
        <w:rPr>
          <w:lang w:val="en-GB" w:eastAsia="en-US"/>
        </w:rPr>
      </w:pPr>
      <w:r w:rsidRPr="00C1421E">
        <w:rPr>
          <w:lang w:val="en-GB" w:eastAsia="en-US"/>
        </w:rPr>
        <w:t>Revision of the text of §11.4.1.2.2 "Signal-to-noise ratio per subcarrier (SNR-</w:t>
      </w:r>
      <w:proofErr w:type="spellStart"/>
      <w:r w:rsidRPr="00C1421E">
        <w:rPr>
          <w:lang w:val="en-GB" w:eastAsia="en-US"/>
        </w:rPr>
        <w:t>ps</w:t>
      </w:r>
      <w:proofErr w:type="spellEnd"/>
      <w:r w:rsidRPr="00C1421E">
        <w:rPr>
          <w:lang w:val="en-GB" w:eastAsia="en-US"/>
        </w:rPr>
        <w:t>)" according to Q4-180827-WD02R1 (Issue 10.76.1).</w:t>
      </w:r>
    </w:p>
    <w:p w14:paraId="25CAE37E" w14:textId="77777777" w:rsidR="006A46AE" w:rsidRPr="00C1421E" w:rsidRDefault="006A46AE" w:rsidP="006A46AE">
      <w:pPr>
        <w:numPr>
          <w:ilvl w:val="0"/>
          <w:numId w:val="90"/>
        </w:numPr>
        <w:rPr>
          <w:lang w:val="en-GB" w:eastAsia="en-US"/>
        </w:rPr>
      </w:pPr>
      <w:r w:rsidRPr="00C1421E">
        <w:rPr>
          <w:lang w:val="en-GB" w:eastAsia="en-US"/>
        </w:rPr>
        <w:t>Revision of the text of §12.3.4.2.1 "O-MSG 1", §12.3.4.2.2 "R-MSG 2", and §11.2.2.11 "Management counter read commands responses" according to WD1015 (Issue 10.77.1.1).</w:t>
      </w:r>
    </w:p>
    <w:p w14:paraId="73862B1E" w14:textId="77777777" w:rsidR="006A46AE" w:rsidRPr="00C1421E" w:rsidRDefault="006A46AE" w:rsidP="006A46AE">
      <w:pPr>
        <w:rPr>
          <w:lang w:val="en-GB" w:eastAsia="en-US"/>
        </w:rPr>
      </w:pPr>
      <w:r w:rsidRPr="00C1421E">
        <w:rPr>
          <w:lang w:val="en-GB" w:eastAsia="en-US"/>
        </w:rPr>
        <w:t>Amendment 6 includes:</w:t>
      </w:r>
    </w:p>
    <w:p w14:paraId="7D310FA3" w14:textId="77777777" w:rsidR="006A46AE" w:rsidRPr="00C1421E" w:rsidRDefault="006A46AE" w:rsidP="006A46AE">
      <w:pPr>
        <w:numPr>
          <w:ilvl w:val="0"/>
          <w:numId w:val="92"/>
        </w:numPr>
        <w:rPr>
          <w:lang w:val="en-GB" w:eastAsia="en-US"/>
        </w:rPr>
      </w:pPr>
      <w:r w:rsidRPr="00C1421E">
        <w:rPr>
          <w:lang w:val="en-GB" w:eastAsia="en-US"/>
        </w:rPr>
        <w:t>Addition of new §5.6 "Reconfiguration of the line" according to Q4-180423-WD04R1 (Issue 20.32.76). Further revised according to Q4-180625-C02R1 (Issue 20.32.82). Further revised according to Q4-180827-WD03R2 (Issue 20.32.88).</w:t>
      </w:r>
    </w:p>
    <w:p w14:paraId="5E31D63A" w14:textId="77777777" w:rsidR="006A46AE" w:rsidRPr="00C1421E" w:rsidRDefault="006A46AE" w:rsidP="006A46AE">
      <w:pPr>
        <w:numPr>
          <w:ilvl w:val="0"/>
          <w:numId w:val="92"/>
        </w:numPr>
        <w:rPr>
          <w:lang w:val="en-GB" w:eastAsia="en-US"/>
        </w:rPr>
      </w:pPr>
      <w:r w:rsidRPr="00C1421E">
        <w:rPr>
          <w:lang w:val="en-GB" w:eastAsia="en-US"/>
        </w:rPr>
        <w:t>Revision of the text of §10.2.2.1 "Sync symbol encoder" according to Q4-180827-C26R1 (Issue 20.57.2). Further revised according to C1040R1 (Issue 20.57.3).</w:t>
      </w:r>
    </w:p>
    <w:p w14:paraId="38F44C35" w14:textId="77777777" w:rsidR="006A46AE" w:rsidRPr="00C1421E" w:rsidRDefault="006A46AE" w:rsidP="006A46AE">
      <w:pPr>
        <w:numPr>
          <w:ilvl w:val="0"/>
          <w:numId w:val="92"/>
        </w:numPr>
        <w:rPr>
          <w:lang w:val="en-GB" w:eastAsia="en-US"/>
        </w:rPr>
      </w:pPr>
      <w:r w:rsidRPr="00C1421E">
        <w:rPr>
          <w:lang w:val="en-GB" w:eastAsia="en-US"/>
        </w:rPr>
        <w:t>Revision of the text of §10.3.2.5.2 "Time identification control parameters" according to Q4-180827-C26R1 (Issue 20.57.2). Further revised according to C1040R1 (Issue 20.57.3).</w:t>
      </w:r>
    </w:p>
    <w:p w14:paraId="0F1C5EA1" w14:textId="77777777" w:rsidR="006A46AE" w:rsidRPr="00C1421E" w:rsidRDefault="006A46AE" w:rsidP="006A46AE">
      <w:pPr>
        <w:numPr>
          <w:ilvl w:val="0"/>
          <w:numId w:val="92"/>
        </w:numPr>
        <w:rPr>
          <w:lang w:val="en-GB" w:eastAsia="en-US"/>
        </w:rPr>
      </w:pPr>
      <w:r w:rsidRPr="00C1421E">
        <w:rPr>
          <w:lang w:val="en-GB" w:eastAsia="en-US"/>
        </w:rPr>
        <w:t>Revision of the text of §11.1.1 "</w:t>
      </w:r>
      <w:proofErr w:type="spellStart"/>
      <w:r w:rsidRPr="00C1421E">
        <w:rPr>
          <w:lang w:val="en-GB" w:eastAsia="en-US"/>
        </w:rPr>
        <w:t>γ_MGMT</w:t>
      </w:r>
      <w:proofErr w:type="spellEnd"/>
      <w:r w:rsidRPr="00C1421E">
        <w:rPr>
          <w:lang w:val="en-GB" w:eastAsia="en-US"/>
        </w:rPr>
        <w:t xml:space="preserve"> interface" according to Q4-180423-WD04R1 (Issue 20.32.76).</w:t>
      </w:r>
    </w:p>
    <w:p w14:paraId="4E670401" w14:textId="77777777" w:rsidR="006A46AE" w:rsidRPr="00C1421E" w:rsidRDefault="006A46AE" w:rsidP="006A46AE">
      <w:pPr>
        <w:numPr>
          <w:ilvl w:val="0"/>
          <w:numId w:val="92"/>
        </w:numPr>
        <w:rPr>
          <w:lang w:val="en-GB" w:eastAsia="en-US"/>
        </w:rPr>
      </w:pPr>
      <w:r w:rsidRPr="00C1421E">
        <w:rPr>
          <w:lang w:val="en-GB" w:eastAsia="en-US"/>
        </w:rPr>
        <w:t>Revision of the text of §11.3.1.1 "Near-end anomalies" according to Q4-180423-WD04R1 (Issue 20.32.76). Further revised according to Q4-180625-C02R1 (Issue 20.32.82). Moved to Annex R.5 according to Q4-180827-WD03R2 (Issue 20.32.88).</w:t>
      </w:r>
    </w:p>
    <w:p w14:paraId="61117912" w14:textId="77777777" w:rsidR="006A46AE" w:rsidRPr="00C1421E" w:rsidRDefault="006A46AE" w:rsidP="006A46AE">
      <w:pPr>
        <w:numPr>
          <w:ilvl w:val="0"/>
          <w:numId w:val="92"/>
        </w:numPr>
        <w:rPr>
          <w:lang w:val="en-GB" w:eastAsia="en-US"/>
        </w:rPr>
      </w:pPr>
      <w:r w:rsidRPr="00C1421E">
        <w:rPr>
          <w:lang w:val="en-GB" w:eastAsia="en-US"/>
        </w:rPr>
        <w:t>Revision of the text of §12.3.2 "G.994.1 handshake phase" according to Q4-180827-C26R1 (Issue 20.57.2). Further revised according to C1040R1 (Issue 20.57.3). Further revised according to WD0964 (Issue 20.62.1).</w:t>
      </w:r>
    </w:p>
    <w:p w14:paraId="765E9827" w14:textId="77777777" w:rsidR="006A46AE" w:rsidRPr="00C1421E" w:rsidRDefault="006A46AE" w:rsidP="006A46AE">
      <w:pPr>
        <w:numPr>
          <w:ilvl w:val="0"/>
          <w:numId w:val="92"/>
        </w:numPr>
        <w:rPr>
          <w:lang w:val="en-GB" w:eastAsia="en-US"/>
        </w:rPr>
      </w:pPr>
      <w:r w:rsidRPr="00C1421E">
        <w:rPr>
          <w:lang w:val="en-GB" w:eastAsia="en-US"/>
        </w:rPr>
        <w:t>Revision of the text of §12.3.3.2.1 "O-SIGNATURE" according to C1040R1 (Issue 20.57.3).</w:t>
      </w:r>
    </w:p>
    <w:p w14:paraId="26001099" w14:textId="77777777" w:rsidR="006A46AE" w:rsidRPr="00C1421E" w:rsidRDefault="006A46AE" w:rsidP="006A46AE">
      <w:pPr>
        <w:numPr>
          <w:ilvl w:val="0"/>
          <w:numId w:val="92"/>
        </w:numPr>
        <w:rPr>
          <w:lang w:val="en-GB" w:eastAsia="en-US"/>
        </w:rPr>
      </w:pPr>
      <w:r w:rsidRPr="00C1421E">
        <w:rPr>
          <w:lang w:val="en-GB" w:eastAsia="en-US"/>
        </w:rPr>
        <w:t>Revision of the text of §12.3.4.2.1 "O-MSG 1"and §12.3.4.2.2 "R-MSG 2" (Issue 20.32.90).</w:t>
      </w:r>
    </w:p>
    <w:p w14:paraId="6B897DF1" w14:textId="77777777" w:rsidR="006A46AE" w:rsidRPr="00C1421E" w:rsidRDefault="006A46AE" w:rsidP="006A46AE">
      <w:pPr>
        <w:numPr>
          <w:ilvl w:val="0"/>
          <w:numId w:val="92"/>
        </w:numPr>
        <w:rPr>
          <w:lang w:val="en-GB" w:eastAsia="en-US"/>
        </w:rPr>
      </w:pPr>
      <w:r w:rsidRPr="00C1421E">
        <w:rPr>
          <w:lang w:val="en-GB" w:eastAsia="en-US"/>
        </w:rPr>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14B187E1" w14:textId="77777777" w:rsidR="006A46AE" w:rsidRPr="00C1421E" w:rsidRDefault="006A46AE" w:rsidP="006A46AE">
      <w:pPr>
        <w:numPr>
          <w:ilvl w:val="0"/>
          <w:numId w:val="92"/>
        </w:numPr>
        <w:rPr>
          <w:lang w:val="en-GB" w:eastAsia="en-US"/>
        </w:rPr>
      </w:pPr>
      <w:r w:rsidRPr="00C1421E">
        <w:rPr>
          <w:lang w:val="en-GB" w:eastAsia="en-US"/>
        </w:rPr>
        <w:t>Addition of text for new Annex V "Targeted generalized vectoring (TGV)" according to Q4-180423-C28R1 (Issue 20.49.9.1). Revised according to Q4-180827-C25R1 (Issue 20.49.13). Revised according to WD1042 (Issue 20.49.14).</w:t>
      </w:r>
    </w:p>
    <w:p w14:paraId="79B689FE" w14:textId="77777777" w:rsidR="006A46AE" w:rsidRPr="00C1421E" w:rsidRDefault="006A46AE" w:rsidP="006A46AE">
      <w:pPr>
        <w:numPr>
          <w:ilvl w:val="0"/>
          <w:numId w:val="92"/>
        </w:numPr>
        <w:rPr>
          <w:rFonts w:asciiTheme="majorBidi" w:hAnsiTheme="majorBidi" w:cstheme="majorBidi"/>
          <w:bCs/>
          <w:lang w:val="en-GB" w:eastAsia="en-US"/>
        </w:rPr>
      </w:pPr>
      <w:r w:rsidRPr="00C1421E">
        <w:rPr>
          <w:rFonts w:asciiTheme="majorBidi" w:hAnsiTheme="majorBidi" w:cstheme="majorBidi"/>
          <w:bCs/>
          <w:lang w:val="en-GB" w:eastAsia="en-US"/>
        </w:rPr>
        <w:t xml:space="preserve">Changed DTA to </w:t>
      </w:r>
      <w:proofErr w:type="spellStart"/>
      <w:r w:rsidRPr="00C1421E">
        <w:rPr>
          <w:rFonts w:asciiTheme="majorBidi" w:hAnsiTheme="majorBidi" w:cstheme="majorBidi"/>
          <w:bCs/>
          <w:lang w:val="en-GB" w:eastAsia="en-US"/>
        </w:rPr>
        <w:t>iDTA</w:t>
      </w:r>
      <w:proofErr w:type="spellEnd"/>
      <w:r w:rsidRPr="00C1421E">
        <w:rPr>
          <w:rFonts w:asciiTheme="majorBidi" w:hAnsiTheme="majorBidi" w:cstheme="majorBidi"/>
          <w:bCs/>
          <w:lang w:val="en-GB" w:eastAsia="en-US"/>
        </w:rPr>
        <w:t xml:space="preserve"> throughout as appropriate (AMD.5 LC comment resolution).</w:t>
      </w:r>
    </w:p>
    <w:p w14:paraId="6AD8CB82" w14:textId="77777777" w:rsidR="006A46AE" w:rsidRPr="006E6A13" w:rsidRDefault="006A46AE" w:rsidP="006A46AE">
      <w:pPr>
        <w:rPr>
          <w:lang w:val="en-GB"/>
        </w:rPr>
      </w:pPr>
      <w:r w:rsidRPr="00416693">
        <w:rPr>
          <w:b/>
          <w:bCs/>
          <w:lang w:val="en-GB"/>
        </w:rPr>
        <w:lastRenderedPageBreak/>
        <w:t>ITU-T G.9701 (2019) Amd.1 "Fast access to subscriber terminals (</w:t>
      </w:r>
      <w:proofErr w:type="spellStart"/>
      <w:r w:rsidRPr="00416693">
        <w:rPr>
          <w:b/>
          <w:bCs/>
          <w:lang w:val="en-GB"/>
        </w:rPr>
        <w:t>G.fast</w:t>
      </w:r>
      <w:proofErr w:type="spellEnd"/>
      <w:r w:rsidRPr="00416693">
        <w:rPr>
          <w:b/>
          <w:bCs/>
          <w:lang w:val="en-GB"/>
        </w:rPr>
        <w:t>) – Physical layer specification – Amendment 1"</w:t>
      </w:r>
      <w:r w:rsidRPr="00C1421E">
        <w:rPr>
          <w:lang w:val="en-GB"/>
        </w:rPr>
        <w:t xml:space="preserve"> </w:t>
      </w:r>
      <w:r w:rsidRPr="006E6A13">
        <w:rPr>
          <w:lang w:val="en-GB"/>
        </w:rPr>
        <w:t>(under approval) includes enhancements to DTA functionality.</w:t>
      </w:r>
    </w:p>
    <w:p w14:paraId="1A042C58" w14:textId="77777777" w:rsidR="006A46AE" w:rsidRPr="006E6A13" w:rsidRDefault="006A46AE" w:rsidP="006A46AE">
      <w:r w:rsidRPr="006E6A13">
        <w:rPr>
          <w:b/>
          <w:bCs/>
        </w:rPr>
        <w:t>ITU-T G.9710 "Multi-gigabit fast access to subscriber terminals (</w:t>
      </w:r>
      <w:proofErr w:type="spellStart"/>
      <w:r w:rsidRPr="006E6A13">
        <w:rPr>
          <w:b/>
          <w:bCs/>
        </w:rPr>
        <w:t>MGfast</w:t>
      </w:r>
      <w:proofErr w:type="spellEnd"/>
      <w:r w:rsidRPr="006E6A13">
        <w:rPr>
          <w:b/>
          <w:bCs/>
        </w:rPr>
        <w:t>) – Power spectral density specification"</w:t>
      </w:r>
      <w:r w:rsidRPr="006E6A13">
        <w:t xml:space="preserve"> (under approval) specifies power spectral density (PSD) mask requirements for Multi-gigabit fast access to subscriber terminals (</w:t>
      </w:r>
      <w:proofErr w:type="spellStart"/>
      <w:r w:rsidRPr="006E6A13">
        <w:t>MGfast</w:t>
      </w:r>
      <w:proofErr w:type="spellEnd"/>
      <w:r w:rsidRPr="006E6A13">
        <w:t>), a set of tools to support reduction of the transmit PSD mask, and a methodology for transmit PSD verification. It supports operation over both twisted pair and coaxial cable media.</w:t>
      </w:r>
    </w:p>
    <w:p w14:paraId="2D25F806" w14:textId="77777777" w:rsidR="006A46AE" w:rsidRPr="006E6A13" w:rsidRDefault="006A46AE" w:rsidP="006A46AE">
      <w:pPr>
        <w:pStyle w:val="Headingb"/>
      </w:pPr>
      <w:bookmarkStart w:id="220" w:name="_Toc480527892"/>
      <w:r w:rsidRPr="006E6A13">
        <w:t>I.1.2</w:t>
      </w:r>
      <w:r w:rsidRPr="006E6A13">
        <w:tab/>
        <w:t>Ultra-high-speed access including NG-PON2</w:t>
      </w:r>
      <w:bookmarkEnd w:id="220"/>
    </w:p>
    <w:p w14:paraId="24A8BFAB" w14:textId="77777777" w:rsidR="006A46AE" w:rsidRPr="006E6A13" w:rsidRDefault="006A46AE" w:rsidP="006A46AE">
      <w:pPr>
        <w:rPr>
          <w:lang w:val="en-GB"/>
        </w:rPr>
      </w:pPr>
      <w:r w:rsidRPr="006E6A13">
        <w:rPr>
          <w:b/>
          <w:lang w:val="en-GB"/>
        </w:rPr>
        <w:t>ITU-T G.984.2 (revised) "Gigabit-capable Passive Optical Networks (G-PON): Physical Media Dependent (PMD) layer specification"</w:t>
      </w:r>
      <w:r w:rsidRPr="006E6A13">
        <w:rPr>
          <w:lang w:val="en-GB"/>
        </w:rPr>
        <w:t xml:space="preserve"> describes a flexible optical fibre access network capable of supporting the bandwidth requirements of business and residential services, and covers systems with nominal line rates of 1244.160 Mbit/s and 2488.320 Mbit/s in the downstream direction and 155.520 Mbit/s, 622.080 Mbit/s, 1244.160 Mbit/s and 2488.320 Mbit/s in the upstream direction. Both symmetrical and asymmetrical (upstream/downstream) Gigabit-capable Passive Optical Network (GPON) systems are described. This Recommendation proposes the physical layer requirements and specifications for the Physical Media Dependent (PMD) layer. The Transmission Convergence (TC) layer and ranging protocol for GPON systems are described in a different ITU-T Recommendation.</w:t>
      </w:r>
    </w:p>
    <w:p w14:paraId="78CDD384" w14:textId="77777777" w:rsidR="006A46AE" w:rsidRPr="006E6A13" w:rsidRDefault="006A46AE" w:rsidP="006A46AE">
      <w:pPr>
        <w:rPr>
          <w:lang w:val="en-GB"/>
        </w:rPr>
      </w:pPr>
      <w:r w:rsidRPr="006E6A13">
        <w:rPr>
          <w:lang w:val="en-GB"/>
        </w:rPr>
        <w:t>This Recommendation describes a system that represents an evolutionary development from the system described in ITU-T Rec. G.983.1. To the greatest extent possible, this Recommendation maintains the requirements of ITU-T Rec. G.983.1 to insure maximal continuity with existing systems and optical fibre infrastructure. In addition, it describes several enhanced optical budgets (B+, C+, and D) to extend that capability. The necessary parameters are defined to support optical layer supervision.</w:t>
      </w:r>
    </w:p>
    <w:p w14:paraId="0B386B56" w14:textId="77777777" w:rsidR="006A46AE" w:rsidRPr="00C1421E" w:rsidRDefault="006A46AE" w:rsidP="006A46AE">
      <w:pPr>
        <w:rPr>
          <w:szCs w:val="24"/>
          <w:lang w:val="en-GB"/>
        </w:rPr>
      </w:pPr>
      <w:r w:rsidRPr="006E6A13">
        <w:rPr>
          <w:b/>
          <w:szCs w:val="24"/>
          <w:lang w:val="en-GB"/>
        </w:rPr>
        <w:t>ITU-T G.988 (2017) Amd.2 "ONU management and control interface (OMCI) specification - Amendment 2"</w:t>
      </w:r>
      <w:r w:rsidRPr="006E6A13">
        <w:rPr>
          <w:szCs w:val="24"/>
          <w:lang w:val="en-GB"/>
        </w:rPr>
        <w:t xml:space="preserve"> contains updates to ITU-T G.988 (2018 </w:t>
      </w:r>
      <w:proofErr w:type="spellStart"/>
      <w:r w:rsidRPr="006E6A13">
        <w:rPr>
          <w:szCs w:val="24"/>
          <w:lang w:val="en-GB"/>
        </w:rPr>
        <w:t>Amd</w:t>
      </w:r>
      <w:proofErr w:type="spellEnd"/>
      <w:r w:rsidRPr="006E6A13">
        <w:rPr>
          <w:szCs w:val="24"/>
          <w:lang w:val="en-GB"/>
        </w:rPr>
        <w:t xml:space="preserve"> 1). This amendment adds support for DC voltage</w:t>
      </w:r>
      <w:r w:rsidRPr="00C1421E">
        <w:rPr>
          <w:szCs w:val="24"/>
          <w:lang w:val="en-GB"/>
        </w:rPr>
        <w:t xml:space="preserve"> based visual message indicators in G.988 VOIP application service profile ME. This amendment makes editorial changes on Extended VLAN.</w:t>
      </w:r>
    </w:p>
    <w:p w14:paraId="0E7A89CD" w14:textId="77777777" w:rsidR="006A46AE" w:rsidRPr="00C1421E" w:rsidRDefault="006A46AE" w:rsidP="006A46AE">
      <w:pPr>
        <w:rPr>
          <w:lang w:val="en-GB"/>
        </w:rPr>
      </w:pPr>
      <w:r w:rsidRPr="00C1421E">
        <w:rPr>
          <w:b/>
          <w:lang w:val="en-GB"/>
        </w:rPr>
        <w:t>ITU-T G.989.2 (revised) "40-Gigabit-capable passive optical networks 2 (NG PON2): Physical media dependent (PMD) layer specification"</w:t>
      </w:r>
      <w:r w:rsidRPr="00C1421E">
        <w:rPr>
          <w:lang w:val="en-GB"/>
        </w:rPr>
        <w:t xml:space="preserve"> specifies the physical media dependent (PMD) layer requirements for a passive optical network (PON) system with a nominal aggregate capacity of 40 </w:t>
      </w:r>
      <w:proofErr w:type="spellStart"/>
      <w:r w:rsidRPr="00C1421E">
        <w:rPr>
          <w:lang w:val="en-GB"/>
        </w:rPr>
        <w:t>Gbit</w:t>
      </w:r>
      <w:proofErr w:type="spellEnd"/>
      <w:r w:rsidRPr="00C1421E">
        <w:rPr>
          <w:lang w:val="en-GB"/>
        </w:rPr>
        <w:t xml:space="preserve">/s in the downstream direction and 10 </w:t>
      </w:r>
      <w:proofErr w:type="spellStart"/>
      <w:r w:rsidRPr="00C1421E">
        <w:rPr>
          <w:lang w:val="en-GB"/>
        </w:rPr>
        <w:t>Gbit</w:t>
      </w:r>
      <w:proofErr w:type="spellEnd"/>
      <w:r w:rsidRPr="00C1421E">
        <w:rPr>
          <w:lang w:val="en-GB"/>
        </w:rPr>
        <w: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0E0542DC" w14:textId="77777777" w:rsidR="006A46AE" w:rsidRPr="00C1421E" w:rsidRDefault="006A46AE" w:rsidP="006A46AE">
      <w:pPr>
        <w:rPr>
          <w:lang w:val="en-GB"/>
        </w:rPr>
      </w:pPr>
      <w:r w:rsidRPr="00C1421E">
        <w:rPr>
          <w:lang w:val="en-GB"/>
        </w:rPr>
        <w:t xml:space="preserve">This Recommendation specifies the characteristics of hybrid time and wavelength division multiplexing (TWDM) channels, referred to as TWDM PON. The characteristics of optional, </w:t>
      </w:r>
      <w:proofErr w:type="spellStart"/>
      <w:r w:rsidRPr="00C1421E">
        <w:rPr>
          <w:lang w:val="en-GB"/>
        </w:rPr>
        <w:t>tunable</w:t>
      </w:r>
      <w:proofErr w:type="spellEnd"/>
      <w:r w:rsidRPr="00C1421E">
        <w:rPr>
          <w:lang w:val="en-GB"/>
        </w:rPr>
        <w:t xml:space="preserve"> point-to-point wavelength overlay channels are also described, referred to as point-to-point wavelength division multiplexing (</w:t>
      </w:r>
      <w:proofErr w:type="spellStart"/>
      <w:r w:rsidRPr="00C1421E">
        <w:rPr>
          <w:lang w:val="en-GB"/>
        </w:rPr>
        <w:t>PtP</w:t>
      </w:r>
      <w:proofErr w:type="spellEnd"/>
      <w:r w:rsidRPr="00C1421E">
        <w:rPr>
          <w:lang w:val="en-GB"/>
        </w:rPr>
        <w:t xml:space="preserve"> WDM) PON.</w:t>
      </w:r>
    </w:p>
    <w:p w14:paraId="7AE2AD09" w14:textId="77777777" w:rsidR="006A46AE" w:rsidRPr="00C1421E" w:rsidRDefault="006A46AE" w:rsidP="006A46AE">
      <w:pPr>
        <w:rPr>
          <w:lang w:val="en-GB"/>
        </w:rPr>
      </w:pPr>
      <w:r w:rsidRPr="00C1421E">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65153E89" w14:textId="77777777" w:rsidR="006A46AE" w:rsidRPr="00C1421E" w:rsidRDefault="006A46AE" w:rsidP="006A46AE">
      <w:pPr>
        <w:rPr>
          <w:lang w:val="en-GB"/>
        </w:rPr>
      </w:pPr>
      <w:r w:rsidRPr="00C1421E">
        <w:rPr>
          <w:lang w:val="en-GB"/>
        </w:rPr>
        <w:t>Edition 2.0 continues the maintenance and evolution of physical media dependent (PMD) layer specification.</w:t>
      </w:r>
    </w:p>
    <w:p w14:paraId="7B0CE8CE" w14:textId="77777777" w:rsidR="006A46AE" w:rsidRPr="00C1421E" w:rsidRDefault="006A46AE" w:rsidP="006A46AE">
      <w:pPr>
        <w:rPr>
          <w:lang w:val="en-GB"/>
        </w:rPr>
      </w:pPr>
      <w:r w:rsidRPr="00C1421E">
        <w:rPr>
          <w:b/>
          <w:lang w:val="en-GB"/>
        </w:rPr>
        <w:lastRenderedPageBreak/>
        <w:t>ITU-T G.989.3 Amd2 "40-Gigabit-capable passive optical networks (NG PON2): Transmission Convergence (TC) layer specification"</w:t>
      </w:r>
      <w:r w:rsidRPr="00C1421E">
        <w:rPr>
          <w:lang w:val="en-GB"/>
        </w:rPr>
        <w:t xml:space="preserve"> continues the evolution of NG-PON2 Transmission Convergence (TC) layer, introducing TWDM channel bonding, making additions and changes to the PLOAM channel, providing DBA enhancements, and performing regular specification maintenance.</w:t>
      </w:r>
    </w:p>
    <w:p w14:paraId="394C1B46" w14:textId="77777777" w:rsidR="006A46AE" w:rsidRPr="00C1421E" w:rsidRDefault="006A46AE" w:rsidP="006A46AE">
      <w:pPr>
        <w:rPr>
          <w:lang w:val="en-GB"/>
        </w:rPr>
      </w:pPr>
      <w:r w:rsidRPr="00C1421E">
        <w:rPr>
          <w:b/>
          <w:lang w:val="en-GB"/>
        </w:rPr>
        <w:t>ITU-T G-series Supplement "5G Wireless Fronthaul Requirements in a PON Context"</w:t>
      </w:r>
      <w:r w:rsidRPr="00C1421E">
        <w:rPr>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37BF30C2" w14:textId="77777777" w:rsidR="006A46AE" w:rsidRPr="00C1421E" w:rsidRDefault="006A46AE" w:rsidP="006A46AE">
      <w:pPr>
        <w:pStyle w:val="Headingb"/>
      </w:pPr>
      <w:r w:rsidRPr="00C1421E">
        <w:t>I.1.3</w:t>
      </w:r>
      <w:r w:rsidRPr="00C1421E">
        <w:tab/>
        <w:t>Optical fibres</w:t>
      </w:r>
      <w:bookmarkEnd w:id="218"/>
    </w:p>
    <w:p w14:paraId="3CBE64A2" w14:textId="77777777" w:rsidR="006A46AE" w:rsidRPr="00C1421E" w:rsidRDefault="006A46AE" w:rsidP="006A46AE">
      <w:pPr>
        <w:rPr>
          <w:lang w:val="en-GB" w:eastAsia="en-US"/>
        </w:rPr>
      </w:pPr>
      <w:r w:rsidRPr="00C1421E">
        <w:rPr>
          <w:b/>
          <w:lang w:val="en-GB" w:eastAsia="en-US"/>
        </w:rPr>
        <w:t xml:space="preserve">ITU-T G.9803 "Radio over </w:t>
      </w:r>
      <w:proofErr w:type="spellStart"/>
      <w:r w:rsidRPr="00C1421E">
        <w:rPr>
          <w:b/>
          <w:lang w:val="en-GB" w:eastAsia="en-US"/>
        </w:rPr>
        <w:t>fiber</w:t>
      </w:r>
      <w:proofErr w:type="spellEnd"/>
      <w:r w:rsidRPr="00C1421E">
        <w:rPr>
          <w:b/>
          <w:lang w:val="en-GB" w:eastAsia="en-US"/>
        </w:rPr>
        <w:t xml:space="preserve"> systems"</w:t>
      </w:r>
      <w:r w:rsidRPr="00C1421E">
        <w:rPr>
          <w:lang w:val="en-GB" w:eastAsia="en-US"/>
        </w:rPr>
        <w:t xml:space="preserve"> defines fundamental architecture and requirements for radio over </w:t>
      </w:r>
      <w:proofErr w:type="spellStart"/>
      <w:r w:rsidRPr="00C1421E">
        <w:rPr>
          <w:lang w:val="en-GB" w:eastAsia="en-US"/>
        </w:rPr>
        <w:t>fiber</w:t>
      </w:r>
      <w:proofErr w:type="spellEnd"/>
      <w:r w:rsidRPr="00C1421E">
        <w:rPr>
          <w:lang w:val="en-GB" w:eastAsia="en-US"/>
        </w:rPr>
        <w:t xml:space="preserve"> system and specifies radio over </w:t>
      </w:r>
      <w:proofErr w:type="spellStart"/>
      <w:r w:rsidRPr="00C1421E">
        <w:rPr>
          <w:lang w:val="en-GB" w:eastAsia="en-US"/>
        </w:rPr>
        <w:t>fiber</w:t>
      </w:r>
      <w:proofErr w:type="spellEnd"/>
      <w:r w:rsidRPr="00C1421E">
        <w:rPr>
          <w:lang w:val="en-GB" w:eastAsia="en-US"/>
        </w:rPr>
        <w:t xml:space="preserve"> transmission systems suitable for access network and radiolocation applications.</w:t>
      </w:r>
    </w:p>
    <w:p w14:paraId="6F2772BD" w14:textId="77777777" w:rsidR="006A46AE" w:rsidRPr="00C1421E" w:rsidRDefault="006A46AE" w:rsidP="006A46AE">
      <w:pPr>
        <w:rPr>
          <w:lang w:val="en-GB" w:eastAsia="en-US"/>
        </w:rPr>
      </w:pPr>
      <w:r w:rsidRPr="00C1421E">
        <w:rPr>
          <w:b/>
          <w:lang w:val="en-GB" w:eastAsia="en-US"/>
        </w:rPr>
        <w:t>ITU-T G.9803 Amd.1 "Radio over fibre systems – Amendment 1"</w:t>
      </w:r>
      <w:r w:rsidRPr="006E6A13">
        <w:t xml:space="preserve"> develops </w:t>
      </w:r>
      <w:r w:rsidRPr="00C1421E">
        <w:rPr>
          <w:lang w:val="en-GB" w:eastAsia="en-US"/>
        </w:rPr>
        <w:t>a new type of optical access network based on radio-over-fibre (</w:t>
      </w:r>
      <w:proofErr w:type="spellStart"/>
      <w:r w:rsidRPr="00C1421E">
        <w:rPr>
          <w:lang w:val="en-GB" w:eastAsia="en-US"/>
        </w:rPr>
        <w:t>RoF</w:t>
      </w:r>
      <w:proofErr w:type="spellEnd"/>
      <w:r w:rsidRPr="00C1421E">
        <w:rPr>
          <w:lang w:val="en-GB" w:eastAsia="en-US"/>
        </w:rPr>
        <w:t xml:space="preserve">) technologies. This Recommendation describes a fundamental architecture and requirements for </w:t>
      </w:r>
      <w:proofErr w:type="spellStart"/>
      <w:r w:rsidRPr="00C1421E">
        <w:rPr>
          <w:lang w:val="en-GB" w:eastAsia="en-US"/>
        </w:rPr>
        <w:t>RoF</w:t>
      </w:r>
      <w:proofErr w:type="spellEnd"/>
      <w:r w:rsidRPr="00C1421E">
        <w:rPr>
          <w:lang w:val="en-GB" w:eastAsia="en-US"/>
        </w:rPr>
        <w:t xml:space="preserve"> systems. This Recommendation specifies the system overview, physical layer requirements, system requirements and co-existence with passive optical network (PON) for analogue </w:t>
      </w:r>
      <w:proofErr w:type="spellStart"/>
      <w:r w:rsidRPr="00C1421E">
        <w:rPr>
          <w:lang w:val="en-GB" w:eastAsia="en-US"/>
        </w:rPr>
        <w:t>RoF</w:t>
      </w:r>
      <w:proofErr w:type="spellEnd"/>
      <w:r w:rsidRPr="00C1421E">
        <w:rPr>
          <w:lang w:val="en-GB" w:eastAsia="en-US"/>
        </w:rPr>
        <w:t xml:space="preserve"> systems supporting the international mobile telecommunication (IMT) system over optical distribution network (ODN). This Recommendation also describes the system overview and physical layer requirements for analogue </w:t>
      </w:r>
      <w:proofErr w:type="spellStart"/>
      <w:r w:rsidRPr="00C1421E">
        <w:rPr>
          <w:lang w:val="en-GB" w:eastAsia="en-US"/>
        </w:rPr>
        <w:t>RoF</w:t>
      </w:r>
      <w:proofErr w:type="spellEnd"/>
      <w:r w:rsidRPr="00C1421E">
        <w:rPr>
          <w:lang w:val="en-GB" w:eastAsia="en-US"/>
        </w:rPr>
        <w:t xml:space="preserve"> systems supporting the foreign object debris (FOD) detection system.</w:t>
      </w:r>
    </w:p>
    <w:p w14:paraId="5769BF56" w14:textId="77777777" w:rsidR="006A46AE" w:rsidRPr="00C1421E" w:rsidRDefault="006A46AE" w:rsidP="006A46AE">
      <w:pPr>
        <w:rPr>
          <w:b/>
          <w:lang w:val="en-GB" w:eastAsia="en-US"/>
        </w:rPr>
      </w:pPr>
      <w:r w:rsidRPr="00C1421E">
        <w:rPr>
          <w:b/>
          <w:lang w:val="en-GB" w:eastAsia="en-US"/>
        </w:rPr>
        <w:t>ITU-T G.9804.1 "Higher Speed Passive Optical Networks: Requirements</w:t>
      </w:r>
      <w:r w:rsidRPr="006E6A13">
        <w:rPr>
          <w:lang w:val="en-GB" w:eastAsia="en-US"/>
        </w:rPr>
        <w:t>" (under approval)</w:t>
      </w:r>
      <w:r w:rsidRPr="00C1421E">
        <w:rPr>
          <w:lang w:val="en-GB" w:eastAsia="en-US"/>
        </w:rPr>
        <w:t xml:space="preserve"> serves as a guide to the development of higher speed PON systems, by identifying sets of applications that can be addressed by a particular system, and defining the requirements for each of those systems.</w:t>
      </w:r>
      <w:r>
        <w:rPr>
          <w:lang w:val="en-GB" w:eastAsia="en-US"/>
        </w:rPr>
        <w:t xml:space="preserve"> </w:t>
      </w:r>
      <w:r w:rsidRPr="00C1421E">
        <w:rPr>
          <w:lang w:val="en-GB" w:eastAsia="en-US"/>
        </w:rPr>
        <w:t>It is anticipated that there may have several distinct systems, such as higher speed single channel (TDMA-PON), higher speed multi-channel (TWDM-PON), and higher speed point to point overlay PONs.</w:t>
      </w:r>
    </w:p>
    <w:p w14:paraId="0EDE17B1" w14:textId="77777777" w:rsidR="006A46AE" w:rsidRPr="00C1421E" w:rsidRDefault="006A46AE" w:rsidP="006A46AE">
      <w:pPr>
        <w:rPr>
          <w:lang w:val="en-GB"/>
        </w:rPr>
      </w:pPr>
      <w:r w:rsidRPr="00C1421E">
        <w:rPr>
          <w:b/>
          <w:lang w:val="en-GB"/>
        </w:rPr>
        <w:t>ITU-T L.163 "Criteria for optical fibre cable installation with minimal existing infrastructure"</w:t>
      </w:r>
      <w:r w:rsidRPr="00C1421E">
        <w:rPr>
          <w:lang w:val="en-GB"/>
        </w:rPr>
        <w:t xml:space="preserve">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793FA5C8" w14:textId="77777777" w:rsidR="006A46AE" w:rsidRPr="00C1421E" w:rsidRDefault="006A46AE" w:rsidP="006A46AE">
      <w:pPr>
        <w:rPr>
          <w:lang w:val="en-GB"/>
        </w:rPr>
      </w:pPr>
      <w:r w:rsidRPr="00C1421E">
        <w:rPr>
          <w:lang w:val="en-GB"/>
        </w:rPr>
        <w:t>This Recommendation also describes how to mitigate the considerable risks and/or issues to which the optical fibre cable may be exposed when infrastructures are minimal during installation, maintenance and operation procedures.</w:t>
      </w:r>
    </w:p>
    <w:p w14:paraId="19C7EA9C" w14:textId="77777777" w:rsidR="006A46AE" w:rsidRPr="00C1421E" w:rsidRDefault="006A46AE" w:rsidP="006A46AE">
      <w:pPr>
        <w:rPr>
          <w:lang w:val="en-GB" w:eastAsia="en-US"/>
        </w:rPr>
      </w:pPr>
      <w:r w:rsidRPr="00C1421E">
        <w:rPr>
          <w:b/>
          <w:lang w:val="en-GB"/>
        </w:rPr>
        <w:t>ITU-T L.208 "Requirements for passive optical nodes: Fibre distribution boxes</w:t>
      </w:r>
      <w:r w:rsidRPr="006E6A13">
        <w:rPr>
          <w:lang w:val="en-GB"/>
        </w:rPr>
        <w:t>" refers to Fibre Distribution Boxes (FDB) deployed as passive optical nodes in indoor</w:t>
      </w:r>
      <w:r w:rsidRPr="00C1421E">
        <w:rPr>
          <w:lang w:val="en-GB"/>
        </w:rPr>
        <w:t xml:space="preserve"> or outdoor environments. It deals with the FDB housing, FDB fibre management system, cable attachment and termination system, and specifies the mechanical and environmental characteristics as well.</w:t>
      </w:r>
    </w:p>
    <w:p w14:paraId="25802D61" w14:textId="77777777" w:rsidR="006A46AE" w:rsidRPr="00C1421E" w:rsidRDefault="006A46AE" w:rsidP="006A46AE">
      <w:pPr>
        <w:rPr>
          <w:b/>
          <w:sz w:val="22"/>
          <w:szCs w:val="22"/>
          <w:highlight w:val="yellow"/>
          <w:lang w:val="en-GB"/>
        </w:rPr>
      </w:pPr>
      <w:bookmarkStart w:id="221" w:name="_Toc480527891"/>
      <w:r w:rsidRPr="00C1421E">
        <w:rPr>
          <w:b/>
          <w:sz w:val="22"/>
          <w:szCs w:val="22"/>
          <w:lang w:val="en-GB"/>
        </w:rPr>
        <w:t>I.1.4</w:t>
      </w:r>
      <w:r w:rsidRPr="00C1421E">
        <w:rPr>
          <w:b/>
          <w:sz w:val="22"/>
          <w:szCs w:val="22"/>
          <w:lang w:val="en-GB"/>
        </w:rPr>
        <w:tab/>
        <w:t>Ultra-high-speed optical core network: OTN beyond 100G</w:t>
      </w:r>
      <w:bookmarkEnd w:id="221"/>
    </w:p>
    <w:p w14:paraId="41599963" w14:textId="77777777" w:rsidR="006A46AE" w:rsidRPr="00C1421E" w:rsidRDefault="006A46AE" w:rsidP="006A46AE">
      <w:pPr>
        <w:rPr>
          <w:lang w:val="en-GB"/>
        </w:rPr>
      </w:pPr>
      <w:r w:rsidRPr="001C37A8">
        <w:rPr>
          <w:b/>
          <w:bCs/>
          <w:lang w:val="en-GB"/>
        </w:rPr>
        <w:t>ITU-T G.709/Y.1331 (2016) Amd.3 "Interfaces for the optical transport network (OTN): Amendment 3"</w:t>
      </w:r>
      <w:r w:rsidRPr="00C1421E">
        <w:rPr>
          <w:lang w:val="en-GB"/>
        </w:rPr>
        <w:t xml:space="preserve"> contains extensions to the fifth edition (06/2016) of ITU-T Recommendation G.709/Y.1331, related to the:</w:t>
      </w:r>
    </w:p>
    <w:p w14:paraId="255E38D1" w14:textId="77777777" w:rsidR="006A46AE" w:rsidRPr="001C37A8" w:rsidRDefault="006A46AE" w:rsidP="006A46AE">
      <w:pPr>
        <w:numPr>
          <w:ilvl w:val="0"/>
          <w:numId w:val="71"/>
        </w:numPr>
      </w:pPr>
      <w:r w:rsidRPr="001C37A8">
        <w:t xml:space="preserve">Addition of interconnection of Ethernet UNI and </w:t>
      </w:r>
      <w:proofErr w:type="spellStart"/>
      <w:r w:rsidRPr="001C37A8">
        <w:t>FlexE</w:t>
      </w:r>
      <w:proofErr w:type="spellEnd"/>
      <w:r w:rsidRPr="001C37A8">
        <w:t xml:space="preserve"> Group UNI in two administrative domains (7.5, Appendix XIV).</w:t>
      </w:r>
    </w:p>
    <w:p w14:paraId="2AB67934" w14:textId="77777777" w:rsidR="006A46AE" w:rsidRPr="001C37A8" w:rsidRDefault="006A46AE" w:rsidP="006A46AE">
      <w:pPr>
        <w:numPr>
          <w:ilvl w:val="0"/>
          <w:numId w:val="71"/>
        </w:numPr>
      </w:pPr>
      <w:r w:rsidRPr="001C37A8">
        <w:lastRenderedPageBreak/>
        <w:t xml:space="preserve">Addition of 50GBASE-R mapping into </w:t>
      </w:r>
      <w:proofErr w:type="spellStart"/>
      <w:r w:rsidRPr="001C37A8">
        <w:t>ODUflex</w:t>
      </w:r>
      <w:proofErr w:type="spellEnd"/>
      <w:r w:rsidRPr="001C37A8">
        <w:t xml:space="preserve"> (2, 17.13.3, Annex J).</w:t>
      </w:r>
    </w:p>
    <w:p w14:paraId="35547A1C" w14:textId="77777777" w:rsidR="006A46AE" w:rsidRPr="001C37A8" w:rsidRDefault="006A46AE" w:rsidP="006A46AE">
      <w:pPr>
        <w:numPr>
          <w:ilvl w:val="0"/>
          <w:numId w:val="71"/>
        </w:numPr>
      </w:pPr>
      <w:r w:rsidRPr="001C37A8">
        <w:t xml:space="preserve">Update of </w:t>
      </w:r>
      <w:proofErr w:type="spellStart"/>
      <w:r w:rsidRPr="001C37A8">
        <w:t>FlexE</w:t>
      </w:r>
      <w:proofErr w:type="spellEnd"/>
      <w:r w:rsidRPr="001C37A8">
        <w:t xml:space="preserve"> terminology and calendar slot descriptions with </w:t>
      </w:r>
      <w:proofErr w:type="spellStart"/>
      <w:r w:rsidRPr="001C37A8">
        <w:t>FlexE</w:t>
      </w:r>
      <w:proofErr w:type="spellEnd"/>
      <w:r w:rsidRPr="001C37A8">
        <w:t xml:space="preserve"> 2.0 IA (2, 17.11, </w:t>
      </w:r>
      <w:proofErr w:type="gramStart"/>
      <w:r w:rsidRPr="001C37A8">
        <w:t>17.12</w:t>
      </w:r>
      <w:proofErr w:type="gramEnd"/>
      <w:r w:rsidRPr="001C37A8">
        <w:t>).</w:t>
      </w:r>
    </w:p>
    <w:p w14:paraId="04DD632F" w14:textId="77777777" w:rsidR="006A46AE" w:rsidRPr="001C37A8" w:rsidRDefault="006A46AE" w:rsidP="006A46AE">
      <w:pPr>
        <w:numPr>
          <w:ilvl w:val="0"/>
          <w:numId w:val="71"/>
        </w:numPr>
      </w:pPr>
      <w:r w:rsidRPr="001C37A8">
        <w:t>Redefine the OP overhead bit in bit 1 of JC6 as a RES overhead (20.4, 20.4.3.1, 20.5).</w:t>
      </w:r>
    </w:p>
    <w:p w14:paraId="3C32C1D7" w14:textId="77777777" w:rsidR="006A46AE" w:rsidRPr="001C37A8" w:rsidRDefault="006A46AE" w:rsidP="006A46AE">
      <w:pPr>
        <w:numPr>
          <w:ilvl w:val="0"/>
          <w:numId w:val="71"/>
        </w:numPr>
      </w:pPr>
      <w:r w:rsidRPr="001C37A8">
        <w:t xml:space="preserve">Replacement of references to IEEE Std. 802.3-2015, 802.3by and 802.3bs by a reference to IEEE </w:t>
      </w:r>
      <w:proofErr w:type="spellStart"/>
      <w:r w:rsidRPr="001C37A8">
        <w:t>Std</w:t>
      </w:r>
      <w:proofErr w:type="spellEnd"/>
      <w:r w:rsidRPr="001C37A8">
        <w:t xml:space="preserve"> 802.3-2018 (2, 17.13.1, 17.13.2, Annex J, Annex K).</w:t>
      </w:r>
    </w:p>
    <w:p w14:paraId="02431EB0" w14:textId="77777777" w:rsidR="006A46AE" w:rsidRPr="001C37A8" w:rsidRDefault="006A46AE" w:rsidP="006A46AE">
      <w:pPr>
        <w:numPr>
          <w:ilvl w:val="0"/>
          <w:numId w:val="71"/>
        </w:numPr>
      </w:pPr>
      <w:r w:rsidRPr="001C37A8">
        <w:t xml:space="preserve">Addition of ODU4 and </w:t>
      </w:r>
      <w:proofErr w:type="spellStart"/>
      <w:proofErr w:type="gramStart"/>
      <w:r w:rsidRPr="001C37A8">
        <w:t>ODUflex</w:t>
      </w:r>
      <w:proofErr w:type="spellEnd"/>
      <w:r w:rsidRPr="001C37A8">
        <w:t>(</w:t>
      </w:r>
      <w:proofErr w:type="gramEnd"/>
      <w:r w:rsidRPr="001C37A8">
        <w:t>25G/50G/200G/400GBASE-R) rows to Table 7-9 (7.4).</w:t>
      </w:r>
    </w:p>
    <w:p w14:paraId="63FD07A6" w14:textId="77777777" w:rsidR="006A46AE" w:rsidRPr="001C37A8" w:rsidRDefault="006A46AE" w:rsidP="006A46AE">
      <w:pPr>
        <w:numPr>
          <w:ilvl w:val="0"/>
          <w:numId w:val="71"/>
        </w:numPr>
      </w:pPr>
      <w:r w:rsidRPr="001C37A8">
        <w:t>Addition of 25G, 50G, 200G and 400GBASE-R rows to Table IX.1 (Appendix IX).</w:t>
      </w:r>
    </w:p>
    <w:p w14:paraId="7D1B509B" w14:textId="77777777" w:rsidR="006A46AE" w:rsidRPr="001C37A8" w:rsidRDefault="006A46AE" w:rsidP="006A46AE">
      <w:pPr>
        <w:numPr>
          <w:ilvl w:val="0"/>
          <w:numId w:val="71"/>
        </w:numPr>
      </w:pPr>
      <w:r w:rsidRPr="001C37A8">
        <w:t xml:space="preserve">Addition of </w:t>
      </w:r>
      <w:proofErr w:type="spellStart"/>
      <w:proofErr w:type="gramStart"/>
      <w:r w:rsidRPr="001C37A8">
        <w:t>ODUflex</w:t>
      </w:r>
      <w:proofErr w:type="spellEnd"/>
      <w:r w:rsidRPr="001C37A8">
        <w:t>(</w:t>
      </w:r>
      <w:proofErr w:type="gramEnd"/>
      <w:r w:rsidRPr="001C37A8">
        <w:t>25G/50GGBASE-R, FC-1600/3200) rows to Table X.1 (Appendix X).</w:t>
      </w:r>
    </w:p>
    <w:p w14:paraId="1BF05155" w14:textId="77777777" w:rsidR="006A46AE" w:rsidRPr="00C1421E" w:rsidRDefault="006A46AE" w:rsidP="006A46AE">
      <w:pPr>
        <w:rPr>
          <w:lang w:val="en-GB"/>
        </w:rPr>
      </w:pPr>
      <w:r w:rsidRPr="001C37A8">
        <w:rPr>
          <w:b/>
          <w:bCs/>
          <w:lang w:val="en-GB"/>
        </w:rPr>
        <w:t>ITU-T G.709.1/Y.1331.1 Amd.1 "Flexible OTN short-reach interfaces: Amendment 1"</w:t>
      </w:r>
      <w:r w:rsidRPr="00C1421E">
        <w:rPr>
          <w:lang w:val="en-GB"/>
        </w:rPr>
        <w:t xml:space="preserve"> contains editorial changes to the second edition (06/2018) of ITU-T Recommendation G.709.1/Y.1331.1, related to the:</w:t>
      </w:r>
    </w:p>
    <w:p w14:paraId="6D6CE9A4" w14:textId="77777777" w:rsidR="006A46AE" w:rsidRPr="001C37A8" w:rsidRDefault="006A46AE" w:rsidP="006A46AE">
      <w:pPr>
        <w:numPr>
          <w:ilvl w:val="0"/>
          <w:numId w:val="72"/>
        </w:numPr>
      </w:pPr>
      <w:r w:rsidRPr="001C37A8">
        <w:t>FEC specification enhancements to align to G.709 format</w:t>
      </w:r>
    </w:p>
    <w:p w14:paraId="064C2886" w14:textId="77777777" w:rsidR="006A46AE" w:rsidRPr="001C37A8" w:rsidRDefault="006A46AE" w:rsidP="006A46AE">
      <w:pPr>
        <w:numPr>
          <w:ilvl w:val="0"/>
          <w:numId w:val="72"/>
        </w:numPr>
      </w:pPr>
      <w:r w:rsidRPr="001C37A8">
        <w:t xml:space="preserve">Replacement of PHY terminology to </w:t>
      </w:r>
      <w:proofErr w:type="spellStart"/>
      <w:r w:rsidRPr="001C37A8">
        <w:t>FlexO</w:t>
      </w:r>
      <w:proofErr w:type="spellEnd"/>
      <w:r w:rsidRPr="001C37A8">
        <w:t xml:space="preserve"> instances</w:t>
      </w:r>
    </w:p>
    <w:p w14:paraId="32BB5E8B" w14:textId="77777777" w:rsidR="006A46AE" w:rsidRPr="001C37A8" w:rsidRDefault="006A46AE" w:rsidP="006A46AE">
      <w:pPr>
        <w:numPr>
          <w:ilvl w:val="0"/>
          <w:numId w:val="72"/>
        </w:numPr>
      </w:pPr>
      <w:r w:rsidRPr="001C37A8">
        <w:t>Fixed typos in clause 11.6.1</w:t>
      </w:r>
    </w:p>
    <w:p w14:paraId="5926C75F" w14:textId="77777777" w:rsidR="006A46AE" w:rsidRPr="00C1421E" w:rsidRDefault="006A46AE" w:rsidP="006A46AE">
      <w:pPr>
        <w:rPr>
          <w:highlight w:val="yellow"/>
          <w:lang w:val="en-GB"/>
        </w:rPr>
      </w:pPr>
      <w:r w:rsidRPr="00C1421E">
        <w:rPr>
          <w:lang w:val="en-GB"/>
        </w:rPr>
        <w:t>Fixed typo in AM value of Table 9-2.</w:t>
      </w:r>
    </w:p>
    <w:p w14:paraId="3FBB6F4A" w14:textId="77777777" w:rsidR="006A46AE" w:rsidRPr="00C1421E" w:rsidRDefault="006A46AE" w:rsidP="006A46AE">
      <w:pPr>
        <w:rPr>
          <w:lang w:val="en-GB"/>
        </w:rPr>
      </w:pPr>
      <w:r w:rsidRPr="00C1421E">
        <w:rPr>
          <w:b/>
          <w:lang w:val="en-GB"/>
        </w:rPr>
        <w:t xml:space="preserve">ITU-T G.709/Y.1331 (2016) Amd.3 "Interfaces for the optical transport network (OTN): Amendment 3" </w:t>
      </w:r>
      <w:r w:rsidRPr="006E6A13">
        <w:rPr>
          <w:lang w:val="en-GB"/>
        </w:rPr>
        <w:t>(under approval) contains</w:t>
      </w:r>
      <w:r w:rsidRPr="00C1421E">
        <w:rPr>
          <w:lang w:val="en-GB"/>
        </w:rPr>
        <w:t xml:space="preserve"> extensions to the fifth edition (06/2016) of ITU-T Recommendation G.709/Y.1331, related to the:</w:t>
      </w:r>
    </w:p>
    <w:p w14:paraId="14A93351" w14:textId="77777777" w:rsidR="006A46AE" w:rsidRPr="001C37A8" w:rsidRDefault="006A46AE" w:rsidP="006A46AE">
      <w:pPr>
        <w:numPr>
          <w:ilvl w:val="0"/>
          <w:numId w:val="76"/>
        </w:numPr>
      </w:pPr>
      <w:r w:rsidRPr="001C37A8">
        <w:t xml:space="preserve">Addition of interconnection of Ethernet UNI and </w:t>
      </w:r>
      <w:proofErr w:type="spellStart"/>
      <w:r w:rsidRPr="001C37A8">
        <w:t>FlexE</w:t>
      </w:r>
      <w:proofErr w:type="spellEnd"/>
      <w:r w:rsidRPr="001C37A8">
        <w:t xml:space="preserve"> Group UNI in two administrative domains (7.5, Appendix XIV).</w:t>
      </w:r>
    </w:p>
    <w:p w14:paraId="3A225E34" w14:textId="77777777" w:rsidR="006A46AE" w:rsidRPr="001C37A8" w:rsidRDefault="006A46AE" w:rsidP="006A46AE">
      <w:pPr>
        <w:numPr>
          <w:ilvl w:val="0"/>
          <w:numId w:val="76"/>
        </w:numPr>
      </w:pPr>
      <w:r w:rsidRPr="001C37A8">
        <w:t xml:space="preserve">Addition of 50GBASE-R mapping into </w:t>
      </w:r>
      <w:proofErr w:type="spellStart"/>
      <w:r w:rsidRPr="001C37A8">
        <w:t>ODUflex</w:t>
      </w:r>
      <w:proofErr w:type="spellEnd"/>
      <w:r w:rsidRPr="001C37A8">
        <w:t xml:space="preserve"> (2, 17.13.3, Annex J).</w:t>
      </w:r>
    </w:p>
    <w:p w14:paraId="5384B812" w14:textId="77777777" w:rsidR="006A46AE" w:rsidRPr="001C37A8" w:rsidRDefault="006A46AE" w:rsidP="006A46AE">
      <w:pPr>
        <w:numPr>
          <w:ilvl w:val="0"/>
          <w:numId w:val="76"/>
        </w:numPr>
      </w:pPr>
      <w:r w:rsidRPr="001C37A8">
        <w:t xml:space="preserve">Update of </w:t>
      </w:r>
      <w:proofErr w:type="spellStart"/>
      <w:r w:rsidRPr="001C37A8">
        <w:t>FlexE</w:t>
      </w:r>
      <w:proofErr w:type="spellEnd"/>
      <w:r w:rsidRPr="001C37A8">
        <w:t xml:space="preserve"> terminology and calendar slot descriptions with </w:t>
      </w:r>
      <w:proofErr w:type="spellStart"/>
      <w:r w:rsidRPr="001C37A8">
        <w:t>FlexE</w:t>
      </w:r>
      <w:proofErr w:type="spellEnd"/>
      <w:r w:rsidRPr="001C37A8">
        <w:t xml:space="preserve"> 2.0 IA (2, 17.11, </w:t>
      </w:r>
      <w:proofErr w:type="gramStart"/>
      <w:r w:rsidRPr="001C37A8">
        <w:t>17.12</w:t>
      </w:r>
      <w:proofErr w:type="gramEnd"/>
      <w:r w:rsidRPr="001C37A8">
        <w:t>).</w:t>
      </w:r>
    </w:p>
    <w:p w14:paraId="259679CF" w14:textId="77777777" w:rsidR="006A46AE" w:rsidRPr="001C37A8" w:rsidRDefault="006A46AE" w:rsidP="006A46AE">
      <w:pPr>
        <w:numPr>
          <w:ilvl w:val="0"/>
          <w:numId w:val="76"/>
        </w:numPr>
      </w:pPr>
      <w:r w:rsidRPr="001C37A8">
        <w:t>Redefine the OP overhead bit in bit 1 of JC6 as a RES overhead (20.4, 20.4.3.1, 20.5).</w:t>
      </w:r>
    </w:p>
    <w:p w14:paraId="18CBC9ED" w14:textId="77777777" w:rsidR="006A46AE" w:rsidRPr="001C37A8" w:rsidRDefault="006A46AE" w:rsidP="006A46AE">
      <w:pPr>
        <w:numPr>
          <w:ilvl w:val="0"/>
          <w:numId w:val="76"/>
        </w:numPr>
      </w:pPr>
      <w:r w:rsidRPr="001C37A8">
        <w:t xml:space="preserve">Replacement of references to IEEE Std. 802.3-2015, 802.3by and 802.3bs by a reference to IEEE </w:t>
      </w:r>
      <w:proofErr w:type="spellStart"/>
      <w:r w:rsidRPr="001C37A8">
        <w:t>Std</w:t>
      </w:r>
      <w:proofErr w:type="spellEnd"/>
      <w:r w:rsidRPr="001C37A8">
        <w:t xml:space="preserve"> 802.3-2018 (2, 17.13.1, 17.13.2, Annex J, Annex K).</w:t>
      </w:r>
    </w:p>
    <w:p w14:paraId="5D0E46C3" w14:textId="77777777" w:rsidR="006A46AE" w:rsidRPr="001C37A8" w:rsidRDefault="006A46AE" w:rsidP="006A46AE">
      <w:pPr>
        <w:numPr>
          <w:ilvl w:val="0"/>
          <w:numId w:val="76"/>
        </w:numPr>
      </w:pPr>
      <w:r w:rsidRPr="001C37A8">
        <w:t xml:space="preserve">Addition of ODU4 and </w:t>
      </w:r>
      <w:proofErr w:type="spellStart"/>
      <w:proofErr w:type="gramStart"/>
      <w:r w:rsidRPr="001C37A8">
        <w:t>ODUflex</w:t>
      </w:r>
      <w:proofErr w:type="spellEnd"/>
      <w:r w:rsidRPr="001C37A8">
        <w:t>(</w:t>
      </w:r>
      <w:proofErr w:type="gramEnd"/>
      <w:r w:rsidRPr="001C37A8">
        <w:t>25G/50G/200G/400GBASE-R) rows to Table 7-9 (7.4).</w:t>
      </w:r>
    </w:p>
    <w:p w14:paraId="07BD937D" w14:textId="77777777" w:rsidR="006A46AE" w:rsidRPr="001C37A8" w:rsidRDefault="006A46AE" w:rsidP="006A46AE">
      <w:pPr>
        <w:numPr>
          <w:ilvl w:val="0"/>
          <w:numId w:val="76"/>
        </w:numPr>
      </w:pPr>
      <w:r w:rsidRPr="001C37A8">
        <w:t>Addition of 25G, 50G, 200G and 400GBASE-R rows to Table IX.1 (Appendix IX).</w:t>
      </w:r>
    </w:p>
    <w:p w14:paraId="0ECFE46D" w14:textId="77777777" w:rsidR="006A46AE" w:rsidRPr="001C37A8" w:rsidRDefault="006A46AE" w:rsidP="006A46AE">
      <w:pPr>
        <w:numPr>
          <w:ilvl w:val="0"/>
          <w:numId w:val="76"/>
        </w:numPr>
      </w:pPr>
      <w:r w:rsidRPr="001C37A8">
        <w:t xml:space="preserve">Addition of </w:t>
      </w:r>
      <w:proofErr w:type="spellStart"/>
      <w:proofErr w:type="gramStart"/>
      <w:r w:rsidRPr="001C37A8">
        <w:t>ODUflex</w:t>
      </w:r>
      <w:proofErr w:type="spellEnd"/>
      <w:r w:rsidRPr="001C37A8">
        <w:t>(</w:t>
      </w:r>
      <w:proofErr w:type="gramEnd"/>
      <w:r w:rsidRPr="001C37A8">
        <w:t>25G/50GGBASE-R, FC-1600/3200) rows to Table X.1 (Appendix X).</w:t>
      </w:r>
    </w:p>
    <w:p w14:paraId="587ADE0C" w14:textId="77777777" w:rsidR="006A46AE" w:rsidRPr="00C1421E" w:rsidRDefault="006A46AE" w:rsidP="006A46AE">
      <w:pPr>
        <w:pStyle w:val="Headingb"/>
      </w:pPr>
      <w:bookmarkStart w:id="222" w:name="_Toc480527887"/>
      <w:r w:rsidRPr="00C1421E">
        <w:t>I.1.5</w:t>
      </w:r>
      <w:r w:rsidRPr="00C1421E">
        <w:tab/>
        <w:t>Optical transmission systems</w:t>
      </w:r>
      <w:bookmarkEnd w:id="222"/>
    </w:p>
    <w:p w14:paraId="7CA551E4" w14:textId="77777777" w:rsidR="006A46AE" w:rsidRPr="001C37A8" w:rsidRDefault="006A46AE" w:rsidP="006A46AE">
      <w:pPr>
        <w:rPr>
          <w:b/>
          <w:bCs/>
          <w:lang w:val="en-GB"/>
        </w:rPr>
      </w:pPr>
      <w:r w:rsidRPr="00C1421E">
        <w:rPr>
          <w:b/>
          <w:szCs w:val="24"/>
          <w:lang w:val="en-GB"/>
        </w:rPr>
        <w:t xml:space="preserve">ITU-T G.671 (revised) "Transmission characteristics of optical components and subsystems" </w:t>
      </w:r>
      <w:r w:rsidRPr="00C1421E">
        <w:rPr>
          <w:szCs w:val="24"/>
          <w:lang w:val="en-GB"/>
        </w:rPr>
        <w:t>covers the transmission-related aspects of all types of optical components used in long-haul networks and access networks. A broad range of types of optical components is included in this Recommendation. This Recommendation also includes transmission characteristics of optical components under the full range of operating conditions, but does not specify the operating service conditions, installation aspects or other aspects of components not affecting the optical transmission path. This Recommendation also draws upon the relevant IEC definitions and test methods where applicable.</w:t>
      </w:r>
    </w:p>
    <w:p w14:paraId="6D43885E" w14:textId="77777777" w:rsidR="006A46AE" w:rsidRPr="00C1421E" w:rsidRDefault="006A46AE" w:rsidP="006A46AE">
      <w:pPr>
        <w:rPr>
          <w:lang w:val="en-GB"/>
        </w:rPr>
      </w:pPr>
      <w:r w:rsidRPr="00C1421E">
        <w:rPr>
          <w:b/>
          <w:lang w:val="en-GB"/>
        </w:rPr>
        <w:lastRenderedPageBreak/>
        <w:t>ITU-T G.709/Y.1331 (2016) Amd.3 "Interfaces for the optical transport network (OTN): Amendment 3</w:t>
      </w:r>
      <w:r w:rsidRPr="006E6A13">
        <w:rPr>
          <w:b/>
          <w:lang w:val="en-GB"/>
        </w:rPr>
        <w:t xml:space="preserve">" </w:t>
      </w:r>
      <w:r w:rsidRPr="006E6A13">
        <w:rPr>
          <w:lang w:val="en-GB"/>
        </w:rPr>
        <w:t>(under approval)</w:t>
      </w:r>
      <w:r w:rsidRPr="00C1421E">
        <w:rPr>
          <w:lang w:val="en-GB"/>
        </w:rPr>
        <w:t xml:space="preserve"> contains extensions to the fifth edition (06/2016) of ITU-T Recommendation G.709/Y.1331, related to the:</w:t>
      </w:r>
    </w:p>
    <w:p w14:paraId="52D377C2" w14:textId="77777777" w:rsidR="006A46AE" w:rsidRPr="00C1421E" w:rsidRDefault="006A46AE" w:rsidP="006A46AE">
      <w:pPr>
        <w:rPr>
          <w:lang w:val="en-GB"/>
        </w:rPr>
      </w:pPr>
      <w:r w:rsidRPr="00C1421E">
        <w:rPr>
          <w:lang w:val="en-GB"/>
        </w:rPr>
        <w:t>-</w:t>
      </w:r>
      <w:r w:rsidRPr="00C1421E">
        <w:rPr>
          <w:lang w:val="en-GB"/>
        </w:rPr>
        <w:tab/>
        <w:t xml:space="preserve">Addition of interconnection of Ethernet UNI and </w:t>
      </w:r>
      <w:proofErr w:type="spellStart"/>
      <w:r w:rsidRPr="00C1421E">
        <w:rPr>
          <w:lang w:val="en-GB"/>
        </w:rPr>
        <w:t>FlexE</w:t>
      </w:r>
      <w:proofErr w:type="spellEnd"/>
      <w:r w:rsidRPr="00C1421E">
        <w:rPr>
          <w:lang w:val="en-GB"/>
        </w:rPr>
        <w:t xml:space="preserve"> Group UNI in two administrative domains (7.5, Appendix XIV).</w:t>
      </w:r>
    </w:p>
    <w:p w14:paraId="15A61FD3" w14:textId="77777777" w:rsidR="006A46AE" w:rsidRPr="00C1421E" w:rsidRDefault="006A46AE" w:rsidP="006A46AE">
      <w:pPr>
        <w:rPr>
          <w:lang w:val="en-GB"/>
        </w:rPr>
      </w:pPr>
      <w:r w:rsidRPr="00C1421E">
        <w:rPr>
          <w:lang w:val="en-GB"/>
        </w:rPr>
        <w:t>-</w:t>
      </w:r>
      <w:r w:rsidRPr="00C1421E">
        <w:rPr>
          <w:lang w:val="en-GB"/>
        </w:rPr>
        <w:tab/>
        <w:t xml:space="preserve">Addition of 50GBASE-R mapping into </w:t>
      </w:r>
      <w:proofErr w:type="spellStart"/>
      <w:r w:rsidRPr="00C1421E">
        <w:rPr>
          <w:lang w:val="en-GB"/>
        </w:rPr>
        <w:t>ODUflex</w:t>
      </w:r>
      <w:proofErr w:type="spellEnd"/>
      <w:r w:rsidRPr="00C1421E">
        <w:rPr>
          <w:lang w:val="en-GB"/>
        </w:rPr>
        <w:t xml:space="preserve"> (2, 17.13.3, Annex J).</w:t>
      </w:r>
    </w:p>
    <w:p w14:paraId="211FAD08" w14:textId="77777777" w:rsidR="006A46AE" w:rsidRPr="00C1421E" w:rsidRDefault="006A46AE" w:rsidP="006A46AE">
      <w:pPr>
        <w:rPr>
          <w:lang w:val="en-GB"/>
        </w:rPr>
      </w:pPr>
      <w:r w:rsidRPr="00C1421E">
        <w:rPr>
          <w:lang w:val="en-GB"/>
        </w:rPr>
        <w:t>-</w:t>
      </w:r>
      <w:r w:rsidRPr="00C1421E">
        <w:rPr>
          <w:lang w:val="en-GB"/>
        </w:rPr>
        <w:tab/>
        <w:t xml:space="preserve">Update of </w:t>
      </w:r>
      <w:proofErr w:type="spellStart"/>
      <w:r w:rsidRPr="00C1421E">
        <w:rPr>
          <w:lang w:val="en-GB"/>
        </w:rPr>
        <w:t>FlexE</w:t>
      </w:r>
      <w:proofErr w:type="spellEnd"/>
      <w:r w:rsidRPr="00C1421E">
        <w:rPr>
          <w:lang w:val="en-GB"/>
        </w:rPr>
        <w:t xml:space="preserve"> terminology and calendar slot descriptions with </w:t>
      </w:r>
      <w:proofErr w:type="spellStart"/>
      <w:r w:rsidRPr="00C1421E">
        <w:rPr>
          <w:lang w:val="en-GB"/>
        </w:rPr>
        <w:t>FlexE</w:t>
      </w:r>
      <w:proofErr w:type="spellEnd"/>
      <w:r w:rsidRPr="00C1421E">
        <w:rPr>
          <w:lang w:val="en-GB"/>
        </w:rPr>
        <w:t xml:space="preserve"> 2.0 IA (2, 17.11, </w:t>
      </w:r>
      <w:proofErr w:type="gramStart"/>
      <w:r w:rsidRPr="00C1421E">
        <w:rPr>
          <w:lang w:val="en-GB"/>
        </w:rPr>
        <w:t>17.12</w:t>
      </w:r>
      <w:proofErr w:type="gramEnd"/>
      <w:r w:rsidRPr="00C1421E">
        <w:rPr>
          <w:lang w:val="en-GB"/>
        </w:rPr>
        <w:t>).</w:t>
      </w:r>
    </w:p>
    <w:p w14:paraId="573DDB67" w14:textId="77777777" w:rsidR="006A46AE" w:rsidRPr="00C1421E" w:rsidRDefault="006A46AE" w:rsidP="006A46AE">
      <w:pPr>
        <w:rPr>
          <w:lang w:val="en-GB"/>
        </w:rPr>
      </w:pPr>
      <w:r w:rsidRPr="00C1421E">
        <w:rPr>
          <w:lang w:val="en-GB"/>
        </w:rPr>
        <w:t>-</w:t>
      </w:r>
      <w:r w:rsidRPr="00C1421E">
        <w:rPr>
          <w:lang w:val="en-GB"/>
        </w:rPr>
        <w:tab/>
        <w:t>Redefine the OP overhead bit in bit 1 of JC6 as a RES overhead (20.4, 20.4.3.1, 20.5).</w:t>
      </w:r>
    </w:p>
    <w:p w14:paraId="7B16F3E7" w14:textId="77777777" w:rsidR="006A46AE" w:rsidRPr="00C1421E" w:rsidRDefault="006A46AE" w:rsidP="006A46AE">
      <w:pPr>
        <w:rPr>
          <w:lang w:val="en-GB"/>
        </w:rPr>
      </w:pPr>
      <w:r w:rsidRPr="00C1421E">
        <w:rPr>
          <w:lang w:val="en-GB"/>
        </w:rPr>
        <w:t>-</w:t>
      </w:r>
      <w:r w:rsidRPr="00C1421E">
        <w:rPr>
          <w:lang w:val="en-GB"/>
        </w:rPr>
        <w:tab/>
        <w:t xml:space="preserve">Replacement of references to IEEE Std. 802.3-2015, 802.3by and 802.3bs by a reference to IEEE </w:t>
      </w:r>
      <w:proofErr w:type="spellStart"/>
      <w:r w:rsidRPr="00C1421E">
        <w:rPr>
          <w:lang w:val="en-GB"/>
        </w:rPr>
        <w:t>Std</w:t>
      </w:r>
      <w:proofErr w:type="spellEnd"/>
      <w:r w:rsidRPr="00C1421E">
        <w:rPr>
          <w:lang w:val="en-GB"/>
        </w:rPr>
        <w:t xml:space="preserve"> 802.3-2018 (2, 17.13.1, 17.13.2, Annex J, Annex K).</w:t>
      </w:r>
    </w:p>
    <w:p w14:paraId="3A97DDEE" w14:textId="77777777" w:rsidR="006A46AE" w:rsidRPr="00C1421E" w:rsidRDefault="006A46AE" w:rsidP="006A46AE">
      <w:pPr>
        <w:rPr>
          <w:lang w:val="en-GB"/>
        </w:rPr>
      </w:pPr>
      <w:r w:rsidRPr="00C1421E">
        <w:rPr>
          <w:lang w:val="en-GB"/>
        </w:rPr>
        <w:t>-</w:t>
      </w:r>
      <w:r w:rsidRPr="00C1421E">
        <w:rPr>
          <w:lang w:val="en-GB"/>
        </w:rPr>
        <w:tab/>
        <w:t xml:space="preserve">Addition of ODU4 and </w:t>
      </w:r>
      <w:proofErr w:type="spellStart"/>
      <w:proofErr w:type="gramStart"/>
      <w:r w:rsidRPr="00C1421E">
        <w:rPr>
          <w:lang w:val="en-GB"/>
        </w:rPr>
        <w:t>ODUflex</w:t>
      </w:r>
      <w:proofErr w:type="spellEnd"/>
      <w:r w:rsidRPr="00C1421E">
        <w:rPr>
          <w:lang w:val="en-GB"/>
        </w:rPr>
        <w:t>(</w:t>
      </w:r>
      <w:proofErr w:type="gramEnd"/>
      <w:r w:rsidRPr="00C1421E">
        <w:rPr>
          <w:lang w:val="en-GB"/>
        </w:rPr>
        <w:t>25G/50G/200G/400GBASE-R) rows to Table 7-9 (7.4).</w:t>
      </w:r>
    </w:p>
    <w:p w14:paraId="6F29B46C" w14:textId="77777777" w:rsidR="006A46AE" w:rsidRPr="00C1421E" w:rsidRDefault="006A46AE" w:rsidP="006A46AE">
      <w:pPr>
        <w:rPr>
          <w:lang w:val="en-GB"/>
        </w:rPr>
      </w:pPr>
      <w:r w:rsidRPr="00C1421E">
        <w:rPr>
          <w:lang w:val="en-GB"/>
        </w:rPr>
        <w:t>-</w:t>
      </w:r>
      <w:r w:rsidRPr="00C1421E">
        <w:rPr>
          <w:lang w:val="en-GB"/>
        </w:rPr>
        <w:tab/>
        <w:t>Addition of 25G, 50G, 200G and 400GBASE-R rows to Table IX.1 (Appendix IX).</w:t>
      </w:r>
    </w:p>
    <w:p w14:paraId="2DFB7F95" w14:textId="77777777" w:rsidR="006A46AE" w:rsidRPr="00C1421E" w:rsidRDefault="006A46AE" w:rsidP="006A46AE">
      <w:pPr>
        <w:rPr>
          <w:lang w:val="en-GB"/>
        </w:rPr>
      </w:pPr>
      <w:r w:rsidRPr="00C1421E">
        <w:rPr>
          <w:lang w:val="en-GB"/>
        </w:rPr>
        <w:t>-</w:t>
      </w:r>
      <w:r w:rsidRPr="00C1421E">
        <w:rPr>
          <w:lang w:val="en-GB"/>
        </w:rPr>
        <w:tab/>
        <w:t xml:space="preserve">Addition of </w:t>
      </w:r>
      <w:proofErr w:type="spellStart"/>
      <w:proofErr w:type="gramStart"/>
      <w:r w:rsidRPr="00C1421E">
        <w:rPr>
          <w:lang w:val="en-GB"/>
        </w:rPr>
        <w:t>ODUflex</w:t>
      </w:r>
      <w:proofErr w:type="spellEnd"/>
      <w:r w:rsidRPr="00C1421E">
        <w:rPr>
          <w:lang w:val="en-GB"/>
        </w:rPr>
        <w:t>(</w:t>
      </w:r>
      <w:proofErr w:type="gramEnd"/>
      <w:r w:rsidRPr="00C1421E">
        <w:rPr>
          <w:lang w:val="en-GB"/>
        </w:rPr>
        <w:t>25G/50GGBASE-R, FC-1600/3200) rows to Table X.1 (Appendix X).</w:t>
      </w:r>
    </w:p>
    <w:p w14:paraId="245A43C8" w14:textId="77777777" w:rsidR="006A46AE" w:rsidRPr="00C1421E" w:rsidRDefault="006A46AE" w:rsidP="006A46AE">
      <w:pPr>
        <w:rPr>
          <w:lang w:val="en-GB"/>
        </w:rPr>
      </w:pPr>
      <w:r w:rsidRPr="00C1421E">
        <w:rPr>
          <w:b/>
          <w:lang w:val="en-GB"/>
        </w:rPr>
        <w:t xml:space="preserve">ITU-T G.709.1/Y.1331.1 (2018) Amd.1 "Flexible OTN short-reach interfaces: Amendment 1" </w:t>
      </w:r>
      <w:r w:rsidRPr="006E6A13">
        <w:rPr>
          <w:lang w:val="en-GB"/>
        </w:rPr>
        <w:t>(under approval)</w:t>
      </w:r>
      <w:r w:rsidRPr="00C1421E">
        <w:rPr>
          <w:lang w:val="en-GB"/>
        </w:rPr>
        <w:t xml:space="preserve"> contains editorial changes to the second edition (06/2018) of ITU-T Recommendation G.709.1/Y.1331.1, related to the:</w:t>
      </w:r>
    </w:p>
    <w:p w14:paraId="35E72287" w14:textId="77777777" w:rsidR="006A46AE" w:rsidRPr="00C1421E" w:rsidRDefault="006A46AE" w:rsidP="006A46AE">
      <w:pPr>
        <w:rPr>
          <w:lang w:val="en-GB"/>
        </w:rPr>
      </w:pPr>
      <w:r w:rsidRPr="00C1421E">
        <w:rPr>
          <w:lang w:val="en-GB"/>
        </w:rPr>
        <w:t>-</w:t>
      </w:r>
      <w:r w:rsidRPr="00C1421E">
        <w:rPr>
          <w:lang w:val="en-GB"/>
        </w:rPr>
        <w:tab/>
        <w:t>FEC specification enhancements to align to G.709 format</w:t>
      </w:r>
    </w:p>
    <w:p w14:paraId="7F246AD5" w14:textId="77777777" w:rsidR="006A46AE" w:rsidRPr="00C1421E" w:rsidRDefault="006A46AE" w:rsidP="006A46AE">
      <w:pPr>
        <w:rPr>
          <w:lang w:val="en-GB"/>
        </w:rPr>
      </w:pPr>
      <w:r w:rsidRPr="00C1421E">
        <w:rPr>
          <w:lang w:val="en-GB"/>
        </w:rPr>
        <w:t>-</w:t>
      </w:r>
      <w:r w:rsidRPr="00C1421E">
        <w:rPr>
          <w:lang w:val="en-GB"/>
        </w:rPr>
        <w:tab/>
        <w:t xml:space="preserve">Replacement of PHY terminology to </w:t>
      </w:r>
      <w:proofErr w:type="spellStart"/>
      <w:r w:rsidRPr="00C1421E">
        <w:rPr>
          <w:lang w:val="en-GB"/>
        </w:rPr>
        <w:t>FlexO</w:t>
      </w:r>
      <w:proofErr w:type="spellEnd"/>
      <w:r w:rsidRPr="00C1421E">
        <w:rPr>
          <w:lang w:val="en-GB"/>
        </w:rPr>
        <w:t xml:space="preserve"> instances</w:t>
      </w:r>
    </w:p>
    <w:p w14:paraId="33236CC2" w14:textId="77777777" w:rsidR="006A46AE" w:rsidRPr="00C1421E" w:rsidRDefault="006A46AE" w:rsidP="006A46AE">
      <w:pPr>
        <w:rPr>
          <w:lang w:val="en-GB"/>
        </w:rPr>
      </w:pPr>
      <w:r w:rsidRPr="00C1421E">
        <w:rPr>
          <w:lang w:val="en-GB"/>
        </w:rPr>
        <w:t>-</w:t>
      </w:r>
      <w:r w:rsidRPr="00C1421E">
        <w:rPr>
          <w:lang w:val="en-GB"/>
        </w:rPr>
        <w:tab/>
        <w:t>Fixed typos in clause 11.6.1</w:t>
      </w:r>
    </w:p>
    <w:p w14:paraId="71102038" w14:textId="77777777" w:rsidR="006A46AE" w:rsidRPr="00C1421E" w:rsidRDefault="006A46AE" w:rsidP="006A46AE">
      <w:pPr>
        <w:rPr>
          <w:lang w:val="en-GB"/>
        </w:rPr>
      </w:pPr>
      <w:r w:rsidRPr="00C1421E">
        <w:rPr>
          <w:lang w:val="en-GB"/>
        </w:rPr>
        <w:t>-</w:t>
      </w:r>
      <w:r w:rsidRPr="00C1421E">
        <w:rPr>
          <w:lang w:val="en-GB"/>
        </w:rPr>
        <w:tab/>
        <w:t>Fixed typo in AM value of Table 9-2.</w:t>
      </w:r>
    </w:p>
    <w:p w14:paraId="12B10B11" w14:textId="77777777" w:rsidR="006A46AE" w:rsidRPr="00C1421E" w:rsidRDefault="006A46AE" w:rsidP="006A46AE">
      <w:pPr>
        <w:rPr>
          <w:lang w:val="en-GB"/>
        </w:rPr>
      </w:pPr>
      <w:r w:rsidRPr="00C1421E">
        <w:rPr>
          <w:b/>
          <w:lang w:val="en-GB"/>
        </w:rPr>
        <w:t>ITU-T G.709.3/Y.1331.3 Amd.1 "Flexible OTN long-reach interfaces: Amendment 1"</w:t>
      </w:r>
      <w:r w:rsidRPr="00C1421E">
        <w:rPr>
          <w:lang w:val="en-GB"/>
        </w:rPr>
        <w:t xml:space="preserve"> contains extensions to the first edition (06/2018) of ITU-T Recommendation G.709.3/Y.1331.3, related to the:</w:t>
      </w:r>
    </w:p>
    <w:p w14:paraId="2D02556E" w14:textId="77777777" w:rsidR="006A46AE" w:rsidRPr="00C1421E" w:rsidRDefault="006A46AE" w:rsidP="006A46AE">
      <w:pPr>
        <w:rPr>
          <w:lang w:val="en-GB"/>
        </w:rPr>
      </w:pPr>
      <w:r w:rsidRPr="00C1421E">
        <w:rPr>
          <w:lang w:val="en-GB"/>
        </w:rPr>
        <w:t>-</w:t>
      </w:r>
      <w:r w:rsidRPr="00C1421E">
        <w:rPr>
          <w:lang w:val="en-GB"/>
        </w:rPr>
        <w:tab/>
        <w:t>Enhancement of the FEC Block Alignment specification (11.3.1)</w:t>
      </w:r>
    </w:p>
    <w:p w14:paraId="4D943706" w14:textId="77777777" w:rsidR="006A46AE" w:rsidRPr="00C1421E" w:rsidRDefault="006A46AE" w:rsidP="006A46AE">
      <w:pPr>
        <w:rPr>
          <w:lang w:val="en-GB"/>
        </w:rPr>
      </w:pPr>
      <w:r w:rsidRPr="00C1421E">
        <w:rPr>
          <w:lang w:val="en-GB"/>
        </w:rPr>
        <w:t>-</w:t>
      </w:r>
      <w:r w:rsidRPr="00C1421E">
        <w:rPr>
          <w:lang w:val="en-GB"/>
        </w:rPr>
        <w:tab/>
        <w:t xml:space="preserve">Addition of 200G and 400G </w:t>
      </w:r>
      <w:proofErr w:type="spellStart"/>
      <w:r w:rsidRPr="00C1421E">
        <w:rPr>
          <w:lang w:val="en-GB"/>
        </w:rPr>
        <w:t>FlexO</w:t>
      </w:r>
      <w:proofErr w:type="spellEnd"/>
      <w:r w:rsidRPr="00C1421E">
        <w:rPr>
          <w:lang w:val="en-GB"/>
        </w:rPr>
        <w:t xml:space="preserve"> with Concatenated FEC (7, 7.2, 11.3, 11.3.1, 11.3.2, 12, 13, 14, 15, Annex C, Annex D, Appendix I, Appendix II)</w:t>
      </w:r>
    </w:p>
    <w:p w14:paraId="4A0FC7C2" w14:textId="77777777" w:rsidR="006A46AE" w:rsidRPr="00C1421E" w:rsidRDefault="006A46AE" w:rsidP="006A46AE">
      <w:pPr>
        <w:rPr>
          <w:lang w:val="en-GB"/>
        </w:rPr>
      </w:pPr>
      <w:r w:rsidRPr="00C1421E">
        <w:rPr>
          <w:lang w:val="en-GB"/>
        </w:rPr>
        <w:t>-</w:t>
      </w:r>
      <w:r w:rsidRPr="00C1421E">
        <w:rPr>
          <w:lang w:val="en-GB"/>
        </w:rPr>
        <w:tab/>
        <w:t>Deletion of m and n and addition of Z conventions (5).</w:t>
      </w:r>
    </w:p>
    <w:p w14:paraId="5A6F2A80" w14:textId="77777777" w:rsidR="006A46AE" w:rsidRPr="00C1421E" w:rsidRDefault="006A46AE" w:rsidP="006A46AE">
      <w:pPr>
        <w:widowControl w:val="0"/>
        <w:rPr>
          <w:szCs w:val="24"/>
          <w:lang w:val="en-GB"/>
        </w:rPr>
      </w:pPr>
      <w:r w:rsidRPr="001C37A8">
        <w:rPr>
          <w:b/>
          <w:bCs/>
          <w:szCs w:val="24"/>
          <w:lang w:val="en-GB"/>
        </w:rPr>
        <w:t>ITU-T G.798 (2017) Amd.2 "</w:t>
      </w:r>
      <w:r w:rsidRPr="00C1421E">
        <w:rPr>
          <w:b/>
          <w:szCs w:val="24"/>
          <w:lang w:val="en-GB"/>
        </w:rPr>
        <w:t xml:space="preserve">Characteristics of optical transport network hierarchy equipment functional blocks - Amendment 2" </w:t>
      </w:r>
      <w:r w:rsidRPr="006E6A13">
        <w:rPr>
          <w:szCs w:val="24"/>
          <w:lang w:val="en-GB"/>
        </w:rPr>
        <w:t>(under approval)</w:t>
      </w:r>
      <w:r w:rsidRPr="00C1421E">
        <w:rPr>
          <w:szCs w:val="24"/>
          <w:lang w:val="en-GB"/>
        </w:rPr>
        <w:t xml:space="preserve"> specifies both the components and the methodology that should be used in order to specify the optical transport network (OTN) functionality of network elements; it does not specify individual optical transport network equipment.</w:t>
      </w:r>
    </w:p>
    <w:p w14:paraId="75BE6636" w14:textId="77777777" w:rsidR="006A46AE" w:rsidRPr="00C1421E" w:rsidRDefault="006A46AE" w:rsidP="006A46AE">
      <w:pPr>
        <w:widowControl w:val="0"/>
        <w:rPr>
          <w:szCs w:val="24"/>
          <w:lang w:val="en-GB"/>
        </w:rPr>
      </w:pPr>
      <w:r w:rsidRPr="00C1421E">
        <w:rPr>
          <w:szCs w:val="24"/>
          <w:lang w:val="en-GB"/>
        </w:rPr>
        <w:t>Amendment 1 contains text modifications and additions for:</w:t>
      </w:r>
    </w:p>
    <w:p w14:paraId="24640D2C"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 xml:space="preserve">moving the </w:t>
      </w:r>
      <w:proofErr w:type="spellStart"/>
      <w:r w:rsidRPr="00C1421E">
        <w:rPr>
          <w:szCs w:val="24"/>
          <w:lang w:val="en-GB"/>
        </w:rPr>
        <w:t>ODUkP</w:t>
      </w:r>
      <w:proofErr w:type="spellEnd"/>
      <w:r w:rsidRPr="00C1421E">
        <w:rPr>
          <w:szCs w:val="24"/>
          <w:lang w:val="en-GB"/>
        </w:rPr>
        <w:t xml:space="preserve"> to Ethernet MAC layer and Ethernet Reconciliation sublayer adaptation functions from ITU-T G.8021 to ITU-T G.798.</w:t>
      </w:r>
    </w:p>
    <w:p w14:paraId="2D5A05A9"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 xml:space="preserve">supporting the adaptation of </w:t>
      </w:r>
      <w:proofErr w:type="spellStart"/>
      <w:r w:rsidRPr="00C1421E">
        <w:rPr>
          <w:szCs w:val="24"/>
          <w:lang w:val="en-GB"/>
        </w:rPr>
        <w:t>ODUkP</w:t>
      </w:r>
      <w:proofErr w:type="spellEnd"/>
      <w:r w:rsidRPr="00C1421E">
        <w:rPr>
          <w:szCs w:val="24"/>
          <w:lang w:val="en-GB"/>
        </w:rPr>
        <w:t xml:space="preserve"> to Ethernet Coding sublayer for 25 Gb/s, 200 Gb/s and 400 Gb/s Ethernet signals.</w:t>
      </w:r>
    </w:p>
    <w:p w14:paraId="7197F278"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r>
      <w:proofErr w:type="gramStart"/>
      <w:r w:rsidRPr="00C1421E">
        <w:rPr>
          <w:szCs w:val="24"/>
          <w:lang w:val="en-GB"/>
        </w:rPr>
        <w:t>alignment</w:t>
      </w:r>
      <w:proofErr w:type="gramEnd"/>
      <w:r w:rsidRPr="00C1421E">
        <w:rPr>
          <w:szCs w:val="24"/>
          <w:lang w:val="en-GB"/>
        </w:rPr>
        <w:t xml:space="preserve"> with ITU-T G.8023.</w:t>
      </w:r>
    </w:p>
    <w:p w14:paraId="6D3DC9C5"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r>
      <w:proofErr w:type="gramStart"/>
      <w:r w:rsidRPr="00C1421E">
        <w:rPr>
          <w:szCs w:val="24"/>
          <w:lang w:val="en-GB"/>
        </w:rPr>
        <w:t>replacing</w:t>
      </w:r>
      <w:proofErr w:type="gramEnd"/>
      <w:r w:rsidRPr="00C1421E">
        <w:rPr>
          <w:szCs w:val="24"/>
          <w:lang w:val="en-GB"/>
        </w:rPr>
        <w:t xml:space="preserve"> Appendix VIII to align with ITU-T G.872 and ITU-T G.873.1</w:t>
      </w:r>
    </w:p>
    <w:p w14:paraId="76728539" w14:textId="77777777" w:rsidR="006A46AE" w:rsidRPr="00C1421E" w:rsidRDefault="006A46AE" w:rsidP="006A46AE">
      <w:pPr>
        <w:widowControl w:val="0"/>
        <w:rPr>
          <w:szCs w:val="24"/>
          <w:lang w:val="en-GB"/>
        </w:rPr>
      </w:pPr>
      <w:r w:rsidRPr="00C1421E">
        <w:rPr>
          <w:szCs w:val="24"/>
          <w:lang w:val="en-GB"/>
        </w:rPr>
        <w:t>Amendment 2 contains text modifications and additions for:</w:t>
      </w:r>
    </w:p>
    <w:p w14:paraId="226DC2E3" w14:textId="77777777" w:rsidR="006A46AE" w:rsidRPr="00C1421E" w:rsidRDefault="006A46AE" w:rsidP="006A46AE">
      <w:pPr>
        <w:widowControl w:val="0"/>
        <w:rPr>
          <w:szCs w:val="24"/>
          <w:lang w:val="en-GB"/>
        </w:rPr>
      </w:pPr>
      <w:r w:rsidRPr="00C1421E">
        <w:rPr>
          <w:szCs w:val="24"/>
          <w:lang w:val="en-GB"/>
        </w:rPr>
        <w:lastRenderedPageBreak/>
        <w:t>–</w:t>
      </w:r>
      <w:r w:rsidRPr="00C1421E">
        <w:rPr>
          <w:szCs w:val="24"/>
          <w:lang w:val="en-GB"/>
        </w:rPr>
        <w:tab/>
      </w:r>
      <w:proofErr w:type="spellStart"/>
      <w:r w:rsidRPr="00C1421E">
        <w:rPr>
          <w:szCs w:val="24"/>
          <w:lang w:val="en-GB"/>
        </w:rPr>
        <w:t>OTSi</w:t>
      </w:r>
      <w:proofErr w:type="spellEnd"/>
      <w:r w:rsidRPr="00C1421E">
        <w:rPr>
          <w:szCs w:val="24"/>
          <w:lang w:val="en-GB"/>
        </w:rPr>
        <w:t xml:space="preserve"> to OTU4 adaptation function with SC-FEC.</w:t>
      </w:r>
    </w:p>
    <w:p w14:paraId="67DA3696"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r>
      <w:proofErr w:type="spellStart"/>
      <w:r w:rsidRPr="00C1421E">
        <w:rPr>
          <w:szCs w:val="24"/>
          <w:lang w:val="en-GB"/>
        </w:rPr>
        <w:t>OTSi</w:t>
      </w:r>
      <w:proofErr w:type="spellEnd"/>
      <w:r w:rsidRPr="00C1421E">
        <w:rPr>
          <w:szCs w:val="24"/>
          <w:lang w:val="en-GB"/>
        </w:rPr>
        <w:t xml:space="preserve"> to FlexO-1-SC adaptation function.</w:t>
      </w:r>
    </w:p>
    <w:p w14:paraId="396CF435" w14:textId="77777777" w:rsidR="006A46AE" w:rsidRPr="00C1421E" w:rsidRDefault="006A46AE" w:rsidP="006A46AE">
      <w:pPr>
        <w:rPr>
          <w:szCs w:val="24"/>
          <w:lang w:val="en-GB"/>
        </w:rPr>
      </w:pPr>
      <w:r w:rsidRPr="00C1421E">
        <w:rPr>
          <w:szCs w:val="24"/>
          <w:lang w:val="en-GB"/>
        </w:rPr>
        <w:t>–</w:t>
      </w:r>
      <w:r w:rsidRPr="00C1421E">
        <w:rPr>
          <w:szCs w:val="24"/>
          <w:lang w:val="en-GB"/>
        </w:rPr>
        <w:tab/>
      </w:r>
      <w:proofErr w:type="gramStart"/>
      <w:r w:rsidRPr="00C1421E">
        <w:rPr>
          <w:szCs w:val="24"/>
          <w:lang w:val="en-GB"/>
        </w:rPr>
        <w:t>alignment</w:t>
      </w:r>
      <w:proofErr w:type="gramEnd"/>
      <w:r w:rsidRPr="00C1421E">
        <w:rPr>
          <w:szCs w:val="24"/>
          <w:lang w:val="en-GB"/>
        </w:rPr>
        <w:t xml:space="preserve"> with ITU-T G.709.1.</w:t>
      </w:r>
    </w:p>
    <w:p w14:paraId="23E15552" w14:textId="77777777" w:rsidR="006A46AE" w:rsidRPr="001C37A8" w:rsidRDefault="006A46AE" w:rsidP="006A46AE">
      <w:pPr>
        <w:rPr>
          <w:b/>
          <w:bCs/>
          <w:lang w:val="en-GB"/>
        </w:rPr>
      </w:pPr>
      <w:r w:rsidRPr="001C37A8">
        <w:rPr>
          <w:b/>
          <w:bCs/>
          <w:lang w:val="en-GB"/>
        </w:rPr>
        <w:t xml:space="preserve">ITU-T G.807 "Generic functional architecture of the optical media </w:t>
      </w:r>
      <w:r w:rsidRPr="006E6A13">
        <w:rPr>
          <w:b/>
          <w:bCs/>
          <w:lang w:val="en-GB"/>
        </w:rPr>
        <w:t>network" (under approval)</w:t>
      </w:r>
      <w:r w:rsidRPr="006E6A13">
        <w:rPr>
          <w:bCs/>
          <w:szCs w:val="24"/>
          <w:lang w:val="en-GB"/>
        </w:rPr>
        <w:t xml:space="preserve"> describes the generic functional architecture of the optical media netw</w:t>
      </w:r>
      <w:r w:rsidRPr="001C37A8">
        <w:rPr>
          <w:bCs/>
          <w:szCs w:val="24"/>
          <w:lang w:val="en-GB"/>
        </w:rPr>
        <w:t>ork that supports the propagation of signals in the context of a transport network. This description is independent of the client digital information that is being carried by a signal in the media network.</w:t>
      </w:r>
    </w:p>
    <w:p w14:paraId="1692E9E2" w14:textId="77777777" w:rsidR="006A46AE" w:rsidRPr="00C1421E" w:rsidRDefault="006A46AE" w:rsidP="006A46AE">
      <w:pPr>
        <w:rPr>
          <w:lang w:val="en-GB"/>
        </w:rPr>
      </w:pPr>
      <w:r w:rsidRPr="001C37A8">
        <w:rPr>
          <w:b/>
          <w:bCs/>
          <w:lang w:val="en-GB"/>
        </w:rPr>
        <w:t xml:space="preserve">ITU-T G.808.2 (revised) "Generic protection switching – Ring </w:t>
      </w:r>
      <w:r w:rsidRPr="006E6A13">
        <w:rPr>
          <w:b/>
          <w:bCs/>
          <w:lang w:val="en-GB"/>
        </w:rPr>
        <w:t>protection"</w:t>
      </w:r>
      <w:r w:rsidRPr="006E6A13">
        <w:rPr>
          <w:bCs/>
          <w:lang w:val="en-GB"/>
        </w:rPr>
        <w:t xml:space="preserve"> </w:t>
      </w:r>
      <w:r w:rsidRPr="00C1421E">
        <w:rPr>
          <w:lang w:val="en-GB"/>
        </w:rPr>
        <w:t>defines the generic functional models, characteristics and processes associated with various ring protection schemes for connection oriented networks; e.g., optical transport networks (OTNs), synchronous digital hierarchy (SDH) networks, and MPLS transport profile (MPLS-TP) networks. It also defines the objectives and applications for these schemes. The protection scheme described in this Recommendation is shared ring protection. Generic functional models, characteristics and processes for linear protection and interconnected subnetwork protection schemes are defined in other Recommendations.</w:t>
      </w:r>
    </w:p>
    <w:p w14:paraId="1D233455" w14:textId="77777777" w:rsidR="006A46AE" w:rsidRPr="00C1421E" w:rsidRDefault="006A46AE" w:rsidP="006A46AE">
      <w:pPr>
        <w:rPr>
          <w:lang w:val="en-GB"/>
        </w:rPr>
      </w:pPr>
      <w:r w:rsidRPr="001C37A8">
        <w:rPr>
          <w:b/>
          <w:bCs/>
          <w:lang w:val="en-GB"/>
        </w:rPr>
        <w:t>ITU-T G.7041/Y.1303 (2016) Amd.1 "Generic framing procedure – Amendment 1"</w:t>
      </w:r>
      <w:r w:rsidRPr="00C1421E">
        <w:rPr>
          <w:lang w:val="en-GB"/>
        </w:rPr>
        <w:t xml:space="preserve"> contains edits to enhance the clarity of the client bit numbering for the GFP-F mappings, especially the SSM bit numbering in clause 7.11. It also includes editorial corrections to labelling in four additional figures.</w:t>
      </w:r>
    </w:p>
    <w:p w14:paraId="6A9B6151" w14:textId="77777777" w:rsidR="006A46AE" w:rsidRPr="00C1421E" w:rsidRDefault="006A46AE" w:rsidP="006A46AE">
      <w:pPr>
        <w:rPr>
          <w:lang w:val="en-GB"/>
        </w:rPr>
      </w:pPr>
      <w:r w:rsidRPr="001C37A8">
        <w:rPr>
          <w:b/>
          <w:bCs/>
          <w:lang w:val="en-GB"/>
        </w:rPr>
        <w:t xml:space="preserve">ITU-T G.872 (revised) "Architecture of optical transport networks (OTN)" </w:t>
      </w:r>
      <w:r w:rsidRPr="006E6A13">
        <w:rPr>
          <w:bCs/>
          <w:lang w:val="en-GB"/>
        </w:rPr>
        <w:t>(under approval)</w:t>
      </w:r>
      <w:r w:rsidRPr="006E6A13">
        <w:rPr>
          <w:lang w:val="en-GB"/>
        </w:rPr>
        <w:t xml:space="preserve"> </w:t>
      </w:r>
      <w:r w:rsidRPr="00C1421E">
        <w:rPr>
          <w:lang w:val="en-GB"/>
        </w:rPr>
        <w:t xml:space="preserve">describes the functional architecture of the optical transport network (OTN) using the modelling methodology described in Recommendations ITU-T G.800, ITU-T G.805 and ITU-T G.807. The OTN functionality is described from a network level viewpoint, taking into account, client characteristic information, client/server layer associations, networking topology, layer network functionality and optical media network </w:t>
      </w:r>
      <w:proofErr w:type="gramStart"/>
      <w:r w:rsidRPr="00C1421E">
        <w:rPr>
          <w:lang w:val="en-GB"/>
        </w:rPr>
        <w:t>structure, that</w:t>
      </w:r>
      <w:proofErr w:type="gramEnd"/>
      <w:r w:rsidRPr="00C1421E">
        <w:rPr>
          <w:lang w:val="en-GB"/>
        </w:rPr>
        <w:t xml:space="preserve"> provide multiplexing, routing and supervision of digital clients. The media portion of the network is described in terms of media constructs, media elements and optical signal maintenance entities.</w:t>
      </w:r>
    </w:p>
    <w:p w14:paraId="65F1425B" w14:textId="77777777" w:rsidR="006A46AE" w:rsidRPr="00C1421E" w:rsidRDefault="006A46AE" w:rsidP="006A46AE">
      <w:pPr>
        <w:pStyle w:val="Headingb"/>
      </w:pPr>
      <w:bookmarkStart w:id="223" w:name="_Toc480527889"/>
      <w:r w:rsidRPr="00C1421E">
        <w:t>I.1.6</w:t>
      </w:r>
      <w:r w:rsidRPr="00C1421E">
        <w:tab/>
        <w:t>Transport network control aspects</w:t>
      </w:r>
      <w:bookmarkEnd w:id="223"/>
    </w:p>
    <w:p w14:paraId="738B8668" w14:textId="77777777" w:rsidR="006A46AE" w:rsidRPr="00C1421E" w:rsidRDefault="006A46AE" w:rsidP="006A46AE">
      <w:pPr>
        <w:rPr>
          <w:lang w:val="en-GB"/>
        </w:rPr>
      </w:pPr>
      <w:r w:rsidRPr="001C37A8">
        <w:rPr>
          <w:b/>
          <w:bCs/>
          <w:lang w:val="en-GB"/>
        </w:rPr>
        <w:t>ITU-T G.875 (revised) "Optical transport network: Protocol-neutral management information model for the network element view"</w:t>
      </w:r>
      <w:r w:rsidRPr="00C1421E">
        <w:rPr>
          <w:lang w:val="en-GB"/>
        </w:rPr>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4AB02C75" w14:textId="77777777" w:rsidR="006A46AE" w:rsidRPr="00C1421E" w:rsidRDefault="006A46AE" w:rsidP="006A46AE">
      <w:pPr>
        <w:rPr>
          <w:lang w:val="en-GB"/>
        </w:rPr>
      </w:pPr>
      <w:r w:rsidRPr="001C37A8">
        <w:rPr>
          <w:b/>
          <w:bCs/>
          <w:lang w:val="en-GB"/>
        </w:rPr>
        <w:t xml:space="preserve">ITU-T G.7710/Y.1701 (revised) "Common equipment management function requirements" </w:t>
      </w:r>
      <w:r w:rsidRPr="00C1421E">
        <w:rPr>
          <w:lang w:val="en-GB"/>
        </w:rPr>
        <w:t>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p>
    <w:p w14:paraId="63A654E6" w14:textId="77777777" w:rsidR="006A46AE" w:rsidRPr="001C37A8" w:rsidRDefault="006A46AE" w:rsidP="006A46AE">
      <w:pPr>
        <w:rPr>
          <w:lang w:val="en-GB"/>
        </w:rPr>
      </w:pPr>
      <w:r w:rsidRPr="001C37A8">
        <w:rPr>
          <w:lang w:val="en-GB"/>
        </w:rPr>
        <w:t>The 2012 revision of this Recommendation has incorporated the following below.</w:t>
      </w:r>
    </w:p>
    <w:p w14:paraId="7F13F7EF" w14:textId="77777777" w:rsidR="006A46AE" w:rsidRPr="007064AE" w:rsidRDefault="006A46AE" w:rsidP="006A46AE">
      <w:pPr>
        <w:rPr>
          <w:lang w:val="fr-FR"/>
        </w:rPr>
      </w:pPr>
      <w:r w:rsidRPr="007064AE">
        <w:rPr>
          <w:lang w:val="fr-FR"/>
        </w:rPr>
        <w:lastRenderedPageBreak/>
        <w:t>–</w:t>
      </w:r>
      <w:r w:rsidRPr="007064AE">
        <w:rPr>
          <w:lang w:val="fr-FR"/>
        </w:rPr>
        <w:tab/>
      </w:r>
      <w:proofErr w:type="spellStart"/>
      <w:r w:rsidRPr="007064AE">
        <w:rPr>
          <w:lang w:val="fr-FR"/>
        </w:rPr>
        <w:t>Recommendation</w:t>
      </w:r>
      <w:proofErr w:type="spellEnd"/>
      <w:r w:rsidRPr="007064AE">
        <w:rPr>
          <w:lang w:val="fr-FR"/>
        </w:rPr>
        <w:t xml:space="preserve"> ITU-T G.7710/Y.1701 </w:t>
      </w:r>
      <w:proofErr w:type="spellStart"/>
      <w:r w:rsidRPr="007064AE">
        <w:rPr>
          <w:lang w:val="fr-FR"/>
        </w:rPr>
        <w:t>Corrigendum</w:t>
      </w:r>
      <w:proofErr w:type="spellEnd"/>
      <w:r w:rsidRPr="007064AE">
        <w:rPr>
          <w:lang w:val="fr-FR"/>
        </w:rPr>
        <w:t xml:space="preserve"> 1 (11/2009):</w:t>
      </w:r>
    </w:p>
    <w:p w14:paraId="3C1B79BF" w14:textId="77777777" w:rsidR="006A46AE" w:rsidRPr="001C37A8" w:rsidRDefault="006A46AE" w:rsidP="006A46AE">
      <w:pPr>
        <w:rPr>
          <w:lang w:val="en-GB"/>
        </w:rPr>
      </w:pPr>
      <w:r w:rsidRPr="007064AE">
        <w:rPr>
          <w:lang w:val="fr-FR"/>
        </w:rPr>
        <w:tab/>
      </w:r>
      <w:proofErr w:type="gramStart"/>
      <w:r w:rsidRPr="001C37A8">
        <w:rPr>
          <w:lang w:val="en-GB"/>
        </w:rPr>
        <w:t>this</w:t>
      </w:r>
      <w:proofErr w:type="gramEnd"/>
      <w:r w:rsidRPr="001C37A8">
        <w:rPr>
          <w:lang w:val="en-GB"/>
        </w:rPr>
        <w:t xml:space="preserve"> mainly contains an updated equipment management function process block diagram.</w:t>
      </w:r>
    </w:p>
    <w:p w14:paraId="051A59D9" w14:textId="77777777" w:rsidR="006A46AE" w:rsidRPr="007064AE" w:rsidRDefault="006A46AE" w:rsidP="006A46AE">
      <w:pPr>
        <w:rPr>
          <w:lang w:val="fr-FR"/>
        </w:rPr>
      </w:pPr>
      <w:r w:rsidRPr="007064AE">
        <w:rPr>
          <w:lang w:val="fr-FR"/>
        </w:rPr>
        <w:t>–</w:t>
      </w:r>
      <w:r w:rsidRPr="007064AE">
        <w:rPr>
          <w:lang w:val="fr-FR"/>
        </w:rPr>
        <w:tab/>
      </w:r>
      <w:proofErr w:type="spellStart"/>
      <w:r w:rsidRPr="007064AE">
        <w:rPr>
          <w:lang w:val="fr-FR"/>
        </w:rPr>
        <w:t>Recommendation</w:t>
      </w:r>
      <w:proofErr w:type="spellEnd"/>
      <w:r w:rsidRPr="007064AE">
        <w:rPr>
          <w:lang w:val="fr-FR"/>
        </w:rPr>
        <w:t xml:space="preserve"> ITU-T G.7710/Y.1701 </w:t>
      </w:r>
      <w:proofErr w:type="spellStart"/>
      <w:r w:rsidRPr="007064AE">
        <w:rPr>
          <w:lang w:val="fr-FR"/>
        </w:rPr>
        <w:t>Amendment</w:t>
      </w:r>
      <w:proofErr w:type="spellEnd"/>
      <w:r w:rsidRPr="007064AE">
        <w:rPr>
          <w:lang w:val="fr-FR"/>
        </w:rPr>
        <w:t xml:space="preserve"> 1 (07/2010):</w:t>
      </w:r>
    </w:p>
    <w:p w14:paraId="5EF59BEB" w14:textId="77777777" w:rsidR="006A46AE" w:rsidRPr="001C37A8" w:rsidRDefault="006A46AE" w:rsidP="006A46AE">
      <w:pPr>
        <w:rPr>
          <w:lang w:val="en-GB"/>
        </w:rPr>
      </w:pPr>
      <w:r w:rsidRPr="007064AE">
        <w:rPr>
          <w:lang w:val="fr-FR"/>
        </w:rPr>
        <w:tab/>
      </w:r>
      <w:proofErr w:type="gramStart"/>
      <w:r w:rsidRPr="001C37A8">
        <w:rPr>
          <w:lang w:val="en-GB"/>
        </w:rPr>
        <w:t>updates</w:t>
      </w:r>
      <w:proofErr w:type="gramEnd"/>
      <w:r w:rsidRPr="001C37A8">
        <w:rPr>
          <w:lang w:val="en-GB"/>
        </w:rPr>
        <w:t xml:space="preserve"> the packet layer related specification of severely errored second (SES) to align it with the SES definition in Recommendation ITU-T Y.1563.</w:t>
      </w:r>
    </w:p>
    <w:p w14:paraId="0F6B6828" w14:textId="77777777" w:rsidR="006A46AE" w:rsidRPr="007064AE" w:rsidRDefault="006A46AE" w:rsidP="006A46AE">
      <w:pPr>
        <w:rPr>
          <w:lang w:val="fr-FR"/>
        </w:rPr>
      </w:pPr>
      <w:r w:rsidRPr="007064AE">
        <w:rPr>
          <w:lang w:val="fr-FR"/>
        </w:rPr>
        <w:t>–</w:t>
      </w:r>
      <w:r w:rsidRPr="007064AE">
        <w:rPr>
          <w:lang w:val="fr-FR"/>
        </w:rPr>
        <w:tab/>
      </w:r>
      <w:proofErr w:type="spellStart"/>
      <w:r w:rsidRPr="007064AE">
        <w:rPr>
          <w:lang w:val="fr-FR"/>
        </w:rPr>
        <w:t>Recommendation</w:t>
      </w:r>
      <w:proofErr w:type="spellEnd"/>
      <w:r w:rsidRPr="007064AE">
        <w:rPr>
          <w:lang w:val="fr-FR"/>
        </w:rPr>
        <w:t xml:space="preserve"> ITU-T G.7710/Y.1701 </w:t>
      </w:r>
      <w:proofErr w:type="spellStart"/>
      <w:r w:rsidRPr="007064AE">
        <w:rPr>
          <w:lang w:val="fr-FR"/>
        </w:rPr>
        <w:t>Corrigendum</w:t>
      </w:r>
      <w:proofErr w:type="spellEnd"/>
      <w:r w:rsidRPr="007064AE">
        <w:rPr>
          <w:lang w:val="fr-FR"/>
        </w:rPr>
        <w:t xml:space="preserve"> 2 (04/2011):</w:t>
      </w:r>
    </w:p>
    <w:p w14:paraId="26877B95" w14:textId="77777777" w:rsidR="006A46AE" w:rsidRPr="001C37A8" w:rsidRDefault="006A46AE" w:rsidP="006A46AE">
      <w:pPr>
        <w:rPr>
          <w:lang w:val="en-GB"/>
        </w:rPr>
      </w:pPr>
      <w:r w:rsidRPr="007064AE">
        <w:rPr>
          <w:lang w:val="fr-FR"/>
        </w:rPr>
        <w:tab/>
      </w:r>
      <w:proofErr w:type="gramStart"/>
      <w:r w:rsidRPr="001C37A8">
        <w:rPr>
          <w:lang w:val="en-GB"/>
        </w:rPr>
        <w:t>this</w:t>
      </w:r>
      <w:proofErr w:type="gramEnd"/>
      <w:r w:rsidRPr="001C37A8">
        <w:rPr>
          <w:lang w:val="en-GB"/>
        </w:rPr>
        <w:t xml:space="preserve"> adds the missing 6 LBC terms to the process description, and gives additional specifications on gauge measurement.</w:t>
      </w:r>
    </w:p>
    <w:p w14:paraId="369CCDAF" w14:textId="77777777" w:rsidR="006A46AE" w:rsidRPr="001C37A8" w:rsidRDefault="006A46AE" w:rsidP="006A46AE">
      <w:pPr>
        <w:rPr>
          <w:lang w:val="en-GB"/>
        </w:rPr>
      </w:pPr>
      <w:r w:rsidRPr="001C37A8">
        <w:rPr>
          <w:lang w:val="en-GB"/>
        </w:rPr>
        <w:t>The 2019 revision of this Recommendation has incorporated the following below.</w:t>
      </w:r>
    </w:p>
    <w:p w14:paraId="388B8226" w14:textId="77777777" w:rsidR="006A46AE" w:rsidRPr="007064AE" w:rsidRDefault="006A46AE" w:rsidP="006A46AE">
      <w:pPr>
        <w:rPr>
          <w:lang w:val="fr-FR"/>
        </w:rPr>
      </w:pPr>
      <w:r w:rsidRPr="007064AE">
        <w:rPr>
          <w:lang w:val="fr-FR"/>
        </w:rPr>
        <w:t>–</w:t>
      </w:r>
      <w:r w:rsidRPr="007064AE">
        <w:rPr>
          <w:lang w:val="fr-FR"/>
        </w:rPr>
        <w:tab/>
      </w:r>
      <w:proofErr w:type="spellStart"/>
      <w:r w:rsidRPr="007064AE">
        <w:rPr>
          <w:lang w:val="fr-FR"/>
        </w:rPr>
        <w:t>Recommendation</w:t>
      </w:r>
      <w:proofErr w:type="spellEnd"/>
      <w:r w:rsidRPr="007064AE">
        <w:rPr>
          <w:lang w:val="fr-FR"/>
        </w:rPr>
        <w:t xml:space="preserve"> ITU-T G.7710/Y.1701 </w:t>
      </w:r>
      <w:proofErr w:type="spellStart"/>
      <w:r w:rsidRPr="007064AE">
        <w:rPr>
          <w:lang w:val="fr-FR"/>
        </w:rPr>
        <w:t>Amendment</w:t>
      </w:r>
      <w:proofErr w:type="spellEnd"/>
      <w:r w:rsidRPr="007064AE">
        <w:rPr>
          <w:lang w:val="fr-FR"/>
        </w:rPr>
        <w:t xml:space="preserve"> 1 (9/2016):</w:t>
      </w:r>
    </w:p>
    <w:p w14:paraId="5B0CC1E5" w14:textId="77777777" w:rsidR="006A46AE" w:rsidRPr="001C37A8" w:rsidRDefault="006A46AE" w:rsidP="006A46AE">
      <w:pPr>
        <w:rPr>
          <w:b/>
          <w:bCs/>
          <w:lang w:val="en-GB"/>
        </w:rPr>
      </w:pPr>
      <w:r w:rsidRPr="001C37A8">
        <w:rPr>
          <w:b/>
          <w:bCs/>
          <w:lang w:val="en-GB"/>
        </w:rPr>
        <w:t>–</w:t>
      </w:r>
      <w:r w:rsidRPr="001C37A8">
        <w:rPr>
          <w:b/>
          <w:bCs/>
          <w:lang w:val="en-GB"/>
        </w:rPr>
        <w:tab/>
      </w:r>
      <w:r w:rsidRPr="00C1421E">
        <w:rPr>
          <w:szCs w:val="24"/>
          <w:lang w:val="en-GB"/>
        </w:rPr>
        <w:t>Create new clause 12 for control plane function management, including fault event reporting for controller-based restoration.</w:t>
      </w:r>
    </w:p>
    <w:p w14:paraId="13776315" w14:textId="77777777" w:rsidR="006A46AE" w:rsidRPr="00C1421E" w:rsidRDefault="006A46AE" w:rsidP="006A46AE">
      <w:pPr>
        <w:widowControl w:val="0"/>
        <w:rPr>
          <w:szCs w:val="24"/>
          <w:lang w:val="en-GB"/>
        </w:rPr>
      </w:pPr>
      <w:r w:rsidRPr="00C1421E">
        <w:rPr>
          <w:b/>
          <w:lang w:val="en-GB"/>
        </w:rPr>
        <w:t>ITU-T G.7712/Y.1703 (revised) "Architecture and specification of data communication network</w:t>
      </w:r>
      <w:r w:rsidRPr="006E6A13">
        <w:rPr>
          <w:b/>
          <w:szCs w:val="24"/>
          <w:lang w:val="en-GB"/>
        </w:rPr>
        <w:t xml:space="preserve">" </w:t>
      </w:r>
      <w:r w:rsidRPr="006E6A13">
        <w:rPr>
          <w:szCs w:val="24"/>
          <w:lang w:val="en-GB"/>
        </w:rPr>
        <w:t xml:space="preserve">defines </w:t>
      </w:r>
      <w:r w:rsidRPr="00C1421E">
        <w:rPr>
          <w:szCs w:val="24"/>
          <w:lang w:val="en-GB"/>
        </w:rPr>
        <w:t xml:space="preserve">the architecture requirements for a data communication network (DCN) which may support distributed management communications related to the telecommunication management network (TMN), distributed control plane communications (e.g., signalling and routing) related to the automatically switched optical network (ASON), distributed control plane communications (e.g., signalling and routing) related to multiprotocol label switching – transport profile (MPLS-TP), control plane communications related to Software Defined Networking (SDN), and other distributed communications (e.g., </w:t>
      </w:r>
      <w:proofErr w:type="spellStart"/>
      <w:r w:rsidRPr="00C1421E">
        <w:rPr>
          <w:szCs w:val="24"/>
          <w:lang w:val="en-GB"/>
        </w:rPr>
        <w:t>orderwire</w:t>
      </w:r>
      <w:proofErr w:type="spellEnd"/>
      <w:r w:rsidRPr="00C1421E">
        <w:rPr>
          <w:szCs w:val="24"/>
          <w:lang w:val="en-GB"/>
        </w:rPr>
        <w:t xml:space="preserve"> or voice communications, software download). The DCN architecture considers networks that are IP only,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6620DDE4" w14:textId="77777777" w:rsidR="006A46AE" w:rsidRPr="00C1421E" w:rsidRDefault="006A46AE" w:rsidP="006A46AE">
      <w:pPr>
        <w:widowControl w:val="0"/>
        <w:rPr>
          <w:szCs w:val="24"/>
          <w:lang w:val="en-GB"/>
        </w:rPr>
      </w:pPr>
      <w:r w:rsidRPr="00C1421E">
        <w:rPr>
          <w:szCs w:val="24"/>
          <w:lang w:val="en-GB"/>
        </w:rPr>
        <w:t>Various applications (e.g., TMN, ASON, etc.)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and MPLS-TP require communication networks, which are referred to as the signalling communication networks (SCNs) to transport signalling and routing messages between functional control plane components (e.g., connection controller (CC) components and routing controller (RC) components). This Recommendation specifies data communication functions that can be used to support one or more application's communication network.</w:t>
      </w:r>
    </w:p>
    <w:p w14:paraId="15ED55B0" w14:textId="77777777" w:rsidR="006A46AE" w:rsidRPr="00C1421E" w:rsidRDefault="006A46AE" w:rsidP="006A46AE">
      <w:pPr>
        <w:widowControl w:val="0"/>
        <w:rPr>
          <w:szCs w:val="24"/>
          <w:lang w:val="en-GB"/>
        </w:rPr>
      </w:pPr>
      <w:r w:rsidRPr="00C1421E">
        <w:rPr>
          <w:szCs w:val="24"/>
          <w:lang w:val="en-GB"/>
        </w:rPr>
        <w:t>The data communication functions provided in the 11/2001 version of this Recommendation support connectionless network services. The 03/2003 revision of this Recommendation adds the support of connection-oriented network SCN services by including a specific MPLS-based mechanism.</w:t>
      </w:r>
    </w:p>
    <w:p w14:paraId="4CFCFCF4" w14:textId="77777777" w:rsidR="006A46AE" w:rsidRPr="00C1421E" w:rsidRDefault="006A46AE" w:rsidP="006A46AE">
      <w:pPr>
        <w:widowControl w:val="0"/>
        <w:rPr>
          <w:szCs w:val="24"/>
          <w:lang w:val="en-GB"/>
        </w:rPr>
      </w:pPr>
      <w:r w:rsidRPr="00C1421E">
        <w:rPr>
          <w:szCs w:val="24"/>
          <w:lang w:val="en-GB"/>
        </w:rPr>
        <w:t>This 2010 revision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IETF. In the event of a difference between this ITU-T Recommendation and any of the normatively referenced RFCs for MPLS-TP, the RFCs will take precedence.</w:t>
      </w:r>
    </w:p>
    <w:p w14:paraId="20810970" w14:textId="77777777" w:rsidR="006A46AE" w:rsidRPr="00C1421E" w:rsidRDefault="006A46AE" w:rsidP="006A46AE">
      <w:pPr>
        <w:rPr>
          <w:szCs w:val="24"/>
          <w:lang w:val="en-GB"/>
        </w:rPr>
      </w:pPr>
      <w:r w:rsidRPr="00C1421E">
        <w:rPr>
          <w:szCs w:val="24"/>
          <w:lang w:val="en-GB"/>
        </w:rPr>
        <w:t>This Recommendation forms part of a family of Recommendations covering transport networks.</w:t>
      </w:r>
    </w:p>
    <w:p w14:paraId="1153DDA4" w14:textId="77777777" w:rsidR="006A46AE" w:rsidRPr="00C1421E" w:rsidRDefault="006A46AE" w:rsidP="006A46AE">
      <w:pPr>
        <w:rPr>
          <w:lang w:val="en-GB"/>
        </w:rPr>
      </w:pPr>
      <w:r w:rsidRPr="001C37A8">
        <w:rPr>
          <w:b/>
          <w:bCs/>
          <w:lang w:val="en-GB"/>
        </w:rPr>
        <w:lastRenderedPageBreak/>
        <w:t>ITU-T G.8052/Y.1346 (revised) "Protocol-neutral management information model for the Ethernet transport capable network element"</w:t>
      </w:r>
      <w:r w:rsidRPr="00C1421E">
        <w:rPr>
          <w:lang w:val="en-GB"/>
        </w:rPr>
        <w:t xml:space="preserve">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ITU-T G.8051/Y.1345.</w:t>
      </w:r>
    </w:p>
    <w:p w14:paraId="596A88C9" w14:textId="77777777" w:rsidR="006A46AE" w:rsidRPr="001C37A8" w:rsidRDefault="006A46AE" w:rsidP="006A46AE">
      <w:pPr>
        <w:rPr>
          <w:lang w:val="en-GB"/>
        </w:rPr>
      </w:pPr>
      <w:r w:rsidRPr="001C37A8">
        <w:rPr>
          <w:lang w:val="en-GB"/>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1C37A8">
        <w:rPr>
          <w:lang w:val="en-GB"/>
        </w:rPr>
        <w:t>subclassing</w:t>
      </w:r>
      <w:proofErr w:type="spellEnd"/>
      <w:r w:rsidRPr="001C37A8">
        <w:rPr>
          <w:lang w:val="en-GB"/>
        </w:rPr>
        <w:t xml:space="preserve"> of the TP classes from Recommendation ITU-T M.3160, and supports the additional management requirements in Recommendation ITU-T G.8051/Y.1345.</w:t>
      </w:r>
    </w:p>
    <w:p w14:paraId="670E674D" w14:textId="77777777" w:rsidR="006A46AE" w:rsidRPr="001C37A8" w:rsidRDefault="006A46AE" w:rsidP="006A46AE">
      <w:pPr>
        <w:rPr>
          <w:lang w:val="en-GB"/>
        </w:rPr>
      </w:pPr>
      <w:r w:rsidRPr="001C37A8">
        <w:rPr>
          <w:lang w:val="en-GB"/>
        </w:rPr>
        <w:t xml:space="preserve">The 2018 revision of this Recommendation up-versions the UML model tool to Papyrus v3.2.0 and the profile to v0.2.13, deletes </w:t>
      </w:r>
      <w:proofErr w:type="spellStart"/>
      <w:r w:rsidRPr="001C37A8">
        <w:rPr>
          <w:lang w:val="en-GB"/>
        </w:rPr>
        <w:t>ODUkP</w:t>
      </w:r>
      <w:proofErr w:type="spellEnd"/>
      <w:r w:rsidRPr="001C37A8">
        <w:rPr>
          <w:lang w:val="en-GB"/>
        </w:rPr>
        <w:t xml:space="preserve">-X-L (from the </w:t>
      </w:r>
      <w:proofErr w:type="spellStart"/>
      <w:r w:rsidRPr="001C37A8">
        <w:rPr>
          <w:lang w:val="en-GB"/>
        </w:rPr>
        <w:t>CsfRdiFdiEnableSink_Pac</w:t>
      </w:r>
      <w:proofErr w:type="spellEnd"/>
      <w:r w:rsidRPr="001C37A8">
        <w:rPr>
          <w:lang w:val="en-GB"/>
        </w:rPr>
        <w:t xml:space="preserve">, </w:t>
      </w:r>
      <w:proofErr w:type="spellStart"/>
      <w:r w:rsidRPr="001C37A8">
        <w:rPr>
          <w:lang w:val="en-GB"/>
        </w:rPr>
        <w:t>CsfRdiFdiEnableSource_Pac</w:t>
      </w:r>
      <w:proofErr w:type="spellEnd"/>
      <w:r w:rsidRPr="001C37A8">
        <w:rPr>
          <w:lang w:val="en-GB"/>
        </w:rPr>
        <w:t xml:space="preserve">, and </w:t>
      </w:r>
      <w:proofErr w:type="spellStart"/>
      <w:r w:rsidRPr="001C37A8">
        <w:rPr>
          <w:lang w:val="en-GB"/>
        </w:rPr>
        <w:t>CsfReportSink_Pac</w:t>
      </w:r>
      <w:proofErr w:type="spellEnd"/>
      <w:r w:rsidRPr="001C37A8">
        <w:rPr>
          <w:lang w:val="en-GB"/>
        </w:rPr>
        <w:t xml:space="preserve">), replace ETY termination points with </w:t>
      </w:r>
      <w:proofErr w:type="spellStart"/>
      <w:r w:rsidRPr="001C37A8">
        <w:rPr>
          <w:lang w:val="en-GB"/>
        </w:rPr>
        <w:t>ETHnull</w:t>
      </w:r>
      <w:proofErr w:type="spellEnd"/>
      <w:r w:rsidRPr="001C37A8">
        <w:rPr>
          <w:lang w:val="en-GB"/>
        </w:rPr>
        <w:t xml:space="preserve"> termination points, removes </w:t>
      </w:r>
      <w:proofErr w:type="spellStart"/>
      <w:r w:rsidRPr="001C37A8">
        <w:rPr>
          <w:lang w:val="en-GB"/>
        </w:rPr>
        <w:t>ODUkp</w:t>
      </w:r>
      <w:proofErr w:type="spellEnd"/>
      <w:r w:rsidRPr="001C37A8">
        <w:rPr>
          <w:lang w:val="en-GB"/>
        </w:rPr>
        <w:t>/ETH_A and ODU2P/ETHPP-OS_A, adds Annex A for the Ethernet Spec model.</w:t>
      </w:r>
    </w:p>
    <w:p w14:paraId="2E9DDE79" w14:textId="77777777" w:rsidR="006A46AE" w:rsidRPr="00C1421E" w:rsidRDefault="006A46AE" w:rsidP="006A46AE">
      <w:pPr>
        <w:rPr>
          <w:lang w:val="en-GB"/>
        </w:rPr>
      </w:pPr>
      <w:r w:rsidRPr="001C37A8">
        <w:rPr>
          <w:b/>
          <w:bCs/>
          <w:lang w:val="en-GB"/>
        </w:rPr>
        <w:t>ITU-T G.8152/Y.1375 (revised) "Protocol-neutral management information model for the MPLS-TP network element"</w:t>
      </w:r>
      <w:r w:rsidRPr="00C1421E">
        <w:rPr>
          <w:lang w:val="en-GB"/>
        </w:rPr>
        <w:t xml:space="preserve"> contains the protocol neutral unified modelling language (UML) model for multi-protocol label switching – transport profile (MPLS-TP) network element (NE) management.</w:t>
      </w:r>
    </w:p>
    <w:p w14:paraId="796C9834" w14:textId="77777777" w:rsidR="006A46AE" w:rsidRPr="001C37A8" w:rsidRDefault="006A46AE" w:rsidP="006A46AE">
      <w:pPr>
        <w:rPr>
          <w:lang w:val="en-GB"/>
        </w:rPr>
      </w:pPr>
      <w:r w:rsidRPr="001C37A8">
        <w:rPr>
          <w:lang w:val="en-GB"/>
        </w:rPr>
        <w:t>This Recommendation provides a representation of the MPLS-TP technology using the methodologies that have been used for other transport technologies (e.g., SDH, OTN and Ethernet).</w:t>
      </w:r>
    </w:p>
    <w:p w14:paraId="5617F155" w14:textId="77777777" w:rsidR="006A46AE" w:rsidRPr="001C37A8" w:rsidRDefault="006A46AE" w:rsidP="006A46AE">
      <w:pPr>
        <w:rPr>
          <w:lang w:val="en-GB"/>
        </w:rPr>
      </w:pPr>
      <w:r w:rsidRPr="001C37A8">
        <w:rPr>
          <w:lang w:val="en-GB"/>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1C37A8">
        <w:rPr>
          <w:lang w:val="en-GB"/>
        </w:rPr>
        <w:t>MT_SubnetworkProtectionGroup</w:t>
      </w:r>
      <w:proofErr w:type="spellEnd"/>
      <w:r w:rsidRPr="001C37A8">
        <w:rPr>
          <w:lang w:val="en-GB"/>
        </w:rPr>
        <w:t xml:space="preserve"> specifies the </w:t>
      </w:r>
      <w:proofErr w:type="spellStart"/>
      <w:r w:rsidRPr="001C37A8">
        <w:rPr>
          <w:lang w:val="en-GB"/>
        </w:rPr>
        <w:t>FcSwitch</w:t>
      </w:r>
      <w:proofErr w:type="spellEnd"/>
      <w:r w:rsidRPr="001C37A8">
        <w:rPr>
          <w:lang w:val="en-GB"/>
        </w:rPr>
        <w:t xml:space="preserve">, and </w:t>
      </w:r>
      <w:proofErr w:type="spellStart"/>
      <w:r w:rsidRPr="001C37A8">
        <w:rPr>
          <w:lang w:val="en-GB"/>
        </w:rPr>
        <w:t>MT_CrossConnection</w:t>
      </w:r>
      <w:proofErr w:type="spellEnd"/>
      <w:r w:rsidRPr="001C37A8">
        <w:rPr>
          <w:lang w:val="en-GB"/>
        </w:rPr>
        <w:t xml:space="preserve"> specifies the </w:t>
      </w:r>
      <w:proofErr w:type="spellStart"/>
      <w:r w:rsidRPr="001C37A8">
        <w:rPr>
          <w:lang w:val="en-GB"/>
        </w:rPr>
        <w:t>ForwardingConstruct</w:t>
      </w:r>
      <w:proofErr w:type="spellEnd"/>
      <w:r w:rsidRPr="001C37A8">
        <w:rPr>
          <w:lang w:val="en-GB"/>
        </w:rPr>
        <w:t>.</w:t>
      </w:r>
    </w:p>
    <w:p w14:paraId="6F924030" w14:textId="77777777" w:rsidR="006A46AE" w:rsidRPr="00C1421E" w:rsidRDefault="006A46AE" w:rsidP="006A46AE">
      <w:pPr>
        <w:pStyle w:val="Headingb"/>
      </w:pPr>
      <w:r w:rsidRPr="00C1421E">
        <w:t>I.1.7</w:t>
      </w:r>
      <w:r w:rsidRPr="00C1421E">
        <w:tab/>
        <w:t>Ethernet over transport networks</w:t>
      </w:r>
    </w:p>
    <w:p w14:paraId="58B56A5F" w14:textId="77777777" w:rsidR="006A46AE" w:rsidRPr="00C1421E" w:rsidRDefault="006A46AE" w:rsidP="006A46AE">
      <w:pPr>
        <w:pStyle w:val="Headingb"/>
      </w:pPr>
      <w:r w:rsidRPr="00C1421E">
        <w:t>I.1.8</w:t>
      </w:r>
      <w:r w:rsidRPr="00C1421E">
        <w:tab/>
        <w:t>MPLS over transport networks</w:t>
      </w:r>
    </w:p>
    <w:p w14:paraId="42BE9EF2" w14:textId="77777777" w:rsidR="006A46AE" w:rsidRPr="00C1421E" w:rsidRDefault="006A46AE" w:rsidP="006A46AE">
      <w:pPr>
        <w:rPr>
          <w:b/>
          <w:sz w:val="22"/>
          <w:szCs w:val="22"/>
          <w:lang w:val="en-GB"/>
        </w:rPr>
      </w:pPr>
      <w:r w:rsidRPr="00C1421E">
        <w:rPr>
          <w:b/>
          <w:szCs w:val="24"/>
          <w:lang w:val="en-GB"/>
        </w:rPr>
        <w:t xml:space="preserve">ITU-T G.8133 "Dual-Homing Protection for MPLS-TP </w:t>
      </w:r>
      <w:proofErr w:type="spellStart"/>
      <w:r w:rsidRPr="00C1421E">
        <w:rPr>
          <w:b/>
          <w:szCs w:val="24"/>
          <w:lang w:val="en-GB"/>
        </w:rPr>
        <w:t>Pseudowires</w:t>
      </w:r>
      <w:proofErr w:type="spellEnd"/>
      <w:r w:rsidRPr="00C1421E">
        <w:rPr>
          <w:b/>
          <w:szCs w:val="24"/>
          <w:lang w:val="en-GB"/>
        </w:rPr>
        <w:t>"</w:t>
      </w:r>
      <w:r w:rsidRPr="006E6A13">
        <w:rPr>
          <w:szCs w:val="24"/>
          <w:lang w:val="en-GB"/>
        </w:rPr>
        <w:t xml:space="preserve"> </w:t>
      </w:r>
      <w:r w:rsidRPr="00C1421E">
        <w:rPr>
          <w:szCs w:val="24"/>
          <w:lang w:val="en-GB"/>
        </w:rPr>
        <w:t xml:space="preserve">provides architecture and mechanisms for </w:t>
      </w:r>
      <w:proofErr w:type="spellStart"/>
      <w:r w:rsidRPr="00C1421E">
        <w:rPr>
          <w:szCs w:val="24"/>
          <w:lang w:val="en-GB"/>
        </w:rPr>
        <w:t>Pseudowire</w:t>
      </w:r>
      <w:proofErr w:type="spellEnd"/>
      <w:r w:rsidRPr="00C1421E">
        <w:rPr>
          <w:szCs w:val="24"/>
          <w:lang w:val="en-GB"/>
        </w:rPr>
        <w:t xml:space="preserve"> (PW) dual-homing protection in MPLS transport profile (MPLS-TP) networks. It also describes the Dual-Homing Coordination (DHC) protocol defined in [IETF RFC 8184] and [IETF RFC 8185]. The mechanisms defined herein protect point-to-point MPLS-TP PWs against failures within or at the edges of the MPLS-TP network.</w:t>
      </w:r>
    </w:p>
    <w:p w14:paraId="25E47AFD" w14:textId="77777777" w:rsidR="006A46AE" w:rsidRPr="001C37A8" w:rsidRDefault="006A46AE" w:rsidP="006A46AE">
      <w:pPr>
        <w:pStyle w:val="Headingb"/>
      </w:pPr>
      <w:r w:rsidRPr="001C37A8">
        <w:t>I.1.9</w:t>
      </w:r>
      <w:r w:rsidRPr="001C37A8">
        <w:tab/>
        <w:t>Synchronization and timing</w:t>
      </w:r>
    </w:p>
    <w:p w14:paraId="494F03EA" w14:textId="77777777" w:rsidR="006A46AE" w:rsidRPr="00C1421E" w:rsidRDefault="006A46AE" w:rsidP="006A46AE">
      <w:pPr>
        <w:rPr>
          <w:lang w:val="en-GB"/>
        </w:rPr>
      </w:pPr>
      <w:r w:rsidRPr="00C1421E">
        <w:rPr>
          <w:b/>
          <w:lang w:val="en-GB"/>
        </w:rPr>
        <w:t xml:space="preserve">ITU-T G.8261/Y.1361 (revised) "Timing and synchronization aspects in packet networks" </w:t>
      </w:r>
      <w:r w:rsidRPr="00C1421E">
        <w:rPr>
          <w:lang w:val="en-GB"/>
        </w:rPr>
        <w:t>defines frequency synchronization aspects in packet networks. It specifies the maximum network limits of jitter and wander that shall not be exceeded. It specifies the minimum equipment tolerance to jitter and wander that shall be provided at the boundary of these packet networks at TDM and synchronization interfaces. It also outlines the minimum requirements for the synchronization function of network elements. The requirements for the jitter and wander characteristics that are specified in this Recommendation must be adhered to in order to ensure interoperability of equipment produced by different manufacturers and a satisfactory network performance.</w:t>
      </w:r>
    </w:p>
    <w:p w14:paraId="77561733" w14:textId="77777777" w:rsidR="006A46AE" w:rsidRPr="00C1421E" w:rsidRDefault="006A46AE" w:rsidP="006A46AE">
      <w:pPr>
        <w:rPr>
          <w:lang w:val="en-GB"/>
        </w:rPr>
      </w:pPr>
      <w:r w:rsidRPr="00C1421E">
        <w:rPr>
          <w:lang w:val="en-GB"/>
        </w:rPr>
        <w:t>This revision to Recommendation ITU-T G.8261 (2013) provides the following updates:</w:t>
      </w:r>
    </w:p>
    <w:p w14:paraId="3CC4EEA6" w14:textId="77777777" w:rsidR="006A46AE" w:rsidRPr="00C1421E" w:rsidRDefault="006A46AE" w:rsidP="006A46AE">
      <w:pPr>
        <w:rPr>
          <w:lang w:val="en-GB"/>
        </w:rPr>
      </w:pPr>
      <w:r w:rsidRPr="00C1421E">
        <w:rPr>
          <w:lang w:val="en-GB"/>
        </w:rPr>
        <w:t>−</w:t>
      </w:r>
      <w:r w:rsidRPr="00C1421E">
        <w:rPr>
          <w:lang w:val="en-GB"/>
        </w:rPr>
        <w:tab/>
        <w:t>Addition of Clause 9.2.1.4 (Enhanced Synchronous Equipment Clock network limits)</w:t>
      </w:r>
    </w:p>
    <w:p w14:paraId="6A04182A" w14:textId="77777777" w:rsidR="006A46AE" w:rsidRPr="00C1421E" w:rsidRDefault="006A46AE" w:rsidP="006A46AE">
      <w:pPr>
        <w:rPr>
          <w:lang w:val="en-GB"/>
        </w:rPr>
      </w:pPr>
      <w:r w:rsidRPr="00C1421E">
        <w:rPr>
          <w:lang w:val="en-GB"/>
        </w:rPr>
        <w:lastRenderedPageBreak/>
        <w:t>−</w:t>
      </w:r>
      <w:r w:rsidRPr="00C1421E">
        <w:rPr>
          <w:lang w:val="en-GB"/>
        </w:rPr>
        <w:tab/>
        <w:t>Addition of frequency requirements for LTE and NR to Appendix IV</w:t>
      </w:r>
    </w:p>
    <w:p w14:paraId="3A1FF680" w14:textId="77777777" w:rsidR="006A46AE" w:rsidRPr="00C1421E" w:rsidRDefault="006A46AE" w:rsidP="006A46AE">
      <w:pPr>
        <w:rPr>
          <w:lang w:val="en-GB"/>
        </w:rPr>
      </w:pPr>
      <w:r w:rsidRPr="00C1421E">
        <w:rPr>
          <w:lang w:val="en-GB"/>
        </w:rPr>
        <w:t>−</w:t>
      </w:r>
      <w:r w:rsidRPr="00C1421E">
        <w:rPr>
          <w:lang w:val="en-GB"/>
        </w:rPr>
        <w:tab/>
        <w:t>Addition of Appendix XIV.</w:t>
      </w:r>
    </w:p>
    <w:p w14:paraId="77404DE9" w14:textId="77777777" w:rsidR="006A46AE" w:rsidRPr="001C37A8" w:rsidRDefault="006A46AE" w:rsidP="006A46AE">
      <w:pPr>
        <w:rPr>
          <w:b/>
          <w:bCs/>
          <w:lang w:val="en-GB"/>
        </w:rPr>
      </w:pPr>
      <w:r w:rsidRPr="001C37A8">
        <w:rPr>
          <w:b/>
          <w:bCs/>
          <w:lang w:val="en-GB"/>
        </w:rPr>
        <w:t>ITU-T G.8262.1/Y.1362.1 "Timing characteristics of enhanced synchronous equipment slave clock"</w:t>
      </w:r>
      <w:r w:rsidRPr="00C1421E">
        <w:rPr>
          <w:lang w:val="en-GB"/>
        </w:rPr>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78F9D36F" w14:textId="77777777" w:rsidR="006A46AE" w:rsidRPr="00C1421E" w:rsidRDefault="006A46AE" w:rsidP="006A46AE">
      <w:pPr>
        <w:rPr>
          <w:lang w:val="en-GB"/>
        </w:rPr>
      </w:pPr>
      <w:r w:rsidRPr="00C1421E">
        <w:rPr>
          <w:b/>
          <w:lang w:val="en-GB"/>
        </w:rPr>
        <w:t xml:space="preserve">ITU-T G.8262.1/Y.1362.1 (01/2019) Amd.1 "Timing characteristics of enhanced synchronous equipment slave clock: Amendment 1" </w:t>
      </w:r>
      <w:r w:rsidRPr="00C1421E">
        <w:rPr>
          <w:lang w:val="en-GB"/>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233149D4" w14:textId="77777777" w:rsidR="006A46AE" w:rsidRPr="00C1421E" w:rsidRDefault="006A46AE" w:rsidP="006A46AE">
      <w:pPr>
        <w:rPr>
          <w:lang w:val="en-GB"/>
        </w:rPr>
      </w:pPr>
      <w:r w:rsidRPr="00C1421E">
        <w:rPr>
          <w:lang w:val="en-GB"/>
        </w:rPr>
        <w:t>Amendment 1 to Recommendation ITU-T G.8262.1/Y.1362.1 (01/2019) provides the following updates:</w:t>
      </w:r>
    </w:p>
    <w:p w14:paraId="34EA1146" w14:textId="77777777" w:rsidR="006A46AE" w:rsidRPr="00C1421E" w:rsidRDefault="006A46AE" w:rsidP="006A46AE">
      <w:pPr>
        <w:rPr>
          <w:lang w:val="en-GB"/>
        </w:rPr>
      </w:pPr>
      <w:r w:rsidRPr="00C1421E">
        <w:rPr>
          <w:lang w:val="en-GB"/>
        </w:rPr>
        <w:t>−</w:t>
      </w:r>
      <w:r w:rsidRPr="00C1421E">
        <w:rPr>
          <w:lang w:val="en-GB"/>
        </w:rPr>
        <w:tab/>
        <w:t>Adds requirements for clause 9.1</w:t>
      </w:r>
    </w:p>
    <w:p w14:paraId="12A57A4E" w14:textId="77777777" w:rsidR="006A46AE" w:rsidRPr="00C1421E" w:rsidRDefault="006A46AE" w:rsidP="006A46AE">
      <w:pPr>
        <w:rPr>
          <w:lang w:val="en-GB"/>
        </w:rPr>
      </w:pPr>
      <w:r w:rsidRPr="00C1421E">
        <w:rPr>
          <w:lang w:val="en-GB"/>
        </w:rPr>
        <w:t>−</w:t>
      </w:r>
      <w:r w:rsidRPr="00C1421E">
        <w:rPr>
          <w:lang w:val="en-GB"/>
        </w:rPr>
        <w:tab/>
        <w:t>Replaces clause 9.3.1 with a reference to clause 9.2.1 of [ITU-T G.8262].</w:t>
      </w:r>
    </w:p>
    <w:p w14:paraId="7151CDF0"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Adds</w:t>
      </w:r>
      <w:proofErr w:type="gramEnd"/>
      <w:r w:rsidRPr="00C1421E">
        <w:rPr>
          <w:lang w:val="en-GB"/>
        </w:rPr>
        <w:t xml:space="preserve"> "enhanced" to the "synchronous OTN interface" in clause 9.3.3</w:t>
      </w:r>
    </w:p>
    <w:p w14:paraId="6A565497" w14:textId="77777777" w:rsidR="006A46AE" w:rsidRPr="00C1421E" w:rsidRDefault="006A46AE" w:rsidP="006A46AE">
      <w:pPr>
        <w:rPr>
          <w:lang w:val="en-GB"/>
        </w:rPr>
      </w:pPr>
      <w:r w:rsidRPr="00C1421E">
        <w:rPr>
          <w:lang w:val="en-GB"/>
        </w:rPr>
        <w:t>−</w:t>
      </w:r>
      <w:r w:rsidRPr="00C1421E">
        <w:rPr>
          <w:lang w:val="en-GB"/>
        </w:rPr>
        <w:tab/>
        <w:t>Changes in Clause 11.1: defines parameter S; defines parameter T (except for OTN interfaces)</w:t>
      </w:r>
    </w:p>
    <w:p w14:paraId="0CF80DFC" w14:textId="77777777" w:rsidR="006A46AE" w:rsidRPr="00C1421E" w:rsidRDefault="006A46AE" w:rsidP="006A46AE">
      <w:pPr>
        <w:rPr>
          <w:lang w:val="en-GB"/>
        </w:rPr>
      </w:pPr>
      <w:r w:rsidRPr="00C1421E">
        <w:rPr>
          <w:lang w:val="en-GB"/>
        </w:rPr>
        <w:t>−</w:t>
      </w:r>
      <w:r w:rsidRPr="00C1421E">
        <w:rPr>
          <w:lang w:val="en-GB"/>
        </w:rPr>
        <w:tab/>
        <w:t>Changes in Clause 11.2: define parameter a2; changes figure 8 to start at 15s.</w:t>
      </w:r>
    </w:p>
    <w:p w14:paraId="233D29F5" w14:textId="77777777" w:rsidR="006A46AE" w:rsidRPr="00C1421E" w:rsidRDefault="006A46AE" w:rsidP="006A46AE">
      <w:pPr>
        <w:rPr>
          <w:lang w:val="en-GB"/>
        </w:rPr>
      </w:pPr>
      <w:r w:rsidRPr="00C1421E">
        <w:rPr>
          <w:lang w:val="en-GB"/>
        </w:rPr>
        <w:t>−</w:t>
      </w:r>
      <w:r w:rsidRPr="00C1421E">
        <w:rPr>
          <w:lang w:val="en-GB"/>
        </w:rPr>
        <w:tab/>
        <w:t>Adds "Synchronous OTN interfaces" in Clause 12</w:t>
      </w:r>
    </w:p>
    <w:p w14:paraId="7C7F5253" w14:textId="77777777" w:rsidR="006A46AE" w:rsidRPr="00C1421E" w:rsidRDefault="006A46AE" w:rsidP="006A46AE">
      <w:pPr>
        <w:rPr>
          <w:lang w:val="en-GB"/>
        </w:rPr>
      </w:pPr>
      <w:r w:rsidRPr="00C1421E">
        <w:rPr>
          <w:lang w:val="en-GB"/>
        </w:rPr>
        <w:t>−</w:t>
      </w:r>
      <w:r w:rsidRPr="00C1421E">
        <w:rPr>
          <w:lang w:val="en-GB"/>
        </w:rPr>
        <w:tab/>
        <w:t>Adds text to Appendix IV</w:t>
      </w:r>
    </w:p>
    <w:p w14:paraId="3B862E71" w14:textId="77777777" w:rsidR="006A46AE" w:rsidRPr="00C1421E" w:rsidRDefault="006A46AE" w:rsidP="006A46AE">
      <w:pPr>
        <w:rPr>
          <w:lang w:val="en-GB"/>
        </w:rPr>
      </w:pPr>
      <w:r w:rsidRPr="00C1421E">
        <w:rPr>
          <w:lang w:val="en-GB"/>
        </w:rPr>
        <w:t>−</w:t>
      </w:r>
      <w:r w:rsidRPr="00C1421E">
        <w:rPr>
          <w:lang w:val="en-GB"/>
        </w:rPr>
        <w:tab/>
        <w:t>Adds Appendix V.</w:t>
      </w:r>
    </w:p>
    <w:p w14:paraId="25B07B4C" w14:textId="77777777" w:rsidR="006A46AE" w:rsidRPr="00C1421E" w:rsidRDefault="006A46AE" w:rsidP="006A46AE">
      <w:pPr>
        <w:rPr>
          <w:lang w:val="en-GB"/>
        </w:rPr>
      </w:pPr>
      <w:r w:rsidRPr="001C37A8">
        <w:rPr>
          <w:b/>
          <w:bCs/>
          <w:lang w:val="en-GB"/>
        </w:rPr>
        <w:t>ITU-T G.8265.1/Y.1365.1 Amd.1 "Precision time protocol telecom profile for frequency synchronization – Amendment 1</w:t>
      </w:r>
      <w:r w:rsidRPr="006E6A13">
        <w:rPr>
          <w:b/>
          <w:bCs/>
          <w:lang w:val="en-GB"/>
        </w:rPr>
        <w:t xml:space="preserve">" </w:t>
      </w:r>
      <w:r w:rsidRPr="00C1421E">
        <w:rPr>
          <w:lang w:val="en-GB"/>
        </w:rPr>
        <w:t>makes the following changes:</w:t>
      </w:r>
    </w:p>
    <w:p w14:paraId="7E76C8B4" w14:textId="77777777" w:rsidR="006A46AE" w:rsidRPr="001C37A8" w:rsidRDefault="006A46AE" w:rsidP="006A46AE">
      <w:pPr>
        <w:rPr>
          <w:lang w:val="en-GB"/>
        </w:rPr>
      </w:pPr>
      <w:r w:rsidRPr="001C37A8">
        <w:rPr>
          <w:lang w:val="en-GB"/>
        </w:rPr>
        <w:t>−</w:t>
      </w:r>
      <w:r w:rsidRPr="001C37A8">
        <w:rPr>
          <w:lang w:val="en-GB"/>
        </w:rPr>
        <w:tab/>
        <w:t>Add notes to the quality level to clockClass mappings table in clause 6.7.3.1.</w:t>
      </w:r>
    </w:p>
    <w:p w14:paraId="2DFEA724" w14:textId="77777777" w:rsidR="006A46AE" w:rsidRPr="00C1421E" w:rsidRDefault="006A46AE" w:rsidP="006A46AE">
      <w:pPr>
        <w:widowControl w:val="0"/>
        <w:rPr>
          <w:szCs w:val="24"/>
          <w:lang w:val="en-GB"/>
        </w:rPr>
      </w:pPr>
      <w:r w:rsidRPr="00C1421E">
        <w:rPr>
          <w:b/>
          <w:szCs w:val="24"/>
          <w:lang w:val="en-GB"/>
        </w:rPr>
        <w:t xml:space="preserve">ITU-T G.8271.1 (10/2017) Amd.2 "Network limits for time synchronization in packet networks: Amendment 2" </w:t>
      </w:r>
      <w:r w:rsidRPr="00C1421E">
        <w:rPr>
          <w:szCs w:val="24"/>
          <w:lang w:val="en-GB"/>
        </w:rPr>
        <w:t>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1D5ECC66" w14:textId="77777777" w:rsidR="006A46AE" w:rsidRPr="00C1421E" w:rsidRDefault="006A46AE" w:rsidP="006A46AE">
      <w:pPr>
        <w:widowControl w:val="0"/>
        <w:rPr>
          <w:szCs w:val="24"/>
          <w:lang w:val="en-GB"/>
        </w:rPr>
      </w:pPr>
      <w:r w:rsidRPr="00C1421E">
        <w:rPr>
          <w:szCs w:val="24"/>
          <w:lang w:val="en-GB"/>
        </w:rPr>
        <w:t>Amendment 2 to Recommendation ITU-T G.8271.1 (10/2017) provides the following updates:</w:t>
      </w:r>
    </w:p>
    <w:p w14:paraId="58D420FF"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Updated references</w:t>
      </w:r>
    </w:p>
    <w:p w14:paraId="5D02BC76"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Addition of information to Clause 7</w:t>
      </w:r>
    </w:p>
    <w:p w14:paraId="4D04F54D"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Revision of Appendix II</w:t>
      </w:r>
    </w:p>
    <w:p w14:paraId="52435D2B"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Revision of Appendix VII</w:t>
      </w:r>
    </w:p>
    <w:p w14:paraId="7D5A1E6C"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Revision of Appendix XI</w:t>
      </w:r>
    </w:p>
    <w:p w14:paraId="054E1358" w14:textId="77777777" w:rsidR="006A46AE" w:rsidRPr="00C1421E" w:rsidRDefault="006A46AE" w:rsidP="006A46AE">
      <w:pPr>
        <w:rPr>
          <w:szCs w:val="24"/>
          <w:lang w:val="en-GB"/>
        </w:rPr>
      </w:pPr>
      <w:r w:rsidRPr="00C1421E">
        <w:rPr>
          <w:szCs w:val="24"/>
          <w:lang w:val="en-GB"/>
        </w:rPr>
        <w:t>−</w:t>
      </w:r>
      <w:r w:rsidRPr="00C1421E">
        <w:rPr>
          <w:szCs w:val="24"/>
          <w:lang w:val="en-GB"/>
        </w:rPr>
        <w:tab/>
        <w:t>New Appendix XII.</w:t>
      </w:r>
    </w:p>
    <w:p w14:paraId="1F48BF0F" w14:textId="77777777" w:rsidR="006A46AE" w:rsidRPr="00C1421E" w:rsidRDefault="006A46AE" w:rsidP="006A46AE">
      <w:pPr>
        <w:rPr>
          <w:lang w:val="en-GB"/>
        </w:rPr>
      </w:pPr>
      <w:r w:rsidRPr="00C1421E">
        <w:rPr>
          <w:b/>
          <w:lang w:val="en-GB"/>
        </w:rPr>
        <w:t>ITU-T G.8271.2 Amd.2 "Network limits for time synchronization in packet networks with partial timing support from the network: Amendment 2"</w:t>
      </w:r>
      <w:r w:rsidRPr="00C1421E">
        <w:rPr>
          <w:lang w:val="en-GB"/>
        </w:rPr>
        <w:t xml:space="preserve"> provides the following updates:</w:t>
      </w:r>
    </w:p>
    <w:p w14:paraId="44D65CBE" w14:textId="77777777" w:rsidR="006A46AE" w:rsidRPr="00C1421E" w:rsidRDefault="006A46AE" w:rsidP="006A46AE">
      <w:pPr>
        <w:rPr>
          <w:lang w:val="en-GB"/>
        </w:rPr>
      </w:pPr>
      <w:r w:rsidRPr="00C1421E">
        <w:rPr>
          <w:lang w:val="en-GB"/>
        </w:rPr>
        <w:t>−</w:t>
      </w:r>
      <w:r w:rsidRPr="00C1421E">
        <w:rPr>
          <w:lang w:val="en-GB"/>
        </w:rPr>
        <w:tab/>
        <w:t>Replacement of Figure 2</w:t>
      </w:r>
    </w:p>
    <w:p w14:paraId="6EB0CB00" w14:textId="77777777" w:rsidR="006A46AE" w:rsidRPr="00C1421E" w:rsidRDefault="006A46AE" w:rsidP="006A46AE">
      <w:pPr>
        <w:rPr>
          <w:lang w:val="en-GB"/>
        </w:rPr>
      </w:pPr>
      <w:r w:rsidRPr="00C1421E">
        <w:rPr>
          <w:lang w:val="en-GB"/>
        </w:rPr>
        <w:lastRenderedPageBreak/>
        <w:t>−</w:t>
      </w:r>
      <w:r w:rsidRPr="00C1421E">
        <w:rPr>
          <w:lang w:val="en-GB"/>
        </w:rPr>
        <w:tab/>
        <w:t>Addition of text to clauses 7.3.1.1 and 7.3.2.1</w:t>
      </w:r>
    </w:p>
    <w:p w14:paraId="0F68A102" w14:textId="77777777" w:rsidR="006A46AE" w:rsidRPr="00C1421E" w:rsidRDefault="006A46AE" w:rsidP="006A46AE">
      <w:pPr>
        <w:rPr>
          <w:lang w:val="en-GB"/>
        </w:rPr>
      </w:pPr>
      <w:r w:rsidRPr="00C1421E">
        <w:rPr>
          <w:lang w:val="en-GB"/>
        </w:rPr>
        <w:t>−</w:t>
      </w:r>
      <w:r w:rsidRPr="00C1421E">
        <w:rPr>
          <w:lang w:val="en-GB"/>
        </w:rPr>
        <w:tab/>
        <w:t>Revision of clauses 7.4.1 and 7.4.2</w:t>
      </w:r>
    </w:p>
    <w:p w14:paraId="3BF593AE" w14:textId="77777777" w:rsidR="006A46AE" w:rsidRPr="00C1421E" w:rsidRDefault="006A46AE" w:rsidP="006A46AE">
      <w:pPr>
        <w:rPr>
          <w:lang w:val="en-GB"/>
        </w:rPr>
      </w:pPr>
      <w:r w:rsidRPr="00C1421E">
        <w:rPr>
          <w:lang w:val="en-GB"/>
        </w:rPr>
        <w:t>−</w:t>
      </w:r>
      <w:r w:rsidRPr="00C1421E">
        <w:rPr>
          <w:lang w:val="en-GB"/>
        </w:rPr>
        <w:tab/>
        <w:t>Replacement of Figures I.2 and I.4</w:t>
      </w:r>
    </w:p>
    <w:p w14:paraId="572F5EC3" w14:textId="77777777" w:rsidR="006A46AE" w:rsidRPr="00C1421E" w:rsidRDefault="006A46AE" w:rsidP="006A46AE">
      <w:pPr>
        <w:rPr>
          <w:lang w:val="en-GB"/>
        </w:rPr>
      </w:pPr>
      <w:r w:rsidRPr="00C1421E">
        <w:rPr>
          <w:lang w:val="en-GB"/>
        </w:rPr>
        <w:t>−</w:t>
      </w:r>
      <w:r w:rsidRPr="00C1421E">
        <w:rPr>
          <w:lang w:val="en-GB"/>
        </w:rPr>
        <w:tab/>
        <w:t>Revision of clauses I.3 and I.6</w:t>
      </w:r>
    </w:p>
    <w:p w14:paraId="4F5355E6" w14:textId="77777777" w:rsidR="006A46AE" w:rsidRPr="001C37A8" w:rsidRDefault="006A46AE" w:rsidP="006A46AE">
      <w:pPr>
        <w:rPr>
          <w:lang w:val="en-GB"/>
        </w:rPr>
      </w:pPr>
      <w:r w:rsidRPr="001C37A8">
        <w:rPr>
          <w:lang w:val="en-GB"/>
        </w:rPr>
        <w:t>−</w:t>
      </w:r>
      <w:r w:rsidRPr="001C37A8">
        <w:rPr>
          <w:lang w:val="en-GB"/>
        </w:rPr>
        <w:tab/>
        <w:t>Addition of new Appendix IV.</w:t>
      </w:r>
    </w:p>
    <w:p w14:paraId="4B134A72" w14:textId="77777777" w:rsidR="006A46AE" w:rsidRPr="00C1421E" w:rsidRDefault="006A46AE" w:rsidP="006A46AE">
      <w:pPr>
        <w:rPr>
          <w:lang w:val="en-GB"/>
        </w:rPr>
      </w:pPr>
      <w:r w:rsidRPr="00C1421E">
        <w:rPr>
          <w:b/>
          <w:lang w:val="en-GB"/>
        </w:rPr>
        <w:t xml:space="preserve">ITU-T G.8272.1/Y.1367.1 Amd.2 "Timing characteristics of enhanced primary reference time clocks - Amendment 2" </w:t>
      </w:r>
      <w:r w:rsidRPr="00C1421E">
        <w:rPr>
          <w:lang w:val="en-GB"/>
        </w:rPr>
        <w:t>provides the following updates:</w:t>
      </w:r>
    </w:p>
    <w:p w14:paraId="3E1BD4DA" w14:textId="77777777" w:rsidR="006A46AE" w:rsidRPr="00C1421E" w:rsidRDefault="006A46AE" w:rsidP="006A46AE">
      <w:pPr>
        <w:rPr>
          <w:lang w:val="en-GB"/>
        </w:rPr>
      </w:pPr>
      <w:r w:rsidRPr="00C1421E">
        <w:rPr>
          <w:lang w:val="en-GB"/>
        </w:rPr>
        <w:t>−</w:t>
      </w:r>
      <w:r w:rsidRPr="00C1421E">
        <w:rPr>
          <w:lang w:val="en-GB"/>
        </w:rPr>
        <w:tab/>
        <w:t xml:space="preserve">Added case where </w:t>
      </w:r>
      <w:proofErr w:type="spellStart"/>
      <w:r w:rsidRPr="00C1421E">
        <w:rPr>
          <w:lang w:val="en-GB"/>
        </w:rPr>
        <w:t>ePRTC</w:t>
      </w:r>
      <w:proofErr w:type="spellEnd"/>
      <w:r w:rsidRPr="00C1421E">
        <w:rPr>
          <w:lang w:val="en-GB"/>
        </w:rPr>
        <w:t xml:space="preserve"> includes an integrated T-GM clock.</w:t>
      </w:r>
    </w:p>
    <w:p w14:paraId="4CC17614" w14:textId="77777777" w:rsidR="006A46AE" w:rsidRPr="00C1421E" w:rsidRDefault="006A46AE" w:rsidP="006A46AE">
      <w:pPr>
        <w:rPr>
          <w:lang w:val="en-GB"/>
        </w:rPr>
      </w:pPr>
      <w:r w:rsidRPr="00C1421E">
        <w:rPr>
          <w:b/>
          <w:lang w:val="en-GB"/>
        </w:rPr>
        <w:t xml:space="preserve">ITU-T G.8273.2/Y.1368.2 (revised) "Timing characteristics of telecom boundary clocks and telecom time slave clocks" </w:t>
      </w:r>
      <w:r w:rsidRPr="00C1421E">
        <w:rPr>
          <w:lang w:val="en-GB"/>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 based networks.</w:t>
      </w:r>
    </w:p>
    <w:p w14:paraId="34DBB0A9" w14:textId="77777777" w:rsidR="006A46AE" w:rsidRPr="00C1421E" w:rsidRDefault="006A46AE" w:rsidP="006A46AE">
      <w:pPr>
        <w:rPr>
          <w:lang w:val="en-GB"/>
        </w:rPr>
      </w:pPr>
      <w:r w:rsidRPr="00C1421E">
        <w:rPr>
          <w:lang w:val="en-GB"/>
        </w:rPr>
        <w:t>This version of the Recommendation only applies to full timing support from the network.</w:t>
      </w:r>
    </w:p>
    <w:p w14:paraId="6B15239A" w14:textId="77777777" w:rsidR="006A46AE" w:rsidRPr="001C37A8" w:rsidRDefault="006A46AE" w:rsidP="006A46AE">
      <w:pPr>
        <w:rPr>
          <w:lang w:val="en-GB"/>
        </w:rPr>
      </w:pPr>
      <w:r w:rsidRPr="001C37A8">
        <w:rPr>
          <w:lang w:val="en-GB"/>
        </w:rPr>
        <w:t>These requirements apply under the normal environmental conditions specified for the equipment.</w:t>
      </w:r>
    </w:p>
    <w:p w14:paraId="2503AD7A" w14:textId="77777777" w:rsidR="006A46AE" w:rsidRPr="00C1421E" w:rsidRDefault="006A46AE" w:rsidP="006A46AE">
      <w:pPr>
        <w:rPr>
          <w:lang w:val="en-GB"/>
        </w:rPr>
      </w:pPr>
      <w:r w:rsidRPr="001C37A8">
        <w:rPr>
          <w:b/>
          <w:bCs/>
          <w:lang w:val="en-GB"/>
        </w:rPr>
        <w:t>ITU-T G.8273.2/Y.1368.2 Amd.2 "Timing characteristics of telecom boundary clocks and telecom time slave clocks - Amendment 2"</w:t>
      </w:r>
      <w:r w:rsidRPr="00C1421E">
        <w:rPr>
          <w:lang w:val="en-GB"/>
        </w:rPr>
        <w:t xml:space="preserve"> replaces text in the Scope, in clauses 2, 4, 7.1, 7.1.1, 7.1.2, 7.4.1.2, C.2.4.1.2, and in Annex </w:t>
      </w:r>
      <w:proofErr w:type="gramStart"/>
      <w:r w:rsidRPr="00C1421E">
        <w:rPr>
          <w:lang w:val="en-GB"/>
        </w:rPr>
        <w:t>B .</w:t>
      </w:r>
      <w:proofErr w:type="gramEnd"/>
      <w:r w:rsidRPr="00C1421E">
        <w:rPr>
          <w:lang w:val="en-GB"/>
        </w:rPr>
        <w:t xml:space="preserve"> It adds Annex D. It replaces text in Appendices I, II, and V. It replaces text, table and figure in Appendix III and VI.</w:t>
      </w:r>
    </w:p>
    <w:p w14:paraId="1922F5C4" w14:textId="77777777" w:rsidR="006A46AE" w:rsidRPr="00C1421E" w:rsidRDefault="006A46AE" w:rsidP="006A46AE">
      <w:pPr>
        <w:rPr>
          <w:lang w:val="en-GB"/>
        </w:rPr>
      </w:pPr>
      <w:r w:rsidRPr="001C37A8">
        <w:rPr>
          <w:b/>
          <w:bCs/>
          <w:lang w:val="en-GB"/>
        </w:rPr>
        <w:t>ITU-T G.8273.3/Y.1368.3 Amd.1 "Timing characteristics of telecom transparent clocks - Amendment 1"</w:t>
      </w:r>
      <w:r w:rsidRPr="00C1421E">
        <w:rPr>
          <w:lang w:val="en-GB"/>
        </w:rPr>
        <w:t xml:space="preserve"> changes the notes in clauses 7.1.1, 7.1.2 and 7.13. It also adds Appendix III.</w:t>
      </w:r>
    </w:p>
    <w:p w14:paraId="6D3B2EE0" w14:textId="77777777" w:rsidR="006A46AE" w:rsidRPr="00C1421E" w:rsidRDefault="006A46AE" w:rsidP="006A46AE">
      <w:pPr>
        <w:widowControl w:val="0"/>
        <w:rPr>
          <w:szCs w:val="24"/>
          <w:lang w:val="en-GB"/>
        </w:rPr>
      </w:pPr>
      <w:r w:rsidRPr="00C1421E">
        <w:rPr>
          <w:b/>
          <w:szCs w:val="24"/>
          <w:lang w:val="en-GB"/>
        </w:rPr>
        <w:t xml:space="preserve">ITU-T G.8275/Y.1369 Amd.2 "Architecture and requirements for packet-based time and phase distribution - Amendment 2" </w:t>
      </w:r>
      <w:r w:rsidRPr="00C1421E">
        <w:rPr>
          <w:szCs w:val="24"/>
          <w:lang w:val="en-GB"/>
        </w:rPr>
        <w:t>provides the following updates:</w:t>
      </w:r>
    </w:p>
    <w:p w14:paraId="12823CF1" w14:textId="77777777" w:rsidR="006A46AE" w:rsidRPr="00C1421E" w:rsidRDefault="006A46AE" w:rsidP="006A46AE">
      <w:pPr>
        <w:widowControl w:val="0"/>
        <w:rPr>
          <w:szCs w:val="24"/>
          <w:lang w:val="en-GB"/>
        </w:rPr>
      </w:pPr>
      <w:r w:rsidRPr="00C1421E">
        <w:rPr>
          <w:szCs w:val="24"/>
          <w:lang w:val="en-GB"/>
        </w:rPr>
        <w:t>−</w:t>
      </w:r>
      <w:r w:rsidRPr="00C1421E">
        <w:rPr>
          <w:szCs w:val="24"/>
          <w:lang w:val="en-GB"/>
        </w:rPr>
        <w:tab/>
        <w:t>Add a profile translation to Appendix III</w:t>
      </w:r>
    </w:p>
    <w:p w14:paraId="29689CE1" w14:textId="77777777" w:rsidR="006A46AE" w:rsidRPr="00C1421E" w:rsidRDefault="006A46AE" w:rsidP="006A46AE">
      <w:pPr>
        <w:rPr>
          <w:szCs w:val="24"/>
          <w:lang w:val="en-GB"/>
        </w:rPr>
      </w:pPr>
      <w:r w:rsidRPr="00C1421E">
        <w:rPr>
          <w:szCs w:val="24"/>
          <w:lang w:val="en-GB"/>
        </w:rPr>
        <w:t>−</w:t>
      </w:r>
      <w:r w:rsidRPr="00C1421E">
        <w:rPr>
          <w:szCs w:val="24"/>
          <w:lang w:val="en-GB"/>
        </w:rPr>
        <w:tab/>
        <w:t xml:space="preserve">Add a functional model for </w:t>
      </w:r>
      <w:proofErr w:type="spellStart"/>
      <w:r w:rsidRPr="00C1421E">
        <w:rPr>
          <w:szCs w:val="24"/>
          <w:lang w:val="en-GB"/>
        </w:rPr>
        <w:t>cnPRTC</w:t>
      </w:r>
      <w:proofErr w:type="spellEnd"/>
      <w:r w:rsidRPr="00C1421E">
        <w:rPr>
          <w:szCs w:val="24"/>
          <w:lang w:val="en-GB"/>
        </w:rPr>
        <w:t xml:space="preserve"> to Appendix VI.</w:t>
      </w:r>
    </w:p>
    <w:p w14:paraId="2D57277A" w14:textId="77777777" w:rsidR="006A46AE" w:rsidRPr="00C1421E" w:rsidRDefault="006A46AE" w:rsidP="006A46AE">
      <w:pPr>
        <w:rPr>
          <w:lang w:val="en-GB"/>
        </w:rPr>
      </w:pPr>
      <w:r w:rsidRPr="00C1421E">
        <w:rPr>
          <w:b/>
          <w:lang w:val="en-GB"/>
        </w:rPr>
        <w:t xml:space="preserve">ITU-T G.8275.1/Y.1369.1 Amd.3 "Precision time protocol telecom profile for phase/time synchronization with full timing support from the network - Amendment 3" </w:t>
      </w:r>
      <w:r w:rsidRPr="00C1421E">
        <w:rPr>
          <w:lang w:val="en-GB"/>
        </w:rPr>
        <w:t>provides the following updates:</w:t>
      </w:r>
    </w:p>
    <w:p w14:paraId="03922E98" w14:textId="77777777" w:rsidR="006A46AE" w:rsidRPr="00C1421E" w:rsidRDefault="006A46AE" w:rsidP="006A46AE">
      <w:pPr>
        <w:rPr>
          <w:lang w:val="en-GB"/>
        </w:rPr>
      </w:pPr>
      <w:r w:rsidRPr="00C1421E">
        <w:rPr>
          <w:lang w:val="en-GB"/>
        </w:rPr>
        <w:t>-</w:t>
      </w:r>
      <w:r w:rsidRPr="00C1421E">
        <w:rPr>
          <w:lang w:val="en-GB"/>
        </w:rPr>
        <w:tab/>
        <w:t>G.8272.1 and G.8273.3 references added along with related supporting text</w:t>
      </w:r>
    </w:p>
    <w:p w14:paraId="1A122455" w14:textId="77777777" w:rsidR="006A46AE" w:rsidRPr="00C1421E" w:rsidRDefault="006A46AE" w:rsidP="006A46AE">
      <w:pPr>
        <w:rPr>
          <w:lang w:val="en-GB"/>
        </w:rPr>
      </w:pPr>
      <w:r w:rsidRPr="00C1421E">
        <w:rPr>
          <w:lang w:val="en-GB"/>
        </w:rPr>
        <w:t>-</w:t>
      </w:r>
      <w:r w:rsidRPr="00C1421E">
        <w:rPr>
          <w:lang w:val="en-GB"/>
        </w:rPr>
        <w:tab/>
        <w:t>Native OTN transport added to this profile.</w:t>
      </w:r>
    </w:p>
    <w:p w14:paraId="4508A3AD" w14:textId="77777777" w:rsidR="006A46AE" w:rsidRPr="00C1421E" w:rsidRDefault="006A46AE" w:rsidP="006A46AE">
      <w:pPr>
        <w:rPr>
          <w:lang w:val="en-GB"/>
        </w:rPr>
      </w:pPr>
      <w:r w:rsidRPr="00C1421E">
        <w:rPr>
          <w:b/>
          <w:lang w:val="en-GB"/>
        </w:rPr>
        <w:t xml:space="preserve">ITU-T G.8275.2/Y.1369.2 Amd.3 "Precision time protocol telecom profile for phase/time synchronization with partial timing support from the network - Amendment 3" </w:t>
      </w:r>
      <w:r w:rsidRPr="00C1421E">
        <w:rPr>
          <w:lang w:val="en-GB"/>
        </w:rPr>
        <w:t>provides the following updates:</w:t>
      </w:r>
    </w:p>
    <w:p w14:paraId="777BF2AB" w14:textId="77777777" w:rsidR="006A46AE" w:rsidRPr="00C1421E" w:rsidRDefault="006A46AE" w:rsidP="006A46AE">
      <w:pPr>
        <w:rPr>
          <w:lang w:val="en-GB"/>
        </w:rPr>
      </w:pPr>
      <w:r w:rsidRPr="00C1421E">
        <w:rPr>
          <w:lang w:val="en-GB"/>
        </w:rPr>
        <w:t>−</w:t>
      </w:r>
      <w:r w:rsidRPr="00C1421E">
        <w:rPr>
          <w:lang w:val="en-GB"/>
        </w:rPr>
        <w:tab/>
        <w:t>G.8272.1 reference added</w:t>
      </w:r>
    </w:p>
    <w:p w14:paraId="69198D9E" w14:textId="77777777" w:rsidR="006A46AE" w:rsidRPr="00C1421E" w:rsidRDefault="006A46AE" w:rsidP="006A46AE">
      <w:pPr>
        <w:rPr>
          <w:lang w:val="en-GB"/>
        </w:rPr>
      </w:pPr>
      <w:r w:rsidRPr="00C1421E">
        <w:rPr>
          <w:lang w:val="en-GB"/>
        </w:rPr>
        <w:t>−</w:t>
      </w:r>
      <w:r w:rsidRPr="00C1421E">
        <w:rPr>
          <w:lang w:val="en-GB"/>
        </w:rPr>
        <w:tab/>
        <w:t>Convention T-BC-P/</w:t>
      </w:r>
      <w:proofErr w:type="gramStart"/>
      <w:r w:rsidRPr="00C1421E">
        <w:rPr>
          <w:lang w:val="en-GB"/>
        </w:rPr>
        <w:t>A</w:t>
      </w:r>
      <w:proofErr w:type="gramEnd"/>
      <w:r w:rsidRPr="00C1421E">
        <w:rPr>
          <w:lang w:val="en-GB"/>
        </w:rPr>
        <w:t xml:space="preserve"> added as a concise way to refer to T-BC-P or T-BC-A</w:t>
      </w:r>
    </w:p>
    <w:p w14:paraId="145ADE36" w14:textId="77777777" w:rsidR="006A46AE" w:rsidRPr="00C1421E" w:rsidRDefault="006A46AE" w:rsidP="006A46AE">
      <w:pPr>
        <w:rPr>
          <w:lang w:val="en-GB"/>
        </w:rPr>
      </w:pPr>
      <w:r w:rsidRPr="00C1421E">
        <w:rPr>
          <w:lang w:val="en-GB"/>
        </w:rPr>
        <w:t>−</w:t>
      </w:r>
      <w:r w:rsidRPr="00C1421E">
        <w:rPr>
          <w:lang w:val="en-GB"/>
        </w:rPr>
        <w:tab/>
        <w:t>Convention T-TSC-P/</w:t>
      </w:r>
      <w:proofErr w:type="gramStart"/>
      <w:r w:rsidRPr="00C1421E">
        <w:rPr>
          <w:lang w:val="en-GB"/>
        </w:rPr>
        <w:t>A</w:t>
      </w:r>
      <w:proofErr w:type="gramEnd"/>
      <w:r w:rsidRPr="00C1421E">
        <w:rPr>
          <w:lang w:val="en-GB"/>
        </w:rPr>
        <w:t xml:space="preserve"> added as a concise way to refer to T-TSC-P or T-TSC-A</w:t>
      </w:r>
    </w:p>
    <w:p w14:paraId="7D0B8219" w14:textId="77777777" w:rsidR="006A46AE" w:rsidRPr="00C1421E" w:rsidRDefault="006A46AE" w:rsidP="006A46AE">
      <w:pPr>
        <w:rPr>
          <w:lang w:val="en-GB"/>
        </w:rPr>
      </w:pPr>
      <w:r w:rsidRPr="00C1421E">
        <w:rPr>
          <w:lang w:val="en-GB"/>
        </w:rPr>
        <w:t>−</w:t>
      </w:r>
      <w:r w:rsidRPr="00C1421E">
        <w:rPr>
          <w:lang w:val="en-GB"/>
        </w:rPr>
        <w:tab/>
        <w:t>Added Appendix VIII Operations over link aggregation.</w:t>
      </w:r>
    </w:p>
    <w:p w14:paraId="3D8AFA09" w14:textId="77777777" w:rsidR="006A46AE" w:rsidRPr="00C1421E" w:rsidRDefault="006A46AE" w:rsidP="006A46AE">
      <w:pPr>
        <w:pStyle w:val="Headingb"/>
      </w:pPr>
      <w:r w:rsidRPr="00C1421E">
        <w:t>I.1.10</w:t>
      </w:r>
      <w:r w:rsidRPr="00C1421E">
        <w:tab/>
        <w:t>Cable</w:t>
      </w:r>
      <w:bookmarkEnd w:id="219"/>
    </w:p>
    <w:p w14:paraId="17A6F5FA" w14:textId="77777777" w:rsidR="006A46AE" w:rsidRPr="00C1421E" w:rsidRDefault="006A46AE" w:rsidP="006A46AE">
      <w:pPr>
        <w:rPr>
          <w:lang w:val="en-GB"/>
        </w:rPr>
      </w:pPr>
      <w:r w:rsidRPr="001C37A8">
        <w:rPr>
          <w:b/>
          <w:bCs/>
          <w:lang w:val="en-GB"/>
        </w:rPr>
        <w:t xml:space="preserve">ITU-T J.1 "Terms, definitions and acronyms for television and sound transmission and integrated broadband cable networks" </w:t>
      </w:r>
      <w:r w:rsidRPr="00C1421E">
        <w:rPr>
          <w:lang w:val="en-GB"/>
        </w:rPr>
        <w:t>compiles all the definitions related to television and sound transmission, and integrated broadband cable networks, and which are in force in J-series and N-</w:t>
      </w:r>
      <w:r w:rsidRPr="00C1421E">
        <w:rPr>
          <w:lang w:val="en-GB"/>
        </w:rPr>
        <w:lastRenderedPageBreak/>
        <w:t>series Recommendations developed under the responsibility of SG9. The Recommendation is regularly updated to reflect newly-approved terms and definitions.</w:t>
      </w:r>
    </w:p>
    <w:p w14:paraId="7B372EF7" w14:textId="77777777" w:rsidR="006A46AE" w:rsidRPr="00C1421E" w:rsidRDefault="006A46AE" w:rsidP="006A46AE">
      <w:pPr>
        <w:rPr>
          <w:lang w:val="en-GB"/>
        </w:rPr>
      </w:pPr>
      <w:r w:rsidRPr="001C37A8">
        <w:rPr>
          <w:b/>
          <w:bCs/>
          <w:lang w:val="en-GB"/>
        </w:rPr>
        <w:t xml:space="preserve">ITU-T J.207 (revised) "Specification for integrated broadcast and broadband digital television application control framework" </w:t>
      </w:r>
      <w:r w:rsidRPr="00C1421E">
        <w:rPr>
          <w:lang w:val="en-GB"/>
        </w:rPr>
        <w:t xml:space="preserve">was revised to update the information about the </w:t>
      </w:r>
      <w:proofErr w:type="spellStart"/>
      <w:r w:rsidRPr="00C1421E">
        <w:rPr>
          <w:lang w:val="en-GB"/>
        </w:rPr>
        <w:t>Hybridcast</w:t>
      </w:r>
      <w:proofErr w:type="spellEnd"/>
      <w:r w:rsidRPr="00C1421E">
        <w:rPr>
          <w:lang w:val="en-GB"/>
        </w:rPr>
        <w:t xml:space="preserve">, </w:t>
      </w:r>
      <w:proofErr w:type="spellStart"/>
      <w:r w:rsidRPr="00C1421E">
        <w:rPr>
          <w:lang w:val="en-GB"/>
        </w:rPr>
        <w:t>HbbTV</w:t>
      </w:r>
      <w:proofErr w:type="spellEnd"/>
      <w:r w:rsidRPr="00C1421E">
        <w:rPr>
          <w:lang w:val="en-GB"/>
        </w:rPr>
        <w:t xml:space="preserve"> and </w:t>
      </w:r>
      <w:proofErr w:type="spellStart"/>
      <w:r w:rsidRPr="00C1421E">
        <w:rPr>
          <w:lang w:val="en-GB"/>
        </w:rPr>
        <w:t>Ginga</w:t>
      </w:r>
      <w:proofErr w:type="spellEnd"/>
      <w:r w:rsidRPr="00C1421E">
        <w:rPr>
          <w:lang w:val="en-GB"/>
        </w:rPr>
        <w:t xml:space="preserve"> according to the revision of Recommendation ITU-R BT.2075. As WP6B October 2018 meeting, proposed to revise the Recommendation ITU-R BT.2075 to update the information on device integration in the </w:t>
      </w:r>
      <w:proofErr w:type="spellStart"/>
      <w:r w:rsidRPr="00C1421E">
        <w:rPr>
          <w:lang w:val="en-GB"/>
        </w:rPr>
        <w:t>Hybridcast</w:t>
      </w:r>
      <w:proofErr w:type="spellEnd"/>
      <w:r w:rsidRPr="00C1421E">
        <w:rPr>
          <w:lang w:val="en-GB"/>
        </w:rPr>
        <w:t xml:space="preserve"> system, update of </w:t>
      </w:r>
      <w:proofErr w:type="spellStart"/>
      <w:r w:rsidRPr="00C1421E">
        <w:rPr>
          <w:lang w:val="en-GB"/>
        </w:rPr>
        <w:t>HbbTV</w:t>
      </w:r>
      <w:proofErr w:type="spellEnd"/>
      <w:r w:rsidRPr="00C1421E">
        <w:rPr>
          <w:lang w:val="en-GB"/>
        </w:rPr>
        <w:t xml:space="preserve"> and update of </w:t>
      </w:r>
      <w:proofErr w:type="spellStart"/>
      <w:r w:rsidRPr="00C1421E">
        <w:rPr>
          <w:lang w:val="en-GB"/>
        </w:rPr>
        <w:t>Ginga</w:t>
      </w:r>
      <w:proofErr w:type="spellEnd"/>
      <w:r w:rsidRPr="00C1421E">
        <w:rPr>
          <w:lang w:val="en-GB"/>
        </w:rPr>
        <w:t>.</w:t>
      </w:r>
    </w:p>
    <w:p w14:paraId="0F11ADF3" w14:textId="77777777" w:rsidR="006A46AE" w:rsidRPr="00C1421E" w:rsidRDefault="006A46AE" w:rsidP="006A46AE">
      <w:pPr>
        <w:keepNext/>
        <w:keepLines/>
        <w:rPr>
          <w:lang w:val="en-GB"/>
        </w:rPr>
      </w:pPr>
      <w:r w:rsidRPr="001C37A8">
        <w:rPr>
          <w:b/>
          <w:bCs/>
          <w:lang w:val="en-GB"/>
        </w:rPr>
        <w:t>ITU-T J.216 "Second-generation Modular Headend Architecture in systems for interactive cable television services - IP cable modems"</w:t>
      </w:r>
      <w:r w:rsidRPr="00C1421E">
        <w:rPr>
          <w:lang w:val="en-GB"/>
        </w:rPr>
        <w:t xml:space="preserve"> defines the second generation of headend architectures for high-speed data-over-cable systems. The second-generation of headend architecture introduces a number of new features that build upon what was present in previous Cabinet DOCSIS Recommendations [J.223.1] and [J.223.2]. This Recommendation includes key new features for the CMC III Device (also known as the Remote-PHY Device).</w:t>
      </w:r>
    </w:p>
    <w:p w14:paraId="344AEC44" w14:textId="77777777" w:rsidR="006A46AE" w:rsidRPr="00C1421E" w:rsidRDefault="006A46AE" w:rsidP="006A46AE">
      <w:pPr>
        <w:keepNext/>
        <w:keepLines/>
        <w:rPr>
          <w:lang w:val="en-GB"/>
        </w:rPr>
      </w:pPr>
      <w:r w:rsidRPr="001C37A8">
        <w:rPr>
          <w:b/>
          <w:bCs/>
          <w:lang w:val="en-GB"/>
        </w:rPr>
        <w:t>ITU-T J.224 "Fifth-generation transmission systems for interactive cable television services - IP cable modems"</w:t>
      </w:r>
      <w:r w:rsidRPr="00C1421E">
        <w:rPr>
          <w:lang w:val="en-GB"/>
        </w:rPr>
        <w:t xml:space="preserve"> defines the fifth generation of high-speed data-over-cable systems. The fifth-generation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fifth-generation cable modem specifications fully incorporate the fourth generation specifications.</w:t>
      </w:r>
    </w:p>
    <w:p w14:paraId="3956ADE4" w14:textId="77777777" w:rsidR="006A46AE" w:rsidRPr="00C1421E" w:rsidRDefault="006A46AE" w:rsidP="006A46AE">
      <w:pPr>
        <w:keepNext/>
        <w:keepLines/>
        <w:rPr>
          <w:highlight w:val="yellow"/>
          <w:lang w:val="en-GB"/>
        </w:rPr>
      </w:pPr>
      <w:r w:rsidRPr="001C37A8">
        <w:rPr>
          <w:b/>
          <w:bCs/>
          <w:lang w:val="en-GB"/>
        </w:rPr>
        <w:t>ITU-T J.288 (revised) "Encapsulation of type length value (TLV) packet for cable transmission systems"</w:t>
      </w:r>
      <w:r w:rsidRPr="00C1421E">
        <w:rPr>
          <w:lang w:val="en-GB"/>
        </w:rPr>
        <w:t xml:space="preserve"> proposes an encapsulation scheme for type length value (TLV), a data structure specified in Recommendation ITU-R BT.1869, for cable transmission systems designed on the basis of Recommendation ITU-T J.83. Many of the existing digital broadcasting systems use the Motion Picture Experts Group version 2 (MPEG-2) transport stream (TS) as their input format. In contrast, variable-length packets formats such as TLV are specified for transmitting Internet protocol (IP) packets efficiently over broadcasting channels as aggregates of variable-length packets. In order to transmit TLV with the existing Recommendation ITU-T J.83 transmission system, it is necessary that variable-length TLV packets be fragmented and encapsulated into fixed-length 188-byte packets.</w:t>
      </w:r>
    </w:p>
    <w:p w14:paraId="4D59DEB7" w14:textId="77777777" w:rsidR="006A46AE" w:rsidRPr="00C1421E" w:rsidRDefault="006A46AE" w:rsidP="006A46AE">
      <w:pPr>
        <w:rPr>
          <w:highlight w:val="yellow"/>
          <w:lang w:val="en-GB"/>
        </w:rPr>
      </w:pPr>
      <w:r w:rsidRPr="001C37A8">
        <w:rPr>
          <w:b/>
          <w:bCs/>
          <w:lang w:val="en-GB"/>
        </w:rPr>
        <w:t xml:space="preserve">ITU-T J.298 "Requirements and technical specifications of cable TV hybrid set-top box that has the compatibility with terrestrial and satellite TV transport" </w:t>
      </w:r>
      <w:r w:rsidRPr="00C1421E">
        <w:rPr>
          <w:lang w:val="en-GB"/>
        </w:rPr>
        <w:t>describes the requirements and technical specifications of cable TV hybrid set-top-box that has the compatibility with terrestrial and satellite TV transport. The major purpose of the Recommendation is to specify a minimum and basic requirement for a hybrid STB, which meets the requirements for developing countries and regions .The hybrid set-top-box has full functionalities for traditional cable broadcasting services based on ITU-T Recommendation J.83, at the same time, a satellite or a terrestrial broadcast receiving functions will also be implemented in the box so as the STB be able to receive satellite or terrestrial broadcast service. The basic functionalities for IP-based interactive video services is also required so as the STB be able to support the latest IP interactive services together with legacy cable and satellite/terrestrial services.</w:t>
      </w:r>
    </w:p>
    <w:p w14:paraId="0BC1F8FC" w14:textId="77777777" w:rsidR="006A46AE" w:rsidRPr="001C37A8" w:rsidRDefault="006A46AE" w:rsidP="006A46AE">
      <w:pPr>
        <w:rPr>
          <w:b/>
          <w:bCs/>
          <w:highlight w:val="yellow"/>
          <w:lang w:val="en-GB"/>
        </w:rPr>
      </w:pPr>
      <w:r w:rsidRPr="001C37A8">
        <w:rPr>
          <w:b/>
          <w:bCs/>
          <w:lang w:val="en-GB"/>
        </w:rPr>
        <w:t xml:space="preserve">ITU-T J.302 (2016) Amd.1 "System specifications of augmented reality smart television service: Amendment 1" </w:t>
      </w:r>
      <w:r w:rsidRPr="00C1421E">
        <w:rPr>
          <w:lang w:val="en-GB"/>
        </w:rPr>
        <w:t>supports real-time comment sharing services.</w:t>
      </w:r>
    </w:p>
    <w:p w14:paraId="2B79A19B" w14:textId="77777777" w:rsidR="006A46AE" w:rsidRPr="00C1421E" w:rsidRDefault="006A46AE" w:rsidP="006A46AE">
      <w:pPr>
        <w:rPr>
          <w:lang w:val="en-GB"/>
        </w:rPr>
      </w:pPr>
      <w:r w:rsidRPr="00C1421E">
        <w:rPr>
          <w:b/>
          <w:lang w:val="en-GB"/>
        </w:rPr>
        <w:t>ITU-T J.383 "Conversion of type length value (TLV) packet and transport stream for advanced cable transmission systems"</w:t>
      </w:r>
      <w:r w:rsidRPr="00C1421E">
        <w:rPr>
          <w:lang w:val="en-GB"/>
        </w:rPr>
        <w:t xml:space="preserve"> describes the conversion schemes of data structures defined in [ITU-R BO.2098-0] for cable television systems on the basis of [ITU-T J.382].</w:t>
      </w:r>
    </w:p>
    <w:p w14:paraId="74398AC7" w14:textId="77777777" w:rsidR="006A46AE" w:rsidRPr="00C1421E" w:rsidRDefault="006A46AE" w:rsidP="006A46AE">
      <w:pPr>
        <w:rPr>
          <w:lang w:val="en-GB"/>
        </w:rPr>
      </w:pPr>
      <w:r w:rsidRPr="00C1421E">
        <w:rPr>
          <w:lang w:val="en-GB"/>
        </w:rPr>
        <w:lastRenderedPageBreak/>
        <w:t>[ITU-R BO.2098-0] specifies two data structures, MPEG-2 TS and TLV. MPEG-2 TS data packets are directly transmitted while any transmission control signals and service information are transmitted using a descriptor specified in [ETSI TS 102 991]. TLV packets are not directly transmitted in TLV format but converted to GSE [6] packet format specified in [ITU-T J.382].</w:t>
      </w:r>
    </w:p>
    <w:p w14:paraId="5E8DDB78" w14:textId="77777777" w:rsidR="006A46AE" w:rsidRPr="00C1421E" w:rsidRDefault="006A46AE" w:rsidP="006A46AE">
      <w:pPr>
        <w:rPr>
          <w:lang w:val="en-GB"/>
        </w:rPr>
      </w:pPr>
      <w:r w:rsidRPr="00C1421E">
        <w:rPr>
          <w:lang w:val="en-GB"/>
        </w:rPr>
        <w:t>The EWS control signal specified in [ITU-R BO.2098-0] is also converted into physical layer signalling specified in [ITU-T J382], to wake up the receiver when the Emergency Warning System is activated.</w:t>
      </w:r>
    </w:p>
    <w:p w14:paraId="03296915" w14:textId="77777777" w:rsidR="006A46AE" w:rsidRPr="00C1421E" w:rsidRDefault="006A46AE" w:rsidP="006A46AE">
      <w:pPr>
        <w:rPr>
          <w:lang w:val="en-GB"/>
        </w:rPr>
      </w:pPr>
      <w:r w:rsidRPr="001C37A8">
        <w:rPr>
          <w:b/>
          <w:bCs/>
          <w:lang w:val="en-GB"/>
        </w:rPr>
        <w:t>ITU-T J.1026 "Downloadable Conditional Access System for Unidirectional Network; Requirements"</w:t>
      </w:r>
      <w:r w:rsidRPr="00C1421E">
        <w:rPr>
          <w:lang w:val="en-GB"/>
        </w:rPr>
        <w:t xml:space="preserve"> specifies requirements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66B0FFFA" w14:textId="77777777" w:rsidR="006A46AE" w:rsidRPr="00C1421E" w:rsidRDefault="006A46AE" w:rsidP="006A46AE">
      <w:pPr>
        <w:rPr>
          <w:lang w:val="en-GB"/>
        </w:rPr>
      </w:pPr>
      <w:r w:rsidRPr="001C37A8">
        <w:rPr>
          <w:b/>
          <w:bCs/>
          <w:lang w:val="en-GB"/>
        </w:rPr>
        <w:t>ITU-T J.1027 "Downloadable Conditional Access System for Unidirectional Network; System Architecture"</w:t>
      </w:r>
      <w:r w:rsidRPr="00C1421E">
        <w:rPr>
          <w:lang w:val="en-GB"/>
        </w:rPr>
        <w:t xml:space="preserve"> specifies a system architecture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2F590040" w14:textId="77777777" w:rsidR="006A46AE" w:rsidRPr="001C37A8" w:rsidRDefault="006A46AE" w:rsidP="006A46AE">
      <w:pPr>
        <w:rPr>
          <w:b/>
          <w:bCs/>
          <w:highlight w:val="yellow"/>
          <w:lang w:val="en-GB"/>
        </w:rPr>
      </w:pPr>
      <w:r w:rsidRPr="001C37A8">
        <w:rPr>
          <w:b/>
          <w:bCs/>
          <w:lang w:val="en-GB"/>
        </w:rPr>
        <w:t>ITU-T J.1028 "Downloadable Conditional Access System for Unidirectional Network; Terminal System"</w:t>
      </w:r>
      <w:r w:rsidRPr="00C1421E">
        <w:rPr>
          <w:lang w:val="en-GB"/>
        </w:rPr>
        <w:t xml:space="preserve"> specifies a terminal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046B6D59" w14:textId="77777777" w:rsidR="006A46AE" w:rsidRPr="00C1421E" w:rsidRDefault="006A46AE" w:rsidP="006A46AE">
      <w:pPr>
        <w:rPr>
          <w:lang w:val="en-GB"/>
        </w:rPr>
      </w:pPr>
      <w:r w:rsidRPr="001C37A8">
        <w:rPr>
          <w:b/>
          <w:bCs/>
          <w:lang w:val="en-GB"/>
        </w:rPr>
        <w:t>ITU-T J.1108 "Transmission specification for Radio over IP transmission system"</w:t>
      </w:r>
      <w:r w:rsidRPr="00C1421E">
        <w:rPr>
          <w:lang w:val="en-GB"/>
        </w:rPr>
        <w:t xml:space="preserve"> provides a cost-effective adaptable solution for HFC-based cable TV network devices in optic-based cable TV network. The purpose of </w:t>
      </w:r>
      <w:proofErr w:type="spellStart"/>
      <w:r w:rsidRPr="00C1421E">
        <w:rPr>
          <w:lang w:val="en-GB"/>
        </w:rPr>
        <w:t>RoIP</w:t>
      </w:r>
      <w:proofErr w:type="spellEnd"/>
      <w:r w:rsidRPr="00C1421E">
        <w:rPr>
          <w:lang w:val="en-GB"/>
        </w:rPr>
        <w:t xml:space="preserve"> system is to transmit Data </w:t>
      </w:r>
      <w:proofErr w:type="gramStart"/>
      <w:r w:rsidRPr="00C1421E">
        <w:rPr>
          <w:lang w:val="en-GB"/>
        </w:rPr>
        <w:t>Over</w:t>
      </w:r>
      <w:proofErr w:type="gramEnd"/>
      <w:r w:rsidRPr="00C1421E">
        <w:rPr>
          <w:lang w:val="en-GB"/>
        </w:rPr>
        <w:t xml:space="preserve"> Cable Service Interface Specifications (DOCSIS) based Up Stream (US) RF signal of Cable Modem (CM) to Cable Modem Termination System (CMTS) through IP transmission in optic-based cable TV network.</w:t>
      </w:r>
    </w:p>
    <w:p w14:paraId="284E977F" w14:textId="77777777" w:rsidR="006A46AE" w:rsidRPr="00C1421E" w:rsidRDefault="006A46AE" w:rsidP="006A46AE">
      <w:pPr>
        <w:rPr>
          <w:lang w:val="en-GB"/>
        </w:rPr>
      </w:pPr>
      <w:r w:rsidRPr="001C37A8">
        <w:rPr>
          <w:b/>
          <w:bCs/>
          <w:lang w:val="en-GB"/>
        </w:rPr>
        <w:t>ITU-T J.1109 "Requirement for in-band full-duplex in HFC based network"</w:t>
      </w:r>
      <w:r w:rsidRPr="00C1421E">
        <w:rPr>
          <w:lang w:val="en-GB"/>
        </w:rPr>
        <w:t xml:space="preserve"> describes the high level general and system requirements for in-band full duplex in HFC based network. The purpose of in-band full duplex in HFC based network is to develop simultaneous transmission and reception in the same band using HFC based cable TV network.</w:t>
      </w:r>
    </w:p>
    <w:p w14:paraId="6A16A466" w14:textId="77777777" w:rsidR="006A46AE" w:rsidRPr="00C1421E" w:rsidRDefault="006A46AE" w:rsidP="006A46AE">
      <w:pPr>
        <w:rPr>
          <w:lang w:val="en-GB"/>
        </w:rPr>
      </w:pPr>
      <w:r w:rsidRPr="00C1421E">
        <w:rPr>
          <w:b/>
          <w:lang w:val="en-GB"/>
        </w:rPr>
        <w:t>ITU-T J.1201 "The functional requirements of smart TV operating system"</w:t>
      </w:r>
      <w:r w:rsidRPr="00C1421E">
        <w:rPr>
          <w:lang w:val="en-GB"/>
        </w:rPr>
        <w:t xml:space="preserve"> specifies the functional requirements of a smart TV operating system. The smart TV operating system is intended to be installed in IBB capable cable STB and TV and to enable broadcasting and IP-based interactive services provided by cable television operators and third-party providers. By running the smart TV operating system, the IBB 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w:t>
      </w:r>
    </w:p>
    <w:p w14:paraId="01ADBEEA" w14:textId="77777777" w:rsidR="006A46AE" w:rsidRPr="00C1421E" w:rsidRDefault="006A46AE" w:rsidP="006A46AE">
      <w:pPr>
        <w:rPr>
          <w:lang w:val="en-GB"/>
        </w:rPr>
      </w:pPr>
      <w:r w:rsidRPr="00C1421E">
        <w:rPr>
          <w:lang w:val="en-GB"/>
        </w:rPr>
        <w:lastRenderedPageBreak/>
        <w:t>This Recommendation is the first Recommendation of a smart TV operating system series. The Recommendations for this smart TV operating system will cover functional requirements, architecture, security and APIs.</w:t>
      </w:r>
    </w:p>
    <w:p w14:paraId="0181D308" w14:textId="77777777" w:rsidR="006A46AE" w:rsidRPr="00C1421E" w:rsidRDefault="006A46AE" w:rsidP="006A46AE">
      <w:pPr>
        <w:rPr>
          <w:lang w:val="en-GB"/>
        </w:rPr>
      </w:pPr>
      <w:r w:rsidRPr="001C37A8">
        <w:rPr>
          <w:b/>
          <w:bCs/>
          <w:lang w:val="en-GB"/>
        </w:rPr>
        <w:t>ITU-T J.1202 "The Architecture of Smart TV Operating System"</w:t>
      </w:r>
      <w:r w:rsidRPr="00C1421E">
        <w:rPr>
          <w:lang w:val="en-GB"/>
        </w:rPr>
        <w:t xml:space="preserve"> defines the architecture of smart TV operating system to enable IBB capable cable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6C8979FA" w14:textId="77777777" w:rsidR="006A46AE" w:rsidRPr="00C1421E" w:rsidRDefault="006A46AE" w:rsidP="006A46AE">
      <w:pPr>
        <w:rPr>
          <w:lang w:val="en-GB"/>
        </w:rPr>
      </w:pPr>
      <w:r w:rsidRPr="001C37A8">
        <w:rPr>
          <w:b/>
          <w:bCs/>
          <w:lang w:val="en-GB"/>
        </w:rPr>
        <w:t>ITU-T J.1210 "Requirements of IP Video Broadcast (IPVB) for CATV Networks"</w:t>
      </w:r>
      <w:r w:rsidRPr="00C1421E">
        <w:rPr>
          <w:lang w:val="en-GB"/>
        </w:rPr>
        <w:t xml:space="preserve"> specifies an IPVB technology, which simply adds a one-way IP-based video broadcast system to the existing low-cost bidirectional CATV networks (including both HFC and optical networks). The IPVB can greatly increase the bandwidth of downlink programs when using optical network,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711952C3" w14:textId="77777777" w:rsidR="006A46AE" w:rsidRPr="00C1421E" w:rsidRDefault="006A46AE" w:rsidP="006A46AE">
      <w:pPr>
        <w:rPr>
          <w:highlight w:val="yellow"/>
          <w:lang w:val="en-GB"/>
        </w:rPr>
      </w:pPr>
      <w:r w:rsidRPr="001C37A8">
        <w:rPr>
          <w:b/>
          <w:bCs/>
          <w:lang w:val="en-GB"/>
        </w:rPr>
        <w:t>ITU-T J.1600 "Premium Cable Network Platform (PCNP) – Framework"</w:t>
      </w:r>
      <w:r w:rsidRPr="00C1421E">
        <w:rPr>
          <w:lang w:val="en-GB"/>
        </w:rPr>
        <w:t xml:space="preserve"> </w:t>
      </w:r>
      <w:r w:rsidRPr="00CF5A8A">
        <w:rPr>
          <w:b/>
          <w:bCs/>
          <w:lang w:val="en-GB"/>
        </w:rPr>
        <w:t>(</w:t>
      </w:r>
      <w:r w:rsidRPr="00CF5A8A">
        <w:rPr>
          <w:lang w:val="en-GB"/>
        </w:rPr>
        <w:t>under approval</w:t>
      </w:r>
      <w:r w:rsidRPr="00CF5A8A">
        <w:rPr>
          <w:b/>
          <w:bCs/>
          <w:lang w:val="en-GB"/>
        </w:rPr>
        <w:t>)</w:t>
      </w:r>
      <w:r>
        <w:rPr>
          <w:b/>
          <w:bCs/>
          <w:lang w:val="en-GB"/>
        </w:rPr>
        <w:t xml:space="preserve"> </w:t>
      </w:r>
      <w:r w:rsidRPr="00CF5A8A">
        <w:rPr>
          <w:lang w:val="en-GB"/>
        </w:rPr>
        <w:t>specifies the framework of the Premium Cable Network Platform (PCNP</w:t>
      </w:r>
      <w:r w:rsidRPr="00C1421E">
        <w:rPr>
          <w:lang w:val="en-GB"/>
        </w:rPr>
        <w:t>) for the cable TV and broadband network that exploit the cloud based artificial intelligence and network data to optimize the network and TV services, thus enable the high satisfaction of user's experience of perceptual aspects of services.</w:t>
      </w:r>
    </w:p>
    <w:p w14:paraId="73890609" w14:textId="77777777" w:rsidR="006A46AE" w:rsidRPr="00C1421E" w:rsidRDefault="006A46AE" w:rsidP="006A46AE">
      <w:pPr>
        <w:pStyle w:val="Headingb"/>
      </w:pPr>
      <w:bookmarkStart w:id="224" w:name="_Toc480527893"/>
      <w:r w:rsidRPr="00C1421E">
        <w:t>I.2.2</w:t>
      </w:r>
      <w:r w:rsidRPr="00C1421E">
        <w:tab/>
      </w:r>
      <w:bookmarkEnd w:id="224"/>
      <w:r w:rsidRPr="00C1421E">
        <w:t>Smart ubiquitous networks, next-generation networks evolution, and future networks</w:t>
      </w:r>
    </w:p>
    <w:p w14:paraId="6AB98991" w14:textId="77777777" w:rsidR="006A46AE" w:rsidRPr="00C1421E" w:rsidRDefault="006A46AE" w:rsidP="006A46AE">
      <w:pPr>
        <w:rPr>
          <w:lang w:val="en-GB" w:eastAsia="en-US"/>
        </w:rPr>
      </w:pPr>
      <w:r w:rsidRPr="00C1421E">
        <w:rPr>
          <w:b/>
          <w:lang w:val="en-GB" w:eastAsia="en-US"/>
        </w:rPr>
        <w:t>ITU-T H.643.1 "Architecture for deployment of information centric network"</w:t>
      </w:r>
      <w:r w:rsidRPr="00C1421E">
        <w:rPr>
          <w:lang w:val="en-GB" w:eastAsia="en-US"/>
        </w:rPr>
        <w:t xml:space="preserve"> describes the functional architecture for deployment of information centric network (DICN) including functional entities, reference points and service control flows. It also describes the required DICN capabilities. This architecture can be used to flexibly support the deployment of any particular information centric network (ICN) instances and the co-existence of multiple ICN instances in one physical network. It also facilitates the interoperation between different ICN instances. It will benefit the deployment of existing ICN protocols and enable the research and development of new ICN technology.</w:t>
      </w:r>
    </w:p>
    <w:p w14:paraId="6ADF7B15" w14:textId="77777777" w:rsidR="006A46AE" w:rsidRPr="00C1421E" w:rsidRDefault="006A46AE" w:rsidP="006A46AE">
      <w:pPr>
        <w:rPr>
          <w:highlight w:val="yellow"/>
          <w:lang w:val="en-GB" w:eastAsia="en-US"/>
        </w:rPr>
      </w:pPr>
      <w:r w:rsidRPr="00C1421E">
        <w:rPr>
          <w:b/>
          <w:lang w:val="en-GB" w:eastAsia="en-US"/>
        </w:rPr>
        <w:t>ITU-T H.644.1 "Functional architecture for virtual content delivery networks"</w:t>
      </w:r>
      <w:r w:rsidRPr="00C1421E">
        <w:rPr>
          <w:lang w:val="en-GB" w:eastAsia="en-US"/>
        </w:rPr>
        <w:t xml:space="preserve"> describes a functional architecture for virtual content delivery network (VCDN). ITU-T Recommendation F.743.4 gives an overview and the requirements for virtual content delivery network (VCDN). This Recommendation focuses on functional architecture for VCDN. It specifies overall functional architecture,</w:t>
      </w:r>
      <w:r>
        <w:rPr>
          <w:lang w:val="en-GB" w:eastAsia="en-US"/>
        </w:rPr>
        <w:t xml:space="preserve"> </w:t>
      </w:r>
      <w:r w:rsidRPr="00C1421E">
        <w:rPr>
          <w:lang w:val="en-GB" w:eastAsia="en-US"/>
        </w:rPr>
        <w:t>domains and functional role relationship, functional blocks, reference points, relations among physical resources, virtual resources, and LINPs (logically isolated network partition), functions and their mutual relations, and security considerations. VCDN can realize accurate infrastructure distribution and elastic resource scheduling. VCDN can integrate the resources of CDN, reduce construction cost and improve the scalability.</w:t>
      </w:r>
    </w:p>
    <w:p w14:paraId="1A81B4B1" w14:textId="77777777" w:rsidR="006A46AE" w:rsidRPr="00C1421E" w:rsidRDefault="006A46AE" w:rsidP="006A46AE">
      <w:pPr>
        <w:rPr>
          <w:highlight w:val="yellow"/>
          <w:lang w:val="en-GB" w:eastAsia="en-US"/>
        </w:rPr>
      </w:pPr>
      <w:r w:rsidRPr="00416693">
        <w:rPr>
          <w:b/>
          <w:bCs/>
          <w:lang w:val="en-GB" w:eastAsia="en-US"/>
        </w:rPr>
        <w:t>ITU-T Q.3642 "IMS references to Release 12 for communication between IMS and NGN networks to support end-to-end service interoperability":</w:t>
      </w:r>
      <w:r w:rsidRPr="00C1421E">
        <w:rPr>
          <w:lang w:val="en-GB" w:eastAsia="en-US"/>
        </w:rPr>
        <w:t xml:space="preserve"> In general, the IMS implementation is based on the set of standards developed by different SDOs. In this regards, there is an intention to develop a recommendation which lists the references to specifications defining requirements for IMS to be used for the Non-roaming architecture for 3GPP accesses as base for the communication between IMS and NGN Networks in order to support the end-to-end service interoperability.</w:t>
      </w:r>
    </w:p>
    <w:p w14:paraId="7CFD98AE" w14:textId="77777777" w:rsidR="006A46AE" w:rsidRPr="00C1421E" w:rsidRDefault="006A46AE" w:rsidP="006A46AE">
      <w:pPr>
        <w:rPr>
          <w:bCs/>
          <w:lang w:val="en-GB" w:eastAsia="en-US"/>
        </w:rPr>
      </w:pPr>
      <w:r w:rsidRPr="00416693">
        <w:rPr>
          <w:b/>
          <w:lang w:val="en-GB" w:eastAsia="en-US"/>
        </w:rPr>
        <w:lastRenderedPageBreak/>
        <w:t>ITU-T X.609.6 "Managed P2P communications: Content distribution signalling requirements"</w:t>
      </w:r>
      <w:r w:rsidRPr="00C1421E">
        <w:rPr>
          <w:bCs/>
          <w:lang w:val="en-GB" w:eastAsia="en-US"/>
        </w:rPr>
        <w:t xml:space="preserve">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27D735C3" w14:textId="77777777" w:rsidR="006A46AE" w:rsidRPr="00C1421E" w:rsidRDefault="006A46AE" w:rsidP="006A46AE">
      <w:pPr>
        <w:rPr>
          <w:bCs/>
          <w:lang w:val="en-GB" w:eastAsia="en-US"/>
        </w:rPr>
      </w:pPr>
      <w:r w:rsidRPr="00416693">
        <w:rPr>
          <w:b/>
          <w:lang w:val="en-GB" w:eastAsia="en-US"/>
        </w:rPr>
        <w:t>ITU-T X.609.7 "Managed P2P communications: Content distribution peer protocol"</w:t>
      </w:r>
      <w:r w:rsidRPr="00C1421E">
        <w:rPr>
          <w:bCs/>
          <w:lang w:val="en-GB" w:eastAsia="en-US"/>
        </w:rPr>
        <w:t xml:space="preserve">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063638B5" w14:textId="77777777" w:rsidR="006A46AE" w:rsidRPr="00C1421E" w:rsidRDefault="006A46AE" w:rsidP="006A46AE">
      <w:pPr>
        <w:rPr>
          <w:bCs/>
          <w:lang w:val="en-GB" w:eastAsia="en-US"/>
        </w:rPr>
      </w:pPr>
      <w:r w:rsidRPr="00416693">
        <w:rPr>
          <w:b/>
          <w:lang w:val="en-GB" w:eastAsia="en-US"/>
        </w:rPr>
        <w:t xml:space="preserve">ITU-T Y.2323 "Requirements and capabilities of orchestration in next generation network evolution" </w:t>
      </w:r>
      <w:r w:rsidRPr="00C1421E">
        <w:rPr>
          <w:bCs/>
          <w:lang w:val="en-GB" w:eastAsia="en-US"/>
        </w:rPr>
        <w:t xml:space="preserve">provides the scenarios of the orchestration in </w:t>
      </w:r>
      <w:proofErr w:type="spellStart"/>
      <w:r w:rsidRPr="00C1421E">
        <w:rPr>
          <w:bCs/>
          <w:lang w:val="en-GB" w:eastAsia="en-US"/>
        </w:rPr>
        <w:t>NGNe</w:t>
      </w:r>
      <w:proofErr w:type="spellEnd"/>
      <w:r w:rsidRPr="00C1421E">
        <w:rPr>
          <w:bCs/>
          <w:lang w:val="en-GB" w:eastAsia="en-US"/>
        </w:rPr>
        <w:t xml:space="preserve">, specifies the general requirements of the orchestration in </w:t>
      </w:r>
      <w:proofErr w:type="spellStart"/>
      <w:r w:rsidRPr="00C1421E">
        <w:rPr>
          <w:bCs/>
          <w:lang w:val="en-GB" w:eastAsia="en-US"/>
        </w:rPr>
        <w:t>NGNe</w:t>
      </w:r>
      <w:proofErr w:type="spellEnd"/>
      <w:r w:rsidRPr="00C1421E">
        <w:rPr>
          <w:bCs/>
          <w:lang w:val="en-GB" w:eastAsia="en-US"/>
        </w:rPr>
        <w:t>, and also introduces its capabilities from the perspective of NGN evolution and the coordination of NGNs and the networks implemented by SDN and NFV technologies.</w:t>
      </w:r>
    </w:p>
    <w:p w14:paraId="692A3A70" w14:textId="77777777" w:rsidR="006A46AE" w:rsidRPr="00C1421E" w:rsidRDefault="006A46AE" w:rsidP="006A46AE">
      <w:pPr>
        <w:rPr>
          <w:bCs/>
          <w:lang w:val="en-GB" w:eastAsia="en-US"/>
        </w:rPr>
      </w:pPr>
      <w:r w:rsidRPr="00416693">
        <w:rPr>
          <w:b/>
          <w:lang w:val="en-GB" w:eastAsia="en-US"/>
        </w:rPr>
        <w:t>ITU-T Y.2242 "Service function chaining in mobile network"</w:t>
      </w:r>
      <w:r w:rsidRPr="00C1421E">
        <w:rPr>
          <w:bCs/>
          <w:lang w:val="en-GB" w:eastAsia="en-US"/>
        </w:rPr>
        <w:t xml:space="preserve">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
    <w:p w14:paraId="1410CDDB" w14:textId="77777777" w:rsidR="006A46AE" w:rsidRPr="00C1421E" w:rsidRDefault="006A46AE" w:rsidP="006A46AE">
      <w:pPr>
        <w:rPr>
          <w:bCs/>
          <w:lang w:val="en-GB" w:eastAsia="en-US"/>
        </w:rPr>
      </w:pPr>
      <w:r w:rsidRPr="00416693">
        <w:rPr>
          <w:b/>
          <w:lang w:val="en-GB" w:eastAsia="en-US"/>
        </w:rPr>
        <w:t>ITU-T Y.2243 "A service model for risk mitigation service based on networks":</w:t>
      </w:r>
      <w:r w:rsidRPr="00C1421E">
        <w:rPr>
          <w:bCs/>
          <w:lang w:val="en-GB" w:eastAsia="en-US"/>
        </w:rPr>
        <w:t xml:space="preserve"> A risk mitigation service based on networks monitors risk events, stores the data in real time and analyses the associated data. Furthermore, it may perform the analysis of plant disease risks, marine aquaculture risks, or livestock disease risks, and provide corresponding mitigation services. The service model for the risk mitigation based on networks described in this Recommendation covers real time data acquisition, monitoring of risk events, and provision of mitigation services for the identified risks.</w:t>
      </w:r>
    </w:p>
    <w:p w14:paraId="63B60500" w14:textId="77777777" w:rsidR="006A46AE" w:rsidRPr="00C1421E" w:rsidRDefault="006A46AE" w:rsidP="006A46AE">
      <w:pPr>
        <w:rPr>
          <w:lang w:val="en-GB" w:eastAsia="en-US"/>
        </w:rPr>
      </w:pPr>
      <w:r w:rsidRPr="00416693">
        <w:rPr>
          <w:b/>
          <w:bCs/>
          <w:lang w:val="en-GB" w:eastAsia="en-US"/>
        </w:rPr>
        <w:t>ITU-T Y.2620 "T interface for Public packet Telecommunication Data Network (PTDN)"</w:t>
      </w:r>
      <w:r w:rsidRPr="00C1421E">
        <w:rPr>
          <w:lang w:val="en-GB" w:eastAsia="en-US"/>
        </w:rPr>
        <w:t xml:space="preserve"> </w:t>
      </w:r>
      <w:r>
        <w:rPr>
          <w:lang w:val="en-GB" w:eastAsia="en-US"/>
        </w:rPr>
        <w:t xml:space="preserve">specifies </w:t>
      </w:r>
      <w:r w:rsidRPr="00C1421E">
        <w:rPr>
          <w:lang w:val="en-GB" w:eastAsia="en-US"/>
        </w:rPr>
        <w:t>public packet Telecommunication Data Network (PTDN)</w:t>
      </w:r>
      <w:r>
        <w:rPr>
          <w:lang w:val="en-GB" w:eastAsia="en-US"/>
        </w:rPr>
        <w:t>, which</w:t>
      </w:r>
      <w:r w:rsidRPr="00C1421E">
        <w:rPr>
          <w:lang w:val="en-GB" w:eastAsia="en-US"/>
        </w:rPr>
        <w:t xml:space="preserve"> is one of hierarchical data networks to meet requirements of future packet-based networks which reference interfaces are defined in ITU-T Recommendation Y.2613. This Recommendation identifies the T interface and its functions between PTDN edge devices and Address Translators (ADT). The functions, procedures for the two types, i.e. T1 interface and T2 interface, are described. Appendix I gives an example of </w:t>
      </w:r>
      <w:r w:rsidRPr="00C1421E">
        <w:rPr>
          <w:lang w:val="en-GB" w:eastAsia="en-US"/>
        </w:rPr>
        <w:lastRenderedPageBreak/>
        <w:t>encapsulation for T interface messages. Appendix II gives one candidate message format for address resolution in T1 interface.</w:t>
      </w:r>
    </w:p>
    <w:p w14:paraId="58EAC4EA" w14:textId="77777777" w:rsidR="006A46AE" w:rsidRPr="00C1421E" w:rsidRDefault="006A46AE" w:rsidP="006A46AE">
      <w:pPr>
        <w:rPr>
          <w:lang w:val="en-GB" w:eastAsia="en-US"/>
        </w:rPr>
      </w:pPr>
      <w:r w:rsidRPr="00416693">
        <w:rPr>
          <w:b/>
          <w:bCs/>
          <w:lang w:val="en-GB" w:eastAsia="en-US"/>
        </w:rPr>
        <w:t>ITU-T Y.2774 "Functional requirements of deep packet inspection for future networks"</w:t>
      </w:r>
      <w:r w:rsidRPr="00C1421E">
        <w:rPr>
          <w:lang w:val="en-GB" w:eastAsia="en-US"/>
        </w:rPr>
        <w:t xml:space="preserve">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14:paraId="41911EC6" w14:textId="77777777" w:rsidR="006A46AE" w:rsidRPr="00C1421E" w:rsidRDefault="006A46AE" w:rsidP="006A46AE">
      <w:pPr>
        <w:rPr>
          <w:highlight w:val="yellow"/>
          <w:lang w:val="en-GB" w:eastAsia="en-US"/>
        </w:rPr>
      </w:pPr>
      <w:r w:rsidRPr="00416693">
        <w:rPr>
          <w:b/>
          <w:bCs/>
          <w:lang w:val="en-GB" w:eastAsia="en-US"/>
        </w:rPr>
        <w:t>ITU-T Y.2775 "Functional architecture of deep packet inspection for future networks"</w:t>
      </w:r>
      <w:r w:rsidRPr="00C1421E">
        <w:rPr>
          <w:lang w:val="en-GB" w:eastAsia="en-US"/>
        </w:rPr>
        <w:t xml:space="preserve"> </w:t>
      </w:r>
      <w:r w:rsidRPr="007624F0">
        <w:rPr>
          <w:lang w:val="en-GB" w:eastAsia="en-US"/>
        </w:rPr>
        <w:t>specifies the functional architecture of deep packet inspection for future networks (e.g.., software defined networking, network function virtualization etc.). This Recommendation specifies general DPI functional architecture aspects related to future networks, DPI functional architecture for software defined networking, ne</w:t>
      </w:r>
      <w:r>
        <w:rPr>
          <w:lang w:val="en-GB" w:eastAsia="en-US"/>
        </w:rPr>
        <w:t xml:space="preserve">twork function virtualization, </w:t>
      </w:r>
      <w:r w:rsidRPr="007624F0">
        <w:rPr>
          <w:lang w:val="en-GB" w:eastAsia="en-US"/>
        </w:rPr>
        <w:t>service function chaining and DPI as a service, network virtualization, and evolving mobile network</w:t>
      </w:r>
      <w:proofErr w:type="gramStart"/>
      <w:r w:rsidRPr="007624F0">
        <w:rPr>
          <w:lang w:val="en-GB" w:eastAsia="en-US"/>
        </w:rPr>
        <w:t>.</w:t>
      </w:r>
      <w:r w:rsidRPr="00C1421E">
        <w:rPr>
          <w:lang w:val="en-GB" w:eastAsia="en-US"/>
        </w:rPr>
        <w:t>.</w:t>
      </w:r>
      <w:proofErr w:type="gramEnd"/>
    </w:p>
    <w:p w14:paraId="77565CA1" w14:textId="77777777" w:rsidR="006A46AE" w:rsidRPr="00C1421E" w:rsidRDefault="006A46AE" w:rsidP="006A46AE">
      <w:pPr>
        <w:rPr>
          <w:lang w:val="en-GB" w:eastAsia="en-US"/>
        </w:rPr>
      </w:pPr>
      <w:r w:rsidRPr="00416693">
        <w:rPr>
          <w:b/>
          <w:bCs/>
          <w:lang w:val="en-GB" w:eastAsia="en-US"/>
        </w:rPr>
        <w:t xml:space="preserve">ITU-T Y.2815 "Mobility supporting architecture for mobile Peer to Peer service in heterogeneous wireless networks" </w:t>
      </w:r>
      <w:r w:rsidRPr="00C1421E">
        <w:rPr>
          <w:lang w:val="en-GB" w:eastAsia="en-US"/>
        </w:rPr>
        <w:t>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472C905D" w14:textId="77777777" w:rsidR="006A46AE" w:rsidRPr="00C1421E" w:rsidRDefault="006A46AE" w:rsidP="006A46AE">
      <w:pPr>
        <w:pStyle w:val="Headingb"/>
      </w:pPr>
      <w:bookmarkStart w:id="225" w:name="_Toc480527894"/>
      <w:r w:rsidRPr="00C1421E">
        <w:t>I.2.3</w:t>
      </w:r>
      <w:r w:rsidRPr="00C1421E">
        <w:tab/>
        <w:t>IMT-2020/5G networks</w:t>
      </w:r>
    </w:p>
    <w:p w14:paraId="13AB0DA4" w14:textId="77777777" w:rsidR="006A46AE" w:rsidRPr="00C1421E" w:rsidRDefault="006A46AE" w:rsidP="006A46AE">
      <w:pPr>
        <w:rPr>
          <w:highlight w:val="yellow"/>
          <w:lang w:val="en-GB"/>
        </w:rPr>
      </w:pPr>
      <w:r w:rsidRPr="00C1421E">
        <w:rPr>
          <w:b/>
          <w:lang w:val="en-GB"/>
        </w:rPr>
        <w:t>ITU-T Q.5020 "Protocol requirements and procedures for network slice lifecycle management"</w:t>
      </w:r>
      <w:r w:rsidRPr="00C1421E">
        <w:rPr>
          <w:lang w:val="en-GB"/>
        </w:rPr>
        <w:t xml:space="preserve"> describes the protocol requirements and procedures for network slice lifecycle management, including the reference signalling architecture, requirements, and protocol procedures.</w:t>
      </w:r>
    </w:p>
    <w:p w14:paraId="2436F57E" w14:textId="77777777" w:rsidR="006A46AE" w:rsidRPr="00C1421E" w:rsidRDefault="006A46AE" w:rsidP="006A46AE">
      <w:pPr>
        <w:rPr>
          <w:lang w:val="en-GB"/>
        </w:rPr>
      </w:pPr>
      <w:r w:rsidRPr="00C1421E">
        <w:rPr>
          <w:b/>
          <w:lang w:val="en-GB"/>
        </w:rPr>
        <w:t>ITU-T Y.3072 "Requirements and Capabilities of Name Mapping and Resolution for Information Centric Networking in IMT-2020"</w:t>
      </w:r>
      <w:r w:rsidRPr="00C1421E">
        <w:rPr>
          <w:lang w:val="en-GB"/>
        </w:rPr>
        <w:t xml:space="preserve"> specifies the requirements and capabilities of name mapping and resolution to achieve high performance such as low latency and scalability for a massive number of named objects for information centric networking in IMT-2020. (1) It provides an introduction to name mapping and resolution in IMT-2020. (2) It describes service and functional requirements of name mapping and resolution. (3) Based on the requirements, it specifies the capabilities of name mapping and resolution for information centric networking in IMT-2020.</w:t>
      </w:r>
    </w:p>
    <w:p w14:paraId="6B749CFE" w14:textId="77777777" w:rsidR="006A46AE" w:rsidRPr="00C1421E" w:rsidRDefault="006A46AE" w:rsidP="006A46AE">
      <w:pPr>
        <w:rPr>
          <w:lang w:val="en-GB"/>
        </w:rPr>
      </w:pPr>
      <w:r w:rsidRPr="00C1421E">
        <w:rPr>
          <w:b/>
          <w:lang w:val="en-GB"/>
        </w:rPr>
        <w:t>ITU-T Y.3073 "Framework for service function chaining in information centric networking"</w:t>
      </w:r>
      <w:r w:rsidRPr="00C1421E">
        <w:rPr>
          <w:lang w:val="en-GB"/>
        </w:rPr>
        <w:t xml:space="preserve"> specifies the framework in applying information centric networking (ICN) to edge computing and service function chaining. It describes the communication models, messages and their content, and functional components and their interactions in applying ICN to service function chaining.</w:t>
      </w:r>
    </w:p>
    <w:p w14:paraId="73B79B48" w14:textId="77777777" w:rsidR="006A46AE" w:rsidRPr="00C1421E" w:rsidRDefault="006A46AE" w:rsidP="006A46AE">
      <w:pPr>
        <w:rPr>
          <w:highlight w:val="yellow"/>
          <w:lang w:val="en-GB"/>
        </w:rPr>
      </w:pPr>
      <w:r w:rsidRPr="00C1421E">
        <w:rPr>
          <w:b/>
          <w:lang w:val="en-GB"/>
        </w:rPr>
        <w:t>ITU-T Y.3074 "Framework for directory service for management of huge number of heterogeneously named objects in IMT-2020"</w:t>
      </w:r>
      <w:r w:rsidRPr="00C1421E">
        <w:rPr>
          <w:lang w:val="en-GB"/>
        </w:rPr>
        <w:t xml:space="preserve"> introduces a directory service function in the IMT-2020 architecture. It describes the components of the directory service function that can store a huge volume of records associated with heterogeneous types of names of objects (i.e. devices and data), and that can provide a very low latency lookup service. It describes the general procedure of the directory service function to register, cache, lookup, update, and delete records.</w:t>
      </w:r>
    </w:p>
    <w:p w14:paraId="65CCFF48" w14:textId="77777777" w:rsidR="006A46AE" w:rsidRPr="00C1421E" w:rsidRDefault="006A46AE" w:rsidP="006A46AE">
      <w:pPr>
        <w:rPr>
          <w:lang w:val="en-GB"/>
        </w:rPr>
      </w:pPr>
      <w:r w:rsidRPr="00C1421E">
        <w:rPr>
          <w:b/>
          <w:lang w:val="en-GB"/>
        </w:rPr>
        <w:t>ITU-T Y.3104 "Architecture of the IMT-2020 network"</w:t>
      </w:r>
      <w:r w:rsidRPr="00C1421E">
        <w:rPr>
          <w:lang w:val="en-GB"/>
        </w:rPr>
        <w:t xml:space="preserve"> provides the architecture of the IMT-2020 network from a functional perspective. An architecture reference model of the IMT-2020 network and procedures of the IMT-2020 network basic services [ITU-T Y.3102] are specified.</w:t>
      </w:r>
    </w:p>
    <w:p w14:paraId="046A5D2E" w14:textId="77777777" w:rsidR="006A46AE" w:rsidRPr="00C1421E" w:rsidRDefault="006A46AE" w:rsidP="006A46AE">
      <w:pPr>
        <w:rPr>
          <w:b/>
          <w:lang w:val="en-GB"/>
        </w:rPr>
      </w:pPr>
      <w:r w:rsidRPr="00C1421E">
        <w:rPr>
          <w:b/>
          <w:lang w:val="en-GB"/>
        </w:rPr>
        <w:t>ITU-T Y.3105 "Requirements of capability exposure in the IMT-2020 network"</w:t>
      </w:r>
      <w:r w:rsidRPr="00C1421E">
        <w:rPr>
          <w:lang w:val="en-GB"/>
        </w:rPr>
        <w:t xml:space="preserve"> identifies requirements of capability exposure in the IMT-2020 network. In particular, it provides at first an overview and general aspects of capability exposure in the IMT-2020 network, and then identifies </w:t>
      </w:r>
      <w:r w:rsidRPr="00C1421E">
        <w:rPr>
          <w:lang w:val="en-GB"/>
        </w:rPr>
        <w:lastRenderedPageBreak/>
        <w:t>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7F855006" w14:textId="77777777" w:rsidR="006A46AE" w:rsidRPr="00C1421E" w:rsidRDefault="006A46AE" w:rsidP="006A46AE">
      <w:pPr>
        <w:rPr>
          <w:lang w:val="en-GB"/>
        </w:rPr>
      </w:pPr>
      <w:r w:rsidRPr="00C1421E">
        <w:rPr>
          <w:b/>
          <w:lang w:val="en-GB"/>
        </w:rPr>
        <w:t>ITU-T Y.3106 "QoS functional requirements for the IMT-2020 network"</w:t>
      </w:r>
      <w:r w:rsidRPr="00C1421E">
        <w:rPr>
          <w:lang w:val="en-GB"/>
        </w:rPr>
        <w:t xml:space="preserve"> specifies the QoS functional requirements for the International Mobile Telecommunications (IMT) 2020 network. This Recommendation first provides an overview of QoS requirements for IMT-2020. It then describes the high level QoS capabilities of the IMT-2020 network which include: QoS planning, QoS provisioning, QoS monitoring and QoS optimization. Based on these capabilities, this Recommendation specifies the QoS functional requirements for the IMT-2020 network.</w:t>
      </w:r>
    </w:p>
    <w:p w14:paraId="385BFDBA" w14:textId="77777777" w:rsidR="006A46AE" w:rsidRPr="00C1421E" w:rsidRDefault="006A46AE" w:rsidP="006A46AE">
      <w:pPr>
        <w:rPr>
          <w:lang w:val="en-GB"/>
        </w:rPr>
      </w:pPr>
      <w:r w:rsidRPr="00C1421E">
        <w:rPr>
          <w:b/>
          <w:lang w:val="en-GB"/>
        </w:rPr>
        <w:t xml:space="preserve">ITU-T Y.3107 "Functional architecture for QoS assurance management in the IMT-2020 network" </w:t>
      </w:r>
      <w:r w:rsidRPr="00C1421E">
        <w:rPr>
          <w:lang w:val="en-GB"/>
        </w:rPr>
        <w:t>specifies the functional architecture for QoS assurance management in the International Mobile Telecommunications (IMT) 2020 network. This Recommendation first describes the functional architecture for QoS assurance management under the IMT-2020 network management and orchestration framework. It then specifies reference points between QoS functional entities and IMT-2020 network management and orchestration plane.</w:t>
      </w:r>
    </w:p>
    <w:p w14:paraId="3C2192AD" w14:textId="77777777" w:rsidR="006A46AE" w:rsidRPr="00C1421E" w:rsidRDefault="006A46AE" w:rsidP="006A46AE">
      <w:pPr>
        <w:rPr>
          <w:lang w:val="en-GB"/>
        </w:rPr>
      </w:pPr>
      <w:r w:rsidRPr="00C1421E">
        <w:rPr>
          <w:b/>
          <w:lang w:val="en-GB"/>
        </w:rPr>
        <w:t>ITU-T Y.3112 (revised) "Framework for the support of Multiple Network Slicing in the IMT-2020 network"</w:t>
      </w:r>
      <w:r w:rsidRPr="00C1421E">
        <w:rPr>
          <w:lang w:val="en-GB"/>
        </w:rPr>
        <w:t xml:space="preserve"> 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6F04C2F9" w14:textId="77777777" w:rsidR="006A46AE" w:rsidRPr="00C1421E" w:rsidRDefault="006A46AE" w:rsidP="006A46AE">
      <w:pPr>
        <w:rPr>
          <w:lang w:val="en-GB"/>
        </w:rPr>
      </w:pPr>
      <w:r w:rsidRPr="00C1421E">
        <w:rPr>
          <w:b/>
          <w:lang w:val="en-GB"/>
        </w:rPr>
        <w:t>ITU-T Y.3131 "Functional architecture for supporting fixed mobile convergence in IMT-2020 networks"</w:t>
      </w:r>
      <w:r w:rsidRPr="00C1421E">
        <w:rPr>
          <w:lang w:val="en-GB"/>
        </w:rPr>
        <w:t xml:space="preserve"> describes the functional architecture of fixed mobile convergence in IMT-2020 networks, which supports the requirements of network evolution and accommodates convergent services in fixed and mobile networks. This Recommendation presents the overview, framework and functional architecture for supporting fixed mobile convergence in IMT-2020 networks.</w:t>
      </w:r>
    </w:p>
    <w:p w14:paraId="24B8B947" w14:textId="77777777" w:rsidR="006A46AE" w:rsidRPr="00C1421E" w:rsidRDefault="006A46AE" w:rsidP="006A46AE">
      <w:pPr>
        <w:rPr>
          <w:lang w:val="en-GB"/>
        </w:rPr>
      </w:pPr>
      <w:r w:rsidRPr="00C1421E">
        <w:rPr>
          <w:b/>
          <w:lang w:val="en-GB"/>
        </w:rPr>
        <w:t xml:space="preserve">ITU-T Y.3151 "High-level technical characteristics of network </w:t>
      </w:r>
      <w:proofErr w:type="spellStart"/>
      <w:r w:rsidRPr="00C1421E">
        <w:rPr>
          <w:b/>
          <w:lang w:val="en-GB"/>
        </w:rPr>
        <w:t>softwarization</w:t>
      </w:r>
      <w:proofErr w:type="spellEnd"/>
      <w:r w:rsidRPr="00C1421E">
        <w:rPr>
          <w:b/>
          <w:lang w:val="en-GB"/>
        </w:rPr>
        <w:t xml:space="preserve"> for IMT-2020 - part: SDN"</w:t>
      </w:r>
      <w:r w:rsidRPr="00C1421E">
        <w:rPr>
          <w:lang w:val="en-GB"/>
        </w:rPr>
        <w:t xml:space="preserve">: With the advent of network slicing technology for IMT-2020, which is the most typical substantiation of the network </w:t>
      </w:r>
      <w:proofErr w:type="spellStart"/>
      <w:r w:rsidRPr="00C1421E">
        <w:rPr>
          <w:lang w:val="en-GB"/>
        </w:rPr>
        <w:t>softwarization</w:t>
      </w:r>
      <w:proofErr w:type="spellEnd"/>
      <w:r w:rsidRPr="00C1421E">
        <w:rPr>
          <w:lang w:val="en-GB"/>
        </w:rPr>
        <w:t xml:space="preserve"> approach, this Recommendation describes technical aspects of SDN part of network slice support, which assists in handling individual components of a network slice, and contains network infrastructure and its control/management [ITU-T Y.3150].</w:t>
      </w:r>
      <w:r>
        <w:rPr>
          <w:lang w:val="en-GB"/>
        </w:rPr>
        <w:t xml:space="preserve"> </w:t>
      </w:r>
      <w:r w:rsidRPr="00C1421E">
        <w:rPr>
          <w:lang w:val="en-GB"/>
        </w:rPr>
        <w:t>This Recommendation addresses the technical aspect of the SDN environment: architectural model, functionalities and interfaces. Especially, high-level specifications of SDN control interfaces are treated based on a standard of SDN control of transport networks [ITU-T G.7702].</w:t>
      </w:r>
    </w:p>
    <w:p w14:paraId="5DA8A525" w14:textId="77777777" w:rsidR="006A46AE" w:rsidRPr="00C1421E" w:rsidRDefault="006A46AE" w:rsidP="006A46AE">
      <w:pPr>
        <w:rPr>
          <w:lang w:val="en-GB"/>
        </w:rPr>
      </w:pPr>
      <w:r w:rsidRPr="00C1421E">
        <w:rPr>
          <w:b/>
          <w:lang w:val="en-GB"/>
        </w:rPr>
        <w:t>ITU-T Y.3152 "Advanced Data Plane Programmability for IMT-2020"</w:t>
      </w:r>
      <w:r w:rsidRPr="00C1421E">
        <w:rPr>
          <w:lang w:val="en-GB"/>
        </w:rPr>
        <w:t xml:space="preserve">: Advanced data plane programmability (ADPP) as an underlying technology for network </w:t>
      </w:r>
      <w:proofErr w:type="spellStart"/>
      <w:r w:rsidRPr="00C1421E">
        <w:rPr>
          <w:lang w:val="en-GB"/>
        </w:rPr>
        <w:t>softwarization</w:t>
      </w:r>
      <w:proofErr w:type="spellEnd"/>
      <w:r w:rsidRPr="00C1421E">
        <w:rPr>
          <w:lang w:val="en-GB"/>
        </w:rPr>
        <w:t xml:space="preserve"> enhances SDN with more agility and flexibility to meet the requirements of IMT-2020 networks [ITU-T Y.3150]. Via the advanced data plane programmability technology, network operators benefit from a "top-down" design process by defining network processing behaviour in a high level language. In other words, the advanced data plane programmability enables network operators to define specific data plane protocol (including packet formats) and to support extended network functionalities.</w:t>
      </w:r>
      <w:r>
        <w:rPr>
          <w:lang w:val="en-GB"/>
        </w:rPr>
        <w:t xml:space="preserve"> </w:t>
      </w:r>
      <w:r w:rsidRPr="00C1421E">
        <w:rPr>
          <w:lang w:val="en-GB"/>
        </w:rPr>
        <w:t>The advanced data plane programmability leads to flexibility and automation, which lets network operators fully exploit data plane resources to enable their network applications. This Recommendation specifies the requirements and architecture about advanced data plane programmability for IMT-2020.</w:t>
      </w:r>
    </w:p>
    <w:p w14:paraId="29D459CE" w14:textId="77777777" w:rsidR="006A46AE" w:rsidRPr="00C1421E" w:rsidRDefault="006A46AE" w:rsidP="006A46AE">
      <w:pPr>
        <w:rPr>
          <w:highlight w:val="yellow"/>
          <w:lang w:val="en-GB"/>
        </w:rPr>
      </w:pPr>
      <w:r w:rsidRPr="00C1421E">
        <w:rPr>
          <w:b/>
          <w:lang w:val="en-GB"/>
        </w:rPr>
        <w:t>ITU-T Y.3172 "Architectural framework for machine learning in future networks including IMT-2020"</w:t>
      </w:r>
      <w:r w:rsidRPr="00C1421E">
        <w:rPr>
          <w:lang w:val="en-GB"/>
        </w:rPr>
        <w:t xml:space="preserve"> specifies an architectural framework for machine learning (ML) in future networks </w:t>
      </w:r>
      <w:r w:rsidRPr="00C1421E">
        <w:rPr>
          <w:lang w:val="en-GB"/>
        </w:rPr>
        <w:lastRenderedPageBreak/>
        <w:t>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5285F3C0" w14:textId="77777777" w:rsidR="006A46AE" w:rsidRPr="00C1421E" w:rsidRDefault="006A46AE" w:rsidP="006A46AE">
      <w:pPr>
        <w:rPr>
          <w:lang w:val="en-GB" w:eastAsia="en-US"/>
        </w:rPr>
      </w:pPr>
      <w:r w:rsidRPr="00C1421E">
        <w:rPr>
          <w:b/>
          <w:lang w:val="en-GB" w:eastAsia="en-US"/>
        </w:rPr>
        <w:t>ITU-T Y.3324 "Requirements and Architectural Framework for Autonomic Management and Control of IMT-2020 Networks"</w:t>
      </w:r>
      <w:r w:rsidRPr="00C1421E">
        <w:rPr>
          <w:lang w:val="en-GB" w:eastAsia="en-US"/>
        </w:rPr>
        <w:t xml:space="preserve">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77E4E443" w14:textId="77777777" w:rsidR="006A46AE" w:rsidRPr="00C1421E" w:rsidRDefault="006A46AE" w:rsidP="006A46AE">
      <w:pPr>
        <w:rPr>
          <w:b/>
          <w:lang w:val="en-GB" w:eastAsia="en-US"/>
        </w:rPr>
      </w:pPr>
      <w:r w:rsidRPr="00C1421E">
        <w:rPr>
          <w:b/>
          <w:lang w:val="en-GB" w:eastAsia="en-US"/>
        </w:rPr>
        <w:t>ITU-T Q.5021 "Protocol for managing capability exposure APIs in IMT-2020 network"</w:t>
      </w:r>
      <w:r w:rsidRPr="00C1421E">
        <w:rPr>
          <w:lang w:val="en-GB" w:eastAsia="en-US"/>
        </w:rPr>
        <w:t xml:space="preserve"> describes the protocol for managing capability exposure APIs in IMT2020 network. It includes signalling architecture, API management functions, signalling flows and their message format, and definition for management APIs. It also describes gap analysis and use cases for API management. This protocol can be used by network operators and third parties to manage capability exposure APIs.</w:t>
      </w:r>
    </w:p>
    <w:p w14:paraId="2315E48A" w14:textId="77777777" w:rsidR="006A46AE" w:rsidRPr="00C1421E" w:rsidRDefault="006A46AE" w:rsidP="006A46AE">
      <w:pPr>
        <w:pStyle w:val="Headingb"/>
      </w:pPr>
      <w:r w:rsidRPr="00C1421E">
        <w:t>I.2.4</w:t>
      </w:r>
      <w:r w:rsidRPr="00C1421E">
        <w:tab/>
        <w:t>Home networking</w:t>
      </w:r>
    </w:p>
    <w:p w14:paraId="19ED41E6" w14:textId="77777777" w:rsidR="006A46AE" w:rsidRPr="00C1421E" w:rsidRDefault="006A46AE" w:rsidP="006A46AE">
      <w:pPr>
        <w:rPr>
          <w:lang w:val="en-GB"/>
        </w:rPr>
      </w:pPr>
      <w:r w:rsidRPr="001C37A8">
        <w:rPr>
          <w:b/>
          <w:bCs/>
          <w:lang w:val="en-GB"/>
        </w:rPr>
        <w:t xml:space="preserve">ITU-T G.9960 </w:t>
      </w:r>
      <w:r>
        <w:rPr>
          <w:b/>
          <w:bCs/>
          <w:lang w:val="en-GB"/>
        </w:rPr>
        <w:t xml:space="preserve">(2018) </w:t>
      </w:r>
      <w:r w:rsidRPr="001C37A8">
        <w:rPr>
          <w:b/>
          <w:bCs/>
          <w:lang w:val="en-GB"/>
        </w:rPr>
        <w:t xml:space="preserve">Amd.1 "Unified high-speed wire-line based home networking transceivers - System architecture and physical layer specification: Amendment 1" </w:t>
      </w:r>
      <w:r w:rsidRPr="006E6A13">
        <w:rPr>
          <w:bCs/>
          <w:lang w:val="en-GB"/>
        </w:rPr>
        <w:t>(under approval)</w:t>
      </w:r>
      <w:r w:rsidRPr="001C37A8">
        <w:rPr>
          <w:b/>
          <w:bCs/>
          <w:lang w:val="en-GB"/>
        </w:rPr>
        <w:t xml:space="preserve"> </w:t>
      </w:r>
      <w:r w:rsidRPr="00C1421E">
        <w:rPr>
          <w:lang w:val="en-GB"/>
        </w:rPr>
        <w:t xml:space="preserve">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w:t>
      </w:r>
      <w:proofErr w:type="spellStart"/>
      <w:r w:rsidRPr="00C1421E">
        <w:rPr>
          <w:lang w:val="en-GB"/>
        </w:rPr>
        <w:t>phoneline</w:t>
      </w:r>
      <w:proofErr w:type="spellEnd"/>
      <w:r w:rsidRPr="00C1421E">
        <w:rPr>
          <w:lang w:val="en-GB"/>
        </w:rPr>
        <w:t xml:space="preserve"> mediums.</w:t>
      </w:r>
    </w:p>
    <w:p w14:paraId="3E05DE22" w14:textId="77777777" w:rsidR="006A46AE" w:rsidRPr="00C1421E" w:rsidRDefault="006A46AE" w:rsidP="006A46AE">
      <w:pPr>
        <w:rPr>
          <w:lang w:val="en-GB"/>
        </w:rPr>
      </w:pPr>
      <w:r w:rsidRPr="00C1421E">
        <w:rPr>
          <w:b/>
          <w:lang w:val="en-GB"/>
        </w:rPr>
        <w:t xml:space="preserve">ITU-T G.9961 </w:t>
      </w:r>
      <w:r>
        <w:rPr>
          <w:b/>
          <w:lang w:val="en-GB"/>
        </w:rPr>
        <w:t xml:space="preserve">(2018) </w:t>
      </w:r>
      <w:r w:rsidRPr="00C1421E">
        <w:rPr>
          <w:b/>
          <w:lang w:val="en-GB"/>
        </w:rPr>
        <w:t xml:space="preserve">Amd.1 "Unified high-speed wireline-based home networking transceivers – Data link layer specification: Amendment 1" </w:t>
      </w:r>
      <w:r w:rsidRPr="006E6A13">
        <w:rPr>
          <w:lang w:val="en-GB"/>
        </w:rPr>
        <w:t>(under approval)</w:t>
      </w:r>
      <w:r w:rsidRPr="00C1421E">
        <w:rPr>
          <w:lang w:val="en-GB"/>
        </w:rPr>
        <w:t xml:space="preserve">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0227A66E" w14:textId="77777777" w:rsidR="006A46AE" w:rsidRPr="00C1421E" w:rsidRDefault="006A46AE" w:rsidP="006A46AE">
      <w:pPr>
        <w:rPr>
          <w:b/>
          <w:lang w:val="en-GB"/>
        </w:rPr>
      </w:pPr>
      <w:r w:rsidRPr="00C1421E">
        <w:rPr>
          <w:lang w:val="en-GB"/>
        </w:rPr>
        <w:t xml:space="preserve">Amendment 1 includes a new physical layer specification. This new physical layer provides new modulation mechanisms (e.g. </w:t>
      </w:r>
      <w:proofErr w:type="spellStart"/>
      <w:r w:rsidRPr="00C1421E">
        <w:rPr>
          <w:lang w:val="en-GB"/>
        </w:rPr>
        <w:t>Multi Level</w:t>
      </w:r>
      <w:proofErr w:type="spellEnd"/>
      <w:r w:rsidRPr="00C1421E">
        <w:rPr>
          <w:lang w:val="en-GB"/>
        </w:rPr>
        <w:t xml:space="preserve"> Coding) and Robust Communication Mode (RCM) and allows the system to be operated over an extended bandwidth for coaxial and </w:t>
      </w:r>
      <w:proofErr w:type="spellStart"/>
      <w:r w:rsidRPr="00C1421E">
        <w:rPr>
          <w:lang w:val="en-GB"/>
        </w:rPr>
        <w:t>phoneline</w:t>
      </w:r>
      <w:proofErr w:type="spellEnd"/>
      <w:r w:rsidRPr="00C1421E">
        <w:rPr>
          <w:lang w:val="en-GB"/>
        </w:rPr>
        <w:t xml:space="preserve"> mediums.</w:t>
      </w:r>
    </w:p>
    <w:p w14:paraId="462888E7" w14:textId="77777777" w:rsidR="006A46AE" w:rsidRPr="00C1421E" w:rsidRDefault="006A46AE" w:rsidP="006A46AE">
      <w:pPr>
        <w:rPr>
          <w:lang w:val="en-GB"/>
        </w:rPr>
      </w:pPr>
      <w:r w:rsidRPr="001C37A8">
        <w:rPr>
          <w:b/>
          <w:bCs/>
          <w:lang w:val="en-GB"/>
        </w:rPr>
        <w:t>ITU-T G.9991 "High speed indoor visible light communication transceiver – System architecture, physical layer and data link layer specification"</w:t>
      </w:r>
      <w:r w:rsidRPr="00C1421E">
        <w:rPr>
          <w:lang w:val="en-GB"/>
        </w:rPr>
        <w:t xml:space="preserve"> specifies the system architecture, physical (PHY) layer and data link layer (DLL) for high-speed indoor optical wireless communication transceiver using visible light.</w:t>
      </w:r>
    </w:p>
    <w:p w14:paraId="1C18CF94" w14:textId="77777777" w:rsidR="006A46AE" w:rsidRPr="00C1421E" w:rsidRDefault="006A46AE" w:rsidP="006A46AE">
      <w:pPr>
        <w:rPr>
          <w:lang w:val="en-GB"/>
        </w:rPr>
      </w:pPr>
      <w:r w:rsidRPr="001C37A8">
        <w:rPr>
          <w:b/>
          <w:bCs/>
          <w:lang w:val="en-GB"/>
        </w:rPr>
        <w:t>ITU-T G.9992 "Indoor optical camera communication transceiver – System architecture, physical layer and data link layer specification"</w:t>
      </w:r>
      <w:r w:rsidRPr="00C1421E">
        <w:rPr>
          <w:lang w:val="en-GB"/>
        </w:rPr>
        <w:t xml:space="preserve"> specifies the system architecture, physical (PHY) layer and data link layer (DLL) for indoor optical camera communication transceiver.</w:t>
      </w:r>
    </w:p>
    <w:p w14:paraId="7EE01A15" w14:textId="77777777" w:rsidR="006A46AE" w:rsidRPr="00C1421E" w:rsidRDefault="006A46AE" w:rsidP="006A46AE">
      <w:pPr>
        <w:pStyle w:val="Headingb"/>
      </w:pPr>
      <w:r w:rsidRPr="00C1421E">
        <w:lastRenderedPageBreak/>
        <w:t>I.2.5</w:t>
      </w:r>
      <w:r w:rsidRPr="00C1421E">
        <w:tab/>
        <w:t>Smart Grid</w:t>
      </w:r>
    </w:p>
    <w:p w14:paraId="7655961B" w14:textId="77777777" w:rsidR="006A46AE" w:rsidRPr="00C1421E" w:rsidRDefault="006A46AE" w:rsidP="006A46AE">
      <w:pPr>
        <w:pStyle w:val="Headingb"/>
      </w:pPr>
      <w:r w:rsidRPr="00C1421E">
        <w:t>I.2.6</w:t>
      </w:r>
      <w:r w:rsidRPr="00C1421E">
        <w:tab/>
        <w:t>Software-defined networking</w:t>
      </w:r>
      <w:bookmarkEnd w:id="225"/>
    </w:p>
    <w:p w14:paraId="4C6C7B06" w14:textId="77777777" w:rsidR="006A46AE" w:rsidRPr="00C1421E" w:rsidRDefault="006A46AE" w:rsidP="006A46AE">
      <w:pPr>
        <w:rPr>
          <w:lang w:val="en-GB" w:eastAsia="en-US"/>
        </w:rPr>
      </w:pPr>
      <w:r w:rsidRPr="00C1421E">
        <w:rPr>
          <w:b/>
          <w:lang w:val="en-GB" w:eastAsia="en-US"/>
        </w:rPr>
        <w:t>ITU-T Q.3717 "Signalling requirements for automatic management of IP address pool by SDN technologies on BNG"</w:t>
      </w:r>
      <w:r w:rsidRPr="00C1421E">
        <w:rPr>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78B880B3" w14:textId="77777777" w:rsidR="006A46AE" w:rsidRPr="00C1421E" w:rsidRDefault="006A46AE" w:rsidP="006A46AE">
      <w:pPr>
        <w:rPr>
          <w:lang w:val="en-GB" w:eastAsia="en-US"/>
        </w:rPr>
      </w:pPr>
      <w:r w:rsidRPr="00C1421E">
        <w:rPr>
          <w:b/>
          <w:lang w:val="en-GB" w:eastAsia="en-US"/>
        </w:rPr>
        <w:t xml:space="preserve">ITU-T Q.3718 "Signalling requirements of the Sew interface for Virtual Data </w:t>
      </w:r>
      <w:proofErr w:type="spellStart"/>
      <w:r w:rsidRPr="00C1421E">
        <w:rPr>
          <w:b/>
          <w:lang w:val="en-GB" w:eastAsia="en-US"/>
        </w:rPr>
        <w:t>Center</w:t>
      </w:r>
      <w:proofErr w:type="spellEnd"/>
      <w:r w:rsidRPr="00C1421E">
        <w:rPr>
          <w:b/>
          <w:lang w:val="en-GB" w:eastAsia="en-US"/>
        </w:rPr>
        <w:t>"</w:t>
      </w:r>
      <w:r w:rsidRPr="00C1421E">
        <w:rPr>
          <w:lang w:val="en-GB" w:eastAsia="en-US"/>
        </w:rPr>
        <w:t xml:space="preserve"> focuses on the inter-domain Sew interface which is standardized to allow for multiple control entities within Virtual Data </w:t>
      </w:r>
      <w:proofErr w:type="spellStart"/>
      <w:r w:rsidRPr="00C1421E">
        <w:rPr>
          <w:lang w:val="en-GB" w:eastAsia="en-US"/>
        </w:rPr>
        <w:t>Center</w:t>
      </w:r>
      <w:proofErr w:type="spellEnd"/>
      <w:r w:rsidRPr="00C1421E">
        <w:rPr>
          <w:lang w:val="en-GB" w:eastAsia="en-US"/>
        </w:rPr>
        <w:t xml:space="preserve"> (VDC). In VDC, the SDN control entities exchanges the control plane related information with each other through the Sew interface.</w:t>
      </w:r>
    </w:p>
    <w:p w14:paraId="592E45F7" w14:textId="77777777" w:rsidR="006A46AE" w:rsidRPr="00C1421E" w:rsidRDefault="006A46AE" w:rsidP="006A46AE">
      <w:pPr>
        <w:pStyle w:val="Headingb"/>
      </w:pPr>
      <w:bookmarkStart w:id="226" w:name="_Toc480527895"/>
      <w:r w:rsidRPr="00C1421E">
        <w:t>I.2.7</w:t>
      </w:r>
      <w:r w:rsidRPr="00C1421E">
        <w:tab/>
        <w:t>Cloud computing</w:t>
      </w:r>
      <w:bookmarkEnd w:id="226"/>
    </w:p>
    <w:p w14:paraId="5F3F0725" w14:textId="77777777" w:rsidR="006A46AE" w:rsidRPr="00C1421E" w:rsidRDefault="006A46AE" w:rsidP="006A46AE">
      <w:pPr>
        <w:rPr>
          <w:lang w:val="en-GB"/>
        </w:rPr>
      </w:pPr>
      <w:r w:rsidRPr="001C37A8">
        <w:rPr>
          <w:b/>
          <w:bCs/>
          <w:lang w:val="en-GB"/>
        </w:rPr>
        <w:t>ITU-T Y.3507 "Cloud computing – Functional requirements of physical machine"</w:t>
      </w:r>
      <w:r w:rsidRPr="00C1421E">
        <w:rPr>
          <w:lang w:val="en-GB"/>
        </w:rPr>
        <w:t xml:space="preserve">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1001FE4C" w14:textId="77777777" w:rsidR="006A46AE" w:rsidRPr="00C1421E" w:rsidRDefault="006A46AE" w:rsidP="006A46AE">
      <w:pPr>
        <w:rPr>
          <w:lang w:val="en-GB"/>
        </w:rPr>
      </w:pPr>
      <w:r w:rsidRPr="001C37A8">
        <w:rPr>
          <w:b/>
          <w:bCs/>
          <w:lang w:val="en-GB"/>
        </w:rPr>
        <w:t>ITU-T Y.3508 "Cloud computing - Overview and high-level requirements of distributed cloud"</w:t>
      </w:r>
      <w:r w:rsidRPr="00C1421E">
        <w:rPr>
          <w:lang w:val="en-GB"/>
        </w:rPr>
        <w:t xml:space="preserve"> provides an overview and high-level requirements for distributed cloud. This Recommendation introduces the concept of the distributed cloud, and identifies the characteristics of distributed cloud. Based on concept and characteristics, configuration models are illustrated. Deployment considerations of distributed cloud are provided in perspective of infrastructure, network, service, management and security. From use cases, high-level requirements of the distributed cloud are derived.</w:t>
      </w:r>
    </w:p>
    <w:p w14:paraId="378553A5" w14:textId="77777777" w:rsidR="006A46AE" w:rsidRPr="00C1421E" w:rsidRDefault="006A46AE" w:rsidP="006A46AE">
      <w:pPr>
        <w:rPr>
          <w:lang w:val="en-GB"/>
        </w:rPr>
      </w:pPr>
      <w:r w:rsidRPr="001C37A8">
        <w:rPr>
          <w:b/>
          <w:bCs/>
          <w:lang w:val="en-GB"/>
        </w:rPr>
        <w:t>ITU-T Y.3517 "Cloud computing - Overview of inter-cloud trust management"</w:t>
      </w:r>
      <w:r w:rsidRPr="00C1421E">
        <w:rPr>
          <w:lang w:val="en-GB"/>
        </w:rPr>
        <w:t xml:space="preserve">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10E6B6F6" w14:textId="77777777" w:rsidR="006A46AE" w:rsidRPr="00C1421E" w:rsidRDefault="006A46AE" w:rsidP="006A46AE">
      <w:pPr>
        <w:rPr>
          <w:lang w:val="en-GB"/>
        </w:rPr>
      </w:pPr>
      <w:r w:rsidRPr="001C37A8">
        <w:rPr>
          <w:b/>
          <w:bCs/>
          <w:lang w:val="en-GB"/>
        </w:rPr>
        <w:t>ITU-T Y.3518 "Cloud computing - Functional requirements of inter-cloud data management"</w:t>
      </w:r>
      <w:r w:rsidRPr="00C1421E">
        <w:rPr>
          <w:lang w:val="en-GB"/>
        </w:rPr>
        <w:t xml:space="preserve"> 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p>
    <w:p w14:paraId="7E05C2EC" w14:textId="77777777" w:rsidR="006A46AE" w:rsidRPr="00C1421E" w:rsidRDefault="006A46AE" w:rsidP="006A46AE">
      <w:pPr>
        <w:rPr>
          <w:lang w:val="en-GB"/>
        </w:rPr>
      </w:pPr>
      <w:r w:rsidRPr="001C37A8">
        <w:rPr>
          <w:b/>
          <w:bCs/>
          <w:lang w:val="en-GB"/>
        </w:rPr>
        <w:t xml:space="preserve">ITU-T Y.3523 "Metadata framework for </w:t>
      </w:r>
      <w:proofErr w:type="spellStart"/>
      <w:r w:rsidRPr="001C37A8">
        <w:rPr>
          <w:b/>
          <w:bCs/>
          <w:lang w:val="en-GB"/>
        </w:rPr>
        <w:t>NaaS</w:t>
      </w:r>
      <w:proofErr w:type="spellEnd"/>
      <w:r w:rsidRPr="001C37A8">
        <w:rPr>
          <w:b/>
          <w:bCs/>
          <w:lang w:val="en-GB"/>
        </w:rPr>
        <w:t xml:space="preserve"> service lifecycle management"</w:t>
      </w:r>
      <w:r w:rsidRPr="00C1421E">
        <w:rPr>
          <w:lang w:val="en-GB"/>
        </w:rPr>
        <w:t xml:space="preserve"> specifies the metadata framework for </w:t>
      </w:r>
      <w:proofErr w:type="spellStart"/>
      <w:r w:rsidRPr="00C1421E">
        <w:rPr>
          <w:lang w:val="en-GB"/>
        </w:rPr>
        <w:t>NaaS</w:t>
      </w:r>
      <w:proofErr w:type="spellEnd"/>
      <w:r w:rsidRPr="00C1421E">
        <w:rPr>
          <w:lang w:val="en-GB"/>
        </w:rPr>
        <w:t xml:space="preserve"> service lifecycle management in the closed loop automation environment. This Recommendation is the extension the Recommendation ITU-T Y.3512 and Recommendation ITU-T Y.3515 as the </w:t>
      </w:r>
      <w:proofErr w:type="spellStart"/>
      <w:r w:rsidRPr="00C1421E">
        <w:rPr>
          <w:lang w:val="en-GB"/>
        </w:rPr>
        <w:t>NaaS</w:t>
      </w:r>
      <w:proofErr w:type="spellEnd"/>
      <w:r w:rsidRPr="00C1421E">
        <w:rPr>
          <w:lang w:val="en-GB"/>
        </w:rPr>
        <w:t xml:space="preserve"> series Recommendations. It provides the metadata framework for </w:t>
      </w:r>
      <w:proofErr w:type="spellStart"/>
      <w:r w:rsidRPr="00C1421E">
        <w:rPr>
          <w:lang w:val="en-GB"/>
        </w:rPr>
        <w:t>NaaS</w:t>
      </w:r>
      <w:proofErr w:type="spellEnd"/>
      <w:r w:rsidRPr="00C1421E">
        <w:rPr>
          <w:lang w:val="en-GB"/>
        </w:rPr>
        <w:t xml:space="preserve"> service lifecycle management with the highlight on the </w:t>
      </w:r>
      <w:proofErr w:type="spellStart"/>
      <w:r w:rsidRPr="00C1421E">
        <w:rPr>
          <w:lang w:val="en-GB"/>
        </w:rPr>
        <w:t>NaaS</w:t>
      </w:r>
      <w:proofErr w:type="spellEnd"/>
      <w:r w:rsidRPr="00C1421E">
        <w:rPr>
          <w:lang w:val="en-GB"/>
        </w:rPr>
        <w:t xml:space="preserve"> service operational policy framework.</w:t>
      </w:r>
    </w:p>
    <w:p w14:paraId="3E13C37B" w14:textId="77777777" w:rsidR="006A46AE" w:rsidRPr="00C1421E" w:rsidRDefault="006A46AE" w:rsidP="006A46AE">
      <w:pPr>
        <w:pStyle w:val="Headingb"/>
      </w:pPr>
      <w:r w:rsidRPr="00C1421E">
        <w:t>I.2.8</w:t>
      </w:r>
      <w:r w:rsidRPr="00C1421E">
        <w:tab/>
        <w:t>Big data</w:t>
      </w:r>
    </w:p>
    <w:p w14:paraId="173F2751" w14:textId="77777777" w:rsidR="006A46AE" w:rsidRPr="00C1421E" w:rsidRDefault="006A46AE" w:rsidP="006A46AE">
      <w:pPr>
        <w:rPr>
          <w:bCs/>
          <w:lang w:val="en-GB"/>
        </w:rPr>
      </w:pPr>
      <w:r w:rsidRPr="00C1421E">
        <w:rPr>
          <w:b/>
          <w:bCs/>
          <w:lang w:val="en-GB"/>
        </w:rPr>
        <w:t>ITU-T Y.3519 "Cloud computing - Functional architecture of big data as a service"</w:t>
      </w:r>
      <w:r w:rsidRPr="00C1421E">
        <w:rPr>
          <w:bCs/>
          <w:lang w:val="en-GB"/>
        </w:rPr>
        <w:t xml:space="preserve"> describes the functional architecture for big data as a service (</w:t>
      </w:r>
      <w:proofErr w:type="spellStart"/>
      <w:r w:rsidRPr="00C1421E">
        <w:rPr>
          <w:bCs/>
          <w:lang w:val="en-GB"/>
        </w:rPr>
        <w:t>BDaaS</w:t>
      </w:r>
      <w:proofErr w:type="spellEnd"/>
      <w:r w:rsidRPr="00C1421E">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C1421E">
        <w:rPr>
          <w:bCs/>
          <w:lang w:val="en-GB"/>
        </w:rPr>
        <w:t>BDaaS</w:t>
      </w:r>
      <w:proofErr w:type="spellEnd"/>
      <w:r w:rsidRPr="00C1421E">
        <w:rPr>
          <w:bCs/>
          <w:lang w:val="en-GB"/>
        </w:rPr>
        <w:t xml:space="preserve"> functional </w:t>
      </w:r>
      <w:r w:rsidRPr="00C1421E">
        <w:rPr>
          <w:bCs/>
          <w:lang w:val="en-GB"/>
        </w:rPr>
        <w:lastRenderedPageBreak/>
        <w:t xml:space="preserve">architecture is described from a set of functional components and cross-cutting aspects. The specified functional components consist of sets of functions that are required to perform the </w:t>
      </w:r>
      <w:proofErr w:type="spellStart"/>
      <w:r w:rsidRPr="00C1421E">
        <w:rPr>
          <w:bCs/>
          <w:lang w:val="en-GB"/>
        </w:rPr>
        <w:t>BDaaS</w:t>
      </w:r>
      <w:proofErr w:type="spellEnd"/>
      <w:r w:rsidRPr="00C1421E">
        <w:rPr>
          <w:bCs/>
          <w:lang w:val="en-GB"/>
        </w:rPr>
        <w:t xml:space="preserve"> activities for the roles and sub-roles described in ITU-T Y.3600.</w:t>
      </w:r>
    </w:p>
    <w:p w14:paraId="6CD41BE6" w14:textId="77777777" w:rsidR="006A46AE" w:rsidRPr="00C1421E" w:rsidRDefault="006A46AE" w:rsidP="006A46AE">
      <w:pPr>
        <w:rPr>
          <w:lang w:val="en-GB"/>
        </w:rPr>
      </w:pPr>
      <w:r w:rsidRPr="00C1421E">
        <w:rPr>
          <w:b/>
          <w:lang w:val="en-GB"/>
        </w:rPr>
        <w:t>ITU-T Y.3602 "Big data – Functional requirements for data provenance"</w:t>
      </w:r>
      <w:r w:rsidRPr="00C1421E">
        <w:rPr>
          <w:lang w:val="en-GB"/>
        </w:rPr>
        <w:t xml:space="preserve"> describes a model and operations for big data provenance. Also, this Recommendation provides the functional requirements for big data service provider (BDSP) to manage big data provenance.</w:t>
      </w:r>
    </w:p>
    <w:p w14:paraId="203F3FB7" w14:textId="77777777" w:rsidR="006A46AE" w:rsidRPr="00C1421E" w:rsidRDefault="006A46AE" w:rsidP="006A46AE">
      <w:pPr>
        <w:rPr>
          <w:lang w:val="en-GB"/>
        </w:rPr>
      </w:pPr>
      <w:r w:rsidRPr="00C1421E">
        <w:rPr>
          <w:b/>
          <w:lang w:val="en-GB"/>
        </w:rPr>
        <w:t>ITU-T Y.3651 "Big-data-driven networking – mobile network traffic management and planning"</w:t>
      </w:r>
      <w:r w:rsidRPr="00C1421E">
        <w:rPr>
          <w:lang w:val="en-GB"/>
        </w:rPr>
        <w:t xml:space="preserve">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357C1E62" w14:textId="77777777" w:rsidR="006A46AE" w:rsidRPr="00C1421E" w:rsidRDefault="006A46AE" w:rsidP="006A46AE">
      <w:pPr>
        <w:pStyle w:val="Headingb"/>
      </w:pPr>
      <w:r w:rsidRPr="00C1421E">
        <w:t>I.2.9</w:t>
      </w:r>
      <w:r w:rsidRPr="00C1421E">
        <w:tab/>
        <w:t>Network Management</w:t>
      </w:r>
    </w:p>
    <w:p w14:paraId="75A65357" w14:textId="77777777" w:rsidR="006A46AE" w:rsidRPr="001C37A8" w:rsidRDefault="006A46AE" w:rsidP="006A46AE">
      <w:pPr>
        <w:rPr>
          <w:b/>
          <w:bCs/>
          <w:lang w:val="en-GB"/>
        </w:rPr>
      </w:pPr>
      <w:r w:rsidRPr="001C37A8">
        <w:rPr>
          <w:b/>
          <w:bCs/>
          <w:lang w:val="en-GB"/>
        </w:rPr>
        <w:t>ITU-T M.3040 "Principles for on-site telecommunication smart maintenance"</w:t>
      </w:r>
      <w:r w:rsidRPr="00C1421E">
        <w:rPr>
          <w:lang w:val="en-GB"/>
        </w:rPr>
        <w:t xml:space="preserve"> introduces principles for on-site telecommunication smart maintenance (TSM). In this Recommendation, the background and basic concepts of on-site telecommunication smart maintenance are provided. This Recommendation also provides details of TSM architectures, including TSM functional architecture, TSM physical architecture, TSM information architecture, and maintenance processes.</w:t>
      </w:r>
    </w:p>
    <w:p w14:paraId="08D82439" w14:textId="77777777" w:rsidR="006A46AE" w:rsidRPr="001C37A8" w:rsidRDefault="006A46AE" w:rsidP="006A46AE">
      <w:pPr>
        <w:pStyle w:val="Headingb"/>
      </w:pPr>
      <w:r w:rsidRPr="001C37A8">
        <w:t>I.3.1</w:t>
      </w:r>
      <w:r w:rsidRPr="001C37A8">
        <w:tab/>
        <w:t>Video and image coding</w:t>
      </w:r>
    </w:p>
    <w:p w14:paraId="66F25CAC" w14:textId="77777777" w:rsidR="006A46AE" w:rsidRPr="00C1421E" w:rsidRDefault="006A46AE" w:rsidP="006A46AE">
      <w:pPr>
        <w:rPr>
          <w:lang w:val="en-GB"/>
        </w:rPr>
      </w:pPr>
      <w:r w:rsidRPr="00C1421E">
        <w:rPr>
          <w:b/>
          <w:lang w:val="en-GB"/>
        </w:rPr>
        <w:t xml:space="preserve">ITU-T H.230 (revised) "Frame-synchronous control and indication signals for </w:t>
      </w:r>
      <w:proofErr w:type="spellStart"/>
      <w:r w:rsidRPr="00C1421E">
        <w:rPr>
          <w:b/>
          <w:lang w:val="en-GB"/>
        </w:rPr>
        <w:t>audiovisual</w:t>
      </w:r>
      <w:proofErr w:type="spellEnd"/>
      <w:r w:rsidRPr="00C1421E">
        <w:rPr>
          <w:b/>
          <w:lang w:val="en-GB"/>
        </w:rPr>
        <w:t xml:space="preserve"> systems": </w:t>
      </w:r>
      <w:r w:rsidRPr="00C1421E">
        <w:rPr>
          <w:lang w:val="en-GB"/>
        </w:rPr>
        <w:t xml:space="preserve">Digital </w:t>
      </w:r>
      <w:proofErr w:type="spellStart"/>
      <w:r w:rsidRPr="00C1421E">
        <w:rPr>
          <w:lang w:val="en-GB"/>
        </w:rPr>
        <w:t>audiovisual</w:t>
      </w:r>
      <w:proofErr w:type="spellEnd"/>
      <w:r w:rsidRPr="00C1421E">
        <w:rPr>
          <w:lang w:val="en-GB"/>
        </w:rPr>
        <w:t xml:space="preserve"> services are provided by a transmission system in which the relevant signals are multiplexed onto a digital path using the frame structure defined in Recommendation ITU-T H.221. In addition to the audio, video, user data and </w:t>
      </w:r>
      <w:proofErr w:type="spellStart"/>
      <w:r w:rsidRPr="00C1421E">
        <w:rPr>
          <w:lang w:val="en-GB"/>
        </w:rPr>
        <w:t>telematic</w:t>
      </w:r>
      <w:proofErr w:type="spellEnd"/>
      <w:r w:rsidRPr="00C1421E">
        <w:rPr>
          <w:lang w:val="en-GB"/>
        </w:rPr>
        <w:t xml:space="preserve"> information, these signals include information for the proper functioning of the system. The additional information has been named control and indication (C&amp;I) to reflect the fact that while some bits are genuinely for "control", causing a state change somewhere else in the system, others provide for indications to the users as to the functioning of the system. Recommendation ITU-T H.230 concerns only those C&amp;I which must be transmission frame synchronous, or otherwise requiring rapid response.</w:t>
      </w:r>
    </w:p>
    <w:p w14:paraId="7ADA14A3" w14:textId="77777777" w:rsidR="006A46AE" w:rsidRPr="00C1421E" w:rsidRDefault="006A46AE" w:rsidP="006A46AE">
      <w:pPr>
        <w:rPr>
          <w:lang w:val="en-GB"/>
        </w:rPr>
      </w:pPr>
      <w:r w:rsidRPr="00C1421E">
        <w:rPr>
          <w:lang w:val="en-GB"/>
        </w:rPr>
        <w:t xml:space="preserve">This Recommendation details the C&amp;I related to video and audio; means of transmitting numbers and characters; C&amp;I for maintenance purposes; for simple multipoint conferences not using protocol in the MLP channel; for channel aggregation; and for the transfer of network addresses. The </w:t>
      </w:r>
      <w:proofErr w:type="spellStart"/>
      <w:r w:rsidRPr="00C1421E">
        <w:rPr>
          <w:lang w:val="en-GB"/>
        </w:rPr>
        <w:t>codepoint</w:t>
      </w:r>
      <w:proofErr w:type="spellEnd"/>
      <w:r w:rsidRPr="00C1421E">
        <w:rPr>
          <w:lang w:val="en-GB"/>
        </w:rPr>
        <w:t xml:space="preserve"> tables also indicate the circumstances under which the various functions may be mandatory or optional.</w:t>
      </w:r>
    </w:p>
    <w:p w14:paraId="1B56AF79" w14:textId="77777777" w:rsidR="006A46AE" w:rsidRPr="00C1421E" w:rsidRDefault="006A46AE" w:rsidP="006A46AE">
      <w:pPr>
        <w:rPr>
          <w:lang w:val="en-GB"/>
        </w:rPr>
      </w:pPr>
      <w:r w:rsidRPr="00C1421E">
        <w:rPr>
          <w:lang w:val="en-GB"/>
        </w:rPr>
        <w:t>This revised version of Recommendation ITU-T H.230 introduces a number of clarifications and corrections to the previous version. Those corrections were listed in the Q11/16 and previous study period Q1/16 living lists. They mainly concern the definitions of C&amp;I symbols.</w:t>
      </w:r>
    </w:p>
    <w:p w14:paraId="67966AFA" w14:textId="77777777" w:rsidR="006A46AE" w:rsidRPr="00C1421E" w:rsidRDefault="006A46AE" w:rsidP="006A46AE">
      <w:pPr>
        <w:rPr>
          <w:highlight w:val="yellow"/>
          <w:lang w:val="en-GB"/>
        </w:rPr>
      </w:pPr>
      <w:r w:rsidRPr="001C37A8">
        <w:rPr>
          <w:b/>
          <w:bCs/>
          <w:lang w:val="en-GB"/>
        </w:rPr>
        <w:t xml:space="preserve">ITU-T H.243 (revised) "Procedures for establishing communication between three or more </w:t>
      </w:r>
      <w:proofErr w:type="spellStart"/>
      <w:r w:rsidRPr="001C37A8">
        <w:rPr>
          <w:b/>
          <w:bCs/>
          <w:lang w:val="en-GB"/>
        </w:rPr>
        <w:t>audiovisual</w:t>
      </w:r>
      <w:proofErr w:type="spellEnd"/>
      <w:r w:rsidRPr="001C37A8">
        <w:rPr>
          <w:b/>
          <w:bCs/>
          <w:lang w:val="en-GB"/>
        </w:rPr>
        <w:t xml:space="preserve"> terminals using digital channels up to 1920 </w:t>
      </w:r>
      <w:proofErr w:type="spellStart"/>
      <w:r w:rsidRPr="001C37A8">
        <w:rPr>
          <w:b/>
          <w:bCs/>
          <w:lang w:val="en-GB"/>
        </w:rPr>
        <w:t>kbit</w:t>
      </w:r>
      <w:proofErr w:type="spellEnd"/>
      <w:r w:rsidRPr="001C37A8">
        <w:rPr>
          <w:b/>
          <w:bCs/>
          <w:lang w:val="en-GB"/>
        </w:rPr>
        <w:t>/s"</w:t>
      </w:r>
      <w:r w:rsidRPr="00C1421E">
        <w:rPr>
          <w:lang w:val="en-GB"/>
        </w:rPr>
        <w:t xml:space="preserve"> introduces a clarification to the contention resolution principle random number description. This clarification previously appeared in the Q1/16 living list and it is associated with the corrections and clarifications added to a revised version of H.230. This version also introduces some editorial corrections.</w:t>
      </w:r>
    </w:p>
    <w:p w14:paraId="1092F79A" w14:textId="77777777" w:rsidR="006A46AE" w:rsidRPr="00C1421E" w:rsidRDefault="006A46AE" w:rsidP="006A46AE">
      <w:pPr>
        <w:rPr>
          <w:lang w:val="en-GB"/>
        </w:rPr>
      </w:pPr>
      <w:r w:rsidRPr="00C1421E">
        <w:rPr>
          <w:b/>
          <w:lang w:val="en-GB"/>
        </w:rPr>
        <w:t xml:space="preserve">ITU-T H.264 (V13) (revised) "Advanced video coding for generic </w:t>
      </w:r>
      <w:proofErr w:type="spellStart"/>
      <w:r w:rsidRPr="00C1421E">
        <w:rPr>
          <w:b/>
          <w:lang w:val="en-GB"/>
        </w:rPr>
        <w:t>audiovisual</w:t>
      </w:r>
      <w:proofErr w:type="spellEnd"/>
      <w:r w:rsidRPr="00C1421E">
        <w:rPr>
          <w:b/>
          <w:lang w:val="en-GB"/>
        </w:rPr>
        <w:t xml:space="preserve"> services"</w:t>
      </w:r>
      <w:r w:rsidRPr="00C1421E">
        <w:rPr>
          <w:lang w:val="en-GB"/>
        </w:rPr>
        <w:t xml:space="preserve"> contains the draft text for changes to the Advanced Video Coding (AVC) standard (Rec. ITU-T H.264 | ISO/IEC 14496-10) to specify additional supplemental enhancement information (SEI) messages for ambient viewing environment, content light level information, content colour volume, </w:t>
      </w:r>
      <w:proofErr w:type="spellStart"/>
      <w:r w:rsidRPr="00C1421E">
        <w:rPr>
          <w:lang w:val="en-GB"/>
        </w:rPr>
        <w:t>equirectangular</w:t>
      </w:r>
      <w:proofErr w:type="spellEnd"/>
      <w:r w:rsidRPr="00C1421E">
        <w:rPr>
          <w:lang w:val="en-GB"/>
        </w:rPr>
        <w:t xml:space="preserve"> projection, </w:t>
      </w:r>
      <w:proofErr w:type="spellStart"/>
      <w:r w:rsidRPr="00C1421E">
        <w:rPr>
          <w:lang w:val="en-GB"/>
        </w:rPr>
        <w:t>cubemap</w:t>
      </w:r>
      <w:proofErr w:type="spellEnd"/>
      <w:r w:rsidRPr="00C1421E">
        <w:rPr>
          <w:lang w:val="en-GB"/>
        </w:rPr>
        <w:t xml:space="preserve"> projection, sphere rotation, region-wise packing, omnidirectional viewport, SEI manifest, and SEI prefix, along with some corrections to the existing specification text.</w:t>
      </w:r>
    </w:p>
    <w:p w14:paraId="71318F4E" w14:textId="77777777" w:rsidR="006A46AE" w:rsidRPr="00C1421E" w:rsidRDefault="006A46AE" w:rsidP="006A46AE">
      <w:pPr>
        <w:rPr>
          <w:lang w:val="en-GB"/>
        </w:rPr>
      </w:pPr>
      <w:r w:rsidRPr="00C1421E">
        <w:rPr>
          <w:lang w:val="en-GB"/>
        </w:rPr>
        <w:lastRenderedPageBreak/>
        <w:t>This Recommendation was developed jointly with ISO/IEC JTC 1/SC 29/WG 11 (MPEG), and Rec. ITU-T H.264 is maintained as technically aligned twin text with ISO/IEC 14496-10. The technical changes in this edition were developed in a joint collaborative team with MPEG in technical alignment with the ninth (not yet published) edition of ISO/IEC 14496-10.</w:t>
      </w:r>
    </w:p>
    <w:p w14:paraId="1553A4AA" w14:textId="77777777" w:rsidR="006A46AE" w:rsidRPr="00C1421E" w:rsidRDefault="006A46AE" w:rsidP="006A46AE">
      <w:pPr>
        <w:rPr>
          <w:lang w:val="en-GB"/>
        </w:rPr>
      </w:pPr>
      <w:r w:rsidRPr="00C1421E">
        <w:rPr>
          <w:b/>
          <w:lang w:val="en-GB"/>
        </w:rPr>
        <w:t>ITU-T H.265 (V6) (revised) "High efficiency video coding"</w:t>
      </w:r>
      <w:r w:rsidRPr="00C1421E">
        <w:rPr>
          <w:lang w:val="en-GB"/>
        </w:rPr>
        <w:t xml:space="preserve"> includes the specification of additional Supplemental Enhancement Information (SEI) messages for SEI manifest and SEI prefix information, along with some corrections to the existing specification text.</w:t>
      </w:r>
    </w:p>
    <w:p w14:paraId="44E0D504" w14:textId="77777777" w:rsidR="006A46AE" w:rsidRPr="00C1421E" w:rsidRDefault="006A46AE" w:rsidP="006A46AE">
      <w:pPr>
        <w:rPr>
          <w:highlight w:val="yellow"/>
          <w:lang w:val="en-GB"/>
        </w:rPr>
      </w:pPr>
      <w:r w:rsidRPr="00C1421E">
        <w:rPr>
          <w:lang w:val="en-GB"/>
        </w:rPr>
        <w:t>This Recommendation was developed jointly with ISO/IEC JTC 1/SC 29/WG 11 (MPEG), and Rec. ITU-T H.265 is maintained as technically aligned twin text with ISO/IEC 23008-2. The technical changes in this edition were developed in a joint collaborative team with MPEG in technical alignment with the fourth (not yet published) edition of ISO/IEC 23008-2.</w:t>
      </w:r>
    </w:p>
    <w:p w14:paraId="0058CA55" w14:textId="77777777" w:rsidR="006A46AE" w:rsidRPr="00C1421E" w:rsidRDefault="006A46AE" w:rsidP="006A46AE">
      <w:pPr>
        <w:rPr>
          <w:lang w:val="en-GB"/>
        </w:rPr>
      </w:pPr>
      <w:r w:rsidRPr="001C37A8">
        <w:rPr>
          <w:b/>
          <w:bCs/>
          <w:lang w:val="en-GB"/>
        </w:rPr>
        <w:t>ITU-T T.800 V3 (revised) (T.800 (2015) Cor1 &amp; Amd1) "Information technology - JPEG 2000 image coding system: Core coding system"</w:t>
      </w:r>
      <w:r w:rsidRPr="00C1421E">
        <w:rPr>
          <w:lang w:val="en-GB"/>
        </w:rPr>
        <w:t xml:space="preserve"> defines a set of lossless (bit-preserving) and </w:t>
      </w:r>
      <w:proofErr w:type="spellStart"/>
      <w:r w:rsidRPr="00C1421E">
        <w:rPr>
          <w:lang w:val="en-GB"/>
        </w:rPr>
        <w:t>lossy</w:t>
      </w:r>
      <w:proofErr w:type="spellEnd"/>
      <w:r w:rsidRPr="00C1421E">
        <w:rPr>
          <w:lang w:val="en-GB"/>
        </w:rPr>
        <w:t xml:space="preserve"> compression methods for coding bi-level, continuous-tone grey-scale, palletized colour, or continuous-tone colour digital still images. This edition adds a profile marker segment, extended capabilities marker segment, and valid profile number values, and includes additional improvements of the basis text. This Recommendation was developed jointly with ISO/IEC JTC 1/SC 29/WG 1 (JPEG), and Rec. ITU-T T.800 is maintained as common text with ISO/IEC 15444-1. This edition corresponds to the fourth edition of ISO/IEC 15444-1. (Since this specification was published as common text only after the first edition had been approved by ISO/IEC JTC 1 in 2000, edition numbers in the ITU and ISO/IEC versions are offset by one.)</w:t>
      </w:r>
    </w:p>
    <w:p w14:paraId="6956C41E" w14:textId="77777777" w:rsidR="006A46AE" w:rsidRPr="00C1421E" w:rsidRDefault="006A46AE" w:rsidP="006A46AE">
      <w:pPr>
        <w:rPr>
          <w:lang w:val="en-GB"/>
        </w:rPr>
      </w:pPr>
      <w:r w:rsidRPr="001C37A8">
        <w:rPr>
          <w:b/>
          <w:bCs/>
          <w:lang w:val="en-GB"/>
        </w:rPr>
        <w:t>ITU-T T.814 "Information technology - JPEG 2000 image coding system: High-throughput JPEG 2000"</w:t>
      </w:r>
      <w:r w:rsidRPr="00C1421E">
        <w:rPr>
          <w:lang w:val="en-GB"/>
        </w:rPr>
        <w:t xml:space="preserve"> specifies a High-Throughput (HT) block coding algorithm that can be used in place of the block coding algorithm of Rec. ITU-T T.800 | ISO/IEC 15444-1. The HT block coding algorithm increases decoding and encoding throughput and allows mathematically lossless transcoding to and from the block coding algorithm of Rec. ITU-T T.800 | ISO/IEC 15444-1. This is achieved at the expense of some loss in coding efficiency and substantial elimination of quality scalability. This Recommendation was developed jointly with ISO/IEC JTC 1/SC 29/WG 1 (JPEG), and corresponds as common text with ISO/IEC 15444-15.</w:t>
      </w:r>
    </w:p>
    <w:p w14:paraId="40AE974E" w14:textId="77777777" w:rsidR="006A46AE" w:rsidRPr="00C1421E" w:rsidRDefault="006A46AE" w:rsidP="006A46AE">
      <w:pPr>
        <w:rPr>
          <w:highlight w:val="yellow"/>
          <w:lang w:val="en-GB"/>
        </w:rPr>
      </w:pPr>
      <w:r w:rsidRPr="001C37A8">
        <w:rPr>
          <w:b/>
          <w:bCs/>
          <w:lang w:val="en-GB"/>
        </w:rPr>
        <w:t>ITU-T T.815 "Information technology - JPEG 2000 image coding system: Encapsulation of JPEG 2000 images into ISO/IEC 23008-12"</w:t>
      </w:r>
      <w:r w:rsidRPr="00C1421E">
        <w:rPr>
          <w:lang w:val="en-GB"/>
        </w:rPr>
        <w:t>: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23008-12. This Recommendation was developed jointly with ISO/IEC JTC 1/SC 29/WG 1 (JPEG), and corresponds as common text with ISO/IEC 15444-16.</w:t>
      </w:r>
    </w:p>
    <w:p w14:paraId="04EF5C7D" w14:textId="77777777" w:rsidR="006A46AE" w:rsidRPr="00C1421E" w:rsidRDefault="006A46AE" w:rsidP="006A46AE">
      <w:pPr>
        <w:rPr>
          <w:lang w:val="en-GB"/>
        </w:rPr>
      </w:pPr>
      <w:r w:rsidRPr="001C37A8">
        <w:rPr>
          <w:b/>
          <w:bCs/>
          <w:lang w:val="en-GB"/>
        </w:rPr>
        <w:t xml:space="preserve">ITU-T T.832 (V4) (revised) "Information technology - JPEG XR image coding system - Image coding specification" </w:t>
      </w:r>
      <w:r w:rsidRPr="00C1421E">
        <w:rPr>
          <w:lang w:val="en-GB"/>
        </w:rPr>
        <w:t>adds the specification of support for additional colour formats (particularly including those specified by Rec. ITU-R BT.2020 and Rec. ITU-R BT.2100) and support for JPEG XR image coding in the ISO/IEC 23008-12 file format.</w:t>
      </w:r>
    </w:p>
    <w:p w14:paraId="6DBBD005" w14:textId="77777777" w:rsidR="006A46AE" w:rsidRPr="001C37A8" w:rsidRDefault="006A46AE" w:rsidP="006A46AE">
      <w:pPr>
        <w:rPr>
          <w:lang w:val="en-GB"/>
        </w:rPr>
      </w:pPr>
      <w:r w:rsidRPr="001C37A8">
        <w:rPr>
          <w:lang w:val="en-GB"/>
        </w:rPr>
        <w:t>This Recommendation was developed jointly with ISO/IEC JTC 1/SC 29/WG 1 (JPEG), and Rec. ITU-T T.832 is maintained as technically aligned twin text with ISO/IEC 29199-2. The technical changes in this edition were developed in a joint collaborative team with JPEG in technical alignment with the fourth (not yet published) edition of ISO/IEC 29199-2.</w:t>
      </w:r>
    </w:p>
    <w:p w14:paraId="59283AE3" w14:textId="77777777" w:rsidR="006A46AE" w:rsidRPr="00C1421E" w:rsidRDefault="006A46AE" w:rsidP="006A46AE">
      <w:pPr>
        <w:rPr>
          <w:lang w:val="en-GB"/>
        </w:rPr>
      </w:pPr>
      <w:r w:rsidRPr="00C1421E">
        <w:rPr>
          <w:b/>
          <w:lang w:val="en-GB"/>
        </w:rPr>
        <w:lastRenderedPageBreak/>
        <w:t>ITU-T T.873 "Information technology - Digital compression and coding of continuous-tone still images: Reference Software"</w:t>
      </w:r>
      <w:r w:rsidRPr="00C1421E">
        <w:rPr>
          <w:lang w:val="en-GB"/>
        </w:rPr>
        <w:t xml:space="preserve">: The ISO/IEC 10918 series defines guidelines and requirements for coding of continuous-tone still images. Recommendation ITU-T T.81 | ISO/IEC 10918-1, also known under the name JPEG, specifies the </w:t>
      </w:r>
      <w:proofErr w:type="spellStart"/>
      <w:r w:rsidRPr="00C1421E">
        <w:rPr>
          <w:lang w:val="en-GB"/>
        </w:rPr>
        <w:t>codestream</w:t>
      </w:r>
      <w:proofErr w:type="spellEnd"/>
      <w:r w:rsidRPr="00C1421E">
        <w:rPr>
          <w:lang w:val="en-GB"/>
        </w:rPr>
        <w:t xml:space="preserve"> format and the decoding process. It is designed primarily for compression of continuous-tone photographic content.</w:t>
      </w:r>
    </w:p>
    <w:p w14:paraId="77680608" w14:textId="77777777" w:rsidR="006A46AE" w:rsidRPr="00C1421E" w:rsidRDefault="006A46AE" w:rsidP="006A46AE">
      <w:pPr>
        <w:rPr>
          <w:highlight w:val="yellow"/>
          <w:lang w:val="en-GB"/>
        </w:rPr>
      </w:pPr>
      <w:r w:rsidRPr="00C1421E">
        <w:rPr>
          <w:lang w:val="en-GB"/>
        </w:rPr>
        <w:t>This document provides reference software for Recommendation ITU-T T.81 | ISO/IEC 10918-1. The software has been successfully compiled and tested on Linux and Windows operating systems and conforms to the decoder requirements set forth in Recommendation ITU-T T.83 | ISO/IEC 10918 2. It has also been tested for conformance to Recommendation ITU-T T.86 | ISO/IEC 10918 4 and ISO/IEC 18477-4. An electronic attachment to the Specification contains two source code packages for ITU-T T.81 | ISO/IEC 10918-1.</w:t>
      </w:r>
    </w:p>
    <w:p w14:paraId="6CBC4C80" w14:textId="77777777" w:rsidR="006A46AE" w:rsidRPr="00C1421E" w:rsidRDefault="006A46AE" w:rsidP="006A46AE">
      <w:pPr>
        <w:pStyle w:val="Headingb"/>
      </w:pPr>
      <w:bookmarkStart w:id="227" w:name="_Toc480527896"/>
      <w:r w:rsidRPr="00C1421E">
        <w:t>I.3.2</w:t>
      </w:r>
      <w:r w:rsidRPr="00C1421E">
        <w:tab/>
        <w:t>Intelligent, interoperable visual surveillance systems</w:t>
      </w:r>
      <w:bookmarkEnd w:id="227"/>
    </w:p>
    <w:p w14:paraId="0ECFC469" w14:textId="77777777" w:rsidR="006A46AE" w:rsidRPr="00C1421E" w:rsidRDefault="006A46AE" w:rsidP="006A46AE">
      <w:pPr>
        <w:rPr>
          <w:highlight w:val="yellow"/>
          <w:lang w:val="en-GB"/>
        </w:rPr>
      </w:pPr>
      <w:r w:rsidRPr="001C37A8">
        <w:rPr>
          <w:b/>
          <w:bCs/>
          <w:lang w:val="en-GB"/>
        </w:rPr>
        <w:t>ITU-T H.626.5 "Architecture for intelligent visual surveillance systems"</w:t>
      </w:r>
      <w:r w:rsidRPr="00C1421E">
        <w:rPr>
          <w:lang w:val="en-GB"/>
        </w:rPr>
        <w:t xml:space="preserve"> defines an architecture of intelligent visual surveillance systems, including the functional architecture, entities, service flows and reference points. The intelligent visual surveillance system provides intelligent analysis capabilities and services for users based on the images and video streams from surveillance cameras through network. This Recommendation is based on ITU-T Recommendation F.743.1 "Requirements for intelligent visual surveillance".</w:t>
      </w:r>
    </w:p>
    <w:p w14:paraId="53AEB800" w14:textId="77777777" w:rsidR="006A46AE" w:rsidRPr="00C1421E" w:rsidRDefault="006A46AE" w:rsidP="006A46AE">
      <w:pPr>
        <w:pStyle w:val="Headingb"/>
      </w:pPr>
      <w:bookmarkStart w:id="228" w:name="_Toc480527898"/>
      <w:r w:rsidRPr="00C1421E">
        <w:t>I.3.3</w:t>
      </w:r>
      <w:r w:rsidRPr="00C1421E">
        <w:tab/>
        <w:t>IPTV and digital signage</w:t>
      </w:r>
      <w:bookmarkEnd w:id="228"/>
    </w:p>
    <w:p w14:paraId="70D5B941" w14:textId="77777777" w:rsidR="006A46AE" w:rsidRPr="00C1421E" w:rsidRDefault="006A46AE" w:rsidP="006A46AE">
      <w:pPr>
        <w:rPr>
          <w:lang w:val="en-GB"/>
        </w:rPr>
      </w:pPr>
      <w:r w:rsidRPr="00C1421E">
        <w:rPr>
          <w:b/>
          <w:lang w:val="en-GB"/>
        </w:rPr>
        <w:t>ITU-T H.783 (V2) (revised) "Digital signage: Audience measurement services"</w:t>
      </w:r>
      <w:r w:rsidRPr="00C1421E">
        <w:rPr>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5230E9F9" w14:textId="77777777" w:rsidR="006A46AE" w:rsidRPr="00C1421E" w:rsidRDefault="006A46AE" w:rsidP="006A46AE">
      <w:pPr>
        <w:rPr>
          <w:highlight w:val="yellow"/>
          <w:lang w:val="en-GB"/>
        </w:rPr>
      </w:pPr>
      <w:r w:rsidRPr="00C1421E">
        <w:rPr>
          <w:lang w:val="en-GB"/>
        </w:rPr>
        <w:t>This revision adds the XML schema on the data structures for message delivery. The addition aims to widen applicability of the specifications at the price of easy XML validation.</w:t>
      </w:r>
    </w:p>
    <w:p w14:paraId="398CDCEF" w14:textId="77777777" w:rsidR="006A46AE" w:rsidRPr="00C1421E" w:rsidRDefault="006A46AE" w:rsidP="006A46AE">
      <w:pPr>
        <w:rPr>
          <w:lang w:val="en-GB"/>
        </w:rPr>
      </w:pPr>
      <w:r w:rsidRPr="001C37A8">
        <w:rPr>
          <w:b/>
          <w:bCs/>
          <w:lang w:val="en-GB"/>
        </w:rPr>
        <w:t>ITU-T H.784 "Digital signage: Display device control interface"</w:t>
      </w:r>
      <w:r w:rsidRPr="00C1421E">
        <w:rPr>
          <w:lang w:val="en-GB"/>
        </w:rPr>
        <w:t xml:space="preserve">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6C0490BE" w14:textId="77777777" w:rsidR="006A46AE" w:rsidRPr="00C1421E" w:rsidRDefault="006A46AE" w:rsidP="006A46AE">
      <w:pPr>
        <w:pStyle w:val="Headingb"/>
      </w:pPr>
      <w:bookmarkStart w:id="229" w:name="_Toc480527900"/>
      <w:r w:rsidRPr="00C1421E">
        <w:t>I.3.4</w:t>
      </w:r>
      <w:r w:rsidRPr="00C1421E">
        <w:tab/>
        <w:t>Immersive live experience</w:t>
      </w:r>
    </w:p>
    <w:p w14:paraId="0631B3A6" w14:textId="77777777" w:rsidR="006A46AE" w:rsidRPr="00C1421E" w:rsidRDefault="006A46AE" w:rsidP="006A46AE">
      <w:pPr>
        <w:pStyle w:val="Headingb"/>
      </w:pPr>
      <w:r w:rsidRPr="00C1421E">
        <w:t>I.3.5</w:t>
      </w:r>
      <w:r w:rsidRPr="00C1421E">
        <w:tab/>
        <w:t>Standards to assess quality of video communications and applications</w:t>
      </w:r>
    </w:p>
    <w:p w14:paraId="3BC5AD10" w14:textId="77777777" w:rsidR="006A46AE" w:rsidRPr="00C1421E" w:rsidRDefault="006A46AE" w:rsidP="006A46AE">
      <w:pPr>
        <w:rPr>
          <w:lang w:val="en-GB"/>
        </w:rPr>
      </w:pPr>
      <w:r w:rsidRPr="00C1421E">
        <w:rPr>
          <w:b/>
          <w:lang w:val="en-GB"/>
        </w:rPr>
        <w:t xml:space="preserve">ITU-T G.191 (V6) (revised) "Software tools for speech and audio coding standardization" </w:t>
      </w:r>
      <w:r w:rsidRPr="00C1421E">
        <w:rPr>
          <w:lang w:val="en-GB"/>
        </w:rPr>
        <w:t>provides source code for speech and audio processing modules for narrowband, wideband and super-wideband telephony applications. The set includes codecs, filters, noise generators, etc.</w:t>
      </w:r>
    </w:p>
    <w:p w14:paraId="298D1CC6" w14:textId="77777777" w:rsidR="006A46AE" w:rsidRPr="00C1421E" w:rsidRDefault="006A46AE" w:rsidP="006A46AE">
      <w:pPr>
        <w:rPr>
          <w:lang w:val="en-GB"/>
        </w:rPr>
      </w:pPr>
      <w:r w:rsidRPr="00C1421E">
        <w:rPr>
          <w:lang w:val="en-GB"/>
        </w:rPr>
        <w:t>This revision introduces changes to the main body of ITU-T G.191 and to Annex A, which describes the ITU-T Software Tools (STL) containing a high-quality, portable C code library for speech processing applications. Annex B remains unchanged.</w:t>
      </w:r>
    </w:p>
    <w:p w14:paraId="2595A93B" w14:textId="77777777" w:rsidR="006A46AE" w:rsidRPr="00C1421E" w:rsidRDefault="006A46AE" w:rsidP="006A46AE">
      <w:pPr>
        <w:rPr>
          <w:lang w:val="en-GB"/>
        </w:rPr>
      </w:pPr>
      <w:r w:rsidRPr="00C1421E">
        <w:rPr>
          <w:lang w:val="en-GB"/>
        </w:rPr>
        <w:t>This new release of the STL, also known as STL2018, incorporates new basic operators to accommodate state-of-the-art processor architectures which supports wide accumulators, SIMD (Single Instruction Multiple Data) and VLIW (Very Long Instruction Word). Thus the new operators provides support for 64-bit accumulator, complex numbers, enhanced 32-bit operations and additional control code operators.</w:t>
      </w:r>
    </w:p>
    <w:p w14:paraId="7989F2FA" w14:textId="77777777" w:rsidR="006A46AE" w:rsidRPr="00C1421E" w:rsidRDefault="006A46AE" w:rsidP="006A46AE">
      <w:pPr>
        <w:rPr>
          <w:lang w:val="en-GB"/>
        </w:rPr>
      </w:pPr>
      <w:r w:rsidRPr="00C1421E">
        <w:rPr>
          <w:lang w:val="en-GB"/>
        </w:rPr>
        <w:t xml:space="preserve">The software package was reworked to make it available as a truly open-source project and is therefore hosted on an open-source collaboration platform. The build toolchain is now using </w:t>
      </w:r>
      <w:proofErr w:type="spellStart"/>
      <w:r w:rsidRPr="00C1421E">
        <w:rPr>
          <w:lang w:val="en-GB"/>
        </w:rPr>
        <w:t>CMake</w:t>
      </w:r>
      <w:proofErr w:type="spellEnd"/>
      <w:r w:rsidRPr="00C1421E">
        <w:rPr>
          <w:lang w:val="en-GB"/>
        </w:rPr>
        <w:t xml:space="preserve"> </w:t>
      </w:r>
      <w:r w:rsidRPr="00C1421E">
        <w:rPr>
          <w:lang w:val="en-GB"/>
        </w:rPr>
        <w:lastRenderedPageBreak/>
        <w:t>to generate platform-dependent and tool-dependent build scripts as well as to execute regression tests for each module in the STL.</w:t>
      </w:r>
    </w:p>
    <w:p w14:paraId="3C3B6A04" w14:textId="77777777" w:rsidR="006A46AE" w:rsidRPr="00C1421E" w:rsidRDefault="006A46AE" w:rsidP="006A46AE">
      <w:pPr>
        <w:rPr>
          <w:lang w:val="en-GB"/>
        </w:rPr>
      </w:pPr>
      <w:r w:rsidRPr="00C1421E">
        <w:rPr>
          <w:lang w:val="en-GB"/>
        </w:rPr>
        <w:t>This Recommendation includes an electronic attachment containing STL2018 Software Tool Library and manual.</w:t>
      </w:r>
    </w:p>
    <w:p w14:paraId="4E5EE568" w14:textId="77777777" w:rsidR="006A46AE" w:rsidRPr="00C1421E" w:rsidRDefault="006A46AE" w:rsidP="006A46AE">
      <w:pPr>
        <w:rPr>
          <w:lang w:val="en-GB"/>
        </w:rPr>
      </w:pPr>
      <w:r w:rsidRPr="00C1421E">
        <w:rPr>
          <w:b/>
          <w:lang w:val="en-GB"/>
        </w:rPr>
        <w:t>ITU-T G.1028 (revised) "End-to-end quality of service for voice over 4G mobile networks"</w:t>
      </w:r>
      <w:r w:rsidRPr="00C1421E">
        <w:rPr>
          <w:lang w:val="en-GB"/>
        </w:rPr>
        <w:t xml:space="preserve"> provides guidelines concerning the key aspects impacting end-to-end performance of managed voice applications over LTE networks and how they can be properly assessed using current elements of knowledge.</w:t>
      </w:r>
    </w:p>
    <w:p w14:paraId="2993AB56" w14:textId="77777777" w:rsidR="006A46AE" w:rsidRPr="00C1421E" w:rsidRDefault="006A46AE" w:rsidP="006A46AE">
      <w:pPr>
        <w:rPr>
          <w:lang w:val="en-GB"/>
        </w:rPr>
      </w:pPr>
      <w:r w:rsidRPr="00C1421E">
        <w:rPr>
          <w:lang w:val="en-GB"/>
        </w:rPr>
        <w:t>Some typical end-to-end scenarios are described, involving cases with LTE access at both sides of the communication, or with a different access technology at one side (wireless or wireline access). These scenarios are based on typical reference connections defined in this Recommendation, composed of various segments, including: terminal, wireless access, backhaul network, core network. Considerations regarding the sharing of the budget of some key parameters and the location where they can be assessed across these segments are provided.</w:t>
      </w:r>
    </w:p>
    <w:p w14:paraId="2120D2F1" w14:textId="77777777" w:rsidR="006A46AE" w:rsidRPr="00C1421E" w:rsidRDefault="006A46AE" w:rsidP="006A46AE">
      <w:pPr>
        <w:rPr>
          <w:highlight w:val="yellow"/>
          <w:lang w:val="en-GB"/>
        </w:rPr>
      </w:pPr>
      <w:r w:rsidRPr="00C1421E">
        <w:rPr>
          <w:lang w:val="en-GB"/>
        </w:rPr>
        <w:t>As far as the specific impact of the CSFB procedure on QoS is concerned, dedicated information and material is available in the companion Recommendation ITU-T G.1028.2 "Assessment of the LTE circuit switched fall back - impact on voice QoS".</w:t>
      </w:r>
    </w:p>
    <w:p w14:paraId="03493315" w14:textId="77777777" w:rsidR="006A46AE" w:rsidRPr="00C1421E" w:rsidRDefault="006A46AE" w:rsidP="006A46AE">
      <w:pPr>
        <w:widowControl w:val="0"/>
        <w:rPr>
          <w:lang w:val="en-GB"/>
        </w:rPr>
      </w:pPr>
      <w:r w:rsidRPr="001C37A8">
        <w:rPr>
          <w:b/>
          <w:bCs/>
          <w:lang w:val="en-GB"/>
        </w:rPr>
        <w:t>ITU-T G.1028.1 "End-to-end QoS for Video Telephony over 4G mobile networks"</w:t>
      </w:r>
      <w:r w:rsidRPr="00C1421E">
        <w:rPr>
          <w:lang w:val="en-GB"/>
        </w:rPr>
        <w:t xml:space="preserve"> provides guidelines concerning the key aspects impacting end-to-end performance of carrier-grade (in opposition to over-the-top approaches, which are outside of the scope here) conversational video services over LTE networks, also known as </w:t>
      </w:r>
      <w:proofErr w:type="spellStart"/>
      <w:r w:rsidRPr="00C1421E">
        <w:rPr>
          <w:lang w:val="en-GB"/>
        </w:rPr>
        <w:t>ViLTE</w:t>
      </w:r>
      <w:proofErr w:type="spellEnd"/>
      <w:r w:rsidRPr="00C1421E">
        <w:rPr>
          <w:lang w:val="en-GB"/>
        </w:rPr>
        <w:t xml:space="preserve">, as defined by the GSMA. It more so identifies the preconditions for an optimally operating </w:t>
      </w:r>
      <w:proofErr w:type="spellStart"/>
      <w:r w:rsidRPr="00C1421E">
        <w:rPr>
          <w:lang w:val="en-GB"/>
        </w:rPr>
        <w:t>ViLTE</w:t>
      </w:r>
      <w:proofErr w:type="spellEnd"/>
      <w:r w:rsidRPr="00C1421E">
        <w:rPr>
          <w:lang w:val="en-GB"/>
        </w:rPr>
        <w:t xml:space="preserve"> network and in conclusion provides remedial measures that operators can leverage to address the associated impact of QoS degradations in the LTE network.</w:t>
      </w:r>
    </w:p>
    <w:p w14:paraId="2A3963B4" w14:textId="77777777" w:rsidR="006A46AE" w:rsidRPr="00C1421E" w:rsidRDefault="006A46AE" w:rsidP="006A46AE">
      <w:pPr>
        <w:rPr>
          <w:lang w:val="en-GB"/>
        </w:rPr>
      </w:pPr>
      <w:r w:rsidRPr="00C1421E">
        <w:rPr>
          <w:b/>
          <w:lang w:val="en-GB"/>
        </w:rPr>
        <w:t>ITU-T G.1028.2 "Assessment of the LTE circuit switched fall back - impact on voice QoS":</w:t>
      </w:r>
      <w:r w:rsidRPr="00C1421E">
        <w:rPr>
          <w:lang w:val="en-GB"/>
        </w:rPr>
        <w:t xml:space="preserve"> While the LTE circuit switched fall back (CSFB) can be considered as a procedure separated from voice service delivery over LTE, it has an impact on the QoS for the voice services and is therefore worth of attention and consideration. Indeed, operators have to make sure that clients purchasing LTE-capable devices must keep the level of QoS they used to have with their former 2G and 3G devices, even when </w:t>
      </w:r>
      <w:proofErr w:type="spellStart"/>
      <w:r w:rsidRPr="00C1421E">
        <w:rPr>
          <w:lang w:val="en-GB"/>
        </w:rPr>
        <w:t>VoLTE</w:t>
      </w:r>
      <w:proofErr w:type="spellEnd"/>
      <w:r w:rsidRPr="00C1421E">
        <w:rPr>
          <w:lang w:val="en-GB"/>
        </w:rPr>
        <w:t xml:space="preserve"> is not available (for any reason: network, device). Therefore, specific and complementary KPIs are proposed in this Recommendation, together with procedures for their assessment.</w:t>
      </w:r>
    </w:p>
    <w:p w14:paraId="76B2B746" w14:textId="77777777" w:rsidR="006A46AE" w:rsidRPr="00C1421E" w:rsidRDefault="006A46AE" w:rsidP="006A46AE">
      <w:pPr>
        <w:rPr>
          <w:lang w:val="en-GB"/>
        </w:rPr>
      </w:pPr>
      <w:r w:rsidRPr="00C1421E">
        <w:rPr>
          <w:lang w:val="en-GB"/>
        </w:rPr>
        <w:t>It should be noted that this Recommendation focuses only on the specific impact of CSFB, the information it contains must be considered as a complement to provision already provided in the Recommendation ITU-T G.1028: "End-to-end quality of service for voice over 4G mobile networks".</w:t>
      </w:r>
    </w:p>
    <w:p w14:paraId="412DE2D4" w14:textId="77777777" w:rsidR="006A46AE" w:rsidRPr="00C1421E" w:rsidRDefault="006A46AE" w:rsidP="006A46AE">
      <w:pPr>
        <w:widowControl w:val="0"/>
        <w:rPr>
          <w:lang w:val="en-GB"/>
        </w:rPr>
      </w:pPr>
      <w:r w:rsidRPr="001C37A8">
        <w:rPr>
          <w:b/>
          <w:bCs/>
          <w:lang w:val="en-GB"/>
        </w:rPr>
        <w:t xml:space="preserve">ITU-T P.10/G.100 (2017) </w:t>
      </w:r>
      <w:proofErr w:type="spellStart"/>
      <w:r w:rsidRPr="001C37A8">
        <w:rPr>
          <w:b/>
          <w:bCs/>
          <w:lang w:val="en-GB"/>
        </w:rPr>
        <w:t>Amd</w:t>
      </w:r>
      <w:proofErr w:type="spellEnd"/>
      <w:r w:rsidRPr="001C37A8">
        <w:rPr>
          <w:b/>
          <w:bCs/>
          <w:lang w:val="en-GB"/>
        </w:rPr>
        <w:t>. 1 "Vocabulary for performance, quality of service and quality of experience - Amendment 1: New definitions for inclusion in Recommendation ITU-T P.10/G.100"</w:t>
      </w:r>
      <w:r w:rsidRPr="00C1421E">
        <w:rPr>
          <w:lang w:val="en-GB"/>
        </w:rPr>
        <w:t xml:space="preserve"> is coordinated with a related revision to Recommendation ITU-T P.64 Determination of sensitivity/frequency characteristics of local telephone systems. Definitions for the terms ear cap and earpiece are included in Recommendation ITU-T P.10/G.100.</w:t>
      </w:r>
    </w:p>
    <w:p w14:paraId="1863B629" w14:textId="77777777" w:rsidR="006A46AE" w:rsidRPr="00C1421E" w:rsidRDefault="006A46AE" w:rsidP="006A46AE">
      <w:pPr>
        <w:rPr>
          <w:lang w:val="en-GB"/>
        </w:rPr>
      </w:pPr>
      <w:r w:rsidRPr="00C1421E">
        <w:rPr>
          <w:b/>
          <w:lang w:val="en-GB"/>
        </w:rPr>
        <w:t>ITU-T P.64 (revised) "Determination of sensitivity/frequency characteristics of local telephone systems"</w:t>
      </w:r>
      <w:r w:rsidRPr="00C1421E">
        <w:rPr>
          <w:lang w:val="en-GB"/>
        </w:rPr>
        <w:t xml:space="preserve"> is mainly concerned with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w:t>
      </w:r>
      <w:r w:rsidRPr="00C1421E">
        <w:rPr>
          <w:lang w:val="en-GB"/>
        </w:rPr>
        <w:lastRenderedPageBreak/>
        <w:t>determinations. Measurements under real conditions are complicated, time-consuming and not reproducible with great precision.</w:t>
      </w:r>
    </w:p>
    <w:p w14:paraId="444FFFE3" w14:textId="77777777" w:rsidR="006A46AE" w:rsidRPr="00C1421E" w:rsidRDefault="006A46AE" w:rsidP="006A46AE">
      <w:pPr>
        <w:rPr>
          <w:lang w:val="en-GB"/>
        </w:rPr>
      </w:pPr>
      <w:r w:rsidRPr="00C1421E">
        <w:rPr>
          <w:lang w:val="en-GB"/>
        </w:rPr>
        <w:t>This Recommendation describes measurement methods using recommended forms of artificial mouths and artificial ears (see Recommendations ITU-T P.51 and P.57).</w:t>
      </w:r>
    </w:p>
    <w:p w14:paraId="4C187BC2" w14:textId="77777777" w:rsidR="006A46AE" w:rsidRPr="00C1421E" w:rsidRDefault="006A46AE" w:rsidP="006A46AE">
      <w:pPr>
        <w:rPr>
          <w:lang w:val="en-GB"/>
        </w:rPr>
      </w:pPr>
      <w:r w:rsidRPr="00C1421E">
        <w:rPr>
          <w:lang w:val="en-GB"/>
        </w:rPr>
        <w:t>This Recommendation applies mainly to local telephone systems (LTSs) with handset telephones; however, the principles also apply to other types of telephones.</w:t>
      </w:r>
    </w:p>
    <w:p w14:paraId="6250A893" w14:textId="77777777" w:rsidR="006A46AE" w:rsidRPr="00C1421E" w:rsidRDefault="006A46AE" w:rsidP="006A46AE">
      <w:pPr>
        <w:rPr>
          <w:lang w:val="en-GB"/>
        </w:rPr>
      </w:pPr>
      <w:r w:rsidRPr="00C1421E">
        <w:rPr>
          <w:lang w:val="en-GB"/>
        </w:rPr>
        <w:t>Annexes D and E define handset positions to be used with HATS according to P.58 and P.57 type 3.2, 3.3 and 3.4 artificial ears. Allowance is given to placing the handset in a way which best represents its intended use.</w:t>
      </w:r>
    </w:p>
    <w:p w14:paraId="4B600D35" w14:textId="77777777" w:rsidR="006A46AE" w:rsidRPr="00C1421E" w:rsidRDefault="006A46AE" w:rsidP="006A46AE">
      <w:pPr>
        <w:rPr>
          <w:highlight w:val="yellow"/>
          <w:lang w:val="en-GB"/>
        </w:rPr>
      </w:pPr>
      <w:r w:rsidRPr="00C1421E">
        <w:rPr>
          <w:lang w:val="en-GB"/>
        </w:rPr>
        <w:t>Annex F describes correspondence between measurements using the loudness rating guard-ring position (LRGP) and the head and torso simulator (HATS) position.</w:t>
      </w:r>
    </w:p>
    <w:p w14:paraId="3EE7831F" w14:textId="77777777" w:rsidR="006A46AE" w:rsidRPr="00C1421E" w:rsidRDefault="006A46AE" w:rsidP="006A46AE">
      <w:pPr>
        <w:rPr>
          <w:lang w:val="en-GB"/>
        </w:rPr>
      </w:pPr>
      <w:r w:rsidRPr="001C37A8">
        <w:rPr>
          <w:b/>
          <w:bCs/>
          <w:lang w:val="en-GB"/>
        </w:rPr>
        <w:t xml:space="preserve">ITU-T P.340 Amd.2 "Transmission characteristics and speech quality parameters of hands-free terminals - Amendment 2" </w:t>
      </w:r>
      <w:r w:rsidRPr="00C1421E">
        <w:rPr>
          <w:lang w:val="en-GB"/>
        </w:rPr>
        <w:t>replaces Annex B: Objective test methods for multi-talker scenarios, which was introduced in Rec. ITU-T P.340 (2000)/Amd.1 (10/2014).</w:t>
      </w:r>
    </w:p>
    <w:p w14:paraId="529E0012" w14:textId="77777777" w:rsidR="006A46AE" w:rsidRPr="00C1421E" w:rsidRDefault="006A46AE" w:rsidP="006A46AE">
      <w:pPr>
        <w:rPr>
          <w:lang w:val="en-GB"/>
        </w:rPr>
      </w:pPr>
      <w:r w:rsidRPr="00C1421E">
        <w:rPr>
          <w:b/>
          <w:lang w:val="en-GB"/>
        </w:rPr>
        <w:t>ITU-T P.700 "Calculation of loudness for speech communication"</w:t>
      </w:r>
      <w:r w:rsidRPr="00C1421E">
        <w:rPr>
          <w:lang w:val="en-GB"/>
        </w:rPr>
        <w:t xml:space="preserve"> describes a unified method required for calculating loudness, allowing comparison of narrow-band (300-3.4k Hz), wideband (100-8k Hz), super-wideband (50-14k Hz) and Fullband (10-20k Hz) telephony, for all types of terminals including handset, hands-free and conference terminals.</w:t>
      </w:r>
    </w:p>
    <w:p w14:paraId="12759B24" w14:textId="77777777" w:rsidR="006A46AE" w:rsidRPr="00C1421E" w:rsidRDefault="006A46AE" w:rsidP="006A46AE">
      <w:pPr>
        <w:rPr>
          <w:lang w:val="en-GB"/>
        </w:rPr>
      </w:pPr>
      <w:r w:rsidRPr="00C1421E">
        <w:rPr>
          <w:lang w:val="en-GB"/>
        </w:rPr>
        <w:t xml:space="preserve">The model described in this Recommendation is consistent when switching from one bandwidth to another and independent of the listening situation (handset, headset, hands-free …) with regards to producing a constant perceived loudness. </w:t>
      </w:r>
    </w:p>
    <w:p w14:paraId="44CD7D6F" w14:textId="77777777" w:rsidR="006A46AE" w:rsidRPr="00C1421E" w:rsidRDefault="006A46AE" w:rsidP="006A46AE">
      <w:pPr>
        <w:rPr>
          <w:lang w:val="en-GB"/>
        </w:rPr>
      </w:pPr>
      <w:r w:rsidRPr="00C1421E">
        <w:rPr>
          <w:lang w:val="en-GB"/>
        </w:rPr>
        <w:t>Compered to loudness rating models, like the one presented in Recommendation ITU-T P.79, the present method predicts the absolute loudness, considers auditory masking and is applicable to a wide range of acoustic levels.</w:t>
      </w:r>
    </w:p>
    <w:p w14:paraId="1A51DE7F" w14:textId="77777777" w:rsidR="006A46AE" w:rsidRPr="00C1421E" w:rsidRDefault="006A46AE" w:rsidP="006A46AE">
      <w:pPr>
        <w:rPr>
          <w:lang w:val="en-GB"/>
        </w:rPr>
      </w:pPr>
      <w:r w:rsidRPr="00C1421E">
        <w:rPr>
          <w:lang w:val="en-GB"/>
        </w:rPr>
        <w:t>This Recommendation incorporates a number of annexes that hold test vectors for validation of loudness model implementations as well as of the descriptions and results of the loudness experiments that form the basis for this Recommendation.</w:t>
      </w:r>
    </w:p>
    <w:p w14:paraId="51D17970" w14:textId="77777777" w:rsidR="006A46AE" w:rsidRPr="00C1421E" w:rsidRDefault="006A46AE" w:rsidP="006A46AE">
      <w:pPr>
        <w:rPr>
          <w:lang w:val="en-GB"/>
        </w:rPr>
      </w:pPr>
      <w:r w:rsidRPr="001C37A8">
        <w:rPr>
          <w:b/>
          <w:bCs/>
          <w:lang w:val="en-GB"/>
        </w:rPr>
        <w:t>ITU-T P.811 "Subjective test methodology for evaluating Speech oriented stereo communication systems over headphones"</w:t>
      </w:r>
      <w:r w:rsidRPr="00C1421E">
        <w:rPr>
          <w:lang w:val="en-GB"/>
        </w:rPr>
        <w:t xml:space="preserve"> describes a methodology for evaluating the subjective quality of signal and spatial localization in stereo telecommunication systems. The methodology assesses the quality of the stereo transmission chain using separate subjective rating scales to independently estimate the subjective quality of a Signal, the Spatial Localization, and the Overall Quality.</w:t>
      </w:r>
    </w:p>
    <w:p w14:paraId="6C2CAC94" w14:textId="77777777" w:rsidR="006A46AE" w:rsidRPr="00C1421E" w:rsidRDefault="006A46AE" w:rsidP="006A46AE">
      <w:pPr>
        <w:rPr>
          <w:lang w:val="en-GB"/>
        </w:rPr>
      </w:pPr>
      <w:r w:rsidRPr="00C1421E">
        <w:rPr>
          <w:b/>
          <w:lang w:val="en-GB"/>
        </w:rPr>
        <w:t>ITU-T P.863.1 (revised) "Application guide for Recommendation ITU-T P.863"</w:t>
      </w:r>
      <w:r w:rsidRPr="00C1421E">
        <w:rPr>
          <w:lang w:val="en-GB"/>
        </w:rPr>
        <w:t xml:space="preserve"> provides important remarks that should be taken into account in the objective quality evaluation of speech conforming to Recommendation ITU-T P.863. Users of ITU-T P.863 should understand and follow the guidance given in this Recommendation.</w:t>
      </w:r>
    </w:p>
    <w:p w14:paraId="08E5A361" w14:textId="77777777" w:rsidR="006A46AE" w:rsidRPr="00C1421E" w:rsidRDefault="006A46AE" w:rsidP="006A46AE">
      <w:pPr>
        <w:rPr>
          <w:lang w:val="en-GB"/>
        </w:rPr>
      </w:pPr>
      <w:r w:rsidRPr="00C1421E">
        <w:rPr>
          <w:lang w:val="en-GB"/>
        </w:rPr>
        <w:t>This Recommendation is a supplementary guide for users of Recommendation ITU-T P.863, which describes a means of estimating listening speech quality by using reference and degraded speech samples. The scope of Recommendation ITU-T P.863 is clearly defined in itself. This Recommendation does not extend or narrow that scope; rather, it provides necessary and important information for obtaining stable, reliable and meaningful objective measurement results in practice.</w:t>
      </w:r>
    </w:p>
    <w:p w14:paraId="6CB96C38" w14:textId="77777777" w:rsidR="006A46AE" w:rsidRPr="00C1421E" w:rsidRDefault="006A46AE" w:rsidP="006A46AE">
      <w:pPr>
        <w:rPr>
          <w:lang w:val="en-GB"/>
        </w:rPr>
      </w:pPr>
      <w:r w:rsidRPr="001C37A8">
        <w:rPr>
          <w:b/>
          <w:bCs/>
          <w:lang w:val="en-GB"/>
        </w:rPr>
        <w:t>ITU-T P.917 "Subjective test methodology for assessing impact of initial loading delay on user experience"</w:t>
      </w:r>
      <w:r w:rsidRPr="00C1421E">
        <w:rPr>
          <w:lang w:val="en-GB"/>
        </w:rPr>
        <w:t xml:space="preserve"> defines a procedure for conducting </w:t>
      </w:r>
      <w:proofErr w:type="spellStart"/>
      <w:r w:rsidRPr="00C1421E">
        <w:rPr>
          <w:lang w:val="en-GB"/>
        </w:rPr>
        <w:t>behavioral</w:t>
      </w:r>
      <w:proofErr w:type="spellEnd"/>
      <w:r w:rsidRPr="00C1421E">
        <w:rPr>
          <w:lang w:val="en-GB"/>
        </w:rPr>
        <w:t xml:space="preserve"> studies targeted at investigating video streaming performance and its relation to users' Quality of Experience. The studies are to be conducted in controlled environments. Subjects are exposed to different initial loading delay conditions and other quality degradations typical for video streaming, and may be asked to rate </w:t>
      </w:r>
      <w:proofErr w:type="spellStart"/>
      <w:r w:rsidRPr="00C1421E">
        <w:rPr>
          <w:lang w:val="en-GB"/>
        </w:rPr>
        <w:lastRenderedPageBreak/>
        <w:t>audiovisual</w:t>
      </w:r>
      <w:proofErr w:type="spellEnd"/>
      <w:r w:rsidRPr="00C1421E">
        <w:rPr>
          <w:lang w:val="en-GB"/>
        </w:rPr>
        <w:t xml:space="preserve"> quality or their experience. Additionally, their </w:t>
      </w:r>
      <w:proofErr w:type="spellStart"/>
      <w:r w:rsidRPr="00C1421E">
        <w:rPr>
          <w:lang w:val="en-GB"/>
        </w:rPr>
        <w:t>behavior</w:t>
      </w:r>
      <w:proofErr w:type="spellEnd"/>
      <w:r w:rsidRPr="00C1421E">
        <w:rPr>
          <w:lang w:val="en-GB"/>
        </w:rPr>
        <w:t xml:space="preserve"> as a response to long loading times (i.e., aborting the video playback during its loading phase) may be investigated.</w:t>
      </w:r>
    </w:p>
    <w:p w14:paraId="20799216" w14:textId="77777777" w:rsidR="006A46AE" w:rsidRPr="00C1421E" w:rsidRDefault="006A46AE" w:rsidP="006A46AE">
      <w:pPr>
        <w:rPr>
          <w:lang w:val="en-GB"/>
        </w:rPr>
      </w:pPr>
      <w:r w:rsidRPr="00C1421E">
        <w:rPr>
          <w:b/>
          <w:lang w:val="en-GB"/>
        </w:rPr>
        <w:t>ITU-T P.1100 (revised) "Narrowband hands-free communication in motor vehicles"</w:t>
      </w:r>
      <w:r w:rsidRPr="00C1421E">
        <w:rPr>
          <w:lang w:val="en-GB"/>
        </w:rPr>
        <w:t xml:space="preserve"> describes performance requirements and test methods for narrowband hands-free communication in vehicles. This Recommendation covers:</w:t>
      </w:r>
    </w:p>
    <w:p w14:paraId="72E625A3"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built-in</w:t>
      </w:r>
      <w:proofErr w:type="gramEnd"/>
      <w:r w:rsidRPr="00C1421E">
        <w:rPr>
          <w:lang w:val="en-GB"/>
        </w:rPr>
        <w:t xml:space="preserve"> hands-free systems,</w:t>
      </w:r>
    </w:p>
    <w:p w14:paraId="023EE1A5"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after-market</w:t>
      </w:r>
      <w:proofErr w:type="gramEnd"/>
      <w:r w:rsidRPr="00C1421E">
        <w:rPr>
          <w:lang w:val="en-GB"/>
        </w:rPr>
        <w:t xml:space="preserve"> hands-free car kits,</w:t>
      </w:r>
    </w:p>
    <w:p w14:paraId="41631B22"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corded</w:t>
      </w:r>
      <w:proofErr w:type="gramEnd"/>
      <w:r w:rsidRPr="00C1421E">
        <w:rPr>
          <w:lang w:val="en-GB"/>
        </w:rPr>
        <w:t xml:space="preserve"> headsets, and</w:t>
      </w:r>
    </w:p>
    <w:p w14:paraId="1214B6EE"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wireless</w:t>
      </w:r>
      <w:proofErr w:type="gramEnd"/>
      <w:r w:rsidRPr="00C1421E">
        <w:rPr>
          <w:lang w:val="en-GB"/>
        </w:rPr>
        <w:t xml:space="preserve"> headsets,</w:t>
      </w:r>
    </w:p>
    <w:p w14:paraId="3FBA8F32" w14:textId="77777777" w:rsidR="006A46AE" w:rsidRPr="00C1421E" w:rsidRDefault="006A46AE" w:rsidP="006A46AE">
      <w:pPr>
        <w:rPr>
          <w:lang w:val="en-GB"/>
        </w:rPr>
      </w:pPr>
      <w:proofErr w:type="gramStart"/>
      <w:r w:rsidRPr="00C1421E">
        <w:rPr>
          <w:lang w:val="en-GB"/>
        </w:rPr>
        <w:t>to</w:t>
      </w:r>
      <w:proofErr w:type="gramEnd"/>
      <w:r w:rsidRPr="00C1421E">
        <w:rPr>
          <w:lang w:val="en-GB"/>
        </w:rPr>
        <w:t xml:space="preserve"> be used in vehicles for communication while driving.</w:t>
      </w:r>
    </w:p>
    <w:p w14:paraId="7314369F" w14:textId="77777777" w:rsidR="006A46AE" w:rsidRPr="00C1421E" w:rsidRDefault="006A46AE" w:rsidP="006A46AE">
      <w:pPr>
        <w:rPr>
          <w:lang w:val="en-GB"/>
        </w:rPr>
      </w:pPr>
      <w:r w:rsidRPr="00C1421E">
        <w:rPr>
          <w:lang w:val="en-GB"/>
        </w:rPr>
        <w:t>This Recommendation addresses the test of complete systems, as well as the subsystems of hands-free microphones and telephones with short-range wireless transmission links used to interconnect the hands-free system to the mobile network. For testing, the test set-up and the recommended environmental conditions are described. The methods, analysis and performance parameters described in this Recommendation are based on test signals and test procedures defined in Recommendations ITU-T P.501, ITU-T P.502, ITU-T P.340 and ITU-T P.380.</w:t>
      </w:r>
    </w:p>
    <w:p w14:paraId="69805A36" w14:textId="77777777" w:rsidR="006A46AE" w:rsidRPr="00C1421E" w:rsidRDefault="006A46AE" w:rsidP="006A46AE">
      <w:pPr>
        <w:rPr>
          <w:lang w:val="en-GB"/>
        </w:rPr>
      </w:pPr>
      <w:r w:rsidRPr="00C1421E">
        <w:rPr>
          <w:b/>
          <w:lang w:val="en-GB"/>
        </w:rPr>
        <w:t xml:space="preserve">ITU-T P.1203.1 (revised) "Parametric </w:t>
      </w:r>
      <w:proofErr w:type="spellStart"/>
      <w:r w:rsidRPr="00C1421E">
        <w:rPr>
          <w:b/>
          <w:lang w:val="en-GB"/>
        </w:rPr>
        <w:t>bitstream</w:t>
      </w:r>
      <w:proofErr w:type="spellEnd"/>
      <w:r w:rsidRPr="00C1421E">
        <w:rPr>
          <w:b/>
          <w:lang w:val="en-GB"/>
        </w:rPr>
        <w:t xml:space="preserve">-based quality assessment of progressive download and adaptive </w:t>
      </w:r>
      <w:proofErr w:type="spellStart"/>
      <w:r w:rsidRPr="00C1421E">
        <w:rPr>
          <w:b/>
          <w:lang w:val="en-GB"/>
        </w:rPr>
        <w:t>audiovisual</w:t>
      </w:r>
      <w:proofErr w:type="spellEnd"/>
      <w:r w:rsidRPr="00C1421E">
        <w:rPr>
          <w:b/>
          <w:lang w:val="en-GB"/>
        </w:rPr>
        <w:t xml:space="preserve"> streaming services over reliable transport - Video quality estimation module"</w:t>
      </w:r>
      <w:r w:rsidRPr="00C1421E">
        <w:rPr>
          <w:lang w:val="en-GB"/>
        </w:rPr>
        <w:t xml:space="preserve"> specifies the short-term video representation quality estimation modules for ITU-T P.1203 (</w:t>
      </w:r>
      <w:proofErr w:type="spellStart"/>
      <w:proofErr w:type="gramStart"/>
      <w:r w:rsidRPr="00C1421E">
        <w:rPr>
          <w:lang w:val="en-GB"/>
        </w:rPr>
        <w:t>Pv</w:t>
      </w:r>
      <w:proofErr w:type="spellEnd"/>
      <w:proofErr w:type="gramEnd"/>
      <w:r w:rsidRPr="00C1421E">
        <w:rPr>
          <w:lang w:val="en-GB"/>
        </w:rPr>
        <w:t xml:space="preserve"> module). The ITU-T P.1203-series of Recommendations specifies modules for a set of model algorithms for monitoring the integral media session quality for transport control protocol (TCP) type video streaming. The models comprise modules for short-term video-quality (described in this part of the Recommendation family) and audio-quality estimation. The per-one-second outputs of these short-term modules are integrated into estimates of audio-visual quality and together with information about initial loading delay and media playout stalling events, they are further integrated into the final model output, to provide an estimate of integral quality. The respective ITU-T work item has formerly been referred to as "Parametric non-intrusive assessment of TCP-based multimedia streaming quality", or "P.NATS". The ITU-T P.1203.1 part of ITU-T P.1203 provides details for the modules for </w:t>
      </w:r>
      <w:proofErr w:type="spellStart"/>
      <w:r w:rsidRPr="00C1421E">
        <w:rPr>
          <w:lang w:val="en-GB"/>
        </w:rPr>
        <w:t>bitstream</w:t>
      </w:r>
      <w:proofErr w:type="spellEnd"/>
      <w:r w:rsidRPr="00C1421E">
        <w:rPr>
          <w:lang w:val="en-GB"/>
        </w:rPr>
        <w:t xml:space="preserve">-based, short-term video quality estimation. </w:t>
      </w:r>
    </w:p>
    <w:p w14:paraId="7C11AB8C" w14:textId="77777777" w:rsidR="006A46AE" w:rsidRPr="00C1421E" w:rsidRDefault="006A46AE" w:rsidP="006A46AE">
      <w:pPr>
        <w:rPr>
          <w:lang w:val="en-GB"/>
        </w:rPr>
      </w:pPr>
      <w:r w:rsidRPr="00C1421E">
        <w:rPr>
          <w:lang w:val="en-GB"/>
        </w:rPr>
        <w:t xml:space="preserve">Four different modes can be used for the </w:t>
      </w:r>
      <w:proofErr w:type="spellStart"/>
      <w:proofErr w:type="gramStart"/>
      <w:r w:rsidRPr="00C1421E">
        <w:rPr>
          <w:lang w:val="en-GB"/>
        </w:rPr>
        <w:t>Pv</w:t>
      </w:r>
      <w:proofErr w:type="spellEnd"/>
      <w:proofErr w:type="gramEnd"/>
      <w:r w:rsidRPr="00C1421E">
        <w:rPr>
          <w:lang w:val="en-GB"/>
        </w:rPr>
        <w:t xml:space="preserve"> module specified in this Recommendation. These modes – referred to as mode 0 to 3 – use input information of differing complexity and amount and represent four model algorithms each with a different level of complexity. The </w:t>
      </w:r>
      <w:proofErr w:type="spellStart"/>
      <w:proofErr w:type="gramStart"/>
      <w:r w:rsidRPr="00C1421E">
        <w:rPr>
          <w:lang w:val="en-GB"/>
        </w:rPr>
        <w:t>Pv</w:t>
      </w:r>
      <w:proofErr w:type="spellEnd"/>
      <w:proofErr w:type="gramEnd"/>
      <w:r w:rsidRPr="00C1421E">
        <w:rPr>
          <w:lang w:val="en-GB"/>
        </w:rPr>
        <w:t xml:space="preserve"> modules comprise components reflecting the effects due to video compression, up-scaling of content and the effect due to low frame rates. The four different modes use the same overall model architecture and individual coefficients and all have the same components for up-scaling and framerate. The only </w:t>
      </w:r>
      <w:proofErr w:type="spellStart"/>
      <w:proofErr w:type="gramStart"/>
      <w:r w:rsidRPr="00C1421E">
        <w:rPr>
          <w:lang w:val="en-GB"/>
        </w:rPr>
        <w:t>Pv</w:t>
      </w:r>
      <w:proofErr w:type="spellEnd"/>
      <w:proofErr w:type="gramEnd"/>
      <w:r w:rsidRPr="00C1421E">
        <w:rPr>
          <w:lang w:val="en-GB"/>
        </w:rPr>
        <w:t xml:space="preserve"> module component that differs between modes is the </w:t>
      </w:r>
      <w:proofErr w:type="spellStart"/>
      <w:r w:rsidRPr="00C1421E">
        <w:rPr>
          <w:lang w:val="en-GB"/>
        </w:rPr>
        <w:t>Pv</w:t>
      </w:r>
      <w:proofErr w:type="spellEnd"/>
      <w:r w:rsidRPr="00C1421E">
        <w:rPr>
          <w:lang w:val="en-GB"/>
        </w:rPr>
        <w:t xml:space="preserve"> module component related to video compression. </w:t>
      </w:r>
    </w:p>
    <w:p w14:paraId="4CEF0335" w14:textId="77777777" w:rsidR="006A46AE" w:rsidRPr="00C1421E" w:rsidRDefault="006A46AE" w:rsidP="006A46AE">
      <w:pPr>
        <w:rPr>
          <w:lang w:val="en-GB"/>
        </w:rPr>
      </w:pPr>
      <w:r w:rsidRPr="00C1421E">
        <w:rPr>
          <w:lang w:val="en-GB"/>
        </w:rPr>
        <w:t>This revision to Recommendation ITU-T P.1203.1 (10/2007) replaces the scale factor defined in clause 8.</w:t>
      </w:r>
    </w:p>
    <w:p w14:paraId="085AF115" w14:textId="77777777" w:rsidR="006A46AE" w:rsidRPr="00C1421E" w:rsidRDefault="006A46AE" w:rsidP="006A46AE">
      <w:pPr>
        <w:rPr>
          <w:lang w:val="en-GB"/>
        </w:rPr>
      </w:pPr>
      <w:r w:rsidRPr="00C1421E">
        <w:rPr>
          <w:b/>
          <w:lang w:val="en-GB"/>
        </w:rPr>
        <w:t xml:space="preserve">ITU-T P.1203.3 (revised) "Parametric </w:t>
      </w:r>
      <w:proofErr w:type="spellStart"/>
      <w:r w:rsidRPr="00C1421E">
        <w:rPr>
          <w:b/>
          <w:lang w:val="en-GB"/>
        </w:rPr>
        <w:t>bitstream</w:t>
      </w:r>
      <w:proofErr w:type="spellEnd"/>
      <w:r w:rsidRPr="00C1421E">
        <w:rPr>
          <w:b/>
          <w:lang w:val="en-GB"/>
        </w:rPr>
        <w:t xml:space="preserve">-based quality assessment of progressive download and adaptive </w:t>
      </w:r>
      <w:proofErr w:type="spellStart"/>
      <w:r w:rsidRPr="00C1421E">
        <w:rPr>
          <w:b/>
          <w:lang w:val="en-GB"/>
        </w:rPr>
        <w:t>audiovisual</w:t>
      </w:r>
      <w:proofErr w:type="spellEnd"/>
      <w:r w:rsidRPr="00C1421E">
        <w:rPr>
          <w:b/>
          <w:lang w:val="en-GB"/>
        </w:rPr>
        <w:t xml:space="preserve"> streaming services over reliable transport - Quality integration module"</w:t>
      </w:r>
      <w:r w:rsidRPr="00C1421E">
        <w:rPr>
          <w:lang w:val="en-GB"/>
        </w:rPr>
        <w:t xml:space="preserve"> specifies the quality integration module for Recommendation ITU-T P.1203. The ITU-T P.1203 series of ITU-T Recommendations specify modules for monitoring the audio, video and </w:t>
      </w:r>
      <w:proofErr w:type="spellStart"/>
      <w:r w:rsidRPr="00C1421E">
        <w:rPr>
          <w:lang w:val="en-GB"/>
        </w:rPr>
        <w:t>audiovisual</w:t>
      </w:r>
      <w:proofErr w:type="spellEnd"/>
      <w:r w:rsidRPr="00C1421E">
        <w:rPr>
          <w:lang w:val="en-GB"/>
        </w:rPr>
        <w:t xml:space="preserve"> quality of video services such as adaptive bit-rate video streaming. The respective ITU-T work item has formerly been referred to as P.NATS (parametric non-intrusive assessment of TCP-based multimedia streaming quality). The ITU-T P.1203.3 part of Recommendation ITU-T P.1203 can be applied to the monitoring of performance and quality of experience (QoE) of video services such as adaptive bit-rate video streaming. Besides stream-based </w:t>
      </w:r>
      <w:r w:rsidRPr="00C1421E">
        <w:rPr>
          <w:lang w:val="en-GB"/>
        </w:rPr>
        <w:lastRenderedPageBreak/>
        <w:t>input information, the ITU-T P.1203.3 quality integration module takes the per-one-second video- and audio-quality scores calculated according to ITU-T P.1203.1 and ITU-T P.1203.2, respectively, as input.</w:t>
      </w:r>
    </w:p>
    <w:p w14:paraId="23DF6A87" w14:textId="77777777" w:rsidR="006A46AE" w:rsidRPr="00C1421E" w:rsidRDefault="006A46AE" w:rsidP="006A46AE">
      <w:pPr>
        <w:rPr>
          <w:lang w:val="en-GB"/>
        </w:rPr>
      </w:pPr>
      <w:r w:rsidRPr="00C1421E">
        <w:rPr>
          <w:lang w:val="en-GB"/>
        </w:rPr>
        <w:t>Only one quality integration module is recommended for all four modes 0 to 3 of the Recommendation ITU-T P.1203 model series, unique across all modes. This Recommendation includes an electronic attachment containing the 20 trees described in clause 8.4. This revision to Recommendation ITU-T P.1203.3 (10/2007) replaces equation (20) in clause 8.3.</w:t>
      </w:r>
    </w:p>
    <w:p w14:paraId="4D0683DA" w14:textId="77777777" w:rsidR="006A46AE" w:rsidRPr="00C1421E" w:rsidRDefault="006A46AE" w:rsidP="006A46AE">
      <w:pPr>
        <w:rPr>
          <w:lang w:val="en-GB"/>
        </w:rPr>
      </w:pPr>
      <w:r w:rsidRPr="00C1421E">
        <w:rPr>
          <w:b/>
          <w:lang w:val="en-GB"/>
        </w:rPr>
        <w:t>ITU-T Y.1540 (revised) "Internet protocol data communication service - IP packet transfer and availability performance parameters"</w:t>
      </w:r>
      <w:r w:rsidRPr="00C1421E">
        <w:rPr>
          <w:lang w:val="en-GB"/>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w:t>
      </w:r>
    </w:p>
    <w:p w14:paraId="0DFD0EA0" w14:textId="77777777" w:rsidR="006A46AE" w:rsidRPr="00C1421E" w:rsidRDefault="006A46AE" w:rsidP="006A46AE">
      <w:pPr>
        <w:rPr>
          <w:lang w:val="en-GB"/>
        </w:rPr>
      </w:pPr>
      <w:r w:rsidRPr="00C1421E">
        <w:rPr>
          <w:lang w:val="en-GB"/>
        </w:rPr>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4026CE17" w14:textId="77777777" w:rsidR="006A46AE" w:rsidRPr="00C1421E" w:rsidRDefault="006A46AE" w:rsidP="006A46AE">
      <w:pPr>
        <w:rPr>
          <w:highlight w:val="yellow"/>
          <w:lang w:val="en-GB"/>
        </w:rPr>
      </w:pPr>
      <w:r w:rsidRPr="001C37A8">
        <w:rPr>
          <w:b/>
          <w:bCs/>
          <w:lang w:val="en-GB"/>
        </w:rPr>
        <w:t>ITU-T Y.1550 "Considerations for Realizing Virtual Measurement Systems"</w:t>
      </w:r>
      <w:r w:rsidRPr="00C1421E">
        <w:rPr>
          <w:lang w:val="en-GB"/>
        </w:rPr>
        <w:t xml:space="preserve"> makes recommendations in key areas such as On-Demand Deployment and Accuracy Considerations. Development of virtualized measurement systems in areas highly relevant to SG12 work are in the early stages, so this Recommendation is timely.</w:t>
      </w:r>
    </w:p>
    <w:p w14:paraId="2BBD2A83" w14:textId="77777777" w:rsidR="006A46AE" w:rsidRPr="00C1421E" w:rsidRDefault="006A46AE" w:rsidP="006A46AE">
      <w:pPr>
        <w:pStyle w:val="Headingb"/>
      </w:pPr>
      <w:r w:rsidRPr="00C1421E">
        <w:t>I.3.6</w:t>
      </w:r>
      <w:r w:rsidRPr="00C1421E">
        <w:tab/>
        <w:t>New services and applications</w:t>
      </w:r>
      <w:bookmarkEnd w:id="229"/>
    </w:p>
    <w:p w14:paraId="1314BB7C" w14:textId="77777777" w:rsidR="006A46AE" w:rsidRPr="00C1421E" w:rsidRDefault="006A46AE" w:rsidP="006A46AE">
      <w:pPr>
        <w:rPr>
          <w:lang w:val="en-GB"/>
        </w:rPr>
      </w:pPr>
      <w:r w:rsidRPr="00C1421E">
        <w:rPr>
          <w:b/>
          <w:lang w:val="en-GB"/>
        </w:rPr>
        <w:t>ITU-T F.743.7 "Requirements for big data enhanced visual surveillance services"</w:t>
      </w:r>
      <w:r w:rsidRPr="00C1421E">
        <w:rPr>
          <w:lang w:val="en-GB"/>
        </w:rPr>
        <w:t xml:space="preserve"> defines requirements for big data enhanced visual surveillance service. It promotes the value of visual surveillance service by using big data analytics method and tools. Massive data of video, event and sensing are analysed to support enhanced visual surveillance service including video retrieval, event detection and status prediction.</w:t>
      </w:r>
    </w:p>
    <w:p w14:paraId="1D6939FF" w14:textId="77777777" w:rsidR="006A46AE" w:rsidRPr="00C1421E" w:rsidRDefault="006A46AE" w:rsidP="006A46AE">
      <w:pPr>
        <w:rPr>
          <w:lang w:val="en-GB"/>
        </w:rPr>
      </w:pPr>
      <w:r w:rsidRPr="00C1421E">
        <w:rPr>
          <w:lang w:val="en-GB"/>
        </w:rPr>
        <w:t xml:space="preserve">This Recommendation provides application scenarios, service requirements, functional requirements, </w:t>
      </w:r>
      <w:proofErr w:type="gramStart"/>
      <w:r w:rsidRPr="00C1421E">
        <w:rPr>
          <w:lang w:val="en-GB"/>
        </w:rPr>
        <w:t>performance</w:t>
      </w:r>
      <w:proofErr w:type="gramEnd"/>
      <w:r w:rsidRPr="00C1421E">
        <w:rPr>
          <w:lang w:val="en-GB"/>
        </w:rPr>
        <w:t xml:space="preserve"> and security requirements for big data enhanced visual surveillance service.</w:t>
      </w:r>
    </w:p>
    <w:p w14:paraId="68E2BD15" w14:textId="77777777" w:rsidR="006A46AE" w:rsidRPr="00C1421E" w:rsidRDefault="006A46AE" w:rsidP="006A46AE">
      <w:pPr>
        <w:rPr>
          <w:lang w:val="en-GB"/>
        </w:rPr>
      </w:pPr>
      <w:r w:rsidRPr="001C37A8">
        <w:rPr>
          <w:b/>
          <w:bCs/>
          <w:lang w:val="en-GB"/>
        </w:rPr>
        <w:t>ITU-T F.743.8 "Requirements for cloud computing platform supporting a visual surveillance system"</w:t>
      </w:r>
      <w:r w:rsidRPr="00C1421E">
        <w:rPr>
          <w:lang w:val="en-GB"/>
        </w:rPr>
        <w:t xml:space="preserve"> defines the requirements for cloud computing platform supporting visual surveillance system. Cloud computing is an emerging technology aimed at providing various computing services over the Internet. With the virtualization technology, cloud computing platform realizes a ubiquitous and flexible shared resources pool which can be rapidly provisioned and released with minimal management effort or service-provider interaction based on the needs of users. By using the cloud computing technology, the visual surveillance system can conveniently manage various functional components and services, such as video distribution, video transcoding, and intelligent video processing. This Recommendation provides the application scenarios and the requirements for cloud computing platform supporting visual surveillance system.</w:t>
      </w:r>
    </w:p>
    <w:p w14:paraId="5D7CB97A" w14:textId="77777777" w:rsidR="006A46AE" w:rsidRPr="00C1421E" w:rsidRDefault="006A46AE" w:rsidP="006A46AE">
      <w:pPr>
        <w:rPr>
          <w:lang w:val="en-GB"/>
        </w:rPr>
      </w:pPr>
      <w:r w:rsidRPr="00C1421E">
        <w:rPr>
          <w:b/>
          <w:lang w:val="en-GB"/>
        </w:rPr>
        <w:t>ITU-T F.743.9 "Use-cases and requirements for multimedia CDN"</w:t>
      </w:r>
      <w:r w:rsidRPr="00C1421E">
        <w:rPr>
          <w:lang w:val="en-GB"/>
        </w:rPr>
        <w:t xml:space="preserve"> illustrates content delivery network, and defines the use cases for multimedia CDN in two categories: content delivery and capability use cases, as well as the requirements for CDN.</w:t>
      </w:r>
    </w:p>
    <w:p w14:paraId="14E457E9" w14:textId="77777777" w:rsidR="006A46AE" w:rsidRPr="00C1421E" w:rsidRDefault="006A46AE" w:rsidP="006A46AE">
      <w:pPr>
        <w:rPr>
          <w:highlight w:val="yellow"/>
          <w:lang w:val="en-GB"/>
        </w:rPr>
      </w:pPr>
      <w:r w:rsidRPr="00C1421E">
        <w:rPr>
          <w:lang w:val="en-GB"/>
        </w:rPr>
        <w:lastRenderedPageBreak/>
        <w:t>This Recommendation is intended to give the references for CDN providers and the customers of CDN when they build the infrastructures of a CDN or choose to use a CDN.</w:t>
      </w:r>
    </w:p>
    <w:p w14:paraId="170D5047" w14:textId="77777777" w:rsidR="006A46AE" w:rsidRPr="00C1421E" w:rsidRDefault="006A46AE" w:rsidP="006A46AE">
      <w:pPr>
        <w:rPr>
          <w:lang w:val="en-GB"/>
        </w:rPr>
      </w:pPr>
      <w:r w:rsidRPr="001C37A8">
        <w:rPr>
          <w:b/>
          <w:bCs/>
          <w:lang w:val="en-GB"/>
        </w:rPr>
        <w:t>ITU-T F.746.9 "Requirements and architecture for indoor conversational robot system"</w:t>
      </w:r>
      <w:r w:rsidRPr="00C1421E">
        <w:rPr>
          <w:lang w:val="en-GB"/>
        </w:rPr>
        <w:t xml:space="preserve"> defines requirements and architecture for in-door conversational robot system. In-door conversational robot system is one of the Artificial Intelligence applications equipped with speech interface that enables users to have a dialog with the robot. This recommendation defines requirements, architecture and functions for in-door conversational robot system. The scope of this Recommendation is focused on architecture, terminals, servers, and interfaces among modules. This Recommendation will allow users of the in-door conversational robot system to be able to experience convenient information services in various areas with user-friendly speech-dialog interfaces.</w:t>
      </w:r>
    </w:p>
    <w:p w14:paraId="74CD63F8" w14:textId="77777777" w:rsidR="006A46AE" w:rsidRPr="00C1421E" w:rsidRDefault="006A46AE" w:rsidP="006A46AE">
      <w:pPr>
        <w:rPr>
          <w:highlight w:val="yellow"/>
          <w:lang w:val="en-GB"/>
        </w:rPr>
      </w:pPr>
      <w:r w:rsidRPr="001C37A8">
        <w:rPr>
          <w:b/>
          <w:bCs/>
          <w:lang w:val="en-GB"/>
        </w:rPr>
        <w:t>ITU-T F.749.10 "Requirements for communication service of civilian unmanned aerial vehicle"</w:t>
      </w:r>
      <w:r w:rsidRPr="00C1421E">
        <w:rPr>
          <w:lang w:val="en-GB"/>
        </w:rPr>
        <w:t xml:space="preserve"> specifies requirements for communication services of civilian unmanned aerial vehicle (CUAV), including general communication service framework, communication system requirements, requirements for flight control communication and flight data transport, and requirements for mission payload communication service (such as audio / video / images transport, sensor data transport and communication signal relay). Use cases are presented in industry and consumer application areas such as agriculture and plant protection, power line and petroleum pipeline inspection, police &amp; traffic security surveillance, natural disaster monitoring, aerial photography &amp; video, logistics express delivery, meteorological, resource and science research, etc. This Recommendation provides communication service requirements behind all kinds of CUAV applications.</w:t>
      </w:r>
    </w:p>
    <w:p w14:paraId="0681196F" w14:textId="77777777" w:rsidR="006A46AE" w:rsidRPr="00C1421E" w:rsidRDefault="006A46AE" w:rsidP="006A46AE">
      <w:pPr>
        <w:pStyle w:val="Headingb"/>
      </w:pPr>
      <w:r w:rsidRPr="00C1421E">
        <w:t>I.4.1</w:t>
      </w:r>
      <w:r w:rsidRPr="00C1421E">
        <w:tab/>
        <w:t>Internet of Things and Smart City</w:t>
      </w:r>
    </w:p>
    <w:p w14:paraId="21B96003" w14:textId="77777777" w:rsidR="006A46AE" w:rsidRPr="00C1421E" w:rsidRDefault="006A46AE" w:rsidP="006A46AE">
      <w:pPr>
        <w:rPr>
          <w:lang w:val="en-GB"/>
        </w:rPr>
      </w:pPr>
      <w:r w:rsidRPr="001C37A8">
        <w:rPr>
          <w:b/>
          <w:bCs/>
          <w:lang w:val="en-GB"/>
        </w:rPr>
        <w:t xml:space="preserve">ITU-T Y.4051 "Vocabulary for smart cities and communities" </w:t>
      </w:r>
      <w:r w:rsidRPr="00C1421E">
        <w:rPr>
          <w:lang w:val="en-GB"/>
        </w:rPr>
        <w:t>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5FA51EC4" w14:textId="77777777" w:rsidR="006A46AE" w:rsidRPr="00C1421E" w:rsidRDefault="006A46AE" w:rsidP="006A46AE">
      <w:pPr>
        <w:rPr>
          <w:lang w:val="en-GB"/>
        </w:rPr>
      </w:pPr>
      <w:r w:rsidRPr="001C37A8">
        <w:rPr>
          <w:b/>
          <w:bCs/>
          <w:lang w:val="en-GB"/>
        </w:rPr>
        <w:t>ITU-T Y.4202 "Framework of wireless power transmission application service"</w:t>
      </w:r>
      <w:r w:rsidRPr="00C1421E">
        <w:rPr>
          <w:lang w:val="en-GB"/>
        </w:rPr>
        <w:t xml:space="preserve"> defines a framework for Wireless Power Transmission (WPT) application service by describing concept, functional model, requirements, basic service flows and use cases.</w:t>
      </w:r>
    </w:p>
    <w:p w14:paraId="5C9A3093" w14:textId="77777777" w:rsidR="006A46AE" w:rsidRPr="00C1421E" w:rsidRDefault="006A46AE" w:rsidP="006A46AE">
      <w:pPr>
        <w:rPr>
          <w:lang w:val="en-GB"/>
        </w:rPr>
      </w:pPr>
      <w:r w:rsidRPr="00C1421E">
        <w:rPr>
          <w:b/>
          <w:lang w:val="en-GB"/>
        </w:rPr>
        <w:t>ITU-T Y.4203 "Requirements of things description in the Internet of things"</w:t>
      </w:r>
      <w:r w:rsidRPr="00C1421E">
        <w:rPr>
          <w:lang w:val="en-GB"/>
        </w:rPr>
        <w:t xml:space="preserve"> specifies requirements for an effective way of representing things as far as possible in a homogeneous way. The focus of the document is on the following two concerns of things description.</w:t>
      </w:r>
    </w:p>
    <w:p w14:paraId="22465C68" w14:textId="77777777" w:rsidR="006A46AE" w:rsidRPr="00C1421E" w:rsidRDefault="006A46AE" w:rsidP="006A46AE">
      <w:pPr>
        <w:rPr>
          <w:lang w:val="en-GB"/>
        </w:rPr>
      </w:pPr>
      <w:r w:rsidRPr="00C1421E">
        <w:rPr>
          <w:lang w:val="en-GB"/>
        </w:rPr>
        <w:t>•</w:t>
      </w:r>
      <w:r w:rsidRPr="00C1421E">
        <w:rPr>
          <w:lang w:val="en-GB"/>
        </w:rPr>
        <w:tab/>
        <w:t>Representing physical things as virtual things to map the physical things into information world;</w:t>
      </w:r>
    </w:p>
    <w:p w14:paraId="0053D5EE" w14:textId="77777777" w:rsidR="006A46AE" w:rsidRPr="00C1421E" w:rsidRDefault="006A46AE" w:rsidP="006A46AE">
      <w:pPr>
        <w:rPr>
          <w:lang w:val="en-GB"/>
        </w:rPr>
      </w:pPr>
      <w:r w:rsidRPr="00C1421E">
        <w:rPr>
          <w:lang w:val="en-GB"/>
        </w:rPr>
        <w:t>•</w:t>
      </w:r>
      <w:r w:rsidRPr="00C1421E">
        <w:rPr>
          <w:lang w:val="en-GB"/>
        </w:rPr>
        <w:tab/>
        <w:t>Representing the relationship of virtual things to reflect the relationship of the represented physical things</w:t>
      </w:r>
    </w:p>
    <w:p w14:paraId="2B42BE44" w14:textId="77777777" w:rsidR="006A46AE" w:rsidRPr="00C1421E" w:rsidRDefault="006A46AE" w:rsidP="006A46AE">
      <w:pPr>
        <w:rPr>
          <w:lang w:val="en-GB"/>
        </w:rPr>
      </w:pPr>
      <w:r w:rsidRPr="00C1421E">
        <w:rPr>
          <w:lang w:val="en-GB"/>
        </w:rPr>
        <w:t>The corresponding requirements of things description in the IoT are specified, including:</w:t>
      </w:r>
    </w:p>
    <w:p w14:paraId="3A89F007" w14:textId="77777777" w:rsidR="006A46AE" w:rsidRPr="00C1421E" w:rsidRDefault="006A46AE" w:rsidP="006A46AE">
      <w:pPr>
        <w:rPr>
          <w:lang w:val="en-GB"/>
        </w:rPr>
      </w:pPr>
      <w:r w:rsidRPr="00C1421E">
        <w:rPr>
          <w:lang w:val="en-GB"/>
        </w:rPr>
        <w:t>•</w:t>
      </w:r>
      <w:r w:rsidRPr="00C1421E">
        <w:rPr>
          <w:lang w:val="en-GB"/>
        </w:rPr>
        <w:tab/>
        <w:t>High level requirements of things description in IoT</w:t>
      </w:r>
    </w:p>
    <w:p w14:paraId="58C9FCAE" w14:textId="77777777" w:rsidR="006A46AE" w:rsidRPr="00C1421E" w:rsidRDefault="006A46AE" w:rsidP="006A46AE">
      <w:pPr>
        <w:rPr>
          <w:lang w:val="en-GB"/>
        </w:rPr>
      </w:pPr>
      <w:r w:rsidRPr="00C1421E">
        <w:rPr>
          <w:lang w:val="en-GB"/>
        </w:rPr>
        <w:t>•</w:t>
      </w:r>
      <w:r w:rsidRPr="00C1421E">
        <w:rPr>
          <w:lang w:val="en-GB"/>
        </w:rPr>
        <w:tab/>
        <w:t>Requirements on the characterization aspects of things description in IoT</w:t>
      </w:r>
    </w:p>
    <w:p w14:paraId="57EF8BA2" w14:textId="77777777" w:rsidR="006A46AE" w:rsidRPr="00C1421E" w:rsidRDefault="006A46AE" w:rsidP="006A46AE">
      <w:pPr>
        <w:rPr>
          <w:lang w:val="en-GB"/>
        </w:rPr>
      </w:pPr>
      <w:r w:rsidRPr="00C1421E">
        <w:rPr>
          <w:lang w:val="en-GB"/>
        </w:rPr>
        <w:t>This Recommendation may be relevant for the matters addressed by ITU-T Y.4114 "Specific requirements and capabilities of the Internet of things for big data", e.g. semantic related data processing.</w:t>
      </w:r>
    </w:p>
    <w:p w14:paraId="1BCC9953" w14:textId="77777777" w:rsidR="006A46AE" w:rsidRPr="00C1421E" w:rsidRDefault="006A46AE" w:rsidP="006A46AE">
      <w:pPr>
        <w:rPr>
          <w:lang w:val="en-GB"/>
        </w:rPr>
      </w:pPr>
      <w:r w:rsidRPr="001C37A8">
        <w:rPr>
          <w:b/>
          <w:bCs/>
          <w:lang w:val="en-GB"/>
        </w:rPr>
        <w:t>ITU-T Y.4204 "Accessibility requirements for the Internet of things applications and services"</w:t>
      </w:r>
      <w:r w:rsidRPr="00C1421E">
        <w:rPr>
          <w:lang w:val="en-GB"/>
        </w:rPr>
        <w:t xml:space="preserve"> provides accessibility requirements specific to Internet of Things (IoT) applications and services. Benefits of accessible IoT applications and services are addressed, and accessibility </w:t>
      </w:r>
      <w:r w:rsidRPr="00C1421E">
        <w:rPr>
          <w:lang w:val="en-GB"/>
        </w:rPr>
        <w:lastRenderedPageBreak/>
        <w:t>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1322C5F8" w14:textId="77777777" w:rsidR="006A46AE" w:rsidRPr="00C1421E" w:rsidRDefault="006A46AE" w:rsidP="006A46AE">
      <w:pPr>
        <w:rPr>
          <w:lang w:val="en-GB"/>
        </w:rPr>
      </w:pPr>
      <w:r w:rsidRPr="00C1421E">
        <w:rPr>
          <w:b/>
          <w:lang w:val="en-GB"/>
        </w:rPr>
        <w:t>ITU-T Y.4205 "Requirements and reference model of IoT-related crowdsourced systems"</w:t>
      </w:r>
      <w:r w:rsidRPr="00C1421E">
        <w:rPr>
          <w:lang w:val="en-GB"/>
        </w:rPr>
        <w:t xml:space="preserve">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w:t>
      </w:r>
    </w:p>
    <w:p w14:paraId="38117324" w14:textId="77777777" w:rsidR="006A46AE" w:rsidRPr="00C1421E" w:rsidRDefault="006A46AE" w:rsidP="006A46AE">
      <w:pPr>
        <w:rPr>
          <w:lang w:val="en-GB"/>
        </w:rPr>
      </w:pPr>
      <w:r w:rsidRPr="00C1421E">
        <w:rPr>
          <w:lang w:val="en-GB"/>
        </w:rPr>
        <w:t>- It identifies and provides the motivation for IoT-related crowdsourced systems (recent technological advancements and relevant emerging trends).</w:t>
      </w:r>
    </w:p>
    <w:p w14:paraId="107B00D3" w14:textId="77777777" w:rsidR="006A46AE" w:rsidRPr="00C1421E" w:rsidRDefault="006A46AE" w:rsidP="006A46AE">
      <w:pPr>
        <w:rPr>
          <w:lang w:val="en-GB"/>
        </w:rPr>
      </w:pPr>
      <w:r w:rsidRPr="00C1421E">
        <w:rPr>
          <w:lang w:val="en-GB"/>
        </w:rPr>
        <w:t xml:space="preserve">- It provides definitions of terms that are central when discussing crowdsourcing and </w:t>
      </w:r>
      <w:proofErr w:type="spellStart"/>
      <w:r w:rsidRPr="00C1421E">
        <w:rPr>
          <w:lang w:val="en-GB"/>
        </w:rPr>
        <w:t>srowdsourced</w:t>
      </w:r>
      <w:proofErr w:type="spellEnd"/>
      <w:r w:rsidRPr="00C1421E">
        <w:rPr>
          <w:lang w:val="en-GB"/>
        </w:rPr>
        <w:t xml:space="preserve"> systems, thus providing a basis of common understanding. So far, such terms have been used in layman's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this Recommendation.</w:t>
      </w:r>
    </w:p>
    <w:p w14:paraId="59DB62D6" w14:textId="77777777" w:rsidR="006A46AE" w:rsidRPr="00C1421E" w:rsidRDefault="006A46AE" w:rsidP="006A46AE">
      <w:pPr>
        <w:rPr>
          <w:lang w:val="en-GB"/>
        </w:rPr>
      </w:pPr>
      <w:r w:rsidRPr="00C1421E">
        <w:rPr>
          <w:lang w:val="en-GB"/>
        </w:rPr>
        <w:t>-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506B90D2" w14:textId="77777777" w:rsidR="006A46AE" w:rsidRPr="00C1421E" w:rsidRDefault="006A46AE" w:rsidP="006A46AE">
      <w:pPr>
        <w:rPr>
          <w:lang w:val="en-GB"/>
        </w:rPr>
      </w:pPr>
      <w:r w:rsidRPr="001C37A8">
        <w:rPr>
          <w:b/>
          <w:bCs/>
          <w:lang w:val="en-GB"/>
        </w:rPr>
        <w:t>ITU-T Y.4206 "Requirements and capabilities of user-centric work space service":</w:t>
      </w:r>
      <w:r w:rsidRPr="00C1421E">
        <w:rPr>
          <w:lang w:val="en-GB"/>
        </w:rPr>
        <w:t xml:space="preserve"> User-centric work space (UCS) service is a service capable of providing a personalized work space to its service users by orchestrating local and/or remote ICT resources [ITU-T Y.Suppl.42]. Based on the use cases of UCS service addressed by [ITU-T Y.Suppl.42], this Recommendation provides the requirements and capabilities of UCS service. The provided requirements and capabilities are necessary to implement various types of UCS services.</w:t>
      </w:r>
    </w:p>
    <w:p w14:paraId="499FA367" w14:textId="77777777" w:rsidR="006A46AE" w:rsidRPr="00C1421E" w:rsidRDefault="006A46AE" w:rsidP="006A46AE">
      <w:pPr>
        <w:rPr>
          <w:lang w:val="en-GB"/>
        </w:rPr>
      </w:pPr>
      <w:r w:rsidRPr="001C37A8">
        <w:rPr>
          <w:b/>
          <w:bCs/>
          <w:lang w:val="en-GB"/>
        </w:rPr>
        <w:t>ITU-T Y.4207 "Requirements and capability framework of smart environmental monitoring"</w:t>
      </w:r>
      <w:r w:rsidRPr="00C1421E">
        <w:rPr>
          <w:lang w:val="en-GB"/>
        </w:rPr>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requirements and capability framework are intended to be generally applicable in environmental monitoring.</w:t>
      </w:r>
    </w:p>
    <w:p w14:paraId="0C4C7B77" w14:textId="77777777" w:rsidR="006A46AE" w:rsidRPr="00C1421E" w:rsidRDefault="006A46AE" w:rsidP="006A46AE">
      <w:pPr>
        <w:rPr>
          <w:lang w:val="en-GB"/>
        </w:rPr>
      </w:pPr>
      <w:r w:rsidRPr="001C37A8">
        <w:rPr>
          <w:b/>
          <w:bCs/>
          <w:lang w:val="en-GB"/>
        </w:rPr>
        <w:t xml:space="preserve">ITU-T Y.4458 "Requirements and functional architecture of </w:t>
      </w:r>
      <w:proofErr w:type="gramStart"/>
      <w:r w:rsidRPr="001C37A8">
        <w:rPr>
          <w:b/>
          <w:bCs/>
          <w:lang w:val="en-GB"/>
        </w:rPr>
        <w:t>smart street</w:t>
      </w:r>
      <w:proofErr w:type="gramEnd"/>
      <w:r w:rsidRPr="001C37A8">
        <w:rPr>
          <w:b/>
          <w:bCs/>
          <w:lang w:val="en-GB"/>
        </w:rPr>
        <w:t xml:space="preserve"> light service"</w:t>
      </w:r>
      <w:r w:rsidRPr="00C1421E">
        <w:rPr>
          <w:lang w:val="en-GB"/>
        </w:rPr>
        <w:t xml:space="preserve"> specifies requirements and the functional architecture of smart street light (SSL) service. Related use cases of SSL service are provided in Appendix I.</w:t>
      </w:r>
    </w:p>
    <w:p w14:paraId="6D293DEC" w14:textId="77777777" w:rsidR="006A46AE" w:rsidRPr="00C1421E" w:rsidRDefault="006A46AE" w:rsidP="006A46AE">
      <w:pPr>
        <w:rPr>
          <w:lang w:val="en-GB"/>
        </w:rPr>
      </w:pPr>
      <w:r w:rsidRPr="00C1421E">
        <w:rPr>
          <w:b/>
          <w:lang w:val="en-GB"/>
        </w:rPr>
        <w:t>ITU-T Y.4459 "An architecture for IoT interoperability"</w:t>
      </w:r>
      <w:r w:rsidRPr="00C1421E">
        <w:rPr>
          <w:lang w:val="en-GB"/>
        </w:rPr>
        <w:t xml:space="preserve"> </w:t>
      </w:r>
      <w:r w:rsidRPr="006E6A13">
        <w:rPr>
          <w:lang w:val="en-GB"/>
        </w:rPr>
        <w:t>(under approval)</w:t>
      </w:r>
      <w:r w:rsidRPr="00C1421E">
        <w:rPr>
          <w:b/>
          <w:lang w:val="en-GB"/>
        </w:rPr>
        <w:t xml:space="preserve"> </w:t>
      </w:r>
      <w:r w:rsidRPr="00C1421E">
        <w:rPr>
          <w:lang w:val="en-GB"/>
        </w:rPr>
        <w:t xml:space="preserve">introduces the Digital Object Architecture (DOA) and </w:t>
      </w:r>
      <w:proofErr w:type="gramStart"/>
      <w:r w:rsidRPr="00C1421E">
        <w:rPr>
          <w:lang w:val="en-GB"/>
        </w:rPr>
        <w:t>its</w:t>
      </w:r>
      <w:proofErr w:type="gramEnd"/>
      <w:r w:rsidRPr="00C1421E">
        <w:rPr>
          <w:lang w:val="en-GB"/>
        </w:rPr>
        <w:t xml:space="preserve"> prospective in addressing security and interoperability among IoT applications.</w:t>
      </w:r>
    </w:p>
    <w:p w14:paraId="623981B1" w14:textId="77777777" w:rsidR="006A46AE" w:rsidRPr="00C1421E" w:rsidRDefault="006A46AE" w:rsidP="006A46AE">
      <w:pPr>
        <w:rPr>
          <w:lang w:val="en-GB"/>
        </w:rPr>
      </w:pPr>
      <w:r w:rsidRPr="00C1421E">
        <w:rPr>
          <w:lang w:val="en-GB"/>
        </w:rPr>
        <w:t xml:space="preserve">DOA defines a framework for information-oriented services that makes use of existing infrastructures including Internet infrastructure to enhance secure and managed information sharing over a distributed networking environment. It defines framework for information management based on the use of digital object, and a common set of secure services that will help the registration, discovery, resolution, and dissemination of such digital objects. The set of DOA </w:t>
      </w:r>
      <w:r w:rsidRPr="00C1421E">
        <w:rPr>
          <w:lang w:val="en-GB"/>
        </w:rPr>
        <w:lastRenderedPageBreak/>
        <w:t>services is designed to facilitate sharing across any storage boundaries, any heterogeneous application boundaries, and any organization boundaries.</w:t>
      </w:r>
    </w:p>
    <w:p w14:paraId="53313FFC" w14:textId="77777777" w:rsidR="006A46AE" w:rsidRPr="00C1421E" w:rsidRDefault="006A46AE" w:rsidP="006A46AE">
      <w:pPr>
        <w:rPr>
          <w:lang w:val="en-GB"/>
        </w:rPr>
      </w:pPr>
      <w:r w:rsidRPr="00C1421E">
        <w:rPr>
          <w:lang w:val="en-GB"/>
        </w:rPr>
        <w:t>DOA defines a minimum set of needed architectural components, protocols, and services to provide a generic information and service interoperability. It will facilitate the interoperability of identification, description, representation, access, storage and security of IoT devices. DOA encourages a common security and management interface across different IoT applications. Under DOA, information represented in digital form is structured as Digital Objects (DOs), each of which has an associated unique identifier, which targeted to be persistent. However, metadata contained in the DOs (e.g. location of the object) could be updated without changing its identifier.</w:t>
      </w:r>
    </w:p>
    <w:p w14:paraId="23709AD6" w14:textId="77777777" w:rsidR="006A46AE" w:rsidRPr="00C1421E" w:rsidRDefault="006A46AE" w:rsidP="006A46AE">
      <w:pPr>
        <w:rPr>
          <w:lang w:val="en-GB"/>
        </w:rPr>
      </w:pPr>
      <w:r w:rsidRPr="00C1421E">
        <w:rPr>
          <w:lang w:val="en-GB"/>
        </w:rPr>
        <w:t>The identifier allows the DOs to be identified and discovered, regardless where they are located or stored. DOs are not confined within any particular application boundary and may be moved from host to host, accessed from application to application, shared from organization to organization, without losing its ownership or management control, in order to enhance interoperability. The DO's data model allows ownership and access control information to be defined by data owners independent of any specific applications. DOA can be used in line with different identification and addressing protocols (e.g. IP and/or non IP based networks).</w:t>
      </w:r>
    </w:p>
    <w:p w14:paraId="31F0D9FC" w14:textId="77777777" w:rsidR="006A46AE" w:rsidRPr="00C1421E" w:rsidRDefault="006A46AE" w:rsidP="006A46AE">
      <w:pPr>
        <w:rPr>
          <w:lang w:val="en-GB"/>
        </w:rPr>
      </w:pPr>
      <w:r w:rsidRPr="00C1421E">
        <w:rPr>
          <w:b/>
          <w:lang w:val="en-GB"/>
        </w:rPr>
        <w:t xml:space="preserve">ITU-T Y.4460 "Architectural reference models of devices for IoT applications": </w:t>
      </w:r>
      <w:r w:rsidRPr="00C1421E">
        <w:rPr>
          <w:lang w:val="en-GB"/>
        </w:rPr>
        <w:t>Processing power and communication capabilities define how the device communicates and interacts with other entities in an IoT solution. By correlating the processing and communication capabilities classifications, it is possible to enumerate three types of devices:</w:t>
      </w:r>
    </w:p>
    <w:p w14:paraId="7FE77501" w14:textId="77777777" w:rsidR="006A46AE" w:rsidRPr="00C1421E" w:rsidRDefault="006A46AE" w:rsidP="006A46AE">
      <w:pPr>
        <w:rPr>
          <w:lang w:val="en-GB"/>
        </w:rPr>
      </w:pPr>
      <w:r w:rsidRPr="00C1421E">
        <w:rPr>
          <w:lang w:val="en-GB"/>
        </w:rPr>
        <w:t>•</w:t>
      </w:r>
      <w:r w:rsidRPr="00C1421E">
        <w:rPr>
          <w:lang w:val="en-GB"/>
        </w:rPr>
        <w:tab/>
        <w:t>Low processing and low connectivity device - LPLC device;</w:t>
      </w:r>
    </w:p>
    <w:p w14:paraId="6D80AD1C" w14:textId="77777777" w:rsidR="006A46AE" w:rsidRPr="00C1421E" w:rsidRDefault="006A46AE" w:rsidP="006A46AE">
      <w:pPr>
        <w:rPr>
          <w:lang w:val="en-GB"/>
        </w:rPr>
      </w:pPr>
      <w:r w:rsidRPr="00C1421E">
        <w:rPr>
          <w:lang w:val="en-GB"/>
        </w:rPr>
        <w:t>•</w:t>
      </w:r>
      <w:r w:rsidRPr="00C1421E">
        <w:rPr>
          <w:lang w:val="en-GB"/>
        </w:rPr>
        <w:tab/>
        <w:t>Low processing and high connectivity device - LPHC device;</w:t>
      </w:r>
    </w:p>
    <w:p w14:paraId="7C7DEDD9" w14:textId="77777777" w:rsidR="006A46AE" w:rsidRPr="00C1421E" w:rsidRDefault="006A46AE" w:rsidP="006A46AE">
      <w:pPr>
        <w:rPr>
          <w:lang w:val="en-GB"/>
        </w:rPr>
      </w:pPr>
      <w:r w:rsidRPr="00C1421E">
        <w:rPr>
          <w:lang w:val="en-GB"/>
        </w:rPr>
        <w:t>•</w:t>
      </w:r>
      <w:r w:rsidRPr="00C1421E">
        <w:rPr>
          <w:lang w:val="en-GB"/>
        </w:rPr>
        <w:tab/>
        <w:t>High processing and high connectivity device - HPHC device.</w:t>
      </w:r>
    </w:p>
    <w:p w14:paraId="061AA694" w14:textId="77777777" w:rsidR="006A46AE" w:rsidRPr="00C1421E" w:rsidRDefault="006A46AE" w:rsidP="006A46AE">
      <w:pPr>
        <w:rPr>
          <w:lang w:val="en-GB"/>
        </w:rPr>
      </w:pPr>
      <w:r w:rsidRPr="00C1421E">
        <w:rPr>
          <w:lang w:val="en-GB"/>
        </w:rPr>
        <w:t>This Recommendation describes the architectural reference models of devices for IoT applications, based on a classification of devices defined by processing power and communication capabilities. The architectural reference models described also includes the device's functional entities and the functional entities interaction for each device's architectural reference model.</w:t>
      </w:r>
    </w:p>
    <w:p w14:paraId="47754246" w14:textId="77777777" w:rsidR="006A46AE" w:rsidRPr="00C1421E" w:rsidRDefault="006A46AE" w:rsidP="006A46AE">
      <w:pPr>
        <w:rPr>
          <w:lang w:val="en-GB"/>
        </w:rPr>
      </w:pPr>
      <w:r w:rsidRPr="00C1421E">
        <w:rPr>
          <w:lang w:val="en-GB"/>
        </w:rPr>
        <w:t>Note: Devices with no processing capabilities are also not considered on this Recommendation because they are simple devices (ID Tags) that were defined on ITU-T Y.2213.</w:t>
      </w:r>
    </w:p>
    <w:p w14:paraId="787C4E58" w14:textId="77777777" w:rsidR="006A46AE" w:rsidRPr="00C1421E" w:rsidRDefault="006A46AE" w:rsidP="006A46AE">
      <w:pPr>
        <w:rPr>
          <w:lang w:val="en-GB"/>
        </w:rPr>
      </w:pPr>
      <w:r w:rsidRPr="001C37A8">
        <w:rPr>
          <w:b/>
          <w:bCs/>
          <w:lang w:val="en-GB"/>
        </w:rPr>
        <w:t>ITU-T Y.4555 "Service functionalities of self-quantification over Internet of things"</w:t>
      </w:r>
      <w:r w:rsidRPr="00C1421E">
        <w:rPr>
          <w:lang w:val="en-GB"/>
        </w:rPr>
        <w:t xml:space="preserve"> describes service functionalities of self-quantification over Internet of things. It clarifies the concept of self-quantification services, identifies their considerations, and specifies their requirements and functionalities.</w:t>
      </w:r>
    </w:p>
    <w:p w14:paraId="53D67AC8" w14:textId="77777777" w:rsidR="006A46AE" w:rsidRPr="00C1421E" w:rsidRDefault="006A46AE" w:rsidP="006A46AE">
      <w:pPr>
        <w:rPr>
          <w:lang w:val="en-GB"/>
        </w:rPr>
      </w:pPr>
      <w:r w:rsidRPr="001C37A8">
        <w:rPr>
          <w:b/>
          <w:bCs/>
          <w:lang w:val="en-GB"/>
        </w:rPr>
        <w:t>ITU-T Y.4556 "Requirements and functional architecture of smart residential community"</w:t>
      </w:r>
      <w:r w:rsidRPr="00C1421E">
        <w:rPr>
          <w:lang w:val="en-GB"/>
        </w:rPr>
        <w:t xml:space="preserve"> </w:t>
      </w:r>
      <w:r w:rsidRPr="006E6A13">
        <w:rPr>
          <w:bCs/>
          <w:lang w:val="en-GB"/>
        </w:rPr>
        <w:t>(under approval)</w:t>
      </w:r>
      <w:r w:rsidRPr="001C37A8">
        <w:rPr>
          <w:b/>
          <w:bCs/>
          <w:lang w:val="en-GB"/>
        </w:rPr>
        <w:t xml:space="preserve"> </w:t>
      </w:r>
      <w:r w:rsidRPr="00C1421E">
        <w:rPr>
          <w:lang w:val="en-GB"/>
        </w:rPr>
        <w:t>presents the key components and specifies requirements and the functional architecture of smart residential community (SRC).</w:t>
      </w:r>
    </w:p>
    <w:p w14:paraId="66312B63" w14:textId="77777777" w:rsidR="006A46AE" w:rsidRPr="00C1421E" w:rsidRDefault="006A46AE" w:rsidP="006A46AE">
      <w:pPr>
        <w:rPr>
          <w:lang w:val="en-GB"/>
        </w:rPr>
      </w:pPr>
      <w:r w:rsidRPr="001C37A8">
        <w:rPr>
          <w:b/>
          <w:bCs/>
          <w:lang w:val="en-GB"/>
        </w:rPr>
        <w:t>ITU-T Y.4904 "Smart sustainable cities maturity model"</w:t>
      </w:r>
      <w:r w:rsidRPr="00C1421E">
        <w:rPr>
          <w:lang w:val="en-GB"/>
        </w:rPr>
        <w:t xml:space="preserve"> (under approval)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075A61EA" w14:textId="77777777" w:rsidR="006A46AE" w:rsidRPr="00C1421E" w:rsidRDefault="006A46AE" w:rsidP="006A46AE">
      <w:pPr>
        <w:rPr>
          <w:lang w:val="en-GB"/>
        </w:rPr>
      </w:pPr>
      <w:r w:rsidRPr="001C37A8">
        <w:rPr>
          <w:b/>
          <w:bCs/>
          <w:lang w:val="en-GB"/>
        </w:rPr>
        <w:t>ITU-T Y.4905 "Smart sustainable city impact assessment"</w:t>
      </w:r>
      <w:r w:rsidRPr="00C1421E">
        <w:rPr>
          <w:lang w:val="en-GB"/>
        </w:rPr>
        <w:t xml:space="preserve">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w:t>
      </w:r>
      <w:r w:rsidRPr="00C1421E">
        <w:rPr>
          <w:lang w:val="en-GB"/>
        </w:rPr>
        <w:lastRenderedPageBreak/>
        <w:t>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316B0588" w14:textId="77777777" w:rsidR="006A46AE" w:rsidRPr="00C1421E" w:rsidRDefault="006A46AE" w:rsidP="006A46AE">
      <w:pPr>
        <w:rPr>
          <w:lang w:val="en-GB"/>
        </w:rPr>
      </w:pPr>
      <w:r w:rsidRPr="001C37A8">
        <w:rPr>
          <w:b/>
          <w:bCs/>
          <w:lang w:val="en-GB"/>
        </w:rPr>
        <w:t>ITU-T Y.4906 "Assessment framework for digital transformation of sectors in smart cities</w:t>
      </w:r>
      <w:proofErr w:type="gramStart"/>
      <w:r w:rsidRPr="001C37A8">
        <w:rPr>
          <w:b/>
          <w:bCs/>
          <w:lang w:val="en-GB"/>
        </w:rPr>
        <w:t xml:space="preserve">" </w:t>
      </w:r>
      <w:r w:rsidRPr="00C1421E">
        <w:rPr>
          <w:lang w:val="en-GB"/>
        </w:rPr>
        <w:t>:</w:t>
      </w:r>
      <w:proofErr w:type="gramEnd"/>
      <w:r w:rsidRPr="00C1421E">
        <w:rPr>
          <w:lang w:val="en-GB"/>
        </w:rPr>
        <w:t xml:space="preserve"> The ultimate objective of this recommendation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w:t>
      </w:r>
    </w:p>
    <w:p w14:paraId="71BFFCBB" w14:textId="77777777" w:rsidR="006A46AE" w:rsidRPr="00C1421E" w:rsidRDefault="006A46AE" w:rsidP="006A46AE">
      <w:pPr>
        <w:rPr>
          <w:lang w:val="en-GB"/>
        </w:rPr>
      </w:pPr>
      <w:r w:rsidRPr="00C1421E">
        <w:rPr>
          <w:b/>
          <w:lang w:val="en-GB"/>
        </w:rPr>
        <w:t xml:space="preserve">ITU-T Y.Sup.52 to ITU-T Y.4000 series "Methodology for building digital capabilities during enterprises' digital transformation": </w:t>
      </w:r>
      <w:r w:rsidRPr="00C1421E">
        <w:rPr>
          <w:lang w:val="en-GB"/>
        </w:rPr>
        <w:t xml:space="preserve">This methodology can help enterprises to address the challenges of integrating ICT applications into business activities to enhance the digital capability during digital transformation. </w:t>
      </w:r>
      <w:proofErr w:type="gramStart"/>
      <w:r w:rsidRPr="00C1421E">
        <w:rPr>
          <w:lang w:val="en-GB"/>
        </w:rPr>
        <w:t>and</w:t>
      </w:r>
      <w:proofErr w:type="gramEnd"/>
      <w:r w:rsidRPr="00C1421E">
        <w:rPr>
          <w:lang w:val="en-GB"/>
        </w:rPr>
        <w:t xml:space="preserve"> achieve the following during their digital transformation:</w:t>
      </w:r>
    </w:p>
    <w:p w14:paraId="6D4F9954" w14:textId="77777777" w:rsidR="006A46AE" w:rsidRPr="00C1421E" w:rsidRDefault="006A46AE" w:rsidP="006A46AE">
      <w:pPr>
        <w:rPr>
          <w:lang w:val="en-GB"/>
        </w:rPr>
      </w:pPr>
      <w:r w:rsidRPr="00C1421E">
        <w:rPr>
          <w:lang w:val="en-GB"/>
        </w:rPr>
        <w:t>– making full use of ICTs to optimize business processes, improve organizational efficiency and strengthen the utilization of data resources;</w:t>
      </w:r>
    </w:p>
    <w:p w14:paraId="21BA0E0C" w14:textId="77777777" w:rsidR="006A46AE" w:rsidRPr="00C1421E" w:rsidRDefault="006A46AE" w:rsidP="006A46AE">
      <w:pPr>
        <w:rPr>
          <w:lang w:val="en-GB"/>
        </w:rPr>
      </w:pPr>
      <w:r w:rsidRPr="00C1421E">
        <w:rPr>
          <w:lang w:val="en-GB"/>
        </w:rPr>
        <w:t>– ensuring that ICT applications become consistent and coordinated with enterprises' strategies;</w:t>
      </w:r>
    </w:p>
    <w:p w14:paraId="79B9B6CD" w14:textId="77777777" w:rsidR="006A46AE" w:rsidRPr="00C1421E" w:rsidRDefault="006A46AE" w:rsidP="006A46AE">
      <w:pPr>
        <w:rPr>
          <w:lang w:val="en-GB"/>
        </w:rPr>
      </w:pPr>
      <w:r w:rsidRPr="00C1421E">
        <w:rPr>
          <w:lang w:val="en-GB"/>
        </w:rPr>
        <w:t>– using ICTs to build digital capabilities can increase the enterprises' economic benefits.</w:t>
      </w:r>
    </w:p>
    <w:p w14:paraId="64A6CB82" w14:textId="77777777" w:rsidR="006A46AE" w:rsidRPr="001C37A8" w:rsidRDefault="006A46AE" w:rsidP="006A46AE">
      <w:pPr>
        <w:rPr>
          <w:b/>
          <w:bCs/>
          <w:lang w:val="en-GB"/>
        </w:rPr>
      </w:pPr>
      <w:r w:rsidRPr="001C37A8">
        <w:rPr>
          <w:b/>
          <w:bCs/>
          <w:lang w:val="en-GB"/>
        </w:rPr>
        <w:t xml:space="preserve">ITU-T Y.Sup.53 to ITU-T Y.4000 series "IoT Use Cases": </w:t>
      </w:r>
      <w:r w:rsidRPr="00C1421E">
        <w:rPr>
          <w:lang w:val="en-GB"/>
        </w:rPr>
        <w:t>Provides use cases related to different application domains of the Internet of Things.</w:t>
      </w:r>
    </w:p>
    <w:p w14:paraId="6DDA2FF0" w14:textId="77777777" w:rsidR="006A46AE" w:rsidRPr="00C1421E" w:rsidRDefault="006A46AE" w:rsidP="006A46AE">
      <w:pPr>
        <w:rPr>
          <w:lang w:val="en-GB"/>
        </w:rPr>
      </w:pPr>
      <w:r w:rsidRPr="001C37A8">
        <w:rPr>
          <w:b/>
          <w:bCs/>
          <w:lang w:val="en-GB"/>
        </w:rPr>
        <w:t xml:space="preserve">ITU-T Y.Sup.54 to ITU-T Y.4000 series "Framework for Home Environment Profiles and Levels of IoT Systems": </w:t>
      </w:r>
      <w:r w:rsidRPr="00C1421E">
        <w:rPr>
          <w:lang w:val="en-GB"/>
        </w:rPr>
        <w:t xml:space="preserve">establishes a set of data fields that reflect consumer preferences for IoT‑enabled devices in specific environments. These data fields could be incorporated into a consumer device, stored in some fashion, and used by compatible IoT devices in the home and elsewhere to automatically implement those </w:t>
      </w:r>
      <w:proofErr w:type="spellStart"/>
      <w:r w:rsidRPr="00C1421E">
        <w:rPr>
          <w:lang w:val="en-GB"/>
        </w:rPr>
        <w:t>preset</w:t>
      </w:r>
      <w:proofErr w:type="spellEnd"/>
      <w:r w:rsidRPr="00C1421E">
        <w:rPr>
          <w:lang w:val="en-GB"/>
        </w:rPr>
        <w:t xml:space="preserve"> user preferences.</w:t>
      </w:r>
    </w:p>
    <w:p w14:paraId="666DF1BD" w14:textId="77777777" w:rsidR="006A46AE" w:rsidRPr="00C1421E" w:rsidRDefault="006A46AE" w:rsidP="006A46AE">
      <w:pPr>
        <w:pStyle w:val="Headingb"/>
      </w:pPr>
      <w:bookmarkStart w:id="230" w:name="_Toc480527902"/>
      <w:r w:rsidRPr="00C1421E">
        <w:t>I.4.4</w:t>
      </w:r>
      <w:r w:rsidRPr="00C1421E">
        <w:tab/>
        <w:t>Connected vehicles, automated driving and intelligent transport systems</w:t>
      </w:r>
      <w:bookmarkEnd w:id="230"/>
    </w:p>
    <w:p w14:paraId="22DFBAB3" w14:textId="77777777" w:rsidR="006A46AE" w:rsidRPr="00C1421E" w:rsidRDefault="006A46AE" w:rsidP="006A46AE">
      <w:pPr>
        <w:pStyle w:val="Headingb"/>
      </w:pPr>
      <w:r w:rsidRPr="00C1421E">
        <w:t>I.4.5</w:t>
      </w:r>
      <w:r w:rsidRPr="00C1421E">
        <w:tab/>
        <w:t>Connected health: e-Health</w:t>
      </w:r>
    </w:p>
    <w:p w14:paraId="7C0A3319" w14:textId="77777777" w:rsidR="006A46AE" w:rsidRPr="001C37A8" w:rsidRDefault="006A46AE" w:rsidP="006A46AE">
      <w:r w:rsidRPr="001C37A8">
        <w:rPr>
          <w:b/>
          <w:bCs/>
        </w:rPr>
        <w:t>ITU-T T F.780.1 "Framework for telemedicine systems using ultra-high definition imaging"</w:t>
      </w:r>
      <w:r w:rsidRPr="001C37A8">
        <w:t xml:space="preserve"> describes requirements for using ultra-high definition (UHD) imaging, such as 4K and 8K video, for telemedicine. The purpose of these requirements is to use UHD systems as part of endoscope and/or </w:t>
      </w:r>
      <w:proofErr w:type="spellStart"/>
      <w:r w:rsidRPr="001C37A8">
        <w:t>microsope</w:t>
      </w:r>
      <w:proofErr w:type="spellEnd"/>
      <w:r w:rsidRPr="001C37A8">
        <w:t xml:space="preserve"> for medical practices. This document also describes a list of requirements for using a UHD-based "</w:t>
      </w:r>
      <w:proofErr w:type="spellStart"/>
      <w:r w:rsidRPr="001C37A8">
        <w:t>endosopic</w:t>
      </w:r>
      <w:proofErr w:type="spellEnd"/>
      <w:r w:rsidRPr="001C37A8">
        <w:t xml:space="preserve"> video camera" as a medical device. In addition, Annex A describes the requirements on the use of this technology as a medical device.</w:t>
      </w:r>
    </w:p>
    <w:p w14:paraId="2E5750A0" w14:textId="77777777" w:rsidR="006A46AE" w:rsidRPr="00C1421E" w:rsidRDefault="006A46AE" w:rsidP="006A46AE">
      <w:pPr>
        <w:rPr>
          <w:lang w:val="en-GB"/>
        </w:rPr>
      </w:pPr>
      <w:r w:rsidRPr="00C1421E">
        <w:rPr>
          <w:b/>
          <w:bCs/>
          <w:lang w:val="en-GB"/>
        </w:rPr>
        <w:t>ITU-T H.846 (revised) "Conformance of ITU-T H.810 personal health system: Personal Health Devices interface Part 6: Device specializations: Personal Health Gateway"</w:t>
      </w:r>
      <w:r w:rsidRPr="00C1421E">
        <w:rPr>
          <w:lang w:val="en-GB"/>
        </w:rPr>
        <w:t xml:space="preserve"> provides a test suite structure (TSS) and the test purposes (TP) for Personal Health Gateways in the Personal Health Devices (PHD) interface, based on the requirements defined in the Recommendations of the ITU-T H.810 sub-series, of which Recommendation ITU-T H.810 (2017) is the base Recommendation. The objective of this test specification is to provide a high probability of interoperability at this interface.</w:t>
      </w:r>
    </w:p>
    <w:p w14:paraId="66BCDE6B" w14:textId="77777777" w:rsidR="006A46AE" w:rsidRPr="00C1421E" w:rsidRDefault="006A46AE" w:rsidP="006A46AE">
      <w:pPr>
        <w:rPr>
          <w:lang w:val="en-GB"/>
        </w:rPr>
      </w:pPr>
      <w:r w:rsidRPr="00C1421E">
        <w:rPr>
          <w:lang w:val="en-GB"/>
        </w:rPr>
        <w:t>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w:t>
      </w:r>
    </w:p>
    <w:p w14:paraId="76AD95F8" w14:textId="77777777" w:rsidR="006A46AE" w:rsidRPr="00C1421E" w:rsidRDefault="006A46AE" w:rsidP="006A46AE">
      <w:pPr>
        <w:rPr>
          <w:lang w:val="en-GB"/>
        </w:rPr>
      </w:pPr>
      <w:r w:rsidRPr="00C1421E">
        <w:rPr>
          <w:lang w:val="en-GB"/>
        </w:rPr>
        <w:lastRenderedPageBreak/>
        <w:t>This Recommendation includes an electronic attachment with the protocol implementation conformance statements (PICS) and the protocol implementation extra information for testing (PIXIT) required for the implementation of Annex A.</w:t>
      </w:r>
    </w:p>
    <w:p w14:paraId="7C5F48E5" w14:textId="77777777" w:rsidR="006A46AE" w:rsidRPr="00C1421E" w:rsidRDefault="006A46AE" w:rsidP="006A46AE">
      <w:pPr>
        <w:rPr>
          <w:highlight w:val="yellow"/>
          <w:lang w:val="en-GB"/>
        </w:rPr>
      </w:pPr>
      <w:r w:rsidRPr="00C1421E">
        <w:rPr>
          <w:lang w:val="en-GB"/>
        </w:rPr>
        <w:t>This revision includes the Power Status Monitor of Personal Health Devices device specialization (ISO/IEEE 11073-10427:2018) test cases as well as minor corrections.</w:t>
      </w:r>
    </w:p>
    <w:p w14:paraId="6E7C787E" w14:textId="77777777" w:rsidR="006A46AE" w:rsidRPr="00C1421E" w:rsidRDefault="006A46AE" w:rsidP="006A46AE">
      <w:pPr>
        <w:rPr>
          <w:lang w:val="en-GB"/>
        </w:rPr>
      </w:pPr>
      <w:r w:rsidRPr="001C37A8">
        <w:rPr>
          <w:b/>
          <w:bCs/>
          <w:lang w:val="en-GB"/>
        </w:rPr>
        <w:t>ITU-T H.849 (revised) "Conformance of ITU-T H.810 personal health system: Personal Health Devices interface Part 9: Transcoding for Bluetooth Low Energy: Personal Health Devices"</w:t>
      </w:r>
      <w:r w:rsidRPr="00C1421E">
        <w:rPr>
          <w:lang w:val="en-GB"/>
        </w:rPr>
        <w:t xml:space="preserve"> provides a test suite structure (TSS) and the test purposes (TP) for the transcoding by personal health devices in the Personal Health Devices (PHD) interface of application-level data between the Bluetooth Low Energy Bluetooth Generic Attribute Profile format and the IEEE 11073-20601 data format, based on the requirements defined in the Recommendations of the ITU T H.810 sub-series, of which Recommendation ITU-T H.810 (2017) is the base Recommendation. The objective of this test specification is to provide a high probability of interoperability at this interface.</w:t>
      </w:r>
    </w:p>
    <w:p w14:paraId="38276AFE" w14:textId="77777777" w:rsidR="006A46AE" w:rsidRPr="001C37A8" w:rsidRDefault="006A46AE" w:rsidP="006A46AE">
      <w:pPr>
        <w:outlineLvl w:val="1"/>
        <w:rPr>
          <w:lang w:val="en-GB"/>
        </w:rPr>
      </w:pPr>
      <w:r w:rsidRPr="001C37A8">
        <w:rPr>
          <w:lang w:val="en-GB"/>
        </w:rPr>
        <w:t>Recommendation ITU-T H.849 is a transposition of Continua Test Tool DG2016, Test Suite Structure &amp; Test Purposes, Personal Health Devices Interface; Part 9: PHD Transcoding Whitepaper. Personal Health Device BLE (Version 1.6, 2016-09-20), that was developed by the Personal Connected Health Alliance. A number of versions of this specification existed before transposition.</w:t>
      </w:r>
    </w:p>
    <w:p w14:paraId="5B40576E" w14:textId="77777777" w:rsidR="006A46AE" w:rsidRPr="00C1421E" w:rsidRDefault="006A46AE" w:rsidP="006A46AE">
      <w:pPr>
        <w:rPr>
          <w:lang w:val="en-GB"/>
        </w:rPr>
      </w:pPr>
      <w:r w:rsidRPr="00C1421E">
        <w:rPr>
          <w:lang w:val="en-GB"/>
        </w:rPr>
        <w:t>This Recommendation includes an electronic attachment with the protocol implementation conformance statements (PICS) and the protocol implementation extra information for testing (PIXIT) required for the implementation of Annex A.</w:t>
      </w:r>
    </w:p>
    <w:p w14:paraId="4E6709E6" w14:textId="77777777" w:rsidR="006A46AE" w:rsidRPr="00C1421E" w:rsidRDefault="006A46AE" w:rsidP="006A46AE">
      <w:pPr>
        <w:rPr>
          <w:lang w:val="en-GB"/>
        </w:rPr>
      </w:pPr>
      <w:r w:rsidRPr="00C1421E">
        <w:rPr>
          <w:lang w:val="en-GB"/>
        </w:rPr>
        <w:t>This revision provides updates account for the inclusion of pulse oximeter and continuous glucose monitoring Bluetooth Low Energy profile test cases.</w:t>
      </w:r>
    </w:p>
    <w:p w14:paraId="61F3AED2" w14:textId="77777777" w:rsidR="006A46AE" w:rsidRPr="00C1421E" w:rsidRDefault="006A46AE" w:rsidP="006A46AE">
      <w:pPr>
        <w:rPr>
          <w:lang w:val="en-GB"/>
        </w:rPr>
      </w:pPr>
      <w:bookmarkStart w:id="231" w:name="H871"/>
      <w:r w:rsidRPr="001C37A8">
        <w:rPr>
          <w:b/>
          <w:bCs/>
          <w:lang w:val="en-GB"/>
        </w:rPr>
        <w:t>ITU-T H.871</w:t>
      </w:r>
      <w:bookmarkEnd w:id="231"/>
      <w:r w:rsidRPr="001C37A8">
        <w:rPr>
          <w:b/>
          <w:bCs/>
          <w:lang w:val="en-GB"/>
        </w:rPr>
        <w:t xml:space="preserve"> "Safe listening guidelines for personal sound amplifiers"</w:t>
      </w:r>
      <w:r w:rsidRPr="00C1421E">
        <w:rPr>
          <w:lang w:val="en-GB"/>
        </w:rPr>
        <w:t xml:space="preserve"> complements recommendation ITU-T H.870 "Guidelines for safe listening devices/systems": There is currently no international standard for Personal Sound Amplifiers (PSAs), which is needed to ensure these devices are safe for the user and do not further damage the users hearing, since they are freely available to anyone.</w:t>
      </w:r>
    </w:p>
    <w:p w14:paraId="5C868834" w14:textId="77777777" w:rsidR="006A46AE" w:rsidRPr="001C37A8" w:rsidRDefault="006A46AE" w:rsidP="006A46AE">
      <w:r w:rsidRPr="001C37A8">
        <w:t>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w:t>
      </w:r>
    </w:p>
    <w:p w14:paraId="30240B88" w14:textId="77777777" w:rsidR="006A46AE" w:rsidRPr="001C37A8" w:rsidRDefault="006A46AE" w:rsidP="006A46AE">
      <w:r w:rsidRPr="001C37A8">
        <w:t xml:space="preserve">As is defined in H.870, the sound exposure should be limited to an accumulated dose (100 % CSD) over 7 days of in total 1.6 Pa2h which corresponds to 80 </w:t>
      </w:r>
      <w:proofErr w:type="spellStart"/>
      <w:r w:rsidRPr="001C37A8">
        <w:t>dBA</w:t>
      </w:r>
      <w:proofErr w:type="spellEnd"/>
      <w:r w:rsidRPr="001C37A8">
        <w:t xml:space="preserve"> for 40 hours to prevent noise induced hearing loss. When the 100% CSD is reached, the sound level should suddenly drop, and the user will get the suggestion to lower the sound level, since the weekly sound listening dose is exceeded.</w:t>
      </w:r>
    </w:p>
    <w:p w14:paraId="71DB35AC" w14:textId="77777777" w:rsidR="006A46AE" w:rsidRPr="00C1421E" w:rsidRDefault="006A46AE" w:rsidP="006A46AE">
      <w:pPr>
        <w:rPr>
          <w:highlight w:val="yellow"/>
          <w:lang w:val="en-GB"/>
        </w:rPr>
      </w:pPr>
      <w:r w:rsidRPr="00C1421E">
        <w:rPr>
          <w:lang w:val="en-GB"/>
        </w:rPr>
        <w:t xml:space="preserve">When PSAPs and PSAAs do not have the capacity to measure CSD, the output level of the device needs to be permanently limited to 95 </w:t>
      </w:r>
      <w:proofErr w:type="spellStart"/>
      <w:r w:rsidRPr="00C1421E">
        <w:rPr>
          <w:lang w:val="en-GB"/>
        </w:rPr>
        <w:t>dBA</w:t>
      </w:r>
      <w:proofErr w:type="spellEnd"/>
      <w:r w:rsidRPr="00C1421E">
        <w:rPr>
          <w:lang w:val="en-GB"/>
        </w:rPr>
        <w:t xml:space="preserve">, so that the user is unlikely to use the device at a level higher than 80 </w:t>
      </w:r>
      <w:proofErr w:type="spellStart"/>
      <w:r w:rsidRPr="00C1421E">
        <w:rPr>
          <w:lang w:val="en-GB"/>
        </w:rPr>
        <w:t>dBA</w:t>
      </w:r>
      <w:proofErr w:type="spellEnd"/>
      <w:r w:rsidRPr="00C1421E">
        <w:rPr>
          <w:lang w:val="en-GB"/>
        </w:rPr>
        <w:t xml:space="preserve">, since the dynamic range of speech has a crest factor of 12 to 17 </w:t>
      </w:r>
      <w:proofErr w:type="spellStart"/>
      <w:r w:rsidRPr="00C1421E">
        <w:rPr>
          <w:lang w:val="en-GB"/>
        </w:rPr>
        <w:t>dB.</w:t>
      </w:r>
      <w:proofErr w:type="spellEnd"/>
    </w:p>
    <w:p w14:paraId="01A6FC74" w14:textId="77777777" w:rsidR="006A46AE" w:rsidRPr="00C1421E" w:rsidRDefault="006A46AE" w:rsidP="006A46AE">
      <w:pPr>
        <w:pStyle w:val="Headingb"/>
      </w:pPr>
      <w:bookmarkStart w:id="232" w:name="_Toc480527903"/>
      <w:r w:rsidRPr="00C1421E">
        <w:t>I.5.1</w:t>
      </w:r>
      <w:r w:rsidRPr="00C1421E">
        <w:tab/>
        <w:t>New security standards</w:t>
      </w:r>
      <w:bookmarkEnd w:id="232"/>
    </w:p>
    <w:p w14:paraId="7E2F9014" w14:textId="77777777" w:rsidR="006A46AE" w:rsidRPr="00C1421E" w:rsidRDefault="006A46AE" w:rsidP="006A46AE">
      <w:pPr>
        <w:rPr>
          <w:lang w:val="en-GB"/>
        </w:rPr>
      </w:pPr>
      <w:r w:rsidRPr="001C37A8">
        <w:rPr>
          <w:b/>
          <w:bCs/>
          <w:lang w:val="en-GB"/>
        </w:rPr>
        <w:t>ITU-T X.1042 "Security services using the software-defined networking"</w:t>
      </w:r>
      <w:r w:rsidRPr="00C1421E">
        <w:rPr>
          <w:lang w:val="en-GB"/>
        </w:rPr>
        <w:t xml:space="preserve"> supports the protection of network resources using security services based on software-defined networking (SDN). This Recommendation first classifies the network resources for SDN-based security services: SDN application, SDN controller, SDN switch and security manager (SM). This Recommendation then defines security services based on SDN.</w:t>
      </w:r>
    </w:p>
    <w:p w14:paraId="01B75A56" w14:textId="77777777" w:rsidR="006A46AE" w:rsidRPr="00C1421E" w:rsidRDefault="006A46AE" w:rsidP="006A46AE">
      <w:pPr>
        <w:rPr>
          <w:lang w:val="en-GB"/>
        </w:rPr>
      </w:pPr>
      <w:r w:rsidRPr="001C37A8">
        <w:rPr>
          <w:b/>
          <w:bCs/>
          <w:lang w:val="en-GB"/>
        </w:rPr>
        <w:lastRenderedPageBreak/>
        <w:t>ITU-T X.1043 "Security framework and requirements of service function chain based on software-defined networking"</w:t>
      </w:r>
      <w:r w:rsidRPr="00C1421E">
        <w:rPr>
          <w:lang w:val="en-GB"/>
        </w:rPr>
        <w:t xml:space="preserve"> analyses security threats to the software-defined networking (SDN) based service function chain (SFC) and defines security requirements. The corresponding security countermeasures are also given. This Recommendation helps the reader to understand the security risks encountered when using the SDN-based SFC and further help to develop and implement secure service chain architecture.</w:t>
      </w:r>
    </w:p>
    <w:p w14:paraId="7211590D" w14:textId="77777777" w:rsidR="006A46AE" w:rsidRPr="00C1421E" w:rsidRDefault="006A46AE" w:rsidP="006A46AE">
      <w:pPr>
        <w:rPr>
          <w:lang w:val="en-GB"/>
        </w:rPr>
      </w:pPr>
      <w:r w:rsidRPr="001C37A8">
        <w:rPr>
          <w:b/>
          <w:bCs/>
          <w:lang w:val="en-GB"/>
        </w:rPr>
        <w:t>ITU-T X.1093 "</w:t>
      </w:r>
      <w:proofErr w:type="spellStart"/>
      <w:r w:rsidRPr="001C37A8">
        <w:rPr>
          <w:b/>
          <w:bCs/>
          <w:lang w:val="en-GB"/>
        </w:rPr>
        <w:t>Telebiometric</w:t>
      </w:r>
      <w:proofErr w:type="spellEnd"/>
      <w:r w:rsidRPr="001C37A8">
        <w:rPr>
          <w:b/>
          <w:bCs/>
          <w:lang w:val="en-GB"/>
        </w:rPr>
        <w:t xml:space="preserve"> access control with smart ID cards"</w:t>
      </w:r>
      <w:r w:rsidRPr="00C1421E">
        <w:rPr>
          <w:lang w:val="en-GB"/>
        </w:rPr>
        <w:t xml:space="preserve"> describes the general scheme for logical and/or physical access control using the biometrics-on-card. This Recommendation can be applied to the recent emerging area of requiring secure physical and also logical access control management.</w:t>
      </w:r>
    </w:p>
    <w:p w14:paraId="1E923054" w14:textId="77777777" w:rsidR="006A46AE" w:rsidRPr="00C1421E" w:rsidRDefault="006A46AE" w:rsidP="006A46AE">
      <w:pPr>
        <w:rPr>
          <w:lang w:val="en-GB"/>
        </w:rPr>
      </w:pPr>
      <w:r w:rsidRPr="001C37A8">
        <w:rPr>
          <w:b/>
          <w:bCs/>
          <w:lang w:val="en-GB"/>
        </w:rPr>
        <w:t>ITU-T X.1094 "</w:t>
      </w:r>
      <w:proofErr w:type="spellStart"/>
      <w:r w:rsidRPr="001C37A8">
        <w:rPr>
          <w:b/>
          <w:bCs/>
          <w:lang w:val="en-GB"/>
        </w:rPr>
        <w:t>Telebiometric</w:t>
      </w:r>
      <w:proofErr w:type="spellEnd"/>
      <w:r w:rsidRPr="001C37A8">
        <w:rPr>
          <w:b/>
          <w:bCs/>
          <w:lang w:val="en-GB"/>
        </w:rPr>
        <w:t xml:space="preserve"> authentication using </w:t>
      </w:r>
      <w:proofErr w:type="spellStart"/>
      <w:r w:rsidRPr="001C37A8">
        <w:rPr>
          <w:b/>
          <w:bCs/>
          <w:lang w:val="en-GB"/>
        </w:rPr>
        <w:t>biosignals</w:t>
      </w:r>
      <w:proofErr w:type="spellEnd"/>
      <w:r w:rsidRPr="001C37A8">
        <w:rPr>
          <w:b/>
          <w:bCs/>
          <w:lang w:val="en-GB"/>
        </w:rPr>
        <w:t>"</w:t>
      </w:r>
      <w:r w:rsidRPr="00C1421E">
        <w:rPr>
          <w:lang w:val="en-GB"/>
        </w:rPr>
        <w:t xml:space="preserve">: Biometric technology in mobile devices is frequently used in various areas that require a high level of reliability, such as smart car, e-banking, e-payment, telemedicine and e-healthcare services. In particular, it is necessary to implement countermeasures, which can pre-emptively cope with fake physiological biometrics to ensure mobile </w:t>
      </w:r>
      <w:proofErr w:type="spellStart"/>
      <w:r w:rsidRPr="00C1421E">
        <w:rPr>
          <w:lang w:val="en-GB"/>
        </w:rPr>
        <w:t>telebiometric</w:t>
      </w:r>
      <w:proofErr w:type="spellEnd"/>
      <w:r w:rsidRPr="00C1421E">
        <w:rPr>
          <w:lang w:val="en-GB"/>
        </w:rPr>
        <w:t xml:space="preserve"> data security to presentation attacks. Therefore, Recommendation ITU-T X.1094 specifies new secure and strong </w:t>
      </w:r>
      <w:proofErr w:type="spellStart"/>
      <w:r w:rsidRPr="00C1421E">
        <w:rPr>
          <w:lang w:val="en-GB"/>
        </w:rPr>
        <w:t>telebiometric</w:t>
      </w:r>
      <w:proofErr w:type="spellEnd"/>
      <w:r w:rsidRPr="00C1421E">
        <w:rPr>
          <w:lang w:val="en-GB"/>
        </w:rPr>
        <w:t xml:space="preserve"> authentication methods using </w:t>
      </w:r>
      <w:proofErr w:type="spellStart"/>
      <w:r w:rsidRPr="00C1421E">
        <w:rPr>
          <w:lang w:val="en-GB"/>
        </w:rPr>
        <w:t>biosignals</w:t>
      </w:r>
      <w:proofErr w:type="spellEnd"/>
      <w:r w:rsidRPr="00C1421E">
        <w:rPr>
          <w:lang w:val="en-GB"/>
        </w:rPr>
        <w:t>.</w:t>
      </w:r>
    </w:p>
    <w:p w14:paraId="6954C095" w14:textId="77777777" w:rsidR="006A46AE" w:rsidRPr="00C1421E" w:rsidRDefault="006A46AE" w:rsidP="006A46AE">
      <w:pPr>
        <w:rPr>
          <w:lang w:val="en-GB"/>
        </w:rPr>
      </w:pPr>
      <w:r w:rsidRPr="001C37A8">
        <w:rPr>
          <w:b/>
          <w:bCs/>
          <w:lang w:val="en-GB"/>
        </w:rPr>
        <w:t>ITU-T X.1147 "Security requirements and framework for big data analytics in mobile Internet services"</w:t>
      </w:r>
      <w:r w:rsidRPr="00C1421E">
        <w:rPr>
          <w:lang w:val="en-GB"/>
        </w:rPr>
        <w:t xml:space="preserve"> mainly analyse the security requirements of big data analytics in mobile Internet services, and provide security framework.</w:t>
      </w:r>
    </w:p>
    <w:p w14:paraId="736D0B90" w14:textId="77777777" w:rsidR="006A46AE" w:rsidRPr="00C1421E" w:rsidRDefault="006A46AE" w:rsidP="006A46AE">
      <w:pPr>
        <w:rPr>
          <w:lang w:val="en-GB"/>
        </w:rPr>
      </w:pPr>
      <w:r w:rsidRPr="001C37A8">
        <w:rPr>
          <w:b/>
          <w:bCs/>
          <w:lang w:val="en-GB"/>
        </w:rPr>
        <w:t>ITU-T X.1215 "Use Cases for Structured Threat Information Expression (STIX)"</w:t>
      </w:r>
      <w:r w:rsidRPr="00C1421E">
        <w:rPr>
          <w:lang w:val="en-GB"/>
        </w:rPr>
        <w:t xml:space="preserve">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252" w:history="1">
        <w:r w:rsidRPr="00C1421E">
          <w:rPr>
            <w:rStyle w:val="Hyperlink"/>
            <w:rFonts w:asciiTheme="majorBidi" w:hAnsiTheme="majorBidi" w:cstheme="majorBidi"/>
            <w:bCs/>
            <w:lang w:val="en-GB"/>
          </w:rPr>
          <w:t>https://www.oasis-open.org/committees/tc_home.php?wg_abbrev=cti</w:t>
        </w:r>
      </w:hyperlink>
    </w:p>
    <w:p w14:paraId="396181AF" w14:textId="77777777" w:rsidR="006A46AE" w:rsidRPr="00C1421E" w:rsidRDefault="006A46AE" w:rsidP="006A46AE">
      <w:pPr>
        <w:rPr>
          <w:lang w:val="en-GB"/>
        </w:rPr>
      </w:pPr>
      <w:r w:rsidRPr="001C37A8">
        <w:rPr>
          <w:b/>
          <w:bCs/>
          <w:lang w:val="en-GB"/>
        </w:rPr>
        <w:t>ITU-T X.1249 "Technical framework for countering mobile in-application advertising spam"</w:t>
      </w:r>
      <w:r w:rsidRPr="00C1421E">
        <w:rPr>
          <w:lang w:val="en-GB"/>
        </w:rPr>
        <w:t xml:space="preserve"> provides a technical framework for countering mobile in 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malicious advertisements may improve the user experience and even security. Therefore, it may be beneficial to establish a practical framework for countering mobile in-application advertising spam, which can reasonably integrate the advantages of all countermeasures.</w:t>
      </w:r>
    </w:p>
    <w:p w14:paraId="6CB8DF7A" w14:textId="77777777" w:rsidR="006A46AE" w:rsidRPr="00C1421E" w:rsidRDefault="006A46AE" w:rsidP="006A46AE">
      <w:pPr>
        <w:rPr>
          <w:lang w:val="en-GB"/>
        </w:rPr>
      </w:pPr>
      <w:r w:rsidRPr="001C37A8">
        <w:rPr>
          <w:b/>
          <w:bCs/>
          <w:lang w:val="en-GB"/>
        </w:rPr>
        <w:t>ITU-T X.1277 "FIDO Universal Authentication Framework (UAF)"</w:t>
      </w:r>
      <w:r w:rsidRPr="00C1421E">
        <w:rPr>
          <w:lang w:val="en-GB"/>
        </w:rPr>
        <w:t xml:space="preserve">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0B624169" w14:textId="77777777" w:rsidR="006A46AE" w:rsidRPr="00C1421E" w:rsidRDefault="006A46AE" w:rsidP="006A46AE">
      <w:pPr>
        <w:rPr>
          <w:lang w:val="en-GB"/>
        </w:rPr>
      </w:pPr>
      <w:r w:rsidRPr="001C37A8">
        <w:rPr>
          <w:b/>
          <w:bCs/>
          <w:lang w:val="en-GB"/>
        </w:rPr>
        <w:t xml:space="preserve">ITU-T X.1278 "Client </w:t>
      </w:r>
      <w:proofErr w:type="gramStart"/>
      <w:r w:rsidRPr="001C37A8">
        <w:rPr>
          <w:b/>
          <w:bCs/>
          <w:lang w:val="en-GB"/>
        </w:rPr>
        <w:t>To</w:t>
      </w:r>
      <w:proofErr w:type="gramEnd"/>
      <w:r w:rsidRPr="001C37A8">
        <w:rPr>
          <w:b/>
          <w:bCs/>
          <w:lang w:val="en-GB"/>
        </w:rPr>
        <w:t xml:space="preserve"> Authenticator Protocol/Universal 2-factor framework"</w:t>
      </w:r>
      <w:r w:rsidRPr="00C1421E">
        <w:rPr>
          <w:lang w:val="en-GB"/>
        </w:rPr>
        <w:t xml:space="preserve"> describes an application layer protocol for communication between an external authenticator and another client/platform, as well as bindings of this application protocol to a variety of transport protocols using different physical media.</w:t>
      </w:r>
    </w:p>
    <w:p w14:paraId="537416CF" w14:textId="77777777" w:rsidR="006A46AE" w:rsidRPr="00C1421E" w:rsidRDefault="006A46AE" w:rsidP="006A46AE">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1C37A8">
        <w:rPr>
          <w:b/>
          <w:bCs/>
          <w:lang w:val="en-GB"/>
        </w:rPr>
        <w:t xml:space="preserve">ITU-T X.Suppl.34 – Supplement 34 to ITU-T X.1051 | ISO/IEC 27011 (2016) "Information technology – Security techniques – Code of practice for information security controls based </w:t>
      </w:r>
      <w:r w:rsidRPr="001C37A8">
        <w:rPr>
          <w:b/>
          <w:bCs/>
          <w:lang w:val="en-GB"/>
        </w:rPr>
        <w:lastRenderedPageBreak/>
        <w:t>on ISO/IEC 27002 for telecommunications organizations"</w:t>
      </w:r>
      <w:r w:rsidRPr="00C1421E">
        <w:rPr>
          <w:lang w:val="en-GB"/>
        </w:rPr>
        <w:t xml:space="preserve"> highlights and shares the implementation of code of practice for information and network security management by Malaysian information and communication industry based on ITU-T X.1051. The sets of requirements have been identified and documented in the "Requirements for Information and Network Security (INS)" developed by MTSFB and approved by MCMC on 5 October 2016. The requirements are based on ITU-T X.1051 for establishing, implementing, maintaining and continually improving an information and network security management within the context of an organization. The code of practice for information security controls based on ITU-T X.1051 for Malaysian telecommunication organizations provide four (4) families of control focusing on organization, infrastructure, people and environment.</w:t>
      </w:r>
    </w:p>
    <w:p w14:paraId="279BEFD9" w14:textId="77777777" w:rsidR="006A46AE" w:rsidRPr="00C1421E" w:rsidRDefault="006A46AE" w:rsidP="006A46AE">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1C37A8">
        <w:rPr>
          <w:b/>
          <w:bCs/>
          <w:lang w:val="en-GB"/>
        </w:rPr>
        <w:t>ITU-T Y.3800 "Framework for Networks supporting Quantum Key Distribution</w:t>
      </w:r>
      <w:r w:rsidRPr="006E6A13">
        <w:rPr>
          <w:bCs/>
          <w:lang w:val="en-GB"/>
        </w:rPr>
        <w:t>" (under approval)</w:t>
      </w:r>
      <w:r w:rsidRPr="00C1421E">
        <w:rPr>
          <w:lang w:val="en-GB"/>
        </w:rPr>
        <w:t xml:space="preserve"> specifies a framework for networks supporting quantum key distribution (QKD). This Recommendation provides support for design, deployment, operation and maintenance to implement QKD technologies with user networks in terms of opened and standardized technologies. In this Recommendation, the relevant network aspects for main structure, layered model and basic functions are within the scope of the Recommendation to support its implementation.</w:t>
      </w:r>
    </w:p>
    <w:p w14:paraId="244D19D9" w14:textId="77777777" w:rsidR="006A46AE" w:rsidRPr="00C1421E" w:rsidRDefault="006A46AE" w:rsidP="006A46AE">
      <w:pPr>
        <w:pStyle w:val="Headingb"/>
      </w:pPr>
      <w:r w:rsidRPr="00C1421E">
        <w:t>I.5.2</w:t>
      </w:r>
      <w:r w:rsidRPr="00C1421E">
        <w:tab/>
        <w:t>Trust</w:t>
      </w:r>
    </w:p>
    <w:p w14:paraId="3CE54E48" w14:textId="77777777" w:rsidR="006A46AE" w:rsidRPr="00C1421E" w:rsidRDefault="006A46AE" w:rsidP="006A46AE">
      <w:pPr>
        <w:keepNext/>
        <w:keepLines/>
        <w:rPr>
          <w:lang w:val="en-GB"/>
        </w:rPr>
      </w:pPr>
      <w:r w:rsidRPr="001C37A8">
        <w:rPr>
          <w:b/>
          <w:bCs/>
          <w:lang w:val="en-GB"/>
        </w:rPr>
        <w:t>ITU-T Y.3053 "Trustworthy networking deployment architecture and procedure – Amendment 1"</w:t>
      </w:r>
      <w:r w:rsidRPr="00C1421E">
        <w:rPr>
          <w:lang w:val="en-GB"/>
        </w:rPr>
        <w:t xml:space="preserve"> contains modifications to add trustworthy networking deployment architecture and procedures for IP networks in the Internet.</w:t>
      </w:r>
    </w:p>
    <w:p w14:paraId="43F8FFB1" w14:textId="77777777" w:rsidR="006A46AE" w:rsidRPr="00C1421E" w:rsidRDefault="006A46AE" w:rsidP="006A46AE">
      <w:pPr>
        <w:keepNext/>
        <w:keepLines/>
        <w:rPr>
          <w:lang w:val="en-GB"/>
        </w:rPr>
      </w:pPr>
      <w:r w:rsidRPr="001C37A8">
        <w:rPr>
          <w:b/>
          <w:bCs/>
          <w:lang w:val="en-GB"/>
        </w:rPr>
        <w:t>ITU-T Y.3053 (2018) Amd.1 "Framework of trustworthy networking with trust-centric network domains: Amendment 1 - Trustworthy networking deployment architecture and procedures"</w:t>
      </w:r>
      <w:r w:rsidRPr="00C1421E">
        <w:rPr>
          <w:lang w:val="en-GB"/>
        </w:rPr>
        <w:t xml:space="preserve"> contains modifications to add trustworthy networking deployment architecture and procedures for IP networks in the Internet.</w:t>
      </w:r>
    </w:p>
    <w:p w14:paraId="4275F37B" w14:textId="77777777" w:rsidR="006A46AE" w:rsidRPr="00C1421E" w:rsidRDefault="006A46AE" w:rsidP="006A46AE">
      <w:pPr>
        <w:pStyle w:val="Headingb"/>
      </w:pPr>
      <w:bookmarkStart w:id="233" w:name="_Toc480527904"/>
      <w:r w:rsidRPr="00C1421E">
        <w:t>I.6.1</w:t>
      </w:r>
      <w:r w:rsidRPr="00C1421E">
        <w:tab/>
        <w:t>Green ICT standards</w:t>
      </w:r>
      <w:bookmarkEnd w:id="233"/>
    </w:p>
    <w:p w14:paraId="420A88C7" w14:textId="77777777" w:rsidR="006A46AE" w:rsidRPr="00C1421E" w:rsidRDefault="006A46AE" w:rsidP="006A46AE">
      <w:pPr>
        <w:rPr>
          <w:lang w:val="en-GB"/>
        </w:rPr>
      </w:pPr>
      <w:r w:rsidRPr="00C1421E">
        <w:rPr>
          <w:b/>
          <w:lang w:val="en-GB"/>
        </w:rPr>
        <w:t xml:space="preserve">ITU-T L.1000 (revised) "Universal power adapter and charger solution for mobile terminals and other hand-held ICT devices" </w:t>
      </w:r>
      <w:r w:rsidRPr="00C1421E">
        <w:rPr>
          <w:lang w:val="en-GB"/>
        </w:rPr>
        <w:t>provides high level requirements for a universal power adapter and charger solution that will reduce the number of power adapters and chargers produced and recycled by widening their application to more devices and increasing their lifetime. The solution also aims to reduce energy consumption. The longer life cycle and possibility of avoiding device duplication reduces the demand on raw materials and waste. The universal power adapter and charger solution is designed to serve the vast majority of mobile terminals and other ICT devices.</w:t>
      </w:r>
    </w:p>
    <w:p w14:paraId="292E24FE" w14:textId="77777777" w:rsidR="006A46AE" w:rsidRPr="00C1421E" w:rsidRDefault="006A46AE" w:rsidP="006A46AE">
      <w:pPr>
        <w:rPr>
          <w:lang w:val="en-GB"/>
        </w:rPr>
      </w:pPr>
      <w:r w:rsidRPr="00C1421E">
        <w:rPr>
          <w:b/>
          <w:lang w:val="en-GB"/>
        </w:rPr>
        <w:t>ITU-T L.1015 "Criteria for evaluation of the environmental impact of mobile phones"</w:t>
      </w:r>
      <w:r w:rsidRPr="00C1421E">
        <w:rPr>
          <w:lang w:val="en-GB"/>
        </w:rPr>
        <w:t xml:space="preserve">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6A4DF0EC" w14:textId="77777777" w:rsidR="006A46AE" w:rsidRPr="00C1421E" w:rsidRDefault="006A46AE" w:rsidP="006A46AE">
      <w:pPr>
        <w:rPr>
          <w:lang w:val="en-GB"/>
        </w:rPr>
      </w:pPr>
      <w:r w:rsidRPr="00416693">
        <w:rPr>
          <w:b/>
        </w:rPr>
        <w:t xml:space="preserve">ITU-T L.1022 "Circular Economy: Definitions and concepts for material efficiency for Information and Communication Technology" </w:t>
      </w:r>
      <w:r w:rsidRPr="006E6A13">
        <w:t>(under approval)</w:t>
      </w:r>
      <w:r w:rsidRPr="00C1421E">
        <w:rPr>
          <w:lang w:val="en-GB"/>
        </w:rPr>
        <w:t xml:space="preserve"> contains a guide to circular economy (CE) aspects, parameters, metrics, indicators for information and communication technology (ICT) based on current approaches, concepts and metrics of the CE as defined in existing standards, while considering their applicability for ICT.</w:t>
      </w:r>
    </w:p>
    <w:p w14:paraId="4B2086F8" w14:textId="77777777" w:rsidR="006A46AE" w:rsidRPr="00C1421E" w:rsidRDefault="006A46AE" w:rsidP="006A46AE">
      <w:pPr>
        <w:rPr>
          <w:lang w:val="en-GB"/>
        </w:rPr>
      </w:pPr>
      <w:r w:rsidRPr="00C1421E">
        <w:rPr>
          <w:lang w:val="en-GB"/>
        </w:rPr>
        <w:t>In this Recommendation ICT is defined as based on OECD [b-ISIC].</w:t>
      </w:r>
    </w:p>
    <w:p w14:paraId="39E6ADE3" w14:textId="77777777" w:rsidR="006A46AE" w:rsidRPr="00C1421E" w:rsidRDefault="006A46AE" w:rsidP="006A46AE">
      <w:pPr>
        <w:rPr>
          <w:lang w:val="en-GB"/>
        </w:rPr>
      </w:pPr>
      <w:r w:rsidRPr="00C1421E">
        <w:rPr>
          <w:lang w:val="en-GB"/>
        </w:rPr>
        <w:t xml:space="preserve">This Recommendation discusses the special considerations and challenges in a broader and more in depth context for all ICT defining parameters, metrics, and indicators with the intention to guide the vertical standardization of the material efficiency for ICT. The guideline aims to examine the kinds </w:t>
      </w:r>
      <w:r w:rsidRPr="00C1421E">
        <w:rPr>
          <w:lang w:val="en-GB"/>
        </w:rPr>
        <w:lastRenderedPageBreak/>
        <w:t>of standards that are available and to assess their relevance for ICT product groups citing examples of interrelated relevance throughout the text of the Recommendation. As such, this Recommendation precedes potential product specific standardization of specific ICT product groups and intends to help guide such standardization.</w:t>
      </w:r>
    </w:p>
    <w:p w14:paraId="61A9B67A" w14:textId="77777777" w:rsidR="006A46AE" w:rsidRPr="00C1421E" w:rsidRDefault="006A46AE" w:rsidP="006A46AE">
      <w:pPr>
        <w:rPr>
          <w:lang w:val="en-GB"/>
        </w:rPr>
      </w:pPr>
      <w:r w:rsidRPr="00416693">
        <w:rPr>
          <w:b/>
        </w:rPr>
        <w:t>ITU-T L.1032 "Guidelines and certification schemes for e-waste recyclers"</w:t>
      </w:r>
      <w:r w:rsidRPr="00C1421E">
        <w:rPr>
          <w:lang w:val="en-GB"/>
        </w:rPr>
        <w:t xml:space="preserve"> is part of a series of Recommendations that considers requirements for recyclers of waste information and communication technology (ICT). It addresses in particular the informal sector that is involved in waste electrical and electronic equipment (WEEE) collection and dismantling.</w:t>
      </w:r>
    </w:p>
    <w:p w14:paraId="46CA5E6E" w14:textId="77777777" w:rsidR="006A46AE" w:rsidRDefault="006A46AE" w:rsidP="006A46AE">
      <w:pPr>
        <w:rPr>
          <w:lang w:val="en-GB"/>
        </w:rPr>
      </w:pPr>
      <w:r w:rsidRPr="00C1421E">
        <w:rPr>
          <w:lang w:val="en-GB"/>
        </w:rPr>
        <w:t xml:space="preserve">The Recommendations must be read in conjunction with national legislation and technical requirements for WEEE recyclers at the national level. A number of standards on WEEE, related to the present series of Recommendations are published on the website of the ITU-T at </w:t>
      </w:r>
      <w:hyperlink r:id="rId253" w:history="1">
        <w:r w:rsidRPr="00F15508">
          <w:rPr>
            <w:rStyle w:val="Hyperlink"/>
            <w:lang w:val="en-GB"/>
          </w:rPr>
          <w:t>https://itu.int/en/ITU-T</w:t>
        </w:r>
      </w:hyperlink>
      <w:r w:rsidRPr="00C1421E">
        <w:rPr>
          <w:lang w:val="en-GB"/>
        </w:rPr>
        <w:t>.</w:t>
      </w:r>
    </w:p>
    <w:p w14:paraId="5C958251" w14:textId="77777777" w:rsidR="006A46AE" w:rsidRPr="00C1421E" w:rsidRDefault="006A46AE" w:rsidP="006A46AE">
      <w:pPr>
        <w:rPr>
          <w:lang w:val="en-GB"/>
        </w:rPr>
      </w:pPr>
      <w:r w:rsidRPr="00C1421E">
        <w:rPr>
          <w:lang w:val="en-GB"/>
        </w:rPr>
        <w:t>Updates on the regional and international conventions and legislation presented can be found at: www.Basel.int</w:t>
      </w:r>
      <w:r>
        <w:rPr>
          <w:lang w:val="en-GB"/>
        </w:rPr>
        <w:t xml:space="preserve"> </w:t>
      </w:r>
      <w:r w:rsidRPr="00C1421E">
        <w:rPr>
          <w:lang w:val="en-GB"/>
        </w:rPr>
        <w:t xml:space="preserve">(for the Basel Convention), also at: </w:t>
      </w:r>
      <w:hyperlink r:id="rId254" w:history="1">
        <w:r w:rsidRPr="00F15508">
          <w:rPr>
            <w:rStyle w:val="Hyperlink"/>
            <w:rFonts w:cs="Arial Unicode MS"/>
            <w:lang w:val="en-GB"/>
          </w:rPr>
          <w:t>http://ec.europa.eu/environment/waste/</w:t>
        </w:r>
        <w:r>
          <w:rPr>
            <w:rStyle w:val="Hyperlink"/>
            <w:lang w:val="en-GB"/>
          </w:rPr>
          <w:t>‌</w:t>
        </w:r>
        <w:r w:rsidRPr="00F15508">
          <w:rPr>
            <w:rStyle w:val="Hyperlink"/>
            <w:rFonts w:cs="Arial Unicode MS"/>
            <w:lang w:val="en-GB"/>
          </w:rPr>
          <w:t>shipments/legis.htm</w:t>
        </w:r>
      </w:hyperlink>
      <w:r>
        <w:rPr>
          <w:lang w:val="en-GB"/>
        </w:rPr>
        <w:t xml:space="preserve"> </w:t>
      </w:r>
      <w:r w:rsidRPr="00C1421E">
        <w:rPr>
          <w:lang w:val="en-GB"/>
        </w:rPr>
        <w:t xml:space="preserve">(for the EU waste shipment regulations), and at: </w:t>
      </w:r>
      <w:hyperlink r:id="rId255" w:history="1">
        <w:r w:rsidRPr="00F15508">
          <w:rPr>
            <w:rStyle w:val="Hyperlink"/>
            <w:rFonts w:cs="Arial Unicode MS"/>
            <w:lang w:val="en-GB"/>
          </w:rPr>
          <w:t>http://ec.europa.eu/</w:t>
        </w:r>
        <w:r w:rsidRPr="00F15508">
          <w:rPr>
            <w:rStyle w:val="Hyperlink"/>
            <w:lang w:val="en-GB"/>
          </w:rPr>
          <w:t>‌</w:t>
        </w:r>
        <w:r w:rsidRPr="00F15508">
          <w:rPr>
            <w:rStyle w:val="Hyperlink"/>
            <w:rFonts w:cs="Arial Unicode MS"/>
            <w:lang w:val="en-GB"/>
          </w:rPr>
          <w:t>environment/waste/</w:t>
        </w:r>
        <w:r w:rsidRPr="00F15508">
          <w:rPr>
            <w:rStyle w:val="Hyperlink"/>
            <w:lang w:val="en-GB"/>
          </w:rPr>
          <w:t>weee</w:t>
        </w:r>
        <w:r w:rsidRPr="00F15508">
          <w:rPr>
            <w:rStyle w:val="Hyperlink"/>
            <w:rFonts w:cs="Arial Unicode MS"/>
            <w:lang w:val="en-GB"/>
          </w:rPr>
          <w:t>/index_en.htm</w:t>
        </w:r>
      </w:hyperlink>
      <w:r>
        <w:rPr>
          <w:lang w:val="en-GB"/>
        </w:rPr>
        <w:t xml:space="preserve"> </w:t>
      </w:r>
      <w:r w:rsidRPr="00C1421E">
        <w:rPr>
          <w:lang w:val="en-GB"/>
        </w:rPr>
        <w:t>(for the EU WEEE directive).</w:t>
      </w:r>
    </w:p>
    <w:p w14:paraId="6EB54DE4" w14:textId="77777777" w:rsidR="006A46AE" w:rsidRPr="00C1421E" w:rsidRDefault="006A46AE" w:rsidP="006A46AE">
      <w:pPr>
        <w:rPr>
          <w:lang w:val="en-GB"/>
        </w:rPr>
      </w:pPr>
      <w:r w:rsidRPr="00C1421E">
        <w:rPr>
          <w:lang w:val="en-GB"/>
        </w:rPr>
        <w:t>In addition, there are a number of mandatory and voluntary standards on the treatment conditions for workers and the environment that can be used as guidelines to improve national legislation and the quality of recycling where such standards are yet to be implemented.</w:t>
      </w:r>
    </w:p>
    <w:p w14:paraId="3C7A1652" w14:textId="77777777" w:rsidR="006A46AE" w:rsidRPr="00416693" w:rsidRDefault="006A46AE" w:rsidP="006A46AE">
      <w:r w:rsidRPr="00416693">
        <w:rPr>
          <w:b/>
        </w:rPr>
        <w:t>ITU-T L.1362 "Interface for power management in network function virtualization environments –Green abstraction layer version 2"</w:t>
      </w:r>
      <w:r w:rsidRPr="00C1421E">
        <w:rPr>
          <w:lang w:val="en-GB"/>
        </w:rPr>
        <w:t xml:space="preserve">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p w14:paraId="32B7103F" w14:textId="77777777" w:rsidR="006A46AE" w:rsidRPr="00C1421E" w:rsidRDefault="006A46AE" w:rsidP="006A46AE">
      <w:pPr>
        <w:rPr>
          <w:rFonts w:eastAsia="MS Mincho"/>
          <w:highlight w:val="yellow"/>
          <w:lang w:val="en-GB"/>
        </w:rPr>
      </w:pPr>
      <w:r w:rsidRPr="00C1421E">
        <w:rPr>
          <w:rFonts w:eastAsia="MS Mincho"/>
          <w:b/>
          <w:lang w:val="en-GB"/>
        </w:rPr>
        <w:t>ITU-T L.1507 "Use of ICT sites to support environmental sensing"</w:t>
      </w:r>
      <w:r w:rsidRPr="00C1421E">
        <w:rPr>
          <w:rFonts w:eastAsia="MS Mincho"/>
          <w:lang w:val="en-GB"/>
        </w:rPr>
        <w:t xml:space="preserve"> presents a set of rules for installing the environmental sensing system on ICT sites in order to utilize the ICT sites as environmental sensing stations.</w:t>
      </w:r>
    </w:p>
    <w:p w14:paraId="33F70D2A" w14:textId="77777777" w:rsidR="006A46AE" w:rsidRPr="00C1421E" w:rsidRDefault="006A46AE" w:rsidP="006A46AE">
      <w:pPr>
        <w:pStyle w:val="Headingb"/>
      </w:pPr>
      <w:bookmarkStart w:id="234" w:name="_Toc480527905"/>
      <w:r w:rsidRPr="00C1421E">
        <w:t>I.6.2</w:t>
      </w:r>
      <w:r w:rsidRPr="00C1421E">
        <w:tab/>
        <w:t>Electromagnetic fields</w:t>
      </w:r>
      <w:bookmarkEnd w:id="234"/>
    </w:p>
    <w:p w14:paraId="27C0DAA7" w14:textId="77777777" w:rsidR="006A46AE" w:rsidRPr="00C1421E" w:rsidRDefault="006A46AE" w:rsidP="006A46AE">
      <w:pPr>
        <w:rPr>
          <w:lang w:val="en-GB"/>
        </w:rPr>
      </w:pPr>
      <w:r w:rsidRPr="00C1421E">
        <w:rPr>
          <w:b/>
          <w:bCs/>
          <w:lang w:val="en-GB"/>
        </w:rPr>
        <w:t xml:space="preserve">ITU-T K.20 (revised) "Resistibility of telecommunication equipment installed in a telecommunication centre to </w:t>
      </w:r>
      <w:proofErr w:type="spellStart"/>
      <w:r w:rsidRPr="00C1421E">
        <w:rPr>
          <w:b/>
          <w:bCs/>
          <w:lang w:val="en-GB"/>
        </w:rPr>
        <w:t>overvoltages</w:t>
      </w:r>
      <w:proofErr w:type="spellEnd"/>
      <w:r w:rsidRPr="00C1421E">
        <w:rPr>
          <w:b/>
          <w:bCs/>
          <w:lang w:val="en-GB"/>
        </w:rPr>
        <w:t xml:space="preserve"> and </w:t>
      </w:r>
      <w:proofErr w:type="spellStart"/>
      <w:r w:rsidRPr="00C1421E">
        <w:rPr>
          <w:b/>
          <w:bCs/>
          <w:lang w:val="en-GB"/>
        </w:rPr>
        <w:t>overcurrents</w:t>
      </w:r>
      <w:proofErr w:type="spellEnd"/>
      <w:r w:rsidRPr="00C1421E">
        <w:rPr>
          <w:b/>
          <w:bCs/>
          <w:lang w:val="en-GB"/>
        </w:rPr>
        <w:t>"</w:t>
      </w:r>
      <w:r w:rsidRPr="00C1421E">
        <w:rPr>
          <w:lang w:val="en-GB"/>
        </w:rPr>
        <w:t xml:space="preserve"> specifies resistibility requirements and test procedures for telecommunication equipment that is attached to or installed within a telecommunication centre. </w:t>
      </w:r>
      <w:proofErr w:type="spellStart"/>
      <w:r w:rsidRPr="00C1421E">
        <w:rPr>
          <w:lang w:val="en-GB"/>
        </w:rPr>
        <w:t>Overvoltages</w:t>
      </w:r>
      <w:proofErr w:type="spellEnd"/>
      <w:r w:rsidRPr="00C1421E">
        <w:rPr>
          <w:lang w:val="en-GB"/>
        </w:rPr>
        <w:t xml:space="preserve"> and </w:t>
      </w:r>
      <w:proofErr w:type="spellStart"/>
      <w:r w:rsidRPr="00C1421E">
        <w:rPr>
          <w:lang w:val="en-GB"/>
        </w:rPr>
        <w:t>overcurrents</w:t>
      </w:r>
      <w:proofErr w:type="spellEnd"/>
      <w:r w:rsidRPr="00C1421E">
        <w:rPr>
          <w:lang w:val="en-GB"/>
        </w:rPr>
        <w:t xml:space="preserve"> covered by this Recommendation include surges due to lightning on or near the line plant, short term induction from adjacent </w:t>
      </w:r>
      <w:proofErr w:type="spellStart"/>
      <w:r w:rsidRPr="00C1421E">
        <w:rPr>
          <w:lang w:val="en-GB"/>
        </w:rPr>
        <w:t>a.c</w:t>
      </w:r>
      <w:proofErr w:type="spellEnd"/>
      <w:r w:rsidRPr="00C1421E">
        <w:rPr>
          <w:lang w:val="en-GB"/>
        </w:rPr>
        <w:t xml:space="preserve">. power lines or railway systems, earth potential rise due to power faults, direct contact between telecommunication lines and power lines, and electrostatic discharges (ESDs). The sources for </w:t>
      </w:r>
      <w:proofErr w:type="spellStart"/>
      <w:r w:rsidRPr="00C1421E">
        <w:rPr>
          <w:lang w:val="en-GB"/>
        </w:rPr>
        <w:t>overvoltages</w:t>
      </w:r>
      <w:proofErr w:type="spellEnd"/>
      <w:r w:rsidRPr="00C1421E">
        <w:rPr>
          <w:lang w:val="en-GB"/>
        </w:rPr>
        <w:t xml:space="preserve"> in internal lines, between equipment </w:t>
      </w:r>
      <w:proofErr w:type="gramStart"/>
      <w:r w:rsidRPr="00C1421E">
        <w:rPr>
          <w:lang w:val="en-GB"/>
        </w:rPr>
        <w:t>or</w:t>
      </w:r>
      <w:proofErr w:type="gramEnd"/>
      <w:r w:rsidRPr="00C1421E">
        <w:rPr>
          <w:lang w:val="en-GB"/>
        </w:rPr>
        <w:t xml:space="preserve"> racks, are mainly inductive coupling caused by lightning currents being conducted in nearby lightning strikes or lightning currents being conducted in nearby conductors.</w:t>
      </w:r>
    </w:p>
    <w:p w14:paraId="2C90FCB4" w14:textId="77777777" w:rsidR="006A46AE" w:rsidRPr="00C1421E" w:rsidRDefault="006A46AE" w:rsidP="006A46AE">
      <w:pPr>
        <w:rPr>
          <w:lang w:val="en-GB"/>
        </w:rPr>
      </w:pPr>
      <w:r w:rsidRPr="00C1421E">
        <w:rPr>
          <w:lang w:val="en-GB"/>
        </w:rPr>
        <w:t>Major changes compared with Recommendation ITU-T K.20 (2017) include:</w:t>
      </w:r>
    </w:p>
    <w:p w14:paraId="513B5C88" w14:textId="77777777" w:rsidR="006A46AE" w:rsidRPr="00C1421E" w:rsidRDefault="006A46AE" w:rsidP="006A46AE">
      <w:pPr>
        <w:rPr>
          <w:lang w:val="en-GB"/>
        </w:rPr>
      </w:pPr>
      <w:r w:rsidRPr="00C1421E">
        <w:rPr>
          <w:lang w:val="en-GB"/>
        </w:rPr>
        <w:t>–</w:t>
      </w:r>
      <w:r w:rsidRPr="00C1421E">
        <w:rPr>
          <w:lang w:val="en-GB"/>
        </w:rPr>
        <w:tab/>
        <w:t>DC insulation resistance test;</w:t>
      </w:r>
    </w:p>
    <w:p w14:paraId="6D59B0C2" w14:textId="77777777" w:rsidR="006A46AE" w:rsidRPr="00C1421E" w:rsidRDefault="006A46AE" w:rsidP="006A46AE">
      <w:pPr>
        <w:rPr>
          <w:lang w:val="en-GB"/>
        </w:rPr>
      </w:pPr>
      <w:r w:rsidRPr="00C1421E">
        <w:rPr>
          <w:lang w:val="en-GB"/>
        </w:rPr>
        <w:t>–</w:t>
      </w:r>
      <w:r w:rsidRPr="00C1421E">
        <w:rPr>
          <w:lang w:val="en-GB"/>
        </w:rPr>
        <w:tab/>
        <w:t>Revised test exemption for internal short cables;</w:t>
      </w:r>
    </w:p>
    <w:p w14:paraId="24DEFD23" w14:textId="77777777" w:rsidR="006A46AE" w:rsidRPr="00C1421E" w:rsidRDefault="006A46AE" w:rsidP="006A46AE">
      <w:pPr>
        <w:rPr>
          <w:lang w:val="en-GB"/>
        </w:rPr>
      </w:pPr>
      <w:r w:rsidRPr="00C1421E">
        <w:rPr>
          <w:lang w:val="en-GB"/>
        </w:rPr>
        <w:t>–</w:t>
      </w:r>
      <w:r w:rsidRPr="00C1421E">
        <w:rPr>
          <w:lang w:val="en-GB"/>
        </w:rPr>
        <w:tab/>
        <w:t>renaming of some test titles for clarity;</w:t>
      </w:r>
    </w:p>
    <w:p w14:paraId="19A1E888" w14:textId="77777777" w:rsidR="006A46AE" w:rsidRPr="00C1421E" w:rsidRDefault="006A46AE" w:rsidP="006A46AE">
      <w:pPr>
        <w:rPr>
          <w:lang w:val="en-GB"/>
        </w:rPr>
      </w:pPr>
      <w:r w:rsidRPr="00C1421E">
        <w:rPr>
          <w:lang w:val="en-GB"/>
        </w:rPr>
        <w:t>–</w:t>
      </w:r>
      <w:r w:rsidRPr="00C1421E">
        <w:rPr>
          <w:lang w:val="en-GB"/>
        </w:rPr>
        <w:tab/>
        <w:t>Screened cable exemptions;</w:t>
      </w:r>
    </w:p>
    <w:p w14:paraId="73626173" w14:textId="77777777" w:rsidR="006A46AE" w:rsidRPr="00C1421E" w:rsidRDefault="006A46AE" w:rsidP="006A46AE">
      <w:pPr>
        <w:rPr>
          <w:szCs w:val="22"/>
          <w:highlight w:val="yellow"/>
          <w:lang w:val="en-GB"/>
        </w:rPr>
      </w:pPr>
      <w:r w:rsidRPr="00C1421E">
        <w:rPr>
          <w:lang w:val="en-GB"/>
        </w:rPr>
        <w:t>–</w:t>
      </w:r>
      <w:r w:rsidRPr="00C1421E">
        <w:rPr>
          <w:lang w:val="en-GB"/>
        </w:rPr>
        <w:tab/>
      </w:r>
      <w:proofErr w:type="gramStart"/>
      <w:r w:rsidRPr="00C1421E">
        <w:rPr>
          <w:lang w:val="en-GB"/>
        </w:rPr>
        <w:t>addition</w:t>
      </w:r>
      <w:proofErr w:type="gramEnd"/>
      <w:r w:rsidRPr="00C1421E">
        <w:rPr>
          <w:lang w:val="en-GB"/>
        </w:rPr>
        <w:t xml:space="preserve"> of 7.10 a twisted pair port transverse/differential test.</w:t>
      </w:r>
    </w:p>
    <w:p w14:paraId="204173E3" w14:textId="77777777" w:rsidR="006A46AE" w:rsidRPr="00C1421E" w:rsidRDefault="006A46AE" w:rsidP="006A46AE">
      <w:pPr>
        <w:rPr>
          <w:szCs w:val="24"/>
          <w:lang w:val="en-GB"/>
        </w:rPr>
      </w:pPr>
      <w:r w:rsidRPr="001C37A8">
        <w:rPr>
          <w:b/>
          <w:bCs/>
          <w:lang w:val="en-GB"/>
        </w:rPr>
        <w:lastRenderedPageBreak/>
        <w:t xml:space="preserve">ITU-T K.21 (revised) "Resistibility of telecommunication equipment installed in customer premises to </w:t>
      </w:r>
      <w:proofErr w:type="spellStart"/>
      <w:r w:rsidRPr="001C37A8">
        <w:rPr>
          <w:b/>
          <w:bCs/>
          <w:lang w:val="en-GB"/>
        </w:rPr>
        <w:t>overvoltages</w:t>
      </w:r>
      <w:proofErr w:type="spellEnd"/>
      <w:r w:rsidRPr="001C37A8">
        <w:rPr>
          <w:b/>
          <w:bCs/>
          <w:lang w:val="en-GB"/>
        </w:rPr>
        <w:t xml:space="preserve"> and </w:t>
      </w:r>
      <w:proofErr w:type="spellStart"/>
      <w:r w:rsidRPr="001C37A8">
        <w:rPr>
          <w:b/>
          <w:bCs/>
          <w:lang w:val="en-GB"/>
        </w:rPr>
        <w:t>overcurrents</w:t>
      </w:r>
      <w:proofErr w:type="spellEnd"/>
      <w:r w:rsidRPr="001C37A8">
        <w:rPr>
          <w:b/>
          <w:bCs/>
          <w:lang w:val="en-GB"/>
        </w:rPr>
        <w:t>"</w:t>
      </w:r>
      <w:r w:rsidRPr="00C1421E">
        <w:rPr>
          <w:lang w:val="en-GB"/>
        </w:rPr>
        <w:t xml:space="preserve"> </w:t>
      </w:r>
      <w:r w:rsidRPr="00C1421E">
        <w:rPr>
          <w:szCs w:val="24"/>
          <w:lang w:val="en-GB"/>
        </w:rPr>
        <w:t xml:space="preserve">specifies resistibility requirements and test procedures for telecommunication equipment that is attached to or installed within a customer's premises. </w:t>
      </w:r>
      <w:proofErr w:type="spellStart"/>
      <w:r w:rsidRPr="00C1421E">
        <w:rPr>
          <w:szCs w:val="24"/>
          <w:lang w:val="en-GB"/>
        </w:rPr>
        <w:t>Overvoltages</w:t>
      </w:r>
      <w:proofErr w:type="spellEnd"/>
      <w:r w:rsidRPr="00C1421E">
        <w:rPr>
          <w:szCs w:val="24"/>
          <w:lang w:val="en-GB"/>
        </w:rPr>
        <w:t xml:space="preserve"> or </w:t>
      </w:r>
      <w:proofErr w:type="spellStart"/>
      <w:r w:rsidRPr="00C1421E">
        <w:rPr>
          <w:szCs w:val="24"/>
          <w:lang w:val="en-GB"/>
        </w:rPr>
        <w:t>overcurrents</w:t>
      </w:r>
      <w:proofErr w:type="spellEnd"/>
      <w:r w:rsidRPr="00C1421E">
        <w:rPr>
          <w:szCs w:val="24"/>
          <w:lang w:val="en-GB"/>
        </w:rPr>
        <w:t xml:space="preserve"> covered by this Recommendation include surges due to lightning on or near the line plant, short-term induction from adjacent alternating current (</w:t>
      </w:r>
      <w:proofErr w:type="spellStart"/>
      <w:r w:rsidRPr="00C1421E">
        <w:rPr>
          <w:szCs w:val="24"/>
          <w:lang w:val="en-GB"/>
        </w:rPr>
        <w:t>a.c</w:t>
      </w:r>
      <w:proofErr w:type="spellEnd"/>
      <w:r w:rsidRPr="00C1421E">
        <w:rPr>
          <w:szCs w:val="24"/>
          <w:lang w:val="en-GB"/>
        </w:rPr>
        <w:t xml:space="preserve">.) power lines or railway systems, earth potential rise due to power faults, direct contact between telecommunication lines and power lines, and electrostatic discharges (ESDs). The sources for </w:t>
      </w:r>
      <w:proofErr w:type="spellStart"/>
      <w:r w:rsidRPr="00C1421E">
        <w:rPr>
          <w:szCs w:val="24"/>
          <w:lang w:val="en-GB"/>
        </w:rPr>
        <w:t>overvoltages</w:t>
      </w:r>
      <w:proofErr w:type="spellEnd"/>
      <w:r w:rsidRPr="00C1421E">
        <w:rPr>
          <w:szCs w:val="24"/>
          <w:lang w:val="en-GB"/>
        </w:rPr>
        <w:t xml:space="preserve"> in internal lines are mainly inductive coupling caused by lightning currents being conducted in nearby lightning strikes or lightning currents being conducted by nearby conductors.</w:t>
      </w:r>
    </w:p>
    <w:p w14:paraId="0A078FBA" w14:textId="77777777" w:rsidR="006A46AE" w:rsidRPr="00C1421E" w:rsidRDefault="006A46AE" w:rsidP="006A46AE">
      <w:pPr>
        <w:rPr>
          <w:szCs w:val="24"/>
          <w:lang w:val="en-GB"/>
        </w:rPr>
      </w:pPr>
      <w:r w:rsidRPr="00C1421E">
        <w:rPr>
          <w:szCs w:val="24"/>
          <w:lang w:val="en-GB"/>
        </w:rPr>
        <w:t>Changes compared with Recommendation ITU-T K.21 (2018) include:</w:t>
      </w:r>
    </w:p>
    <w:p w14:paraId="5F219841" w14:textId="77777777" w:rsidR="006A46AE" w:rsidRPr="00C1421E" w:rsidRDefault="006A46AE" w:rsidP="006A46AE">
      <w:pPr>
        <w:pStyle w:val="enumlev1"/>
        <w:tabs>
          <w:tab w:val="clear" w:pos="794"/>
          <w:tab w:val="left" w:pos="601"/>
        </w:tabs>
        <w:ind w:left="601" w:hanging="601"/>
        <w:rPr>
          <w:szCs w:val="24"/>
          <w:lang w:val="en-GB"/>
        </w:rPr>
      </w:pPr>
      <w:r w:rsidRPr="00C1421E">
        <w:rPr>
          <w:szCs w:val="24"/>
          <w:lang w:val="en-GB"/>
        </w:rPr>
        <w:t>•</w:t>
      </w:r>
      <w:r w:rsidRPr="00C1421E">
        <w:rPr>
          <w:szCs w:val="24"/>
          <w:lang w:val="en-GB"/>
        </w:rPr>
        <w:tab/>
        <w:t>added Special resistibility requirements</w:t>
      </w:r>
    </w:p>
    <w:p w14:paraId="26DACC9B" w14:textId="77777777" w:rsidR="006A46AE" w:rsidRPr="00C1421E" w:rsidRDefault="006A46AE" w:rsidP="006A46AE">
      <w:pPr>
        <w:pStyle w:val="enumlev1"/>
        <w:tabs>
          <w:tab w:val="clear" w:pos="794"/>
          <w:tab w:val="left" w:pos="601"/>
        </w:tabs>
        <w:ind w:left="601" w:hanging="601"/>
        <w:rPr>
          <w:szCs w:val="24"/>
          <w:lang w:val="en-GB"/>
        </w:rPr>
      </w:pPr>
      <w:r w:rsidRPr="00C1421E">
        <w:rPr>
          <w:szCs w:val="24"/>
          <w:lang w:val="en-GB"/>
        </w:rPr>
        <w:t>•</w:t>
      </w:r>
      <w:r w:rsidRPr="00C1421E">
        <w:rPr>
          <w:szCs w:val="24"/>
          <w:lang w:val="en-GB"/>
        </w:rPr>
        <w:tab/>
      </w:r>
      <w:proofErr w:type="gramStart"/>
      <w:r w:rsidRPr="00C1421E">
        <w:rPr>
          <w:szCs w:val="24"/>
          <w:lang w:val="en-GB"/>
        </w:rPr>
        <w:t>added</w:t>
      </w:r>
      <w:proofErr w:type="gramEnd"/>
      <w:r w:rsidRPr="00C1421E">
        <w:rPr>
          <w:szCs w:val="24"/>
          <w:lang w:val="en-GB"/>
        </w:rPr>
        <w:t xml:space="preserve"> DC insulation resistance test;</w:t>
      </w:r>
    </w:p>
    <w:p w14:paraId="32E82BBA" w14:textId="77777777" w:rsidR="006A46AE" w:rsidRPr="00C1421E" w:rsidRDefault="006A46AE" w:rsidP="006A46AE">
      <w:pPr>
        <w:pStyle w:val="enumlev1"/>
        <w:tabs>
          <w:tab w:val="clear" w:pos="794"/>
          <w:tab w:val="left" w:pos="601"/>
        </w:tabs>
        <w:ind w:left="601" w:hanging="601"/>
        <w:rPr>
          <w:szCs w:val="24"/>
          <w:lang w:val="en-GB"/>
        </w:rPr>
      </w:pPr>
      <w:r w:rsidRPr="00C1421E">
        <w:rPr>
          <w:szCs w:val="24"/>
          <w:lang w:val="en-GB"/>
        </w:rPr>
        <w:t>•</w:t>
      </w:r>
      <w:r w:rsidRPr="00C1421E">
        <w:rPr>
          <w:szCs w:val="24"/>
          <w:lang w:val="en-GB"/>
        </w:rPr>
        <w:tab/>
      </w:r>
      <w:proofErr w:type="gramStart"/>
      <w:r w:rsidRPr="00C1421E">
        <w:rPr>
          <w:szCs w:val="24"/>
          <w:lang w:val="en-GB"/>
        </w:rPr>
        <w:t>added</w:t>
      </w:r>
      <w:proofErr w:type="gramEnd"/>
      <w:r w:rsidRPr="00C1421E">
        <w:rPr>
          <w:szCs w:val="24"/>
          <w:lang w:val="en-GB"/>
        </w:rPr>
        <w:t xml:space="preserve"> test 7.10</w:t>
      </w:r>
    </w:p>
    <w:p w14:paraId="0FE25B1C" w14:textId="77777777" w:rsidR="006A46AE" w:rsidRPr="00C1421E" w:rsidRDefault="006A46AE" w:rsidP="006A46AE">
      <w:pPr>
        <w:pStyle w:val="enumlev1"/>
        <w:tabs>
          <w:tab w:val="clear" w:pos="794"/>
          <w:tab w:val="left" w:pos="601"/>
        </w:tabs>
        <w:ind w:left="601" w:hanging="601"/>
        <w:rPr>
          <w:szCs w:val="24"/>
          <w:lang w:val="en-GB"/>
        </w:rPr>
      </w:pPr>
      <w:r w:rsidRPr="00C1421E">
        <w:rPr>
          <w:szCs w:val="24"/>
          <w:lang w:val="en-GB"/>
        </w:rPr>
        <w:t>•</w:t>
      </w:r>
      <w:r w:rsidRPr="00C1421E">
        <w:rPr>
          <w:szCs w:val="24"/>
          <w:lang w:val="en-GB"/>
        </w:rPr>
        <w:tab/>
        <w:t>changed some test labels</w:t>
      </w:r>
      <w:r w:rsidRPr="00C95497">
        <w:rPr>
          <w:lang w:val="en-GB"/>
        </w:rPr>
        <w:t>.</w:t>
      </w:r>
    </w:p>
    <w:p w14:paraId="79CE0128" w14:textId="77777777" w:rsidR="006A46AE" w:rsidRPr="00C1421E" w:rsidRDefault="006A46AE" w:rsidP="006A46AE">
      <w:pPr>
        <w:rPr>
          <w:lang w:val="en-GB"/>
        </w:rPr>
      </w:pPr>
      <w:r w:rsidRPr="001C37A8">
        <w:rPr>
          <w:b/>
          <w:bCs/>
          <w:lang w:val="en-GB"/>
        </w:rPr>
        <w:t xml:space="preserve">ITU-T K.44 (revised) "Resistibility tests for telecommunication equipment exposed to </w:t>
      </w:r>
      <w:proofErr w:type="spellStart"/>
      <w:r w:rsidRPr="001C37A8">
        <w:rPr>
          <w:b/>
          <w:bCs/>
          <w:lang w:val="en-GB"/>
        </w:rPr>
        <w:t>overvoltages</w:t>
      </w:r>
      <w:proofErr w:type="spellEnd"/>
      <w:r w:rsidRPr="001C37A8">
        <w:rPr>
          <w:b/>
          <w:bCs/>
          <w:lang w:val="en-GB"/>
        </w:rPr>
        <w:t xml:space="preserve"> and </w:t>
      </w:r>
      <w:proofErr w:type="spellStart"/>
      <w:r w:rsidRPr="001C37A8">
        <w:rPr>
          <w:b/>
          <w:bCs/>
          <w:lang w:val="en-GB"/>
        </w:rPr>
        <w:t>overcurrents</w:t>
      </w:r>
      <w:proofErr w:type="spellEnd"/>
      <w:r w:rsidRPr="001C37A8">
        <w:rPr>
          <w:b/>
          <w:bCs/>
          <w:lang w:val="en-GB"/>
        </w:rPr>
        <w:t xml:space="preserve"> – Basic Recommendation</w:t>
      </w:r>
      <w:r w:rsidRPr="006E6A13">
        <w:rPr>
          <w:b/>
          <w:bCs/>
          <w:lang w:val="en-GB"/>
        </w:rPr>
        <w:t>"</w:t>
      </w:r>
      <w:r w:rsidRPr="006E6A13">
        <w:rPr>
          <w:lang w:val="en-GB"/>
        </w:rPr>
        <w:t xml:space="preserve"> (under approval)</w:t>
      </w:r>
      <w:r w:rsidRPr="00C1421E">
        <w:rPr>
          <w:lang w:val="en-GB"/>
        </w:rPr>
        <w:t xml:space="preserve"> seeks to establish fundamental test methods and criteria for the resistibility of telecommunication equipment to </w:t>
      </w:r>
      <w:proofErr w:type="spellStart"/>
      <w:r w:rsidRPr="00C1421E">
        <w:rPr>
          <w:lang w:val="en-GB"/>
        </w:rPr>
        <w:t>overvoltages</w:t>
      </w:r>
      <w:proofErr w:type="spellEnd"/>
      <w:r w:rsidRPr="00C1421E">
        <w:rPr>
          <w:lang w:val="en-GB"/>
        </w:rPr>
        <w:t xml:space="preserve"> and </w:t>
      </w:r>
      <w:proofErr w:type="spellStart"/>
      <w:r w:rsidRPr="00C1421E">
        <w:rPr>
          <w:lang w:val="en-GB"/>
        </w:rPr>
        <w:t>overcurrents</w:t>
      </w:r>
      <w:proofErr w:type="spellEnd"/>
      <w:r w:rsidRPr="00C1421E">
        <w:rPr>
          <w:lang w:val="en-GB"/>
        </w:rPr>
        <w:t>.</w:t>
      </w:r>
    </w:p>
    <w:p w14:paraId="6F0F6060" w14:textId="77777777" w:rsidR="006A46AE" w:rsidRPr="00C1421E" w:rsidRDefault="006A46AE" w:rsidP="006A46AE">
      <w:pPr>
        <w:rPr>
          <w:lang w:val="en-GB"/>
        </w:rPr>
      </w:pPr>
      <w:proofErr w:type="spellStart"/>
      <w:r w:rsidRPr="00C1421E">
        <w:rPr>
          <w:lang w:val="en-GB"/>
        </w:rPr>
        <w:t>Overvoltages</w:t>
      </w:r>
      <w:proofErr w:type="spellEnd"/>
      <w:r w:rsidRPr="00C1421E">
        <w:rPr>
          <w:lang w:val="en-GB"/>
        </w:rPr>
        <w:t xml:space="preserve"> or </w:t>
      </w:r>
      <w:proofErr w:type="spellStart"/>
      <w:r w:rsidRPr="00C1421E">
        <w:rPr>
          <w:lang w:val="en-GB"/>
        </w:rPr>
        <w:t>overcurrents</w:t>
      </w:r>
      <w:proofErr w:type="spellEnd"/>
      <w:r w:rsidRPr="00C1421E">
        <w:rPr>
          <w:lang w:val="en-GB"/>
        </w:rPr>
        <w:t xml:space="preserve">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3BF14507" w14:textId="77777777" w:rsidR="006A46AE" w:rsidRPr="00C1421E" w:rsidRDefault="006A46AE" w:rsidP="006A46AE">
      <w:pPr>
        <w:rPr>
          <w:lang w:val="en-GB"/>
        </w:rPr>
      </w:pPr>
      <w:r w:rsidRPr="00C1421E">
        <w:rPr>
          <w:lang w:val="en-GB"/>
        </w:rPr>
        <w:t>Major changes compared with the 2018 version of this Recommendation include:</w:t>
      </w:r>
    </w:p>
    <w:p w14:paraId="31F1E4A7" w14:textId="77777777" w:rsidR="006A46AE" w:rsidRPr="00C1421E" w:rsidRDefault="006A46AE" w:rsidP="006A46AE">
      <w:pPr>
        <w:pStyle w:val="enumlev1"/>
        <w:rPr>
          <w:lang w:val="en-GB"/>
        </w:rPr>
      </w:pPr>
      <w:r w:rsidRPr="00C1421E">
        <w:rPr>
          <w:lang w:val="en-GB"/>
        </w:rPr>
        <w:t>–</w:t>
      </w:r>
      <w:r w:rsidRPr="00C1421E">
        <w:rPr>
          <w:lang w:val="en-GB"/>
        </w:rPr>
        <w:tab/>
        <w:t xml:space="preserve">Appendices I and II removed and made into K.44 </w:t>
      </w:r>
      <w:proofErr w:type="gramStart"/>
      <w:r w:rsidRPr="00C1421E">
        <w:rPr>
          <w:lang w:val="en-GB"/>
        </w:rPr>
        <w:t>Supplements ;</w:t>
      </w:r>
      <w:proofErr w:type="gramEnd"/>
    </w:p>
    <w:p w14:paraId="27DD9C9B" w14:textId="77777777" w:rsidR="006A46AE" w:rsidRPr="00C1421E" w:rsidRDefault="006A46AE" w:rsidP="006A46AE">
      <w:pPr>
        <w:pStyle w:val="enumlev1"/>
        <w:rPr>
          <w:lang w:val="en-GB"/>
        </w:rPr>
      </w:pPr>
      <w:r w:rsidRPr="00C1421E">
        <w:rPr>
          <w:lang w:val="en-GB"/>
        </w:rPr>
        <w:t>–</w:t>
      </w:r>
      <w:r w:rsidRPr="00C1421E">
        <w:rPr>
          <w:lang w:val="en-GB"/>
        </w:rPr>
        <w:tab/>
        <w:t xml:space="preserve">New twisted pair transverse/differential surge test </w:t>
      </w:r>
      <w:proofErr w:type="gramStart"/>
      <w:r w:rsidRPr="00C1421E">
        <w:rPr>
          <w:lang w:val="en-GB"/>
        </w:rPr>
        <w:t>circuit ;</w:t>
      </w:r>
      <w:proofErr w:type="gramEnd"/>
    </w:p>
    <w:p w14:paraId="7BCDBA26" w14:textId="77777777" w:rsidR="006A46AE" w:rsidRPr="00C1421E" w:rsidRDefault="006A46AE" w:rsidP="006A46AE">
      <w:pPr>
        <w:pStyle w:val="enumlev1"/>
        <w:rPr>
          <w:lang w:val="en-GB"/>
        </w:rPr>
      </w:pPr>
      <w:r w:rsidRPr="00C1421E">
        <w:rPr>
          <w:lang w:val="en-GB"/>
        </w:rPr>
        <w:t>–</w:t>
      </w:r>
      <w:r w:rsidRPr="00C1421E">
        <w:rPr>
          <w:lang w:val="en-GB"/>
        </w:rPr>
        <w:tab/>
      </w:r>
      <w:proofErr w:type="gramStart"/>
      <w:r w:rsidRPr="00C1421E">
        <w:rPr>
          <w:lang w:val="en-GB"/>
        </w:rPr>
        <w:t>added</w:t>
      </w:r>
      <w:proofErr w:type="gramEnd"/>
      <w:r>
        <w:rPr>
          <w:lang w:val="en-GB"/>
        </w:rPr>
        <w:t xml:space="preserve"> </w:t>
      </w:r>
      <w:r w:rsidRPr="00C1421E">
        <w:rPr>
          <w:lang w:val="en-GB"/>
        </w:rPr>
        <w:t>Ethernet insulation resistance test to avoid port power cross test;</w:t>
      </w:r>
    </w:p>
    <w:p w14:paraId="1E6B4DD3" w14:textId="77777777" w:rsidR="006A46AE" w:rsidRPr="00C1421E" w:rsidRDefault="006A46AE" w:rsidP="006A46AE">
      <w:pPr>
        <w:rPr>
          <w:lang w:val="en-GB"/>
        </w:rPr>
      </w:pPr>
      <w:r w:rsidRPr="00C1421E">
        <w:rPr>
          <w:lang w:val="en-GB"/>
        </w:rPr>
        <w:t>–</w:t>
      </w:r>
      <w:r w:rsidRPr="00C1421E">
        <w:rPr>
          <w:lang w:val="en-GB"/>
        </w:rPr>
        <w:tab/>
      </w:r>
      <w:proofErr w:type="gramStart"/>
      <w:r w:rsidRPr="00C1421E">
        <w:rPr>
          <w:lang w:val="en-GB"/>
        </w:rPr>
        <w:t>revision</w:t>
      </w:r>
      <w:proofErr w:type="gramEnd"/>
      <w:r w:rsidRPr="00C1421E">
        <w:rPr>
          <w:lang w:val="en-GB"/>
        </w:rPr>
        <w:t xml:space="preserve"> of the test schematics to improve clarity.</w:t>
      </w:r>
    </w:p>
    <w:p w14:paraId="1595619C" w14:textId="77777777" w:rsidR="006A46AE" w:rsidRPr="00C1421E" w:rsidRDefault="006A46AE" w:rsidP="006A46AE">
      <w:pPr>
        <w:rPr>
          <w:szCs w:val="24"/>
          <w:lang w:val="en-GB"/>
        </w:rPr>
      </w:pPr>
      <w:r w:rsidRPr="001C37A8">
        <w:rPr>
          <w:b/>
          <w:bCs/>
          <w:lang w:val="en-GB"/>
        </w:rPr>
        <w:t xml:space="preserve">ITU-T K.45 (revised) "Resistibility of telecommunication equipment installed in the access and trunk networks to </w:t>
      </w:r>
      <w:proofErr w:type="spellStart"/>
      <w:r w:rsidRPr="001C37A8">
        <w:rPr>
          <w:b/>
          <w:bCs/>
          <w:lang w:val="en-GB"/>
        </w:rPr>
        <w:t>overvoltages</w:t>
      </w:r>
      <w:proofErr w:type="spellEnd"/>
      <w:r w:rsidRPr="001C37A8">
        <w:rPr>
          <w:b/>
          <w:bCs/>
          <w:lang w:val="en-GB"/>
        </w:rPr>
        <w:t xml:space="preserve"> and </w:t>
      </w:r>
      <w:proofErr w:type="spellStart"/>
      <w:r w:rsidRPr="001C37A8">
        <w:rPr>
          <w:b/>
          <w:bCs/>
          <w:lang w:val="en-GB"/>
        </w:rPr>
        <w:t>overcurrents</w:t>
      </w:r>
      <w:proofErr w:type="spellEnd"/>
      <w:r w:rsidRPr="001C37A8">
        <w:rPr>
          <w:b/>
          <w:bCs/>
          <w:lang w:val="en-GB"/>
        </w:rPr>
        <w:t>"</w:t>
      </w:r>
      <w:r w:rsidRPr="00C1421E">
        <w:rPr>
          <w:lang w:val="en-GB"/>
        </w:rPr>
        <w:t xml:space="preserve"> </w:t>
      </w:r>
      <w:r w:rsidRPr="006E6A13">
        <w:rPr>
          <w:lang w:val="en-GB"/>
        </w:rPr>
        <w:t>(under approval)</w:t>
      </w:r>
      <w:r w:rsidRPr="00C1421E">
        <w:rPr>
          <w:lang w:val="en-GB"/>
        </w:rPr>
        <w:t xml:space="preserve"> </w:t>
      </w:r>
      <w:r w:rsidRPr="00C1421E">
        <w:rPr>
          <w:szCs w:val="24"/>
          <w:lang w:val="en-GB"/>
        </w:rPr>
        <w:t xml:space="preserve">specifies resistibility requirements and test procedures for telecommunication equipment installed between telecommunication centres and between a telecommunication centre and the customer's premises. </w:t>
      </w:r>
      <w:proofErr w:type="spellStart"/>
      <w:r w:rsidRPr="00C1421E">
        <w:rPr>
          <w:szCs w:val="24"/>
          <w:lang w:val="en-GB"/>
        </w:rPr>
        <w:t>Overvoltages</w:t>
      </w:r>
      <w:proofErr w:type="spellEnd"/>
      <w:r w:rsidRPr="00C1421E">
        <w:rPr>
          <w:szCs w:val="24"/>
          <w:lang w:val="en-GB"/>
        </w:rPr>
        <w:t xml:space="preserve"> or </w:t>
      </w:r>
      <w:proofErr w:type="spellStart"/>
      <w:r w:rsidRPr="00C1421E">
        <w:rPr>
          <w:szCs w:val="24"/>
          <w:lang w:val="en-GB"/>
        </w:rPr>
        <w:t>overcurrents</w:t>
      </w:r>
      <w:proofErr w:type="spellEnd"/>
      <w:r w:rsidRPr="00C1421E">
        <w:rPr>
          <w:szCs w:val="24"/>
          <w:lang w:val="en-GB"/>
        </w:rPr>
        <w:t xml:space="preserve">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1ECE5BDD" w14:textId="77777777" w:rsidR="006A46AE" w:rsidRPr="00C1421E" w:rsidRDefault="006A46AE" w:rsidP="006A46AE">
      <w:pPr>
        <w:rPr>
          <w:szCs w:val="24"/>
          <w:lang w:val="en-GB"/>
        </w:rPr>
      </w:pPr>
      <w:r w:rsidRPr="00C1421E">
        <w:rPr>
          <w:szCs w:val="24"/>
          <w:lang w:val="en-GB"/>
        </w:rPr>
        <w:t>Changes compared with Recommendation ITU-T K.45 (2018) include:</w:t>
      </w:r>
    </w:p>
    <w:p w14:paraId="6DA6FDFB" w14:textId="77777777" w:rsidR="006A46AE" w:rsidRPr="00C1421E" w:rsidRDefault="006A46AE" w:rsidP="006A46AE">
      <w:pPr>
        <w:rPr>
          <w:szCs w:val="24"/>
          <w:lang w:val="en-GB"/>
        </w:rPr>
      </w:pPr>
      <w:r w:rsidRPr="00C1421E">
        <w:rPr>
          <w:szCs w:val="24"/>
          <w:lang w:val="en-GB"/>
        </w:rPr>
        <w:t>•</w:t>
      </w:r>
      <w:r w:rsidRPr="00C1421E">
        <w:rPr>
          <w:szCs w:val="24"/>
          <w:lang w:val="en-GB"/>
        </w:rPr>
        <w:tab/>
        <w:t>DC insulation resistance test;</w:t>
      </w:r>
    </w:p>
    <w:p w14:paraId="3A6A7813" w14:textId="77777777" w:rsidR="006A46AE" w:rsidRPr="00C1421E" w:rsidRDefault="006A46AE" w:rsidP="006A46AE">
      <w:pPr>
        <w:rPr>
          <w:szCs w:val="24"/>
          <w:lang w:val="en-GB"/>
        </w:rPr>
      </w:pPr>
      <w:r w:rsidRPr="00C1421E">
        <w:rPr>
          <w:szCs w:val="24"/>
          <w:lang w:val="en-GB"/>
        </w:rPr>
        <w:t>•</w:t>
      </w:r>
      <w:r w:rsidRPr="00C1421E">
        <w:rPr>
          <w:szCs w:val="24"/>
          <w:lang w:val="en-GB"/>
        </w:rPr>
        <w:tab/>
        <w:t>Special requirements Annex.</w:t>
      </w:r>
    </w:p>
    <w:p w14:paraId="218D4E57" w14:textId="77777777" w:rsidR="006A46AE" w:rsidRPr="00C1421E" w:rsidRDefault="006A46AE" w:rsidP="006A46AE">
      <w:pPr>
        <w:rPr>
          <w:highlight w:val="yellow"/>
          <w:lang w:val="en-GB"/>
        </w:rPr>
      </w:pPr>
      <w:r w:rsidRPr="001C37A8">
        <w:rPr>
          <w:b/>
          <w:bCs/>
          <w:lang w:val="en-GB"/>
        </w:rPr>
        <w:t xml:space="preserve">ITU-T K.77 (revised) "Characteristics of metal oxide </w:t>
      </w:r>
      <w:proofErr w:type="spellStart"/>
      <w:r w:rsidRPr="001C37A8">
        <w:rPr>
          <w:b/>
          <w:bCs/>
          <w:lang w:val="en-GB"/>
        </w:rPr>
        <w:t>varistors</w:t>
      </w:r>
      <w:proofErr w:type="spellEnd"/>
      <w:r w:rsidRPr="001C37A8">
        <w:rPr>
          <w:b/>
          <w:bCs/>
          <w:lang w:val="en-GB"/>
        </w:rPr>
        <w:t xml:space="preserve"> for the protection of telecommunication installations" </w:t>
      </w:r>
      <w:r w:rsidRPr="00C1421E">
        <w:rPr>
          <w:lang w:val="en-GB"/>
        </w:rPr>
        <w:t xml:space="preserve">gives the basic requirements to be met by metal oxide </w:t>
      </w:r>
      <w:proofErr w:type="spellStart"/>
      <w:r w:rsidRPr="00C1421E">
        <w:rPr>
          <w:lang w:val="en-GB"/>
        </w:rPr>
        <w:t>varistors</w:t>
      </w:r>
      <w:proofErr w:type="spellEnd"/>
      <w:r w:rsidRPr="00C1421E">
        <w:rPr>
          <w:lang w:val="en-GB"/>
        </w:rPr>
        <w:t xml:space="preserve"> (MOVs) for the protection of power circuits and signal circuits of telecommunication installations from surges. The purpose of this Recommendation is to provide technical guidelines for purchasers and manufacturers of MOVs to ensure their satisfactory operation in the applications for which they are intended. This Recommendation is intended to be used for the harmonization of existing or future specifications issued by MOV manufactures, telecommunication equipment </w:t>
      </w:r>
      <w:proofErr w:type="spellStart"/>
      <w:r w:rsidRPr="00C1421E">
        <w:rPr>
          <w:lang w:val="en-GB"/>
        </w:rPr>
        <w:t>manufactures</w:t>
      </w:r>
      <w:proofErr w:type="spellEnd"/>
      <w:r w:rsidRPr="00C1421E">
        <w:rPr>
          <w:lang w:val="en-GB"/>
        </w:rPr>
        <w:t>, administrations or network operators.</w:t>
      </w:r>
    </w:p>
    <w:p w14:paraId="4503267D" w14:textId="77777777" w:rsidR="006A46AE" w:rsidRPr="00C1421E" w:rsidRDefault="006A46AE" w:rsidP="006A46AE">
      <w:pPr>
        <w:rPr>
          <w:lang w:val="en-GB"/>
        </w:rPr>
      </w:pPr>
      <w:r w:rsidRPr="001C37A8">
        <w:rPr>
          <w:b/>
          <w:bCs/>
          <w:lang w:val="en-GB"/>
        </w:rPr>
        <w:lastRenderedPageBreak/>
        <w:t>ITU-T K.90 Appendix II "Evaluation techniques and working procedures for compliance with exposure limits of network operator personnel to power-frequency electromagnetic fields. Description of the program EMFACDC"</w:t>
      </w:r>
      <w:r w:rsidRPr="00C1421E">
        <w:rPr>
          <w:lang w:val="en-GB"/>
        </w:rPr>
        <w:t>. The software "EMFACDC" in Appendix II of Recommendation ITU-T K.90 was developed in 2012. As the software environment is under constantly development, there was a requirement for software adjustments. These updates were done in the new version v 2.0 that is attached to this document with the following most important modifications:</w:t>
      </w:r>
    </w:p>
    <w:p w14:paraId="24E85CCF" w14:textId="77777777" w:rsidR="006A46AE" w:rsidRPr="00C1421E" w:rsidRDefault="006A46AE" w:rsidP="006A46AE">
      <w:pPr>
        <w:numPr>
          <w:ilvl w:val="0"/>
          <w:numId w:val="49"/>
        </w:numPr>
        <w:rPr>
          <w:lang w:val="en-GB"/>
        </w:rPr>
      </w:pPr>
      <w:r w:rsidRPr="00C1421E">
        <w:rPr>
          <w:lang w:val="en-GB"/>
        </w:rPr>
        <w:t>procedures "open" and "save" were improved;</w:t>
      </w:r>
    </w:p>
    <w:p w14:paraId="013D2B0C" w14:textId="77777777" w:rsidR="006A46AE" w:rsidRPr="00C1421E" w:rsidRDefault="006A46AE" w:rsidP="006A46AE">
      <w:pPr>
        <w:numPr>
          <w:ilvl w:val="0"/>
          <w:numId w:val="49"/>
        </w:numPr>
        <w:rPr>
          <w:lang w:val="en-GB"/>
        </w:rPr>
      </w:pPr>
      <w:r w:rsidRPr="00C1421E">
        <w:rPr>
          <w:lang w:val="en-GB"/>
        </w:rPr>
        <w:t>the possibility to save numerical data with results of calculations on the horizontal and vertical lines in *.csv format was added;</w:t>
      </w:r>
    </w:p>
    <w:p w14:paraId="22A92787" w14:textId="77777777" w:rsidR="006A46AE" w:rsidRPr="00C1421E" w:rsidRDefault="006A46AE" w:rsidP="006A46AE">
      <w:pPr>
        <w:numPr>
          <w:ilvl w:val="0"/>
          <w:numId w:val="49"/>
        </w:numPr>
        <w:rPr>
          <w:lang w:val="en-GB"/>
        </w:rPr>
      </w:pPr>
      <w:r w:rsidRPr="00C1421E">
        <w:rPr>
          <w:lang w:val="en-GB"/>
        </w:rPr>
        <w:t>the new example of the high voltage line with two circuits "delta" type was added</w:t>
      </w:r>
    </w:p>
    <w:p w14:paraId="4E5E3A6A" w14:textId="77777777" w:rsidR="006A46AE" w:rsidRPr="00C1421E" w:rsidRDefault="006A46AE" w:rsidP="006A46AE">
      <w:pPr>
        <w:numPr>
          <w:ilvl w:val="0"/>
          <w:numId w:val="49"/>
        </w:numPr>
        <w:rPr>
          <w:lang w:val="en-GB"/>
        </w:rPr>
      </w:pPr>
      <w:proofErr w:type="gramStart"/>
      <w:r w:rsidRPr="00C1421E">
        <w:rPr>
          <w:lang w:val="en-GB"/>
        </w:rPr>
        <w:t>the</w:t>
      </w:r>
      <w:proofErr w:type="gramEnd"/>
      <w:r w:rsidRPr="00C1421E">
        <w:rPr>
          <w:lang w:val="en-GB"/>
        </w:rPr>
        <w:t xml:space="preserve"> main screen was reorganised.</w:t>
      </w:r>
    </w:p>
    <w:p w14:paraId="0FF3C7B8" w14:textId="77777777" w:rsidR="006A46AE" w:rsidRPr="00C1421E" w:rsidRDefault="006A46AE" w:rsidP="006A46AE">
      <w:pPr>
        <w:rPr>
          <w:lang w:val="en-GB"/>
        </w:rPr>
      </w:pPr>
      <w:r w:rsidRPr="001C37A8">
        <w:rPr>
          <w:b/>
          <w:bCs/>
          <w:lang w:val="en-GB"/>
        </w:rPr>
        <w:t>ITU-T K.91 Appendix IX "Manhole type base station"</w:t>
      </w:r>
      <w:r w:rsidRPr="00C1421E">
        <w:rPr>
          <w:lang w:val="en-GB"/>
        </w:rPr>
        <w:t xml:space="preserve"> presents the measurement results of radio frequency exposure from manhole-type base stations installed underground using the measurement methods introduced in this guideline, in order to evaluate the exposure from these base stations.</w:t>
      </w:r>
    </w:p>
    <w:p w14:paraId="1641997D" w14:textId="77777777" w:rsidR="006A46AE" w:rsidRPr="00C1421E" w:rsidRDefault="006A46AE" w:rsidP="006A46AE">
      <w:pPr>
        <w:rPr>
          <w:lang w:val="en-GB"/>
        </w:rPr>
      </w:pPr>
      <w:r w:rsidRPr="001C37A8">
        <w:rPr>
          <w:b/>
          <w:bCs/>
          <w:lang w:val="en-GB"/>
        </w:rPr>
        <w:t>ITU-T K.100 (revised) "Measurement of radio frequency electromagnetic fields to determine compliance with human exposure limits when a base station is put into service"</w:t>
      </w:r>
      <w:r w:rsidRPr="00C1421E">
        <w:rPr>
          <w:lang w:val="en-GB"/>
        </w:rPr>
        <w:t xml:space="preserve"> provides information on measurement techniques and procedures for assessing compliance with the general public electromagnetic fields (EMFs) exposure limits when a new base station (BS) is put into service, taking into account effects of the environment and other relevant radio frequency sources present in its surrounding.</w:t>
      </w:r>
    </w:p>
    <w:p w14:paraId="6DAA1A5D" w14:textId="77777777" w:rsidR="006A46AE" w:rsidRPr="00C1421E" w:rsidRDefault="006A46AE" w:rsidP="006A46AE">
      <w:pPr>
        <w:rPr>
          <w:lang w:val="en-GB"/>
        </w:rPr>
      </w:pPr>
      <w:r w:rsidRPr="001C37A8">
        <w:rPr>
          <w:b/>
          <w:bCs/>
          <w:lang w:val="en-GB"/>
        </w:rPr>
        <w:t xml:space="preserve">ITU-T K.112 (revised) "Lightning protection, </w:t>
      </w:r>
      <w:proofErr w:type="spellStart"/>
      <w:r w:rsidRPr="001C37A8">
        <w:rPr>
          <w:b/>
          <w:bCs/>
          <w:lang w:val="en-GB"/>
        </w:rPr>
        <w:t>earthing</w:t>
      </w:r>
      <w:proofErr w:type="spellEnd"/>
      <w:r w:rsidRPr="001C37A8">
        <w:rPr>
          <w:b/>
          <w:bCs/>
          <w:lang w:val="en-GB"/>
        </w:rPr>
        <w:t xml:space="preserve"> and bonding: Practical procedures for radio base stations"</w:t>
      </w:r>
      <w:r w:rsidRPr="00C1421E">
        <w:rPr>
          <w:lang w:val="en-GB"/>
        </w:rPr>
        <w:t xml:space="preserve"> provides a set of practical procedures related to the lightning protection, </w:t>
      </w:r>
      <w:proofErr w:type="spellStart"/>
      <w:r w:rsidRPr="00C1421E">
        <w:rPr>
          <w:lang w:val="en-GB"/>
        </w:rPr>
        <w:t>earthing</w:t>
      </w:r>
      <w:proofErr w:type="spellEnd"/>
      <w:r w:rsidRPr="00C1421E">
        <w:rPr>
          <w:lang w:val="en-GB"/>
        </w:rPr>
        <w:t xml:space="preserve">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w:t>
      </w:r>
      <w:proofErr w:type="spellStart"/>
      <w:r w:rsidRPr="00C1421E">
        <w:rPr>
          <w:lang w:val="en-GB"/>
        </w:rPr>
        <w:t>earthing</w:t>
      </w:r>
      <w:proofErr w:type="spellEnd"/>
      <w:r w:rsidRPr="00C1421E">
        <w:rPr>
          <w:lang w:val="en-GB"/>
        </w:rPr>
        <w:t xml:space="preserve"> network, bonding conductors and surge protective devices (SPDs). This includes the specification of the materials, </w:t>
      </w:r>
      <w:proofErr w:type="spellStart"/>
      <w:r w:rsidRPr="00C1421E">
        <w:rPr>
          <w:lang w:val="en-GB"/>
        </w:rPr>
        <w:t>anti corrosion</w:t>
      </w:r>
      <w:proofErr w:type="spellEnd"/>
      <w:r w:rsidRPr="00C1421E">
        <w:rPr>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w:t>
      </w:r>
      <w:proofErr w:type="gramStart"/>
      <w:r w:rsidRPr="00C1421E">
        <w:rPr>
          <w:lang w:val="en-GB"/>
        </w:rPr>
        <w:t>A</w:t>
      </w:r>
      <w:proofErr w:type="gramEnd"/>
      <w:r w:rsidRPr="00C1421E">
        <w:rPr>
          <w:lang w:val="en-GB"/>
        </w:rPr>
        <w:t xml:space="preserve"> presents practical examples of </w:t>
      </w:r>
      <w:proofErr w:type="spellStart"/>
      <w:r w:rsidRPr="00C1421E">
        <w:rPr>
          <w:lang w:val="en-GB"/>
        </w:rPr>
        <w:t>earthing</w:t>
      </w:r>
      <w:proofErr w:type="spellEnd"/>
      <w:r w:rsidRPr="00C1421E">
        <w:rPr>
          <w:lang w:val="en-GB"/>
        </w:rPr>
        <w:t xml:space="preserve"> network design, whereas Annex B presents an overview of the techniques for measuring the </w:t>
      </w:r>
      <w:proofErr w:type="spellStart"/>
      <w:r w:rsidRPr="00C1421E">
        <w:rPr>
          <w:lang w:val="en-GB"/>
        </w:rPr>
        <w:t>earthing</w:t>
      </w:r>
      <w:proofErr w:type="spellEnd"/>
      <w:r w:rsidRPr="00C1421E">
        <w:rPr>
          <w:lang w:val="en-GB"/>
        </w:rPr>
        <w:t xml:space="preserve"> resistance and the earth resistivity.</w:t>
      </w:r>
    </w:p>
    <w:p w14:paraId="31C24657" w14:textId="77777777" w:rsidR="006A46AE" w:rsidRPr="00C1421E" w:rsidRDefault="006A46AE" w:rsidP="006A46AE">
      <w:pPr>
        <w:rPr>
          <w:lang w:val="en-GB"/>
        </w:rPr>
      </w:pPr>
      <w:r w:rsidRPr="001C37A8">
        <w:rPr>
          <w:b/>
          <w:bCs/>
          <w:lang w:val="en-GB"/>
        </w:rPr>
        <w:t>ITU-T K.116 (revised) "Electromagnetic compatibility requirements and test methods for radio telecommunication terminal equipment"</w:t>
      </w:r>
      <w:r w:rsidRPr="00C1421E">
        <w:rPr>
          <w:lang w:val="en-GB"/>
        </w:rPr>
        <w:t xml:space="preserve"> establishes the essential electromagnetic compatibility (EMC) requirements for radio telecommunication terminal equipment and ancillary accessories. This Recommendation specifies the emission and immunity requirements for radio telecommunication terminal equipment and ancillary equipment including 5G terminal equipment. It also describes test conditions for emission and immunity testing. Performance assessment and criteria for immunity tests are also specified.</w:t>
      </w:r>
    </w:p>
    <w:p w14:paraId="05114875" w14:textId="77777777" w:rsidR="006A46AE" w:rsidRPr="00C1421E" w:rsidRDefault="006A46AE" w:rsidP="006A46AE">
      <w:pPr>
        <w:rPr>
          <w:highlight w:val="yellow"/>
          <w:lang w:val="en-GB"/>
        </w:rPr>
      </w:pPr>
      <w:r w:rsidRPr="001C37A8">
        <w:rPr>
          <w:b/>
          <w:bCs/>
          <w:lang w:val="en-GB"/>
        </w:rPr>
        <w:t>ITU-T K.123 (revised) "Electromagnetic compatibility requirements for electrical equipment in telecommunication facilities"</w:t>
      </w:r>
      <w:r w:rsidRPr="00C1421E">
        <w:rPr>
          <w:lang w:val="en-GB"/>
        </w:rPr>
        <w:t xml:space="preserve"> describes the requirements for radiated and conducted emissions from electrical systems installed in telecommunication facilities. Electrical systems in the scope of this Recommendation include rectifiers that supply direct current (DC) voltages of up to 400 V, power conditioning systems (PCSs) including grid connected power converters (GCPCs), uninterruptible power supplies (UPSs) and inverter driven electrical equipment including the air conditioners needed for the operation of telecommunication systems. Their electrical systems </w:t>
      </w:r>
      <w:r w:rsidRPr="00C1421E">
        <w:rPr>
          <w:lang w:val="en-GB"/>
        </w:rPr>
        <w:lastRenderedPageBreak/>
        <w:t>include power conversion devices and may generate conducted and radiated electromagnetic disturbances and cause degradation of the performance of telecommunication systems.</w:t>
      </w:r>
    </w:p>
    <w:p w14:paraId="0315639C" w14:textId="77777777" w:rsidR="006A46AE" w:rsidRPr="001C37A8" w:rsidRDefault="006A46AE" w:rsidP="006A46AE">
      <w:pPr>
        <w:rPr>
          <w:rFonts w:eastAsia="MS Mincho"/>
          <w:lang w:val="en-GB"/>
        </w:rPr>
      </w:pPr>
      <w:r w:rsidRPr="001C37A8">
        <w:rPr>
          <w:rFonts w:eastAsia="MS Mincho"/>
          <w:b/>
          <w:lang w:val="en-GB"/>
        </w:rPr>
        <w:t>ITU-T K.140 "Surge protective component application guide – Fuses"</w:t>
      </w:r>
      <w:r w:rsidRPr="001C37A8">
        <w:rPr>
          <w:rFonts w:eastAsia="MS Mincho"/>
          <w:lang w:val="en-GB"/>
        </w:rPr>
        <w:t xml:space="preserve"> considers fuse and fusible component types, the electrical stress levels pre- and post-operation and gives circuit examples.</w:t>
      </w:r>
    </w:p>
    <w:p w14:paraId="669B0680" w14:textId="77777777" w:rsidR="006A46AE" w:rsidRPr="00C1421E" w:rsidRDefault="006A46AE" w:rsidP="006A46AE">
      <w:pPr>
        <w:rPr>
          <w:rFonts w:eastAsiaTheme="minorEastAsia"/>
          <w:color w:val="000000" w:themeColor="text1"/>
          <w:highlight w:val="yellow"/>
          <w:lang w:val="en-GB"/>
        </w:rPr>
      </w:pPr>
      <w:r w:rsidRPr="001C37A8">
        <w:rPr>
          <w:rFonts w:eastAsia="MS Mincho"/>
          <w:b/>
          <w:lang w:val="en-GB"/>
        </w:rPr>
        <w:t xml:space="preserve">ITU-T K.141 "Electromagnetic compatibility requirements for Information Perception Equipment" </w:t>
      </w:r>
      <w:r w:rsidRPr="001C37A8">
        <w:rPr>
          <w:rFonts w:eastAsia="MS Mincho"/>
          <w:lang w:val="en-GB"/>
        </w:rPr>
        <w:t>gives the general EMC requirements for information perception equipment used in perception layer on the basis of internet of things (IoT), combined with wireless and wired access, broadband and narrowband application, as well as various intelligent applications.</w:t>
      </w:r>
    </w:p>
    <w:p w14:paraId="64554A7F" w14:textId="77777777" w:rsidR="006A46AE" w:rsidRPr="00C1421E" w:rsidRDefault="006A46AE" w:rsidP="006A46AE">
      <w:pPr>
        <w:rPr>
          <w:rFonts w:eastAsiaTheme="minorEastAsia"/>
          <w:bCs/>
          <w:color w:val="000000" w:themeColor="text1"/>
          <w:highlight w:val="yellow"/>
          <w:lang w:val="en-GB"/>
        </w:rPr>
      </w:pPr>
      <w:r w:rsidRPr="00C1421E">
        <w:rPr>
          <w:rFonts w:eastAsiaTheme="minorEastAsia"/>
          <w:b/>
          <w:bCs/>
          <w:color w:val="000000" w:themeColor="text1"/>
          <w:lang w:val="en-GB"/>
        </w:rPr>
        <w:t xml:space="preserve">ITU-T K.Suppl.9 (revised) "5G technology and human exposure to RF EMF" </w:t>
      </w:r>
      <w:r w:rsidRPr="00C1421E">
        <w:rPr>
          <w:rFonts w:eastAsiaTheme="minorEastAsia"/>
          <w:bCs/>
          <w:color w:val="000000" w:themeColor="text1"/>
          <w:lang w:val="en-GB"/>
        </w:rPr>
        <w:t xml:space="preserve">contains an analysis of the impact of the implementation of 5G mobile systems with respect to the exposure level of electromagnetic fields (EMF) around </w:t>
      </w:r>
      <w:proofErr w:type="spellStart"/>
      <w:r w:rsidRPr="00C1421E">
        <w:rPr>
          <w:rFonts w:eastAsiaTheme="minorEastAsia"/>
          <w:bCs/>
          <w:color w:val="000000" w:themeColor="text1"/>
          <w:lang w:val="en-GB"/>
        </w:rPr>
        <w:t>radiocommunication</w:t>
      </w:r>
      <w:proofErr w:type="spellEnd"/>
      <w:r w:rsidRPr="00C1421E">
        <w:rPr>
          <w:rFonts w:eastAsiaTheme="minorEastAsia"/>
          <w:bCs/>
          <w:color w:val="000000" w:themeColor="text1"/>
          <w:lang w:val="en-GB"/>
        </w:rPr>
        <w:t xml:space="preserve"> infrastructure.</w:t>
      </w:r>
    </w:p>
    <w:p w14:paraId="3717CD7E" w14:textId="77777777" w:rsidR="006A46AE" w:rsidRPr="00C1421E" w:rsidRDefault="006A46AE" w:rsidP="006A46AE">
      <w:pPr>
        <w:rPr>
          <w:rFonts w:eastAsiaTheme="minorEastAsia"/>
          <w:bCs/>
          <w:color w:val="000000" w:themeColor="text1"/>
          <w:lang w:val="en-GB"/>
        </w:rPr>
      </w:pPr>
      <w:r w:rsidRPr="00C1421E">
        <w:rPr>
          <w:rFonts w:eastAsiaTheme="minorEastAsia"/>
          <w:b/>
          <w:bCs/>
          <w:color w:val="000000" w:themeColor="text1"/>
          <w:lang w:val="en-GB"/>
        </w:rPr>
        <w:t xml:space="preserve">ITU-T K.Suppl.16 (revised) "Electromagnetic field compliance assessments for 5G wireless networks" </w:t>
      </w:r>
      <w:r w:rsidRPr="00C1421E">
        <w:rPr>
          <w:rFonts w:eastAsiaTheme="minorEastAsia"/>
          <w:bCs/>
          <w:color w:val="000000" w:themeColor="text1"/>
          <w:lang w:val="en-GB"/>
        </w:rPr>
        <w:t>provides guidance on the radio frequency-electromagnetic field (RF-EMF) compliance assessment considerations for IMT-2020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27332F12" w14:textId="77777777" w:rsidR="006A46AE" w:rsidRPr="00C1421E" w:rsidRDefault="006A46AE" w:rsidP="006A46AE">
      <w:pPr>
        <w:rPr>
          <w:lang w:val="en-GB"/>
        </w:rPr>
      </w:pPr>
      <w:r w:rsidRPr="001C37A8">
        <w:rPr>
          <w:b/>
          <w:bCs/>
          <w:lang w:val="en-GB"/>
        </w:rPr>
        <w:t>ITU-T K.Suppl.17 to ITU-T K.44 "Test conditions and methods information"</w:t>
      </w:r>
      <w:r w:rsidRPr="00C1421E">
        <w:rPr>
          <w:lang w:val="en-GB"/>
        </w:rPr>
        <w:t xml:space="preserve"> provides background information that explains how the various lightning and power faults test configurations and electrical values in Recommendation ITU-T K.44 were derived. Examples show how test procedures can be minimised by knowing how the surge and power fault test conditions can vary with time and voltage. How ITU-T Recommendation K.44 relates to its dependent Recommendations is explained.</w:t>
      </w:r>
    </w:p>
    <w:p w14:paraId="71A18646" w14:textId="77777777" w:rsidR="006A46AE" w:rsidRPr="00C1421E" w:rsidRDefault="006A46AE" w:rsidP="006A46AE">
      <w:pPr>
        <w:rPr>
          <w:highlight w:val="yellow"/>
          <w:lang w:val="en-GB"/>
        </w:rPr>
      </w:pPr>
      <w:r w:rsidRPr="001C37A8">
        <w:rPr>
          <w:b/>
          <w:bCs/>
          <w:lang w:val="en-GB"/>
        </w:rPr>
        <w:t>ITU-T K.Suppl.18 to ITU-T K.44 "Causes of telecommunication system overvoltage and overcurrent conditions and their expected levels"</w:t>
      </w:r>
      <w:r w:rsidRPr="00C1421E">
        <w:rPr>
          <w:lang w:val="en-GB"/>
        </w:rPr>
        <w:t xml:space="preserve"> discusses how surge and power fault </w:t>
      </w:r>
      <w:proofErr w:type="spellStart"/>
      <w:r w:rsidRPr="00C1421E">
        <w:rPr>
          <w:lang w:val="en-GB"/>
        </w:rPr>
        <w:t>overvoltages</w:t>
      </w:r>
      <w:proofErr w:type="spellEnd"/>
      <w:r w:rsidRPr="00C1421E">
        <w:rPr>
          <w:lang w:val="en-GB"/>
        </w:rPr>
        <w:t xml:space="preserve"> and </w:t>
      </w:r>
      <w:proofErr w:type="spellStart"/>
      <w:r w:rsidRPr="00C1421E">
        <w:rPr>
          <w:lang w:val="en-GB"/>
        </w:rPr>
        <w:t>overcurrents</w:t>
      </w:r>
      <w:proofErr w:type="spellEnd"/>
      <w:r w:rsidRPr="00C1421E">
        <w:rPr>
          <w:lang w:val="en-GB"/>
        </w:rPr>
        <w:t xml:space="preserve"> are coupled into telecommunication systems, the likely disturbance levels and mitigation measures.</w:t>
      </w:r>
    </w:p>
    <w:p w14:paraId="5CA9293C" w14:textId="77777777" w:rsidR="006A46AE" w:rsidRPr="00C1421E" w:rsidRDefault="006A46AE" w:rsidP="006A46AE">
      <w:pPr>
        <w:pStyle w:val="Headingb"/>
      </w:pPr>
      <w:bookmarkStart w:id="235" w:name="_Toc480527906"/>
      <w:r w:rsidRPr="00C1421E">
        <w:t>I.6.4</w:t>
      </w:r>
      <w:r w:rsidRPr="00C1421E">
        <w:tab/>
        <w:t>Emergency communication &amp; disaster relief</w:t>
      </w:r>
      <w:bookmarkEnd w:id="235"/>
    </w:p>
    <w:p w14:paraId="609FBBBC" w14:textId="77777777" w:rsidR="006A46AE" w:rsidRPr="00C1421E" w:rsidRDefault="006A46AE" w:rsidP="006A46AE">
      <w:pPr>
        <w:pStyle w:val="Headingb"/>
      </w:pPr>
      <w:bookmarkStart w:id="236" w:name="_Toc480527908"/>
      <w:r w:rsidRPr="00C1421E">
        <w:t>I.7</w:t>
      </w:r>
      <w:r w:rsidRPr="00C1421E">
        <w:tab/>
        <w:t>Tariff and accounting principles and international telecommunication/ICT economic and policy issues</w:t>
      </w:r>
    </w:p>
    <w:p w14:paraId="6AF20C70" w14:textId="77777777" w:rsidR="006A46AE" w:rsidRPr="00C1421E" w:rsidRDefault="006A46AE" w:rsidP="006A46AE">
      <w:pPr>
        <w:rPr>
          <w:highlight w:val="yellow"/>
          <w:lang w:val="en-GB" w:eastAsia="en-US"/>
        </w:rPr>
      </w:pPr>
      <w:r w:rsidRPr="00C1421E">
        <w:rPr>
          <w:b/>
          <w:lang w:val="en-GB" w:eastAsia="en-US"/>
        </w:rPr>
        <w:t>ITU-T D.198 "Principles for unified format of price/tariffs/rates-lists used for exchanging telephone traffic"</w:t>
      </w:r>
      <w:r w:rsidRPr="00C1421E">
        <w:rPr>
          <w:lang w:val="en-GB" w:eastAsia="en-US"/>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62D4092A" w14:textId="77777777" w:rsidR="006A46AE" w:rsidRPr="00C1421E" w:rsidRDefault="006A46AE" w:rsidP="006A46AE">
      <w:pPr>
        <w:pStyle w:val="Headingb"/>
      </w:pPr>
      <w:r w:rsidRPr="00C1421E">
        <w:t>I.7.1</w:t>
      </w:r>
      <w:r w:rsidRPr="00C1421E">
        <w:tab/>
        <w:t>Economic impact of IXP, Universal service, NGN, Mobile Roaming and SMPOTT and Valuation of spectrum</w:t>
      </w:r>
    </w:p>
    <w:p w14:paraId="7B70806C" w14:textId="77777777" w:rsidR="006A46AE" w:rsidRPr="00C1421E" w:rsidRDefault="006A46AE" w:rsidP="006A46AE">
      <w:pPr>
        <w:rPr>
          <w:lang w:val="en-GB"/>
        </w:rPr>
      </w:pPr>
      <w:r w:rsidRPr="00C1421E">
        <w:rPr>
          <w:b/>
          <w:lang w:val="en-GB" w:eastAsia="en-US"/>
        </w:rPr>
        <w:t>ITU-T D.262 "Collaborative Framework for OTTs"</w:t>
      </w:r>
      <w:r w:rsidRPr="00C1421E">
        <w:rPr>
          <w:lang w:val="en-GB" w:eastAsia="en-US"/>
        </w:rPr>
        <w:t xml:space="preserve"> </w:t>
      </w:r>
      <w:r w:rsidRPr="00C1421E">
        <w:rPr>
          <w:lang w:val="en-GB"/>
        </w:rPr>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25FBAC37" w14:textId="77777777" w:rsidR="006A46AE" w:rsidRPr="00C1421E" w:rsidRDefault="006A46AE" w:rsidP="006A46AE">
      <w:pPr>
        <w:rPr>
          <w:lang w:val="en-GB"/>
        </w:rPr>
      </w:pPr>
      <w:r w:rsidRPr="00C1421E">
        <w:rPr>
          <w:b/>
          <w:lang w:val="en-GB"/>
        </w:rPr>
        <w:t>ITU-T D.263 "Costs, Charges and Competition for Mobile Financial Services (MFS)"</w:t>
      </w:r>
      <w:r w:rsidRPr="00C1421E">
        <w:rPr>
          <w:lang w:val="en-GB"/>
        </w:rPr>
        <w:t xml:space="preserve"> proposes a possible approach to reduce high retail and wholesale telecommunication charges related to mobile financial service (MFS).</w:t>
      </w:r>
    </w:p>
    <w:p w14:paraId="430A92EC" w14:textId="77777777" w:rsidR="006A46AE" w:rsidRPr="00C1421E" w:rsidRDefault="006A46AE" w:rsidP="006A46AE">
      <w:pPr>
        <w:rPr>
          <w:lang w:val="en-GB"/>
        </w:rPr>
      </w:pPr>
      <w:r w:rsidRPr="00C1421E">
        <w:rPr>
          <w:b/>
          <w:lang w:val="en-GB"/>
        </w:rPr>
        <w:lastRenderedPageBreak/>
        <w:t xml:space="preserve">ITU-T D.264 "Shared use of spectrum and telecommunication infrastructure as possible methods for enhancing the efficiency of telecommunications" </w:t>
      </w:r>
      <w:r w:rsidRPr="006E6A13">
        <w:rPr>
          <w:lang w:val="en-GB"/>
        </w:rPr>
        <w:t>(under approval)</w:t>
      </w:r>
      <w:r w:rsidRPr="00C1421E">
        <w:rPr>
          <w:lang w:val="en-GB"/>
        </w:rPr>
        <w:t xml:space="preserve"> 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07B33284" w14:textId="77777777" w:rsidR="006A46AE" w:rsidRPr="00C1421E" w:rsidRDefault="006A46AE" w:rsidP="006A46AE">
      <w:pPr>
        <w:rPr>
          <w:lang w:val="en-GB" w:eastAsia="en-US"/>
        </w:rPr>
      </w:pPr>
      <w:r w:rsidRPr="00C1421E">
        <w:rPr>
          <w:b/>
          <w:lang w:val="en-GB" w:eastAsia="en-US"/>
        </w:rPr>
        <w:t>Technical Report DSTR-DFSECO "Digital Financial Services – The Digital Financial Services Ecosystem"</w:t>
      </w:r>
      <w:r w:rsidRPr="00C1421E">
        <w:rPr>
          <w:lang w:val="en-GB" w:eastAsia="en-US"/>
        </w:rPr>
        <w:t xml:space="preserve">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 The Technical Report recognizes a goal of reaching "digital liquidity" – a state wherein consumers and businesses are content to leave their funds in digital form, therefore reducing the burden of the "cash-in", "cash-out" process. Various high-level challenges and issues in the ecosystem are acknowledged in this Technical Report: many of these are the subject of more detailed reports produced by the Focus Group. Finally, this Technical Report looks at the many products and services that comprise the DFS ecosystem.</w:t>
      </w:r>
    </w:p>
    <w:p w14:paraId="00A5B013" w14:textId="77777777" w:rsidR="006A46AE" w:rsidRPr="00C1421E" w:rsidRDefault="006A46AE" w:rsidP="006A46AE">
      <w:pPr>
        <w:rPr>
          <w:lang w:val="en-GB" w:eastAsia="en-US"/>
        </w:rPr>
      </w:pPr>
      <w:r w:rsidRPr="00C1421E">
        <w:rPr>
          <w:b/>
          <w:lang w:val="en-GB" w:eastAsia="en-US"/>
        </w:rPr>
        <w:t>Technical Report DSTR-DFSREG "Digital Financial Services – Regulation in the Digital Financial Services Ecosystem"</w:t>
      </w:r>
      <w:r w:rsidRPr="00C1421E">
        <w:rPr>
          <w:lang w:val="en-GB" w:eastAsia="en-US"/>
        </w:rPr>
        <w:t xml:space="preserve"> outlines the categories of regulation, defines the corresponding sub-issues or topics and highlights the financial inclusion of each topic. Key categories include</w:t>
      </w:r>
    </w:p>
    <w:p w14:paraId="6F606C44" w14:textId="77777777" w:rsidR="006A46AE" w:rsidRPr="00C1421E" w:rsidRDefault="006A46AE" w:rsidP="006A46AE">
      <w:pPr>
        <w:numPr>
          <w:ilvl w:val="0"/>
          <w:numId w:val="94"/>
        </w:numPr>
        <w:rPr>
          <w:lang w:val="en-GB" w:eastAsia="en-US"/>
        </w:rPr>
      </w:pPr>
      <w:r w:rsidRPr="00C1421E">
        <w:rPr>
          <w:lang w:val="en-GB" w:eastAsia="en-US"/>
        </w:rPr>
        <w:t>agents,</w:t>
      </w:r>
    </w:p>
    <w:p w14:paraId="612662B7" w14:textId="77777777" w:rsidR="006A46AE" w:rsidRPr="00C1421E" w:rsidRDefault="006A46AE" w:rsidP="006A46AE">
      <w:pPr>
        <w:numPr>
          <w:ilvl w:val="0"/>
          <w:numId w:val="94"/>
        </w:numPr>
        <w:rPr>
          <w:lang w:val="en-GB" w:eastAsia="en-US"/>
        </w:rPr>
      </w:pPr>
      <w:r w:rsidRPr="00C1421E">
        <w:rPr>
          <w:lang w:val="en-GB" w:eastAsia="en-US"/>
        </w:rPr>
        <w:t>consumer protection,</w:t>
      </w:r>
    </w:p>
    <w:p w14:paraId="18A5EF28" w14:textId="77777777" w:rsidR="006A46AE" w:rsidRPr="00C1421E" w:rsidRDefault="006A46AE" w:rsidP="006A46AE">
      <w:pPr>
        <w:numPr>
          <w:ilvl w:val="0"/>
          <w:numId w:val="94"/>
        </w:numPr>
        <w:rPr>
          <w:lang w:val="en-GB" w:eastAsia="en-US"/>
        </w:rPr>
      </w:pPr>
      <w:r w:rsidRPr="00C1421E">
        <w:rPr>
          <w:lang w:val="en-GB" w:eastAsia="en-US"/>
        </w:rPr>
        <w:t>market access,</w:t>
      </w:r>
    </w:p>
    <w:p w14:paraId="30D4A1DB" w14:textId="77777777" w:rsidR="006A46AE" w:rsidRPr="00C1421E" w:rsidRDefault="006A46AE" w:rsidP="006A46AE">
      <w:pPr>
        <w:numPr>
          <w:ilvl w:val="0"/>
          <w:numId w:val="94"/>
        </w:numPr>
        <w:rPr>
          <w:lang w:val="en-GB" w:eastAsia="en-US"/>
        </w:rPr>
      </w:pPr>
      <w:r w:rsidRPr="00C1421E">
        <w:rPr>
          <w:lang w:val="en-GB" w:eastAsia="en-US"/>
        </w:rPr>
        <w:t>payments systems,</w:t>
      </w:r>
    </w:p>
    <w:p w14:paraId="68521D9B" w14:textId="77777777" w:rsidR="006A46AE" w:rsidRPr="00C1421E" w:rsidRDefault="006A46AE" w:rsidP="006A46AE">
      <w:pPr>
        <w:numPr>
          <w:ilvl w:val="0"/>
          <w:numId w:val="94"/>
        </w:numPr>
        <w:rPr>
          <w:lang w:val="en-GB" w:eastAsia="en-US"/>
        </w:rPr>
      </w:pPr>
      <w:r w:rsidRPr="00C1421E">
        <w:rPr>
          <w:lang w:val="en-GB" w:eastAsia="en-US"/>
        </w:rPr>
        <w:t>risk management and</w:t>
      </w:r>
    </w:p>
    <w:p w14:paraId="3146B55A" w14:textId="77777777" w:rsidR="006A46AE" w:rsidRPr="00C1421E" w:rsidRDefault="006A46AE" w:rsidP="006A46AE">
      <w:pPr>
        <w:numPr>
          <w:ilvl w:val="0"/>
          <w:numId w:val="94"/>
        </w:numPr>
        <w:rPr>
          <w:lang w:val="en-GB" w:eastAsia="en-US"/>
        </w:rPr>
      </w:pPr>
      <w:proofErr w:type="gramStart"/>
      <w:r w:rsidRPr="00C1421E">
        <w:rPr>
          <w:lang w:val="en-GB" w:eastAsia="en-US"/>
        </w:rPr>
        <w:t>other</w:t>
      </w:r>
      <w:proofErr w:type="gramEnd"/>
      <w:r w:rsidRPr="00C1421E">
        <w:rPr>
          <w:lang w:val="en-GB" w:eastAsia="en-US"/>
        </w:rPr>
        <w:t xml:space="preserve"> related issues.</w:t>
      </w:r>
    </w:p>
    <w:p w14:paraId="00A802B5" w14:textId="77777777" w:rsidR="006A46AE" w:rsidRPr="00C1421E" w:rsidRDefault="006A46AE" w:rsidP="006A46AE">
      <w:pPr>
        <w:rPr>
          <w:lang w:val="en-GB" w:eastAsia="en-US"/>
        </w:rPr>
      </w:pPr>
      <w:r w:rsidRPr="00C1421E">
        <w:rPr>
          <w:lang w:val="en-GB" w:eastAsia="en-US"/>
        </w:rPr>
        <w:t>This Technical Report also addresses key issues related to managing the regulatory environment. It outlines a survey of how regulators currently work together, provide a draft memorandum of understanding template for Authorities in a given country to formally outline joint goals and methods of working together, and outline considerations if regulators are interested in formalizing cross-border collaborations.</w:t>
      </w:r>
    </w:p>
    <w:p w14:paraId="487C9865" w14:textId="77777777" w:rsidR="006A46AE" w:rsidRPr="00C1421E" w:rsidRDefault="006A46AE" w:rsidP="006A46AE">
      <w:pPr>
        <w:rPr>
          <w:lang w:val="en-GB" w:eastAsia="en-US"/>
        </w:rPr>
      </w:pPr>
      <w:r w:rsidRPr="00C1421E">
        <w:rPr>
          <w:b/>
          <w:lang w:val="en-GB" w:eastAsia="en-US"/>
        </w:rPr>
        <w:t>Technical Report DSTR-DFSSNDL "Impact of social networks on digital liquidity":</w:t>
      </w:r>
      <w:r w:rsidRPr="00C1421E">
        <w:rPr>
          <w:lang w:val="en-GB" w:eastAsia="en-US"/>
        </w:rPr>
        <w:t xml:space="preserve"> Social networks enable users to chat, share photos, and perform similar social activities. As social networks mature, they continually add commercial services such as person-to-person (P2P) payments, shopping at physical stores, and 'conversational commerce' via chat applications.</w:t>
      </w:r>
    </w:p>
    <w:p w14:paraId="6EEF2ED6" w14:textId="77777777" w:rsidR="006A46AE" w:rsidRPr="00C1421E" w:rsidRDefault="006A46AE" w:rsidP="006A46AE">
      <w:pPr>
        <w:rPr>
          <w:lang w:val="en-GB" w:eastAsia="en-US"/>
        </w:rPr>
      </w:pPr>
      <w:r w:rsidRPr="00C1421E">
        <w:rPr>
          <w:lang w:val="en-GB" w:eastAsia="en-US"/>
        </w:rPr>
        <w:t>Social networks have become enormously popular and are themselves bigger than the largest e-commerce companies in the world. Importantly, social networks have determined multiple ways to monetize their user base, including advertising, digital content, and transaction fees. Revenue growth has been impressive: for example, Facebook's revenue has grown from $2 billion to $18 billion in just five years.</w:t>
      </w:r>
    </w:p>
    <w:p w14:paraId="68E4AC5E" w14:textId="77777777" w:rsidR="006A46AE" w:rsidRPr="00C1421E" w:rsidRDefault="006A46AE" w:rsidP="006A46AE">
      <w:pPr>
        <w:rPr>
          <w:lang w:val="en-GB" w:eastAsia="en-US"/>
        </w:rPr>
      </w:pPr>
      <w:r w:rsidRPr="00C1421E">
        <w:rPr>
          <w:lang w:val="en-GB" w:eastAsia="en-US"/>
        </w:rPr>
        <w:t>At this point in time, however, this social networking and commercial revolution has largely skipped the bottom of the pyramid (</w:t>
      </w:r>
      <w:proofErr w:type="spellStart"/>
      <w:r w:rsidRPr="00C1421E">
        <w:rPr>
          <w:lang w:val="en-GB" w:eastAsia="en-US"/>
        </w:rPr>
        <w:t>BoP</w:t>
      </w:r>
      <w:proofErr w:type="spellEnd"/>
      <w:r w:rsidRPr="00C1421E">
        <w:rPr>
          <w:lang w:val="en-GB" w:eastAsia="en-US"/>
        </w:rPr>
        <w:t xml:space="preserve">). In general, while social networks are present in most developing countries and view the </w:t>
      </w:r>
      <w:proofErr w:type="spellStart"/>
      <w:r w:rsidRPr="00C1421E">
        <w:rPr>
          <w:lang w:val="en-GB" w:eastAsia="en-US"/>
        </w:rPr>
        <w:t>BoP</w:t>
      </w:r>
      <w:proofErr w:type="spellEnd"/>
      <w:r w:rsidRPr="00C1421E">
        <w:rPr>
          <w:lang w:val="en-GB" w:eastAsia="en-US"/>
        </w:rPr>
        <w:t xml:space="preserve"> as a big opportunity, the poor are not participating – primarily due to low Internet adoption. But, increasing Internet adoption will not open the social networking floodgate. Feature phones, the primary device used by the poor, limit the social network </w:t>
      </w:r>
      <w:r w:rsidRPr="00C1421E">
        <w:rPr>
          <w:lang w:val="en-GB" w:eastAsia="en-US"/>
        </w:rPr>
        <w:lastRenderedPageBreak/>
        <w:t>value proposition. While smartphones offer the best user experience, they introduce new problems such as a short battery life and higher data costs. Even if social network adoption grows, the commercial aspects won't materialize for the poor without financial inclusion – a consumer can't buy unless they link a payment account like M-</w:t>
      </w:r>
      <w:proofErr w:type="spellStart"/>
      <w:r w:rsidRPr="00C1421E">
        <w:rPr>
          <w:lang w:val="en-GB" w:eastAsia="en-US"/>
        </w:rPr>
        <w:t>Pesa</w:t>
      </w:r>
      <w:proofErr w:type="spellEnd"/>
      <w:r w:rsidRPr="00C1421E">
        <w:rPr>
          <w:lang w:val="en-GB" w:eastAsia="en-US"/>
        </w:rPr>
        <w:t xml:space="preserve"> to their social network account.</w:t>
      </w:r>
    </w:p>
    <w:p w14:paraId="27B59041" w14:textId="77777777" w:rsidR="006A46AE" w:rsidRPr="00C1421E" w:rsidRDefault="006A46AE" w:rsidP="006A46AE">
      <w:pPr>
        <w:rPr>
          <w:lang w:val="en-GB" w:eastAsia="en-US"/>
        </w:rPr>
      </w:pPr>
      <w:r w:rsidRPr="00C1421E">
        <w:rPr>
          <w:lang w:val="en-GB" w:eastAsia="en-US"/>
        </w:rPr>
        <w:t xml:space="preserve">Is this one more example of the digital and financial divide, or can social networks help the </w:t>
      </w:r>
      <w:proofErr w:type="spellStart"/>
      <w:r w:rsidRPr="00C1421E">
        <w:rPr>
          <w:lang w:val="en-GB" w:eastAsia="en-US"/>
        </w:rPr>
        <w:t>BoP</w:t>
      </w:r>
      <w:proofErr w:type="spellEnd"/>
      <w:r w:rsidRPr="00C1421E">
        <w:rPr>
          <w:lang w:val="en-GB" w:eastAsia="en-US"/>
        </w:rPr>
        <w:t xml:space="preserve"> economically?</w:t>
      </w:r>
    </w:p>
    <w:p w14:paraId="7B6BDBFC" w14:textId="77777777" w:rsidR="006A46AE" w:rsidRPr="00C1421E" w:rsidRDefault="006A46AE" w:rsidP="006A46AE">
      <w:pPr>
        <w:rPr>
          <w:lang w:val="en-GB" w:eastAsia="en-US"/>
        </w:rPr>
      </w:pPr>
      <w:r w:rsidRPr="00C1421E">
        <w:rPr>
          <w:lang w:val="en-GB" w:eastAsia="en-US"/>
        </w:rPr>
        <w:t>Interestingly, social networks could help close the digital divide by providing various mechanisms, to the extent that they are allowed by regulators:</w:t>
      </w:r>
    </w:p>
    <w:p w14:paraId="73E35299" w14:textId="77777777" w:rsidR="006A46AE" w:rsidRPr="00C1421E" w:rsidRDefault="006A46AE" w:rsidP="006A46AE">
      <w:pPr>
        <w:numPr>
          <w:ilvl w:val="0"/>
          <w:numId w:val="48"/>
        </w:numPr>
        <w:rPr>
          <w:lang w:val="en-GB" w:eastAsia="en-US"/>
        </w:rPr>
      </w:pPr>
      <w:r w:rsidRPr="00C1421E">
        <w:rPr>
          <w:lang w:val="en-GB" w:eastAsia="en-US"/>
        </w:rPr>
        <w:t>Digital on-ramps – Providing a simple, low-cost way of gathering information and communicating with others. For example, chat and VoIP services could reduce spending on SMS and mobile phone calls.</w:t>
      </w:r>
    </w:p>
    <w:p w14:paraId="72E4A1C1" w14:textId="77777777" w:rsidR="006A46AE" w:rsidRPr="00C1421E" w:rsidRDefault="006A46AE" w:rsidP="006A46AE">
      <w:pPr>
        <w:numPr>
          <w:ilvl w:val="0"/>
          <w:numId w:val="48"/>
        </w:numPr>
        <w:rPr>
          <w:lang w:val="en-GB" w:eastAsia="en-US"/>
        </w:rPr>
      </w:pPr>
      <w:r w:rsidRPr="00C1421E">
        <w:rPr>
          <w:lang w:val="en-GB" w:eastAsia="en-US"/>
        </w:rPr>
        <w:t xml:space="preserve">Platforms for </w:t>
      </w:r>
      <w:proofErr w:type="spellStart"/>
      <w:r w:rsidRPr="00C1421E">
        <w:rPr>
          <w:lang w:val="en-GB" w:eastAsia="en-US"/>
        </w:rPr>
        <w:t>BoP</w:t>
      </w:r>
      <w:proofErr w:type="spellEnd"/>
      <w:r w:rsidRPr="00C1421E">
        <w:rPr>
          <w:lang w:val="en-GB" w:eastAsia="en-US"/>
        </w:rPr>
        <w:t xml:space="preserve"> ecosystems – Enabling consumers and entities to create and manage groups, commercially oriented, or otherwise. For example, social network platforms could be used to organize agricultural value chains and enhance how farmers interact with produce buyers, agro-dealers, banks, and other stakeholders. Alternatively, </w:t>
      </w:r>
      <w:proofErr w:type="spellStart"/>
      <w:r w:rsidRPr="00C1421E">
        <w:rPr>
          <w:lang w:val="en-GB" w:eastAsia="en-US"/>
        </w:rPr>
        <w:t>smallholdingfarmers</w:t>
      </w:r>
      <w:proofErr w:type="spellEnd"/>
      <w:r w:rsidRPr="00C1421E">
        <w:rPr>
          <w:lang w:val="en-GB" w:eastAsia="en-US"/>
        </w:rPr>
        <w:t xml:space="preserve"> could organize themselves into groups to share knowledge, borrow from banks, or negotiate better prices from crop buyers. Other examples include non-governmental organization (NGO) group lending programs and parent/school groups.</w:t>
      </w:r>
    </w:p>
    <w:p w14:paraId="481E51CA" w14:textId="77777777" w:rsidR="006A46AE" w:rsidRPr="00C1421E" w:rsidRDefault="006A46AE" w:rsidP="006A46AE">
      <w:pPr>
        <w:numPr>
          <w:ilvl w:val="0"/>
          <w:numId w:val="48"/>
        </w:numPr>
        <w:rPr>
          <w:lang w:val="en-GB" w:eastAsia="en-US"/>
        </w:rPr>
      </w:pPr>
      <w:r w:rsidRPr="00C1421E">
        <w:rPr>
          <w:lang w:val="en-GB" w:eastAsia="en-US"/>
        </w:rPr>
        <w:t xml:space="preserve">Payment networks – Providing a global, interoperable, multi-channel and user-friendly </w:t>
      </w:r>
      <w:proofErr w:type="spellStart"/>
      <w:r w:rsidRPr="00C1421E">
        <w:rPr>
          <w:lang w:val="en-GB" w:eastAsia="en-US"/>
        </w:rPr>
        <w:t>eMoney</w:t>
      </w:r>
      <w:proofErr w:type="spellEnd"/>
      <w:r w:rsidRPr="00C1421E">
        <w:rPr>
          <w:lang w:val="en-GB" w:eastAsia="en-US"/>
        </w:rPr>
        <w:t xml:space="preserve"> payment network. For example, social networks could resolve mobile network operator (MNO) interoperability issues by integrating with multiple MNO wallets and transferring money between users. Additionally, social networks could provide physical merchants with low cost payment solutions without chip terminal or barcode reader investments.</w:t>
      </w:r>
    </w:p>
    <w:p w14:paraId="4E3482C8" w14:textId="77777777" w:rsidR="006A46AE" w:rsidRPr="00C1421E" w:rsidRDefault="006A46AE" w:rsidP="006A46AE">
      <w:pPr>
        <w:numPr>
          <w:ilvl w:val="0"/>
          <w:numId w:val="48"/>
        </w:numPr>
        <w:rPr>
          <w:lang w:val="en-GB" w:eastAsia="en-US"/>
        </w:rPr>
      </w:pPr>
      <w:r w:rsidRPr="00C1421E">
        <w:rPr>
          <w:lang w:val="en-GB" w:eastAsia="en-US"/>
        </w:rPr>
        <w:t xml:space="preserve">Marketplaces – Helping consumers shop </w:t>
      </w:r>
      <w:proofErr w:type="gramStart"/>
      <w:r w:rsidRPr="00C1421E">
        <w:rPr>
          <w:lang w:val="en-GB" w:eastAsia="en-US"/>
        </w:rPr>
        <w:t>better</w:t>
      </w:r>
      <w:proofErr w:type="gramEnd"/>
      <w:r w:rsidRPr="00C1421E">
        <w:rPr>
          <w:lang w:val="en-GB" w:eastAsia="en-US"/>
        </w:rPr>
        <w:t>, merchants sell more, and entrepreneurs find more work. This could take the form of selling products to a larger audience, maintaining an ongoing dialogue with existing customers, promoting job skills, discovering employment opportunities, participating in 'on-demand' labour marketplaces, or even virtual entrepreneurship (e.g., YouTube celebrity/entrepreneurs).</w:t>
      </w:r>
    </w:p>
    <w:p w14:paraId="4F8A08AC" w14:textId="77777777" w:rsidR="006A46AE" w:rsidRPr="00C1421E" w:rsidRDefault="006A46AE" w:rsidP="006A46AE">
      <w:pPr>
        <w:numPr>
          <w:ilvl w:val="0"/>
          <w:numId w:val="48"/>
        </w:numPr>
        <w:rPr>
          <w:lang w:val="en-GB" w:eastAsia="en-US"/>
        </w:rPr>
      </w:pPr>
      <w:r w:rsidRPr="00C1421E">
        <w:rPr>
          <w:lang w:val="en-GB" w:eastAsia="en-US"/>
        </w:rPr>
        <w:t xml:space="preserve">Beneficial data collection – Improving access to credit and enabling targeted outreach and advertising. For example, transaction histories and merchant reputation ratings could provide </w:t>
      </w:r>
      <w:proofErr w:type="spellStart"/>
      <w:r w:rsidRPr="00C1421E">
        <w:rPr>
          <w:lang w:val="en-GB" w:eastAsia="en-US"/>
        </w:rPr>
        <w:t>BoP</w:t>
      </w:r>
      <w:proofErr w:type="spellEnd"/>
      <w:r w:rsidRPr="00C1421E">
        <w:rPr>
          <w:lang w:val="en-GB" w:eastAsia="en-US"/>
        </w:rPr>
        <w:t xml:space="preserve"> merchants with greater access to credit. Additionally, richer consumer data could allow NGOs and governments to target interventions on a large level, or on a very small level by simply allowing an individual to sell their bicycle within the local community.</w:t>
      </w:r>
    </w:p>
    <w:p w14:paraId="7D7B9C67" w14:textId="77777777" w:rsidR="006A46AE" w:rsidRPr="00C1421E" w:rsidRDefault="006A46AE" w:rsidP="006A46AE">
      <w:pPr>
        <w:rPr>
          <w:lang w:val="en-GB" w:eastAsia="en-US"/>
        </w:rPr>
      </w:pPr>
      <w:r w:rsidRPr="00C1421E">
        <w:rPr>
          <w:lang w:val="en-GB" w:eastAsia="en-US"/>
        </w:rPr>
        <w:t xml:space="preserve">That said, policy makers face a tough balancing act. On one hand, social networks can bring significant value to </w:t>
      </w:r>
      <w:proofErr w:type="spellStart"/>
      <w:proofErr w:type="gramStart"/>
      <w:r w:rsidRPr="00C1421E">
        <w:rPr>
          <w:lang w:val="en-GB" w:eastAsia="en-US"/>
        </w:rPr>
        <w:t>BoP</w:t>
      </w:r>
      <w:proofErr w:type="spellEnd"/>
      <w:proofErr w:type="gramEnd"/>
      <w:r w:rsidRPr="00C1421E">
        <w:rPr>
          <w:lang w:val="en-GB" w:eastAsia="en-US"/>
        </w:rPr>
        <w:t xml:space="preserve"> populations and policy makers should therefore consider policies that encourage adoption. On the other hand, social networks are tremendously powerful and regulators should explore policies that protect consumers from potentially harmful effects, paying special attention to data privacy, market power, and other concerns.</w:t>
      </w:r>
    </w:p>
    <w:p w14:paraId="0A2C072B" w14:textId="77777777" w:rsidR="006A46AE" w:rsidRPr="00C1421E" w:rsidRDefault="006A46AE" w:rsidP="006A46AE">
      <w:pPr>
        <w:rPr>
          <w:lang w:val="en-GB" w:eastAsia="en-US"/>
        </w:rPr>
      </w:pPr>
      <w:r w:rsidRPr="00C1421E">
        <w:rPr>
          <w:lang w:val="en-GB" w:eastAsia="en-US"/>
        </w:rPr>
        <w:t xml:space="preserve">In short, social networks have tremendous potential to enable new forms of commerce, benefitting </w:t>
      </w:r>
      <w:proofErr w:type="spellStart"/>
      <w:r w:rsidRPr="00C1421E">
        <w:rPr>
          <w:lang w:val="en-GB" w:eastAsia="en-US"/>
        </w:rPr>
        <w:t>BoP</w:t>
      </w:r>
      <w:proofErr w:type="spellEnd"/>
      <w:r w:rsidRPr="00C1421E">
        <w:rPr>
          <w:lang w:val="en-GB" w:eastAsia="en-US"/>
        </w:rPr>
        <w:t xml:space="preserve"> buyers and sellers and helping </w:t>
      </w:r>
      <w:proofErr w:type="spellStart"/>
      <w:r w:rsidRPr="00C1421E">
        <w:rPr>
          <w:lang w:val="en-GB" w:eastAsia="en-US"/>
        </w:rPr>
        <w:t>eMoney</w:t>
      </w:r>
      <w:proofErr w:type="spellEnd"/>
      <w:r w:rsidRPr="00C1421E">
        <w:rPr>
          <w:lang w:val="en-GB" w:eastAsia="en-US"/>
        </w:rPr>
        <w:t xml:space="preserve"> systems move towards digital liquidity, but a comprehensive, long-range perspective will be important for optimizing the value for all stakeholders.</w:t>
      </w:r>
    </w:p>
    <w:p w14:paraId="561BB7E3" w14:textId="77777777" w:rsidR="006A46AE" w:rsidRPr="00C1421E" w:rsidRDefault="006A46AE" w:rsidP="006A46AE">
      <w:pPr>
        <w:rPr>
          <w:lang w:val="en-GB" w:eastAsia="en-US"/>
        </w:rPr>
      </w:pPr>
      <w:r w:rsidRPr="00C1421E">
        <w:rPr>
          <w:b/>
          <w:lang w:val="en-GB" w:eastAsia="en-US"/>
        </w:rPr>
        <w:t>Technical Report DSTR-DFSCA "Competition Aspects of Digital Financial Services"</w:t>
      </w:r>
      <w:r w:rsidRPr="00C1421E">
        <w:rPr>
          <w:lang w:val="en-GB" w:eastAsia="en-US"/>
        </w:rPr>
        <w:t xml:space="preserve"> enumerates a sampling of competition issues stemming primarily from access to, and the use of technology in, the digital financial services (DFS) ecosystem from the perspective of its stakeholders. The Technical Report outlines competition issues that have been identified by the </w:t>
      </w:r>
      <w:r w:rsidRPr="00C1421E">
        <w:rPr>
          <w:lang w:val="en-GB" w:eastAsia="en-US"/>
        </w:rPr>
        <w:lastRenderedPageBreak/>
        <w:t>author based on publicly available and ventilated examples and studies of DFS ecosystems worldwide, as of January 2017. Insights from market participants, analysts, and regulators participating in the ITU Focus Group on DFS and externally are also included.</w:t>
      </w:r>
    </w:p>
    <w:p w14:paraId="006A734F" w14:textId="77777777" w:rsidR="006A46AE" w:rsidRPr="00C1421E" w:rsidRDefault="006A46AE" w:rsidP="006A46AE">
      <w:pPr>
        <w:rPr>
          <w:lang w:val="en-GB" w:eastAsia="en-US"/>
        </w:rPr>
      </w:pPr>
      <w:r w:rsidRPr="00C1421E">
        <w:rPr>
          <w:lang w:val="en-GB" w:eastAsia="en-US"/>
        </w:rPr>
        <w:t>Country examples are from: Bangladesh, China, Colombia, Georgia, Ghana, India, Jordan, Kenya, Malawi, Mexico, Nepal, Nigeria, Pakistan, Peru, Philippines, South Africa, Sri Lanka, Tanzania, Uganda, Zambia, and Zimbabwe. In some instances, multiple competition-related issues in the DFS ecosystem in a country may manifest. As a pure information resource for the DFS Focus Group, this study does not make any conclusions or recommendations as to how the issues described may be approached or resolved.</w:t>
      </w:r>
    </w:p>
    <w:p w14:paraId="0ED64A23" w14:textId="77777777" w:rsidR="006A46AE" w:rsidRPr="00C1421E" w:rsidRDefault="006A46AE" w:rsidP="006A46AE">
      <w:pPr>
        <w:rPr>
          <w:lang w:val="en-GB" w:eastAsia="en-US"/>
        </w:rPr>
      </w:pPr>
      <w:r w:rsidRPr="00C1421E">
        <w:rPr>
          <w:lang w:val="en-GB" w:eastAsia="en-US"/>
        </w:rPr>
        <w:t>Technical Report DSTR-DFSRP "The Regulator's Perspective on the Right Timing for Inducing Interoperability - Findings of a survey among Focus Group Members": Interoperability has been understood as a relevant aspect in fostering the financial inclusion efforts made through the availability of digital financial services (DFS). Despite the fact that some consensus has been achieved and the regulator can now have an important role in inducing interoperability, the right timing for and scope of the regulator's actions is still an open discussion. 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4DE6C92D" w14:textId="77777777" w:rsidR="006A46AE" w:rsidRPr="00C1421E" w:rsidRDefault="006A46AE" w:rsidP="006A46AE">
      <w:pPr>
        <w:rPr>
          <w:lang w:val="en-GB" w:eastAsia="en-US"/>
        </w:rPr>
      </w:pPr>
      <w:r w:rsidRPr="00C1421E">
        <w:rPr>
          <w:lang w:val="en-GB" w:eastAsia="en-US"/>
        </w:rPr>
        <w:t>First, before addressing DFS interoperability, the financial and telco regulators need to define their roles and responsibilities among each other. Second, although regulators generally seem to consider interoperability an important element in the DFS ecosystem, the current state of interoperability in different countries varies substantially. Third, positive outcomes are reported—or at least expected—across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29C0ABFD" w14:textId="77777777" w:rsidR="006A46AE" w:rsidRPr="00C1421E" w:rsidRDefault="006A46AE" w:rsidP="006A46AE">
      <w:pPr>
        <w:rPr>
          <w:lang w:val="en-GB" w:eastAsia="en-US"/>
        </w:rPr>
      </w:pPr>
      <w:r w:rsidRPr="00C1421E">
        <w:rPr>
          <w:lang w:val="en-GB" w:eastAsia="en-US"/>
        </w:rPr>
        <w:t>Technical Report DSTR-DFSPI "Digital Financial Services – Access to Payment Infrastructures": Non-banks are having an increasing role in payments, including the provision of payments services directly to end-users. Despite this increasing role, many of them are still not accepted as direct participants of key payment infrastructures, which often leads to limited or null interoperability in the services/products they offer. Moreover, being able to use key payment infrastructures at a reasonable cost and with appropriate service levels is an important element underlying a competitive payments market.</w:t>
      </w:r>
    </w:p>
    <w:p w14:paraId="5F92C29A" w14:textId="77777777" w:rsidR="006A46AE" w:rsidRPr="00C1421E" w:rsidRDefault="006A46AE" w:rsidP="006A46AE">
      <w:pPr>
        <w:rPr>
          <w:lang w:val="en-GB" w:eastAsia="en-US"/>
        </w:rPr>
      </w:pPr>
      <w:r w:rsidRPr="00C1421E">
        <w:rPr>
          <w:lang w:val="en-GB" w:eastAsia="en-US"/>
        </w:rPr>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1C4088E8" w14:textId="77777777" w:rsidR="006A46AE" w:rsidRPr="00C1421E" w:rsidRDefault="006A46AE" w:rsidP="006A46AE">
      <w:pPr>
        <w:rPr>
          <w:lang w:val="en-GB" w:eastAsia="en-US"/>
        </w:rPr>
      </w:pPr>
      <w:r w:rsidRPr="00C1421E">
        <w:rPr>
          <w:lang w:val="en-GB" w:eastAsia="en-US"/>
        </w:rPr>
        <w:t xml:space="preserve">Still, for many non-bank PSPs gaining direct access may not be feasible due to the investments they would need to make in order to </w:t>
      </w:r>
      <w:proofErr w:type="spellStart"/>
      <w:r w:rsidRPr="00C1421E">
        <w:rPr>
          <w:lang w:val="en-GB" w:eastAsia="en-US"/>
        </w:rPr>
        <w:t>fulfill</w:t>
      </w:r>
      <w:proofErr w:type="spellEnd"/>
      <w:r w:rsidRPr="00C1421E">
        <w:rPr>
          <w:lang w:val="en-GB" w:eastAsia="en-US"/>
        </w:rPr>
        <w:t xml:space="preserve"> the infrastructure's access criteria. In such cases indirect access mechanisms may be capable of providing these PSPs with suitable payment services. 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
    <w:p w14:paraId="72D0E287" w14:textId="77777777" w:rsidR="006A46AE" w:rsidRPr="00C1421E" w:rsidRDefault="006A46AE" w:rsidP="006A46AE">
      <w:pPr>
        <w:rPr>
          <w:lang w:val="en-GB" w:eastAsia="en-US"/>
        </w:rPr>
      </w:pPr>
      <w:r w:rsidRPr="00C1421E">
        <w:rPr>
          <w:lang w:val="en-GB" w:eastAsia="en-US"/>
        </w:rPr>
        <w:t>Payment system regulators, in particular the central bank as the payment system overseer, should ensure that all PSPs are able to gain fair access to payment services, including those for which direct access is not financially feasible and need to access the services through a principal.</w:t>
      </w:r>
    </w:p>
    <w:p w14:paraId="528F425D" w14:textId="77777777" w:rsidR="006A46AE" w:rsidRPr="00C1421E" w:rsidRDefault="006A46AE" w:rsidP="006A46AE">
      <w:pPr>
        <w:rPr>
          <w:lang w:val="en-GB" w:eastAsia="en-US"/>
        </w:rPr>
      </w:pPr>
      <w:r w:rsidRPr="00C1421E">
        <w:rPr>
          <w:lang w:val="en-GB" w:eastAsia="en-US"/>
        </w:rPr>
        <w:t xml:space="preserve">Effective access to payment infrastructures may also be hampered if there are barriers to accessing the telecommunications networks serving those infrastructures. Telecomm regulators may also have a role to play in markets where it has been observed that MNOs that are involved in the payments </w:t>
      </w:r>
      <w:r w:rsidRPr="00C1421E">
        <w:rPr>
          <w:lang w:val="en-GB" w:eastAsia="en-US"/>
        </w:rPr>
        <w:lastRenderedPageBreak/>
        <w:t>business restrict in some form the access to other PSPs to the mobile telecommunications network that these MNOs operate.</w:t>
      </w:r>
    </w:p>
    <w:p w14:paraId="5CF1C439" w14:textId="77777777" w:rsidR="006A46AE" w:rsidRPr="00C1421E" w:rsidRDefault="006A46AE" w:rsidP="006A46AE">
      <w:pPr>
        <w:rPr>
          <w:lang w:val="en-GB" w:eastAsia="en-US"/>
        </w:rPr>
      </w:pPr>
      <w:r w:rsidRPr="00C1421E">
        <w:rPr>
          <w:lang w:val="en-GB" w:eastAsia="en-US"/>
        </w:rPr>
        <w:t xml:space="preserve">Technical Report DSTR-DFSUAAFR "Digital financial services – Review of DFS User Agreements in Africa: A Consumer Protection Perspective" explains the findings from an analysis of DFS user agreements in nine African countries and attempts to understand the overall consumer experience and whether or not there is </w:t>
      </w:r>
      <w:proofErr w:type="gramStart"/>
      <w:r w:rsidRPr="00C1421E">
        <w:rPr>
          <w:lang w:val="en-GB" w:eastAsia="en-US"/>
        </w:rPr>
        <w:t>a disconnect</w:t>
      </w:r>
      <w:proofErr w:type="gramEnd"/>
      <w:r w:rsidRPr="00C1421E">
        <w:rPr>
          <w:lang w:val="en-GB" w:eastAsia="en-US"/>
        </w:rPr>
        <w:t xml:space="preserve"> between contract provisions and the legal and regulatory provisions governing DFS. It 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4201A1C3" w14:textId="77777777" w:rsidR="006A46AE" w:rsidRPr="00C1421E" w:rsidRDefault="006A46AE" w:rsidP="006A46AE">
      <w:pPr>
        <w:rPr>
          <w:lang w:val="en-GB" w:eastAsia="en-US"/>
        </w:rPr>
      </w:pPr>
      <w:r w:rsidRPr="00C1421E">
        <w:rPr>
          <w:lang w:val="en-GB" w:eastAsia="en-US"/>
        </w:rPr>
        <w:t>Technical Report DSTR-DFSCP "Digital Financial Services – Commonly identified Consumer Protection themes for Digital Financial Services"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53A794A0" w14:textId="77777777" w:rsidR="006A46AE" w:rsidRPr="00C1421E" w:rsidRDefault="006A46AE" w:rsidP="006A46AE">
      <w:pPr>
        <w:rPr>
          <w:lang w:val="en-GB" w:eastAsia="en-US"/>
        </w:rPr>
      </w:pPr>
      <w:r w:rsidRPr="00C1421E">
        <w:rPr>
          <w:lang w:val="en-GB" w:eastAsia="en-US"/>
        </w:rPr>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5EFD8F59" w14:textId="77777777" w:rsidR="006A46AE" w:rsidRPr="00C1421E" w:rsidRDefault="006A46AE" w:rsidP="006A46AE">
      <w:pPr>
        <w:rPr>
          <w:lang w:val="en-GB" w:eastAsia="en-US"/>
        </w:rPr>
      </w:pPr>
      <w:r w:rsidRPr="00C1421E">
        <w:rPr>
          <w:lang w:val="en-GB" w:eastAsia="en-US"/>
        </w:rPr>
        <w:t>The four themes are:</w:t>
      </w:r>
    </w:p>
    <w:p w14:paraId="40711F46" w14:textId="77777777" w:rsidR="006A46AE" w:rsidRPr="00416693" w:rsidRDefault="006A46AE" w:rsidP="006A46AE">
      <w:pPr>
        <w:numPr>
          <w:ilvl w:val="0"/>
          <w:numId w:val="96"/>
        </w:numPr>
      </w:pPr>
      <w:r w:rsidRPr="00416693">
        <w:t>Provision of information and transparency</w:t>
      </w:r>
    </w:p>
    <w:p w14:paraId="4EC9A761" w14:textId="77777777" w:rsidR="006A46AE" w:rsidRPr="00416693" w:rsidRDefault="006A46AE" w:rsidP="006A46AE">
      <w:pPr>
        <w:numPr>
          <w:ilvl w:val="0"/>
          <w:numId w:val="96"/>
        </w:numPr>
      </w:pPr>
      <w:r w:rsidRPr="00416693">
        <w:t>Fraud prevention</w:t>
      </w:r>
    </w:p>
    <w:p w14:paraId="2927241C" w14:textId="77777777" w:rsidR="006A46AE" w:rsidRPr="00416693" w:rsidRDefault="006A46AE" w:rsidP="006A46AE">
      <w:pPr>
        <w:numPr>
          <w:ilvl w:val="0"/>
          <w:numId w:val="96"/>
        </w:numPr>
      </w:pPr>
      <w:r w:rsidRPr="00416693">
        <w:t>Dispute resolution</w:t>
      </w:r>
    </w:p>
    <w:p w14:paraId="5DA100EA" w14:textId="77777777" w:rsidR="006A46AE" w:rsidRPr="00416693" w:rsidRDefault="006A46AE" w:rsidP="006A46AE">
      <w:pPr>
        <w:numPr>
          <w:ilvl w:val="0"/>
          <w:numId w:val="96"/>
        </w:numPr>
      </w:pPr>
      <w:r w:rsidRPr="00416693">
        <w:t>Data privacy and protection</w:t>
      </w:r>
    </w:p>
    <w:p w14:paraId="04ACFA70" w14:textId="77777777" w:rsidR="006A46AE" w:rsidRPr="00C1421E" w:rsidRDefault="006A46AE" w:rsidP="006A46AE">
      <w:pPr>
        <w:rPr>
          <w:lang w:val="en-GB" w:eastAsia="en-US"/>
        </w:rPr>
      </w:pPr>
      <w:r w:rsidRPr="00C1421E">
        <w:rPr>
          <w:lang w:val="en-GB" w:eastAsia="en-US"/>
        </w:rPr>
        <w:t>For each theme a set of key issues have been identified, which are discussed in the following sections.</w:t>
      </w:r>
    </w:p>
    <w:p w14:paraId="7B103D9A" w14:textId="77777777" w:rsidR="006A46AE" w:rsidRPr="00C1421E" w:rsidRDefault="006A46AE" w:rsidP="006A46AE">
      <w:pPr>
        <w:rPr>
          <w:lang w:val="en-GB" w:eastAsia="en-US"/>
        </w:rPr>
      </w:pPr>
      <w:r w:rsidRPr="00C1421E">
        <w:rPr>
          <w:b/>
          <w:lang w:val="en-GB" w:eastAsia="en-US"/>
        </w:rPr>
        <w:t>Technical Report DSTR-DFSMR "Digital Financial Services – Main recommendations"</w:t>
      </w:r>
      <w:r w:rsidRPr="00C1421E">
        <w:rPr>
          <w:lang w:val="en-GB" w:eastAsia="en-US"/>
        </w:rPr>
        <w:t xml:space="preserve"> outlines the main recommendations of the ITU Focus Group on Digital Financial Service (FG-DFS) and identifies key areas where intervention by regulators, DFS operators and policymakers are needed to create a conducive environment for digital financial services. The recommendations are grouped under the following main headings of each working group:</w:t>
      </w:r>
    </w:p>
    <w:p w14:paraId="39182F83" w14:textId="77777777" w:rsidR="006A46AE" w:rsidRPr="00416693" w:rsidRDefault="006A46AE" w:rsidP="006A46AE">
      <w:pPr>
        <w:numPr>
          <w:ilvl w:val="0"/>
          <w:numId w:val="99"/>
        </w:numPr>
        <w:rPr>
          <w:lang w:val="en-GB" w:eastAsia="en-US"/>
        </w:rPr>
      </w:pPr>
      <w:r w:rsidRPr="00416693">
        <w:rPr>
          <w:lang w:val="en-GB" w:eastAsia="en-US"/>
        </w:rPr>
        <w:t>Ecosystem</w:t>
      </w:r>
    </w:p>
    <w:p w14:paraId="6FE38416" w14:textId="77777777" w:rsidR="006A46AE" w:rsidRPr="00416693" w:rsidRDefault="006A46AE" w:rsidP="006A46AE">
      <w:pPr>
        <w:numPr>
          <w:ilvl w:val="0"/>
          <w:numId w:val="99"/>
        </w:numPr>
        <w:rPr>
          <w:lang w:val="en-GB" w:eastAsia="en-US"/>
        </w:rPr>
      </w:pPr>
      <w:r w:rsidRPr="00416693">
        <w:rPr>
          <w:lang w:val="en-GB" w:eastAsia="en-US"/>
        </w:rPr>
        <w:t>Interoperability</w:t>
      </w:r>
    </w:p>
    <w:p w14:paraId="064F357C" w14:textId="77777777" w:rsidR="006A46AE" w:rsidRPr="00416693" w:rsidRDefault="006A46AE" w:rsidP="006A46AE">
      <w:pPr>
        <w:numPr>
          <w:ilvl w:val="0"/>
          <w:numId w:val="99"/>
        </w:numPr>
        <w:rPr>
          <w:lang w:val="en-GB" w:eastAsia="en-US"/>
        </w:rPr>
      </w:pPr>
      <w:r w:rsidRPr="00416693">
        <w:rPr>
          <w:lang w:val="en-GB" w:eastAsia="en-US"/>
        </w:rPr>
        <w:t>Technology, Innovation and Competition (TIC)</w:t>
      </w:r>
    </w:p>
    <w:p w14:paraId="27C38255" w14:textId="77777777" w:rsidR="006A46AE" w:rsidRPr="00416693" w:rsidRDefault="006A46AE" w:rsidP="006A46AE">
      <w:pPr>
        <w:numPr>
          <w:ilvl w:val="0"/>
          <w:numId w:val="99"/>
        </w:numPr>
        <w:rPr>
          <w:lang w:val="en-GB" w:eastAsia="en-US"/>
        </w:rPr>
      </w:pPr>
      <w:r w:rsidRPr="00416693">
        <w:rPr>
          <w:lang w:val="en-GB" w:eastAsia="en-US"/>
        </w:rPr>
        <w:t>Consumer Experience and Protection (CEP).</w:t>
      </w:r>
    </w:p>
    <w:p w14:paraId="126BB7C5" w14:textId="77777777" w:rsidR="006A46AE" w:rsidRPr="00C1421E" w:rsidRDefault="006A46AE" w:rsidP="006A46AE">
      <w:pPr>
        <w:pStyle w:val="Headingb"/>
      </w:pPr>
      <w:r w:rsidRPr="00C1421E">
        <w:t>I.8</w:t>
      </w:r>
      <w:r w:rsidRPr="00C1421E">
        <w:tab/>
        <w:t>Quality of service and experience, and network performance</w:t>
      </w:r>
      <w:bookmarkEnd w:id="236"/>
    </w:p>
    <w:p w14:paraId="4975BF95" w14:textId="77777777" w:rsidR="006A46AE" w:rsidRPr="00C1421E" w:rsidRDefault="006A46AE" w:rsidP="006A46AE">
      <w:pPr>
        <w:widowControl w:val="0"/>
        <w:rPr>
          <w:lang w:val="en-GB"/>
        </w:rPr>
      </w:pPr>
      <w:r w:rsidRPr="001C37A8">
        <w:rPr>
          <w:b/>
          <w:bCs/>
          <w:lang w:val="en-GB"/>
        </w:rPr>
        <w:t xml:space="preserve">ITU-T E.805 "Strategies to establish quality regulatory frameworks" </w:t>
      </w:r>
      <w:r w:rsidRPr="006E6A13">
        <w:rPr>
          <w:bCs/>
          <w:lang w:val="en-GB"/>
        </w:rPr>
        <w:t>(under approval)</w:t>
      </w:r>
      <w:r w:rsidRPr="00C1421E">
        <w:rPr>
          <w:lang w:val="en-GB"/>
        </w:rPr>
        <w:t xml:space="preserve"> provides guidance to regulators aiming to establish national or regional regulatory frameworks to monitor and measure quality of service (QoS) and quality of experience (QoE).</w:t>
      </w:r>
    </w:p>
    <w:p w14:paraId="454387C0" w14:textId="77777777" w:rsidR="006A46AE" w:rsidRPr="00C1421E" w:rsidRDefault="006A46AE" w:rsidP="006A46AE">
      <w:pPr>
        <w:widowControl w:val="0"/>
        <w:rPr>
          <w:lang w:val="en-GB"/>
        </w:rPr>
      </w:pPr>
      <w:r w:rsidRPr="001C37A8">
        <w:rPr>
          <w:b/>
          <w:bCs/>
          <w:lang w:val="en-GB"/>
        </w:rPr>
        <w:t>ITU-T E.806 "Measurement campaigns, monitoring systems and sampling methodologies to monitor the QoS in mobile networks"</w:t>
      </w:r>
      <w:r w:rsidRPr="00C1421E">
        <w:rPr>
          <w:lang w:val="en-GB"/>
        </w:rPr>
        <w:t xml:space="preserve"> describes a baseline framework of best practices for measuring QoS in mobile networks. It provides a high-level overview of measurement campaigns, monitoring systems characteristics and requirements, post-processing general recommendations and </w:t>
      </w:r>
      <w:r w:rsidRPr="00C1421E">
        <w:rPr>
          <w:lang w:val="en-GB"/>
        </w:rPr>
        <w:lastRenderedPageBreak/>
        <w:t>sampling methodologies to monitor mobile electronic services. This Recommendation is technology-neutral but may state different requirements depending on the services being measured.</w:t>
      </w:r>
    </w:p>
    <w:p w14:paraId="4ABBBBAC" w14:textId="77777777" w:rsidR="006A46AE" w:rsidRPr="00C1421E" w:rsidRDefault="006A46AE" w:rsidP="006A46AE">
      <w:pPr>
        <w:rPr>
          <w:lang w:val="en-GB"/>
        </w:rPr>
      </w:pPr>
      <w:r w:rsidRPr="00C1421E">
        <w:rPr>
          <w:b/>
          <w:lang w:val="en-GB"/>
        </w:rPr>
        <w:t>ITU-T G.107.1 (revised) "Wideband E-model"</w:t>
      </w:r>
      <w:r w:rsidRPr="00C1421E">
        <w:rPr>
          <w:lang w:val="en-GB"/>
        </w:rPr>
        <w:t xml:space="preserve"> gives the algorithm for the wideband (WB) version of the E-model as the common ITU-T transmission rating model for planning speech services that provide WB speech transmission (50-7000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1F1B970B" w14:textId="77777777" w:rsidR="006A46AE" w:rsidRPr="00C1421E" w:rsidRDefault="006A46AE" w:rsidP="006A46AE">
      <w:pPr>
        <w:rPr>
          <w:lang w:val="en-GB"/>
        </w:rPr>
      </w:pPr>
      <w:r w:rsidRPr="00C1421E">
        <w:rPr>
          <w:lang w:val="en-GB"/>
        </w:rPr>
        <w:t>This WB-E-model is an adapted version of the narrowband (NB) (300-3400 Hz) E-model, typically referred to as "the E-model", which is described in Recommendation ITU-T G.107. It does not replace the NB E-model. Instead, it describes a separate WB version of the model that uses, within limits, similar concepts and input parameters as the NB E-model.</w:t>
      </w:r>
    </w:p>
    <w:p w14:paraId="007E4782" w14:textId="77777777" w:rsidR="006A46AE" w:rsidRPr="00C1421E" w:rsidRDefault="006A46AE" w:rsidP="006A46AE">
      <w:pPr>
        <w:rPr>
          <w:lang w:val="en-GB"/>
        </w:rPr>
      </w:pPr>
      <w:r w:rsidRPr="00C1421E">
        <w:rPr>
          <w:b/>
          <w:lang w:val="en-GB"/>
        </w:rPr>
        <w:t>ITU-T G.107.2 (revised) "Fullband E-model"</w:t>
      </w:r>
      <w:r w:rsidRPr="00C1421E">
        <w:rPr>
          <w:lang w:val="en-GB"/>
        </w:rPr>
        <w:t xml:space="preserve"> gives the algorithm for the fullband (FB) version of the E-model as the common ITU-T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0789F6C9" w14:textId="77777777" w:rsidR="006A46AE" w:rsidRPr="00C1421E" w:rsidRDefault="006A46AE" w:rsidP="006A46AE">
      <w:pPr>
        <w:rPr>
          <w:highlight w:val="yellow"/>
          <w:lang w:val="en-GB"/>
        </w:rPr>
      </w:pPr>
      <w:r w:rsidRPr="00C1421E">
        <w:rPr>
          <w:lang w:val="en-GB"/>
        </w:rPr>
        <w:t>This FB-E-model is an adapted version of the narrowband (NB) (300-3400 Hz) and wideband (WB) (50-7000 Hz) E-models, which are described in Recommendations ITU-T G.107 (NB) and ITU-T Rec. G.107.1 (WB). It does not replace the NB or the WB E-model. Instead, it describes a separate FB version of the model that uses, within limits, similar concepts and input parameters as the NB and WB E-models.</w:t>
      </w:r>
    </w:p>
    <w:p w14:paraId="52CD251B" w14:textId="77777777" w:rsidR="006A46AE" w:rsidRPr="00C1421E" w:rsidRDefault="006A46AE" w:rsidP="006A46AE">
      <w:pPr>
        <w:widowControl w:val="0"/>
        <w:rPr>
          <w:highlight w:val="yellow"/>
          <w:lang w:val="en-GB"/>
        </w:rPr>
      </w:pPr>
      <w:r w:rsidRPr="001C37A8">
        <w:rPr>
          <w:b/>
          <w:bCs/>
          <w:lang w:val="en-GB"/>
        </w:rPr>
        <w:t xml:space="preserve">ITU-T G.113 Amd.2 "New Appendix V – Provisional planning values for the fullband equipment impairment factor and the fullband packet loss robustness factor" </w:t>
      </w:r>
      <w:r w:rsidRPr="00C1421E">
        <w:rPr>
          <w:lang w:val="en-GB"/>
        </w:rPr>
        <w:t xml:space="preserve">provides up-to-date information on available values of fullband equipment impairment factors, </w:t>
      </w:r>
      <w:proofErr w:type="spellStart"/>
      <w:r w:rsidRPr="00C1421E">
        <w:rPr>
          <w:lang w:val="en-GB"/>
        </w:rPr>
        <w:t>Ie</w:t>
      </w:r>
      <w:proofErr w:type="gramStart"/>
      <w:r w:rsidRPr="00C1421E">
        <w:rPr>
          <w:lang w:val="en-GB"/>
        </w:rPr>
        <w:t>,fb</w:t>
      </w:r>
      <w:proofErr w:type="spellEnd"/>
      <w:proofErr w:type="gramEnd"/>
      <w:r w:rsidRPr="00C1421E">
        <w:rPr>
          <w:lang w:val="en-GB"/>
        </w:rPr>
        <w:t xml:space="preserve">, and packet loss robustness factors, </w:t>
      </w:r>
      <w:proofErr w:type="spellStart"/>
      <w:r w:rsidRPr="00C1421E">
        <w:rPr>
          <w:lang w:val="en-GB"/>
        </w:rPr>
        <w:t>Bpl</w:t>
      </w:r>
      <w:proofErr w:type="spellEnd"/>
      <w:r w:rsidRPr="00C1421E">
        <w:rPr>
          <w:lang w:val="en-GB"/>
        </w:rPr>
        <w:t>, fb. It is intended to be updated regularly. These values are to be used on an extended transmission rating scale (R-scale) as it is defined in [ITU-T Rec. G.107.2].</w:t>
      </w:r>
    </w:p>
    <w:p w14:paraId="231568F8" w14:textId="77777777" w:rsidR="006A46AE" w:rsidRPr="00C1421E" w:rsidRDefault="006A46AE" w:rsidP="006A46AE">
      <w:pPr>
        <w:pStyle w:val="Headingb"/>
      </w:pPr>
      <w:bookmarkStart w:id="237" w:name="_Toc480527909"/>
      <w:r w:rsidRPr="00C1421E">
        <w:t>I.9</w:t>
      </w:r>
      <w:r w:rsidRPr="00C1421E">
        <w:tab/>
        <w:t>Conformity, interoperability and testing</w:t>
      </w:r>
      <w:bookmarkEnd w:id="237"/>
    </w:p>
    <w:p w14:paraId="0768C053" w14:textId="77777777" w:rsidR="006A46AE" w:rsidRPr="00C1421E" w:rsidRDefault="006A46AE" w:rsidP="006A46AE">
      <w:pPr>
        <w:pStyle w:val="Headingb"/>
      </w:pPr>
      <w:r w:rsidRPr="00C1421E">
        <w:t>I.9.3</w:t>
      </w:r>
      <w:r w:rsidRPr="00C1421E">
        <w:tab/>
        <w:t>SIP-IMS conformity assessment and interconnection testing</w:t>
      </w:r>
    </w:p>
    <w:p w14:paraId="58A6D58A" w14:textId="77777777" w:rsidR="006A46AE" w:rsidRPr="00C1421E" w:rsidRDefault="006A46AE" w:rsidP="006A46AE">
      <w:pPr>
        <w:rPr>
          <w:szCs w:val="24"/>
          <w:lang w:val="en-GB"/>
        </w:rPr>
      </w:pPr>
      <w:r w:rsidRPr="00C1421E">
        <w:rPr>
          <w:b/>
          <w:szCs w:val="24"/>
          <w:lang w:val="en-GB"/>
        </w:rPr>
        <w:t xml:space="preserve">ITU-T Q.4014.1 "PSTN/ISDN terminal equipment using IP Multimedia core network subsystem; Conformance testing; Part 1: PICS" </w:t>
      </w:r>
      <w:r w:rsidRPr="00C1421E">
        <w:rPr>
          <w:szCs w:val="24"/>
          <w:lang w:val="en-GB"/>
        </w:rPr>
        <w:t>is a part 1 of the testing specifications of the terminal equipment used in the IMS-based PSTN/ISDN Emulation subsystem based on the media gateway control protocol, the session initiation protocol and the associated session description protocol. The Recommendation specifies the Protocol Implementation Conformance Statement</w:t>
      </w:r>
      <w:r>
        <w:rPr>
          <w:szCs w:val="24"/>
          <w:lang w:val="en-GB"/>
        </w:rPr>
        <w:t xml:space="preserve"> </w:t>
      </w:r>
      <w:r w:rsidRPr="00C1421E">
        <w:rPr>
          <w:szCs w:val="24"/>
          <w:lang w:val="en-GB"/>
        </w:rPr>
        <w:t>to test PSTN/ISDN terminal equipment using IP Multimedia core network subsystem.</w:t>
      </w:r>
    </w:p>
    <w:p w14:paraId="135B017A" w14:textId="77777777" w:rsidR="006A46AE" w:rsidRPr="00C1421E" w:rsidRDefault="006A46AE" w:rsidP="006A46AE">
      <w:pPr>
        <w:rPr>
          <w:szCs w:val="24"/>
          <w:lang w:val="en-GB"/>
        </w:rPr>
      </w:pPr>
      <w:r w:rsidRPr="00C1421E">
        <w:rPr>
          <w:b/>
          <w:szCs w:val="24"/>
          <w:lang w:val="en-GB"/>
        </w:rPr>
        <w:t>ITU-T Q.4014.2 "PSTN/ISDN terminal equipment using IP Multimedia core network subsystem; Conformance testing; Part 2: TSS&amp;TP"</w:t>
      </w:r>
      <w:r w:rsidRPr="00C1421E">
        <w:rPr>
          <w:szCs w:val="24"/>
          <w:lang w:val="en-GB"/>
        </w:rPr>
        <w:t xml:space="preserve"> is a part 2 of the testing specifications of the terminal equipment used in the IMS-based PSTN/ISDN Emulation subsystem based on the media gateway control protocol, the session initiation protocol and the associated session description protocol. The Recommendation specifies the Test Suite Structure and Test purposes to test PSTN/ISDN terminal equipment using IP Multimedia core network subsystem.</w:t>
      </w:r>
    </w:p>
    <w:p w14:paraId="25545FD7" w14:textId="77777777" w:rsidR="006A46AE" w:rsidRPr="00C1421E" w:rsidRDefault="006A46AE" w:rsidP="006A46AE">
      <w:pPr>
        <w:pStyle w:val="Headingb"/>
      </w:pPr>
      <w:r w:rsidRPr="00C1421E">
        <w:lastRenderedPageBreak/>
        <w:t>I.9.8</w:t>
      </w:r>
      <w:r w:rsidRPr="00C1421E">
        <w:tab/>
        <w:t>Testing Internet of things</w:t>
      </w:r>
    </w:p>
    <w:p w14:paraId="30ED8FA0" w14:textId="77777777" w:rsidR="006A46AE" w:rsidRPr="00C1421E" w:rsidRDefault="006A46AE" w:rsidP="006A46AE">
      <w:pPr>
        <w:pStyle w:val="Headingb"/>
      </w:pPr>
      <w:r w:rsidRPr="00C1421E">
        <w:t>I.9.9</w:t>
      </w:r>
      <w:r w:rsidRPr="00C1421E">
        <w:tab/>
        <w:t>Testing energy efficiency of base stations</w:t>
      </w:r>
    </w:p>
    <w:p w14:paraId="24ABC2C5" w14:textId="77777777" w:rsidR="006A46AE" w:rsidRPr="00C1421E" w:rsidRDefault="006A46AE" w:rsidP="006A46AE">
      <w:pPr>
        <w:pStyle w:val="Headingb"/>
      </w:pPr>
      <w:r w:rsidRPr="00C1421E">
        <w:t>I.9.10</w:t>
      </w:r>
      <w:r w:rsidRPr="00C1421E">
        <w:tab/>
        <w:t>Testing cloud computing</w:t>
      </w:r>
    </w:p>
    <w:p w14:paraId="6C5BCAA4" w14:textId="77777777" w:rsidR="006A46AE" w:rsidRPr="00C1421E" w:rsidRDefault="006A46AE" w:rsidP="006A46AE">
      <w:pPr>
        <w:rPr>
          <w:lang w:val="en-GB"/>
        </w:rPr>
      </w:pPr>
      <w:r w:rsidRPr="00C1421E">
        <w:rPr>
          <w:b/>
          <w:lang w:val="en-GB"/>
        </w:rPr>
        <w:t>ITU-T Q.4042.1 "Cloud interoperability testing about web application – part 1: Interoperability testing between CSC and CSP"</w:t>
      </w:r>
      <w:r w:rsidRPr="00C1421E">
        <w:rPr>
          <w:lang w:val="en-GB"/>
        </w:rPr>
        <w:t xml:space="preserve">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1879F5EF" w14:textId="77777777" w:rsidR="006A46AE" w:rsidRPr="00C1421E" w:rsidRDefault="006A46AE" w:rsidP="006A46AE">
      <w:pPr>
        <w:rPr>
          <w:lang w:val="en-GB"/>
        </w:rPr>
      </w:pPr>
      <w:r w:rsidRPr="00C1421E">
        <w:rPr>
          <w:b/>
          <w:lang w:val="en-GB"/>
        </w:rPr>
        <w:t>ITU-T Q.4043 "Interoperability testing requirements of virtual switch"</w:t>
      </w:r>
      <w:r w:rsidRPr="00C1421E">
        <w:rPr>
          <w:lang w:val="en-GB"/>
        </w:rPr>
        <w:t xml:space="preserve"> specify virtual switch (</w:t>
      </w:r>
      <w:proofErr w:type="spellStart"/>
      <w:r w:rsidRPr="00C1421E">
        <w:rPr>
          <w:lang w:val="en-GB"/>
        </w:rPr>
        <w:t>vswitch</w:t>
      </w:r>
      <w:proofErr w:type="spellEnd"/>
      <w:r w:rsidRPr="00C1421E">
        <w:rPr>
          <w:lang w:val="en-GB"/>
        </w:rPr>
        <w:t xml:space="preserve">) interoperability testing requirements. Firstly, as a basic background, this Recommendation introduces the overview of </w:t>
      </w:r>
      <w:proofErr w:type="spellStart"/>
      <w:r w:rsidRPr="00C1421E">
        <w:rPr>
          <w:lang w:val="en-GB"/>
        </w:rPr>
        <w:t>vswitch</w:t>
      </w:r>
      <w:proofErr w:type="spellEnd"/>
      <w:r w:rsidRPr="00C1421E">
        <w:rPr>
          <w:lang w:val="en-GB"/>
        </w:rPr>
        <w:t xml:space="preserve"> and interoperability testing of </w:t>
      </w:r>
      <w:proofErr w:type="spellStart"/>
      <w:r w:rsidRPr="00C1421E">
        <w:rPr>
          <w:lang w:val="en-GB"/>
        </w:rPr>
        <w:t>vswitch</w:t>
      </w:r>
      <w:proofErr w:type="spellEnd"/>
      <w:r w:rsidRPr="00C1421E">
        <w:rPr>
          <w:lang w:val="en-GB"/>
        </w:rPr>
        <w:t xml:space="preserve">, which includes but not limited to the definition, characterises, general capabilities of </w:t>
      </w:r>
      <w:proofErr w:type="spellStart"/>
      <w:r w:rsidRPr="00C1421E">
        <w:rPr>
          <w:lang w:val="en-GB"/>
        </w:rPr>
        <w:t>vswitch</w:t>
      </w:r>
      <w:proofErr w:type="spellEnd"/>
      <w:r w:rsidRPr="00C1421E">
        <w:rPr>
          <w:lang w:val="en-GB"/>
        </w:rPr>
        <w:t xml:space="preserve"> as well as the overview of interoperability testing of </w:t>
      </w:r>
      <w:proofErr w:type="spellStart"/>
      <w:r w:rsidRPr="00C1421E">
        <w:rPr>
          <w:lang w:val="en-GB"/>
        </w:rPr>
        <w:t>vswitch</w:t>
      </w:r>
      <w:proofErr w:type="spellEnd"/>
      <w:r w:rsidRPr="00C1421E">
        <w:rPr>
          <w:lang w:val="en-GB"/>
        </w:rPr>
        <w:t xml:space="preserve">. The description of cloud related use cases of </w:t>
      </w:r>
      <w:proofErr w:type="spellStart"/>
      <w:r w:rsidRPr="00C1421E">
        <w:rPr>
          <w:lang w:val="en-GB"/>
        </w:rPr>
        <w:t>vswitch</w:t>
      </w:r>
      <w:proofErr w:type="spellEnd"/>
      <w:r w:rsidRPr="00C1421E">
        <w:rPr>
          <w:lang w:val="en-GB"/>
        </w:rPr>
        <w:t xml:space="preserve"> is provided in the appendix, which will describe the involved interaction process. Based on analysis of involved </w:t>
      </w:r>
      <w:proofErr w:type="spellStart"/>
      <w:r w:rsidRPr="00C1421E">
        <w:rPr>
          <w:lang w:val="en-GB"/>
        </w:rPr>
        <w:t>vswitch</w:t>
      </w:r>
      <w:proofErr w:type="spellEnd"/>
      <w:r w:rsidRPr="00C1421E">
        <w:rPr>
          <w:lang w:val="en-GB"/>
        </w:rPr>
        <w:t xml:space="preserve"> capabilities in cloud related use cases, the corresponding derived requirements of </w:t>
      </w:r>
      <w:proofErr w:type="spellStart"/>
      <w:r w:rsidRPr="00C1421E">
        <w:rPr>
          <w:lang w:val="en-GB"/>
        </w:rPr>
        <w:t>vswitch's</w:t>
      </w:r>
      <w:proofErr w:type="spellEnd"/>
      <w:r w:rsidRPr="00C1421E">
        <w:rPr>
          <w:lang w:val="en-GB"/>
        </w:rPr>
        <w:t xml:space="preserve"> interoperability testing are introduced.</w:t>
      </w:r>
    </w:p>
    <w:p w14:paraId="19DC8B26" w14:textId="77777777" w:rsidR="006A46AE" w:rsidRPr="00C1421E" w:rsidRDefault="006A46AE" w:rsidP="006A46AE">
      <w:pPr>
        <w:pStyle w:val="Headingb"/>
      </w:pPr>
      <w:r w:rsidRPr="00C1421E">
        <w:t>I.9.11</w:t>
      </w:r>
      <w:r w:rsidRPr="00C1421E">
        <w:tab/>
        <w:t>Testing SDN</w:t>
      </w:r>
    </w:p>
    <w:p w14:paraId="3CD2E28F" w14:textId="77777777" w:rsidR="006A46AE" w:rsidRPr="00C1421E" w:rsidRDefault="006A46AE" w:rsidP="006A46AE">
      <w:pPr>
        <w:rPr>
          <w:rFonts w:eastAsia="MS Mincho"/>
          <w:lang w:val="en-GB"/>
        </w:rPr>
      </w:pPr>
      <w:r w:rsidRPr="00C1421E">
        <w:rPr>
          <w:rFonts w:eastAsia="MS Mincho"/>
          <w:b/>
          <w:lang w:val="en-GB"/>
        </w:rPr>
        <w:t>ITU-T Q.4061 "Framework of SDN controller testing"</w:t>
      </w:r>
      <w:r w:rsidRPr="00C1421E">
        <w:rPr>
          <w:rFonts w:eastAsia="MS Mincho"/>
          <w:lang w:val="en-GB"/>
        </w:rPr>
        <w:t>: The concept of IMT-2020 is represented by a set of wide spectrum of info-communication applications, cloud services and network infrastructure, dynamically responding to the relevant requirements of each service, as already widely used and new. One of the approaches to build network infrastructure is software-defined approach (SDN). It is described in ONF TR-526 (consortium of the Open Network Foundation), and in ITU-R M.2083. This document contains: classification of SDN controller's tests; parameters, structure, sequence and methodology of SDN controller testing; testing report containment.</w:t>
      </w:r>
    </w:p>
    <w:p w14:paraId="014A52CF" w14:textId="77777777" w:rsidR="006A46AE" w:rsidRPr="00C1421E" w:rsidRDefault="006A46AE" w:rsidP="006A46AE">
      <w:pPr>
        <w:pStyle w:val="Headingb"/>
      </w:pPr>
      <w:r w:rsidRPr="00C1421E">
        <w:t>I.10</w:t>
      </w:r>
      <w:r w:rsidRPr="00C1421E">
        <w:tab/>
        <w:t>Mainstreaming accessibility in ICTs</w:t>
      </w:r>
    </w:p>
    <w:p w14:paraId="1B576DEC" w14:textId="77777777" w:rsidR="006A46AE" w:rsidRPr="00C1421E" w:rsidRDefault="006A46AE" w:rsidP="006A46AE">
      <w:pPr>
        <w:rPr>
          <w:lang w:val="en-GB"/>
        </w:rPr>
      </w:pPr>
      <w:r w:rsidRPr="001C37A8">
        <w:rPr>
          <w:b/>
          <w:bCs/>
          <w:lang w:val="en-GB"/>
        </w:rPr>
        <w:t>ITU-T Y.4204 "Accessibility requirements for the Internet of things applications and services"</w:t>
      </w:r>
      <w:r w:rsidRPr="00C1421E">
        <w:rPr>
          <w:lang w:val="en-GB"/>
        </w:rPr>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0420BC59" w14:textId="77777777" w:rsidR="006A46AE" w:rsidRPr="00C1421E" w:rsidRDefault="006A46AE" w:rsidP="006A46AE">
      <w:pPr>
        <w:rPr>
          <w:lang w:val="en-GB"/>
        </w:rPr>
      </w:pPr>
      <w:r w:rsidRPr="00C1421E">
        <w:rPr>
          <w:lang w:val="en-GB"/>
        </w:rPr>
        <w:t xml:space="preserve">See also </w:t>
      </w:r>
      <w:r>
        <w:rPr>
          <w:lang w:val="en-GB"/>
        </w:rPr>
        <w:t xml:space="preserve">ITU-T </w:t>
      </w:r>
      <w:r w:rsidRPr="00C1421E">
        <w:rPr>
          <w:lang w:val="en-GB"/>
        </w:rPr>
        <w:t xml:space="preserve">H.871 "Safe listening guidelines for personal sound amplifiers" in section I.4.5, </w:t>
      </w:r>
      <w:hyperlink w:anchor="H871" w:history="1">
        <w:r w:rsidRPr="00C1421E">
          <w:rPr>
            <w:rStyle w:val="Hyperlink"/>
            <w:lang w:val="en-GB"/>
          </w:rPr>
          <w:t>above</w:t>
        </w:r>
      </w:hyperlink>
      <w:r w:rsidRPr="00C1421E">
        <w:rPr>
          <w:lang w:val="en-GB"/>
        </w:rPr>
        <w:t>.</w:t>
      </w:r>
    </w:p>
    <w:p w14:paraId="76E6577E" w14:textId="77777777" w:rsidR="006A46AE" w:rsidRPr="00C1421E" w:rsidRDefault="006A46AE" w:rsidP="006A46AE">
      <w:pPr>
        <w:pStyle w:val="Headingb"/>
      </w:pPr>
      <w:r w:rsidRPr="00C1421E">
        <w:t>I.1</w:t>
      </w:r>
      <w:r>
        <w:t>1</w:t>
      </w:r>
      <w:r w:rsidRPr="00C1421E">
        <w:tab/>
        <w:t>Combating Counterfeiting</w:t>
      </w:r>
    </w:p>
    <w:p w14:paraId="7DB764F5" w14:textId="77777777" w:rsidR="006A46AE" w:rsidRPr="00C1421E" w:rsidRDefault="006A46AE" w:rsidP="006A46AE">
      <w:pPr>
        <w:rPr>
          <w:lang w:val="en-GB" w:eastAsia="en-US"/>
        </w:rPr>
      </w:pPr>
      <w:r w:rsidRPr="00C1421E">
        <w:rPr>
          <w:b/>
          <w:lang w:val="en-GB" w:eastAsia="en-US"/>
        </w:rPr>
        <w:t xml:space="preserve">ITU-T Q.5050 "Framework for solution to combat counterfeit ICT devices": </w:t>
      </w:r>
      <w:r w:rsidRPr="00C1421E">
        <w:rPr>
          <w:lang w:val="en-GB" w:eastAsia="en-US"/>
        </w:rPr>
        <w:t>There has been growing usage of ICT equipment in people's daily lives, in recent years, but there have also been unwelcome side effects related to the increased in the sale, circulation and use of counterfeit ICT devices in the market.</w:t>
      </w:r>
    </w:p>
    <w:p w14:paraId="7FA90E0D" w14:textId="77777777" w:rsidR="006A46AE" w:rsidRPr="00C1421E" w:rsidRDefault="006A46AE" w:rsidP="006A46AE">
      <w:pPr>
        <w:rPr>
          <w:lang w:val="en-GB" w:eastAsia="en-US"/>
        </w:rPr>
      </w:pPr>
      <w:r w:rsidRPr="00C1421E">
        <w:rPr>
          <w:lang w:val="en-GB" w:eastAsia="en-US"/>
        </w:rP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38CFD17" w14:textId="77777777" w:rsidR="006A46AE" w:rsidRPr="00C1421E" w:rsidRDefault="006A46AE" w:rsidP="006A46AE">
      <w:pPr>
        <w:rPr>
          <w:lang w:val="en-GB" w:eastAsia="en-US"/>
        </w:rPr>
      </w:pPr>
      <w:r w:rsidRPr="00C1421E">
        <w:rPr>
          <w:lang w:val="en-GB" w:eastAsia="en-US"/>
        </w:rPr>
        <w:lastRenderedPageBreak/>
        <w:t>Among the various types of ICT devices used today, smartphones and other mobile devices have become pervasive and desirable items amongst the world population, and, as a side effect, have also raised the attention of the global black/grey market.</w:t>
      </w:r>
    </w:p>
    <w:p w14:paraId="22D61248" w14:textId="77777777" w:rsidR="006A46AE" w:rsidRPr="00C1421E" w:rsidRDefault="006A46AE" w:rsidP="006A46AE">
      <w:pPr>
        <w:rPr>
          <w:lang w:val="en-GB" w:eastAsia="en-US"/>
        </w:rPr>
      </w:pPr>
      <w:r w:rsidRPr="00C1421E">
        <w:rPr>
          <w:lang w:val="en-GB" w:eastAsia="en-US"/>
        </w:rPr>
        <w:t>This results in adverse consequences for stakeholders such as users, network operators, genuine device manufacturers, traders and governments, including decreased security protection and quality of service for users and revenue losses to a range of stakeholders.</w:t>
      </w:r>
    </w:p>
    <w:p w14:paraId="09880D1B" w14:textId="77777777" w:rsidR="006A46AE" w:rsidRPr="00C1421E" w:rsidRDefault="006A46AE" w:rsidP="006A46AE">
      <w:pPr>
        <w:rPr>
          <w:lang w:val="en-GB" w:eastAsia="en-US"/>
        </w:rPr>
      </w:pPr>
      <w:r w:rsidRPr="00C1421E">
        <w:rPr>
          <w:lang w:val="en-GB" w:eastAsia="en-US"/>
        </w:rPr>
        <w:t>Since the supply and demand economics for counterfeit ICT devices complicate attempts to tackle the global counterfeit market, no single solution can solve the problem alone, requiring that a broad range of measures to be taken in a holistic approach.</w:t>
      </w:r>
    </w:p>
    <w:p w14:paraId="436B7A15" w14:textId="77777777" w:rsidR="006A46AE" w:rsidRPr="00C1421E" w:rsidRDefault="006A46AE" w:rsidP="006A46AE">
      <w:pPr>
        <w:rPr>
          <w:lang w:val="en-GB" w:eastAsia="en-US"/>
        </w:rPr>
      </w:pPr>
      <w:r w:rsidRPr="00C1421E">
        <w:rPr>
          <w:lang w:val="en-GB" w:eastAsia="en-US"/>
        </w:rPr>
        <w:t xml:space="preserve">Therefore, this Recommendation aims to describe a reference framework, with high level challenges and </w:t>
      </w:r>
      <w:proofErr w:type="gramStart"/>
      <w:r w:rsidRPr="00C1421E">
        <w:rPr>
          <w:lang w:val="en-GB" w:eastAsia="en-US"/>
        </w:rPr>
        <w:t>requirements, that</w:t>
      </w:r>
      <w:proofErr w:type="gramEnd"/>
      <w:r w:rsidRPr="00C1421E">
        <w:rPr>
          <w:lang w:val="en-GB" w:eastAsia="en-US"/>
        </w:rPr>
        <w:t xml:space="preserve"> should be considered when deploying solutions to combat the circulation and use of counterfeit ICT devices.</w:t>
      </w:r>
    </w:p>
    <w:p w14:paraId="0D375717" w14:textId="77777777" w:rsidR="006A46AE" w:rsidRPr="00C1421E" w:rsidRDefault="006A46AE" w:rsidP="006A46AE">
      <w:pPr>
        <w:pStyle w:val="Headingb"/>
      </w:pPr>
      <w:r w:rsidRPr="00C1421E">
        <w:t>I.1</w:t>
      </w:r>
      <w:r>
        <w:t>2</w:t>
      </w:r>
      <w:r w:rsidRPr="00C1421E">
        <w:tab/>
        <w:t>Signalling Protocols</w:t>
      </w:r>
    </w:p>
    <w:p w14:paraId="1F14D092" w14:textId="77777777" w:rsidR="006A46AE" w:rsidRPr="00C1421E" w:rsidRDefault="006A46AE" w:rsidP="006A46AE">
      <w:pPr>
        <w:rPr>
          <w:szCs w:val="24"/>
          <w:lang w:val="en-GB"/>
        </w:rPr>
      </w:pPr>
      <w:r w:rsidRPr="00C1421E">
        <w:rPr>
          <w:b/>
          <w:szCs w:val="24"/>
          <w:lang w:val="en-GB"/>
        </w:rPr>
        <w:t>ITU-T Q.731.3 (revised) "Stage 3 Description for number identification supplementary services using Signalling System no.7 - Calling Line Identification Presentation"</w:t>
      </w:r>
      <w:r w:rsidRPr="00C1421E">
        <w:rPr>
          <w:szCs w:val="24"/>
          <w:lang w:val="en-GB"/>
        </w:rPr>
        <w:t xml:space="preserve"> provides signalling procedure for calling line identification presentation (CLIP). It specifies service description, operation requirements and coding requirements of CLIP.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7C9221E4" w14:textId="77777777" w:rsidR="006A46AE" w:rsidRPr="00C1421E" w:rsidRDefault="006A46AE" w:rsidP="006A46AE">
      <w:pPr>
        <w:rPr>
          <w:szCs w:val="24"/>
          <w:lang w:val="en-GB"/>
        </w:rPr>
      </w:pPr>
      <w:r w:rsidRPr="00C1421E">
        <w:rPr>
          <w:b/>
          <w:szCs w:val="24"/>
          <w:lang w:val="en-GB"/>
        </w:rPr>
        <w:t>ITU-T Q.731.4 (revised) "Stage 3 Description for number identification supplementary services using Signalling System no.7 - Calling Line Identification Restriction"</w:t>
      </w:r>
      <w:r w:rsidRPr="00C1421E">
        <w:rPr>
          <w:szCs w:val="24"/>
          <w:lang w:val="en-GB"/>
        </w:rPr>
        <w:t xml:space="preserve"> provides signalling procedure for calling line identification restriction (CLIR). It specifies service description, coding requirements and operation requirements of CLIR.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0D2B1228" w14:textId="77777777" w:rsidR="006A46AE" w:rsidRPr="00C1421E" w:rsidRDefault="006A46AE" w:rsidP="006A46AE">
      <w:pPr>
        <w:rPr>
          <w:szCs w:val="24"/>
          <w:lang w:val="en-GB"/>
        </w:rPr>
      </w:pPr>
      <w:r w:rsidRPr="00C1421E">
        <w:rPr>
          <w:b/>
          <w:szCs w:val="24"/>
          <w:lang w:val="en-GB"/>
        </w:rPr>
        <w:t>ITU-T Q.731.5 (revised) "Stage 3 Description for number identification supplementary services using Signalling System no.7 - Connected Line Identification Presentation"</w:t>
      </w:r>
      <w:r w:rsidRPr="00C1421E">
        <w:rPr>
          <w:szCs w:val="24"/>
          <w:lang w:val="en-GB"/>
        </w:rPr>
        <w:t xml:space="preserve"> provides signalling procedure for connected line identification presentation (COLP). It specifies service description, coding requirements and operation requirements of COLP.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4864326A" w14:textId="77777777" w:rsidR="006A46AE" w:rsidRPr="00C1421E" w:rsidRDefault="006A46AE" w:rsidP="006A46AE">
      <w:pPr>
        <w:rPr>
          <w:szCs w:val="24"/>
          <w:lang w:val="en-GB"/>
        </w:rPr>
      </w:pPr>
      <w:r w:rsidRPr="00C1421E">
        <w:rPr>
          <w:b/>
          <w:szCs w:val="24"/>
          <w:lang w:val="en-GB"/>
        </w:rPr>
        <w:t>ITU-T Q.731.6 (revised) "Stage 3 Description for number identification supplementary services using Signalling System no.7 - Connected Line Identification Restriction"</w:t>
      </w:r>
      <w:r w:rsidRPr="00C1421E">
        <w:rPr>
          <w:szCs w:val="24"/>
          <w:lang w:val="en-GB"/>
        </w:rPr>
        <w:t xml:space="preserve"> provides signalling procedure for connected line identification restriction (COLR). It specifies service description, coding requirements and operation requirements of COLR.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46EEFAF4" w14:textId="77777777" w:rsidR="006A46AE" w:rsidRPr="00C1421E" w:rsidRDefault="006A46AE" w:rsidP="006A46AE">
      <w:pPr>
        <w:rPr>
          <w:szCs w:val="24"/>
          <w:lang w:val="en-GB"/>
        </w:rPr>
      </w:pPr>
      <w:r w:rsidRPr="00C1421E">
        <w:rPr>
          <w:b/>
          <w:szCs w:val="24"/>
          <w:lang w:val="en-GB"/>
        </w:rPr>
        <w:t xml:space="preserve">ITU-T Q.850 (2018) Amd.1 (revised) "Usage of cause and location in the Digital Subscriber Signalling System No. 1 and the Signalling System No. 7 ISDN user part" </w:t>
      </w:r>
      <w:r w:rsidRPr="00C1421E">
        <w:rPr>
          <w:szCs w:val="24"/>
          <w:lang w:val="en-GB"/>
        </w:rPr>
        <w:t>incorporates all points highlighted in ITU-T Q.850 Amd.1 and ITU-T Q.850 Add.1.</w:t>
      </w:r>
    </w:p>
    <w:p w14:paraId="591E3270" w14:textId="77777777" w:rsidR="006A46AE" w:rsidRPr="00C1421E" w:rsidRDefault="006A46AE" w:rsidP="006A46AE">
      <w:pPr>
        <w:rPr>
          <w:szCs w:val="24"/>
          <w:lang w:val="en-GB"/>
        </w:rPr>
      </w:pPr>
      <w:r w:rsidRPr="00C1421E">
        <w:rPr>
          <w:b/>
          <w:szCs w:val="24"/>
          <w:lang w:val="en-GB"/>
        </w:rPr>
        <w:t>ITU-T Q.3054 "Signalling architecture for virtualization of control network entities"</w:t>
      </w:r>
      <w:r w:rsidRPr="00C1421E">
        <w:rPr>
          <w:szCs w:val="24"/>
          <w:lang w:val="en-GB"/>
        </w:rPr>
        <w:t xml:space="preserve"> provides functional architecture for virtualization of control network entities. Based on the functional architecture of virtualization of control network entities, it specifies the signalling requirements for </w:t>
      </w:r>
      <w:r w:rsidRPr="00C1421E">
        <w:rPr>
          <w:szCs w:val="24"/>
          <w:lang w:val="en-GB"/>
        </w:rPr>
        <w:lastRenderedPageBreak/>
        <w:t>interfaces supporting the reference points in architecture for virtualization of control network entities. It defines the protocols used for interfaces and provides security considerations as well.</w:t>
      </w:r>
    </w:p>
    <w:p w14:paraId="7681DDAF" w14:textId="77777777" w:rsidR="006A46AE" w:rsidRPr="00C1421E" w:rsidRDefault="006A46AE" w:rsidP="006A46AE">
      <w:pPr>
        <w:rPr>
          <w:szCs w:val="24"/>
          <w:lang w:val="en-GB"/>
        </w:rPr>
      </w:pPr>
      <w:r w:rsidRPr="00C1421E">
        <w:rPr>
          <w:b/>
          <w:szCs w:val="24"/>
          <w:lang w:val="en-GB"/>
        </w:rPr>
        <w:t>ITU-T Q.3741 "Signalling Requirements for SD-WAN service"</w:t>
      </w:r>
      <w:r w:rsidRPr="00C1421E">
        <w:rPr>
          <w:szCs w:val="24"/>
          <w:lang w:val="en-GB"/>
        </w:rPr>
        <w:t xml:space="preserve"> specifies signalling requirements for SD-WAN service launched by service providers. The signalling is to support the automated provision and management of the enterprise SD-WAN service.</w:t>
      </w:r>
    </w:p>
    <w:p w14:paraId="6F226B19" w14:textId="77777777" w:rsidR="006A46AE" w:rsidRPr="00C1421E" w:rsidRDefault="006A46AE" w:rsidP="006A46AE">
      <w:pPr>
        <w:pStyle w:val="Headingb"/>
      </w:pPr>
      <w:r w:rsidRPr="00C1421E">
        <w:t>I.1</w:t>
      </w:r>
      <w:r>
        <w:t>3</w:t>
      </w:r>
      <w:r w:rsidRPr="00C1421E">
        <w:tab/>
        <w:t>Formal Languages and Identification</w:t>
      </w:r>
    </w:p>
    <w:p w14:paraId="167386E9" w14:textId="77777777" w:rsidR="006A46AE" w:rsidRPr="00C1421E" w:rsidRDefault="006A46AE" w:rsidP="006A46AE">
      <w:pPr>
        <w:rPr>
          <w:lang w:val="en-GB"/>
        </w:rPr>
      </w:pPr>
      <w:r w:rsidRPr="00C1421E">
        <w:rPr>
          <w:b/>
          <w:lang w:val="en-GB"/>
        </w:rPr>
        <w:t>ITU-T E.217 (revised) "Maritime communications - Ship station identity"</w:t>
      </w:r>
      <w:r w:rsidRPr="00C1421E">
        <w:rPr>
          <w:lang w:val="en-GB"/>
        </w:rPr>
        <w:t>: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690B509D" w14:textId="77777777" w:rsidR="006A46AE" w:rsidRPr="00C1421E" w:rsidRDefault="006A46AE" w:rsidP="006A46AE">
      <w:pPr>
        <w:rPr>
          <w:lang w:val="en-GB"/>
        </w:rPr>
      </w:pPr>
      <w:r w:rsidRPr="001C37A8">
        <w:rPr>
          <w:b/>
          <w:bCs/>
          <w:lang w:val="en-GB"/>
        </w:rPr>
        <w:t>ITU-T Z.100 Annex F1 (revised) "Specification and Description Language - Overview of SDL-2010 - Annex F1: SDL-2010 formal definition: General overview"</w:t>
      </w:r>
      <w:r w:rsidRPr="00C1421E">
        <w:rPr>
          <w:lang w:val="en-GB"/>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C1421E">
        <w:rPr>
          <w:lang w:val="en-GB"/>
        </w:rPr>
        <w:noBreakHyphen/>
        <w:t>2010 semantics.</w:t>
      </w:r>
    </w:p>
    <w:p w14:paraId="72208B2C" w14:textId="77777777" w:rsidR="006A46AE" w:rsidRPr="00C1421E" w:rsidRDefault="006A46AE" w:rsidP="006A46AE">
      <w:pPr>
        <w:rPr>
          <w:lang w:val="en-GB"/>
        </w:rPr>
      </w:pPr>
      <w:r w:rsidRPr="001C37A8">
        <w:rPr>
          <w:b/>
          <w:bCs/>
          <w:lang w:val="en-GB"/>
        </w:rPr>
        <w:t>ITU-T Z.100 Annex F2 (revised) "Specification and Description Language – Overview of SDL 2010 - Annex F2: SDL 2010 formal definition: Static semantics"</w:t>
      </w:r>
      <w:r w:rsidRPr="00C1421E">
        <w:rPr>
          <w:lang w:val="en-GB"/>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658805A7" w14:textId="77777777" w:rsidR="006A46AE" w:rsidRPr="00C1421E" w:rsidRDefault="006A46AE" w:rsidP="006A46AE">
      <w:pPr>
        <w:rPr>
          <w:lang w:val="en-GB"/>
        </w:rPr>
      </w:pPr>
      <w:r w:rsidRPr="001C37A8">
        <w:rPr>
          <w:b/>
          <w:bCs/>
          <w:lang w:val="en-GB"/>
        </w:rPr>
        <w:t>ITU-T Z.100 Annex F3 (revised) "Specification and Description Language – Overview of SDL 2010 - Annex F3: SDL 2010 formal definition: Dynamic semantics"</w:t>
      </w:r>
      <w:r w:rsidRPr="00C1421E">
        <w:rPr>
          <w:lang w:val="en-GB"/>
        </w:rPr>
        <w:t xml:space="preserve"> defines the SDL 2010 dynamic semantics.</w:t>
      </w:r>
    </w:p>
    <w:p w14:paraId="2E4DBC73" w14:textId="77777777" w:rsidR="006A46AE" w:rsidRPr="00C1421E" w:rsidRDefault="006A46AE" w:rsidP="006A46AE">
      <w:pPr>
        <w:rPr>
          <w:lang w:val="en-GB"/>
        </w:rPr>
      </w:pPr>
      <w:r w:rsidRPr="001C37A8">
        <w:rPr>
          <w:b/>
          <w:bCs/>
          <w:lang w:val="en-GB"/>
        </w:rPr>
        <w:t xml:space="preserve">ITU-T Z.151 (revised) "User Requirements Notation (URN) - Language definition" </w:t>
      </w:r>
      <w:r w:rsidRPr="00C1421E">
        <w:rPr>
          <w:lang w:val="en-GB"/>
        </w:rPr>
        <w:t xml:space="preserve">defines the User Requirements Notation (URN) intended for the elicitation, analysis, specification and validation of requirements. URN combines modelling concepts and notations for goals (mainly for </w:t>
      </w:r>
      <w:r w:rsidRPr="00C1421E">
        <w:rPr>
          <w:iCs/>
          <w:lang w:val="en-GB"/>
        </w:rPr>
        <w:t>non-functional requirements</w:t>
      </w:r>
      <w:r w:rsidRPr="00C1421E">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C1421E">
        <w:rPr>
          <w:lang w:val="en-GB"/>
        </w:rPr>
        <w:noBreakHyphen/>
        <w:t>notation is called Use Case Map (UCM).</w:t>
      </w:r>
    </w:p>
    <w:p w14:paraId="77434704" w14:textId="77777777" w:rsidR="006A46AE" w:rsidRPr="00C1421E" w:rsidRDefault="006A46AE" w:rsidP="006A46AE">
      <w:pPr>
        <w:rPr>
          <w:lang w:val="en-GB"/>
        </w:rPr>
      </w:pPr>
      <w:r w:rsidRPr="001C37A8">
        <w:rPr>
          <w:b/>
          <w:bCs/>
          <w:lang w:val="en-GB"/>
        </w:rPr>
        <w:t>ITU-T Z.161 (revised) "Testing and Test Control Notation version 3: TTCN-3 core language"</w:t>
      </w:r>
      <w:r w:rsidRPr="00C1421E">
        <w:rPr>
          <w:lang w:val="en-GB"/>
        </w:rPr>
        <w:t xml:space="preserve"> 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6B0849FB" w14:textId="77777777" w:rsidR="006A46AE" w:rsidRPr="00C1421E" w:rsidRDefault="006A46AE" w:rsidP="006A46AE">
      <w:pPr>
        <w:rPr>
          <w:lang w:val="en-GB"/>
        </w:rPr>
      </w:pPr>
      <w:r w:rsidRPr="00C1421E">
        <w:rPr>
          <w:b/>
          <w:bCs/>
          <w:lang w:val="en-GB"/>
        </w:rPr>
        <w:lastRenderedPageBreak/>
        <w:t>ITU-T Z.161.2 (revised) "Testing and Test Control Notation version 3: TTCN-3 language extensions: Configuration and deployment support"</w:t>
      </w:r>
      <w:r w:rsidRPr="00C1421E">
        <w:rPr>
          <w:lang w:val="en-GB"/>
        </w:rPr>
        <w:t xml:space="preserve"> defines the configuration and deployment support package of TTCN-3.</w:t>
      </w:r>
    </w:p>
    <w:p w14:paraId="380B00D2" w14:textId="77777777" w:rsidR="006A46AE" w:rsidRPr="00C1421E" w:rsidRDefault="006A46AE" w:rsidP="006A46AE">
      <w:pPr>
        <w:rPr>
          <w:lang w:val="en-GB"/>
        </w:rPr>
      </w:pPr>
      <w:r w:rsidRPr="001C37A8">
        <w:rPr>
          <w:b/>
          <w:bCs/>
          <w:lang w:val="en-GB"/>
        </w:rPr>
        <w:t>ITU-T Z.161.4 (revised) Testing and Test Control Notation version 3: TTCN-3 language extensions: Behaviour types"</w:t>
      </w:r>
      <w:r w:rsidRPr="00C1421E">
        <w:rPr>
          <w:lang w:val="en-GB"/>
        </w:rPr>
        <w:t xml:space="preserve"> defines the behaviour types package of TTCN</w:t>
      </w:r>
      <w:r w:rsidRPr="00C1421E">
        <w:rPr>
          <w:lang w:val="en-GB"/>
        </w:rPr>
        <w:noBreakHyphen/>
        <w:t>3.</w:t>
      </w:r>
    </w:p>
    <w:p w14:paraId="192B3BA7" w14:textId="77777777" w:rsidR="006A46AE" w:rsidRPr="001C37A8" w:rsidRDefault="006A46AE" w:rsidP="006A46AE">
      <w:pPr>
        <w:rPr>
          <w:b/>
          <w:bCs/>
          <w:lang w:val="en-GB"/>
        </w:rPr>
      </w:pPr>
      <w:r w:rsidRPr="001C37A8">
        <w:rPr>
          <w:b/>
          <w:bCs/>
          <w:lang w:val="en-GB"/>
        </w:rPr>
        <w:t>ITU-T Z.161.6 (revised) "Testing and Test Control Notation version 3: TTCN-3 language extensions: Advanced matching"</w:t>
      </w:r>
      <w:r w:rsidRPr="00C1421E">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2A9C3476" w14:textId="77777777" w:rsidR="006A46AE" w:rsidRPr="00C1421E" w:rsidRDefault="006A46AE" w:rsidP="006A46AE">
      <w:pPr>
        <w:rPr>
          <w:lang w:val="en-GB"/>
        </w:rPr>
      </w:pPr>
      <w:r w:rsidRPr="001C37A8">
        <w:rPr>
          <w:b/>
          <w:bCs/>
          <w:lang w:val="en-GB"/>
        </w:rPr>
        <w:t>ITU-T Z.166 (revised) "Testing and Test Control Notation version 3: TTCN-3 control interface (TCI)"</w:t>
      </w:r>
      <w:r w:rsidRPr="00C1421E">
        <w:rPr>
          <w:lang w:val="en-GB"/>
        </w:rPr>
        <w:t xml:space="preserve"> specifies the control interfaces for TTCN-3 test system implementations, and provides a standardized adaptation for management, test component handling and encoding/decoding of a test system to a particular test platform.</w:t>
      </w:r>
    </w:p>
    <w:p w14:paraId="45954E96" w14:textId="77777777" w:rsidR="006A46AE" w:rsidRPr="00C1421E" w:rsidRDefault="006A46AE" w:rsidP="006A46AE">
      <w:pPr>
        <w:rPr>
          <w:lang w:val="en-GB"/>
        </w:rPr>
      </w:pPr>
      <w:r w:rsidRPr="001C37A8">
        <w:rPr>
          <w:b/>
          <w:bCs/>
          <w:lang w:val="en-GB"/>
        </w:rPr>
        <w:t>ITU-T Z.167 (revised) "Testing and Test Control Notation version 3: Using ASN.1 with TTCN-3"</w:t>
      </w:r>
      <w:r w:rsidRPr="00C1421E">
        <w:rPr>
          <w:lang w:val="en-GB"/>
        </w:rPr>
        <w:t xml:space="preserve"> defines a normative way of using ASN.1 as defined in Recommendations ITU-T X.680, ITU-T X.681, ITU-T X.682 and ITU-T X.683 with TTCN-3.</w:t>
      </w:r>
    </w:p>
    <w:p w14:paraId="0BF4A16B" w14:textId="77777777" w:rsidR="006A46AE" w:rsidRPr="00C1421E" w:rsidRDefault="006A46AE" w:rsidP="006A46AE">
      <w:pPr>
        <w:rPr>
          <w:lang w:val="en-GB"/>
        </w:rPr>
      </w:pPr>
      <w:r w:rsidRPr="001C37A8">
        <w:rPr>
          <w:b/>
          <w:bCs/>
          <w:lang w:val="en-GB"/>
        </w:rPr>
        <w:t>ITU-T Z.169 (revised) "Testing and Test Control Notation version 3: Using XML schema with TTCN-3"</w:t>
      </w:r>
      <w:r w:rsidRPr="00C1421E">
        <w:rPr>
          <w:lang w:val="en-GB"/>
        </w:rPr>
        <w:t xml:space="preserve"> defines the mapping rules for W3C Schema to TTCN-3 to enable testing of XML-based systems, interfaces and protocols.</w:t>
      </w:r>
    </w:p>
    <w:p w14:paraId="42E13FF1" w14:textId="77777777" w:rsidR="006A46AE" w:rsidRPr="001C37A8" w:rsidRDefault="006A46AE" w:rsidP="006A46AE">
      <w:pPr>
        <w:rPr>
          <w:b/>
          <w:bCs/>
          <w:lang w:val="en-GB"/>
        </w:rPr>
      </w:pPr>
      <w:r w:rsidRPr="001C37A8">
        <w:rPr>
          <w:b/>
          <w:bCs/>
          <w:lang w:val="en-GB"/>
        </w:rPr>
        <w:t>ITU-T Z.171 (revised) "Testing and Test Control Notation version 3: Using JSON with TTCN-3"</w:t>
      </w:r>
      <w:r w:rsidRPr="00C1421E">
        <w:rPr>
          <w:lang w:val="en-GB"/>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65ED19F" w14:textId="77777777" w:rsidR="006A46AE" w:rsidRPr="001C37A8" w:rsidRDefault="006A46AE" w:rsidP="006A46AE">
      <w:pPr>
        <w:jc w:val="center"/>
        <w:rPr>
          <w:lang w:val="en-GB"/>
        </w:rPr>
      </w:pPr>
      <w:r w:rsidRPr="001C37A8">
        <w:rPr>
          <w:lang w:val="en-GB"/>
        </w:rPr>
        <w:t>________________</w:t>
      </w:r>
    </w:p>
    <w:p w14:paraId="16AB967C" w14:textId="04E4DF46" w:rsidR="00373D43" w:rsidRPr="001C37A8" w:rsidRDefault="00373D43" w:rsidP="006A46AE">
      <w:pPr>
        <w:rPr>
          <w:lang w:val="en-GB"/>
        </w:rPr>
      </w:pPr>
    </w:p>
    <w:sectPr w:rsidR="00373D43" w:rsidRPr="001C37A8">
      <w:headerReference w:type="even" r:id="rId256"/>
      <w:headerReference w:type="default" r:id="rId257"/>
      <w:footerReference w:type="even" r:id="rId258"/>
      <w:footerReference w:type="default" r:id="rId259"/>
      <w:headerReference w:type="first" r:id="rId260"/>
      <w:footerReference w:type="first" r:id="rId261"/>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6DCB" w14:textId="77777777" w:rsidR="00267090" w:rsidRDefault="00267090">
      <w:r>
        <w:separator/>
      </w:r>
    </w:p>
  </w:endnote>
  <w:endnote w:type="continuationSeparator" w:id="0">
    <w:p w14:paraId="485F471D" w14:textId="77777777" w:rsidR="00267090" w:rsidRDefault="0026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EE30" w14:textId="77777777" w:rsidR="00C570DF" w:rsidRDefault="00C57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4A64" w14:textId="77777777" w:rsidR="00C570DF" w:rsidRDefault="00C57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4C24" w14:textId="2FCD9229" w:rsidR="00267090" w:rsidRDefault="00267090">
    <w:pPr>
      <w:pStyle w:val="Footer"/>
    </w:pPr>
    <w:bookmarkStart w:id="238" w:name="_GoBack"/>
    <w:bookmarkEnd w:id="23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CE36" w14:textId="77777777" w:rsidR="00267090" w:rsidRDefault="00267090">
      <w:r>
        <w:separator/>
      </w:r>
    </w:p>
  </w:footnote>
  <w:footnote w:type="continuationSeparator" w:id="0">
    <w:p w14:paraId="0AD08762" w14:textId="77777777" w:rsidR="00267090" w:rsidRDefault="0026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400A" w14:textId="77777777" w:rsidR="00C570DF" w:rsidRDefault="00C57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920B" w14:textId="2E77BAD4" w:rsidR="00267090" w:rsidRDefault="00267090" w:rsidP="006F110A">
    <w:pPr>
      <w:pStyle w:val="Header"/>
      <w:rPr>
        <w:lang w:val="pt-BR"/>
      </w:rPr>
    </w:pPr>
    <w:r>
      <w:t xml:space="preserve">- </w:t>
    </w:r>
    <w:r>
      <w:fldChar w:fldCharType="begin"/>
    </w:r>
    <w:r>
      <w:instrText xml:space="preserve"> PAGE  \* MERGEFORMAT </w:instrText>
    </w:r>
    <w:r>
      <w:fldChar w:fldCharType="separate"/>
    </w:r>
    <w:r w:rsidR="00C570DF">
      <w:rPr>
        <w:noProof/>
      </w:rPr>
      <w:t>84</w:t>
    </w:r>
    <w:r>
      <w:rPr>
        <w:noProof/>
      </w:rPr>
      <w:fldChar w:fldCharType="end"/>
    </w:r>
    <w:r>
      <w:rPr>
        <w:lang w:val="pt-BR"/>
      </w:rPr>
      <w:t xml:space="preserve"> </w:t>
    </w:r>
    <w:r>
      <w:rPr>
        <w:lang w:val="pt-BR"/>
      </w:rPr>
      <w:t>-</w:t>
    </w:r>
  </w:p>
  <w:p w14:paraId="1874A81C" w14:textId="41B2CFC6" w:rsidR="00267090" w:rsidRPr="006F110A" w:rsidRDefault="00267090" w:rsidP="006F110A">
    <w:pPr>
      <w:pStyle w:val="Header"/>
    </w:pPr>
    <w:r w:rsidRPr="006F110A">
      <w:rPr>
        <w:noProof/>
      </w:rPr>
      <w:fldChar w:fldCharType="begin"/>
    </w:r>
    <w:r w:rsidRPr="006F110A">
      <w:rPr>
        <w:noProof/>
      </w:rPr>
      <w:instrText xml:space="preserve"> STYLEREF  Docnumber  \* MERGEFORMAT </w:instrText>
    </w:r>
    <w:r w:rsidRPr="006F110A">
      <w:rPr>
        <w:noProof/>
      </w:rPr>
      <w:fldChar w:fldCharType="separate"/>
    </w:r>
    <w:r w:rsidR="00C570DF">
      <w:rPr>
        <w:noProof/>
      </w:rPr>
      <w:t>TSAG-TD466</w:t>
    </w:r>
    <w:r w:rsidRPr="006F110A">
      <w:rPr>
        <w:noProof/>
      </w:rPr>
      <w:fldChar w:fldCharType="end"/>
    </w:r>
    <w:r>
      <w:rPr>
        <w:noProof/>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47CFB" w14:textId="77777777" w:rsidR="00C570DF" w:rsidRDefault="00C5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0074DA"/>
    <w:lvl w:ilvl="0">
      <w:start w:val="1"/>
      <w:numFmt w:val="lowerLetter"/>
      <w:lvlText w:val="%1)"/>
      <w:lvlJc w:val="left"/>
      <w:pPr>
        <w:tabs>
          <w:tab w:val="num" w:pos="926"/>
        </w:tabs>
        <w:ind w:left="926" w:hanging="360"/>
      </w:pPr>
      <w:rPr>
        <w:rFonts w:cs="Times New Roman" w:hint="default"/>
      </w:rPr>
    </w:lvl>
  </w:abstractNum>
  <w:abstractNum w:abstractNumId="3"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E72723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9"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28A1980"/>
    <w:multiLevelType w:val="hybridMultilevel"/>
    <w:tmpl w:val="FF7E2E9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F73154"/>
    <w:multiLevelType w:val="hybridMultilevel"/>
    <w:tmpl w:val="39DAB9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DF50FD"/>
    <w:multiLevelType w:val="hybridMultilevel"/>
    <w:tmpl w:val="5D5292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5A3D35"/>
    <w:multiLevelType w:val="hybridMultilevel"/>
    <w:tmpl w:val="B3C2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76075E"/>
    <w:multiLevelType w:val="hybridMultilevel"/>
    <w:tmpl w:val="A70C1F8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0345F"/>
    <w:multiLevelType w:val="hybridMultilevel"/>
    <w:tmpl w:val="A41AF2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D859DF"/>
    <w:multiLevelType w:val="multilevel"/>
    <w:tmpl w:val="605C2B8A"/>
    <w:lvl w:ilvl="0">
      <w:start w:val="1"/>
      <w:numFmt w:val="decimal"/>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32" w15:restartNumberingAfterBreak="0">
    <w:nsid w:val="1CBE66D9"/>
    <w:multiLevelType w:val="hybridMultilevel"/>
    <w:tmpl w:val="A404B0E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E420211"/>
    <w:multiLevelType w:val="hybridMultilevel"/>
    <w:tmpl w:val="C45228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6966D3"/>
    <w:multiLevelType w:val="hybridMultilevel"/>
    <w:tmpl w:val="05CEFC9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27E359DB"/>
    <w:multiLevelType w:val="hybridMultilevel"/>
    <w:tmpl w:val="DE5278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1" w15:restartNumberingAfterBreak="0">
    <w:nsid w:val="2D717BD1"/>
    <w:multiLevelType w:val="hybridMultilevel"/>
    <w:tmpl w:val="CC5EC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763CEA"/>
    <w:multiLevelType w:val="hybridMultilevel"/>
    <w:tmpl w:val="1EF854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720C18"/>
    <w:multiLevelType w:val="hybridMultilevel"/>
    <w:tmpl w:val="47E6C0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FF161C"/>
    <w:multiLevelType w:val="hybridMultilevel"/>
    <w:tmpl w:val="DF288C34"/>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650" w:hanging="570"/>
      </w:pPr>
      <w:rPr>
        <w:rFonts w:ascii="Times New Roman"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2C34F0"/>
    <w:multiLevelType w:val="hybridMultilevel"/>
    <w:tmpl w:val="42620DCA"/>
    <w:lvl w:ilvl="0" w:tplc="65E0C558">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1B7560"/>
    <w:multiLevelType w:val="hybridMultilevel"/>
    <w:tmpl w:val="8486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E17822"/>
    <w:multiLevelType w:val="hybridMultilevel"/>
    <w:tmpl w:val="198A22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5F350F"/>
    <w:multiLevelType w:val="multilevel"/>
    <w:tmpl w:val="96B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DC02064"/>
    <w:multiLevelType w:val="hybridMultilevel"/>
    <w:tmpl w:val="838AE1FC"/>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22648A"/>
    <w:multiLevelType w:val="hybridMultilevel"/>
    <w:tmpl w:val="7C067C4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572B62"/>
    <w:multiLevelType w:val="hybridMultilevel"/>
    <w:tmpl w:val="140422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68"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9"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4E6FC3"/>
    <w:multiLevelType w:val="hybridMultilevel"/>
    <w:tmpl w:val="1F14AE0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881B1A"/>
    <w:multiLevelType w:val="hybridMultilevel"/>
    <w:tmpl w:val="CA9085B2"/>
    <w:lvl w:ilvl="0" w:tplc="08090011">
      <w:start w:val="1"/>
      <w:numFmt w:val="decimal"/>
      <w:lvlText w:val="%1)"/>
      <w:lvlJc w:val="left"/>
      <w:pPr>
        <w:ind w:left="720" w:hanging="360"/>
      </w:pPr>
      <w:rPr>
        <w:rFonts w:hint="default"/>
      </w:rPr>
    </w:lvl>
    <w:lvl w:ilvl="1" w:tplc="897E50B4">
      <w:start w:val="1"/>
      <w:numFmt w:val="decimal"/>
      <w:lvlText w:val="%2."/>
      <w:lvlJc w:val="left"/>
      <w:pPr>
        <w:ind w:left="1875" w:hanging="79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FCB74EC"/>
    <w:multiLevelType w:val="hybridMultilevel"/>
    <w:tmpl w:val="90EAF5AE"/>
    <w:lvl w:ilvl="0" w:tplc="731455E2">
      <w:start w:val="1"/>
      <w:numFmt w:val="bullet"/>
      <w:lvlText w:val="–"/>
      <w:lvlJc w:val="left"/>
      <w:pPr>
        <w:ind w:left="1155" w:hanging="795"/>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77" w15:restartNumberingAfterBreak="0">
    <w:nsid w:val="54197EF1"/>
    <w:multiLevelType w:val="hybridMultilevel"/>
    <w:tmpl w:val="58CE5CEA"/>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5F7253"/>
    <w:multiLevelType w:val="hybridMultilevel"/>
    <w:tmpl w:val="3D9C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043C84"/>
    <w:multiLevelType w:val="hybridMultilevel"/>
    <w:tmpl w:val="CCC42E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3767DF"/>
    <w:multiLevelType w:val="hybridMultilevel"/>
    <w:tmpl w:val="2AA8F7E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9"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1"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D735F5"/>
    <w:multiLevelType w:val="hybridMultilevel"/>
    <w:tmpl w:val="622E03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AA0117"/>
    <w:multiLevelType w:val="hybridMultilevel"/>
    <w:tmpl w:val="EFAE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9"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6C791C"/>
    <w:multiLevelType w:val="hybridMultilevel"/>
    <w:tmpl w:val="F5D6D1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D1702"/>
    <w:multiLevelType w:val="hybridMultilevel"/>
    <w:tmpl w:val="3536B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4659CD"/>
    <w:multiLevelType w:val="hybridMultilevel"/>
    <w:tmpl w:val="90408454"/>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1825C2"/>
    <w:multiLevelType w:val="hybridMultilevel"/>
    <w:tmpl w:val="798EA1F2"/>
    <w:lvl w:ilvl="0" w:tplc="6ACCB0D2">
      <w:start w:val="1"/>
      <w:numFmt w:val="decimal"/>
      <w:lvlText w:val="%1."/>
      <w:lvlJc w:val="left"/>
      <w:pPr>
        <w:ind w:left="720" w:hanging="360"/>
      </w:pPr>
      <w:rPr>
        <w:rFonts w:hint="default"/>
        <w:sz w:val="24"/>
        <w:szCs w:val="24"/>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A1974F0"/>
    <w:multiLevelType w:val="hybridMultilevel"/>
    <w:tmpl w:val="DAA6B4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C2A1CC9"/>
    <w:multiLevelType w:val="hybridMultilevel"/>
    <w:tmpl w:val="96329DDE"/>
    <w:lvl w:ilvl="0" w:tplc="D2BE7BB8">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421C08"/>
    <w:multiLevelType w:val="hybridMultilevel"/>
    <w:tmpl w:val="2D34822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34526A"/>
    <w:multiLevelType w:val="hybridMultilevel"/>
    <w:tmpl w:val="C0D8B4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35700E"/>
    <w:multiLevelType w:val="multilevel"/>
    <w:tmpl w:val="232A4E4C"/>
    <w:lvl w:ilvl="0">
      <w:start w:val="1"/>
      <w:numFmt w:val="decimal"/>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1"/>
  </w:num>
  <w:num w:numId="2">
    <w:abstractNumId w:val="8"/>
  </w:num>
  <w:num w:numId="3">
    <w:abstractNumId w:val="7"/>
  </w:num>
  <w:num w:numId="4">
    <w:abstractNumId w:val="3"/>
  </w:num>
  <w:num w:numId="5">
    <w:abstractNumId w:val="2"/>
  </w:num>
  <w:num w:numId="6">
    <w:abstractNumId w:val="5"/>
  </w:num>
  <w:num w:numId="7">
    <w:abstractNumId w:val="31"/>
  </w:num>
  <w:num w:numId="8">
    <w:abstractNumId w:val="115"/>
  </w:num>
  <w:num w:numId="9">
    <w:abstractNumId w:val="121"/>
  </w:num>
  <w:num w:numId="10">
    <w:abstractNumId w:val="61"/>
  </w:num>
  <w:num w:numId="11">
    <w:abstractNumId w:val="90"/>
  </w:num>
  <w:num w:numId="12">
    <w:abstractNumId w:val="96"/>
  </w:num>
  <w:num w:numId="13">
    <w:abstractNumId w:val="109"/>
  </w:num>
  <w:num w:numId="14">
    <w:abstractNumId w:val="40"/>
  </w:num>
  <w:num w:numId="15">
    <w:abstractNumId w:val="68"/>
  </w:num>
  <w:num w:numId="16">
    <w:abstractNumId w:val="79"/>
  </w:num>
  <w:num w:numId="17">
    <w:abstractNumId w:val="112"/>
  </w:num>
  <w:num w:numId="18">
    <w:abstractNumId w:val="56"/>
  </w:num>
  <w:num w:numId="19">
    <w:abstractNumId w:val="50"/>
  </w:num>
  <w:num w:numId="20">
    <w:abstractNumId w:val="19"/>
  </w:num>
  <w:num w:numId="21">
    <w:abstractNumId w:val="67"/>
  </w:num>
  <w:num w:numId="22">
    <w:abstractNumId w:val="9"/>
  </w:num>
  <w:num w:numId="23">
    <w:abstractNumId w:val="118"/>
  </w:num>
  <w:num w:numId="24">
    <w:abstractNumId w:val="64"/>
  </w:num>
  <w:num w:numId="25">
    <w:abstractNumId w:val="57"/>
  </w:num>
  <w:num w:numId="26">
    <w:abstractNumId w:val="71"/>
  </w:num>
  <w:num w:numId="27">
    <w:abstractNumId w:val="78"/>
  </w:num>
  <w:num w:numId="28">
    <w:abstractNumId w:val="54"/>
  </w:num>
  <w:num w:numId="29">
    <w:abstractNumId w:val="22"/>
  </w:num>
  <w:num w:numId="30">
    <w:abstractNumId w:val="117"/>
  </w:num>
  <w:num w:numId="31">
    <w:abstractNumId w:val="60"/>
  </w:num>
  <w:num w:numId="32">
    <w:abstractNumId w:val="92"/>
  </w:num>
  <w:num w:numId="33">
    <w:abstractNumId w:val="12"/>
  </w:num>
  <w:num w:numId="34">
    <w:abstractNumId w:val="76"/>
  </w:num>
  <w:num w:numId="35">
    <w:abstractNumId w:val="88"/>
  </w:num>
  <w:num w:numId="36">
    <w:abstractNumId w:val="85"/>
  </w:num>
  <w:num w:numId="37">
    <w:abstractNumId w:val="89"/>
  </w:num>
  <w:num w:numId="38">
    <w:abstractNumId w:val="116"/>
  </w:num>
  <w:num w:numId="39">
    <w:abstractNumId w:val="104"/>
  </w:num>
  <w:num w:numId="40">
    <w:abstractNumId w:val="21"/>
  </w:num>
  <w:num w:numId="41">
    <w:abstractNumId w:val="111"/>
  </w:num>
  <w:num w:numId="42">
    <w:abstractNumId w:val="101"/>
  </w:num>
  <w:num w:numId="43">
    <w:abstractNumId w:val="55"/>
  </w:num>
  <w:num w:numId="44">
    <w:abstractNumId w:val="23"/>
  </w:num>
  <w:num w:numId="45">
    <w:abstractNumId w:val="70"/>
  </w:num>
  <w:num w:numId="46">
    <w:abstractNumId w:val="119"/>
  </w:num>
  <w:num w:numId="47">
    <w:abstractNumId w:val="38"/>
  </w:num>
  <w:num w:numId="48">
    <w:abstractNumId w:val="84"/>
  </w:num>
  <w:num w:numId="49">
    <w:abstractNumId w:val="82"/>
  </w:num>
  <w:num w:numId="50">
    <w:abstractNumId w:val="6"/>
  </w:num>
  <w:num w:numId="51">
    <w:abstractNumId w:val="4"/>
  </w:num>
  <w:num w:numId="52">
    <w:abstractNumId w:val="1"/>
  </w:num>
  <w:num w:numId="53">
    <w:abstractNumId w:val="0"/>
  </w:num>
  <w:num w:numId="54">
    <w:abstractNumId w:val="72"/>
  </w:num>
  <w:num w:numId="55">
    <w:abstractNumId w:val="97"/>
  </w:num>
  <w:num w:numId="56">
    <w:abstractNumId w:val="80"/>
  </w:num>
  <w:num w:numId="57">
    <w:abstractNumId w:val="63"/>
  </w:num>
  <w:num w:numId="58">
    <w:abstractNumId w:val="27"/>
  </w:num>
  <w:num w:numId="59">
    <w:abstractNumId w:val="36"/>
  </w:num>
  <w:num w:numId="60">
    <w:abstractNumId w:val="81"/>
  </w:num>
  <w:num w:numId="61">
    <w:abstractNumId w:val="59"/>
  </w:num>
  <w:num w:numId="62">
    <w:abstractNumId w:val="20"/>
  </w:num>
  <w:num w:numId="63">
    <w:abstractNumId w:val="32"/>
  </w:num>
  <w:num w:numId="64">
    <w:abstractNumId w:val="37"/>
  </w:num>
  <w:num w:numId="65">
    <w:abstractNumId w:val="39"/>
  </w:num>
  <w:num w:numId="66">
    <w:abstractNumId w:val="98"/>
  </w:num>
  <w:num w:numId="67">
    <w:abstractNumId w:val="52"/>
  </w:num>
  <w:num w:numId="68">
    <w:abstractNumId w:val="18"/>
  </w:num>
  <w:num w:numId="69">
    <w:abstractNumId w:val="83"/>
  </w:num>
  <w:num w:numId="70">
    <w:abstractNumId w:val="17"/>
  </w:num>
  <w:num w:numId="71">
    <w:abstractNumId w:val="53"/>
  </w:num>
  <w:num w:numId="72">
    <w:abstractNumId w:val="44"/>
  </w:num>
  <w:num w:numId="73">
    <w:abstractNumId w:val="100"/>
  </w:num>
  <w:num w:numId="74">
    <w:abstractNumId w:val="47"/>
  </w:num>
  <w:num w:numId="75">
    <w:abstractNumId w:val="75"/>
  </w:num>
  <w:num w:numId="76">
    <w:abstractNumId w:val="108"/>
  </w:num>
  <w:num w:numId="77">
    <w:abstractNumId w:val="51"/>
  </w:num>
  <w:num w:numId="78">
    <w:abstractNumId w:val="73"/>
  </w:num>
  <w:num w:numId="79">
    <w:abstractNumId w:val="86"/>
  </w:num>
  <w:num w:numId="80">
    <w:abstractNumId w:val="65"/>
  </w:num>
  <w:num w:numId="81">
    <w:abstractNumId w:val="33"/>
  </w:num>
  <w:num w:numId="82">
    <w:abstractNumId w:val="114"/>
  </w:num>
  <w:num w:numId="83">
    <w:abstractNumId w:val="24"/>
  </w:num>
  <w:num w:numId="84">
    <w:abstractNumId w:val="29"/>
  </w:num>
  <w:num w:numId="85">
    <w:abstractNumId w:val="87"/>
  </w:num>
  <w:num w:numId="86">
    <w:abstractNumId w:val="45"/>
  </w:num>
  <w:num w:numId="87">
    <w:abstractNumId w:val="14"/>
  </w:num>
  <w:num w:numId="88">
    <w:abstractNumId w:val="94"/>
  </w:num>
  <w:num w:numId="89">
    <w:abstractNumId w:val="105"/>
  </w:num>
  <w:num w:numId="90">
    <w:abstractNumId w:val="46"/>
  </w:num>
  <w:num w:numId="91">
    <w:abstractNumId w:val="42"/>
  </w:num>
  <w:num w:numId="92">
    <w:abstractNumId w:val="10"/>
  </w:num>
  <w:num w:numId="93">
    <w:abstractNumId w:val="43"/>
  </w:num>
  <w:num w:numId="94">
    <w:abstractNumId w:val="107"/>
  </w:num>
  <w:num w:numId="95">
    <w:abstractNumId w:val="95"/>
  </w:num>
  <w:num w:numId="96">
    <w:abstractNumId w:val="91"/>
  </w:num>
  <w:num w:numId="97">
    <w:abstractNumId w:val="120"/>
  </w:num>
  <w:num w:numId="98">
    <w:abstractNumId w:val="77"/>
  </w:num>
  <w:num w:numId="99">
    <w:abstractNumId w:val="48"/>
  </w:num>
  <w:num w:numId="100">
    <w:abstractNumId w:val="41"/>
  </w:num>
  <w:num w:numId="101">
    <w:abstractNumId w:val="103"/>
  </w:num>
  <w:num w:numId="102">
    <w:abstractNumId w:val="16"/>
  </w:num>
  <w:num w:numId="103">
    <w:abstractNumId w:val="74"/>
  </w:num>
  <w:num w:numId="104">
    <w:abstractNumId w:val="34"/>
  </w:num>
  <w:num w:numId="105">
    <w:abstractNumId w:val="30"/>
  </w:num>
  <w:num w:numId="106">
    <w:abstractNumId w:val="99"/>
  </w:num>
  <w:num w:numId="107">
    <w:abstractNumId w:val="13"/>
  </w:num>
  <w:num w:numId="108">
    <w:abstractNumId w:val="28"/>
  </w:num>
  <w:num w:numId="109">
    <w:abstractNumId w:val="26"/>
  </w:num>
  <w:num w:numId="110">
    <w:abstractNumId w:val="93"/>
  </w:num>
  <w:num w:numId="111">
    <w:abstractNumId w:val="66"/>
  </w:num>
  <w:num w:numId="112">
    <w:abstractNumId w:val="58"/>
  </w:num>
  <w:num w:numId="113">
    <w:abstractNumId w:val="49"/>
  </w:num>
  <w:num w:numId="114">
    <w:abstractNumId w:val="106"/>
  </w:num>
  <w:num w:numId="115">
    <w:abstractNumId w:val="102"/>
  </w:num>
  <w:num w:numId="116">
    <w:abstractNumId w:val="69"/>
  </w:num>
  <w:num w:numId="117">
    <w:abstractNumId w:val="113"/>
  </w:num>
  <w:num w:numId="118">
    <w:abstractNumId w:val="110"/>
  </w:num>
  <w:num w:numId="119">
    <w:abstractNumId w:val="35"/>
  </w:num>
  <w:num w:numId="120">
    <w:abstractNumId w:val="25"/>
  </w:num>
  <w:num w:numId="121">
    <w:abstractNumId w:val="15"/>
  </w:num>
  <w:num w:numId="122">
    <w:abstractNumId w:val="6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1"/>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163C"/>
    <w:rsid w:val="0000169F"/>
    <w:rsid w:val="00002222"/>
    <w:rsid w:val="0000222C"/>
    <w:rsid w:val="00003923"/>
    <w:rsid w:val="00003FF1"/>
    <w:rsid w:val="00004872"/>
    <w:rsid w:val="000078F8"/>
    <w:rsid w:val="00007FD3"/>
    <w:rsid w:val="0001057B"/>
    <w:rsid w:val="000105C5"/>
    <w:rsid w:val="00010805"/>
    <w:rsid w:val="00010878"/>
    <w:rsid w:val="00011A8E"/>
    <w:rsid w:val="000122F9"/>
    <w:rsid w:val="00012B63"/>
    <w:rsid w:val="00013F5C"/>
    <w:rsid w:val="00014568"/>
    <w:rsid w:val="00014788"/>
    <w:rsid w:val="0001521C"/>
    <w:rsid w:val="00015831"/>
    <w:rsid w:val="00015A33"/>
    <w:rsid w:val="00015DF0"/>
    <w:rsid w:val="0002156B"/>
    <w:rsid w:val="00021CC6"/>
    <w:rsid w:val="0002397B"/>
    <w:rsid w:val="00023D1E"/>
    <w:rsid w:val="000245ED"/>
    <w:rsid w:val="000246D1"/>
    <w:rsid w:val="00024ED3"/>
    <w:rsid w:val="0002651A"/>
    <w:rsid w:val="000267E4"/>
    <w:rsid w:val="00026FA5"/>
    <w:rsid w:val="00027C0F"/>
    <w:rsid w:val="00032542"/>
    <w:rsid w:val="00032EB9"/>
    <w:rsid w:val="000333AA"/>
    <w:rsid w:val="0003375C"/>
    <w:rsid w:val="00034364"/>
    <w:rsid w:val="00034BF6"/>
    <w:rsid w:val="0003707F"/>
    <w:rsid w:val="0003723C"/>
    <w:rsid w:val="000373F0"/>
    <w:rsid w:val="00037943"/>
    <w:rsid w:val="000401E9"/>
    <w:rsid w:val="00040344"/>
    <w:rsid w:val="00040AAC"/>
    <w:rsid w:val="00041507"/>
    <w:rsid w:val="00043327"/>
    <w:rsid w:val="000437EC"/>
    <w:rsid w:val="0004394F"/>
    <w:rsid w:val="00044D72"/>
    <w:rsid w:val="000453B4"/>
    <w:rsid w:val="00045486"/>
    <w:rsid w:val="00045736"/>
    <w:rsid w:val="000460EB"/>
    <w:rsid w:val="000464F4"/>
    <w:rsid w:val="00047CEE"/>
    <w:rsid w:val="00047F89"/>
    <w:rsid w:val="00050612"/>
    <w:rsid w:val="00051696"/>
    <w:rsid w:val="00052C1C"/>
    <w:rsid w:val="000533A3"/>
    <w:rsid w:val="00054F52"/>
    <w:rsid w:val="000554B1"/>
    <w:rsid w:val="000555E9"/>
    <w:rsid w:val="00055D32"/>
    <w:rsid w:val="000563B5"/>
    <w:rsid w:val="000568BC"/>
    <w:rsid w:val="00057DFA"/>
    <w:rsid w:val="00057EFE"/>
    <w:rsid w:val="000606B4"/>
    <w:rsid w:val="00061D49"/>
    <w:rsid w:val="00061FA4"/>
    <w:rsid w:val="00062C3F"/>
    <w:rsid w:val="000648C6"/>
    <w:rsid w:val="00064D0D"/>
    <w:rsid w:val="00065304"/>
    <w:rsid w:val="00065D24"/>
    <w:rsid w:val="00067B13"/>
    <w:rsid w:val="00067E2F"/>
    <w:rsid w:val="0007021C"/>
    <w:rsid w:val="000711B0"/>
    <w:rsid w:val="00071381"/>
    <w:rsid w:val="00071495"/>
    <w:rsid w:val="00072261"/>
    <w:rsid w:val="00072995"/>
    <w:rsid w:val="00072A51"/>
    <w:rsid w:val="00072D0D"/>
    <w:rsid w:val="000731A4"/>
    <w:rsid w:val="000736A9"/>
    <w:rsid w:val="00076D20"/>
    <w:rsid w:val="000779EA"/>
    <w:rsid w:val="0008023C"/>
    <w:rsid w:val="0008240C"/>
    <w:rsid w:val="000827A3"/>
    <w:rsid w:val="00082A3A"/>
    <w:rsid w:val="00082CC2"/>
    <w:rsid w:val="00083BF0"/>
    <w:rsid w:val="00083CD9"/>
    <w:rsid w:val="00083D88"/>
    <w:rsid w:val="00084A4D"/>
    <w:rsid w:val="00084C58"/>
    <w:rsid w:val="0008527A"/>
    <w:rsid w:val="0008639B"/>
    <w:rsid w:val="00086951"/>
    <w:rsid w:val="00086DCD"/>
    <w:rsid w:val="00087F02"/>
    <w:rsid w:val="00091DA8"/>
    <w:rsid w:val="00092091"/>
    <w:rsid w:val="00092E6D"/>
    <w:rsid w:val="0009412C"/>
    <w:rsid w:val="000942DC"/>
    <w:rsid w:val="00094A93"/>
    <w:rsid w:val="00095083"/>
    <w:rsid w:val="000950E0"/>
    <w:rsid w:val="0009510C"/>
    <w:rsid w:val="000952E6"/>
    <w:rsid w:val="00095961"/>
    <w:rsid w:val="00096128"/>
    <w:rsid w:val="00096A69"/>
    <w:rsid w:val="000A0427"/>
    <w:rsid w:val="000A0CD5"/>
    <w:rsid w:val="000A0D69"/>
    <w:rsid w:val="000A2874"/>
    <w:rsid w:val="000A4189"/>
    <w:rsid w:val="000A4884"/>
    <w:rsid w:val="000A5F8C"/>
    <w:rsid w:val="000A77DC"/>
    <w:rsid w:val="000B0056"/>
    <w:rsid w:val="000B140F"/>
    <w:rsid w:val="000B1B66"/>
    <w:rsid w:val="000B365B"/>
    <w:rsid w:val="000B3827"/>
    <w:rsid w:val="000B5709"/>
    <w:rsid w:val="000B6626"/>
    <w:rsid w:val="000C01CD"/>
    <w:rsid w:val="000C0361"/>
    <w:rsid w:val="000C06D0"/>
    <w:rsid w:val="000C109A"/>
    <w:rsid w:val="000C1419"/>
    <w:rsid w:val="000C1773"/>
    <w:rsid w:val="000C2528"/>
    <w:rsid w:val="000C2F70"/>
    <w:rsid w:val="000C5287"/>
    <w:rsid w:val="000C556D"/>
    <w:rsid w:val="000C6CAA"/>
    <w:rsid w:val="000C764B"/>
    <w:rsid w:val="000C77D4"/>
    <w:rsid w:val="000C7C43"/>
    <w:rsid w:val="000D066D"/>
    <w:rsid w:val="000D1229"/>
    <w:rsid w:val="000D1479"/>
    <w:rsid w:val="000D2454"/>
    <w:rsid w:val="000D2E99"/>
    <w:rsid w:val="000D33D2"/>
    <w:rsid w:val="000D36E0"/>
    <w:rsid w:val="000D3D47"/>
    <w:rsid w:val="000D5420"/>
    <w:rsid w:val="000D5BC7"/>
    <w:rsid w:val="000D71AF"/>
    <w:rsid w:val="000D77AD"/>
    <w:rsid w:val="000E0047"/>
    <w:rsid w:val="000E0512"/>
    <w:rsid w:val="000E1490"/>
    <w:rsid w:val="000E19D9"/>
    <w:rsid w:val="000E1A14"/>
    <w:rsid w:val="000E23F6"/>
    <w:rsid w:val="000E4054"/>
    <w:rsid w:val="000E50BF"/>
    <w:rsid w:val="000E5559"/>
    <w:rsid w:val="000E605B"/>
    <w:rsid w:val="000E6653"/>
    <w:rsid w:val="000E7076"/>
    <w:rsid w:val="000E7D2E"/>
    <w:rsid w:val="000F08C3"/>
    <w:rsid w:val="000F09F4"/>
    <w:rsid w:val="000F0DEF"/>
    <w:rsid w:val="000F10CE"/>
    <w:rsid w:val="000F11C0"/>
    <w:rsid w:val="000F1696"/>
    <w:rsid w:val="000F233C"/>
    <w:rsid w:val="000F2B43"/>
    <w:rsid w:val="000F360D"/>
    <w:rsid w:val="000F474A"/>
    <w:rsid w:val="000F4E2A"/>
    <w:rsid w:val="000F62F1"/>
    <w:rsid w:val="000F68DB"/>
    <w:rsid w:val="000F6D6F"/>
    <w:rsid w:val="000F7F84"/>
    <w:rsid w:val="001015DF"/>
    <w:rsid w:val="001016AE"/>
    <w:rsid w:val="00103072"/>
    <w:rsid w:val="001043CE"/>
    <w:rsid w:val="001046DF"/>
    <w:rsid w:val="00106569"/>
    <w:rsid w:val="001067CB"/>
    <w:rsid w:val="00107B8C"/>
    <w:rsid w:val="00107F05"/>
    <w:rsid w:val="00111469"/>
    <w:rsid w:val="001114FA"/>
    <w:rsid w:val="00111D4E"/>
    <w:rsid w:val="001122D5"/>
    <w:rsid w:val="00112B50"/>
    <w:rsid w:val="00113B8D"/>
    <w:rsid w:val="00113FD1"/>
    <w:rsid w:val="00114BA3"/>
    <w:rsid w:val="00115FC4"/>
    <w:rsid w:val="001167EC"/>
    <w:rsid w:val="00116DF7"/>
    <w:rsid w:val="00117FCB"/>
    <w:rsid w:val="00120328"/>
    <w:rsid w:val="00121202"/>
    <w:rsid w:val="001216FB"/>
    <w:rsid w:val="00123385"/>
    <w:rsid w:val="0012386D"/>
    <w:rsid w:val="00124430"/>
    <w:rsid w:val="00124651"/>
    <w:rsid w:val="00125298"/>
    <w:rsid w:val="00125A17"/>
    <w:rsid w:val="00126057"/>
    <w:rsid w:val="001262A0"/>
    <w:rsid w:val="00127A50"/>
    <w:rsid w:val="001300E9"/>
    <w:rsid w:val="001308AA"/>
    <w:rsid w:val="00134499"/>
    <w:rsid w:val="00136907"/>
    <w:rsid w:val="00136A56"/>
    <w:rsid w:val="00136EF1"/>
    <w:rsid w:val="00142431"/>
    <w:rsid w:val="00142F3D"/>
    <w:rsid w:val="00143477"/>
    <w:rsid w:val="001434ED"/>
    <w:rsid w:val="00143866"/>
    <w:rsid w:val="00143E7D"/>
    <w:rsid w:val="00144799"/>
    <w:rsid w:val="00144A71"/>
    <w:rsid w:val="001452D7"/>
    <w:rsid w:val="001457DC"/>
    <w:rsid w:val="00146099"/>
    <w:rsid w:val="001473BF"/>
    <w:rsid w:val="00150C92"/>
    <w:rsid w:val="00151E55"/>
    <w:rsid w:val="001536FC"/>
    <w:rsid w:val="0015539B"/>
    <w:rsid w:val="00155970"/>
    <w:rsid w:val="00155AC4"/>
    <w:rsid w:val="00155D1C"/>
    <w:rsid w:val="00155D7A"/>
    <w:rsid w:val="00155E34"/>
    <w:rsid w:val="001577E3"/>
    <w:rsid w:val="00160718"/>
    <w:rsid w:val="00160A54"/>
    <w:rsid w:val="00160CB7"/>
    <w:rsid w:val="00161735"/>
    <w:rsid w:val="0016563F"/>
    <w:rsid w:val="001659E1"/>
    <w:rsid w:val="00165A85"/>
    <w:rsid w:val="001663B8"/>
    <w:rsid w:val="001673AB"/>
    <w:rsid w:val="001673DC"/>
    <w:rsid w:val="001676B5"/>
    <w:rsid w:val="00167DBE"/>
    <w:rsid w:val="00167F84"/>
    <w:rsid w:val="001702DE"/>
    <w:rsid w:val="0017094D"/>
    <w:rsid w:val="00170E76"/>
    <w:rsid w:val="00171DA1"/>
    <w:rsid w:val="00173E95"/>
    <w:rsid w:val="00173FDF"/>
    <w:rsid w:val="00174276"/>
    <w:rsid w:val="001758DE"/>
    <w:rsid w:val="00177A35"/>
    <w:rsid w:val="001800D1"/>
    <w:rsid w:val="001803D3"/>
    <w:rsid w:val="00180FE0"/>
    <w:rsid w:val="00181442"/>
    <w:rsid w:val="00181523"/>
    <w:rsid w:val="00182FBD"/>
    <w:rsid w:val="001834A0"/>
    <w:rsid w:val="00183E89"/>
    <w:rsid w:val="0018413B"/>
    <w:rsid w:val="00184198"/>
    <w:rsid w:val="00191B1A"/>
    <w:rsid w:val="00194F77"/>
    <w:rsid w:val="001951B6"/>
    <w:rsid w:val="00195340"/>
    <w:rsid w:val="001954C9"/>
    <w:rsid w:val="00195688"/>
    <w:rsid w:val="001958EF"/>
    <w:rsid w:val="00195C0A"/>
    <w:rsid w:val="00196B8F"/>
    <w:rsid w:val="0019797F"/>
    <w:rsid w:val="001A16EB"/>
    <w:rsid w:val="001A1C05"/>
    <w:rsid w:val="001A2829"/>
    <w:rsid w:val="001A37C8"/>
    <w:rsid w:val="001A3EF0"/>
    <w:rsid w:val="001A4357"/>
    <w:rsid w:val="001A5106"/>
    <w:rsid w:val="001A5609"/>
    <w:rsid w:val="001A5838"/>
    <w:rsid w:val="001A5D0C"/>
    <w:rsid w:val="001A6D43"/>
    <w:rsid w:val="001B0878"/>
    <w:rsid w:val="001B0C01"/>
    <w:rsid w:val="001B0D76"/>
    <w:rsid w:val="001B2774"/>
    <w:rsid w:val="001B31AB"/>
    <w:rsid w:val="001B3932"/>
    <w:rsid w:val="001B3E90"/>
    <w:rsid w:val="001B4F89"/>
    <w:rsid w:val="001B6021"/>
    <w:rsid w:val="001B71D4"/>
    <w:rsid w:val="001B720F"/>
    <w:rsid w:val="001B7C5B"/>
    <w:rsid w:val="001C275C"/>
    <w:rsid w:val="001C28BB"/>
    <w:rsid w:val="001C30EF"/>
    <w:rsid w:val="001C37A8"/>
    <w:rsid w:val="001C46B6"/>
    <w:rsid w:val="001C494F"/>
    <w:rsid w:val="001C5654"/>
    <w:rsid w:val="001C5889"/>
    <w:rsid w:val="001C6A23"/>
    <w:rsid w:val="001C7173"/>
    <w:rsid w:val="001D0080"/>
    <w:rsid w:val="001D1129"/>
    <w:rsid w:val="001D1654"/>
    <w:rsid w:val="001D1817"/>
    <w:rsid w:val="001D26FA"/>
    <w:rsid w:val="001D573C"/>
    <w:rsid w:val="001D5B6B"/>
    <w:rsid w:val="001D6D2D"/>
    <w:rsid w:val="001D7155"/>
    <w:rsid w:val="001D7B96"/>
    <w:rsid w:val="001E0F6F"/>
    <w:rsid w:val="001E1147"/>
    <w:rsid w:val="001E122D"/>
    <w:rsid w:val="001E2644"/>
    <w:rsid w:val="001E2DAD"/>
    <w:rsid w:val="001E4EDB"/>
    <w:rsid w:val="001E5397"/>
    <w:rsid w:val="001E6E8F"/>
    <w:rsid w:val="001F0198"/>
    <w:rsid w:val="001F01C3"/>
    <w:rsid w:val="001F08FB"/>
    <w:rsid w:val="001F0C31"/>
    <w:rsid w:val="001F2C82"/>
    <w:rsid w:val="001F2D5C"/>
    <w:rsid w:val="001F30DE"/>
    <w:rsid w:val="001F5E41"/>
    <w:rsid w:val="001F5ED2"/>
    <w:rsid w:val="001F61DC"/>
    <w:rsid w:val="001F6CAC"/>
    <w:rsid w:val="001F724D"/>
    <w:rsid w:val="001F7D83"/>
    <w:rsid w:val="00200DE6"/>
    <w:rsid w:val="002013A1"/>
    <w:rsid w:val="002026E9"/>
    <w:rsid w:val="00203D88"/>
    <w:rsid w:val="00204616"/>
    <w:rsid w:val="0020702B"/>
    <w:rsid w:val="0020768A"/>
    <w:rsid w:val="002078CC"/>
    <w:rsid w:val="00210CA6"/>
    <w:rsid w:val="0021319C"/>
    <w:rsid w:val="00213AB9"/>
    <w:rsid w:val="0021417E"/>
    <w:rsid w:val="00214AE3"/>
    <w:rsid w:val="002162C3"/>
    <w:rsid w:val="0021687B"/>
    <w:rsid w:val="00217462"/>
    <w:rsid w:val="002175D1"/>
    <w:rsid w:val="00220082"/>
    <w:rsid w:val="00220CF1"/>
    <w:rsid w:val="00221F95"/>
    <w:rsid w:val="00222C54"/>
    <w:rsid w:val="002244F3"/>
    <w:rsid w:val="002258B4"/>
    <w:rsid w:val="0022716D"/>
    <w:rsid w:val="00232FAA"/>
    <w:rsid w:val="00233149"/>
    <w:rsid w:val="00235677"/>
    <w:rsid w:val="00235718"/>
    <w:rsid w:val="0023573D"/>
    <w:rsid w:val="00235C12"/>
    <w:rsid w:val="002360F7"/>
    <w:rsid w:val="002409C6"/>
    <w:rsid w:val="00240BDA"/>
    <w:rsid w:val="00241277"/>
    <w:rsid w:val="00242317"/>
    <w:rsid w:val="0024371B"/>
    <w:rsid w:val="002437E2"/>
    <w:rsid w:val="00243B9F"/>
    <w:rsid w:val="00244089"/>
    <w:rsid w:val="00244167"/>
    <w:rsid w:val="0024588E"/>
    <w:rsid w:val="00246F84"/>
    <w:rsid w:val="00247421"/>
    <w:rsid w:val="00250939"/>
    <w:rsid w:val="0025167A"/>
    <w:rsid w:val="002522DA"/>
    <w:rsid w:val="0025261A"/>
    <w:rsid w:val="00253402"/>
    <w:rsid w:val="002534EE"/>
    <w:rsid w:val="002541BC"/>
    <w:rsid w:val="00254A00"/>
    <w:rsid w:val="00255214"/>
    <w:rsid w:val="00256C4B"/>
    <w:rsid w:val="002571C0"/>
    <w:rsid w:val="002606A3"/>
    <w:rsid w:val="00261881"/>
    <w:rsid w:val="0026190E"/>
    <w:rsid w:val="00261F00"/>
    <w:rsid w:val="00262800"/>
    <w:rsid w:val="0026285A"/>
    <w:rsid w:val="0026678E"/>
    <w:rsid w:val="00266CB1"/>
    <w:rsid w:val="00267090"/>
    <w:rsid w:val="002672A2"/>
    <w:rsid w:val="00267E96"/>
    <w:rsid w:val="00267FAE"/>
    <w:rsid w:val="00270B63"/>
    <w:rsid w:val="00271814"/>
    <w:rsid w:val="00272844"/>
    <w:rsid w:val="00272C70"/>
    <w:rsid w:val="00273213"/>
    <w:rsid w:val="00273549"/>
    <w:rsid w:val="0027396C"/>
    <w:rsid w:val="00273A00"/>
    <w:rsid w:val="00273BA9"/>
    <w:rsid w:val="0027401E"/>
    <w:rsid w:val="00281171"/>
    <w:rsid w:val="002811F6"/>
    <w:rsid w:val="002815AD"/>
    <w:rsid w:val="00282D0E"/>
    <w:rsid w:val="00282EDF"/>
    <w:rsid w:val="00284EE7"/>
    <w:rsid w:val="002857E4"/>
    <w:rsid w:val="00285A20"/>
    <w:rsid w:val="00286D30"/>
    <w:rsid w:val="00287743"/>
    <w:rsid w:val="00290069"/>
    <w:rsid w:val="002932E3"/>
    <w:rsid w:val="00293B8F"/>
    <w:rsid w:val="00294F3D"/>
    <w:rsid w:val="00295B59"/>
    <w:rsid w:val="00296074"/>
    <w:rsid w:val="00297061"/>
    <w:rsid w:val="00297A9C"/>
    <w:rsid w:val="002A1103"/>
    <w:rsid w:val="002A1BB9"/>
    <w:rsid w:val="002A2966"/>
    <w:rsid w:val="002A34E6"/>
    <w:rsid w:val="002A4FEE"/>
    <w:rsid w:val="002B19CF"/>
    <w:rsid w:val="002B2111"/>
    <w:rsid w:val="002B2851"/>
    <w:rsid w:val="002B3A3A"/>
    <w:rsid w:val="002B4310"/>
    <w:rsid w:val="002B5172"/>
    <w:rsid w:val="002B52EC"/>
    <w:rsid w:val="002B60E2"/>
    <w:rsid w:val="002B652E"/>
    <w:rsid w:val="002B67D0"/>
    <w:rsid w:val="002B73CF"/>
    <w:rsid w:val="002B7F8C"/>
    <w:rsid w:val="002C20D2"/>
    <w:rsid w:val="002C2866"/>
    <w:rsid w:val="002C2D31"/>
    <w:rsid w:val="002C3B16"/>
    <w:rsid w:val="002C3BB2"/>
    <w:rsid w:val="002C4E5B"/>
    <w:rsid w:val="002C580F"/>
    <w:rsid w:val="002C6C9E"/>
    <w:rsid w:val="002C78A8"/>
    <w:rsid w:val="002C79B0"/>
    <w:rsid w:val="002D082E"/>
    <w:rsid w:val="002D119C"/>
    <w:rsid w:val="002D17D9"/>
    <w:rsid w:val="002D18EC"/>
    <w:rsid w:val="002D2F33"/>
    <w:rsid w:val="002D43AF"/>
    <w:rsid w:val="002D463F"/>
    <w:rsid w:val="002D47C8"/>
    <w:rsid w:val="002D4FC8"/>
    <w:rsid w:val="002D5CEC"/>
    <w:rsid w:val="002D5E76"/>
    <w:rsid w:val="002D6531"/>
    <w:rsid w:val="002E2A0B"/>
    <w:rsid w:val="002E357F"/>
    <w:rsid w:val="002E4C70"/>
    <w:rsid w:val="002E5784"/>
    <w:rsid w:val="002E6839"/>
    <w:rsid w:val="002F01BD"/>
    <w:rsid w:val="002F0DD6"/>
    <w:rsid w:val="002F0E38"/>
    <w:rsid w:val="002F15C4"/>
    <w:rsid w:val="002F1CBD"/>
    <w:rsid w:val="002F225B"/>
    <w:rsid w:val="002F23F8"/>
    <w:rsid w:val="002F336E"/>
    <w:rsid w:val="002F37E4"/>
    <w:rsid w:val="002F3F17"/>
    <w:rsid w:val="002F40C6"/>
    <w:rsid w:val="002F500B"/>
    <w:rsid w:val="002F62A6"/>
    <w:rsid w:val="002F702B"/>
    <w:rsid w:val="002F74D4"/>
    <w:rsid w:val="00300CBA"/>
    <w:rsid w:val="003040F1"/>
    <w:rsid w:val="003046CE"/>
    <w:rsid w:val="0030657A"/>
    <w:rsid w:val="00310F18"/>
    <w:rsid w:val="00311216"/>
    <w:rsid w:val="00311B9B"/>
    <w:rsid w:val="00312158"/>
    <w:rsid w:val="003132DD"/>
    <w:rsid w:val="00313DE1"/>
    <w:rsid w:val="0031468E"/>
    <w:rsid w:val="00314E2C"/>
    <w:rsid w:val="00315436"/>
    <w:rsid w:val="0031655F"/>
    <w:rsid w:val="00317140"/>
    <w:rsid w:val="00317510"/>
    <w:rsid w:val="003207E7"/>
    <w:rsid w:val="00321BAB"/>
    <w:rsid w:val="00321E20"/>
    <w:rsid w:val="00323060"/>
    <w:rsid w:val="003232FD"/>
    <w:rsid w:val="00323751"/>
    <w:rsid w:val="003239D7"/>
    <w:rsid w:val="003239FD"/>
    <w:rsid w:val="00324425"/>
    <w:rsid w:val="003252C7"/>
    <w:rsid w:val="00325808"/>
    <w:rsid w:val="00325BAA"/>
    <w:rsid w:val="00325C05"/>
    <w:rsid w:val="00327C00"/>
    <w:rsid w:val="0033037C"/>
    <w:rsid w:val="003313FE"/>
    <w:rsid w:val="0033393D"/>
    <w:rsid w:val="00333E5A"/>
    <w:rsid w:val="0033412F"/>
    <w:rsid w:val="0033447D"/>
    <w:rsid w:val="003351C3"/>
    <w:rsid w:val="00335443"/>
    <w:rsid w:val="003358E6"/>
    <w:rsid w:val="00335B85"/>
    <w:rsid w:val="00335E62"/>
    <w:rsid w:val="0033606E"/>
    <w:rsid w:val="00337FC8"/>
    <w:rsid w:val="003400E1"/>
    <w:rsid w:val="0034036E"/>
    <w:rsid w:val="00341832"/>
    <w:rsid w:val="003419BA"/>
    <w:rsid w:val="00342279"/>
    <w:rsid w:val="00344CDC"/>
    <w:rsid w:val="00344F18"/>
    <w:rsid w:val="003450A7"/>
    <w:rsid w:val="00345610"/>
    <w:rsid w:val="00345CCB"/>
    <w:rsid w:val="00345EE1"/>
    <w:rsid w:val="00346DF0"/>
    <w:rsid w:val="00346F99"/>
    <w:rsid w:val="00351083"/>
    <w:rsid w:val="003510CE"/>
    <w:rsid w:val="00352249"/>
    <w:rsid w:val="003547B9"/>
    <w:rsid w:val="003560E6"/>
    <w:rsid w:val="003603C7"/>
    <w:rsid w:val="00361B19"/>
    <w:rsid w:val="003641D1"/>
    <w:rsid w:val="00364FAD"/>
    <w:rsid w:val="00365D2A"/>
    <w:rsid w:val="00366F98"/>
    <w:rsid w:val="003671DA"/>
    <w:rsid w:val="00367749"/>
    <w:rsid w:val="003707FE"/>
    <w:rsid w:val="003718AC"/>
    <w:rsid w:val="00371B60"/>
    <w:rsid w:val="003738A6"/>
    <w:rsid w:val="00373D43"/>
    <w:rsid w:val="0037553F"/>
    <w:rsid w:val="00376554"/>
    <w:rsid w:val="0037763C"/>
    <w:rsid w:val="00377867"/>
    <w:rsid w:val="003779BB"/>
    <w:rsid w:val="003810C5"/>
    <w:rsid w:val="00381697"/>
    <w:rsid w:val="00381E67"/>
    <w:rsid w:val="00382610"/>
    <w:rsid w:val="00383506"/>
    <w:rsid w:val="00383C4C"/>
    <w:rsid w:val="003849B9"/>
    <w:rsid w:val="00385A6D"/>
    <w:rsid w:val="00386B08"/>
    <w:rsid w:val="00387161"/>
    <w:rsid w:val="003908F6"/>
    <w:rsid w:val="0039175E"/>
    <w:rsid w:val="00392C04"/>
    <w:rsid w:val="00392C57"/>
    <w:rsid w:val="0039331F"/>
    <w:rsid w:val="00393834"/>
    <w:rsid w:val="00393AE8"/>
    <w:rsid w:val="003943D7"/>
    <w:rsid w:val="00394B6C"/>
    <w:rsid w:val="003958DA"/>
    <w:rsid w:val="003959D8"/>
    <w:rsid w:val="0039641C"/>
    <w:rsid w:val="003972E5"/>
    <w:rsid w:val="003A0D11"/>
    <w:rsid w:val="003A13FC"/>
    <w:rsid w:val="003A20C3"/>
    <w:rsid w:val="003A2714"/>
    <w:rsid w:val="003A3D45"/>
    <w:rsid w:val="003A4212"/>
    <w:rsid w:val="003A54A6"/>
    <w:rsid w:val="003A6833"/>
    <w:rsid w:val="003A7DFD"/>
    <w:rsid w:val="003A7E77"/>
    <w:rsid w:val="003B1824"/>
    <w:rsid w:val="003B22A3"/>
    <w:rsid w:val="003B22B6"/>
    <w:rsid w:val="003B22EC"/>
    <w:rsid w:val="003B2AD1"/>
    <w:rsid w:val="003B37DB"/>
    <w:rsid w:val="003B49C7"/>
    <w:rsid w:val="003B56F6"/>
    <w:rsid w:val="003B577A"/>
    <w:rsid w:val="003B6C24"/>
    <w:rsid w:val="003B7051"/>
    <w:rsid w:val="003B7325"/>
    <w:rsid w:val="003B7BA9"/>
    <w:rsid w:val="003C0BD5"/>
    <w:rsid w:val="003C1FE2"/>
    <w:rsid w:val="003C3100"/>
    <w:rsid w:val="003C3CA8"/>
    <w:rsid w:val="003C42E5"/>
    <w:rsid w:val="003C44C9"/>
    <w:rsid w:val="003C4902"/>
    <w:rsid w:val="003C4BC5"/>
    <w:rsid w:val="003C5177"/>
    <w:rsid w:val="003C7372"/>
    <w:rsid w:val="003D0D76"/>
    <w:rsid w:val="003D14F9"/>
    <w:rsid w:val="003D33A9"/>
    <w:rsid w:val="003D4120"/>
    <w:rsid w:val="003D479E"/>
    <w:rsid w:val="003D4F6B"/>
    <w:rsid w:val="003D731A"/>
    <w:rsid w:val="003E0D98"/>
    <w:rsid w:val="003E1500"/>
    <w:rsid w:val="003E1574"/>
    <w:rsid w:val="003E1D04"/>
    <w:rsid w:val="003E1E37"/>
    <w:rsid w:val="003E2490"/>
    <w:rsid w:val="003E296E"/>
    <w:rsid w:val="003E45AF"/>
    <w:rsid w:val="003E4E71"/>
    <w:rsid w:val="003E5599"/>
    <w:rsid w:val="003E5F03"/>
    <w:rsid w:val="003E633C"/>
    <w:rsid w:val="003F02CD"/>
    <w:rsid w:val="003F1AF5"/>
    <w:rsid w:val="003F28D7"/>
    <w:rsid w:val="003F2924"/>
    <w:rsid w:val="003F36F7"/>
    <w:rsid w:val="003F40B4"/>
    <w:rsid w:val="003F4FC4"/>
    <w:rsid w:val="003F58B9"/>
    <w:rsid w:val="003F677C"/>
    <w:rsid w:val="003F7D47"/>
    <w:rsid w:val="00401B95"/>
    <w:rsid w:val="00403A2F"/>
    <w:rsid w:val="00403A96"/>
    <w:rsid w:val="00403EC2"/>
    <w:rsid w:val="00404AD8"/>
    <w:rsid w:val="0040651F"/>
    <w:rsid w:val="004079CB"/>
    <w:rsid w:val="00407A50"/>
    <w:rsid w:val="00407C81"/>
    <w:rsid w:val="00407CBD"/>
    <w:rsid w:val="00410010"/>
    <w:rsid w:val="00410E97"/>
    <w:rsid w:val="004115D6"/>
    <w:rsid w:val="00411880"/>
    <w:rsid w:val="00412E28"/>
    <w:rsid w:val="00413321"/>
    <w:rsid w:val="00413834"/>
    <w:rsid w:val="0041487A"/>
    <w:rsid w:val="00415A05"/>
    <w:rsid w:val="00415C79"/>
    <w:rsid w:val="00416693"/>
    <w:rsid w:val="004178F8"/>
    <w:rsid w:val="0042082E"/>
    <w:rsid w:val="004209FC"/>
    <w:rsid w:val="00420ED1"/>
    <w:rsid w:val="00422088"/>
    <w:rsid w:val="0042281A"/>
    <w:rsid w:val="00423426"/>
    <w:rsid w:val="004240FA"/>
    <w:rsid w:val="004244D4"/>
    <w:rsid w:val="0042455A"/>
    <w:rsid w:val="0042516D"/>
    <w:rsid w:val="004254AB"/>
    <w:rsid w:val="004258B1"/>
    <w:rsid w:val="00426673"/>
    <w:rsid w:val="004269DE"/>
    <w:rsid w:val="004271EF"/>
    <w:rsid w:val="0042733D"/>
    <w:rsid w:val="004277FB"/>
    <w:rsid w:val="004278A8"/>
    <w:rsid w:val="00431173"/>
    <w:rsid w:val="0043208E"/>
    <w:rsid w:val="00434809"/>
    <w:rsid w:val="004349D9"/>
    <w:rsid w:val="00434A8E"/>
    <w:rsid w:val="00435186"/>
    <w:rsid w:val="00436746"/>
    <w:rsid w:val="004369C7"/>
    <w:rsid w:val="00440657"/>
    <w:rsid w:val="004406DA"/>
    <w:rsid w:val="004421E8"/>
    <w:rsid w:val="004427AC"/>
    <w:rsid w:val="00442997"/>
    <w:rsid w:val="00443B02"/>
    <w:rsid w:val="00443DF0"/>
    <w:rsid w:val="0044529F"/>
    <w:rsid w:val="004467E5"/>
    <w:rsid w:val="004501D5"/>
    <w:rsid w:val="00450233"/>
    <w:rsid w:val="0045124B"/>
    <w:rsid w:val="00451C6D"/>
    <w:rsid w:val="004521C5"/>
    <w:rsid w:val="0045255F"/>
    <w:rsid w:val="004528C5"/>
    <w:rsid w:val="00453010"/>
    <w:rsid w:val="004551B0"/>
    <w:rsid w:val="00455358"/>
    <w:rsid w:val="004565CD"/>
    <w:rsid w:val="0045687F"/>
    <w:rsid w:val="004572BB"/>
    <w:rsid w:val="00457E37"/>
    <w:rsid w:val="00460909"/>
    <w:rsid w:val="00461144"/>
    <w:rsid w:val="004615BE"/>
    <w:rsid w:val="00461720"/>
    <w:rsid w:val="004627C0"/>
    <w:rsid w:val="00463B40"/>
    <w:rsid w:val="0046404B"/>
    <w:rsid w:val="00464221"/>
    <w:rsid w:val="00466315"/>
    <w:rsid w:val="004668E2"/>
    <w:rsid w:val="00470641"/>
    <w:rsid w:val="0047095D"/>
    <w:rsid w:val="00472548"/>
    <w:rsid w:val="0047288C"/>
    <w:rsid w:val="00472B84"/>
    <w:rsid w:val="0047677A"/>
    <w:rsid w:val="00477A8D"/>
    <w:rsid w:val="00480360"/>
    <w:rsid w:val="004823F8"/>
    <w:rsid w:val="00484652"/>
    <w:rsid w:val="004848DD"/>
    <w:rsid w:val="00484D60"/>
    <w:rsid w:val="00485518"/>
    <w:rsid w:val="004862E6"/>
    <w:rsid w:val="004872B7"/>
    <w:rsid w:val="00487781"/>
    <w:rsid w:val="004878AC"/>
    <w:rsid w:val="004917E7"/>
    <w:rsid w:val="00492790"/>
    <w:rsid w:val="00492BC7"/>
    <w:rsid w:val="00493424"/>
    <w:rsid w:val="0049370F"/>
    <w:rsid w:val="00493815"/>
    <w:rsid w:val="00494504"/>
    <w:rsid w:val="00494877"/>
    <w:rsid w:val="0049568B"/>
    <w:rsid w:val="00495869"/>
    <w:rsid w:val="00495D51"/>
    <w:rsid w:val="0049751F"/>
    <w:rsid w:val="004977AC"/>
    <w:rsid w:val="00497BC0"/>
    <w:rsid w:val="004A0177"/>
    <w:rsid w:val="004A0676"/>
    <w:rsid w:val="004A0BAC"/>
    <w:rsid w:val="004A0E99"/>
    <w:rsid w:val="004A117E"/>
    <w:rsid w:val="004A4879"/>
    <w:rsid w:val="004A4D9F"/>
    <w:rsid w:val="004A6A76"/>
    <w:rsid w:val="004A6D8E"/>
    <w:rsid w:val="004A709C"/>
    <w:rsid w:val="004A7229"/>
    <w:rsid w:val="004B01C8"/>
    <w:rsid w:val="004B05E1"/>
    <w:rsid w:val="004B1A6A"/>
    <w:rsid w:val="004B389F"/>
    <w:rsid w:val="004B4D80"/>
    <w:rsid w:val="004B556A"/>
    <w:rsid w:val="004B5943"/>
    <w:rsid w:val="004B5DCF"/>
    <w:rsid w:val="004B5ED2"/>
    <w:rsid w:val="004B615C"/>
    <w:rsid w:val="004B6640"/>
    <w:rsid w:val="004B67C7"/>
    <w:rsid w:val="004B6D09"/>
    <w:rsid w:val="004C00E8"/>
    <w:rsid w:val="004C0A18"/>
    <w:rsid w:val="004C1D67"/>
    <w:rsid w:val="004C20A0"/>
    <w:rsid w:val="004C2993"/>
    <w:rsid w:val="004C2B37"/>
    <w:rsid w:val="004C543D"/>
    <w:rsid w:val="004C56AD"/>
    <w:rsid w:val="004C5850"/>
    <w:rsid w:val="004C59EB"/>
    <w:rsid w:val="004C7176"/>
    <w:rsid w:val="004C7FD8"/>
    <w:rsid w:val="004D057F"/>
    <w:rsid w:val="004D07B4"/>
    <w:rsid w:val="004D1112"/>
    <w:rsid w:val="004D1332"/>
    <w:rsid w:val="004D18F0"/>
    <w:rsid w:val="004D1E20"/>
    <w:rsid w:val="004D275F"/>
    <w:rsid w:val="004D2924"/>
    <w:rsid w:val="004D3969"/>
    <w:rsid w:val="004D6383"/>
    <w:rsid w:val="004D66B8"/>
    <w:rsid w:val="004D7447"/>
    <w:rsid w:val="004D7AB4"/>
    <w:rsid w:val="004E1933"/>
    <w:rsid w:val="004E1CA9"/>
    <w:rsid w:val="004E531D"/>
    <w:rsid w:val="004E568B"/>
    <w:rsid w:val="004E5E2B"/>
    <w:rsid w:val="004E5F09"/>
    <w:rsid w:val="004E6F00"/>
    <w:rsid w:val="004E7F49"/>
    <w:rsid w:val="004F0C57"/>
    <w:rsid w:val="004F10D8"/>
    <w:rsid w:val="004F1D31"/>
    <w:rsid w:val="004F3194"/>
    <w:rsid w:val="004F45A7"/>
    <w:rsid w:val="004F5C84"/>
    <w:rsid w:val="004F69F0"/>
    <w:rsid w:val="004F7120"/>
    <w:rsid w:val="004F7513"/>
    <w:rsid w:val="004F7902"/>
    <w:rsid w:val="00501387"/>
    <w:rsid w:val="00502F21"/>
    <w:rsid w:val="00502FC4"/>
    <w:rsid w:val="005039F4"/>
    <w:rsid w:val="0050662C"/>
    <w:rsid w:val="00506C9C"/>
    <w:rsid w:val="005072F0"/>
    <w:rsid w:val="0051029C"/>
    <w:rsid w:val="005104AE"/>
    <w:rsid w:val="0051205A"/>
    <w:rsid w:val="00512900"/>
    <w:rsid w:val="00512956"/>
    <w:rsid w:val="00513EF2"/>
    <w:rsid w:val="005146B5"/>
    <w:rsid w:val="00514E0B"/>
    <w:rsid w:val="00515A4B"/>
    <w:rsid w:val="00516CA9"/>
    <w:rsid w:val="005204C5"/>
    <w:rsid w:val="005209AE"/>
    <w:rsid w:val="00521110"/>
    <w:rsid w:val="00522778"/>
    <w:rsid w:val="00522D28"/>
    <w:rsid w:val="00523360"/>
    <w:rsid w:val="0052414C"/>
    <w:rsid w:val="00525566"/>
    <w:rsid w:val="00525F17"/>
    <w:rsid w:val="00526467"/>
    <w:rsid w:val="00526510"/>
    <w:rsid w:val="00527FC5"/>
    <w:rsid w:val="00530CFA"/>
    <w:rsid w:val="0053136A"/>
    <w:rsid w:val="00531584"/>
    <w:rsid w:val="00531E39"/>
    <w:rsid w:val="0053250D"/>
    <w:rsid w:val="00532D61"/>
    <w:rsid w:val="00532E37"/>
    <w:rsid w:val="00534298"/>
    <w:rsid w:val="005345D4"/>
    <w:rsid w:val="005352F4"/>
    <w:rsid w:val="00536036"/>
    <w:rsid w:val="005368BA"/>
    <w:rsid w:val="00536CB7"/>
    <w:rsid w:val="00540CAD"/>
    <w:rsid w:val="00541269"/>
    <w:rsid w:val="00541355"/>
    <w:rsid w:val="005413BB"/>
    <w:rsid w:val="00545A32"/>
    <w:rsid w:val="00545DAC"/>
    <w:rsid w:val="00545F8F"/>
    <w:rsid w:val="005460B9"/>
    <w:rsid w:val="005465EF"/>
    <w:rsid w:val="00546B79"/>
    <w:rsid w:val="0055118F"/>
    <w:rsid w:val="005511CC"/>
    <w:rsid w:val="00551632"/>
    <w:rsid w:val="00551783"/>
    <w:rsid w:val="005533F3"/>
    <w:rsid w:val="0055355E"/>
    <w:rsid w:val="005537EC"/>
    <w:rsid w:val="00556A5C"/>
    <w:rsid w:val="00557EBA"/>
    <w:rsid w:val="0056047D"/>
    <w:rsid w:val="00560CD7"/>
    <w:rsid w:val="00561A87"/>
    <w:rsid w:val="00561B39"/>
    <w:rsid w:val="00561D21"/>
    <w:rsid w:val="005621F3"/>
    <w:rsid w:val="00562B40"/>
    <w:rsid w:val="005641EC"/>
    <w:rsid w:val="00564AF9"/>
    <w:rsid w:val="00564FEE"/>
    <w:rsid w:val="0056676B"/>
    <w:rsid w:val="0056771D"/>
    <w:rsid w:val="0056785A"/>
    <w:rsid w:val="00567B70"/>
    <w:rsid w:val="00567CBC"/>
    <w:rsid w:val="00570990"/>
    <w:rsid w:val="005711FE"/>
    <w:rsid w:val="00571280"/>
    <w:rsid w:val="00572648"/>
    <w:rsid w:val="0057292E"/>
    <w:rsid w:val="00573A21"/>
    <w:rsid w:val="00573BB8"/>
    <w:rsid w:val="00574A30"/>
    <w:rsid w:val="00574C98"/>
    <w:rsid w:val="00575262"/>
    <w:rsid w:val="005762AE"/>
    <w:rsid w:val="005769CF"/>
    <w:rsid w:val="00576C09"/>
    <w:rsid w:val="00580017"/>
    <w:rsid w:val="00580341"/>
    <w:rsid w:val="00581B53"/>
    <w:rsid w:val="00582EFF"/>
    <w:rsid w:val="005837E2"/>
    <w:rsid w:val="0058394D"/>
    <w:rsid w:val="00584885"/>
    <w:rsid w:val="00584FD7"/>
    <w:rsid w:val="00585012"/>
    <w:rsid w:val="00585277"/>
    <w:rsid w:val="005858C6"/>
    <w:rsid w:val="00585CBC"/>
    <w:rsid w:val="0058617C"/>
    <w:rsid w:val="005879E4"/>
    <w:rsid w:val="00590617"/>
    <w:rsid w:val="0059090A"/>
    <w:rsid w:val="0059207D"/>
    <w:rsid w:val="005927AA"/>
    <w:rsid w:val="005937C6"/>
    <w:rsid w:val="00593C53"/>
    <w:rsid w:val="00593F7D"/>
    <w:rsid w:val="00596E18"/>
    <w:rsid w:val="005A0875"/>
    <w:rsid w:val="005A1BB9"/>
    <w:rsid w:val="005A2319"/>
    <w:rsid w:val="005A2938"/>
    <w:rsid w:val="005A3FD3"/>
    <w:rsid w:val="005A41C5"/>
    <w:rsid w:val="005A65A8"/>
    <w:rsid w:val="005A6621"/>
    <w:rsid w:val="005A6B40"/>
    <w:rsid w:val="005A7197"/>
    <w:rsid w:val="005A71DA"/>
    <w:rsid w:val="005A72C9"/>
    <w:rsid w:val="005A7E21"/>
    <w:rsid w:val="005B00D7"/>
    <w:rsid w:val="005B089C"/>
    <w:rsid w:val="005B0DE1"/>
    <w:rsid w:val="005B1112"/>
    <w:rsid w:val="005B1C0A"/>
    <w:rsid w:val="005B27A8"/>
    <w:rsid w:val="005B41DE"/>
    <w:rsid w:val="005B4D1F"/>
    <w:rsid w:val="005B6827"/>
    <w:rsid w:val="005B771C"/>
    <w:rsid w:val="005B7EE5"/>
    <w:rsid w:val="005C04E3"/>
    <w:rsid w:val="005C0549"/>
    <w:rsid w:val="005C0984"/>
    <w:rsid w:val="005C0D53"/>
    <w:rsid w:val="005C0F58"/>
    <w:rsid w:val="005C0FBC"/>
    <w:rsid w:val="005C111D"/>
    <w:rsid w:val="005C1FE3"/>
    <w:rsid w:val="005C2AA4"/>
    <w:rsid w:val="005C3985"/>
    <w:rsid w:val="005C4E50"/>
    <w:rsid w:val="005C4EC5"/>
    <w:rsid w:val="005C5B47"/>
    <w:rsid w:val="005C772E"/>
    <w:rsid w:val="005C7DEF"/>
    <w:rsid w:val="005D01C6"/>
    <w:rsid w:val="005D0E4B"/>
    <w:rsid w:val="005D182C"/>
    <w:rsid w:val="005D1A66"/>
    <w:rsid w:val="005D1DAE"/>
    <w:rsid w:val="005D1F98"/>
    <w:rsid w:val="005D27CA"/>
    <w:rsid w:val="005D38E7"/>
    <w:rsid w:val="005D3FA7"/>
    <w:rsid w:val="005D4263"/>
    <w:rsid w:val="005D4C64"/>
    <w:rsid w:val="005D59CC"/>
    <w:rsid w:val="005D7147"/>
    <w:rsid w:val="005D7504"/>
    <w:rsid w:val="005E08E7"/>
    <w:rsid w:val="005E1251"/>
    <w:rsid w:val="005E1DB4"/>
    <w:rsid w:val="005E2B39"/>
    <w:rsid w:val="005E3F30"/>
    <w:rsid w:val="005E445F"/>
    <w:rsid w:val="005E4B50"/>
    <w:rsid w:val="005E4CE7"/>
    <w:rsid w:val="005E4FD3"/>
    <w:rsid w:val="005E533F"/>
    <w:rsid w:val="005F2082"/>
    <w:rsid w:val="005F563A"/>
    <w:rsid w:val="005F635C"/>
    <w:rsid w:val="005F7DA6"/>
    <w:rsid w:val="006008F3"/>
    <w:rsid w:val="00600D6B"/>
    <w:rsid w:val="00600E6D"/>
    <w:rsid w:val="00600F37"/>
    <w:rsid w:val="006025E0"/>
    <w:rsid w:val="0060285D"/>
    <w:rsid w:val="00602980"/>
    <w:rsid w:val="006048A6"/>
    <w:rsid w:val="00604BF3"/>
    <w:rsid w:val="006056B8"/>
    <w:rsid w:val="00606970"/>
    <w:rsid w:val="00606A86"/>
    <w:rsid w:val="00611778"/>
    <w:rsid w:val="00611AFD"/>
    <w:rsid w:val="00611B6B"/>
    <w:rsid w:val="00611C38"/>
    <w:rsid w:val="0061278C"/>
    <w:rsid w:val="00613E4E"/>
    <w:rsid w:val="00616633"/>
    <w:rsid w:val="006169A2"/>
    <w:rsid w:val="0061725D"/>
    <w:rsid w:val="006175CC"/>
    <w:rsid w:val="006200F1"/>
    <w:rsid w:val="0062086A"/>
    <w:rsid w:val="00621D2B"/>
    <w:rsid w:val="00622014"/>
    <w:rsid w:val="00622566"/>
    <w:rsid w:val="00622B92"/>
    <w:rsid w:val="0062333D"/>
    <w:rsid w:val="00623A56"/>
    <w:rsid w:val="006241AB"/>
    <w:rsid w:val="006242A0"/>
    <w:rsid w:val="00624B24"/>
    <w:rsid w:val="00625D58"/>
    <w:rsid w:val="0062634D"/>
    <w:rsid w:val="0062676F"/>
    <w:rsid w:val="00626C57"/>
    <w:rsid w:val="006278C2"/>
    <w:rsid w:val="00627EFD"/>
    <w:rsid w:val="00630820"/>
    <w:rsid w:val="00631707"/>
    <w:rsid w:val="00632908"/>
    <w:rsid w:val="00632EF3"/>
    <w:rsid w:val="0063300D"/>
    <w:rsid w:val="006331D6"/>
    <w:rsid w:val="00634016"/>
    <w:rsid w:val="00634097"/>
    <w:rsid w:val="006340DE"/>
    <w:rsid w:val="00635A90"/>
    <w:rsid w:val="00635E20"/>
    <w:rsid w:val="006360A7"/>
    <w:rsid w:val="00636703"/>
    <w:rsid w:val="00636AF0"/>
    <w:rsid w:val="00636BA2"/>
    <w:rsid w:val="00637336"/>
    <w:rsid w:val="00637E34"/>
    <w:rsid w:val="006421CD"/>
    <w:rsid w:val="00642554"/>
    <w:rsid w:val="006425C8"/>
    <w:rsid w:val="006433A7"/>
    <w:rsid w:val="006433DC"/>
    <w:rsid w:val="00643F00"/>
    <w:rsid w:val="00643F30"/>
    <w:rsid w:val="00644206"/>
    <w:rsid w:val="00645410"/>
    <w:rsid w:val="00647A98"/>
    <w:rsid w:val="00647D76"/>
    <w:rsid w:val="006504D4"/>
    <w:rsid w:val="006534DC"/>
    <w:rsid w:val="00653C5B"/>
    <w:rsid w:val="00654A98"/>
    <w:rsid w:val="00655325"/>
    <w:rsid w:val="006553CE"/>
    <w:rsid w:val="00655A34"/>
    <w:rsid w:val="006564FA"/>
    <w:rsid w:val="006567C6"/>
    <w:rsid w:val="00657C98"/>
    <w:rsid w:val="00660B1C"/>
    <w:rsid w:val="00660CDF"/>
    <w:rsid w:val="006610D6"/>
    <w:rsid w:val="006618E5"/>
    <w:rsid w:val="00663255"/>
    <w:rsid w:val="006653E5"/>
    <w:rsid w:val="006660F8"/>
    <w:rsid w:val="006661C7"/>
    <w:rsid w:val="00666B39"/>
    <w:rsid w:val="00666F7F"/>
    <w:rsid w:val="00667216"/>
    <w:rsid w:val="006678AD"/>
    <w:rsid w:val="0067057F"/>
    <w:rsid w:val="00671717"/>
    <w:rsid w:val="006725AB"/>
    <w:rsid w:val="006742D3"/>
    <w:rsid w:val="00676053"/>
    <w:rsid w:val="0067619F"/>
    <w:rsid w:val="00676525"/>
    <w:rsid w:val="0067658F"/>
    <w:rsid w:val="00676BDE"/>
    <w:rsid w:val="00677947"/>
    <w:rsid w:val="0068078A"/>
    <w:rsid w:val="00680C92"/>
    <w:rsid w:val="006816D0"/>
    <w:rsid w:val="00682C4B"/>
    <w:rsid w:val="00682CE0"/>
    <w:rsid w:val="00683032"/>
    <w:rsid w:val="006838A9"/>
    <w:rsid w:val="00684F73"/>
    <w:rsid w:val="00686DD3"/>
    <w:rsid w:val="006879A8"/>
    <w:rsid w:val="00690DCA"/>
    <w:rsid w:val="00691998"/>
    <w:rsid w:val="006937F8"/>
    <w:rsid w:val="006944F8"/>
    <w:rsid w:val="006949A8"/>
    <w:rsid w:val="00695AFD"/>
    <w:rsid w:val="006965BB"/>
    <w:rsid w:val="0069690C"/>
    <w:rsid w:val="00696C5F"/>
    <w:rsid w:val="00697967"/>
    <w:rsid w:val="006A0A81"/>
    <w:rsid w:val="006A13AE"/>
    <w:rsid w:val="006A3CC5"/>
    <w:rsid w:val="006A4036"/>
    <w:rsid w:val="006A44B1"/>
    <w:rsid w:val="006A46AE"/>
    <w:rsid w:val="006A55B8"/>
    <w:rsid w:val="006A5893"/>
    <w:rsid w:val="006A70E6"/>
    <w:rsid w:val="006A73F5"/>
    <w:rsid w:val="006A7765"/>
    <w:rsid w:val="006B0B5C"/>
    <w:rsid w:val="006B0D93"/>
    <w:rsid w:val="006B2182"/>
    <w:rsid w:val="006B228B"/>
    <w:rsid w:val="006B2BB8"/>
    <w:rsid w:val="006B2E90"/>
    <w:rsid w:val="006B310E"/>
    <w:rsid w:val="006B45A3"/>
    <w:rsid w:val="006B4FEB"/>
    <w:rsid w:val="006B55F5"/>
    <w:rsid w:val="006B5A79"/>
    <w:rsid w:val="006B5CA4"/>
    <w:rsid w:val="006B5F3A"/>
    <w:rsid w:val="006B5F4A"/>
    <w:rsid w:val="006B6376"/>
    <w:rsid w:val="006B6D63"/>
    <w:rsid w:val="006B7780"/>
    <w:rsid w:val="006B787B"/>
    <w:rsid w:val="006B7DA9"/>
    <w:rsid w:val="006C01FB"/>
    <w:rsid w:val="006C1CAD"/>
    <w:rsid w:val="006C1FF4"/>
    <w:rsid w:val="006C2522"/>
    <w:rsid w:val="006C2A12"/>
    <w:rsid w:val="006C3052"/>
    <w:rsid w:val="006C3BC5"/>
    <w:rsid w:val="006C537C"/>
    <w:rsid w:val="006C547C"/>
    <w:rsid w:val="006C57C4"/>
    <w:rsid w:val="006C5DC0"/>
    <w:rsid w:val="006D02A2"/>
    <w:rsid w:val="006D0AB1"/>
    <w:rsid w:val="006D1662"/>
    <w:rsid w:val="006D37AF"/>
    <w:rsid w:val="006D4D11"/>
    <w:rsid w:val="006D520D"/>
    <w:rsid w:val="006D5602"/>
    <w:rsid w:val="006E06DE"/>
    <w:rsid w:val="006E0A53"/>
    <w:rsid w:val="006E19AC"/>
    <w:rsid w:val="006E22EF"/>
    <w:rsid w:val="006E29F8"/>
    <w:rsid w:val="006E439B"/>
    <w:rsid w:val="006E5D42"/>
    <w:rsid w:val="006E5FC2"/>
    <w:rsid w:val="006E6A13"/>
    <w:rsid w:val="006E6B4E"/>
    <w:rsid w:val="006E6B6E"/>
    <w:rsid w:val="006E706E"/>
    <w:rsid w:val="006E7FED"/>
    <w:rsid w:val="006F0045"/>
    <w:rsid w:val="006F07A4"/>
    <w:rsid w:val="006F0872"/>
    <w:rsid w:val="006F110A"/>
    <w:rsid w:val="006F198B"/>
    <w:rsid w:val="006F2221"/>
    <w:rsid w:val="006F2D93"/>
    <w:rsid w:val="006F3156"/>
    <w:rsid w:val="006F3963"/>
    <w:rsid w:val="006F517F"/>
    <w:rsid w:val="006F6AC2"/>
    <w:rsid w:val="006F79DF"/>
    <w:rsid w:val="00702BFE"/>
    <w:rsid w:val="00704D89"/>
    <w:rsid w:val="00705376"/>
    <w:rsid w:val="007064AE"/>
    <w:rsid w:val="0070713F"/>
    <w:rsid w:val="007078E8"/>
    <w:rsid w:val="00710F19"/>
    <w:rsid w:val="0071159C"/>
    <w:rsid w:val="0071264F"/>
    <w:rsid w:val="00713380"/>
    <w:rsid w:val="00713E4F"/>
    <w:rsid w:val="0071560B"/>
    <w:rsid w:val="007159D9"/>
    <w:rsid w:val="00715DA1"/>
    <w:rsid w:val="00716078"/>
    <w:rsid w:val="00720F28"/>
    <w:rsid w:val="0072130B"/>
    <w:rsid w:val="00721A9D"/>
    <w:rsid w:val="00722D82"/>
    <w:rsid w:val="0072496D"/>
    <w:rsid w:val="007265D1"/>
    <w:rsid w:val="0072672B"/>
    <w:rsid w:val="00726B0E"/>
    <w:rsid w:val="0072758D"/>
    <w:rsid w:val="007275D5"/>
    <w:rsid w:val="007307D2"/>
    <w:rsid w:val="007331A7"/>
    <w:rsid w:val="007339CE"/>
    <w:rsid w:val="00734B03"/>
    <w:rsid w:val="00734B6A"/>
    <w:rsid w:val="0073692F"/>
    <w:rsid w:val="007379A3"/>
    <w:rsid w:val="007408F8"/>
    <w:rsid w:val="00742D4E"/>
    <w:rsid w:val="00743F9E"/>
    <w:rsid w:val="007459F9"/>
    <w:rsid w:val="00745CD8"/>
    <w:rsid w:val="00746A79"/>
    <w:rsid w:val="00746E92"/>
    <w:rsid w:val="00750D11"/>
    <w:rsid w:val="00753428"/>
    <w:rsid w:val="00753A00"/>
    <w:rsid w:val="00753F42"/>
    <w:rsid w:val="00754131"/>
    <w:rsid w:val="00754978"/>
    <w:rsid w:val="00754B21"/>
    <w:rsid w:val="007552E9"/>
    <w:rsid w:val="00756723"/>
    <w:rsid w:val="0075753F"/>
    <w:rsid w:val="007577A9"/>
    <w:rsid w:val="007601DA"/>
    <w:rsid w:val="00763062"/>
    <w:rsid w:val="00765D16"/>
    <w:rsid w:val="00767949"/>
    <w:rsid w:val="007679AB"/>
    <w:rsid w:val="007679EC"/>
    <w:rsid w:val="00770478"/>
    <w:rsid w:val="00770665"/>
    <w:rsid w:val="0077116C"/>
    <w:rsid w:val="00771890"/>
    <w:rsid w:val="00771C0E"/>
    <w:rsid w:val="0077339C"/>
    <w:rsid w:val="00773E7D"/>
    <w:rsid w:val="00773F0D"/>
    <w:rsid w:val="0077525E"/>
    <w:rsid w:val="00775734"/>
    <w:rsid w:val="00775824"/>
    <w:rsid w:val="00775841"/>
    <w:rsid w:val="0077658C"/>
    <w:rsid w:val="00777148"/>
    <w:rsid w:val="0077757C"/>
    <w:rsid w:val="007807D7"/>
    <w:rsid w:val="00780E85"/>
    <w:rsid w:val="00781AF1"/>
    <w:rsid w:val="007820D4"/>
    <w:rsid w:val="00783514"/>
    <w:rsid w:val="00784D05"/>
    <w:rsid w:val="00785270"/>
    <w:rsid w:val="007855E7"/>
    <w:rsid w:val="007856B2"/>
    <w:rsid w:val="00786847"/>
    <w:rsid w:val="00787ADE"/>
    <w:rsid w:val="00791B91"/>
    <w:rsid w:val="00792DA3"/>
    <w:rsid w:val="00793710"/>
    <w:rsid w:val="0079375E"/>
    <w:rsid w:val="00793CC1"/>
    <w:rsid w:val="00795547"/>
    <w:rsid w:val="00795735"/>
    <w:rsid w:val="00795E43"/>
    <w:rsid w:val="00796386"/>
    <w:rsid w:val="007963F7"/>
    <w:rsid w:val="007A04C2"/>
    <w:rsid w:val="007A1CC7"/>
    <w:rsid w:val="007A20DA"/>
    <w:rsid w:val="007A2420"/>
    <w:rsid w:val="007A431F"/>
    <w:rsid w:val="007A45C4"/>
    <w:rsid w:val="007A556F"/>
    <w:rsid w:val="007A6263"/>
    <w:rsid w:val="007A6268"/>
    <w:rsid w:val="007A678E"/>
    <w:rsid w:val="007B01BA"/>
    <w:rsid w:val="007B078B"/>
    <w:rsid w:val="007B0B08"/>
    <w:rsid w:val="007B0C38"/>
    <w:rsid w:val="007B10E5"/>
    <w:rsid w:val="007B185C"/>
    <w:rsid w:val="007B1C76"/>
    <w:rsid w:val="007B2629"/>
    <w:rsid w:val="007B2B0A"/>
    <w:rsid w:val="007B2BB6"/>
    <w:rsid w:val="007B3840"/>
    <w:rsid w:val="007B45F8"/>
    <w:rsid w:val="007B5D7E"/>
    <w:rsid w:val="007B6F4C"/>
    <w:rsid w:val="007B7393"/>
    <w:rsid w:val="007B77BE"/>
    <w:rsid w:val="007B7C75"/>
    <w:rsid w:val="007C0180"/>
    <w:rsid w:val="007C1711"/>
    <w:rsid w:val="007C1BD8"/>
    <w:rsid w:val="007C213D"/>
    <w:rsid w:val="007C2832"/>
    <w:rsid w:val="007C44F7"/>
    <w:rsid w:val="007C48D8"/>
    <w:rsid w:val="007C519F"/>
    <w:rsid w:val="007C6883"/>
    <w:rsid w:val="007C7076"/>
    <w:rsid w:val="007D053E"/>
    <w:rsid w:val="007D0860"/>
    <w:rsid w:val="007D3859"/>
    <w:rsid w:val="007D4449"/>
    <w:rsid w:val="007D61AB"/>
    <w:rsid w:val="007D6346"/>
    <w:rsid w:val="007D64F1"/>
    <w:rsid w:val="007D74A5"/>
    <w:rsid w:val="007D7C35"/>
    <w:rsid w:val="007E1042"/>
    <w:rsid w:val="007E1B44"/>
    <w:rsid w:val="007E230A"/>
    <w:rsid w:val="007E3D24"/>
    <w:rsid w:val="007E4DA4"/>
    <w:rsid w:val="007E4E15"/>
    <w:rsid w:val="007E60A7"/>
    <w:rsid w:val="007E7339"/>
    <w:rsid w:val="007E7802"/>
    <w:rsid w:val="007E7AF6"/>
    <w:rsid w:val="007F09E6"/>
    <w:rsid w:val="007F1EA9"/>
    <w:rsid w:val="007F2294"/>
    <w:rsid w:val="007F23CB"/>
    <w:rsid w:val="007F3B85"/>
    <w:rsid w:val="007F4255"/>
    <w:rsid w:val="007F5C4A"/>
    <w:rsid w:val="007F67EA"/>
    <w:rsid w:val="007F6DBC"/>
    <w:rsid w:val="007F781C"/>
    <w:rsid w:val="007F7A05"/>
    <w:rsid w:val="00800A22"/>
    <w:rsid w:val="00800F4F"/>
    <w:rsid w:val="008011D6"/>
    <w:rsid w:val="0080160A"/>
    <w:rsid w:val="00801BF9"/>
    <w:rsid w:val="00802F60"/>
    <w:rsid w:val="0080365F"/>
    <w:rsid w:val="00804DDD"/>
    <w:rsid w:val="0080562D"/>
    <w:rsid w:val="00805D3C"/>
    <w:rsid w:val="00806473"/>
    <w:rsid w:val="00806935"/>
    <w:rsid w:val="00806950"/>
    <w:rsid w:val="00806C0F"/>
    <w:rsid w:val="00806C70"/>
    <w:rsid w:val="008077A1"/>
    <w:rsid w:val="00807C49"/>
    <w:rsid w:val="008115FF"/>
    <w:rsid w:val="008117D3"/>
    <w:rsid w:val="008123C5"/>
    <w:rsid w:val="008124AD"/>
    <w:rsid w:val="00816BAD"/>
    <w:rsid w:val="00820747"/>
    <w:rsid w:val="0082079C"/>
    <w:rsid w:val="008214AE"/>
    <w:rsid w:val="008223F6"/>
    <w:rsid w:val="00822948"/>
    <w:rsid w:val="00823C08"/>
    <w:rsid w:val="00825559"/>
    <w:rsid w:val="00826009"/>
    <w:rsid w:val="00826C76"/>
    <w:rsid w:val="00826CE6"/>
    <w:rsid w:val="00827DF6"/>
    <w:rsid w:val="0083217B"/>
    <w:rsid w:val="00834621"/>
    <w:rsid w:val="00834C4C"/>
    <w:rsid w:val="008352BD"/>
    <w:rsid w:val="008353DF"/>
    <w:rsid w:val="00835DFD"/>
    <w:rsid w:val="00837742"/>
    <w:rsid w:val="00842CC6"/>
    <w:rsid w:val="00843696"/>
    <w:rsid w:val="00843826"/>
    <w:rsid w:val="00843F6D"/>
    <w:rsid w:val="0084477D"/>
    <w:rsid w:val="00845DB8"/>
    <w:rsid w:val="008460C7"/>
    <w:rsid w:val="008468F7"/>
    <w:rsid w:val="00846F89"/>
    <w:rsid w:val="008474EA"/>
    <w:rsid w:val="0084775E"/>
    <w:rsid w:val="0085032F"/>
    <w:rsid w:val="00851651"/>
    <w:rsid w:val="00851767"/>
    <w:rsid w:val="00851D80"/>
    <w:rsid w:val="0085295A"/>
    <w:rsid w:val="0085412F"/>
    <w:rsid w:val="008542E8"/>
    <w:rsid w:val="00854405"/>
    <w:rsid w:val="00854698"/>
    <w:rsid w:val="008549FE"/>
    <w:rsid w:val="0085613A"/>
    <w:rsid w:val="008569B7"/>
    <w:rsid w:val="00857D24"/>
    <w:rsid w:val="0086052A"/>
    <w:rsid w:val="008610A7"/>
    <w:rsid w:val="00861539"/>
    <w:rsid w:val="00861C4F"/>
    <w:rsid w:val="00862C34"/>
    <w:rsid w:val="00863791"/>
    <w:rsid w:val="0086381B"/>
    <w:rsid w:val="00864261"/>
    <w:rsid w:val="00867BB7"/>
    <w:rsid w:val="00870112"/>
    <w:rsid w:val="00870678"/>
    <w:rsid w:val="00871C68"/>
    <w:rsid w:val="00874E95"/>
    <w:rsid w:val="00875964"/>
    <w:rsid w:val="00875BDD"/>
    <w:rsid w:val="00877DC4"/>
    <w:rsid w:val="00880A4D"/>
    <w:rsid w:val="00880A69"/>
    <w:rsid w:val="008821A1"/>
    <w:rsid w:val="0088224D"/>
    <w:rsid w:val="00882451"/>
    <w:rsid w:val="008828FB"/>
    <w:rsid w:val="00882CE0"/>
    <w:rsid w:val="00883A4E"/>
    <w:rsid w:val="00883ECC"/>
    <w:rsid w:val="0088470A"/>
    <w:rsid w:val="00885431"/>
    <w:rsid w:val="00885434"/>
    <w:rsid w:val="00886599"/>
    <w:rsid w:val="0088660A"/>
    <w:rsid w:val="008869D8"/>
    <w:rsid w:val="00886B15"/>
    <w:rsid w:val="00886DAC"/>
    <w:rsid w:val="008870EA"/>
    <w:rsid w:val="00887552"/>
    <w:rsid w:val="00887CF1"/>
    <w:rsid w:val="008901B9"/>
    <w:rsid w:val="00890F3E"/>
    <w:rsid w:val="0089106F"/>
    <w:rsid w:val="00891BD5"/>
    <w:rsid w:val="00892257"/>
    <w:rsid w:val="008925CE"/>
    <w:rsid w:val="0089265C"/>
    <w:rsid w:val="00893D84"/>
    <w:rsid w:val="0089421A"/>
    <w:rsid w:val="008955B9"/>
    <w:rsid w:val="00895B87"/>
    <w:rsid w:val="00896A8D"/>
    <w:rsid w:val="00896E82"/>
    <w:rsid w:val="00897D8D"/>
    <w:rsid w:val="008A1214"/>
    <w:rsid w:val="008A1533"/>
    <w:rsid w:val="008A1A1A"/>
    <w:rsid w:val="008A2C01"/>
    <w:rsid w:val="008A2C0B"/>
    <w:rsid w:val="008A2C3A"/>
    <w:rsid w:val="008A2F29"/>
    <w:rsid w:val="008A3843"/>
    <w:rsid w:val="008A65DD"/>
    <w:rsid w:val="008A6810"/>
    <w:rsid w:val="008A7219"/>
    <w:rsid w:val="008A7741"/>
    <w:rsid w:val="008B1830"/>
    <w:rsid w:val="008B1EC2"/>
    <w:rsid w:val="008B2715"/>
    <w:rsid w:val="008B451B"/>
    <w:rsid w:val="008B45AA"/>
    <w:rsid w:val="008B4CCA"/>
    <w:rsid w:val="008B6085"/>
    <w:rsid w:val="008B60D1"/>
    <w:rsid w:val="008B6265"/>
    <w:rsid w:val="008B7852"/>
    <w:rsid w:val="008C0E49"/>
    <w:rsid w:val="008C1380"/>
    <w:rsid w:val="008C2133"/>
    <w:rsid w:val="008C302E"/>
    <w:rsid w:val="008C30E3"/>
    <w:rsid w:val="008C631F"/>
    <w:rsid w:val="008C7191"/>
    <w:rsid w:val="008D0026"/>
    <w:rsid w:val="008D0158"/>
    <w:rsid w:val="008D184E"/>
    <w:rsid w:val="008D22B5"/>
    <w:rsid w:val="008D39EF"/>
    <w:rsid w:val="008D3B69"/>
    <w:rsid w:val="008D43BB"/>
    <w:rsid w:val="008D4CAB"/>
    <w:rsid w:val="008D53FE"/>
    <w:rsid w:val="008D620F"/>
    <w:rsid w:val="008D73E7"/>
    <w:rsid w:val="008E0C09"/>
    <w:rsid w:val="008E120F"/>
    <w:rsid w:val="008E2556"/>
    <w:rsid w:val="008E379F"/>
    <w:rsid w:val="008E436E"/>
    <w:rsid w:val="008E45F5"/>
    <w:rsid w:val="008E6048"/>
    <w:rsid w:val="008F00FD"/>
    <w:rsid w:val="008F0A10"/>
    <w:rsid w:val="008F1189"/>
    <w:rsid w:val="008F1548"/>
    <w:rsid w:val="008F1676"/>
    <w:rsid w:val="008F1E49"/>
    <w:rsid w:val="008F2698"/>
    <w:rsid w:val="008F380F"/>
    <w:rsid w:val="008F3E59"/>
    <w:rsid w:val="008F4E44"/>
    <w:rsid w:val="008F5426"/>
    <w:rsid w:val="008F58C7"/>
    <w:rsid w:val="008F5A9E"/>
    <w:rsid w:val="008F6308"/>
    <w:rsid w:val="008F64A2"/>
    <w:rsid w:val="008F6F0D"/>
    <w:rsid w:val="00900720"/>
    <w:rsid w:val="00900B56"/>
    <w:rsid w:val="00901034"/>
    <w:rsid w:val="00901CF2"/>
    <w:rsid w:val="0090212C"/>
    <w:rsid w:val="00902297"/>
    <w:rsid w:val="009051AA"/>
    <w:rsid w:val="009057D4"/>
    <w:rsid w:val="0090595D"/>
    <w:rsid w:val="00911699"/>
    <w:rsid w:val="00911C3F"/>
    <w:rsid w:val="00913C76"/>
    <w:rsid w:val="00914696"/>
    <w:rsid w:val="009150F2"/>
    <w:rsid w:val="00915EBC"/>
    <w:rsid w:val="00916254"/>
    <w:rsid w:val="00917351"/>
    <w:rsid w:val="00917C60"/>
    <w:rsid w:val="00920085"/>
    <w:rsid w:val="00920827"/>
    <w:rsid w:val="00920B4F"/>
    <w:rsid w:val="0092254A"/>
    <w:rsid w:val="00923384"/>
    <w:rsid w:val="00924976"/>
    <w:rsid w:val="00925B72"/>
    <w:rsid w:val="009261B2"/>
    <w:rsid w:val="00926458"/>
    <w:rsid w:val="00927739"/>
    <w:rsid w:val="00930961"/>
    <w:rsid w:val="00931CDE"/>
    <w:rsid w:val="00931D3F"/>
    <w:rsid w:val="00932425"/>
    <w:rsid w:val="009324E0"/>
    <w:rsid w:val="00932CB6"/>
    <w:rsid w:val="00933791"/>
    <w:rsid w:val="009338F2"/>
    <w:rsid w:val="00933FAF"/>
    <w:rsid w:val="0093401C"/>
    <w:rsid w:val="00934302"/>
    <w:rsid w:val="009344D2"/>
    <w:rsid w:val="00934CBB"/>
    <w:rsid w:val="00937399"/>
    <w:rsid w:val="00940F51"/>
    <w:rsid w:val="00941777"/>
    <w:rsid w:val="00941AC2"/>
    <w:rsid w:val="00943B4C"/>
    <w:rsid w:val="00943ED0"/>
    <w:rsid w:val="0094405B"/>
    <w:rsid w:val="0094519B"/>
    <w:rsid w:val="0094538E"/>
    <w:rsid w:val="00945998"/>
    <w:rsid w:val="00950992"/>
    <w:rsid w:val="0095120C"/>
    <w:rsid w:val="00951681"/>
    <w:rsid w:val="009528B8"/>
    <w:rsid w:val="00952F38"/>
    <w:rsid w:val="00952FC0"/>
    <w:rsid w:val="00953233"/>
    <w:rsid w:val="009548E4"/>
    <w:rsid w:val="0095581C"/>
    <w:rsid w:val="00957819"/>
    <w:rsid w:val="00960686"/>
    <w:rsid w:val="009606DA"/>
    <w:rsid w:val="0096094E"/>
    <w:rsid w:val="00960A39"/>
    <w:rsid w:val="00960E98"/>
    <w:rsid w:val="00961EE2"/>
    <w:rsid w:val="009633C3"/>
    <w:rsid w:val="00963CD6"/>
    <w:rsid w:val="00963FBC"/>
    <w:rsid w:val="009640C6"/>
    <w:rsid w:val="00964E1F"/>
    <w:rsid w:val="00965157"/>
    <w:rsid w:val="0096555C"/>
    <w:rsid w:val="009656B4"/>
    <w:rsid w:val="009669F6"/>
    <w:rsid w:val="009673A2"/>
    <w:rsid w:val="009723D4"/>
    <w:rsid w:val="009752A3"/>
    <w:rsid w:val="009753A8"/>
    <w:rsid w:val="00976ADB"/>
    <w:rsid w:val="00976DA8"/>
    <w:rsid w:val="00976DB6"/>
    <w:rsid w:val="00977936"/>
    <w:rsid w:val="00977BFB"/>
    <w:rsid w:val="00980D04"/>
    <w:rsid w:val="00981737"/>
    <w:rsid w:val="00981FB1"/>
    <w:rsid w:val="0098455E"/>
    <w:rsid w:val="00984A80"/>
    <w:rsid w:val="00984B5B"/>
    <w:rsid w:val="0098557B"/>
    <w:rsid w:val="00986C2A"/>
    <w:rsid w:val="009872CC"/>
    <w:rsid w:val="00987BE3"/>
    <w:rsid w:val="00991D83"/>
    <w:rsid w:val="00992A05"/>
    <w:rsid w:val="00992E72"/>
    <w:rsid w:val="00992E78"/>
    <w:rsid w:val="00993523"/>
    <w:rsid w:val="009945BE"/>
    <w:rsid w:val="00994D6D"/>
    <w:rsid w:val="00994E85"/>
    <w:rsid w:val="00995271"/>
    <w:rsid w:val="009953BB"/>
    <w:rsid w:val="00995FF9"/>
    <w:rsid w:val="00996552"/>
    <w:rsid w:val="009A0673"/>
    <w:rsid w:val="009A0EC0"/>
    <w:rsid w:val="009A1576"/>
    <w:rsid w:val="009A397F"/>
    <w:rsid w:val="009A39BE"/>
    <w:rsid w:val="009A4E2D"/>
    <w:rsid w:val="009A65C2"/>
    <w:rsid w:val="009B0A69"/>
    <w:rsid w:val="009B306E"/>
    <w:rsid w:val="009B3209"/>
    <w:rsid w:val="009B3D3B"/>
    <w:rsid w:val="009B4136"/>
    <w:rsid w:val="009B4ECA"/>
    <w:rsid w:val="009B6DCF"/>
    <w:rsid w:val="009B7CFE"/>
    <w:rsid w:val="009C20D9"/>
    <w:rsid w:val="009C2639"/>
    <w:rsid w:val="009C28C5"/>
    <w:rsid w:val="009C2F17"/>
    <w:rsid w:val="009C3766"/>
    <w:rsid w:val="009C4D1A"/>
    <w:rsid w:val="009C6603"/>
    <w:rsid w:val="009C6D4A"/>
    <w:rsid w:val="009D06C4"/>
    <w:rsid w:val="009D090E"/>
    <w:rsid w:val="009D1171"/>
    <w:rsid w:val="009D1DC2"/>
    <w:rsid w:val="009D2918"/>
    <w:rsid w:val="009D2AC6"/>
    <w:rsid w:val="009D3823"/>
    <w:rsid w:val="009D4009"/>
    <w:rsid w:val="009D4FF6"/>
    <w:rsid w:val="009D5BAB"/>
    <w:rsid w:val="009D76C2"/>
    <w:rsid w:val="009D787D"/>
    <w:rsid w:val="009E0267"/>
    <w:rsid w:val="009E20CF"/>
    <w:rsid w:val="009E2219"/>
    <w:rsid w:val="009E2F11"/>
    <w:rsid w:val="009E4020"/>
    <w:rsid w:val="009E4AAC"/>
    <w:rsid w:val="009E535A"/>
    <w:rsid w:val="009E5FFA"/>
    <w:rsid w:val="009E6FD5"/>
    <w:rsid w:val="009F0181"/>
    <w:rsid w:val="009F0835"/>
    <w:rsid w:val="009F0C2E"/>
    <w:rsid w:val="009F0D52"/>
    <w:rsid w:val="009F0E31"/>
    <w:rsid w:val="009F1F1B"/>
    <w:rsid w:val="009F223B"/>
    <w:rsid w:val="009F320A"/>
    <w:rsid w:val="009F3401"/>
    <w:rsid w:val="009F3E6B"/>
    <w:rsid w:val="009F47A6"/>
    <w:rsid w:val="009F4F07"/>
    <w:rsid w:val="009F5C35"/>
    <w:rsid w:val="009F6192"/>
    <w:rsid w:val="009F6317"/>
    <w:rsid w:val="009F6D5D"/>
    <w:rsid w:val="009F7404"/>
    <w:rsid w:val="009F78FB"/>
    <w:rsid w:val="00A003DC"/>
    <w:rsid w:val="00A0069D"/>
    <w:rsid w:val="00A01038"/>
    <w:rsid w:val="00A025A4"/>
    <w:rsid w:val="00A03811"/>
    <w:rsid w:val="00A0385C"/>
    <w:rsid w:val="00A05F66"/>
    <w:rsid w:val="00A060FA"/>
    <w:rsid w:val="00A0629B"/>
    <w:rsid w:val="00A06947"/>
    <w:rsid w:val="00A07B1B"/>
    <w:rsid w:val="00A10357"/>
    <w:rsid w:val="00A10CFE"/>
    <w:rsid w:val="00A12D4A"/>
    <w:rsid w:val="00A13366"/>
    <w:rsid w:val="00A14388"/>
    <w:rsid w:val="00A14610"/>
    <w:rsid w:val="00A14B4A"/>
    <w:rsid w:val="00A14E24"/>
    <w:rsid w:val="00A15A61"/>
    <w:rsid w:val="00A15ADE"/>
    <w:rsid w:val="00A16F2F"/>
    <w:rsid w:val="00A1772B"/>
    <w:rsid w:val="00A1791C"/>
    <w:rsid w:val="00A20192"/>
    <w:rsid w:val="00A205C0"/>
    <w:rsid w:val="00A20BA8"/>
    <w:rsid w:val="00A21C39"/>
    <w:rsid w:val="00A2313B"/>
    <w:rsid w:val="00A23389"/>
    <w:rsid w:val="00A23EE2"/>
    <w:rsid w:val="00A24FAD"/>
    <w:rsid w:val="00A2541D"/>
    <w:rsid w:val="00A25958"/>
    <w:rsid w:val="00A25F49"/>
    <w:rsid w:val="00A260FA"/>
    <w:rsid w:val="00A266E1"/>
    <w:rsid w:val="00A26840"/>
    <w:rsid w:val="00A2760E"/>
    <w:rsid w:val="00A27B69"/>
    <w:rsid w:val="00A300A3"/>
    <w:rsid w:val="00A31A1D"/>
    <w:rsid w:val="00A31C67"/>
    <w:rsid w:val="00A31C8C"/>
    <w:rsid w:val="00A33B4C"/>
    <w:rsid w:val="00A34125"/>
    <w:rsid w:val="00A35319"/>
    <w:rsid w:val="00A360A2"/>
    <w:rsid w:val="00A366AA"/>
    <w:rsid w:val="00A36DDD"/>
    <w:rsid w:val="00A37273"/>
    <w:rsid w:val="00A37C78"/>
    <w:rsid w:val="00A37EB4"/>
    <w:rsid w:val="00A400FC"/>
    <w:rsid w:val="00A40650"/>
    <w:rsid w:val="00A41766"/>
    <w:rsid w:val="00A4200D"/>
    <w:rsid w:val="00A4215B"/>
    <w:rsid w:val="00A42763"/>
    <w:rsid w:val="00A4278A"/>
    <w:rsid w:val="00A4291F"/>
    <w:rsid w:val="00A435C2"/>
    <w:rsid w:val="00A43B61"/>
    <w:rsid w:val="00A43E95"/>
    <w:rsid w:val="00A445DB"/>
    <w:rsid w:val="00A4470F"/>
    <w:rsid w:val="00A448E9"/>
    <w:rsid w:val="00A44BC5"/>
    <w:rsid w:val="00A455A0"/>
    <w:rsid w:val="00A46090"/>
    <w:rsid w:val="00A46E92"/>
    <w:rsid w:val="00A47662"/>
    <w:rsid w:val="00A47A10"/>
    <w:rsid w:val="00A47CEC"/>
    <w:rsid w:val="00A5095F"/>
    <w:rsid w:val="00A50B80"/>
    <w:rsid w:val="00A51743"/>
    <w:rsid w:val="00A51B29"/>
    <w:rsid w:val="00A521A0"/>
    <w:rsid w:val="00A53497"/>
    <w:rsid w:val="00A53E3B"/>
    <w:rsid w:val="00A54A3C"/>
    <w:rsid w:val="00A54E94"/>
    <w:rsid w:val="00A55ED4"/>
    <w:rsid w:val="00A5644E"/>
    <w:rsid w:val="00A56883"/>
    <w:rsid w:val="00A569A6"/>
    <w:rsid w:val="00A57051"/>
    <w:rsid w:val="00A57768"/>
    <w:rsid w:val="00A578F9"/>
    <w:rsid w:val="00A57D5B"/>
    <w:rsid w:val="00A6117A"/>
    <w:rsid w:val="00A6136B"/>
    <w:rsid w:val="00A61D1C"/>
    <w:rsid w:val="00A62007"/>
    <w:rsid w:val="00A626D7"/>
    <w:rsid w:val="00A645E4"/>
    <w:rsid w:val="00A648DA"/>
    <w:rsid w:val="00A66D3C"/>
    <w:rsid w:val="00A672AC"/>
    <w:rsid w:val="00A703AD"/>
    <w:rsid w:val="00A709E6"/>
    <w:rsid w:val="00A70F1A"/>
    <w:rsid w:val="00A71393"/>
    <w:rsid w:val="00A71CF9"/>
    <w:rsid w:val="00A73071"/>
    <w:rsid w:val="00A74E8B"/>
    <w:rsid w:val="00A75F13"/>
    <w:rsid w:val="00A8125A"/>
    <w:rsid w:val="00A820D0"/>
    <w:rsid w:val="00A830AE"/>
    <w:rsid w:val="00A842AB"/>
    <w:rsid w:val="00A84A17"/>
    <w:rsid w:val="00A84ECA"/>
    <w:rsid w:val="00A86184"/>
    <w:rsid w:val="00A8643D"/>
    <w:rsid w:val="00A867D3"/>
    <w:rsid w:val="00A87283"/>
    <w:rsid w:val="00A87668"/>
    <w:rsid w:val="00A907D8"/>
    <w:rsid w:val="00A90BC1"/>
    <w:rsid w:val="00A90CB6"/>
    <w:rsid w:val="00A915D2"/>
    <w:rsid w:val="00A91632"/>
    <w:rsid w:val="00A9378E"/>
    <w:rsid w:val="00A94875"/>
    <w:rsid w:val="00A954B1"/>
    <w:rsid w:val="00A95631"/>
    <w:rsid w:val="00A96A69"/>
    <w:rsid w:val="00A96F57"/>
    <w:rsid w:val="00A97E3F"/>
    <w:rsid w:val="00AA06E0"/>
    <w:rsid w:val="00AA0929"/>
    <w:rsid w:val="00AA0BF1"/>
    <w:rsid w:val="00AA29D3"/>
    <w:rsid w:val="00AA3546"/>
    <w:rsid w:val="00AA40A9"/>
    <w:rsid w:val="00AA6C75"/>
    <w:rsid w:val="00AB31A7"/>
    <w:rsid w:val="00AB44A5"/>
    <w:rsid w:val="00AB50A6"/>
    <w:rsid w:val="00AB521E"/>
    <w:rsid w:val="00AB567D"/>
    <w:rsid w:val="00AB73D3"/>
    <w:rsid w:val="00AC19CB"/>
    <w:rsid w:val="00AC1A58"/>
    <w:rsid w:val="00AC1DC5"/>
    <w:rsid w:val="00AC3158"/>
    <w:rsid w:val="00AC3FB7"/>
    <w:rsid w:val="00AC4B35"/>
    <w:rsid w:val="00AC4C00"/>
    <w:rsid w:val="00AC50DE"/>
    <w:rsid w:val="00AC542A"/>
    <w:rsid w:val="00AC6B11"/>
    <w:rsid w:val="00AC7010"/>
    <w:rsid w:val="00AD0B14"/>
    <w:rsid w:val="00AD30A7"/>
    <w:rsid w:val="00AD3A79"/>
    <w:rsid w:val="00AD42F9"/>
    <w:rsid w:val="00AD440F"/>
    <w:rsid w:val="00AD490C"/>
    <w:rsid w:val="00AD4B55"/>
    <w:rsid w:val="00AD5110"/>
    <w:rsid w:val="00AD5B20"/>
    <w:rsid w:val="00AD5B9B"/>
    <w:rsid w:val="00AD5BD0"/>
    <w:rsid w:val="00AD63FC"/>
    <w:rsid w:val="00AD6561"/>
    <w:rsid w:val="00AE04A9"/>
    <w:rsid w:val="00AE106F"/>
    <w:rsid w:val="00AE1F0A"/>
    <w:rsid w:val="00AE21AD"/>
    <w:rsid w:val="00AE2CAA"/>
    <w:rsid w:val="00AE3383"/>
    <w:rsid w:val="00AE4627"/>
    <w:rsid w:val="00AE494C"/>
    <w:rsid w:val="00AE55D9"/>
    <w:rsid w:val="00AE684B"/>
    <w:rsid w:val="00AE6B51"/>
    <w:rsid w:val="00AE6C76"/>
    <w:rsid w:val="00AF29B6"/>
    <w:rsid w:val="00AF29CF"/>
    <w:rsid w:val="00AF35D9"/>
    <w:rsid w:val="00AF3F5C"/>
    <w:rsid w:val="00AF6AAA"/>
    <w:rsid w:val="00AF76DA"/>
    <w:rsid w:val="00AF7743"/>
    <w:rsid w:val="00AF78B4"/>
    <w:rsid w:val="00B00643"/>
    <w:rsid w:val="00B00975"/>
    <w:rsid w:val="00B01193"/>
    <w:rsid w:val="00B018B9"/>
    <w:rsid w:val="00B01E21"/>
    <w:rsid w:val="00B028E5"/>
    <w:rsid w:val="00B03B9F"/>
    <w:rsid w:val="00B0441E"/>
    <w:rsid w:val="00B04C1E"/>
    <w:rsid w:val="00B052EE"/>
    <w:rsid w:val="00B0550E"/>
    <w:rsid w:val="00B05739"/>
    <w:rsid w:val="00B05BBD"/>
    <w:rsid w:val="00B06D0A"/>
    <w:rsid w:val="00B11AF4"/>
    <w:rsid w:val="00B12641"/>
    <w:rsid w:val="00B12C75"/>
    <w:rsid w:val="00B1396D"/>
    <w:rsid w:val="00B14982"/>
    <w:rsid w:val="00B157C8"/>
    <w:rsid w:val="00B16F5C"/>
    <w:rsid w:val="00B17FAF"/>
    <w:rsid w:val="00B225E8"/>
    <w:rsid w:val="00B23862"/>
    <w:rsid w:val="00B25E89"/>
    <w:rsid w:val="00B26AB5"/>
    <w:rsid w:val="00B27359"/>
    <w:rsid w:val="00B27A22"/>
    <w:rsid w:val="00B300C1"/>
    <w:rsid w:val="00B302F7"/>
    <w:rsid w:val="00B316B1"/>
    <w:rsid w:val="00B31949"/>
    <w:rsid w:val="00B33533"/>
    <w:rsid w:val="00B33BBA"/>
    <w:rsid w:val="00B34CEA"/>
    <w:rsid w:val="00B352A9"/>
    <w:rsid w:val="00B35D78"/>
    <w:rsid w:val="00B36C93"/>
    <w:rsid w:val="00B36E65"/>
    <w:rsid w:val="00B37743"/>
    <w:rsid w:val="00B411FB"/>
    <w:rsid w:val="00B4140F"/>
    <w:rsid w:val="00B427A8"/>
    <w:rsid w:val="00B44BFF"/>
    <w:rsid w:val="00B45BD9"/>
    <w:rsid w:val="00B46B7F"/>
    <w:rsid w:val="00B47CFF"/>
    <w:rsid w:val="00B50D2B"/>
    <w:rsid w:val="00B50EE3"/>
    <w:rsid w:val="00B51623"/>
    <w:rsid w:val="00B51BE4"/>
    <w:rsid w:val="00B52B82"/>
    <w:rsid w:val="00B53714"/>
    <w:rsid w:val="00B53EA4"/>
    <w:rsid w:val="00B54C7D"/>
    <w:rsid w:val="00B55D28"/>
    <w:rsid w:val="00B5682F"/>
    <w:rsid w:val="00B60A2E"/>
    <w:rsid w:val="00B61A21"/>
    <w:rsid w:val="00B61BA2"/>
    <w:rsid w:val="00B61E8A"/>
    <w:rsid w:val="00B6252A"/>
    <w:rsid w:val="00B638C4"/>
    <w:rsid w:val="00B63D4F"/>
    <w:rsid w:val="00B64705"/>
    <w:rsid w:val="00B65B2B"/>
    <w:rsid w:val="00B70497"/>
    <w:rsid w:val="00B70C68"/>
    <w:rsid w:val="00B71CDE"/>
    <w:rsid w:val="00B72A2A"/>
    <w:rsid w:val="00B731CD"/>
    <w:rsid w:val="00B73200"/>
    <w:rsid w:val="00B7322F"/>
    <w:rsid w:val="00B73413"/>
    <w:rsid w:val="00B744CF"/>
    <w:rsid w:val="00B75D52"/>
    <w:rsid w:val="00B76116"/>
    <w:rsid w:val="00B76AB0"/>
    <w:rsid w:val="00B77154"/>
    <w:rsid w:val="00B778E1"/>
    <w:rsid w:val="00B80B86"/>
    <w:rsid w:val="00B80C45"/>
    <w:rsid w:val="00B8195E"/>
    <w:rsid w:val="00B81E87"/>
    <w:rsid w:val="00B828D2"/>
    <w:rsid w:val="00B8319A"/>
    <w:rsid w:val="00B83230"/>
    <w:rsid w:val="00B84EE8"/>
    <w:rsid w:val="00B8567E"/>
    <w:rsid w:val="00B8675E"/>
    <w:rsid w:val="00B86F74"/>
    <w:rsid w:val="00B87178"/>
    <w:rsid w:val="00B87F55"/>
    <w:rsid w:val="00B901CC"/>
    <w:rsid w:val="00B90BF4"/>
    <w:rsid w:val="00B90D9A"/>
    <w:rsid w:val="00B94769"/>
    <w:rsid w:val="00B953CF"/>
    <w:rsid w:val="00B95C32"/>
    <w:rsid w:val="00B96146"/>
    <w:rsid w:val="00B962CC"/>
    <w:rsid w:val="00B96370"/>
    <w:rsid w:val="00B96A73"/>
    <w:rsid w:val="00B9768B"/>
    <w:rsid w:val="00B979C9"/>
    <w:rsid w:val="00B97EAB"/>
    <w:rsid w:val="00BA02B2"/>
    <w:rsid w:val="00BA08AF"/>
    <w:rsid w:val="00BA096E"/>
    <w:rsid w:val="00BA0994"/>
    <w:rsid w:val="00BA09B0"/>
    <w:rsid w:val="00BA0BE0"/>
    <w:rsid w:val="00BA0DBF"/>
    <w:rsid w:val="00BA0F4D"/>
    <w:rsid w:val="00BA2A86"/>
    <w:rsid w:val="00BA330C"/>
    <w:rsid w:val="00BA38EC"/>
    <w:rsid w:val="00BA4ECC"/>
    <w:rsid w:val="00BA61AB"/>
    <w:rsid w:val="00BA713C"/>
    <w:rsid w:val="00BA72B6"/>
    <w:rsid w:val="00BA786B"/>
    <w:rsid w:val="00BB1608"/>
    <w:rsid w:val="00BB1673"/>
    <w:rsid w:val="00BB1A24"/>
    <w:rsid w:val="00BB20F7"/>
    <w:rsid w:val="00BB2216"/>
    <w:rsid w:val="00BB2441"/>
    <w:rsid w:val="00BB27C2"/>
    <w:rsid w:val="00BB27CA"/>
    <w:rsid w:val="00BB4C2B"/>
    <w:rsid w:val="00BB507A"/>
    <w:rsid w:val="00BB5C05"/>
    <w:rsid w:val="00BB609D"/>
    <w:rsid w:val="00BB6561"/>
    <w:rsid w:val="00BB7866"/>
    <w:rsid w:val="00BB7C7A"/>
    <w:rsid w:val="00BC0A08"/>
    <w:rsid w:val="00BC0EFD"/>
    <w:rsid w:val="00BC12EB"/>
    <w:rsid w:val="00BC20DF"/>
    <w:rsid w:val="00BC2835"/>
    <w:rsid w:val="00BC2B73"/>
    <w:rsid w:val="00BC3EAD"/>
    <w:rsid w:val="00BC5767"/>
    <w:rsid w:val="00BC58A6"/>
    <w:rsid w:val="00BC5DFC"/>
    <w:rsid w:val="00BC5F1B"/>
    <w:rsid w:val="00BC63A8"/>
    <w:rsid w:val="00BC79A8"/>
    <w:rsid w:val="00BC7FDB"/>
    <w:rsid w:val="00BD0B83"/>
    <w:rsid w:val="00BD1378"/>
    <w:rsid w:val="00BD3BD1"/>
    <w:rsid w:val="00BD67D4"/>
    <w:rsid w:val="00BD7126"/>
    <w:rsid w:val="00BD7E1A"/>
    <w:rsid w:val="00BE0148"/>
    <w:rsid w:val="00BE0E1C"/>
    <w:rsid w:val="00BE1751"/>
    <w:rsid w:val="00BE2644"/>
    <w:rsid w:val="00BE2BBB"/>
    <w:rsid w:val="00BE2F68"/>
    <w:rsid w:val="00BE3030"/>
    <w:rsid w:val="00BE36D2"/>
    <w:rsid w:val="00BE5DB8"/>
    <w:rsid w:val="00BE7988"/>
    <w:rsid w:val="00BE7E0A"/>
    <w:rsid w:val="00BF030E"/>
    <w:rsid w:val="00BF08DF"/>
    <w:rsid w:val="00BF0DA0"/>
    <w:rsid w:val="00BF1067"/>
    <w:rsid w:val="00BF3632"/>
    <w:rsid w:val="00BF382B"/>
    <w:rsid w:val="00BF4201"/>
    <w:rsid w:val="00BF4969"/>
    <w:rsid w:val="00BF54CA"/>
    <w:rsid w:val="00BF6AEF"/>
    <w:rsid w:val="00BF7779"/>
    <w:rsid w:val="00BF79C7"/>
    <w:rsid w:val="00BF79E2"/>
    <w:rsid w:val="00BF7BCB"/>
    <w:rsid w:val="00C01047"/>
    <w:rsid w:val="00C010A9"/>
    <w:rsid w:val="00C01815"/>
    <w:rsid w:val="00C02718"/>
    <w:rsid w:val="00C029AD"/>
    <w:rsid w:val="00C02FCB"/>
    <w:rsid w:val="00C040AD"/>
    <w:rsid w:val="00C04492"/>
    <w:rsid w:val="00C04690"/>
    <w:rsid w:val="00C046A8"/>
    <w:rsid w:val="00C04790"/>
    <w:rsid w:val="00C04AD1"/>
    <w:rsid w:val="00C04E79"/>
    <w:rsid w:val="00C07A04"/>
    <w:rsid w:val="00C107C2"/>
    <w:rsid w:val="00C120F5"/>
    <w:rsid w:val="00C12136"/>
    <w:rsid w:val="00C12AF0"/>
    <w:rsid w:val="00C13E08"/>
    <w:rsid w:val="00C1421E"/>
    <w:rsid w:val="00C15190"/>
    <w:rsid w:val="00C1522F"/>
    <w:rsid w:val="00C15288"/>
    <w:rsid w:val="00C1541A"/>
    <w:rsid w:val="00C171F9"/>
    <w:rsid w:val="00C20319"/>
    <w:rsid w:val="00C20637"/>
    <w:rsid w:val="00C20CC2"/>
    <w:rsid w:val="00C22237"/>
    <w:rsid w:val="00C22354"/>
    <w:rsid w:val="00C2256E"/>
    <w:rsid w:val="00C22837"/>
    <w:rsid w:val="00C23391"/>
    <w:rsid w:val="00C23E3F"/>
    <w:rsid w:val="00C25AD0"/>
    <w:rsid w:val="00C27CDF"/>
    <w:rsid w:val="00C312FB"/>
    <w:rsid w:val="00C31E51"/>
    <w:rsid w:val="00C338E3"/>
    <w:rsid w:val="00C33A40"/>
    <w:rsid w:val="00C33C5C"/>
    <w:rsid w:val="00C34975"/>
    <w:rsid w:val="00C36096"/>
    <w:rsid w:val="00C37105"/>
    <w:rsid w:val="00C40067"/>
    <w:rsid w:val="00C40175"/>
    <w:rsid w:val="00C413A4"/>
    <w:rsid w:val="00C41433"/>
    <w:rsid w:val="00C418E5"/>
    <w:rsid w:val="00C443B5"/>
    <w:rsid w:val="00C46E14"/>
    <w:rsid w:val="00C512BC"/>
    <w:rsid w:val="00C52670"/>
    <w:rsid w:val="00C535A5"/>
    <w:rsid w:val="00C53ED9"/>
    <w:rsid w:val="00C55A9C"/>
    <w:rsid w:val="00C563E3"/>
    <w:rsid w:val="00C56C6B"/>
    <w:rsid w:val="00C570DF"/>
    <w:rsid w:val="00C57970"/>
    <w:rsid w:val="00C57A53"/>
    <w:rsid w:val="00C60CFC"/>
    <w:rsid w:val="00C61ED3"/>
    <w:rsid w:val="00C62EEB"/>
    <w:rsid w:val="00C634F2"/>
    <w:rsid w:val="00C63DA9"/>
    <w:rsid w:val="00C64BDE"/>
    <w:rsid w:val="00C65C25"/>
    <w:rsid w:val="00C666C1"/>
    <w:rsid w:val="00C7058D"/>
    <w:rsid w:val="00C70AB5"/>
    <w:rsid w:val="00C70AF3"/>
    <w:rsid w:val="00C70FEC"/>
    <w:rsid w:val="00C71184"/>
    <w:rsid w:val="00C72357"/>
    <w:rsid w:val="00C72643"/>
    <w:rsid w:val="00C73844"/>
    <w:rsid w:val="00C742AE"/>
    <w:rsid w:val="00C7503F"/>
    <w:rsid w:val="00C7614B"/>
    <w:rsid w:val="00C7693A"/>
    <w:rsid w:val="00C76D03"/>
    <w:rsid w:val="00C77427"/>
    <w:rsid w:val="00C77769"/>
    <w:rsid w:val="00C807F0"/>
    <w:rsid w:val="00C8080B"/>
    <w:rsid w:val="00C80914"/>
    <w:rsid w:val="00C82DE5"/>
    <w:rsid w:val="00C856A6"/>
    <w:rsid w:val="00C857A7"/>
    <w:rsid w:val="00C85F5B"/>
    <w:rsid w:val="00C86F1B"/>
    <w:rsid w:val="00C87F20"/>
    <w:rsid w:val="00C92043"/>
    <w:rsid w:val="00C93347"/>
    <w:rsid w:val="00C94061"/>
    <w:rsid w:val="00C95497"/>
    <w:rsid w:val="00C957E4"/>
    <w:rsid w:val="00C9637F"/>
    <w:rsid w:val="00C97A1E"/>
    <w:rsid w:val="00CA180E"/>
    <w:rsid w:val="00CA1931"/>
    <w:rsid w:val="00CA1C31"/>
    <w:rsid w:val="00CA298F"/>
    <w:rsid w:val="00CA2B16"/>
    <w:rsid w:val="00CA2D85"/>
    <w:rsid w:val="00CA2FD2"/>
    <w:rsid w:val="00CA518F"/>
    <w:rsid w:val="00CA5A57"/>
    <w:rsid w:val="00CA5D94"/>
    <w:rsid w:val="00CB05D7"/>
    <w:rsid w:val="00CB0D5B"/>
    <w:rsid w:val="00CB14DA"/>
    <w:rsid w:val="00CB353C"/>
    <w:rsid w:val="00CB3871"/>
    <w:rsid w:val="00CB3D15"/>
    <w:rsid w:val="00CB4D7D"/>
    <w:rsid w:val="00CB53E1"/>
    <w:rsid w:val="00CB5887"/>
    <w:rsid w:val="00CB632D"/>
    <w:rsid w:val="00CB6946"/>
    <w:rsid w:val="00CB6CB5"/>
    <w:rsid w:val="00CB7773"/>
    <w:rsid w:val="00CC08C3"/>
    <w:rsid w:val="00CC1532"/>
    <w:rsid w:val="00CC199C"/>
    <w:rsid w:val="00CC1E30"/>
    <w:rsid w:val="00CC2D79"/>
    <w:rsid w:val="00CC4C3D"/>
    <w:rsid w:val="00CC4F8F"/>
    <w:rsid w:val="00CC7D95"/>
    <w:rsid w:val="00CD000E"/>
    <w:rsid w:val="00CD044C"/>
    <w:rsid w:val="00CD0B78"/>
    <w:rsid w:val="00CD267A"/>
    <w:rsid w:val="00CD2E73"/>
    <w:rsid w:val="00CD2F5A"/>
    <w:rsid w:val="00CD457B"/>
    <w:rsid w:val="00CD460D"/>
    <w:rsid w:val="00CD6B9C"/>
    <w:rsid w:val="00CE1118"/>
    <w:rsid w:val="00CE2E7C"/>
    <w:rsid w:val="00CE412D"/>
    <w:rsid w:val="00CE720B"/>
    <w:rsid w:val="00CE7B20"/>
    <w:rsid w:val="00CF01E4"/>
    <w:rsid w:val="00CF05A5"/>
    <w:rsid w:val="00CF30D6"/>
    <w:rsid w:val="00CF4005"/>
    <w:rsid w:val="00CF4455"/>
    <w:rsid w:val="00CF55D8"/>
    <w:rsid w:val="00CF5A8A"/>
    <w:rsid w:val="00CF5A91"/>
    <w:rsid w:val="00CF6822"/>
    <w:rsid w:val="00CF7490"/>
    <w:rsid w:val="00CF7D1D"/>
    <w:rsid w:val="00D006F1"/>
    <w:rsid w:val="00D01947"/>
    <w:rsid w:val="00D02C78"/>
    <w:rsid w:val="00D02E97"/>
    <w:rsid w:val="00D0343C"/>
    <w:rsid w:val="00D03C38"/>
    <w:rsid w:val="00D03CA9"/>
    <w:rsid w:val="00D040E6"/>
    <w:rsid w:val="00D05450"/>
    <w:rsid w:val="00D07289"/>
    <w:rsid w:val="00D078A1"/>
    <w:rsid w:val="00D10319"/>
    <w:rsid w:val="00D10514"/>
    <w:rsid w:val="00D107C4"/>
    <w:rsid w:val="00D11110"/>
    <w:rsid w:val="00D118FF"/>
    <w:rsid w:val="00D14AC3"/>
    <w:rsid w:val="00D1518F"/>
    <w:rsid w:val="00D155EE"/>
    <w:rsid w:val="00D1642F"/>
    <w:rsid w:val="00D17102"/>
    <w:rsid w:val="00D17736"/>
    <w:rsid w:val="00D2003F"/>
    <w:rsid w:val="00D20522"/>
    <w:rsid w:val="00D2270B"/>
    <w:rsid w:val="00D229C9"/>
    <w:rsid w:val="00D22FEA"/>
    <w:rsid w:val="00D23277"/>
    <w:rsid w:val="00D236B5"/>
    <w:rsid w:val="00D241F7"/>
    <w:rsid w:val="00D25134"/>
    <w:rsid w:val="00D2597B"/>
    <w:rsid w:val="00D27B40"/>
    <w:rsid w:val="00D30378"/>
    <w:rsid w:val="00D30DEC"/>
    <w:rsid w:val="00D31207"/>
    <w:rsid w:val="00D3197C"/>
    <w:rsid w:val="00D3248B"/>
    <w:rsid w:val="00D32FC7"/>
    <w:rsid w:val="00D3423D"/>
    <w:rsid w:val="00D3433D"/>
    <w:rsid w:val="00D354F0"/>
    <w:rsid w:val="00D37044"/>
    <w:rsid w:val="00D37069"/>
    <w:rsid w:val="00D370D2"/>
    <w:rsid w:val="00D37B4F"/>
    <w:rsid w:val="00D41BA8"/>
    <w:rsid w:val="00D42726"/>
    <w:rsid w:val="00D42EC0"/>
    <w:rsid w:val="00D43929"/>
    <w:rsid w:val="00D45FE5"/>
    <w:rsid w:val="00D462E4"/>
    <w:rsid w:val="00D4706C"/>
    <w:rsid w:val="00D474D8"/>
    <w:rsid w:val="00D51233"/>
    <w:rsid w:val="00D5232B"/>
    <w:rsid w:val="00D52711"/>
    <w:rsid w:val="00D53255"/>
    <w:rsid w:val="00D5367B"/>
    <w:rsid w:val="00D53C1F"/>
    <w:rsid w:val="00D53F4E"/>
    <w:rsid w:val="00D54CD2"/>
    <w:rsid w:val="00D54EE1"/>
    <w:rsid w:val="00D55D68"/>
    <w:rsid w:val="00D560F5"/>
    <w:rsid w:val="00D568EF"/>
    <w:rsid w:val="00D6126C"/>
    <w:rsid w:val="00D62F3D"/>
    <w:rsid w:val="00D63841"/>
    <w:rsid w:val="00D6394A"/>
    <w:rsid w:val="00D63A0A"/>
    <w:rsid w:val="00D64365"/>
    <w:rsid w:val="00D64AF8"/>
    <w:rsid w:val="00D65593"/>
    <w:rsid w:val="00D66513"/>
    <w:rsid w:val="00D66BCF"/>
    <w:rsid w:val="00D66D11"/>
    <w:rsid w:val="00D67334"/>
    <w:rsid w:val="00D67E99"/>
    <w:rsid w:val="00D71351"/>
    <w:rsid w:val="00D725CB"/>
    <w:rsid w:val="00D73BD9"/>
    <w:rsid w:val="00D74068"/>
    <w:rsid w:val="00D7420C"/>
    <w:rsid w:val="00D766FE"/>
    <w:rsid w:val="00D76E7A"/>
    <w:rsid w:val="00D80220"/>
    <w:rsid w:val="00D8205A"/>
    <w:rsid w:val="00D827D3"/>
    <w:rsid w:val="00D85739"/>
    <w:rsid w:val="00D85AB0"/>
    <w:rsid w:val="00D85AD4"/>
    <w:rsid w:val="00D85B8F"/>
    <w:rsid w:val="00D85F92"/>
    <w:rsid w:val="00D8661F"/>
    <w:rsid w:val="00D86DFB"/>
    <w:rsid w:val="00D875EB"/>
    <w:rsid w:val="00D87AB7"/>
    <w:rsid w:val="00D87B39"/>
    <w:rsid w:val="00D90334"/>
    <w:rsid w:val="00D903E6"/>
    <w:rsid w:val="00D90561"/>
    <w:rsid w:val="00D91AEF"/>
    <w:rsid w:val="00D92F7E"/>
    <w:rsid w:val="00D93B9E"/>
    <w:rsid w:val="00D94C24"/>
    <w:rsid w:val="00D94CEB"/>
    <w:rsid w:val="00D95DE4"/>
    <w:rsid w:val="00D977B5"/>
    <w:rsid w:val="00D9794B"/>
    <w:rsid w:val="00D979D8"/>
    <w:rsid w:val="00D97A42"/>
    <w:rsid w:val="00DA072C"/>
    <w:rsid w:val="00DA257C"/>
    <w:rsid w:val="00DA2A28"/>
    <w:rsid w:val="00DA3AD5"/>
    <w:rsid w:val="00DA71AC"/>
    <w:rsid w:val="00DA77C5"/>
    <w:rsid w:val="00DB0331"/>
    <w:rsid w:val="00DB0471"/>
    <w:rsid w:val="00DB05EB"/>
    <w:rsid w:val="00DB0F3F"/>
    <w:rsid w:val="00DB179D"/>
    <w:rsid w:val="00DB1C61"/>
    <w:rsid w:val="00DB2A6D"/>
    <w:rsid w:val="00DB2F21"/>
    <w:rsid w:val="00DB3514"/>
    <w:rsid w:val="00DB3F38"/>
    <w:rsid w:val="00DB44BD"/>
    <w:rsid w:val="00DB4628"/>
    <w:rsid w:val="00DB514B"/>
    <w:rsid w:val="00DB5315"/>
    <w:rsid w:val="00DB540E"/>
    <w:rsid w:val="00DC0357"/>
    <w:rsid w:val="00DC0691"/>
    <w:rsid w:val="00DC06A0"/>
    <w:rsid w:val="00DC1B4A"/>
    <w:rsid w:val="00DC27BF"/>
    <w:rsid w:val="00DC4B14"/>
    <w:rsid w:val="00DC55F1"/>
    <w:rsid w:val="00DC5D77"/>
    <w:rsid w:val="00DC6E58"/>
    <w:rsid w:val="00DC7056"/>
    <w:rsid w:val="00DD016B"/>
    <w:rsid w:val="00DD0517"/>
    <w:rsid w:val="00DD1183"/>
    <w:rsid w:val="00DD1238"/>
    <w:rsid w:val="00DD1CC4"/>
    <w:rsid w:val="00DD2729"/>
    <w:rsid w:val="00DD288D"/>
    <w:rsid w:val="00DD2C29"/>
    <w:rsid w:val="00DD4A6A"/>
    <w:rsid w:val="00DD4A6F"/>
    <w:rsid w:val="00DD4ADB"/>
    <w:rsid w:val="00DD545C"/>
    <w:rsid w:val="00DD7C59"/>
    <w:rsid w:val="00DE0F37"/>
    <w:rsid w:val="00DE10D4"/>
    <w:rsid w:val="00DE1505"/>
    <w:rsid w:val="00DE18B3"/>
    <w:rsid w:val="00DE2218"/>
    <w:rsid w:val="00DE2520"/>
    <w:rsid w:val="00DE292C"/>
    <w:rsid w:val="00DE3568"/>
    <w:rsid w:val="00DE35ED"/>
    <w:rsid w:val="00DE3762"/>
    <w:rsid w:val="00DE46B6"/>
    <w:rsid w:val="00DE504F"/>
    <w:rsid w:val="00DE5117"/>
    <w:rsid w:val="00DE5545"/>
    <w:rsid w:val="00DE671C"/>
    <w:rsid w:val="00DE6902"/>
    <w:rsid w:val="00DE6F8D"/>
    <w:rsid w:val="00DE77E2"/>
    <w:rsid w:val="00DF06DC"/>
    <w:rsid w:val="00DF154A"/>
    <w:rsid w:val="00DF3B32"/>
    <w:rsid w:val="00DF42F0"/>
    <w:rsid w:val="00DF4C2B"/>
    <w:rsid w:val="00DF57F3"/>
    <w:rsid w:val="00DF5E3C"/>
    <w:rsid w:val="00DF6111"/>
    <w:rsid w:val="00DF7EA6"/>
    <w:rsid w:val="00E001D8"/>
    <w:rsid w:val="00E003F7"/>
    <w:rsid w:val="00E01027"/>
    <w:rsid w:val="00E01671"/>
    <w:rsid w:val="00E04195"/>
    <w:rsid w:val="00E04799"/>
    <w:rsid w:val="00E05461"/>
    <w:rsid w:val="00E0547F"/>
    <w:rsid w:val="00E05D7B"/>
    <w:rsid w:val="00E06348"/>
    <w:rsid w:val="00E100E1"/>
    <w:rsid w:val="00E12728"/>
    <w:rsid w:val="00E16149"/>
    <w:rsid w:val="00E16F98"/>
    <w:rsid w:val="00E17086"/>
    <w:rsid w:val="00E17277"/>
    <w:rsid w:val="00E1748D"/>
    <w:rsid w:val="00E17628"/>
    <w:rsid w:val="00E20204"/>
    <w:rsid w:val="00E20A21"/>
    <w:rsid w:val="00E22949"/>
    <w:rsid w:val="00E248E4"/>
    <w:rsid w:val="00E24A6A"/>
    <w:rsid w:val="00E24BFF"/>
    <w:rsid w:val="00E25B68"/>
    <w:rsid w:val="00E25B85"/>
    <w:rsid w:val="00E263C2"/>
    <w:rsid w:val="00E2729E"/>
    <w:rsid w:val="00E31940"/>
    <w:rsid w:val="00E32AC2"/>
    <w:rsid w:val="00E32D58"/>
    <w:rsid w:val="00E338FB"/>
    <w:rsid w:val="00E33E33"/>
    <w:rsid w:val="00E34BE7"/>
    <w:rsid w:val="00E37269"/>
    <w:rsid w:val="00E37E02"/>
    <w:rsid w:val="00E37E0D"/>
    <w:rsid w:val="00E37EC1"/>
    <w:rsid w:val="00E406EE"/>
    <w:rsid w:val="00E430C5"/>
    <w:rsid w:val="00E452F5"/>
    <w:rsid w:val="00E45C2B"/>
    <w:rsid w:val="00E46028"/>
    <w:rsid w:val="00E46E70"/>
    <w:rsid w:val="00E46F6D"/>
    <w:rsid w:val="00E47AAB"/>
    <w:rsid w:val="00E47D84"/>
    <w:rsid w:val="00E51075"/>
    <w:rsid w:val="00E5115C"/>
    <w:rsid w:val="00E512E1"/>
    <w:rsid w:val="00E5269B"/>
    <w:rsid w:val="00E55643"/>
    <w:rsid w:val="00E55A82"/>
    <w:rsid w:val="00E55CA8"/>
    <w:rsid w:val="00E566D6"/>
    <w:rsid w:val="00E567D9"/>
    <w:rsid w:val="00E570C4"/>
    <w:rsid w:val="00E573F1"/>
    <w:rsid w:val="00E57D8F"/>
    <w:rsid w:val="00E619A9"/>
    <w:rsid w:val="00E6409E"/>
    <w:rsid w:val="00E64351"/>
    <w:rsid w:val="00E643EA"/>
    <w:rsid w:val="00E64B4A"/>
    <w:rsid w:val="00E64F0B"/>
    <w:rsid w:val="00E6704A"/>
    <w:rsid w:val="00E67FBF"/>
    <w:rsid w:val="00E71D76"/>
    <w:rsid w:val="00E738E0"/>
    <w:rsid w:val="00E74675"/>
    <w:rsid w:val="00E758A5"/>
    <w:rsid w:val="00E75D38"/>
    <w:rsid w:val="00E776EC"/>
    <w:rsid w:val="00E7798C"/>
    <w:rsid w:val="00E8083C"/>
    <w:rsid w:val="00E80E7E"/>
    <w:rsid w:val="00E81B1B"/>
    <w:rsid w:val="00E81B76"/>
    <w:rsid w:val="00E81BEB"/>
    <w:rsid w:val="00E82A97"/>
    <w:rsid w:val="00E836AF"/>
    <w:rsid w:val="00E84024"/>
    <w:rsid w:val="00E8713F"/>
    <w:rsid w:val="00E87671"/>
    <w:rsid w:val="00E87F2F"/>
    <w:rsid w:val="00E935C3"/>
    <w:rsid w:val="00E95699"/>
    <w:rsid w:val="00E95C06"/>
    <w:rsid w:val="00E95CBD"/>
    <w:rsid w:val="00E95E52"/>
    <w:rsid w:val="00E967D2"/>
    <w:rsid w:val="00E9702D"/>
    <w:rsid w:val="00E976AE"/>
    <w:rsid w:val="00EA0C1F"/>
    <w:rsid w:val="00EA1C03"/>
    <w:rsid w:val="00EA1CF6"/>
    <w:rsid w:val="00EA1EB3"/>
    <w:rsid w:val="00EA1F4C"/>
    <w:rsid w:val="00EA21CF"/>
    <w:rsid w:val="00EA233B"/>
    <w:rsid w:val="00EA2701"/>
    <w:rsid w:val="00EA2C0D"/>
    <w:rsid w:val="00EA43A0"/>
    <w:rsid w:val="00EA53F4"/>
    <w:rsid w:val="00EA59FD"/>
    <w:rsid w:val="00EA5F1F"/>
    <w:rsid w:val="00EA6961"/>
    <w:rsid w:val="00EA6A9A"/>
    <w:rsid w:val="00EB068D"/>
    <w:rsid w:val="00EB19F8"/>
    <w:rsid w:val="00EB1EBF"/>
    <w:rsid w:val="00EB1FD0"/>
    <w:rsid w:val="00EB40D5"/>
    <w:rsid w:val="00EB6F61"/>
    <w:rsid w:val="00EB78C3"/>
    <w:rsid w:val="00EC0A78"/>
    <w:rsid w:val="00EC0E38"/>
    <w:rsid w:val="00EC208D"/>
    <w:rsid w:val="00EC25FA"/>
    <w:rsid w:val="00EC3154"/>
    <w:rsid w:val="00EC3BE0"/>
    <w:rsid w:val="00EC5391"/>
    <w:rsid w:val="00EC611A"/>
    <w:rsid w:val="00EC6228"/>
    <w:rsid w:val="00EC6E6F"/>
    <w:rsid w:val="00ED0011"/>
    <w:rsid w:val="00ED0923"/>
    <w:rsid w:val="00ED15F7"/>
    <w:rsid w:val="00ED1F0A"/>
    <w:rsid w:val="00ED22F7"/>
    <w:rsid w:val="00ED2359"/>
    <w:rsid w:val="00ED26C1"/>
    <w:rsid w:val="00ED2CF2"/>
    <w:rsid w:val="00ED3418"/>
    <w:rsid w:val="00ED445F"/>
    <w:rsid w:val="00ED465D"/>
    <w:rsid w:val="00ED5CBD"/>
    <w:rsid w:val="00ED6EB7"/>
    <w:rsid w:val="00EE0C15"/>
    <w:rsid w:val="00EE1349"/>
    <w:rsid w:val="00EE18FE"/>
    <w:rsid w:val="00EE348C"/>
    <w:rsid w:val="00EE360C"/>
    <w:rsid w:val="00EE4719"/>
    <w:rsid w:val="00EE4A2D"/>
    <w:rsid w:val="00EE4C1F"/>
    <w:rsid w:val="00EE4F94"/>
    <w:rsid w:val="00EE6C22"/>
    <w:rsid w:val="00EE7485"/>
    <w:rsid w:val="00EE7EE4"/>
    <w:rsid w:val="00EF080A"/>
    <w:rsid w:val="00EF1001"/>
    <w:rsid w:val="00EF1657"/>
    <w:rsid w:val="00EF2D00"/>
    <w:rsid w:val="00EF3143"/>
    <w:rsid w:val="00EF345E"/>
    <w:rsid w:val="00EF351F"/>
    <w:rsid w:val="00EF3930"/>
    <w:rsid w:val="00EF4259"/>
    <w:rsid w:val="00EF506B"/>
    <w:rsid w:val="00EF667A"/>
    <w:rsid w:val="00EF6D28"/>
    <w:rsid w:val="00EF7C7B"/>
    <w:rsid w:val="00EF7E83"/>
    <w:rsid w:val="00F00D09"/>
    <w:rsid w:val="00F00F46"/>
    <w:rsid w:val="00F01177"/>
    <w:rsid w:val="00F015B5"/>
    <w:rsid w:val="00F01782"/>
    <w:rsid w:val="00F0230A"/>
    <w:rsid w:val="00F02E16"/>
    <w:rsid w:val="00F04E3B"/>
    <w:rsid w:val="00F053CB"/>
    <w:rsid w:val="00F07BB5"/>
    <w:rsid w:val="00F07E4E"/>
    <w:rsid w:val="00F11642"/>
    <w:rsid w:val="00F1168C"/>
    <w:rsid w:val="00F14345"/>
    <w:rsid w:val="00F143E0"/>
    <w:rsid w:val="00F14CDD"/>
    <w:rsid w:val="00F14F5B"/>
    <w:rsid w:val="00F1511A"/>
    <w:rsid w:val="00F15725"/>
    <w:rsid w:val="00F1675B"/>
    <w:rsid w:val="00F209F1"/>
    <w:rsid w:val="00F22078"/>
    <w:rsid w:val="00F22694"/>
    <w:rsid w:val="00F22E15"/>
    <w:rsid w:val="00F2368B"/>
    <w:rsid w:val="00F25424"/>
    <w:rsid w:val="00F258BB"/>
    <w:rsid w:val="00F26DE9"/>
    <w:rsid w:val="00F30C83"/>
    <w:rsid w:val="00F30E46"/>
    <w:rsid w:val="00F313E0"/>
    <w:rsid w:val="00F327D9"/>
    <w:rsid w:val="00F3330F"/>
    <w:rsid w:val="00F35A9A"/>
    <w:rsid w:val="00F35CF6"/>
    <w:rsid w:val="00F35E23"/>
    <w:rsid w:val="00F366A0"/>
    <w:rsid w:val="00F41AE2"/>
    <w:rsid w:val="00F42857"/>
    <w:rsid w:val="00F4338D"/>
    <w:rsid w:val="00F438C3"/>
    <w:rsid w:val="00F454A4"/>
    <w:rsid w:val="00F45D58"/>
    <w:rsid w:val="00F47373"/>
    <w:rsid w:val="00F510CA"/>
    <w:rsid w:val="00F51161"/>
    <w:rsid w:val="00F51383"/>
    <w:rsid w:val="00F526F7"/>
    <w:rsid w:val="00F54071"/>
    <w:rsid w:val="00F54089"/>
    <w:rsid w:val="00F540E0"/>
    <w:rsid w:val="00F54903"/>
    <w:rsid w:val="00F549B0"/>
    <w:rsid w:val="00F54D07"/>
    <w:rsid w:val="00F55790"/>
    <w:rsid w:val="00F55B73"/>
    <w:rsid w:val="00F567E1"/>
    <w:rsid w:val="00F573BE"/>
    <w:rsid w:val="00F577EB"/>
    <w:rsid w:val="00F577F7"/>
    <w:rsid w:val="00F57959"/>
    <w:rsid w:val="00F6083A"/>
    <w:rsid w:val="00F6230B"/>
    <w:rsid w:val="00F625F3"/>
    <w:rsid w:val="00F63215"/>
    <w:rsid w:val="00F64A6B"/>
    <w:rsid w:val="00F65E46"/>
    <w:rsid w:val="00F66615"/>
    <w:rsid w:val="00F67038"/>
    <w:rsid w:val="00F72B2E"/>
    <w:rsid w:val="00F72F3D"/>
    <w:rsid w:val="00F73E14"/>
    <w:rsid w:val="00F73FC0"/>
    <w:rsid w:val="00F74C33"/>
    <w:rsid w:val="00F74C6C"/>
    <w:rsid w:val="00F76949"/>
    <w:rsid w:val="00F81569"/>
    <w:rsid w:val="00F81632"/>
    <w:rsid w:val="00F82608"/>
    <w:rsid w:val="00F82873"/>
    <w:rsid w:val="00F829FC"/>
    <w:rsid w:val="00F8374F"/>
    <w:rsid w:val="00F840F9"/>
    <w:rsid w:val="00F851C7"/>
    <w:rsid w:val="00F869C6"/>
    <w:rsid w:val="00F919F8"/>
    <w:rsid w:val="00F91B67"/>
    <w:rsid w:val="00F93328"/>
    <w:rsid w:val="00F93B44"/>
    <w:rsid w:val="00F93D5E"/>
    <w:rsid w:val="00F93F91"/>
    <w:rsid w:val="00F94471"/>
    <w:rsid w:val="00F96480"/>
    <w:rsid w:val="00F96569"/>
    <w:rsid w:val="00F97473"/>
    <w:rsid w:val="00F97EC2"/>
    <w:rsid w:val="00FA014C"/>
    <w:rsid w:val="00FA09B7"/>
    <w:rsid w:val="00FA2418"/>
    <w:rsid w:val="00FA3206"/>
    <w:rsid w:val="00FA354A"/>
    <w:rsid w:val="00FA5911"/>
    <w:rsid w:val="00FA64C8"/>
    <w:rsid w:val="00FA6D8B"/>
    <w:rsid w:val="00FA75CC"/>
    <w:rsid w:val="00FB008B"/>
    <w:rsid w:val="00FB00CE"/>
    <w:rsid w:val="00FB24ED"/>
    <w:rsid w:val="00FB262E"/>
    <w:rsid w:val="00FB4454"/>
    <w:rsid w:val="00FB481F"/>
    <w:rsid w:val="00FB587D"/>
    <w:rsid w:val="00FB64D7"/>
    <w:rsid w:val="00FB75DD"/>
    <w:rsid w:val="00FB7CDF"/>
    <w:rsid w:val="00FC0854"/>
    <w:rsid w:val="00FC10AF"/>
    <w:rsid w:val="00FC2EE6"/>
    <w:rsid w:val="00FC3350"/>
    <w:rsid w:val="00FC36D0"/>
    <w:rsid w:val="00FC43FA"/>
    <w:rsid w:val="00FC4617"/>
    <w:rsid w:val="00FC4796"/>
    <w:rsid w:val="00FC4F90"/>
    <w:rsid w:val="00FC5599"/>
    <w:rsid w:val="00FC7295"/>
    <w:rsid w:val="00FD02B1"/>
    <w:rsid w:val="00FD11C7"/>
    <w:rsid w:val="00FD14DB"/>
    <w:rsid w:val="00FD14FB"/>
    <w:rsid w:val="00FD241D"/>
    <w:rsid w:val="00FD2435"/>
    <w:rsid w:val="00FD3134"/>
    <w:rsid w:val="00FD48D7"/>
    <w:rsid w:val="00FD4AFB"/>
    <w:rsid w:val="00FD52E6"/>
    <w:rsid w:val="00FD5944"/>
    <w:rsid w:val="00FD5BF7"/>
    <w:rsid w:val="00FD7C67"/>
    <w:rsid w:val="00FE04CE"/>
    <w:rsid w:val="00FE09A3"/>
    <w:rsid w:val="00FE0A07"/>
    <w:rsid w:val="00FE0E2E"/>
    <w:rsid w:val="00FE388C"/>
    <w:rsid w:val="00FE4F27"/>
    <w:rsid w:val="00FE5F71"/>
    <w:rsid w:val="00FE6830"/>
    <w:rsid w:val="00FF1ABD"/>
    <w:rsid w:val="00FF243B"/>
    <w:rsid w:val="00FF26DF"/>
    <w:rsid w:val="00FF283E"/>
    <w:rsid w:val="00FF2CBE"/>
    <w:rsid w:val="00FF3E41"/>
    <w:rsid w:val="00FF3E95"/>
    <w:rsid w:val="00FF61CE"/>
    <w:rsid w:val="00FF64D4"/>
    <w:rsid w:val="00FF6B3F"/>
    <w:rsid w:val="00FF6B47"/>
    <w:rsid w:val="00FF6E99"/>
    <w:rsid w:val="00FF71CF"/>
    <w:rsid w:val="00FF78C5"/>
    <w:rsid w:val="00FF796B"/>
    <w:rsid w:val="00FF7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50"/>
      </w:numPr>
      <w:contextualSpacing/>
    </w:pPr>
  </w:style>
  <w:style w:type="paragraph" w:styleId="ListBullet5">
    <w:name w:val="List Bullet 5"/>
    <w:basedOn w:val="Normal"/>
    <w:uiPriority w:val="99"/>
    <w:semiHidden/>
    <w:unhideWhenUsed/>
    <w:rsid w:val="00C1421E"/>
    <w:pPr>
      <w:numPr>
        <w:numId w:val="51"/>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52"/>
      </w:numPr>
      <w:contextualSpacing/>
    </w:pPr>
  </w:style>
  <w:style w:type="paragraph" w:styleId="ListNumber5">
    <w:name w:val="List Number 5"/>
    <w:basedOn w:val="Normal"/>
    <w:uiPriority w:val="99"/>
    <w:semiHidden/>
    <w:unhideWhenUsed/>
    <w:rsid w:val="00C1421E"/>
    <w:pPr>
      <w:numPr>
        <w:numId w:val="53"/>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
    <w:name w:val="Unresolved Mention"/>
    <w:basedOn w:val="DefaultParagraphFont"/>
    <w:uiPriority w:val="99"/>
    <w:semiHidden/>
    <w:unhideWhenUsed/>
    <w:rsid w:val="00D0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1347757026">
          <w:marLeft w:val="0"/>
          <w:marRight w:val="0"/>
          <w:marTop w:val="0"/>
          <w:marBottom w:val="0"/>
          <w:divBdr>
            <w:top w:val="none" w:sz="0" w:space="0" w:color="auto"/>
            <w:left w:val="none" w:sz="0" w:space="0" w:color="auto"/>
            <w:bottom w:val="none" w:sz="0" w:space="0" w:color="auto"/>
            <w:right w:val="none" w:sz="0" w:space="0" w:color="auto"/>
          </w:divBdr>
        </w:div>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1773548556">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916746453">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479926550">
          <w:marLeft w:val="0"/>
          <w:marRight w:val="0"/>
          <w:marTop w:val="0"/>
          <w:marBottom w:val="0"/>
          <w:divBdr>
            <w:top w:val="none" w:sz="0" w:space="0" w:color="auto"/>
            <w:left w:val="none" w:sz="0" w:space="0" w:color="auto"/>
            <w:bottom w:val="none" w:sz="0" w:space="0" w:color="auto"/>
            <w:right w:val="none" w:sz="0" w:space="0" w:color="auto"/>
          </w:divBdr>
        </w:div>
        <w:div w:id="101416671">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1832214615">
          <w:marLeft w:val="0"/>
          <w:marRight w:val="0"/>
          <w:marTop w:val="0"/>
          <w:marBottom w:val="0"/>
          <w:divBdr>
            <w:top w:val="none" w:sz="0" w:space="0" w:color="auto"/>
            <w:left w:val="none" w:sz="0" w:space="0" w:color="auto"/>
            <w:bottom w:val="none" w:sz="0" w:space="0" w:color="auto"/>
            <w:right w:val="none" w:sz="0" w:space="0" w:color="auto"/>
          </w:divBdr>
        </w:div>
        <w:div w:id="41709219">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359160336">
          <w:marLeft w:val="0"/>
          <w:marRight w:val="0"/>
          <w:marTop w:val="0"/>
          <w:marBottom w:val="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26296715">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1934851208">
          <w:marLeft w:val="0"/>
          <w:marRight w:val="0"/>
          <w:marTop w:val="0"/>
          <w:marBottom w:val="0"/>
          <w:divBdr>
            <w:top w:val="none" w:sz="0" w:space="0" w:color="auto"/>
            <w:left w:val="none" w:sz="0" w:space="0" w:color="auto"/>
            <w:bottom w:val="none" w:sz="0" w:space="0" w:color="auto"/>
            <w:right w:val="none" w:sz="0" w:space="0" w:color="auto"/>
          </w:divBdr>
        </w:div>
        <w:div w:id="725110745">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1863786183">
          <w:marLeft w:val="0"/>
          <w:marRight w:val="0"/>
          <w:marTop w:val="0"/>
          <w:marBottom w:val="0"/>
          <w:divBdr>
            <w:top w:val="none" w:sz="0" w:space="0" w:color="auto"/>
            <w:left w:val="none" w:sz="0" w:space="0" w:color="auto"/>
            <w:bottom w:val="none" w:sz="0" w:space="0" w:color="auto"/>
            <w:right w:val="none" w:sz="0" w:space="0" w:color="auto"/>
          </w:divBdr>
        </w:div>
        <w:div w:id="987903528">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 w:id="30350577">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1180437922">
          <w:marLeft w:val="0"/>
          <w:marRight w:val="0"/>
          <w:marTop w:val="0"/>
          <w:marBottom w:val="0"/>
          <w:divBdr>
            <w:top w:val="none" w:sz="0" w:space="0" w:color="auto"/>
            <w:left w:val="none" w:sz="0" w:space="0" w:color="auto"/>
            <w:bottom w:val="none" w:sz="0" w:space="0" w:color="auto"/>
            <w:right w:val="none" w:sz="0" w:space="0" w:color="auto"/>
          </w:divBdr>
        </w:div>
        <w:div w:id="26029706">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 TargetMode="External"/><Relationship Id="rId21" Type="http://schemas.openxmlformats.org/officeDocument/2006/relationships/hyperlink" Target="https://www.itu.int/en/journal/002/Pages/default.aspx" TargetMode="External"/><Relationship Id="rId42" Type="http://schemas.openxmlformats.org/officeDocument/2006/relationships/hyperlink" Target="https://www.itu.int/en/ITU-T/studygroups/2017-2020/20/Pages/exec-sum-dec18.aspx" TargetMode="External"/><Relationship Id="rId63" Type="http://schemas.openxmlformats.org/officeDocument/2006/relationships/hyperlink" Target="https://www.itu.int/en/ITU-T/focusgroups/dfc/Pages/default.aspx" TargetMode="External"/><Relationship Id="rId84" Type="http://schemas.openxmlformats.org/officeDocument/2006/relationships/hyperlink" Target="https://news.itu.int/itu-stanford-university-launch-new-partnership-supporting-pilots-digital-fiat-currency/" TargetMode="External"/><Relationship Id="rId138" Type="http://schemas.openxmlformats.org/officeDocument/2006/relationships/hyperlink" Target="https://news.itu.int/how-can-digital-health-serve-everyone-submit-your-paper-to-kaleidoscope-2019/" TargetMode="External"/><Relationship Id="rId159" Type="http://schemas.openxmlformats.org/officeDocument/2006/relationships/hyperlink" Target="http://www.itu.int/ITU-T/inr/index.html" TargetMode="External"/><Relationship Id="rId170" Type="http://schemas.openxmlformats.org/officeDocument/2006/relationships/hyperlink" Target="https://www.itu.int/md/S17-CL-C-0134/en" TargetMode="External"/><Relationship Id="rId191" Type="http://schemas.openxmlformats.org/officeDocument/2006/relationships/hyperlink" Target="https://www.itu.int/en/ITU-D/Regional-Presence/Europe/Pages/Events/2019/eServices/enhancing-human-life-using-e-services.aspx" TargetMode="External"/><Relationship Id="rId205" Type="http://schemas.openxmlformats.org/officeDocument/2006/relationships/hyperlink" Target="https://www.itu.int/en/ITU-T/Workshops-and-Seminars/20190311/Pages/default.aspx" TargetMode="External"/><Relationship Id="rId226" Type="http://schemas.openxmlformats.org/officeDocument/2006/relationships/hyperlink" Target="https://www.itu.int/en/ITU-T/Workshops-and-Seminars/201812/Pages/default.aspx" TargetMode="External"/><Relationship Id="rId247" Type="http://schemas.openxmlformats.org/officeDocument/2006/relationships/hyperlink" Target="https://itu.int/rec/T-REC-A" TargetMode="External"/><Relationship Id="rId107" Type="http://schemas.openxmlformats.org/officeDocument/2006/relationships/hyperlink" Target="https://www.itu.int/net4/ITU-T/landscape" TargetMode="External"/><Relationship Id="rId11" Type="http://schemas.openxmlformats.org/officeDocument/2006/relationships/image" Target="media/image1.gif"/><Relationship Id="rId32" Type="http://schemas.openxmlformats.org/officeDocument/2006/relationships/hyperlink" Target="https://www.itu.int/en/ITU-T/studygroups/2017-2020/12/Pages/1905-summary.aspx" TargetMode="External"/><Relationship Id="rId53" Type="http://schemas.openxmlformats.org/officeDocument/2006/relationships/hyperlink" Target="https://www.itu.int/net4/ITU-T/landscape" TargetMode="External"/><Relationship Id="rId74" Type="http://schemas.openxmlformats.org/officeDocument/2006/relationships/hyperlink" Target="https://www.itu.int/en/ITU-T/jca/ahf/Pages/default.aspx" TargetMode="External"/><Relationship Id="rId128" Type="http://schemas.openxmlformats.org/officeDocument/2006/relationships/hyperlink" Target="http://academy.itu.int" TargetMode="External"/><Relationship Id="rId149" Type="http://schemas.openxmlformats.org/officeDocument/2006/relationships/hyperlink" Target="https://www.itu.int/en/ITU-T/extcoop/Pages/sdo.aspx" TargetMode="External"/><Relationship Id="rId5" Type="http://schemas.openxmlformats.org/officeDocument/2006/relationships/numbering" Target="numbering.xml"/><Relationship Id="rId95" Type="http://schemas.openxmlformats.org/officeDocument/2006/relationships/hyperlink" Target="https://www.itu.int/en/mediacentre/Pages/2019-PR08.aspx" TargetMode="External"/><Relationship Id="rId160" Type="http://schemas.openxmlformats.org/officeDocument/2006/relationships/hyperlink" Target="https://www.itu.int/net4/ITU-T/landscape" TargetMode="External"/><Relationship Id="rId181" Type="http://schemas.openxmlformats.org/officeDocument/2006/relationships/hyperlink" Target="https://extranet.itu.int/sites/itu-t/focusgroups/vm/" TargetMode="External"/><Relationship Id="rId216" Type="http://schemas.openxmlformats.org/officeDocument/2006/relationships/hyperlink" Target="https://www.itu.int/en/ITU-T/Workshops-and-Seminars/bsg/20190218/Pages/default.aspx" TargetMode="External"/><Relationship Id="rId237" Type="http://schemas.openxmlformats.org/officeDocument/2006/relationships/hyperlink" Target="https://www.itu.int/en/ITU-T/academia/kaleidoscope/2018/Pages/default.aspx" TargetMode="External"/><Relationship Id="rId258" Type="http://schemas.openxmlformats.org/officeDocument/2006/relationships/footer" Target="footer1.xml"/><Relationship Id="rId22" Type="http://schemas.openxmlformats.org/officeDocument/2006/relationships/hyperlink" Target="http://www.itu.int/net/itu-t/cdb/ConformityDB.aspx" TargetMode="External"/><Relationship Id="rId43" Type="http://schemas.openxmlformats.org/officeDocument/2006/relationships/hyperlink" Target="https://news.itu.int/5g-transport-new-clarity/" TargetMode="External"/><Relationship Id="rId64" Type="http://schemas.openxmlformats.org/officeDocument/2006/relationships/hyperlink" Target="https://www.itu.int/en/ITU-T/focusgroups/dlt/Pages/default.aspx" TargetMode="External"/><Relationship Id="rId118" Type="http://schemas.openxmlformats.org/officeDocument/2006/relationships/hyperlink" Target="https://www.itu.int/en/ITU-T/Workshops-and-Seminars/20190402/Pages/default.aspx" TargetMode="External"/><Relationship Id="rId139" Type="http://schemas.openxmlformats.org/officeDocument/2006/relationships/hyperlink" Target="https://www.itu.int/en/journal/002/Pages/default.aspx" TargetMode="External"/><Relationship Id="rId85" Type="http://schemas.openxmlformats.org/officeDocument/2006/relationships/hyperlink" Target="https://www.itu.int/en/ITU-T/focusgroups/dlt/Pages/default.aspx" TargetMode="External"/><Relationship Id="rId150" Type="http://schemas.openxmlformats.org/officeDocument/2006/relationships/hyperlink" Target="https://www.itu.int/ITU-T/aap/AAPSearch.aspx" TargetMode="External"/><Relationship Id="rId171" Type="http://schemas.openxmlformats.org/officeDocument/2006/relationships/hyperlink" Target="https://extranet.itu.int/sites/ITU-T/" TargetMode="External"/><Relationship Id="rId192" Type="http://schemas.openxmlformats.org/officeDocument/2006/relationships/hyperlink" Target="https://www.itu.int/en/ITU-T/Workshops-and-Seminars/20190617/Pages/default.aspx" TargetMode="External"/><Relationship Id="rId206" Type="http://schemas.openxmlformats.org/officeDocument/2006/relationships/hyperlink" Target="https://www.itu.int/en/fnc/2019/Pages/default.aspx" TargetMode="External"/><Relationship Id="rId227" Type="http://schemas.openxmlformats.org/officeDocument/2006/relationships/hyperlink" Target="https://www.itu.int/en/ITU-T/Workshops-and-Seminars/bsg/2019040405/Pages/default.aspx" TargetMode="External"/><Relationship Id="rId248" Type="http://schemas.openxmlformats.org/officeDocument/2006/relationships/hyperlink" Target="https://www.itu.int/net4/wsis/sdg/" TargetMode="External"/><Relationship Id="rId12" Type="http://schemas.openxmlformats.org/officeDocument/2006/relationships/hyperlink" Target="mailto:tsbtsag@itu.int" TargetMode="External"/><Relationship Id="rId33" Type="http://schemas.openxmlformats.org/officeDocument/2006/relationships/hyperlink" Target="https://www.itu.int/en/ITU-T/studygroups/2017-2020/12/Pages/1811-summary.aspx" TargetMode="External"/><Relationship Id="rId108" Type="http://schemas.openxmlformats.org/officeDocument/2006/relationships/hyperlink" Target="https://news.itu.int/database-harmonizing-intelligent-transport-standards/" TargetMode="External"/><Relationship Id="rId129" Type="http://schemas.openxmlformats.org/officeDocument/2006/relationships/hyperlink" Target="https://www.itu.int/pub/T-TUT" TargetMode="External"/><Relationship Id="rId54" Type="http://schemas.openxmlformats.org/officeDocument/2006/relationships/hyperlink" Target="https://news.itu.int/database-harmonizing-intelligent-transport-standards/" TargetMode="External"/><Relationship Id="rId75" Type="http://schemas.openxmlformats.org/officeDocument/2006/relationships/hyperlink" Target="https://www.itu.int/net4/wsis/forum/2019/Agenda/ViewSession/147" TargetMode="External"/><Relationship Id="rId96" Type="http://schemas.openxmlformats.org/officeDocument/2006/relationships/hyperlink" Target="https://www.itu.int/en/ITU-T/studygroups/2017-2020/09/Pages/workshops.aspx" TargetMode="External"/><Relationship Id="rId140" Type="http://schemas.openxmlformats.org/officeDocument/2006/relationships/hyperlink" Target="https://news.itu.int/journal-issue-2/" TargetMode="External"/><Relationship Id="rId161" Type="http://schemas.openxmlformats.org/officeDocument/2006/relationships/hyperlink" Target="https://www.itu.int/en/ITU-T/studygroups/com17/ict/Pages/default.aspx" TargetMode="External"/><Relationship Id="rId182" Type="http://schemas.openxmlformats.org/officeDocument/2006/relationships/hyperlink" Target="https://extranet.itu.int/sites/itu-t/focusgroups/ai4ee/" TargetMode="External"/><Relationship Id="rId217" Type="http://schemas.openxmlformats.org/officeDocument/2006/relationships/hyperlink" Target="https://www.itu.int/en/ITU-T/Workshops-and-Seminars/qos/201908/Pages/default.asp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itu.int/en/ITU-T/Workshops-and-Seminars/ai4h/20190122/Pages/default.aspx" TargetMode="External"/><Relationship Id="rId233" Type="http://schemas.openxmlformats.org/officeDocument/2006/relationships/hyperlink" Target="https://www.itu.int/en/ITU-T/Workshops-and-Seminars/bsg/20190327/Pages/default.aspx" TargetMode="External"/><Relationship Id="rId238" Type="http://schemas.openxmlformats.org/officeDocument/2006/relationships/hyperlink" Target="https://www.itu.int/en/ITU-T/Workshops-and-Seminars/201811/Pages/default.aspx" TargetMode="External"/><Relationship Id="rId254" Type="http://schemas.openxmlformats.org/officeDocument/2006/relationships/hyperlink" Target="http://ec.europa.eu/environment/waste/shipments/legis.htm" TargetMode="External"/><Relationship Id="rId259" Type="http://schemas.openxmlformats.org/officeDocument/2006/relationships/footer" Target="footer2.xml"/><Relationship Id="rId23" Type="http://schemas.openxmlformats.org/officeDocument/2006/relationships/hyperlink" Target="https://www.itu.int/net4/ITU-T/myworkspace/" TargetMode="External"/><Relationship Id="rId28" Type="http://schemas.openxmlformats.org/officeDocument/2006/relationships/hyperlink" Target="https://www.itu.int/en/ITU-T/studygroups/2017-2020/03/Documents/SG3%20Executive%20Summary%202019.pdf" TargetMode="External"/><Relationship Id="rId49" Type="http://schemas.openxmlformats.org/officeDocument/2006/relationships/hyperlink" Target="https://www.itu.int/en/ITU-T/studygroups/2017-2020/05/Pages/exec-sum.aspx" TargetMode="External"/><Relationship Id="rId114" Type="http://schemas.openxmlformats.org/officeDocument/2006/relationships/hyperlink" Target="https://news.itu.int/category/et/digital-finance/" TargetMode="External"/><Relationship Id="rId119" Type="http://schemas.openxmlformats.org/officeDocument/2006/relationships/hyperlink" Target="https://www.itu.int/en/fnc/2019/Pages/default.aspx" TargetMode="External"/><Relationship Id="rId44" Type="http://schemas.openxmlformats.org/officeDocument/2006/relationships/hyperlink" Target="https://news.itu.int/new-itu-standard-machine-learning-5g-networks/" TargetMode="External"/><Relationship Id="rId60" Type="http://schemas.openxmlformats.org/officeDocument/2006/relationships/hyperlink" Target="https://news.itu.int/new-itu-recommendation-provides-parameters-for-a-collaborative-framework-for-otts/" TargetMode="External"/><Relationship Id="rId65" Type="http://schemas.openxmlformats.org/officeDocument/2006/relationships/hyperlink" Target="https://www.itu.int/en/ITU-T/focusgroups/ai4h/Pages/default.aspx" TargetMode="External"/><Relationship Id="rId81" Type="http://schemas.openxmlformats.org/officeDocument/2006/relationships/hyperlink" Target="https://news.itu.int/itu-ngmn-promoting-level-playing-field-5g-intellectual-property/" TargetMode="External"/><Relationship Id="rId86" Type="http://schemas.openxmlformats.org/officeDocument/2006/relationships/hyperlink" Target="https://www.itu.int/en/ITU-T/focusgroups/ml5g/Pages/default.aspx" TargetMode="External"/><Relationship Id="rId130" Type="http://schemas.openxmlformats.org/officeDocument/2006/relationships/hyperlink" Target="https://news.itu.int/itu-celebrates-world-telecommunication-and-information-society-day/" TargetMode="External"/><Relationship Id="rId135" Type="http://schemas.openxmlformats.org/officeDocument/2006/relationships/hyperlink" Target="https://www.itu.int/en/ITU-T/focusgroups/ml5g/Pages/default.aspx" TargetMode="External"/><Relationship Id="rId151" Type="http://schemas.openxmlformats.org/officeDocument/2006/relationships/hyperlink" Target="https://www.itu.int/net/ITU-T/lists/t-approval.aspx" TargetMode="External"/><Relationship Id="rId156" Type="http://schemas.openxmlformats.org/officeDocument/2006/relationships/hyperlink" Target="http://www.itu.int/ITU-T/formal-language/index.html" TargetMode="External"/><Relationship Id="rId177" Type="http://schemas.openxmlformats.org/officeDocument/2006/relationships/hyperlink" Target="https://extranet.itu.int/sites/itu-t/focusgroups/fgdlt/" TargetMode="External"/><Relationship Id="rId198" Type="http://schemas.openxmlformats.org/officeDocument/2006/relationships/hyperlink" Target="https://www.itu.int/en/ITU-T/studygroups/2017-2020/05/Pages/event-20190515.aspx" TargetMode="External"/><Relationship Id="rId172" Type="http://schemas.openxmlformats.org/officeDocument/2006/relationships/hyperlink" Target="https://extranet.itu.int/sites/itu-t/studygroups/2017-2020" TargetMode="External"/><Relationship Id="rId193" Type="http://schemas.openxmlformats.org/officeDocument/2006/relationships/hyperlink" Target="https://www.itu.int/en/ITU-T/Workshops-and-Seminars/201906/Pages/default.aspx" TargetMode="External"/><Relationship Id="rId202" Type="http://schemas.openxmlformats.org/officeDocument/2006/relationships/hyperlink" Target="https://www.itu.int/net4/wsis/forum/2019/Agenda/ViewSession/296" TargetMode="External"/><Relationship Id="rId207" Type="http://schemas.openxmlformats.org/officeDocument/2006/relationships/hyperlink" Target="https://www.itu.int/en/ITU-T/Workshops-and-Seminars/itu-ngmn/Pages/20190129.aspx" TargetMode="External"/><Relationship Id="rId223" Type="http://schemas.openxmlformats.org/officeDocument/2006/relationships/hyperlink" Target="https://www.itu.int/en/ITU-T/Workshops-and-Seminars/20190123/Pages/default.aspx" TargetMode="External"/><Relationship Id="rId228" Type="http://schemas.openxmlformats.org/officeDocument/2006/relationships/hyperlink" Target="https://www.itu.int/en/ITU-T/extcoop/figisymposium/2019/Pages/default.aspx" TargetMode="External"/><Relationship Id="rId244" Type="http://schemas.openxmlformats.org/officeDocument/2006/relationships/hyperlink" Target="https://www.itu.int/en/ITU-D/Regional-Presence/CIS/Pages/EVENTS/2019/02_Minsk/02_Minsk.aspx" TargetMode="External"/><Relationship Id="rId249" Type="http://schemas.openxmlformats.org/officeDocument/2006/relationships/hyperlink" Target="http://www.itu.int/md/T13-TSAG-160201-TD-GEN-0419/en" TargetMode="External"/><Relationship Id="rId13" Type="http://schemas.openxmlformats.org/officeDocument/2006/relationships/hyperlink" Target="https://www.itu.int/en/ITU-T/ssc/united/Pages/default.aspx" TargetMode="External"/><Relationship Id="rId18" Type="http://schemas.openxmlformats.org/officeDocument/2006/relationships/hyperlink" Target="https://aiforgood.itu.int/" TargetMode="External"/><Relationship Id="rId39" Type="http://schemas.openxmlformats.org/officeDocument/2006/relationships/hyperlink" Target="https://www.itu.int/en/ITU-T/studygroups/2017-2020/16/Pages/results-1810.aspx" TargetMode="External"/><Relationship Id="rId109" Type="http://schemas.openxmlformats.org/officeDocument/2006/relationships/hyperlink" Target="https://www.frontiersin.org/articles/10.3389/fmars.2019.00424/full" TargetMode="External"/><Relationship Id="rId260" Type="http://schemas.openxmlformats.org/officeDocument/2006/relationships/header" Target="header3.xml"/><Relationship Id="rId34" Type="http://schemas.openxmlformats.org/officeDocument/2006/relationships/hyperlink" Target="https://www.itu.int/en/ITU-T/studygroups/2017-2020/13/Pages/exec-sum.aspx" TargetMode="External"/><Relationship Id="rId50" Type="http://schemas.openxmlformats.org/officeDocument/2006/relationships/hyperlink" Target="https://news.itu.int/new-itu-standards-to-overcome-the-security-limitations-of-passwords/" TargetMode="External"/><Relationship Id="rId55" Type="http://schemas.openxmlformats.org/officeDocument/2006/relationships/hyperlink" Target="https://news.itu.int/webinar-itu-standards-measure-ip-performance-4g-voice-quality/" TargetMode="External"/><Relationship Id="rId76" Type="http://schemas.openxmlformats.org/officeDocument/2006/relationships/hyperlink" Target="https://www.itu.int/net4/wsis/forum/2019/Agenda/ViewSession/171" TargetMode="External"/><Relationship Id="rId97" Type="http://schemas.openxmlformats.org/officeDocument/2006/relationships/hyperlink" Target="https://www.itu.int/en/ITU-T/Workshops-and-Seminars/201811/Pages/default.aspx" TargetMode="External"/><Relationship Id="rId104" Type="http://schemas.openxmlformats.org/officeDocument/2006/relationships/hyperlink" Target="https://news.itu.int/ctos-china-japan-korea-highlight-standardization-priorities/" TargetMode="External"/><Relationship Id="rId120" Type="http://schemas.openxmlformats.org/officeDocument/2006/relationships/hyperlink" Target="https://www.itu.int/en/ITU-T/Workshops-and-Seminars/itu-ngmn/Pages/20190129.aspx" TargetMode="External"/><Relationship Id="rId125" Type="http://schemas.openxmlformats.org/officeDocument/2006/relationships/image" Target="media/image2.png"/><Relationship Id="rId141" Type="http://schemas.openxmlformats.org/officeDocument/2006/relationships/hyperlink" Target="https://news.itu.int/navigating-crowded-spectrum-itu-journal-invites-research-on-advances-in-radiowave-propagation/" TargetMode="External"/><Relationship Id="rId146" Type="http://schemas.openxmlformats.org/officeDocument/2006/relationships/hyperlink" Target="http://news.itu.int/" TargetMode="External"/><Relationship Id="rId167" Type="http://schemas.openxmlformats.org/officeDocument/2006/relationships/hyperlink" Target="https://www.itu.int/net4/itu-t/nnp" TargetMode="External"/><Relationship Id="rId188" Type="http://schemas.openxmlformats.org/officeDocument/2006/relationships/hyperlink" Target="https://www.itu.int/en/ITU-T/Workshops-and-Seminars/20190826/Pages/default.aspx" TargetMode="External"/><Relationship Id="rId7" Type="http://schemas.openxmlformats.org/officeDocument/2006/relationships/settings" Target="settings.xml"/><Relationship Id="rId71" Type="http://schemas.openxmlformats.org/officeDocument/2006/relationships/hyperlink" Target="http://www.itu.int/net/itu-t/cdb/ConformityDB.aspx" TargetMode="External"/><Relationship Id="rId92" Type="http://schemas.openxmlformats.org/officeDocument/2006/relationships/hyperlink" Target="https://www.thelancet.com/journals/lancet/article/PIIS0140-6736(19)30762-7/fulltext?dgcid=raven_jbs_etoc_email" TargetMode="External"/><Relationship Id="rId162" Type="http://schemas.openxmlformats.org/officeDocument/2006/relationships/hyperlink" Target="https://www.itu.int/net4/ITU-T/search/Landing" TargetMode="External"/><Relationship Id="rId183" Type="http://schemas.openxmlformats.org/officeDocument/2006/relationships/hyperlink" Target="https://extranet.itu.int/ITU-T/support/" TargetMode="External"/><Relationship Id="rId213" Type="http://schemas.openxmlformats.org/officeDocument/2006/relationships/hyperlink" Target="https://www.itu.int/en/ITU-D/Regional-Presence/Europe/Pages/Events/2018/5GForum/Towards_5G_Enabled_Gigabit_Society.aspx" TargetMode="External"/><Relationship Id="rId218" Type="http://schemas.openxmlformats.org/officeDocument/2006/relationships/hyperlink" Target="https://www.itu.int/en/ITU-T/tsbdir/cto/Pages/default.aspx" TargetMode="External"/><Relationship Id="rId234" Type="http://schemas.openxmlformats.org/officeDocument/2006/relationships/hyperlink" Target="https://www.itu.int/en/ITU-T/Workshops-and-Seminars/2019032526/Pages/default.aspx" TargetMode="External"/><Relationship Id="rId239" Type="http://schemas.openxmlformats.org/officeDocument/2006/relationships/hyperlink" Target="https://www.itu.int/en/ITU-T/Workshops-and-Seminars/20181114/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05/Pages/exec-sum.aspx" TargetMode="External"/><Relationship Id="rId250" Type="http://schemas.openxmlformats.org/officeDocument/2006/relationships/hyperlink" Target="https://www.itu.int/md/meetingdoc.asp?lang=en&amp;parent=T17-SG13-190304-TD-PLEN-0172" TargetMode="External"/><Relationship Id="rId255" Type="http://schemas.openxmlformats.org/officeDocument/2006/relationships/hyperlink" Target="http://ec.europa.eu/&#8204;environment/waste/weee/index_en.htm" TargetMode="External"/><Relationship Id="rId24" Type="http://schemas.openxmlformats.org/officeDocument/2006/relationships/hyperlink" Target="https://www.itu.int/net4/ITU-T/search/Landing" TargetMode="External"/><Relationship Id="rId40" Type="http://schemas.openxmlformats.org/officeDocument/2006/relationships/hyperlink" Target="https://www.itu.int/en/ITU-T/studygroups/2017-2020/17/Pages/1901-summary.aspx" TargetMode="External"/><Relationship Id="rId45" Type="http://schemas.openxmlformats.org/officeDocument/2006/relationships/hyperlink" Target="https://news.itu.int/new-standard-visible-light-communication/" TargetMode="External"/><Relationship Id="rId66" Type="http://schemas.openxmlformats.org/officeDocument/2006/relationships/hyperlink" Target="https://www.itu.int/en/ITU-T/focusgroups/ml5g/Pages/default.aspx" TargetMode="External"/><Relationship Id="rId87" Type="http://schemas.openxmlformats.org/officeDocument/2006/relationships/hyperlink" Target="https://www.itu.int/ITU-T/recommendations/rec.aspx?rec=13894&amp;lang=en" TargetMode="External"/><Relationship Id="rId110" Type="http://schemas.openxmlformats.org/officeDocument/2006/relationships/hyperlink" Target="https://www.itu.int/en/ITU-T/Workshops-and-Seminars/gsw/201910/Pages/default.aspx" TargetMode="External"/><Relationship Id="rId115" Type="http://schemas.openxmlformats.org/officeDocument/2006/relationships/hyperlink" Target="https://news.itu.int/itu-stanford-university-launch-new-partnership-supporting-pilots-digital-fiat-currency/" TargetMode="External"/><Relationship Id="rId131" Type="http://schemas.openxmlformats.org/officeDocument/2006/relationships/hyperlink" Target="https://news.itu.int/itu-celebrates-world-telecommunication-and-information-society-day/" TargetMode="External"/><Relationship Id="rId136" Type="http://schemas.openxmlformats.org/officeDocument/2006/relationships/hyperlink" Target="https://www.itu.int/en/ITU-T/academia/kaleidoscope/2019/Pages/default.aspx" TargetMode="External"/><Relationship Id="rId157" Type="http://schemas.openxmlformats.org/officeDocument/2006/relationships/hyperlink" Target="http://www.itu.int/net/itu-t/sigdb/menu.htm" TargetMode="External"/><Relationship Id="rId178" Type="http://schemas.openxmlformats.org/officeDocument/2006/relationships/hyperlink" Target="https://extranet.itu.int/sites/itu-t/focusgroups/ML5G/" TargetMode="External"/><Relationship Id="rId61" Type="http://schemas.openxmlformats.org/officeDocument/2006/relationships/hyperlink" Target="https://www.itu.int/en/ITU-T/studygroups/2017-2020/11/Pages/exec-sum-201903.aspx" TargetMode="External"/><Relationship Id="rId82" Type="http://schemas.openxmlformats.org/officeDocument/2006/relationships/hyperlink" Target="https://www.itu.int/en/ITU-T/focusgroups/dpm/Pages/default.aspx" TargetMode="External"/><Relationship Id="rId152" Type="http://schemas.openxmlformats.org/officeDocument/2006/relationships/hyperlink" Target="http://www.itu.int/itu-t/recommendations" TargetMode="External"/><Relationship Id="rId173" Type="http://schemas.openxmlformats.org/officeDocument/2006/relationships/hyperlink" Target="https://extranet.itu.int/sites/itu-t/initiatives/U4SSC/" TargetMode="External"/><Relationship Id="rId194" Type="http://schemas.openxmlformats.org/officeDocument/2006/relationships/hyperlink" Target="https://www.itu.int/en/ITU-T/Workshops-and-Seminars/20190607/Pages/default.aspx" TargetMode="External"/><Relationship Id="rId199" Type="http://schemas.openxmlformats.org/officeDocument/2006/relationships/hyperlink" Target="https://www.itu.int/en/ITU-T/studygroups/2017-2020/05/Pages/event-20190520.aspx" TargetMode="External"/><Relationship Id="rId203" Type="http://schemas.openxmlformats.org/officeDocument/2006/relationships/hyperlink" Target="https://www.itu.int/net4/wsis/forum/2019/Agenda/ViewSession/277" TargetMode="External"/><Relationship Id="rId208" Type="http://schemas.openxmlformats.org/officeDocument/2006/relationships/hyperlink" Target="https://www.itu.int/en/ITU-T/Workshops-and-Seminars/20190121/Pages/default.aspx" TargetMode="External"/><Relationship Id="rId229" Type="http://schemas.openxmlformats.org/officeDocument/2006/relationships/hyperlink" Target="https://www.itu.int/en/ITU-T/Workshops-and-Seminars/bsg/20181217/Pages/default.aspx" TargetMode="External"/><Relationship Id="rId19" Type="http://schemas.openxmlformats.org/officeDocument/2006/relationships/hyperlink" Target="https://www.itu.int/en/ITU-T/extcoop/figisymposium/Pages/default.aspx" TargetMode="External"/><Relationship Id="rId224" Type="http://schemas.openxmlformats.org/officeDocument/2006/relationships/hyperlink" Target="https://www.itu.int/en/ITU-T/Workshops-and-Seminars/201901/Pages/default.aspx" TargetMode="External"/><Relationship Id="rId240" Type="http://schemas.openxmlformats.org/officeDocument/2006/relationships/hyperlink" Target="https://www.itu.int/en/ITU-T/Workshops-and-Seminars/20181008/Pages/default.aspx" TargetMode="External"/><Relationship Id="rId245" Type="http://schemas.openxmlformats.org/officeDocument/2006/relationships/hyperlink" Target="http://www.itu.int/pub/T-RES" TargetMode="External"/><Relationship Id="rId261" Type="http://schemas.openxmlformats.org/officeDocument/2006/relationships/footer" Target="footer3.xml"/><Relationship Id="rId14" Type="http://schemas.openxmlformats.org/officeDocument/2006/relationships/hyperlink" Target="https://itu.int/go/safelistening/toolkit" TargetMode="External"/><Relationship Id="rId30" Type="http://schemas.openxmlformats.org/officeDocument/2006/relationships/hyperlink" Target="https://www.itu.int/en/ITU-T/studygroups/2017-2020/09/Documents/Executive-summary-2017-05-Hangzhou.pdf" TargetMode="External"/><Relationship Id="rId35" Type="http://schemas.openxmlformats.org/officeDocument/2006/relationships/hyperlink" Target="https://www.itu.int/en/ITU-T/studygroups/2017-2020/15/Pages/exec-sum.aspx" TargetMode="External"/><Relationship Id="rId56" Type="http://schemas.openxmlformats.org/officeDocument/2006/relationships/hyperlink" Target="https://news.itu.int/why-quantum-specialists-join-itu/" TargetMode="External"/><Relationship Id="rId77" Type="http://schemas.openxmlformats.org/officeDocument/2006/relationships/hyperlink" Target="http://www.itu.int/en/ITU-T/ipr/Pages/adhoc.aspx" TargetMode="External"/><Relationship Id="rId100" Type="http://schemas.openxmlformats.org/officeDocument/2006/relationships/hyperlink" Target="http://www.itu.int/en/ITU-T/gsc/Pages/meetings.aspx" TargetMode="External"/><Relationship Id="rId105" Type="http://schemas.openxmlformats.org/officeDocument/2006/relationships/hyperlink" Target="https://news.itu.int/introducing-ai-commons/" TargetMode="External"/><Relationship Id="rId126" Type="http://schemas.openxmlformats.org/officeDocument/2006/relationships/hyperlink" Target="https://www.itu.int/en/ITU-T/Workshops-and-Seminars/bsg/20181217/Pages/default.aspx" TargetMode="External"/><Relationship Id="rId147" Type="http://schemas.openxmlformats.org/officeDocument/2006/relationships/hyperlink" Target="https://news.itu.int/category/standards/" TargetMode="External"/><Relationship Id="rId168" Type="http://schemas.openxmlformats.org/officeDocument/2006/relationships/hyperlink" Target="http://www.itu.int/pub/T-SP-OB" TargetMode="External"/><Relationship Id="rId8" Type="http://schemas.openxmlformats.org/officeDocument/2006/relationships/webSettings" Target="webSettings.xml"/><Relationship Id="rId51" Type="http://schemas.openxmlformats.org/officeDocument/2006/relationships/hyperlink" Target="https://news.itu.int/new-report-next-generation-authentication/" TargetMode="External"/><Relationship Id="rId72" Type="http://schemas.openxmlformats.org/officeDocument/2006/relationships/hyperlink" Target="http://www.itu.int/pub/T-TUT-IPTV-2015-H721" TargetMode="External"/><Relationship Id="rId93" Type="http://schemas.openxmlformats.org/officeDocument/2006/relationships/hyperlink" Target="https://www.itu.int/en/ITU-T/focusgroups/vm/Pages/default.aspx" TargetMode="External"/><Relationship Id="rId98" Type="http://schemas.openxmlformats.org/officeDocument/2006/relationships/hyperlink" Target="https://www.itu.int/en/ITU-D/Regional-Presence/Europe/Pages/Events/2018/FCTV/The-Future-of-Cable-TV.aspx" TargetMode="External"/><Relationship Id="rId121" Type="http://schemas.openxmlformats.org/officeDocument/2006/relationships/hyperlink" Target="https://www.itu.int/en/ITU-T/Workshops-and-Seminars/20190123/Pages/default.aspx" TargetMode="External"/><Relationship Id="rId142" Type="http://schemas.openxmlformats.org/officeDocument/2006/relationships/hyperlink" Target="https://www.itu.int/en/journal/2020/001/Pages/default.aspx" TargetMode="External"/><Relationship Id="rId163" Type="http://schemas.openxmlformats.org/officeDocument/2006/relationships/hyperlink" Target="http://tsbtech.itu.int/" TargetMode="External"/><Relationship Id="rId184" Type="http://schemas.openxmlformats.org/officeDocument/2006/relationships/image" Target="media/image4.png"/><Relationship Id="rId189" Type="http://schemas.openxmlformats.org/officeDocument/2006/relationships/hyperlink" Target="https://www.itu.int/en/ITU-T/Workshops-and-Seminars/201908/Pages/default.aspx" TargetMode="External"/><Relationship Id="rId219" Type="http://schemas.openxmlformats.org/officeDocument/2006/relationships/hyperlink" Target="https://www.itu.int/en/ITU-T/Workshops-and-Seminars/2019060507/Pages/default.aspx" TargetMode="External"/><Relationship Id="rId3" Type="http://schemas.openxmlformats.org/officeDocument/2006/relationships/customXml" Target="../customXml/item3.xml"/><Relationship Id="rId214" Type="http://schemas.openxmlformats.org/officeDocument/2006/relationships/hyperlink" Target="https://www.itu.int/en/ITU-T/climatechange/Pages/1st-Digital-African-Week.aspx" TargetMode="External"/><Relationship Id="rId230" Type="http://schemas.openxmlformats.org/officeDocument/2006/relationships/hyperlink" Target="https://www.itu.int/en/ITU-T/Workshops-and-Seminars/2018120204/Pages/default.aspx" TargetMode="External"/><Relationship Id="rId235" Type="http://schemas.openxmlformats.org/officeDocument/2006/relationships/hyperlink" Target="https://www.itu.int/en/ITU-T/focusgroups/dlt/Pages/default.aspx" TargetMode="External"/><Relationship Id="rId251" Type="http://schemas.openxmlformats.org/officeDocument/2006/relationships/hyperlink" Target="https://www.itu.int/md/meetingdoc.asp?lang=en&amp;parent=T17-SG13-190304-TD-PLEN-0170" TargetMode="External"/><Relationship Id="rId256" Type="http://schemas.openxmlformats.org/officeDocument/2006/relationships/header" Target="header1.xml"/><Relationship Id="rId25" Type="http://schemas.openxmlformats.org/officeDocument/2006/relationships/hyperlink" Target="http://tsbtech.itu.int/" TargetMode="External"/><Relationship Id="rId46" Type="http://schemas.openxmlformats.org/officeDocument/2006/relationships/hyperlink" Target="https://news.itu.int/first-multi-vendor-interoperable-100g-coherent-line-interfaces/" TargetMode="External"/><Relationship Id="rId67" Type="http://schemas.openxmlformats.org/officeDocument/2006/relationships/hyperlink" Target="https://www.itu.int/en/ITU-T/focusgroups/vm/Pages/default.aspx" TargetMode="External"/><Relationship Id="rId116" Type="http://schemas.openxmlformats.org/officeDocument/2006/relationships/hyperlink" Target="https://aiforgood.itu.int/programme/day-2/" TargetMode="External"/><Relationship Id="rId137" Type="http://schemas.openxmlformats.org/officeDocument/2006/relationships/hyperlink" Target="https://www.thelancet.com/journals/landig/home" TargetMode="External"/><Relationship Id="rId158" Type="http://schemas.openxmlformats.org/officeDocument/2006/relationships/hyperlink" Target="http://www.itu.int/ITU-R/go/terminology-database" TargetMode="External"/><Relationship Id="rId20" Type="http://schemas.openxmlformats.org/officeDocument/2006/relationships/hyperlink" Target="https://www.itu.int/en/ITU-T/academia/kaleidoscope/2018/Pages/default.aspx" TargetMode="External"/><Relationship Id="rId41" Type="http://schemas.openxmlformats.org/officeDocument/2006/relationships/hyperlink" Target="https://www.itu.int/en/ITU-T/studygroups/2017-2020/20/Pages/exec-sum-april19.aspx" TargetMode="External"/><Relationship Id="rId62" Type="http://schemas.openxmlformats.org/officeDocument/2006/relationships/hyperlink" Target="https://www.itu.int/en/ITU-T/focusgroups/dpm/Pages/default.aspx" TargetMode="External"/><Relationship Id="rId83" Type="http://schemas.openxmlformats.org/officeDocument/2006/relationships/hyperlink" Target="https://www.itu.int/en/ITU-T/focusgroups/dfc/Pages/default.aspx" TargetMode="External"/><Relationship Id="rId88" Type="http://schemas.openxmlformats.org/officeDocument/2006/relationships/hyperlink" Target="https://news.itu.int/new-itu-standard-machine-learning-5g-networks/" TargetMode="External"/><Relationship Id="rId111" Type="http://schemas.openxmlformats.org/officeDocument/2006/relationships/hyperlink" Target="http://www.itu.int/en/ITU-T/ssc/united/Pages/default.aspx" TargetMode="External"/><Relationship Id="rId132" Type="http://schemas.openxmlformats.org/officeDocument/2006/relationships/chart" Target="charts/chart1.xml"/><Relationship Id="rId153" Type="http://schemas.openxmlformats.org/officeDocument/2006/relationships/hyperlink" Target="http://www.itu.int/net/itu-t/ls/" TargetMode="External"/><Relationship Id="rId174" Type="http://schemas.openxmlformats.org/officeDocument/2006/relationships/hyperlink" Target="https://extranet.itu.int/sites/itu-t/initiatives/sitwg/" TargetMode="External"/><Relationship Id="rId179" Type="http://schemas.openxmlformats.org/officeDocument/2006/relationships/hyperlink" Target="https://extranet.itu.int/sites/itu-t/focusgroups/net-2030/" TargetMode="External"/><Relationship Id="rId195" Type="http://schemas.openxmlformats.org/officeDocument/2006/relationships/hyperlink" Target="https://aiforgood.itu.int/programme/day-2/" TargetMode="External"/><Relationship Id="rId209" Type="http://schemas.openxmlformats.org/officeDocument/2006/relationships/hyperlink" Target="https://www.itu.int/en/ITU-T/Workshops-and-Seminars/qos/201811/Pages/default.aspx" TargetMode="External"/><Relationship Id="rId190" Type="http://schemas.openxmlformats.org/officeDocument/2006/relationships/hyperlink" Target="https://www.itu.int/en/ITU-T/Workshops-and-Seminars/20190719/Pages/default.aspx" TargetMode="External"/><Relationship Id="rId204" Type="http://schemas.openxmlformats.org/officeDocument/2006/relationships/hyperlink" Target="https://itu.int/en/ITU-D/Regional-Presence/Europe/Pages/Events/2019/eServices/enhancing-human-life-using-e-services.aspx" TargetMode="External"/><Relationship Id="rId220" Type="http://schemas.openxmlformats.org/officeDocument/2006/relationships/hyperlink" Target="https://www.itu.int/en/ITU-T/studygroups/2017-2020/09/Wuhan-WSP/Pages/default.aspx" TargetMode="External"/><Relationship Id="rId225" Type="http://schemas.openxmlformats.org/officeDocument/2006/relationships/hyperlink" Target="https://www.itu.int/en/ITU-T/Workshops-and-Seminars/20181218/Pages/default.aspx" TargetMode="External"/><Relationship Id="rId241" Type="http://schemas.openxmlformats.org/officeDocument/2006/relationships/hyperlink" Target="https://www.itu.int/en/ITU-T/Workshops-and-Seminars/201810/Pages/default.aspx" TargetMode="External"/><Relationship Id="rId246" Type="http://schemas.openxmlformats.org/officeDocument/2006/relationships/hyperlink" Target="https://www.itu.int/md/T17-TSAG-181210-TD-GEN-0292" TargetMode="External"/><Relationship Id="rId15" Type="http://schemas.openxmlformats.org/officeDocument/2006/relationships/hyperlink" Target="https://www.itu.int/en/ITU-T/gap/Documents/nss-rep-may.pdf" TargetMode="External"/><Relationship Id="rId36" Type="http://schemas.openxmlformats.org/officeDocument/2006/relationships/hyperlink" Target="https://www.itu.int/en/ITU-T/studygroups/2017-2020/15/Pages/exec-sum-201810.aspx" TargetMode="External"/><Relationship Id="rId57" Type="http://schemas.openxmlformats.org/officeDocument/2006/relationships/hyperlink" Target="https://news.itu.int/how-can-quantum-technologies-make-networking-more-secure-itu-workshop-in-shanghai/" TargetMode="External"/><Relationship Id="rId106" Type="http://schemas.openxmlformats.org/officeDocument/2006/relationships/hyperlink" Target="http://www.itu.int/en/ITU-T/extcoop/cits/Pages/default.aspx" TargetMode="External"/><Relationship Id="rId127" Type="http://schemas.openxmlformats.org/officeDocument/2006/relationships/hyperlink" Target="https://www.itu.int/en/ITU-T/gap/Documents/nss-rep-may.pdf" TargetMode="External"/><Relationship Id="rId262"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T/studygroups/2017-2020/11/Pages/exec-sum-201903.aspx" TargetMode="External"/><Relationship Id="rId52" Type="http://schemas.openxmlformats.org/officeDocument/2006/relationships/hyperlink" Target="https://news.itu.int/celebrating-power-music-and-safe-listening-itu-who/" TargetMode="External"/><Relationship Id="rId73" Type="http://schemas.openxmlformats.org/officeDocument/2006/relationships/hyperlink" Target="http://www.itu.int/pub/T-TUT-IPTV-2017-H702" TargetMode="External"/><Relationship Id="rId78" Type="http://schemas.openxmlformats.org/officeDocument/2006/relationships/hyperlink" Target="http://www.itu.int/en/ITU-T/ipr/Pages/revpatent.aspx" TargetMode="External"/><Relationship Id="rId94" Type="http://schemas.openxmlformats.org/officeDocument/2006/relationships/hyperlink" Target="https://www.itu.int/en/ITU-T/focusgroups/ai4ee/Pages/default.aspx" TargetMode="External"/><Relationship Id="rId99" Type="http://schemas.openxmlformats.org/officeDocument/2006/relationships/hyperlink" Target="https://www.itu.int/en/ITU-T/gsc/22/Pages/default.aspx" TargetMode="External"/><Relationship Id="rId101" Type="http://schemas.openxmlformats.org/officeDocument/2006/relationships/hyperlink" Target="http://www.itu.int/en/ITU-T/gsc/Pages/default.aspx" TargetMode="External"/><Relationship Id="rId122" Type="http://schemas.openxmlformats.org/officeDocument/2006/relationships/hyperlink" Target="https://www.itu.int/en/ITU-T/Workshops-and-Seminars/ai4h/20190122/Pages/default.aspx" TargetMode="External"/><Relationship Id="rId143" Type="http://schemas.openxmlformats.org/officeDocument/2006/relationships/hyperlink" Target="https://news.itu.int/itu-journal-future-video-immersive-media/" TargetMode="External"/><Relationship Id="rId148" Type="http://schemas.openxmlformats.org/officeDocument/2006/relationships/hyperlink" Target="http://www.itu.int/ITU-T/workprog" TargetMode="External"/><Relationship Id="rId164" Type="http://schemas.openxmlformats.org/officeDocument/2006/relationships/hyperlink" Target="http://itu.int/go/itu-t/rgm" TargetMode="External"/><Relationship Id="rId169" Type="http://schemas.openxmlformats.org/officeDocument/2006/relationships/hyperlink" Target="https://www.itu.int/md/S17-CL-C-0133/en" TargetMode="External"/><Relationship Id="rId185" Type="http://schemas.openxmlformats.org/officeDocument/2006/relationships/image" Target="cid:image001.png@01D542EB.CA05E77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ai4h/" TargetMode="External"/><Relationship Id="rId210" Type="http://schemas.openxmlformats.org/officeDocument/2006/relationships/hyperlink" Target="https://www.itu.int/en/ITU-T/focusgroups/dlt/Documents/20190401-workshop-agenda.pdf" TargetMode="External"/><Relationship Id="rId215" Type="http://schemas.openxmlformats.org/officeDocument/2006/relationships/hyperlink" Target="https://www.itu.int/en/ITU-T/Workshops-and-Seminars/qos/201903/Pages/default.aspx" TargetMode="External"/><Relationship Id="rId236" Type="http://schemas.openxmlformats.org/officeDocument/2006/relationships/hyperlink" Target="https://www.worldsmartcity.org/" TargetMode="External"/><Relationship Id="rId257" Type="http://schemas.openxmlformats.org/officeDocument/2006/relationships/header" Target="header2.xml"/><Relationship Id="rId26" Type="http://schemas.openxmlformats.org/officeDocument/2006/relationships/hyperlink" Target="https://www.itu.int/en/ITU-T/studygroups/Pages/default.aspx" TargetMode="External"/><Relationship Id="rId231" Type="http://schemas.openxmlformats.org/officeDocument/2006/relationships/hyperlink" Target="https://www.itu.int/en/ITU-T/climatechange/Pages/20190709.aspx" TargetMode="External"/><Relationship Id="rId252" Type="http://schemas.openxmlformats.org/officeDocument/2006/relationships/hyperlink" Target="https://www.oasis-open.org/committees/tc_home.php?wg_abbrev=cti" TargetMode="External"/><Relationship Id="rId47" Type="http://schemas.openxmlformats.org/officeDocument/2006/relationships/hyperlink" Target="https://news.itu.int/new-standards-broadband-mount-everest/" TargetMode="External"/><Relationship Id="rId68" Type="http://schemas.openxmlformats.org/officeDocument/2006/relationships/hyperlink" Target="https://www.itu.int/en/ITU-T/focusgroups/net2030/Pages/default.aspx" TargetMode="External"/><Relationship Id="rId89" Type="http://schemas.openxmlformats.org/officeDocument/2006/relationships/hyperlink" Target="https://www.itu.int/en/ITU-T/focusgroups/net2030/Pages/default.aspx" TargetMode="External"/><Relationship Id="rId112" Type="http://schemas.openxmlformats.org/officeDocument/2006/relationships/hyperlink" Target="https://news.itu.int/new-itu-standards-to-overcome-the-security-limitations-of-passwords/" TargetMode="External"/><Relationship Id="rId133" Type="http://schemas.openxmlformats.org/officeDocument/2006/relationships/hyperlink" Target="https://www.itu.int/en/ITU-T/academia/kaleidoscope/2018/Pages/default.aspx" TargetMode="External"/><Relationship Id="rId154" Type="http://schemas.openxmlformats.org/officeDocument/2006/relationships/hyperlink" Target="http://www.itu.int/ipr/" TargetMode="External"/><Relationship Id="rId175" Type="http://schemas.openxmlformats.org/officeDocument/2006/relationships/hyperlink" Target="https://extranet.itu.int/sites/itu-t/focusgroups/dpm/" TargetMode="External"/><Relationship Id="rId196" Type="http://schemas.openxmlformats.org/officeDocument/2006/relationships/hyperlink" Target="https://aiforgood.itu.int/" TargetMode="External"/><Relationship Id="rId200" Type="http://schemas.openxmlformats.org/officeDocument/2006/relationships/hyperlink" Target="https://www.itu.int/net4/wsis/forum/2019/Agenda/ViewSession/254" TargetMode="External"/><Relationship Id="rId16" Type="http://schemas.openxmlformats.org/officeDocument/2006/relationships/hyperlink" Target="https://www.itu.int/en/ITU-T/gap/Pages/default.aspx" TargetMode="External"/><Relationship Id="rId221" Type="http://schemas.openxmlformats.org/officeDocument/2006/relationships/hyperlink" Target="https://www.itu.int/en/ITU-T/Workshops-and-Seminars/20190402/Pages/default.aspx" TargetMode="External"/><Relationship Id="rId242" Type="http://schemas.openxmlformats.org/officeDocument/2006/relationships/hyperlink" Target="https://www.itu.int/en/ITU-T/Workshops-and-Seminars/201905/Pages/default.aspx" TargetMode="External"/><Relationship Id="rId263" Type="http://schemas.openxmlformats.org/officeDocument/2006/relationships/glossaryDocument" Target="glossary/document.xml"/><Relationship Id="rId37" Type="http://schemas.openxmlformats.org/officeDocument/2006/relationships/hyperlink" Target="https://www.itu.int/en/ITU-T/studygroups/2017-2020/16/Pages/results-1906.aspx" TargetMode="External"/><Relationship Id="rId58" Type="http://schemas.openxmlformats.org/officeDocument/2006/relationships/hyperlink" Target="https://news.itu.int/ctos-china-japan-korea-highlight-standardization-priorities/" TargetMode="External"/><Relationship Id="rId79" Type="http://schemas.openxmlformats.org/officeDocument/2006/relationships/hyperlink" Target="http://www.itu.int/en/ITU-T/publications/Pages/recs.aspx" TargetMode="External"/><Relationship Id="rId102" Type="http://schemas.openxmlformats.org/officeDocument/2006/relationships/hyperlink" Target="https://www.itu.int/en/ITU-T/extcoop/Documents/mou/ARSO-ITU.pdf" TargetMode="External"/><Relationship Id="rId123" Type="http://schemas.openxmlformats.org/officeDocument/2006/relationships/hyperlink" Target="https://www.worldsmartcity.org/" TargetMode="External"/><Relationship Id="rId144" Type="http://schemas.openxmlformats.org/officeDocument/2006/relationships/image" Target="media/image3.gif"/><Relationship Id="rId90" Type="http://schemas.openxmlformats.org/officeDocument/2006/relationships/hyperlink" Target="https://www.itu.int/en/ITU-T/focusgroups/net2030/Documents/White_Paper.pdf" TargetMode="External"/><Relationship Id="rId165" Type="http://schemas.openxmlformats.org/officeDocument/2006/relationships/hyperlink" Target="http://itu.int/go/itu-t/rgm-support" TargetMode="External"/><Relationship Id="rId186" Type="http://schemas.openxmlformats.org/officeDocument/2006/relationships/hyperlink" Target="https://www.itu.int/md/S17-CL-C-0127/en" TargetMode="External"/><Relationship Id="rId211" Type="http://schemas.openxmlformats.org/officeDocument/2006/relationships/hyperlink" Target="https://www.itu.int/en/ITU-T/Workshops-and-Seminars/20190218/Pages/default.aspx" TargetMode="External"/><Relationship Id="rId232" Type="http://schemas.openxmlformats.org/officeDocument/2006/relationships/hyperlink" Target="https://www.itu.int/en/ITU-T/Workshops-and-Seminars/20190412/Pages/default.aspx" TargetMode="External"/><Relationship Id="rId253" Type="http://schemas.openxmlformats.org/officeDocument/2006/relationships/hyperlink" Target="https://itu.int/en/ITU-T" TargetMode="External"/><Relationship Id="rId27" Type="http://schemas.openxmlformats.org/officeDocument/2006/relationships/hyperlink" Target="https://www.itu.int/md/meetingdoc.asp?lang=en&amp;parent=T17-SG02-R-0012" TargetMode="External"/><Relationship Id="rId48" Type="http://schemas.openxmlformats.org/officeDocument/2006/relationships/hyperlink" Target="https://www.itu.int/en/mediacentre/Pages/2018-PR34.aspx" TargetMode="External"/><Relationship Id="rId69" Type="http://schemas.openxmlformats.org/officeDocument/2006/relationships/hyperlink" Target="https://www.itu.int/en/ITU-T/focusgroups/ai4ee/Pages/default.aspx" TargetMode="External"/><Relationship Id="rId113" Type="http://schemas.openxmlformats.org/officeDocument/2006/relationships/hyperlink" Target="https://news.itu.int/itu-ngmn-promoting-level-playing-field-5g-intellectual-property/" TargetMode="External"/><Relationship Id="rId134" Type="http://schemas.openxmlformats.org/officeDocument/2006/relationships/hyperlink" Target="https://news.itu.int/1st-prize-at-kaleidoscope-2018/" TargetMode="External"/><Relationship Id="rId80" Type="http://schemas.openxmlformats.org/officeDocument/2006/relationships/hyperlink" Target="https://itu.int/en/ITU-T/ipr/Pages/adhoc.aspx" TargetMode="External"/><Relationship Id="rId155" Type="http://schemas.openxmlformats.org/officeDocument/2006/relationships/hyperlink" Target="http://www.itu.int/net/itu-t/cdb/ConformityDB.aspx" TargetMode="External"/><Relationship Id="rId176" Type="http://schemas.openxmlformats.org/officeDocument/2006/relationships/hyperlink" Target="https://extranet.itu.int/sites/itu-t/focusgroups/dfc/" TargetMode="External"/><Relationship Id="rId197" Type="http://schemas.openxmlformats.org/officeDocument/2006/relationships/hyperlink" Target="https://www.itu.int/en/ITU-T/climatechange/symposia/201905/Pages/default.aspx" TargetMode="External"/><Relationship Id="rId201" Type="http://schemas.openxmlformats.org/officeDocument/2006/relationships/hyperlink" Target="https://www.itu.int/net4/wsis/forum/2019/Agenda/ViewSession/240" TargetMode="External"/><Relationship Id="rId222" Type="http://schemas.openxmlformats.org/officeDocument/2006/relationships/hyperlink" Target="https://www.itu.int/en/ITU-T/Workshops-and-Seminars/201903/Pages/default.aspx" TargetMode="External"/><Relationship Id="rId243" Type="http://schemas.openxmlformats.org/officeDocument/2006/relationships/hyperlink" Target="https://www.itu.int/en/ITU-D/Regional-Presence/CIS/Pages/EVENTS/2019/02_Minsk/02_Minsk.aspx" TargetMode="External"/><Relationship Id="rId264" Type="http://schemas.openxmlformats.org/officeDocument/2006/relationships/theme" Target="theme/theme1.xml"/><Relationship Id="rId17" Type="http://schemas.openxmlformats.org/officeDocument/2006/relationships/hyperlink" Target="https://news.itu.int/itu-celebrates-world-telecommunication-and-information-society-day/" TargetMode="External"/><Relationship Id="rId38" Type="http://schemas.openxmlformats.org/officeDocument/2006/relationships/hyperlink" Target="https://www.itu.int/en/ITU-T/studygroups/2017-2020/16/Pages/results-1903.aspx" TargetMode="External"/><Relationship Id="rId59" Type="http://schemas.openxmlformats.org/officeDocument/2006/relationships/hyperlink" Target="https://news.itu.int/itu-stanford-university-launch-new-partnership-supporting-pilots-digital-fiat-currency/" TargetMode="External"/><Relationship Id="rId103" Type="http://schemas.openxmlformats.org/officeDocument/2006/relationships/hyperlink" Target="http://www.itu.int/en/ITU-T/tsbdir/cto/Pages/default.aspx" TargetMode="External"/><Relationship Id="rId124" Type="http://schemas.openxmlformats.org/officeDocument/2006/relationships/hyperlink" Target="https://www.itu.int/en/ITU-T/Workshops-and-Seminars/20181008/Pages/default.aspx" TargetMode="External"/><Relationship Id="rId70" Type="http://schemas.openxmlformats.org/officeDocument/2006/relationships/hyperlink" Target="https://www.itu.int/en/ITU-T/studygroups/2013-2016/11/Pages/CASC.aspx" TargetMode="External"/><Relationship Id="rId91" Type="http://schemas.openxmlformats.org/officeDocument/2006/relationships/hyperlink" Target="https://www.itu.int/en/ITU-T/focusgroups/ai4h" TargetMode="External"/><Relationship Id="rId145" Type="http://schemas.openxmlformats.org/officeDocument/2006/relationships/image" Target="cid:image003.png@01D56254.1E0D9840" TargetMode="External"/><Relationship Id="rId166" Type="http://schemas.openxmlformats.org/officeDocument/2006/relationships/hyperlink" Target="http://itu.int/go/itu-t/rgm-guide" TargetMode="External"/><Relationship Id="rId187" Type="http://schemas.openxmlformats.org/officeDocument/2006/relationships/hyperlink" Target="https://www.itu.int/en/ITU-T/studygroups/2017-2020/17/Pages/mini-workshop_I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xmlns:c16r2="http://schemas.microsoft.com/office/drawing/2015/06/chart">
            <c:ext xmlns:c16="http://schemas.microsoft.com/office/drawing/2014/chart" uri="{C3380CC4-5D6E-409C-BE32-E72D297353CC}">
              <c16:uniqueId val="{00000000-2098-4934-A68F-EFD4218E3C6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xmlns:c16r2="http://schemas.microsoft.com/office/drawing/2015/06/chart">
            <c:ext xmlns:c16="http://schemas.microsoft.com/office/drawing/2014/chart" uri="{C3380CC4-5D6E-409C-BE32-E72D297353CC}">
              <c16:uniqueId val="{00000001-2098-4934-A68F-EFD4218E3C6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xmlns:c16r2="http://schemas.microsoft.com/office/drawing/2015/06/chart">
            <c:ext xmlns:c16="http://schemas.microsoft.com/office/drawing/2014/chart" uri="{C3380CC4-5D6E-409C-BE32-E72D297353CC}">
              <c16:uniqueId val="{00000002-2098-4934-A68F-EFD4218E3C6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xmlns:c16r2="http://schemas.microsoft.com/office/drawing/2015/06/chart">
            <c:ext xmlns:c16="http://schemas.microsoft.com/office/drawing/2014/chart" uri="{C3380CC4-5D6E-409C-BE32-E72D297353CC}">
              <c16:uniqueId val="{00000003-2098-4934-A68F-EFD4218E3C65}"/>
            </c:ext>
          </c:extLst>
        </c:ser>
        <c:dLbls>
          <c:showLegendKey val="0"/>
          <c:showVal val="0"/>
          <c:showCatName val="0"/>
          <c:showSerName val="0"/>
          <c:showPercent val="0"/>
          <c:showBubbleSize val="0"/>
        </c:dLbls>
        <c:smooth val="0"/>
        <c:axId val="453655984"/>
        <c:axId val="453655200"/>
      </c:lineChart>
      <c:catAx>
        <c:axId val="45365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55200"/>
        <c:crosses val="autoZero"/>
        <c:auto val="1"/>
        <c:lblAlgn val="ctr"/>
        <c:lblOffset val="100"/>
        <c:noMultiLvlLbl val="0"/>
      </c:catAx>
      <c:valAx>
        <c:axId val="45365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55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45D53"/>
    <w:rsid w:val="00051733"/>
    <w:rsid w:val="00056E2E"/>
    <w:rsid w:val="00062358"/>
    <w:rsid w:val="000640F4"/>
    <w:rsid w:val="000A187B"/>
    <w:rsid w:val="000A6E0C"/>
    <w:rsid w:val="000F3FCC"/>
    <w:rsid w:val="001304C5"/>
    <w:rsid w:val="0017462A"/>
    <w:rsid w:val="00181927"/>
    <w:rsid w:val="001B199D"/>
    <w:rsid w:val="001B6FB2"/>
    <w:rsid w:val="001F7D9E"/>
    <w:rsid w:val="00220DB0"/>
    <w:rsid w:val="00242F72"/>
    <w:rsid w:val="0026026B"/>
    <w:rsid w:val="00266154"/>
    <w:rsid w:val="00291D2B"/>
    <w:rsid w:val="00295839"/>
    <w:rsid w:val="002C18D7"/>
    <w:rsid w:val="0030662F"/>
    <w:rsid w:val="00306BFB"/>
    <w:rsid w:val="00323BA2"/>
    <w:rsid w:val="003339F1"/>
    <w:rsid w:val="003515D3"/>
    <w:rsid w:val="00357BB5"/>
    <w:rsid w:val="0036158A"/>
    <w:rsid w:val="00364AFC"/>
    <w:rsid w:val="0037233E"/>
    <w:rsid w:val="003851EE"/>
    <w:rsid w:val="00394A2A"/>
    <w:rsid w:val="003B5A8D"/>
    <w:rsid w:val="00460C35"/>
    <w:rsid w:val="004777DC"/>
    <w:rsid w:val="004A38FD"/>
    <w:rsid w:val="004C2B5B"/>
    <w:rsid w:val="0054647D"/>
    <w:rsid w:val="005A41FA"/>
    <w:rsid w:val="005C399A"/>
    <w:rsid w:val="005C61BF"/>
    <w:rsid w:val="00600DF0"/>
    <w:rsid w:val="0060489C"/>
    <w:rsid w:val="006277CD"/>
    <w:rsid w:val="00633D42"/>
    <w:rsid w:val="00634F0D"/>
    <w:rsid w:val="00655FEF"/>
    <w:rsid w:val="0067214C"/>
    <w:rsid w:val="006843FB"/>
    <w:rsid w:val="00687AC0"/>
    <w:rsid w:val="0069691A"/>
    <w:rsid w:val="006A36B7"/>
    <w:rsid w:val="006A557C"/>
    <w:rsid w:val="006B44EE"/>
    <w:rsid w:val="006D7720"/>
    <w:rsid w:val="00713821"/>
    <w:rsid w:val="007227CA"/>
    <w:rsid w:val="00733213"/>
    <w:rsid w:val="00751AEA"/>
    <w:rsid w:val="007525A2"/>
    <w:rsid w:val="00762E99"/>
    <w:rsid w:val="007B08DC"/>
    <w:rsid w:val="007B0FDA"/>
    <w:rsid w:val="007B456B"/>
    <w:rsid w:val="007C0258"/>
    <w:rsid w:val="007D6B89"/>
    <w:rsid w:val="007E4E44"/>
    <w:rsid w:val="007E5CEE"/>
    <w:rsid w:val="00810A93"/>
    <w:rsid w:val="00812B97"/>
    <w:rsid w:val="00813ED7"/>
    <w:rsid w:val="00816154"/>
    <w:rsid w:val="00825B45"/>
    <w:rsid w:val="00826442"/>
    <w:rsid w:val="00843B72"/>
    <w:rsid w:val="00866C70"/>
    <w:rsid w:val="00884AD4"/>
    <w:rsid w:val="0089158E"/>
    <w:rsid w:val="008A3ED4"/>
    <w:rsid w:val="008E0E6D"/>
    <w:rsid w:val="008F7972"/>
    <w:rsid w:val="0090252F"/>
    <w:rsid w:val="00903FED"/>
    <w:rsid w:val="00952CD2"/>
    <w:rsid w:val="0098527D"/>
    <w:rsid w:val="009937CD"/>
    <w:rsid w:val="009A0F9B"/>
    <w:rsid w:val="009A766A"/>
    <w:rsid w:val="009B2421"/>
    <w:rsid w:val="009C7968"/>
    <w:rsid w:val="009E31DF"/>
    <w:rsid w:val="009E7B31"/>
    <w:rsid w:val="009F1986"/>
    <w:rsid w:val="00A11C42"/>
    <w:rsid w:val="00A31A35"/>
    <w:rsid w:val="00A432EA"/>
    <w:rsid w:val="00A64101"/>
    <w:rsid w:val="00A80F1B"/>
    <w:rsid w:val="00A85CD5"/>
    <w:rsid w:val="00AA1B75"/>
    <w:rsid w:val="00AA44C5"/>
    <w:rsid w:val="00AB6B24"/>
    <w:rsid w:val="00AF1076"/>
    <w:rsid w:val="00AF3630"/>
    <w:rsid w:val="00B225C0"/>
    <w:rsid w:val="00B300E3"/>
    <w:rsid w:val="00B406C8"/>
    <w:rsid w:val="00B722E6"/>
    <w:rsid w:val="00B81036"/>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70686"/>
    <w:rsid w:val="00C94540"/>
    <w:rsid w:val="00CA401D"/>
    <w:rsid w:val="00CA45D1"/>
    <w:rsid w:val="00CA5487"/>
    <w:rsid w:val="00CB0DC8"/>
    <w:rsid w:val="00CB4B45"/>
    <w:rsid w:val="00CC047F"/>
    <w:rsid w:val="00CC169B"/>
    <w:rsid w:val="00CC3AFA"/>
    <w:rsid w:val="00CC3D76"/>
    <w:rsid w:val="00D001A3"/>
    <w:rsid w:val="00D0251D"/>
    <w:rsid w:val="00D03C0E"/>
    <w:rsid w:val="00D36D60"/>
    <w:rsid w:val="00D51374"/>
    <w:rsid w:val="00D51E54"/>
    <w:rsid w:val="00D60A7E"/>
    <w:rsid w:val="00D62C3D"/>
    <w:rsid w:val="00DA4B6E"/>
    <w:rsid w:val="00DA6F65"/>
    <w:rsid w:val="00DA73E5"/>
    <w:rsid w:val="00E333A7"/>
    <w:rsid w:val="00E76DF8"/>
    <w:rsid w:val="00E800E1"/>
    <w:rsid w:val="00E920BD"/>
    <w:rsid w:val="00EB05D1"/>
    <w:rsid w:val="00EB2B73"/>
    <w:rsid w:val="00ED44E3"/>
    <w:rsid w:val="00EE3336"/>
    <w:rsid w:val="00F20FD3"/>
    <w:rsid w:val="00F23C80"/>
    <w:rsid w:val="00F43C6E"/>
    <w:rsid w:val="00F50376"/>
    <w:rsid w:val="00F5450E"/>
    <w:rsid w:val="00F60BB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www.w3.org/XML/1998/namespace"/>
    <ds:schemaRef ds:uri="http://schemas.microsoft.com/office/2006/documentManagement/types"/>
    <ds:schemaRef ds:uri="http://purl.org/dc/dcmitype/"/>
    <ds:schemaRef ds:uri="0d1600e8-004f-4c6f-afe8-0c63f3945779"/>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8A614-4CEB-45C7-A93E-470D1BAE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20</TotalTime>
  <Pages>85</Pages>
  <Words>40279</Words>
  <Characters>267714</Characters>
  <Application>Microsoft Office Word</Application>
  <DocSecurity>0</DocSecurity>
  <Lines>2230</Lines>
  <Paragraphs>614</Paragraphs>
  <ScaleCrop>false</ScaleCrop>
  <HeadingPairs>
    <vt:vector size="2" baseType="variant">
      <vt:variant>
        <vt:lpstr>Title</vt:lpstr>
      </vt:variant>
      <vt:variant>
        <vt:i4>1</vt:i4>
      </vt:variant>
    </vt:vector>
  </HeadingPairs>
  <TitlesOfParts>
    <vt:vector size="1" baseType="lpstr">
      <vt:lpstr>Report of activities in ITU-T (from October 2018 to July 2019)</vt:lpstr>
    </vt:vector>
  </TitlesOfParts>
  <Manager>ITU-T</Manager>
  <Company>International Telecommunication Union (ITU)</Company>
  <LinksUpToDate>false</LinksUpToDate>
  <CharactersWithSpaces>307379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October 2018 to July 2019)</dc:title>
  <dc:subject/>
  <dc:creator>OTA, Hiroshi</dc:creator>
  <cp:keywords/>
  <dc:description/>
  <cp:lastModifiedBy>Al-Mnini, Lara</cp:lastModifiedBy>
  <cp:revision>11</cp:revision>
  <cp:lastPrinted>2019-09-11T12:52:00Z</cp:lastPrinted>
  <dcterms:created xsi:type="dcterms:W3CDTF">2019-09-13T12:15:00Z</dcterms:created>
  <dcterms:modified xsi:type="dcterms:W3CDTF">2019-09-13T13:34:00Z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