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6944F8" w:rsidRPr="00180522" w14:paraId="31E7B619" w14:textId="77777777" w:rsidTr="002E2A0B">
        <w:trPr>
          <w:cantSplit/>
        </w:trPr>
        <w:tc>
          <w:tcPr>
            <w:tcW w:w="1190" w:type="dxa"/>
            <w:vMerge w:val="restart"/>
          </w:tcPr>
          <w:p w14:paraId="5D5FDED9" w14:textId="77777777" w:rsidR="006944F8" w:rsidRPr="00180522" w:rsidRDefault="006944F8" w:rsidP="00071381">
            <w:pPr>
              <w:rPr>
                <w:rFonts w:eastAsiaTheme="minorEastAsia"/>
                <w:lang w:val="en-GB"/>
              </w:rPr>
            </w:pPr>
            <w:r w:rsidRPr="00180522">
              <w:rPr>
                <w:rFonts w:eastAsiaTheme="minorEastAsia"/>
                <w:noProof/>
                <w:lang w:val="en-GB"/>
              </w:rPr>
              <w:drawing>
                <wp:inline distT="0" distB="0" distL="0" distR="0" wp14:anchorId="6718666A" wp14:editId="2E1DE194">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41F51934" w14:textId="77777777" w:rsidR="006944F8" w:rsidRPr="00180522" w:rsidRDefault="006944F8" w:rsidP="00071381">
            <w:pPr>
              <w:rPr>
                <w:rFonts w:eastAsiaTheme="minorEastAsia"/>
                <w:sz w:val="16"/>
                <w:szCs w:val="12"/>
                <w:lang w:val="en-GB"/>
              </w:rPr>
            </w:pPr>
            <w:r w:rsidRPr="00180522">
              <w:rPr>
                <w:rFonts w:eastAsiaTheme="minorEastAsia"/>
                <w:sz w:val="16"/>
                <w:szCs w:val="12"/>
                <w:lang w:val="en-GB"/>
              </w:rPr>
              <w:t>INTERNATIONAL TELECOMMUNICATION UNION</w:t>
            </w:r>
          </w:p>
          <w:p w14:paraId="72D4A8B8" w14:textId="77777777" w:rsidR="006944F8" w:rsidRPr="00180522" w:rsidRDefault="006944F8" w:rsidP="00071381">
            <w:pPr>
              <w:rPr>
                <w:rFonts w:eastAsiaTheme="minorEastAsia"/>
                <w:b/>
                <w:bCs/>
                <w:sz w:val="26"/>
                <w:szCs w:val="22"/>
                <w:lang w:val="en-GB"/>
              </w:rPr>
            </w:pPr>
            <w:r w:rsidRPr="00180522">
              <w:rPr>
                <w:rFonts w:eastAsiaTheme="minorEastAsia"/>
                <w:b/>
                <w:bCs/>
                <w:sz w:val="26"/>
                <w:szCs w:val="22"/>
                <w:lang w:val="en-GB"/>
              </w:rPr>
              <w:t>TELECOMMUNICATION</w:t>
            </w:r>
            <w:r w:rsidRPr="00180522">
              <w:rPr>
                <w:rFonts w:eastAsiaTheme="minorEastAsia"/>
                <w:b/>
                <w:bCs/>
                <w:sz w:val="26"/>
                <w:szCs w:val="22"/>
                <w:lang w:val="en-GB"/>
              </w:rPr>
              <w:br/>
              <w:t>STANDARDIZATION SECTOR</w:t>
            </w:r>
          </w:p>
          <w:p w14:paraId="635989F6" w14:textId="77777777" w:rsidR="006944F8" w:rsidRPr="00180522" w:rsidRDefault="006944F8" w:rsidP="00071381">
            <w:pPr>
              <w:rPr>
                <w:rFonts w:eastAsiaTheme="minorEastAsia"/>
                <w:lang w:val="en-GB"/>
              </w:rPr>
            </w:pPr>
            <w:r w:rsidRPr="00180522">
              <w:rPr>
                <w:rFonts w:eastAsiaTheme="minorEastAsia"/>
                <w:sz w:val="20"/>
                <w:szCs w:val="16"/>
                <w:lang w:val="en-GB"/>
              </w:rPr>
              <w:t xml:space="preserve">STUDY PERIOD </w:t>
            </w:r>
            <w:bookmarkStart w:id="0" w:name="dstudyperiod"/>
            <w:r w:rsidRPr="00180522">
              <w:rPr>
                <w:rFonts w:eastAsiaTheme="minorEastAsia"/>
                <w:sz w:val="20"/>
                <w:szCs w:val="16"/>
                <w:lang w:val="en-GB"/>
              </w:rPr>
              <w:t>2017-2020</w:t>
            </w:r>
            <w:bookmarkEnd w:id="0"/>
          </w:p>
        </w:tc>
        <w:tc>
          <w:tcPr>
            <w:tcW w:w="4680" w:type="dxa"/>
            <w:vAlign w:val="center"/>
          </w:tcPr>
          <w:p w14:paraId="7D0E8A97" w14:textId="67ADE6FB" w:rsidR="006944F8" w:rsidRPr="00180522" w:rsidRDefault="006F110A" w:rsidP="006F110A">
            <w:pPr>
              <w:pStyle w:val="Docnumber"/>
            </w:pPr>
            <w:r w:rsidRPr="00180522">
              <w:t>TSAG-</w:t>
            </w:r>
            <w:r w:rsidR="00F15725" w:rsidRPr="00180522">
              <w:t>TD466</w:t>
            </w:r>
          </w:p>
        </w:tc>
      </w:tr>
      <w:tr w:rsidR="006944F8" w:rsidRPr="00180522" w14:paraId="7B4CAC96" w14:textId="77777777" w:rsidTr="002E2A0B">
        <w:trPr>
          <w:cantSplit/>
        </w:trPr>
        <w:tc>
          <w:tcPr>
            <w:tcW w:w="1190" w:type="dxa"/>
            <w:vMerge/>
          </w:tcPr>
          <w:p w14:paraId="21419EA6" w14:textId="77777777" w:rsidR="006944F8" w:rsidRPr="00180522" w:rsidRDefault="006944F8" w:rsidP="00071381">
            <w:pPr>
              <w:rPr>
                <w:rFonts w:asciiTheme="majorBidi" w:eastAsiaTheme="minorEastAsia" w:hAnsiTheme="majorBidi" w:cstheme="majorBidi"/>
                <w:smallCaps/>
                <w:sz w:val="20"/>
                <w:szCs w:val="24"/>
                <w:lang w:val="en-GB" w:eastAsia="ja-JP"/>
              </w:rPr>
            </w:pPr>
          </w:p>
        </w:tc>
        <w:tc>
          <w:tcPr>
            <w:tcW w:w="4053" w:type="dxa"/>
            <w:gridSpan w:val="3"/>
            <w:vMerge/>
          </w:tcPr>
          <w:p w14:paraId="6D6FF74E" w14:textId="77777777" w:rsidR="006944F8" w:rsidRPr="00180522" w:rsidRDefault="006944F8" w:rsidP="00071381">
            <w:pPr>
              <w:rPr>
                <w:rFonts w:asciiTheme="majorBidi" w:eastAsiaTheme="minorEastAsia" w:hAnsiTheme="majorBidi" w:cstheme="majorBidi"/>
                <w:smallCaps/>
                <w:sz w:val="20"/>
                <w:szCs w:val="24"/>
                <w:lang w:val="en-GB" w:eastAsia="ja-JP"/>
              </w:rPr>
            </w:pPr>
          </w:p>
        </w:tc>
        <w:tc>
          <w:tcPr>
            <w:tcW w:w="4680" w:type="dxa"/>
          </w:tcPr>
          <w:p w14:paraId="7B6F6398" w14:textId="77777777" w:rsidR="006944F8" w:rsidRPr="00180522" w:rsidRDefault="006944F8" w:rsidP="00071381">
            <w:pPr>
              <w:jc w:val="right"/>
              <w:rPr>
                <w:rFonts w:eastAsiaTheme="minorEastAsia"/>
                <w:b/>
                <w:bCs/>
                <w:sz w:val="28"/>
                <w:szCs w:val="24"/>
                <w:lang w:val="en-GB"/>
              </w:rPr>
            </w:pPr>
            <w:r w:rsidRPr="00180522">
              <w:rPr>
                <w:rFonts w:eastAsiaTheme="minorEastAsia"/>
                <w:b/>
                <w:bCs/>
                <w:sz w:val="28"/>
                <w:szCs w:val="24"/>
                <w:lang w:val="en-GB"/>
              </w:rPr>
              <w:t>TSAG</w:t>
            </w:r>
          </w:p>
        </w:tc>
      </w:tr>
      <w:tr w:rsidR="006944F8" w:rsidRPr="00180522" w14:paraId="1623B925" w14:textId="77777777" w:rsidTr="002E2A0B">
        <w:trPr>
          <w:cantSplit/>
        </w:trPr>
        <w:tc>
          <w:tcPr>
            <w:tcW w:w="1190" w:type="dxa"/>
            <w:vMerge/>
            <w:tcBorders>
              <w:bottom w:val="single" w:sz="12" w:space="0" w:color="auto"/>
            </w:tcBorders>
          </w:tcPr>
          <w:p w14:paraId="4785E5C3" w14:textId="77777777" w:rsidR="006944F8" w:rsidRPr="00180522" w:rsidRDefault="006944F8" w:rsidP="00071381">
            <w:pPr>
              <w:rPr>
                <w:rFonts w:asciiTheme="majorBidi" w:eastAsiaTheme="minorEastAsia" w:hAnsiTheme="majorBidi" w:cstheme="majorBidi"/>
                <w:b/>
                <w:bCs/>
                <w:sz w:val="26"/>
                <w:szCs w:val="24"/>
                <w:lang w:val="en-GB" w:eastAsia="ja-JP"/>
              </w:rPr>
            </w:pPr>
          </w:p>
        </w:tc>
        <w:tc>
          <w:tcPr>
            <w:tcW w:w="4053" w:type="dxa"/>
            <w:gridSpan w:val="3"/>
            <w:vMerge/>
            <w:tcBorders>
              <w:bottom w:val="single" w:sz="12" w:space="0" w:color="auto"/>
            </w:tcBorders>
          </w:tcPr>
          <w:p w14:paraId="76CC39A3" w14:textId="77777777" w:rsidR="006944F8" w:rsidRPr="00180522" w:rsidRDefault="006944F8" w:rsidP="00071381">
            <w:pPr>
              <w:rPr>
                <w:rFonts w:asciiTheme="majorBidi" w:eastAsiaTheme="minorEastAsia" w:hAnsiTheme="majorBidi" w:cstheme="majorBidi"/>
                <w:b/>
                <w:bCs/>
                <w:sz w:val="26"/>
                <w:szCs w:val="24"/>
                <w:lang w:val="en-GB" w:eastAsia="ja-JP"/>
              </w:rPr>
            </w:pPr>
          </w:p>
        </w:tc>
        <w:tc>
          <w:tcPr>
            <w:tcW w:w="4680" w:type="dxa"/>
            <w:tcBorders>
              <w:bottom w:val="single" w:sz="12" w:space="0" w:color="auto"/>
            </w:tcBorders>
            <w:vAlign w:val="center"/>
          </w:tcPr>
          <w:p w14:paraId="13CC0D37" w14:textId="77777777" w:rsidR="006944F8" w:rsidRPr="00180522" w:rsidRDefault="006944F8" w:rsidP="00071381">
            <w:pPr>
              <w:jc w:val="right"/>
              <w:rPr>
                <w:rFonts w:eastAsiaTheme="minorEastAsia"/>
                <w:b/>
                <w:bCs/>
                <w:lang w:val="en-GB"/>
              </w:rPr>
            </w:pPr>
            <w:r w:rsidRPr="00180522">
              <w:rPr>
                <w:rFonts w:eastAsiaTheme="minorEastAsia"/>
                <w:b/>
                <w:bCs/>
                <w:sz w:val="28"/>
                <w:szCs w:val="24"/>
                <w:lang w:val="en-GB"/>
              </w:rPr>
              <w:t>Original: English</w:t>
            </w:r>
          </w:p>
        </w:tc>
      </w:tr>
      <w:tr w:rsidR="006944F8" w:rsidRPr="00180522" w14:paraId="214F4F7D" w14:textId="77777777" w:rsidTr="002E2A0B">
        <w:trPr>
          <w:cantSplit/>
        </w:trPr>
        <w:tc>
          <w:tcPr>
            <w:tcW w:w="1616" w:type="dxa"/>
            <w:gridSpan w:val="3"/>
          </w:tcPr>
          <w:p w14:paraId="738282D3" w14:textId="77777777" w:rsidR="006944F8" w:rsidRPr="00180522" w:rsidRDefault="006944F8" w:rsidP="00071381">
            <w:pPr>
              <w:rPr>
                <w:rFonts w:eastAsiaTheme="minorEastAsia"/>
                <w:b/>
                <w:bCs/>
                <w:lang w:val="en-GB"/>
              </w:rPr>
            </w:pPr>
            <w:r w:rsidRPr="00180522">
              <w:rPr>
                <w:rFonts w:eastAsiaTheme="minorEastAsia"/>
                <w:b/>
                <w:bCs/>
                <w:lang w:val="en-GB"/>
              </w:rPr>
              <w:t>Question(s):</w:t>
            </w:r>
          </w:p>
        </w:tc>
        <w:tc>
          <w:tcPr>
            <w:tcW w:w="3627" w:type="dxa"/>
          </w:tcPr>
          <w:p w14:paraId="70E1D64E" w14:textId="77777777" w:rsidR="006944F8" w:rsidRPr="00180522" w:rsidRDefault="006944F8" w:rsidP="00071381">
            <w:pPr>
              <w:rPr>
                <w:rFonts w:eastAsiaTheme="minorEastAsia"/>
                <w:lang w:val="en-GB"/>
              </w:rPr>
            </w:pPr>
            <w:r w:rsidRPr="00180522">
              <w:rPr>
                <w:rFonts w:eastAsiaTheme="minorEastAsia"/>
                <w:lang w:val="en-GB"/>
              </w:rPr>
              <w:t>N/A</w:t>
            </w:r>
          </w:p>
        </w:tc>
        <w:tc>
          <w:tcPr>
            <w:tcW w:w="4680" w:type="dxa"/>
          </w:tcPr>
          <w:p w14:paraId="22E75FB4" w14:textId="7B8D4E41" w:rsidR="006944F8" w:rsidRPr="00180522" w:rsidRDefault="00D66513" w:rsidP="007064AE">
            <w:pPr>
              <w:jc w:val="right"/>
              <w:rPr>
                <w:rFonts w:eastAsiaTheme="minorEastAsia"/>
                <w:lang w:val="en-GB"/>
              </w:rPr>
            </w:pPr>
            <w:r w:rsidRPr="00180522">
              <w:rPr>
                <w:rFonts w:eastAsiaTheme="minorEastAsia"/>
                <w:lang w:val="en-GB"/>
              </w:rPr>
              <w:t>Geneva, 23</w:t>
            </w:r>
            <w:r w:rsidR="007064AE" w:rsidRPr="00180522">
              <w:rPr>
                <w:rFonts w:eastAsiaTheme="minorEastAsia"/>
                <w:lang w:val="en-GB"/>
              </w:rPr>
              <w:t>-</w:t>
            </w:r>
            <w:r w:rsidRPr="00180522">
              <w:rPr>
                <w:rFonts w:eastAsiaTheme="minorEastAsia"/>
                <w:lang w:val="en-GB"/>
              </w:rPr>
              <w:t>27</w:t>
            </w:r>
            <w:r w:rsidR="009E6FD5" w:rsidRPr="00180522">
              <w:rPr>
                <w:rFonts w:eastAsiaTheme="minorEastAsia"/>
                <w:lang w:val="en-GB"/>
              </w:rPr>
              <w:t xml:space="preserve"> September</w:t>
            </w:r>
            <w:r w:rsidR="006944F8" w:rsidRPr="00180522">
              <w:rPr>
                <w:rFonts w:eastAsiaTheme="minorEastAsia"/>
                <w:lang w:val="en-GB"/>
              </w:rPr>
              <w:t xml:space="preserve"> 201</w:t>
            </w:r>
            <w:r w:rsidR="0093401C" w:rsidRPr="00180522">
              <w:rPr>
                <w:rFonts w:eastAsiaTheme="minorEastAsia"/>
                <w:lang w:val="en-GB"/>
              </w:rPr>
              <w:t>9</w:t>
            </w:r>
          </w:p>
        </w:tc>
      </w:tr>
      <w:tr w:rsidR="006944F8" w:rsidRPr="00180522" w14:paraId="480C960A" w14:textId="77777777" w:rsidTr="002E2A0B">
        <w:trPr>
          <w:cantSplit/>
        </w:trPr>
        <w:tc>
          <w:tcPr>
            <w:tcW w:w="9923" w:type="dxa"/>
            <w:gridSpan w:val="5"/>
          </w:tcPr>
          <w:p w14:paraId="7AA932BE" w14:textId="77777777" w:rsidR="006944F8" w:rsidRPr="00180522" w:rsidRDefault="006944F8" w:rsidP="00071381">
            <w:pPr>
              <w:jc w:val="center"/>
              <w:rPr>
                <w:rFonts w:eastAsiaTheme="minorEastAsia"/>
                <w:b/>
                <w:bCs/>
                <w:lang w:val="en-GB"/>
              </w:rPr>
            </w:pPr>
            <w:bookmarkStart w:id="1" w:name="ddoctype" w:colFirst="0" w:colLast="0"/>
            <w:r w:rsidRPr="00180522">
              <w:rPr>
                <w:rFonts w:eastAsiaTheme="minorEastAsia"/>
                <w:b/>
                <w:bCs/>
                <w:lang w:val="en-GB"/>
              </w:rPr>
              <w:t>TD</w:t>
            </w:r>
          </w:p>
        </w:tc>
      </w:tr>
      <w:bookmarkEnd w:id="1"/>
      <w:tr w:rsidR="006944F8" w:rsidRPr="00180522" w14:paraId="088F01F1" w14:textId="77777777" w:rsidTr="002E2A0B">
        <w:trPr>
          <w:cantSplit/>
        </w:trPr>
        <w:tc>
          <w:tcPr>
            <w:tcW w:w="1616" w:type="dxa"/>
            <w:gridSpan w:val="3"/>
          </w:tcPr>
          <w:p w14:paraId="25E4D095" w14:textId="77777777" w:rsidR="006944F8" w:rsidRPr="00180522" w:rsidRDefault="006944F8" w:rsidP="001C37A8">
            <w:pPr>
              <w:rPr>
                <w:rFonts w:eastAsiaTheme="minorEastAsia"/>
                <w:b/>
                <w:bCs/>
                <w:lang w:val="en-GB"/>
              </w:rPr>
            </w:pPr>
            <w:r w:rsidRPr="00180522">
              <w:rPr>
                <w:rFonts w:eastAsiaTheme="minorEastAsia"/>
                <w:b/>
                <w:bCs/>
                <w:lang w:val="en-GB"/>
              </w:rPr>
              <w:t>Source:</w:t>
            </w:r>
          </w:p>
        </w:tc>
        <w:tc>
          <w:tcPr>
            <w:tcW w:w="8307" w:type="dxa"/>
            <w:gridSpan w:val="2"/>
          </w:tcPr>
          <w:p w14:paraId="56229A87" w14:textId="77777777" w:rsidR="006944F8" w:rsidRPr="00180522" w:rsidRDefault="006944F8" w:rsidP="001C37A8">
            <w:pPr>
              <w:rPr>
                <w:rFonts w:eastAsiaTheme="minorEastAsia"/>
                <w:lang w:val="en-GB"/>
              </w:rPr>
            </w:pPr>
            <w:r w:rsidRPr="00180522">
              <w:rPr>
                <w:rFonts w:eastAsiaTheme="minorEastAsia"/>
                <w:lang w:val="en-GB"/>
              </w:rPr>
              <w:t>Director, TSB</w:t>
            </w:r>
          </w:p>
        </w:tc>
      </w:tr>
      <w:tr w:rsidR="006944F8" w:rsidRPr="00180522" w14:paraId="28F240B5" w14:textId="77777777" w:rsidTr="002E2A0B">
        <w:trPr>
          <w:cantSplit/>
        </w:trPr>
        <w:tc>
          <w:tcPr>
            <w:tcW w:w="1616" w:type="dxa"/>
            <w:gridSpan w:val="3"/>
          </w:tcPr>
          <w:p w14:paraId="714A264E" w14:textId="77777777" w:rsidR="006944F8" w:rsidRPr="00180522" w:rsidRDefault="006944F8" w:rsidP="001C37A8">
            <w:pPr>
              <w:rPr>
                <w:rFonts w:eastAsiaTheme="minorEastAsia"/>
                <w:b/>
                <w:bCs/>
                <w:lang w:val="en-GB"/>
              </w:rPr>
            </w:pPr>
            <w:r w:rsidRPr="00180522">
              <w:rPr>
                <w:rFonts w:eastAsiaTheme="minorEastAsia"/>
                <w:b/>
                <w:bCs/>
                <w:lang w:val="en-GB"/>
              </w:rPr>
              <w:t>Title:</w:t>
            </w:r>
          </w:p>
        </w:tc>
        <w:tc>
          <w:tcPr>
            <w:tcW w:w="8307" w:type="dxa"/>
            <w:gridSpan w:val="2"/>
          </w:tcPr>
          <w:p w14:paraId="44AC8189" w14:textId="2D5D4E0C" w:rsidR="006944F8" w:rsidRPr="00180522" w:rsidRDefault="006944F8" w:rsidP="001C37A8">
            <w:pPr>
              <w:rPr>
                <w:rFonts w:eastAsiaTheme="minorEastAsia"/>
                <w:lang w:val="en-GB"/>
              </w:rPr>
            </w:pPr>
            <w:r w:rsidRPr="00180522">
              <w:rPr>
                <w:lang w:val="en-GB"/>
              </w:rPr>
              <w:t xml:space="preserve">Report of activities in ITU-T (from </w:t>
            </w:r>
            <w:r w:rsidR="009E6FD5" w:rsidRPr="00180522">
              <w:rPr>
                <w:lang w:val="en-GB"/>
              </w:rPr>
              <w:t>October 2018</w:t>
            </w:r>
            <w:r w:rsidRPr="00180522">
              <w:rPr>
                <w:lang w:val="en-GB"/>
              </w:rPr>
              <w:t xml:space="preserve"> to </w:t>
            </w:r>
            <w:r w:rsidR="001E0F6F" w:rsidRPr="00180522">
              <w:rPr>
                <w:lang w:val="en-GB"/>
              </w:rPr>
              <w:t xml:space="preserve">August </w:t>
            </w:r>
            <w:r w:rsidRPr="00180522">
              <w:rPr>
                <w:lang w:val="en-GB"/>
              </w:rPr>
              <w:t>201</w:t>
            </w:r>
            <w:r w:rsidR="009E6FD5" w:rsidRPr="00180522">
              <w:rPr>
                <w:lang w:val="en-GB"/>
              </w:rPr>
              <w:t>9</w:t>
            </w:r>
            <w:r w:rsidRPr="00180522">
              <w:rPr>
                <w:lang w:val="en-GB"/>
              </w:rPr>
              <w:t>)</w:t>
            </w:r>
          </w:p>
        </w:tc>
      </w:tr>
      <w:tr w:rsidR="006944F8" w:rsidRPr="00180522" w14:paraId="2ABF1A67" w14:textId="77777777" w:rsidTr="002E2A0B">
        <w:trPr>
          <w:cantSplit/>
        </w:trPr>
        <w:tc>
          <w:tcPr>
            <w:tcW w:w="1616" w:type="dxa"/>
            <w:gridSpan w:val="3"/>
            <w:tcBorders>
              <w:bottom w:val="single" w:sz="8" w:space="0" w:color="auto"/>
            </w:tcBorders>
          </w:tcPr>
          <w:p w14:paraId="70A934B8" w14:textId="77777777" w:rsidR="006944F8" w:rsidRPr="00180522" w:rsidRDefault="006944F8" w:rsidP="001C37A8">
            <w:pPr>
              <w:rPr>
                <w:rFonts w:eastAsiaTheme="minorEastAsia"/>
                <w:b/>
                <w:bCs/>
                <w:lang w:val="en-GB"/>
              </w:rPr>
            </w:pPr>
            <w:bookmarkStart w:id="2" w:name="dpurpose" w:colFirst="1" w:colLast="1"/>
            <w:r w:rsidRPr="00180522">
              <w:rPr>
                <w:rFonts w:eastAsiaTheme="minorEastAsia"/>
                <w:b/>
                <w:bCs/>
                <w:lang w:val="en-GB"/>
              </w:rPr>
              <w:t>Purpose:</w:t>
            </w:r>
          </w:p>
        </w:tc>
        <w:tc>
          <w:tcPr>
            <w:tcW w:w="8307" w:type="dxa"/>
            <w:gridSpan w:val="2"/>
            <w:tcBorders>
              <w:bottom w:val="single" w:sz="8" w:space="0" w:color="auto"/>
            </w:tcBorders>
          </w:tcPr>
          <w:p w14:paraId="2658764C" w14:textId="77777777" w:rsidR="006944F8" w:rsidRPr="00180522" w:rsidRDefault="006944F8" w:rsidP="001C37A8">
            <w:pPr>
              <w:rPr>
                <w:rFonts w:eastAsiaTheme="minorEastAsia"/>
                <w:lang w:val="en-GB"/>
              </w:rPr>
            </w:pPr>
            <w:r w:rsidRPr="00180522">
              <w:rPr>
                <w:rFonts w:eastAsiaTheme="minorEastAsia"/>
                <w:lang w:val="en-GB"/>
              </w:rPr>
              <w:t>Information</w:t>
            </w:r>
          </w:p>
        </w:tc>
      </w:tr>
      <w:bookmarkEnd w:id="2"/>
      <w:tr w:rsidR="006944F8" w:rsidRPr="00180522" w14:paraId="7D7943CD" w14:textId="77777777" w:rsidTr="002E2A0B">
        <w:trPr>
          <w:cantSplit/>
        </w:trPr>
        <w:tc>
          <w:tcPr>
            <w:tcW w:w="1607" w:type="dxa"/>
            <w:gridSpan w:val="2"/>
            <w:tcBorders>
              <w:top w:val="single" w:sz="8" w:space="0" w:color="auto"/>
              <w:bottom w:val="single" w:sz="8" w:space="0" w:color="auto"/>
            </w:tcBorders>
          </w:tcPr>
          <w:p w14:paraId="00649E44" w14:textId="77777777" w:rsidR="006944F8" w:rsidRPr="00180522" w:rsidRDefault="006944F8" w:rsidP="001C37A8">
            <w:pPr>
              <w:rPr>
                <w:rFonts w:eastAsiaTheme="minorEastAsia"/>
                <w:b/>
                <w:bCs/>
                <w:lang w:val="en-GB"/>
              </w:rPr>
            </w:pPr>
            <w:r w:rsidRPr="00180522">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180522" w:rsidRDefault="006944F8" w:rsidP="001C37A8">
            <w:pPr>
              <w:rPr>
                <w:rFonts w:eastAsiaTheme="minorEastAsia"/>
                <w:lang w:val="en-GB"/>
              </w:rPr>
            </w:pPr>
            <w:r w:rsidRPr="00180522">
              <w:rPr>
                <w:rFonts w:eastAsiaTheme="minorEastAsia"/>
                <w:lang w:val="en-GB"/>
              </w:rPr>
              <w:t>TSB</w:t>
            </w:r>
          </w:p>
        </w:tc>
        <w:tc>
          <w:tcPr>
            <w:tcW w:w="4680" w:type="dxa"/>
            <w:tcBorders>
              <w:top w:val="single" w:sz="8" w:space="0" w:color="auto"/>
              <w:bottom w:val="single" w:sz="8" w:space="0" w:color="auto"/>
            </w:tcBorders>
          </w:tcPr>
          <w:p w14:paraId="4EF73A02" w14:textId="77777777" w:rsidR="006944F8" w:rsidRPr="00180522" w:rsidRDefault="006944F8" w:rsidP="001C37A8">
            <w:pPr>
              <w:rPr>
                <w:rFonts w:eastAsiaTheme="minorEastAsia"/>
                <w:lang w:val="en-GB"/>
              </w:rPr>
            </w:pPr>
            <w:r w:rsidRPr="00180522">
              <w:rPr>
                <w:rFonts w:eastAsiaTheme="minorEastAsia"/>
                <w:lang w:val="en-GB"/>
              </w:rPr>
              <w:t xml:space="preserve">E-mail: </w:t>
            </w:r>
            <w:hyperlink r:id="rId12" w:history="1">
              <w:r w:rsidRPr="00180522">
                <w:rPr>
                  <w:rStyle w:val="Hyperlink"/>
                  <w:rFonts w:eastAsiaTheme="minorEastAsia"/>
                  <w:lang w:val="en-GB"/>
                </w:rPr>
                <w:t>tsbtsag@itu.int</w:t>
              </w:r>
            </w:hyperlink>
          </w:p>
        </w:tc>
      </w:tr>
    </w:tbl>
    <w:p w14:paraId="302B10F3" w14:textId="77777777" w:rsidR="006944F8" w:rsidRPr="00180522" w:rsidRDefault="006944F8" w:rsidP="006944F8">
      <w:pPr>
        <w:rPr>
          <w:highlight w:val="yellow"/>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180522" w14:paraId="2AEC0594" w14:textId="77777777" w:rsidTr="0075799C">
        <w:trPr>
          <w:cantSplit/>
        </w:trPr>
        <w:tc>
          <w:tcPr>
            <w:tcW w:w="1607" w:type="dxa"/>
          </w:tcPr>
          <w:p w14:paraId="7F360F51" w14:textId="77777777" w:rsidR="006944F8" w:rsidRPr="00180522" w:rsidRDefault="006944F8" w:rsidP="00071381">
            <w:pPr>
              <w:rPr>
                <w:rFonts w:eastAsiaTheme="minorEastAsia"/>
                <w:b/>
                <w:bCs/>
                <w:lang w:val="en-GB"/>
              </w:rPr>
            </w:pPr>
            <w:r w:rsidRPr="00180522">
              <w:rPr>
                <w:rFonts w:eastAsiaTheme="minorEastAsia"/>
                <w:b/>
                <w:bCs/>
                <w:lang w:val="en-GB"/>
              </w:rPr>
              <w:t>Keywords:</w:t>
            </w:r>
          </w:p>
        </w:tc>
        <w:tc>
          <w:tcPr>
            <w:tcW w:w="8316" w:type="dxa"/>
          </w:tcPr>
          <w:p w14:paraId="57F69CD9" w14:textId="7486E1AB" w:rsidR="006944F8" w:rsidRPr="00180522" w:rsidRDefault="006944F8" w:rsidP="00071381">
            <w:pPr>
              <w:rPr>
                <w:rFonts w:eastAsiaTheme="minorEastAsia"/>
                <w:lang w:val="en-GB"/>
              </w:rPr>
            </w:pPr>
            <w:r w:rsidRPr="00180522">
              <w:rPr>
                <w:lang w:val="en-GB"/>
              </w:rPr>
              <w:t>Standardization; Study Groups; activity report; key results</w:t>
            </w:r>
            <w:r w:rsidR="0075799C" w:rsidRPr="00180522">
              <w:rPr>
                <w:lang w:val="en-GB"/>
              </w:rPr>
              <w:t>;</w:t>
            </w:r>
          </w:p>
        </w:tc>
      </w:tr>
      <w:tr w:rsidR="006944F8" w:rsidRPr="00180522" w14:paraId="109E832D" w14:textId="77777777" w:rsidTr="0075799C">
        <w:trPr>
          <w:cantSplit/>
        </w:trPr>
        <w:tc>
          <w:tcPr>
            <w:tcW w:w="1607" w:type="dxa"/>
          </w:tcPr>
          <w:p w14:paraId="3B9EC2F3" w14:textId="77777777" w:rsidR="006944F8" w:rsidRPr="00180522" w:rsidRDefault="006944F8" w:rsidP="00071381">
            <w:pPr>
              <w:rPr>
                <w:rFonts w:eastAsiaTheme="minorEastAsia"/>
                <w:b/>
                <w:bCs/>
                <w:lang w:val="en-GB"/>
              </w:rPr>
            </w:pPr>
            <w:r w:rsidRPr="00180522">
              <w:rPr>
                <w:rFonts w:eastAsiaTheme="minorEastAsia"/>
                <w:b/>
                <w:bCs/>
                <w:lang w:val="en-GB"/>
              </w:rPr>
              <w:t>Abstract:</w:t>
            </w:r>
          </w:p>
        </w:tc>
        <w:sdt>
          <w:sdtPr>
            <w:rPr>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316" w:type="dxa"/>
              </w:tcPr>
              <w:p w14:paraId="54A9C95B" w14:textId="3F7BA71F" w:rsidR="006944F8" w:rsidRPr="00180522" w:rsidRDefault="0037553F" w:rsidP="001E2DAD">
                <w:pPr>
                  <w:rPr>
                    <w:rFonts w:eastAsiaTheme="minorEastAsia"/>
                    <w:lang w:val="en-GB"/>
                  </w:rPr>
                </w:pPr>
                <w:r w:rsidRPr="00180522" w:rsidDel="0033393D">
                  <w:rPr>
                    <w:lang w:val="en-GB"/>
                  </w:rPr>
                  <w:t xml:space="preserve">This report </w:t>
                </w:r>
                <w:r w:rsidRPr="00180522">
                  <w:rPr>
                    <w:lang w:val="en-GB"/>
                  </w:rPr>
                  <w:t xml:space="preserve">summarizes progress achieved </w:t>
                </w:r>
                <w:r w:rsidRPr="00180522" w:rsidDel="0033393D">
                  <w:rPr>
                    <w:lang w:val="en-GB"/>
                  </w:rPr>
                  <w:t xml:space="preserve">ITU-T standardization from </w:t>
                </w:r>
                <w:r w:rsidR="00976DA8" w:rsidRPr="00180522">
                  <w:rPr>
                    <w:lang w:val="en-GB"/>
                  </w:rPr>
                  <w:t>October</w:t>
                </w:r>
                <w:r w:rsidRPr="00180522" w:rsidDel="0033393D">
                  <w:rPr>
                    <w:lang w:val="en-GB"/>
                  </w:rPr>
                  <w:t xml:space="preserve"> 2018 to </w:t>
                </w:r>
                <w:r w:rsidR="001E0F6F" w:rsidRPr="00180522">
                  <w:rPr>
                    <w:lang w:val="en-GB"/>
                  </w:rPr>
                  <w:t xml:space="preserve">August </w:t>
                </w:r>
                <w:r w:rsidRPr="00180522" w:rsidDel="0033393D">
                  <w:rPr>
                    <w:lang w:val="en-GB"/>
                  </w:rPr>
                  <w:t>201</w:t>
                </w:r>
                <w:r w:rsidR="00976DA8" w:rsidRPr="00180522">
                  <w:rPr>
                    <w:lang w:val="en-GB"/>
                  </w:rPr>
                  <w:t>9</w:t>
                </w:r>
                <w:r w:rsidRPr="00180522" w:rsidDel="0033393D">
                  <w:rPr>
                    <w:lang w:val="en-GB"/>
                  </w:rPr>
                  <w:t>, as well as measures taken by TSB to enhance the ITU-T standardization platform.</w:t>
                </w:r>
              </w:p>
            </w:tc>
          </w:sdtContent>
        </w:sdt>
      </w:tr>
    </w:tbl>
    <w:p w14:paraId="5B7D36C9" w14:textId="77777777" w:rsidR="001C37A8" w:rsidRPr="00180522" w:rsidRDefault="001C37A8" w:rsidP="001C37A8">
      <w:pPr>
        <w:rPr>
          <w:lang w:val="en-GB"/>
        </w:rPr>
      </w:pPr>
    </w:p>
    <w:p w14:paraId="2376609A" w14:textId="7162199B" w:rsidR="006944F8" w:rsidRPr="00180522" w:rsidRDefault="006944F8" w:rsidP="006944F8">
      <w:pPr>
        <w:pageBreakBefore/>
        <w:jc w:val="center"/>
        <w:rPr>
          <w:lang w:val="en-GB"/>
        </w:rPr>
      </w:pPr>
      <w:r w:rsidRPr="00180522">
        <w:rPr>
          <w:lang w:val="en-GB"/>
        </w:rPr>
        <w:lastRenderedPageBreak/>
        <w:t>CONTENTS</w:t>
      </w:r>
    </w:p>
    <w:p w14:paraId="0F64C88B" w14:textId="77777777" w:rsidR="006944F8" w:rsidRPr="00180522" w:rsidRDefault="006944F8" w:rsidP="006944F8">
      <w:pPr>
        <w:ind w:right="567"/>
        <w:jc w:val="right"/>
        <w:rPr>
          <w:lang w:val="en-GB"/>
        </w:rPr>
      </w:pPr>
      <w:r w:rsidRPr="00180522">
        <w:rPr>
          <w:lang w:val="en-GB"/>
        </w:rPr>
        <w:t>Page</w:t>
      </w:r>
    </w:p>
    <w:p w14:paraId="2DAF0DA4" w14:textId="3899FCAB" w:rsidR="00660CDF" w:rsidRPr="00180522" w:rsidRDefault="006944F8">
      <w:pPr>
        <w:pStyle w:val="TOC1"/>
        <w:rPr>
          <w:rFonts w:asciiTheme="minorHAnsi" w:eastAsiaTheme="minorEastAsia" w:hAnsiTheme="minorHAnsi" w:cstheme="minorBidi"/>
          <w:noProof/>
          <w:sz w:val="22"/>
          <w:szCs w:val="22"/>
          <w:lang w:val="en-GB" w:eastAsia="en-GB"/>
        </w:rPr>
      </w:pPr>
      <w:r w:rsidRPr="00180522">
        <w:rPr>
          <w:rFonts w:asciiTheme="majorBidi" w:eastAsia="Malgun Gothic" w:hAnsiTheme="majorBidi" w:cstheme="majorBidi"/>
          <w:highlight w:val="yellow"/>
          <w:lang w:val="en-GB" w:eastAsia="ko-KR"/>
        </w:rPr>
        <w:fldChar w:fldCharType="begin"/>
      </w:r>
      <w:r w:rsidRPr="00180522">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180522">
        <w:rPr>
          <w:rFonts w:asciiTheme="majorBidi" w:eastAsia="Malgun Gothic" w:hAnsiTheme="majorBidi" w:cstheme="majorBidi"/>
          <w:highlight w:val="yellow"/>
          <w:lang w:val="en-GB" w:eastAsia="ko-KR"/>
        </w:rPr>
        <w:fldChar w:fldCharType="separate"/>
      </w:r>
      <w:hyperlink w:anchor="_Toc18509733" w:history="1">
        <w:r w:rsidR="00660CDF" w:rsidRPr="00180522">
          <w:rPr>
            <w:rStyle w:val="Hyperlink"/>
            <w:noProof/>
            <w:lang w:val="en-GB"/>
          </w:rPr>
          <w:t>Executive Summary</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_Toc18509733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4</w:t>
        </w:r>
        <w:r w:rsidR="00660CDF" w:rsidRPr="00180522">
          <w:rPr>
            <w:noProof/>
            <w:webHidden/>
            <w:lang w:val="en-GB"/>
          </w:rPr>
          <w:fldChar w:fldCharType="end"/>
        </w:r>
      </w:hyperlink>
    </w:p>
    <w:p w14:paraId="2FAB1A48" w14:textId="580BD05F"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34" w:history="1">
        <w:r w:rsidR="00660CDF" w:rsidRPr="00180522">
          <w:rPr>
            <w:rStyle w:val="Hyperlink"/>
            <w:bCs/>
            <w:noProof/>
            <w:lang w:val="en-GB"/>
          </w:rPr>
          <w:t>Annex – Full Report of activities in ITU-T (from October 2018 to August 2019)</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_Toc18509734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7</w:t>
        </w:r>
        <w:r w:rsidR="00660CDF" w:rsidRPr="00180522">
          <w:rPr>
            <w:noProof/>
            <w:webHidden/>
            <w:lang w:val="en-GB"/>
          </w:rPr>
          <w:fldChar w:fldCharType="end"/>
        </w:r>
      </w:hyperlink>
    </w:p>
    <w:p w14:paraId="521BFD7E" w14:textId="32D125E2"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35" w:history="1">
        <w:r w:rsidR="00660CDF" w:rsidRPr="00180522">
          <w:rPr>
            <w:rStyle w:val="Hyperlink"/>
            <w:noProof/>
            <w:lang w:val="en-GB"/>
          </w:rPr>
          <w:t>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Selection of achievements in ITU-T standardization</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_Toc18509735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7</w:t>
        </w:r>
        <w:r w:rsidR="00660CDF" w:rsidRPr="00180522">
          <w:rPr>
            <w:noProof/>
            <w:webHidden/>
            <w:lang w:val="en-GB"/>
          </w:rPr>
          <w:fldChar w:fldCharType="end"/>
        </w:r>
      </w:hyperlink>
    </w:p>
    <w:p w14:paraId="16D8B39A" w14:textId="34AD4CC1"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36" w:history="1">
        <w:r w:rsidR="00660CDF" w:rsidRPr="00180522">
          <w:rPr>
            <w:rStyle w:val="Hyperlink"/>
            <w:noProof/>
            <w:lang w:val="en-GB"/>
          </w:rPr>
          <w:t>2</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Conformity, interoperability and testing</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_Toc18509736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10</w:t>
        </w:r>
        <w:r w:rsidR="00660CDF" w:rsidRPr="00180522">
          <w:rPr>
            <w:noProof/>
            <w:webHidden/>
            <w:lang w:val="en-GB"/>
          </w:rPr>
          <w:fldChar w:fldCharType="end"/>
        </w:r>
      </w:hyperlink>
    </w:p>
    <w:p w14:paraId="126ED2D8" w14:textId="2CD598A7"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37" w:history="1">
        <w:r w:rsidR="00660CDF" w:rsidRPr="00180522">
          <w:rPr>
            <w:rStyle w:val="Hyperlink"/>
            <w:noProof/>
            <w:lang w:val="en-GB"/>
          </w:rPr>
          <w:t>2.1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Conformity Assessment Steering Committee (CASC)</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_Toc18509737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10</w:t>
        </w:r>
        <w:r w:rsidR="00660CDF" w:rsidRPr="00180522">
          <w:rPr>
            <w:noProof/>
            <w:webHidden/>
            <w:lang w:val="en-GB"/>
          </w:rPr>
          <w:fldChar w:fldCharType="end"/>
        </w:r>
      </w:hyperlink>
    </w:p>
    <w:p w14:paraId="409B6F47" w14:textId="1C6CE324"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38" w:history="1">
        <w:r w:rsidR="00660CDF" w:rsidRPr="00180522">
          <w:rPr>
            <w:rStyle w:val="Hyperlink"/>
            <w:noProof/>
            <w:lang w:val="en-GB"/>
          </w:rPr>
          <w:t>2.2</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ICT product conformity database</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_Toc18509738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11</w:t>
        </w:r>
        <w:r w:rsidR="00660CDF" w:rsidRPr="00180522">
          <w:rPr>
            <w:noProof/>
            <w:webHidden/>
            <w:lang w:val="en-GB"/>
          </w:rPr>
          <w:fldChar w:fldCharType="end"/>
        </w:r>
      </w:hyperlink>
    </w:p>
    <w:p w14:paraId="2608C339" w14:textId="30BF227F"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39" w:history="1">
        <w:r w:rsidR="00660CDF" w:rsidRPr="00180522">
          <w:rPr>
            <w:rStyle w:val="Hyperlink"/>
            <w:noProof/>
            <w:lang w:val="en-GB"/>
          </w:rPr>
          <w:t>2.3</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Testing Internet of Things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_Toc18509739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11</w:t>
        </w:r>
        <w:r w:rsidR="00660CDF" w:rsidRPr="00180522">
          <w:rPr>
            <w:noProof/>
            <w:webHidden/>
            <w:lang w:val="en-GB"/>
          </w:rPr>
          <w:fldChar w:fldCharType="end"/>
        </w:r>
      </w:hyperlink>
    </w:p>
    <w:p w14:paraId="39361FAC" w14:textId="3EC43219"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40" w:history="1">
        <w:r w:rsidR="00660CDF" w:rsidRPr="00180522">
          <w:rPr>
            <w:rStyle w:val="Hyperlink"/>
            <w:noProof/>
            <w:lang w:val="en-GB"/>
          </w:rPr>
          <w:t>3</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Accessible ITU-T meetings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_Toc18509740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11</w:t>
        </w:r>
        <w:r w:rsidR="00660CDF" w:rsidRPr="00180522">
          <w:rPr>
            <w:noProof/>
            <w:webHidden/>
            <w:lang w:val="en-GB"/>
          </w:rPr>
          <w:fldChar w:fldCharType="end"/>
        </w:r>
      </w:hyperlink>
    </w:p>
    <w:p w14:paraId="6C69EBA3" w14:textId="346FE341"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41" w:history="1">
        <w:r w:rsidR="00660CDF" w:rsidRPr="00180522">
          <w:rPr>
            <w:rStyle w:val="Hyperlink"/>
            <w:noProof/>
            <w:lang w:val="en-GB"/>
          </w:rPr>
          <w:t>4</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Intellectual property rights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_Toc18509741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11</w:t>
        </w:r>
        <w:r w:rsidR="00660CDF" w:rsidRPr="00180522">
          <w:rPr>
            <w:noProof/>
            <w:webHidden/>
            <w:lang w:val="en-GB"/>
          </w:rPr>
          <w:fldChar w:fldCharType="end"/>
        </w:r>
      </w:hyperlink>
    </w:p>
    <w:p w14:paraId="3681CA78" w14:textId="2439CF32"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42" w:history="1">
        <w:r w:rsidR="00660CDF" w:rsidRPr="00180522">
          <w:rPr>
            <w:rStyle w:val="Hyperlink"/>
            <w:noProof/>
            <w:lang w:val="en-GB"/>
          </w:rPr>
          <w:t>5</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ITU-T Focus Groups: Exploring new directions in ITU standardization</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_Toc18509742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12</w:t>
        </w:r>
        <w:r w:rsidR="00660CDF" w:rsidRPr="00180522">
          <w:rPr>
            <w:noProof/>
            <w:webHidden/>
            <w:lang w:val="en-GB"/>
          </w:rPr>
          <w:fldChar w:fldCharType="end"/>
        </w:r>
      </w:hyperlink>
    </w:p>
    <w:p w14:paraId="2C4139FB" w14:textId="1F0A01FE"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43" w:history="1">
        <w:r w:rsidR="00660CDF" w:rsidRPr="00180522">
          <w:rPr>
            <w:rStyle w:val="Hyperlink"/>
            <w:noProof/>
            <w:lang w:val="en-GB"/>
          </w:rPr>
          <w:t>5.1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Data Processing and Management to support IoT and Smart Cities &amp; Communities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_Toc18509743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12</w:t>
        </w:r>
        <w:r w:rsidR="00660CDF" w:rsidRPr="00180522">
          <w:rPr>
            <w:noProof/>
            <w:webHidden/>
            <w:lang w:val="en-GB"/>
          </w:rPr>
          <w:fldChar w:fldCharType="end"/>
        </w:r>
      </w:hyperlink>
    </w:p>
    <w:p w14:paraId="5D5A2A99" w14:textId="1F40808B"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44" w:history="1">
        <w:r w:rsidR="00660CDF" w:rsidRPr="00180522">
          <w:rPr>
            <w:rStyle w:val="Hyperlink"/>
            <w:noProof/>
            <w:lang w:val="en-GB"/>
          </w:rPr>
          <w:t>5.2</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Digital Currency including Digital Fiat Currency</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_Toc18509744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12</w:t>
        </w:r>
        <w:r w:rsidR="00660CDF" w:rsidRPr="00180522">
          <w:rPr>
            <w:noProof/>
            <w:webHidden/>
            <w:lang w:val="en-GB"/>
          </w:rPr>
          <w:fldChar w:fldCharType="end"/>
        </w:r>
      </w:hyperlink>
    </w:p>
    <w:p w14:paraId="6721164F" w14:textId="61F25A35"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45" w:history="1">
        <w:r w:rsidR="00660CDF" w:rsidRPr="00180522">
          <w:rPr>
            <w:rStyle w:val="Hyperlink"/>
            <w:noProof/>
            <w:lang w:val="en-GB"/>
          </w:rPr>
          <w:t>5.3</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Application of Distributed Ledger Technology</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_Toc18509745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12</w:t>
        </w:r>
        <w:r w:rsidR="00660CDF" w:rsidRPr="00180522">
          <w:rPr>
            <w:noProof/>
            <w:webHidden/>
            <w:lang w:val="en-GB"/>
          </w:rPr>
          <w:fldChar w:fldCharType="end"/>
        </w:r>
      </w:hyperlink>
    </w:p>
    <w:p w14:paraId="7B61AFA9" w14:textId="4F425511"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46" w:history="1">
        <w:r w:rsidR="00660CDF" w:rsidRPr="00180522">
          <w:rPr>
            <w:rStyle w:val="Hyperlink"/>
            <w:noProof/>
            <w:lang w:val="en-GB"/>
          </w:rPr>
          <w:t>5.4</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Machine Learning for Future Networks including 5G</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_Toc18509746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13</w:t>
        </w:r>
        <w:r w:rsidR="00660CDF" w:rsidRPr="00180522">
          <w:rPr>
            <w:noProof/>
            <w:webHidden/>
            <w:lang w:val="en-GB"/>
          </w:rPr>
          <w:fldChar w:fldCharType="end"/>
        </w:r>
      </w:hyperlink>
    </w:p>
    <w:p w14:paraId="6D9CD3DD" w14:textId="2F628040"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47" w:history="1">
        <w:r w:rsidR="00660CDF" w:rsidRPr="00180522">
          <w:rPr>
            <w:rStyle w:val="Hyperlink"/>
            <w:noProof/>
            <w:lang w:val="en-GB"/>
          </w:rPr>
          <w:t>5.5</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Technologies for Network 2030</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_Toc18509747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13</w:t>
        </w:r>
        <w:r w:rsidR="00660CDF" w:rsidRPr="00180522">
          <w:rPr>
            <w:noProof/>
            <w:webHidden/>
            <w:lang w:val="en-GB"/>
          </w:rPr>
          <w:fldChar w:fldCharType="end"/>
        </w:r>
      </w:hyperlink>
    </w:p>
    <w:p w14:paraId="3478ADA9" w14:textId="7FBC7FA4"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48" w:history="1">
        <w:r w:rsidR="00660CDF" w:rsidRPr="00180522">
          <w:rPr>
            <w:rStyle w:val="Hyperlink"/>
            <w:noProof/>
            <w:lang w:val="en-GB"/>
          </w:rPr>
          <w:t>5.6</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Artificial Intelligence for Health</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_Toc18509748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13</w:t>
        </w:r>
        <w:r w:rsidR="00660CDF" w:rsidRPr="00180522">
          <w:rPr>
            <w:noProof/>
            <w:webHidden/>
            <w:lang w:val="en-GB"/>
          </w:rPr>
          <w:fldChar w:fldCharType="end"/>
        </w:r>
      </w:hyperlink>
    </w:p>
    <w:p w14:paraId="14AB0749" w14:textId="16893585"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49" w:history="1">
        <w:r w:rsidR="00660CDF" w:rsidRPr="00180522">
          <w:rPr>
            <w:rStyle w:val="Hyperlink"/>
            <w:noProof/>
            <w:lang w:val="en-GB"/>
          </w:rPr>
          <w:t>5.7</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Vehicular Multimedia</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_Toc18509749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13</w:t>
        </w:r>
        <w:r w:rsidR="00660CDF" w:rsidRPr="00180522">
          <w:rPr>
            <w:noProof/>
            <w:webHidden/>
            <w:lang w:val="en-GB"/>
          </w:rPr>
          <w:fldChar w:fldCharType="end"/>
        </w:r>
      </w:hyperlink>
    </w:p>
    <w:p w14:paraId="00433BAA" w14:textId="743F7E25"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50" w:history="1">
        <w:r w:rsidR="00660CDF" w:rsidRPr="00180522">
          <w:rPr>
            <w:rStyle w:val="Hyperlink"/>
            <w:noProof/>
            <w:lang w:val="en-GB"/>
          </w:rPr>
          <w:t>5.8</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Environmental Efficiency for Artificial Intelligence and other Emerging Technologies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_Toc18509750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14</w:t>
        </w:r>
        <w:r w:rsidR="00660CDF" w:rsidRPr="00180522">
          <w:rPr>
            <w:noProof/>
            <w:webHidden/>
            <w:lang w:val="en-GB"/>
          </w:rPr>
          <w:fldChar w:fldCharType="end"/>
        </w:r>
      </w:hyperlink>
    </w:p>
    <w:p w14:paraId="2E548874" w14:textId="17E0927D"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51" w:history="1">
        <w:r w:rsidR="00660CDF" w:rsidRPr="00180522">
          <w:rPr>
            <w:rStyle w:val="Hyperlink"/>
            <w:noProof/>
            <w:lang w:val="en-GB"/>
          </w:rPr>
          <w:t>6</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Collaboration in standardization</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_Toc18509751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14</w:t>
        </w:r>
        <w:r w:rsidR="00660CDF" w:rsidRPr="00180522">
          <w:rPr>
            <w:noProof/>
            <w:webHidden/>
            <w:lang w:val="en-GB"/>
          </w:rPr>
          <w:fldChar w:fldCharType="end"/>
        </w:r>
      </w:hyperlink>
    </w:p>
    <w:p w14:paraId="7C039D9C" w14:textId="01A44D8B"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52" w:history="1">
        <w:r w:rsidR="00660CDF" w:rsidRPr="00180522">
          <w:rPr>
            <w:rStyle w:val="Hyperlink"/>
            <w:noProof/>
            <w:lang w:val="en-GB"/>
          </w:rPr>
          <w:t>6.1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Coordination and cooperation among ITU Sectors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_Toc18509752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14</w:t>
        </w:r>
        <w:r w:rsidR="00660CDF" w:rsidRPr="00180522">
          <w:rPr>
            <w:noProof/>
            <w:webHidden/>
            <w:lang w:val="en-GB"/>
          </w:rPr>
          <w:fldChar w:fldCharType="end"/>
        </w:r>
      </w:hyperlink>
    </w:p>
    <w:p w14:paraId="31C25F3C" w14:textId="4D0A0FA2"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53" w:history="1">
        <w:r w:rsidR="00660CDF" w:rsidRPr="00180522">
          <w:rPr>
            <w:rStyle w:val="Hyperlink"/>
            <w:noProof/>
            <w:lang w:val="en-GB"/>
          </w:rPr>
          <w:t>6.2</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Coordination and cooperation with the Regions and the Regional Offices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_Toc18509753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14</w:t>
        </w:r>
        <w:r w:rsidR="00660CDF" w:rsidRPr="00180522">
          <w:rPr>
            <w:noProof/>
            <w:webHidden/>
            <w:lang w:val="en-GB"/>
          </w:rPr>
          <w:fldChar w:fldCharType="end"/>
        </w:r>
      </w:hyperlink>
    </w:p>
    <w:p w14:paraId="08CC5A7D" w14:textId="6C3B7BE6"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54" w:history="1">
        <w:r w:rsidR="00660CDF" w:rsidRPr="00180522">
          <w:rPr>
            <w:rStyle w:val="Hyperlink"/>
            <w:noProof/>
            <w:lang w:val="en-GB"/>
          </w:rPr>
          <w:t>6.3</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General assistance and cooperation</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_Toc18509754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15</w:t>
        </w:r>
        <w:r w:rsidR="00660CDF" w:rsidRPr="00180522">
          <w:rPr>
            <w:noProof/>
            <w:webHidden/>
            <w:lang w:val="en-GB"/>
          </w:rPr>
          <w:fldChar w:fldCharType="end"/>
        </w:r>
      </w:hyperlink>
    </w:p>
    <w:p w14:paraId="22B83126" w14:textId="698CC921"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55" w:history="1">
        <w:r w:rsidR="00660CDF" w:rsidRPr="00180522">
          <w:rPr>
            <w:rStyle w:val="Hyperlink"/>
            <w:noProof/>
            <w:lang w:val="en-GB"/>
          </w:rPr>
          <w:t>6.5</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Cooperation with national and regional standardization organizations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_Toc18509755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17</w:t>
        </w:r>
        <w:r w:rsidR="00660CDF" w:rsidRPr="00180522">
          <w:rPr>
            <w:noProof/>
            <w:webHidden/>
            <w:lang w:val="en-GB"/>
          </w:rPr>
          <w:fldChar w:fldCharType="end"/>
        </w:r>
      </w:hyperlink>
    </w:p>
    <w:p w14:paraId="0F423A14" w14:textId="6EE428B7"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56" w:history="1">
        <w:r w:rsidR="00660CDF" w:rsidRPr="00180522">
          <w:rPr>
            <w:rStyle w:val="Hyperlink"/>
            <w:noProof/>
            <w:lang w:val="en-GB"/>
          </w:rPr>
          <w:t>7</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Bridging the standardization gap</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_Toc18509756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18</w:t>
        </w:r>
        <w:r w:rsidR="00660CDF" w:rsidRPr="00180522">
          <w:rPr>
            <w:noProof/>
            <w:webHidden/>
            <w:lang w:val="en-GB"/>
          </w:rPr>
          <w:fldChar w:fldCharType="end"/>
        </w:r>
      </w:hyperlink>
    </w:p>
    <w:p w14:paraId="7ABAB860" w14:textId="3F2F6045"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57" w:history="1">
        <w:r w:rsidR="00660CDF" w:rsidRPr="00180522">
          <w:rPr>
            <w:rStyle w:val="Hyperlink"/>
            <w:noProof/>
            <w:lang w:val="en-GB"/>
          </w:rPr>
          <w:t>7.1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BSG hands-on training sessions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_Toc18509757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19</w:t>
        </w:r>
        <w:r w:rsidR="00660CDF" w:rsidRPr="00180522">
          <w:rPr>
            <w:noProof/>
            <w:webHidden/>
            <w:lang w:val="en-GB"/>
          </w:rPr>
          <w:fldChar w:fldCharType="end"/>
        </w:r>
      </w:hyperlink>
    </w:p>
    <w:p w14:paraId="68403408" w14:textId="49A76FDE"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58" w:history="1">
        <w:r w:rsidR="00660CDF" w:rsidRPr="00180522">
          <w:rPr>
            <w:rStyle w:val="Hyperlink"/>
            <w:noProof/>
            <w:lang w:val="en-GB"/>
          </w:rPr>
          <w:t>7.2</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Regional Groups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_Toc18509758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19</w:t>
        </w:r>
        <w:r w:rsidR="00660CDF" w:rsidRPr="00180522">
          <w:rPr>
            <w:noProof/>
            <w:webHidden/>
            <w:lang w:val="en-GB"/>
          </w:rPr>
          <w:fldChar w:fldCharType="end"/>
        </w:r>
      </w:hyperlink>
    </w:p>
    <w:p w14:paraId="02190C2C" w14:textId="563A310A"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59" w:history="1">
        <w:r w:rsidR="00660CDF" w:rsidRPr="00180522">
          <w:rPr>
            <w:rStyle w:val="Hyperlink"/>
            <w:noProof/>
            <w:lang w:val="en-GB"/>
          </w:rPr>
          <w:t>7.3</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Regional Standardization Forums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_Toc18509759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19</w:t>
        </w:r>
        <w:r w:rsidR="00660CDF" w:rsidRPr="00180522">
          <w:rPr>
            <w:noProof/>
            <w:webHidden/>
            <w:lang w:val="en-GB"/>
          </w:rPr>
          <w:fldChar w:fldCharType="end"/>
        </w:r>
      </w:hyperlink>
    </w:p>
    <w:p w14:paraId="15F4B1BA" w14:textId="5C3DFCCB"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60" w:history="1">
        <w:r w:rsidR="00660CDF" w:rsidRPr="00180522">
          <w:rPr>
            <w:rStyle w:val="Hyperlink"/>
            <w:noProof/>
            <w:lang w:val="en-GB"/>
          </w:rPr>
          <w:t>7.4</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National Standardization Secretariats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_Toc18509760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20</w:t>
        </w:r>
        <w:r w:rsidR="00660CDF" w:rsidRPr="00180522">
          <w:rPr>
            <w:noProof/>
            <w:webHidden/>
            <w:lang w:val="en-GB"/>
          </w:rPr>
          <w:fldChar w:fldCharType="end"/>
        </w:r>
      </w:hyperlink>
    </w:p>
    <w:p w14:paraId="6752F9D2" w14:textId="18FDF902"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61" w:history="1">
        <w:r w:rsidR="00660CDF" w:rsidRPr="00180522">
          <w:rPr>
            <w:rStyle w:val="Hyperlink"/>
            <w:noProof/>
            <w:lang w:val="en-GB"/>
          </w:rPr>
          <w:t>7.5</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e-Learning courses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_Toc18509761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20</w:t>
        </w:r>
        <w:r w:rsidR="00660CDF" w:rsidRPr="00180522">
          <w:rPr>
            <w:noProof/>
            <w:webHidden/>
            <w:lang w:val="en-GB"/>
          </w:rPr>
          <w:fldChar w:fldCharType="end"/>
        </w:r>
      </w:hyperlink>
    </w:p>
    <w:p w14:paraId="7546E88B" w14:textId="366DB94C"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62" w:history="1">
        <w:r w:rsidR="00660CDF" w:rsidRPr="00180522">
          <w:rPr>
            <w:rStyle w:val="Hyperlink"/>
            <w:noProof/>
            <w:lang w:val="en-GB"/>
          </w:rPr>
          <w:t>7.6</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Study Group Mentoring Programme</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_Toc18509762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20</w:t>
        </w:r>
        <w:r w:rsidR="00660CDF" w:rsidRPr="00180522">
          <w:rPr>
            <w:noProof/>
            <w:webHidden/>
            <w:lang w:val="en-GB"/>
          </w:rPr>
          <w:fldChar w:fldCharType="end"/>
        </w:r>
      </w:hyperlink>
    </w:p>
    <w:p w14:paraId="3C5414FB" w14:textId="27BD43A9"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63" w:history="1">
        <w:r w:rsidR="00660CDF" w:rsidRPr="00180522">
          <w:rPr>
            <w:rStyle w:val="Hyperlink"/>
            <w:noProof/>
            <w:lang w:val="en-GB"/>
          </w:rPr>
          <w:t>7.7</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Technical Papers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_Toc18509763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20</w:t>
        </w:r>
        <w:r w:rsidR="00660CDF" w:rsidRPr="00180522">
          <w:rPr>
            <w:noProof/>
            <w:webHidden/>
            <w:lang w:val="en-GB"/>
          </w:rPr>
          <w:fldChar w:fldCharType="end"/>
        </w:r>
      </w:hyperlink>
    </w:p>
    <w:p w14:paraId="00B5BE06" w14:textId="3F93AEFE"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64" w:history="1">
        <w:r w:rsidR="00660CDF" w:rsidRPr="00180522">
          <w:rPr>
            <w:rStyle w:val="Hyperlink"/>
            <w:noProof/>
            <w:lang w:val="en-GB"/>
          </w:rPr>
          <w:t>7.8</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Fellowships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_Toc18509764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20</w:t>
        </w:r>
        <w:r w:rsidR="00660CDF" w:rsidRPr="00180522">
          <w:rPr>
            <w:noProof/>
            <w:webHidden/>
            <w:lang w:val="en-GB"/>
          </w:rPr>
          <w:fldChar w:fldCharType="end"/>
        </w:r>
      </w:hyperlink>
    </w:p>
    <w:p w14:paraId="5747A1AD" w14:textId="0299B77C"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65" w:history="1">
        <w:r w:rsidR="00660CDF" w:rsidRPr="00180522">
          <w:rPr>
            <w:rStyle w:val="Hyperlink"/>
            <w:noProof/>
            <w:lang w:val="en-GB"/>
          </w:rPr>
          <w:t>7.9</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Questionnaires for developing countries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_Toc18509765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22</w:t>
        </w:r>
        <w:r w:rsidR="00660CDF" w:rsidRPr="00180522">
          <w:rPr>
            <w:noProof/>
            <w:webHidden/>
            <w:lang w:val="en-GB"/>
          </w:rPr>
          <w:fldChar w:fldCharType="end"/>
        </w:r>
      </w:hyperlink>
    </w:p>
    <w:p w14:paraId="72125E36" w14:textId="06BB9CC6"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66" w:history="1">
        <w:r w:rsidR="00660CDF" w:rsidRPr="00180522">
          <w:rPr>
            <w:rStyle w:val="Hyperlink"/>
            <w:noProof/>
            <w:lang w:val="en-GB"/>
          </w:rPr>
          <w:t>7.10</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World Telecommunication and Information Society Day</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_Toc18509766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22</w:t>
        </w:r>
        <w:r w:rsidR="00660CDF" w:rsidRPr="00180522">
          <w:rPr>
            <w:noProof/>
            <w:webHidden/>
            <w:lang w:val="en-GB"/>
          </w:rPr>
          <w:fldChar w:fldCharType="end"/>
        </w:r>
      </w:hyperlink>
    </w:p>
    <w:p w14:paraId="45B5264B" w14:textId="3BB4EDCD"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67" w:history="1">
        <w:r w:rsidR="00660CDF" w:rsidRPr="00180522">
          <w:rPr>
            <w:rStyle w:val="Hyperlink"/>
            <w:noProof/>
            <w:lang w:val="en-GB"/>
          </w:rPr>
          <w:t>8</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Membership</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_Toc18509767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23</w:t>
        </w:r>
        <w:r w:rsidR="00660CDF" w:rsidRPr="00180522">
          <w:rPr>
            <w:noProof/>
            <w:webHidden/>
            <w:lang w:val="en-GB"/>
          </w:rPr>
          <w:fldChar w:fldCharType="end"/>
        </w:r>
      </w:hyperlink>
    </w:p>
    <w:p w14:paraId="518ADBA5" w14:textId="53BC0A3E"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68" w:history="1">
        <w:r w:rsidR="00660CDF" w:rsidRPr="00180522">
          <w:rPr>
            <w:rStyle w:val="Hyperlink"/>
            <w:noProof/>
            <w:lang w:val="en-GB"/>
          </w:rPr>
          <w:t>8.1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Evolution of ITU-T membership</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_Toc18509768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23</w:t>
        </w:r>
        <w:r w:rsidR="00660CDF" w:rsidRPr="00180522">
          <w:rPr>
            <w:noProof/>
            <w:webHidden/>
            <w:lang w:val="en-GB"/>
          </w:rPr>
          <w:fldChar w:fldCharType="end"/>
        </w:r>
      </w:hyperlink>
    </w:p>
    <w:p w14:paraId="57191EF5" w14:textId="750D217B"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69" w:history="1">
        <w:r w:rsidR="00660CDF" w:rsidRPr="00180522">
          <w:rPr>
            <w:rStyle w:val="Hyperlink"/>
            <w:noProof/>
            <w:lang w:val="en-GB"/>
          </w:rPr>
          <w:t>8.2</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Implementation of SME Pilot Project</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_Toc18509769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24</w:t>
        </w:r>
        <w:r w:rsidR="00660CDF" w:rsidRPr="00180522">
          <w:rPr>
            <w:noProof/>
            <w:webHidden/>
            <w:lang w:val="en-GB"/>
          </w:rPr>
          <w:fldChar w:fldCharType="end"/>
        </w:r>
      </w:hyperlink>
    </w:p>
    <w:p w14:paraId="79C58AEC" w14:textId="339A2E51"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70" w:history="1">
        <w:r w:rsidR="00660CDF" w:rsidRPr="00180522">
          <w:rPr>
            <w:rStyle w:val="Hyperlink"/>
            <w:noProof/>
            <w:lang w:val="en-GB"/>
          </w:rPr>
          <w:t>9</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Gender</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_Toc18509770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25</w:t>
        </w:r>
        <w:r w:rsidR="00660CDF" w:rsidRPr="00180522">
          <w:rPr>
            <w:noProof/>
            <w:webHidden/>
            <w:lang w:val="en-GB"/>
          </w:rPr>
          <w:fldChar w:fldCharType="end"/>
        </w:r>
      </w:hyperlink>
    </w:p>
    <w:p w14:paraId="2A6F6B7C" w14:textId="020E76E3"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71" w:history="1">
        <w:r w:rsidR="00660CDF" w:rsidRPr="00180522">
          <w:rPr>
            <w:rStyle w:val="Hyperlink"/>
            <w:noProof/>
            <w:lang w:val="en-GB"/>
          </w:rPr>
          <w:t>10</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Academia</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_Toc18509771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25</w:t>
        </w:r>
        <w:r w:rsidR="00660CDF" w:rsidRPr="00180522">
          <w:rPr>
            <w:noProof/>
            <w:webHidden/>
            <w:lang w:val="en-GB"/>
          </w:rPr>
          <w:fldChar w:fldCharType="end"/>
        </w:r>
      </w:hyperlink>
    </w:p>
    <w:p w14:paraId="0F7B2F52" w14:textId="5EEBDC00"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72" w:history="1">
        <w:r w:rsidR="00660CDF" w:rsidRPr="00180522">
          <w:rPr>
            <w:rStyle w:val="Hyperlink"/>
            <w:noProof/>
            <w:lang w:val="en-GB"/>
          </w:rPr>
          <w:t>10.1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ITU Kaleidoscope academic conferences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_Toc18509772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25</w:t>
        </w:r>
        <w:r w:rsidR="00660CDF" w:rsidRPr="00180522">
          <w:rPr>
            <w:noProof/>
            <w:webHidden/>
            <w:lang w:val="en-GB"/>
          </w:rPr>
          <w:fldChar w:fldCharType="end"/>
        </w:r>
      </w:hyperlink>
    </w:p>
    <w:p w14:paraId="03D303E8" w14:textId="3F52384D"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73" w:history="1">
        <w:r w:rsidR="00660CDF" w:rsidRPr="00180522">
          <w:rPr>
            <w:rStyle w:val="Hyperlink"/>
            <w:noProof/>
            <w:lang w:val="en-GB"/>
          </w:rPr>
          <w:t>10.2</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ITU Journal: ICT Discoveries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_Toc18509773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25</w:t>
        </w:r>
        <w:r w:rsidR="00660CDF" w:rsidRPr="00180522">
          <w:rPr>
            <w:noProof/>
            <w:webHidden/>
            <w:lang w:val="en-GB"/>
          </w:rPr>
          <w:fldChar w:fldCharType="end"/>
        </w:r>
      </w:hyperlink>
    </w:p>
    <w:p w14:paraId="514987B7" w14:textId="32FBD1E3"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74" w:history="1">
        <w:r w:rsidR="00660CDF" w:rsidRPr="00180522">
          <w:rPr>
            <w:rStyle w:val="Hyperlink"/>
            <w:noProof/>
            <w:lang w:val="en-GB"/>
          </w:rPr>
          <w:t>10.3</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World Standards Cooperation and Academia</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_Toc18509774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25</w:t>
        </w:r>
        <w:r w:rsidR="00660CDF" w:rsidRPr="00180522">
          <w:rPr>
            <w:noProof/>
            <w:webHidden/>
            <w:lang w:val="en-GB"/>
          </w:rPr>
          <w:fldChar w:fldCharType="end"/>
        </w:r>
      </w:hyperlink>
    </w:p>
    <w:p w14:paraId="0CE8464F" w14:textId="32D91321"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75" w:history="1">
        <w:r w:rsidR="00660CDF" w:rsidRPr="00180522">
          <w:rPr>
            <w:rStyle w:val="Hyperlink"/>
            <w:noProof/>
            <w:lang w:val="en-GB"/>
          </w:rPr>
          <w:t>11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Publications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_Toc18509775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26</w:t>
        </w:r>
        <w:r w:rsidR="00660CDF" w:rsidRPr="00180522">
          <w:rPr>
            <w:noProof/>
            <w:webHidden/>
            <w:lang w:val="en-GB"/>
          </w:rPr>
          <w:fldChar w:fldCharType="end"/>
        </w:r>
      </w:hyperlink>
    </w:p>
    <w:p w14:paraId="45DDFB79" w14:textId="53D25483"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76" w:history="1">
        <w:r w:rsidR="00660CDF" w:rsidRPr="00180522">
          <w:rPr>
            <w:rStyle w:val="Hyperlink"/>
            <w:noProof/>
            <w:lang w:val="en-GB"/>
          </w:rPr>
          <w:t>Figure 4 – Number of Recommendations, amendments and Supplements  published per year since 2016</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_Toc18509776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26</w:t>
        </w:r>
        <w:r w:rsidR="00660CDF" w:rsidRPr="00180522">
          <w:rPr>
            <w:noProof/>
            <w:webHidden/>
            <w:lang w:val="en-GB"/>
          </w:rPr>
          <w:fldChar w:fldCharType="end"/>
        </w:r>
      </w:hyperlink>
    </w:p>
    <w:p w14:paraId="70052254" w14:textId="4B7441E3"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77" w:history="1">
        <w:r w:rsidR="00660CDF" w:rsidRPr="00180522">
          <w:rPr>
            <w:rStyle w:val="Hyperlink"/>
            <w:noProof/>
            <w:lang w:val="en-GB"/>
          </w:rPr>
          <w:t>12</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Media and promotion</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_Toc18509777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26</w:t>
        </w:r>
        <w:r w:rsidR="00660CDF" w:rsidRPr="00180522">
          <w:rPr>
            <w:noProof/>
            <w:webHidden/>
            <w:lang w:val="en-GB"/>
          </w:rPr>
          <w:fldChar w:fldCharType="end"/>
        </w:r>
      </w:hyperlink>
    </w:p>
    <w:p w14:paraId="1002D466" w14:textId="048B4A77"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78" w:history="1">
        <w:r w:rsidR="00660CDF" w:rsidRPr="00180522">
          <w:rPr>
            <w:rStyle w:val="Hyperlink"/>
            <w:noProof/>
            <w:lang w:val="en-GB"/>
          </w:rPr>
          <w:t>13</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Services and tools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_Toc18509778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27</w:t>
        </w:r>
        <w:r w:rsidR="00660CDF" w:rsidRPr="00180522">
          <w:rPr>
            <w:noProof/>
            <w:webHidden/>
            <w:lang w:val="en-GB"/>
          </w:rPr>
          <w:fldChar w:fldCharType="end"/>
        </w:r>
      </w:hyperlink>
    </w:p>
    <w:p w14:paraId="579B0579" w14:textId="39DEFAEA"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79" w:history="1">
        <w:r w:rsidR="00660CDF" w:rsidRPr="00180522">
          <w:rPr>
            <w:rStyle w:val="Hyperlink"/>
            <w:noProof/>
            <w:lang w:val="en-GB"/>
          </w:rPr>
          <w:t>13.1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ITU-T databases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_Toc18509779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27</w:t>
        </w:r>
        <w:r w:rsidR="00660CDF" w:rsidRPr="00180522">
          <w:rPr>
            <w:noProof/>
            <w:webHidden/>
            <w:lang w:val="en-GB"/>
          </w:rPr>
          <w:fldChar w:fldCharType="end"/>
        </w:r>
      </w:hyperlink>
    </w:p>
    <w:p w14:paraId="712DEA8A" w14:textId="0B25EEC3"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0" w:history="1">
        <w:r w:rsidR="00660CDF" w:rsidRPr="00180522">
          <w:rPr>
            <w:rStyle w:val="Hyperlink"/>
            <w:noProof/>
            <w:lang w:val="en-GB"/>
          </w:rPr>
          <w:t>13.2</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ITU-T MyWorkspace</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_Toc18509780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27</w:t>
        </w:r>
        <w:r w:rsidR="00660CDF" w:rsidRPr="00180522">
          <w:rPr>
            <w:noProof/>
            <w:webHidden/>
            <w:lang w:val="en-GB"/>
          </w:rPr>
          <w:fldChar w:fldCharType="end"/>
        </w:r>
      </w:hyperlink>
    </w:p>
    <w:p w14:paraId="098BAC71" w14:textId="52F8CD56"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1" w:history="1">
        <w:r w:rsidR="00660CDF" w:rsidRPr="00180522">
          <w:rPr>
            <w:rStyle w:val="Hyperlink"/>
            <w:noProof/>
            <w:lang w:val="en-GB"/>
          </w:rPr>
          <w:t>13.3</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ITU search engine</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_Toc18509781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28</w:t>
        </w:r>
        <w:r w:rsidR="00660CDF" w:rsidRPr="00180522">
          <w:rPr>
            <w:noProof/>
            <w:webHidden/>
            <w:lang w:val="en-GB"/>
          </w:rPr>
          <w:fldChar w:fldCharType="end"/>
        </w:r>
      </w:hyperlink>
    </w:p>
    <w:p w14:paraId="4E632BB7" w14:textId="3BC98908"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2" w:history="1">
        <w:r w:rsidR="00660CDF" w:rsidRPr="00180522">
          <w:rPr>
            <w:rStyle w:val="Hyperlink"/>
            <w:noProof/>
            <w:lang w:val="en-GB"/>
          </w:rPr>
          <w:t>13.4</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ITU-T services &amp; tools announcements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_Toc18509782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28</w:t>
        </w:r>
        <w:r w:rsidR="00660CDF" w:rsidRPr="00180522">
          <w:rPr>
            <w:noProof/>
            <w:webHidden/>
            <w:lang w:val="en-GB"/>
          </w:rPr>
          <w:fldChar w:fldCharType="end"/>
        </w:r>
      </w:hyperlink>
    </w:p>
    <w:p w14:paraId="4D90DBF4" w14:textId="47C39206"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3" w:history="1">
        <w:r w:rsidR="00660CDF" w:rsidRPr="00180522">
          <w:rPr>
            <w:rStyle w:val="Hyperlink"/>
            <w:noProof/>
            <w:lang w:val="en-GB"/>
          </w:rPr>
          <w:t>13.5</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Document Management System for Rapporteur Groups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_Toc18509783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28</w:t>
        </w:r>
        <w:r w:rsidR="00660CDF" w:rsidRPr="00180522">
          <w:rPr>
            <w:noProof/>
            <w:webHidden/>
            <w:lang w:val="en-GB"/>
          </w:rPr>
          <w:fldChar w:fldCharType="end"/>
        </w:r>
      </w:hyperlink>
    </w:p>
    <w:p w14:paraId="4952FCA0" w14:textId="3879CD20"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4" w:history="1">
        <w:r w:rsidR="00660CDF" w:rsidRPr="00180522">
          <w:rPr>
            <w:rStyle w:val="Hyperlink"/>
            <w:noProof/>
            <w:lang w:val="en-GB"/>
          </w:rPr>
          <w:t>13.6</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International Numbering Resources (INRs)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_Toc18509784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29</w:t>
        </w:r>
        <w:r w:rsidR="00660CDF" w:rsidRPr="00180522">
          <w:rPr>
            <w:noProof/>
            <w:webHidden/>
            <w:lang w:val="en-GB"/>
          </w:rPr>
          <w:fldChar w:fldCharType="end"/>
        </w:r>
      </w:hyperlink>
    </w:p>
    <w:p w14:paraId="0FB26FED" w14:textId="514906A0"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5" w:history="1">
        <w:r w:rsidR="00660CDF" w:rsidRPr="00180522">
          <w:rPr>
            <w:rStyle w:val="Hyperlink"/>
            <w:noProof/>
            <w:lang w:val="en-GB"/>
          </w:rPr>
          <w:t>13.7</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ITU-T SharePoint collaboration sites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_Toc18509785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30</w:t>
        </w:r>
        <w:r w:rsidR="00660CDF" w:rsidRPr="00180522">
          <w:rPr>
            <w:noProof/>
            <w:webHidden/>
            <w:lang w:val="en-GB"/>
          </w:rPr>
          <w:fldChar w:fldCharType="end"/>
        </w:r>
      </w:hyperlink>
    </w:p>
    <w:p w14:paraId="4B7C9CDB" w14:textId="136CE4E6"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6" w:history="1">
        <w:r w:rsidR="00660CDF" w:rsidRPr="00180522">
          <w:rPr>
            <w:rStyle w:val="Hyperlink"/>
            <w:noProof/>
            <w:lang w:val="en-GB"/>
          </w:rPr>
          <w:t>13.8</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Meeting Documents Sync Application</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_Toc18509786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31</w:t>
        </w:r>
        <w:r w:rsidR="00660CDF" w:rsidRPr="00180522">
          <w:rPr>
            <w:noProof/>
            <w:webHidden/>
            <w:lang w:val="en-GB"/>
          </w:rPr>
          <w:fldChar w:fldCharType="end"/>
        </w:r>
      </w:hyperlink>
    </w:p>
    <w:p w14:paraId="069A5B86" w14:textId="5BA81A72"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7" w:history="1">
        <w:r w:rsidR="00660CDF" w:rsidRPr="00180522">
          <w:rPr>
            <w:rStyle w:val="Hyperlink"/>
            <w:noProof/>
            <w:lang w:val="en-GB"/>
          </w:rPr>
          <w:t>13.9</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Electronic meetings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_Toc18509787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31</w:t>
        </w:r>
        <w:r w:rsidR="00660CDF" w:rsidRPr="00180522">
          <w:rPr>
            <w:noProof/>
            <w:webHidden/>
            <w:lang w:val="en-GB"/>
          </w:rPr>
          <w:fldChar w:fldCharType="end"/>
        </w:r>
      </w:hyperlink>
    </w:p>
    <w:p w14:paraId="6AB5CE9C" w14:textId="19D5C357"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8" w:history="1">
        <w:r w:rsidR="00660CDF" w:rsidRPr="00180522">
          <w:rPr>
            <w:rStyle w:val="Hyperlink"/>
            <w:noProof/>
            <w:lang w:val="en-GB"/>
          </w:rPr>
          <w:t>13.10</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Use in the ITU-T of the official languages of the Union on an equal footing</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_Toc18509788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32</w:t>
        </w:r>
        <w:r w:rsidR="00660CDF" w:rsidRPr="00180522">
          <w:rPr>
            <w:noProof/>
            <w:webHidden/>
            <w:lang w:val="en-GB"/>
          </w:rPr>
          <w:fldChar w:fldCharType="end"/>
        </w:r>
      </w:hyperlink>
    </w:p>
    <w:p w14:paraId="5BC439F2" w14:textId="4DA8D3B5" w:rsidR="00660CDF" w:rsidRPr="00180522" w:rsidRDefault="007706CC">
      <w:pPr>
        <w:pStyle w:val="TOC2"/>
        <w:rPr>
          <w:rFonts w:asciiTheme="minorHAnsi" w:eastAsiaTheme="minorEastAsia" w:hAnsiTheme="minorHAnsi" w:cstheme="minorBidi"/>
          <w:noProof/>
          <w:sz w:val="22"/>
          <w:szCs w:val="22"/>
          <w:lang w:val="en-GB" w:eastAsia="en-GB"/>
        </w:rPr>
      </w:pPr>
      <w:hyperlink w:anchor="_Toc18509789" w:history="1">
        <w:r w:rsidR="00660CDF" w:rsidRPr="00180522">
          <w:rPr>
            <w:rStyle w:val="Hyperlink"/>
            <w:noProof/>
            <w:lang w:val="en-GB"/>
          </w:rPr>
          <w:t>13.11</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Workshops and symposia</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_Toc18509789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32</w:t>
        </w:r>
        <w:r w:rsidR="00660CDF" w:rsidRPr="00180522">
          <w:rPr>
            <w:noProof/>
            <w:webHidden/>
            <w:lang w:val="en-GB"/>
          </w:rPr>
          <w:fldChar w:fldCharType="end"/>
        </w:r>
      </w:hyperlink>
    </w:p>
    <w:p w14:paraId="11EFDBBF" w14:textId="1D4F5352"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90" w:history="1">
        <w:r w:rsidR="00660CDF" w:rsidRPr="00180522">
          <w:rPr>
            <w:rStyle w:val="Hyperlink"/>
            <w:noProof/>
            <w:lang w:val="en-GB"/>
          </w:rPr>
          <w:t>14</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Implementation of WTSA Resolutions and A-series ITU-T Recommendations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_Toc18509790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35</w:t>
        </w:r>
        <w:r w:rsidR="00660CDF" w:rsidRPr="00180522">
          <w:rPr>
            <w:noProof/>
            <w:webHidden/>
            <w:lang w:val="en-GB"/>
          </w:rPr>
          <w:fldChar w:fldCharType="end"/>
        </w:r>
      </w:hyperlink>
    </w:p>
    <w:p w14:paraId="39CDF844" w14:textId="07100E20"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91" w:history="1">
        <w:r w:rsidR="00660CDF" w:rsidRPr="00180522">
          <w:rPr>
            <w:rStyle w:val="Hyperlink"/>
            <w:noProof/>
            <w:lang w:val="en-GB"/>
          </w:rPr>
          <w:t>15</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ITU-T's activities in the implementation of WSIS and the Sustainable Development Goals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_Toc18509791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35</w:t>
        </w:r>
        <w:r w:rsidR="00660CDF" w:rsidRPr="00180522">
          <w:rPr>
            <w:noProof/>
            <w:webHidden/>
            <w:lang w:val="en-GB"/>
          </w:rPr>
          <w:fldChar w:fldCharType="end"/>
        </w:r>
      </w:hyperlink>
    </w:p>
    <w:p w14:paraId="2DBA264A" w14:textId="413B8E63"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92" w:history="1">
        <w:r w:rsidR="00660CDF" w:rsidRPr="00180522">
          <w:rPr>
            <w:rStyle w:val="Hyperlink"/>
            <w:noProof/>
            <w:lang w:val="en-GB"/>
          </w:rPr>
          <w:t>16</w:t>
        </w:r>
        <w:r w:rsidR="00660CDF" w:rsidRPr="00180522">
          <w:rPr>
            <w:rFonts w:asciiTheme="minorHAnsi" w:eastAsiaTheme="minorEastAsia" w:hAnsiTheme="minorHAnsi" w:cstheme="minorBidi"/>
            <w:noProof/>
            <w:sz w:val="22"/>
            <w:szCs w:val="22"/>
            <w:lang w:val="en-GB" w:eastAsia="en-GB"/>
          </w:rPr>
          <w:tab/>
        </w:r>
        <w:r w:rsidR="00660CDF" w:rsidRPr="00180522">
          <w:rPr>
            <w:rStyle w:val="Hyperlink"/>
            <w:noProof/>
            <w:lang w:val="en-GB"/>
          </w:rPr>
          <w:t>Implementation of trial authorized by TSAG (July 2016 meeting)</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_Toc18509792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36</w:t>
        </w:r>
        <w:r w:rsidR="00660CDF" w:rsidRPr="00180522">
          <w:rPr>
            <w:noProof/>
            <w:webHidden/>
            <w:lang w:val="en-GB"/>
          </w:rPr>
          <w:fldChar w:fldCharType="end"/>
        </w:r>
      </w:hyperlink>
    </w:p>
    <w:p w14:paraId="595BB9B3" w14:textId="042F3A58" w:rsidR="00660CDF" w:rsidRPr="00180522" w:rsidRDefault="007706CC">
      <w:pPr>
        <w:pStyle w:val="TOC1"/>
        <w:rPr>
          <w:rFonts w:asciiTheme="minorHAnsi" w:eastAsiaTheme="minorEastAsia" w:hAnsiTheme="minorHAnsi" w:cstheme="minorBidi"/>
          <w:noProof/>
          <w:sz w:val="22"/>
          <w:szCs w:val="22"/>
          <w:lang w:val="en-GB" w:eastAsia="en-GB"/>
        </w:rPr>
      </w:pPr>
      <w:hyperlink w:anchor="_Toc18509793" w:history="1">
        <w:r w:rsidR="00660CDF" w:rsidRPr="00180522">
          <w:rPr>
            <w:rStyle w:val="Hyperlink"/>
            <w:noProof/>
            <w:lang w:val="en-GB"/>
          </w:rPr>
          <w:t>Appendix I – List of approved Recommendations and other approved texts</w:t>
        </w:r>
        <w:r w:rsidR="00660CDF" w:rsidRPr="00180522">
          <w:rPr>
            <w:noProof/>
            <w:webHidden/>
            <w:lang w:val="en-GB"/>
          </w:rPr>
          <w:tab/>
        </w:r>
        <w:r w:rsidR="00660CDF" w:rsidRPr="00180522">
          <w:rPr>
            <w:noProof/>
            <w:webHidden/>
            <w:lang w:val="en-GB"/>
          </w:rPr>
          <w:fldChar w:fldCharType="begin"/>
        </w:r>
        <w:r w:rsidR="00660CDF" w:rsidRPr="00180522">
          <w:rPr>
            <w:noProof/>
            <w:webHidden/>
            <w:lang w:val="en-GB"/>
          </w:rPr>
          <w:instrText xml:space="preserve"> PAGEREF _Toc18509793 \h </w:instrText>
        </w:r>
        <w:r w:rsidR="00660CDF" w:rsidRPr="00180522">
          <w:rPr>
            <w:noProof/>
            <w:webHidden/>
            <w:lang w:val="en-GB"/>
          </w:rPr>
        </w:r>
        <w:r w:rsidR="00660CDF" w:rsidRPr="00180522">
          <w:rPr>
            <w:noProof/>
            <w:webHidden/>
            <w:lang w:val="en-GB"/>
          </w:rPr>
          <w:fldChar w:fldCharType="separate"/>
        </w:r>
        <w:r w:rsidR="00660CDF" w:rsidRPr="00180522">
          <w:rPr>
            <w:noProof/>
            <w:webHidden/>
            <w:lang w:val="en-GB"/>
          </w:rPr>
          <w:t>37</w:t>
        </w:r>
        <w:r w:rsidR="00660CDF" w:rsidRPr="00180522">
          <w:rPr>
            <w:noProof/>
            <w:webHidden/>
            <w:lang w:val="en-GB"/>
          </w:rPr>
          <w:fldChar w:fldCharType="end"/>
        </w:r>
      </w:hyperlink>
    </w:p>
    <w:p w14:paraId="03D6DC3B" w14:textId="6F47B9C8" w:rsidR="006944F8" w:rsidRPr="00180522" w:rsidRDefault="006944F8" w:rsidP="00C1421E">
      <w:pPr>
        <w:rPr>
          <w:highlight w:val="yellow"/>
          <w:lang w:val="en-GB"/>
        </w:rPr>
      </w:pPr>
      <w:r w:rsidRPr="00180522">
        <w:rPr>
          <w:rFonts w:eastAsia="Malgun Gothic"/>
          <w:highlight w:val="yellow"/>
          <w:lang w:val="en-GB" w:eastAsia="ko-KR"/>
        </w:rPr>
        <w:fldChar w:fldCharType="end"/>
      </w:r>
    </w:p>
    <w:p w14:paraId="64CB697F" w14:textId="3FAA64BB" w:rsidR="006944F8" w:rsidRPr="00180522" w:rsidRDefault="006944F8" w:rsidP="006944F8">
      <w:pPr>
        <w:pStyle w:val="Heading1"/>
        <w:pageBreakBefore/>
        <w:jc w:val="center"/>
      </w:pPr>
      <w:bookmarkStart w:id="3" w:name="_Toc480527764"/>
      <w:bookmarkStart w:id="4" w:name="_Toc18509733"/>
      <w:r w:rsidRPr="00180522">
        <w:lastRenderedPageBreak/>
        <w:t>Executive Summary</w:t>
      </w:r>
      <w:bookmarkEnd w:id="3"/>
      <w:bookmarkEnd w:id="4"/>
    </w:p>
    <w:p w14:paraId="218DA434" w14:textId="77777777" w:rsidR="00655325" w:rsidRPr="00180522" w:rsidRDefault="00655325" w:rsidP="00655325">
      <w:pPr>
        <w:pStyle w:val="Headingb"/>
        <w:rPr>
          <w:i/>
          <w:iCs/>
          <w:szCs w:val="24"/>
        </w:rPr>
      </w:pPr>
      <w:r w:rsidRPr="00180522">
        <w:rPr>
          <w:i/>
          <w:iCs/>
          <w:szCs w:val="24"/>
        </w:rPr>
        <w:t>Selection of achievements in ITU-T standardization</w:t>
      </w:r>
    </w:p>
    <w:p w14:paraId="51E11344" w14:textId="77777777" w:rsidR="00655325" w:rsidRPr="00180522" w:rsidRDefault="00655325" w:rsidP="00655325">
      <w:pPr>
        <w:rPr>
          <w:lang w:val="en-GB"/>
        </w:rPr>
      </w:pPr>
      <w:r w:rsidRPr="00180522">
        <w:rPr>
          <w:lang w:val="en-GB"/>
        </w:rPr>
        <w:t>ITU approved more than 300 new and revised ITU-T Recommendations from 1 October 2018 to 31 August 2019. Appendix I lists these ITU-T Recommendations and related texts and summarizes their contents.</w:t>
      </w:r>
    </w:p>
    <w:p w14:paraId="42ACF045" w14:textId="77777777" w:rsidR="00655325" w:rsidRPr="00180522" w:rsidRDefault="00655325" w:rsidP="00655325">
      <w:pPr>
        <w:rPr>
          <w:lang w:val="en-GB"/>
        </w:rPr>
      </w:pPr>
      <w:r w:rsidRPr="00180522">
        <w:rPr>
          <w:lang w:val="en-GB"/>
        </w:rPr>
        <w:t>IMT-2020 (5G) transport projects have built strong momentum. Passive Optical Network (PON), Carrier Ethernet and Optical Transport Network (OTN) are among the technologies standardized by ITU-T with significant potential to support 5G systems.</w:t>
      </w:r>
    </w:p>
    <w:p w14:paraId="7F8A555D" w14:textId="77777777" w:rsidR="00655325" w:rsidRPr="00180522" w:rsidRDefault="00655325" w:rsidP="00655325">
      <w:pPr>
        <w:rPr>
          <w:lang w:val="en-GB"/>
        </w:rPr>
      </w:pPr>
      <w:r w:rsidRPr="00180522">
        <w:rPr>
          <w:lang w:val="en-GB"/>
        </w:rPr>
        <w:t>A new ITU standard has established a basis for the cost-effective integration of Machine Learning into 5G and future networks. The standard describes an architectural framework for networks to accommodate current as well as future use cases of Machine Learning.</w:t>
      </w:r>
    </w:p>
    <w:p w14:paraId="78F9C9DE" w14:textId="69746A43" w:rsidR="00655325" w:rsidRPr="00180522" w:rsidRDefault="00655325" w:rsidP="00655325">
      <w:pPr>
        <w:rPr>
          <w:lang w:val="en-GB"/>
        </w:rPr>
      </w:pPr>
      <w:r w:rsidRPr="00180522">
        <w:rPr>
          <w:lang w:val="en-GB"/>
        </w:rPr>
        <w:t xml:space="preserve">A new ITU standard for high-speed indoor ‘visible light communication’ (VLC), also known as ‘LiFi’, will establish the foundations for the growth of the VLC market. The standard is fundamental to the </w:t>
      </w:r>
      <w:r w:rsidR="007706CC" w:rsidRPr="00180522">
        <w:rPr>
          <w:lang w:val="en-GB"/>
        </w:rPr>
        <w:t>collaboration</w:t>
      </w:r>
      <w:r w:rsidRPr="00180522">
        <w:rPr>
          <w:lang w:val="en-GB"/>
        </w:rPr>
        <w:t xml:space="preserve"> of the connectivity and lighting industries. </w:t>
      </w:r>
    </w:p>
    <w:p w14:paraId="21C237DF" w14:textId="77777777" w:rsidR="00655325" w:rsidRPr="00180522" w:rsidRDefault="00655325" w:rsidP="00655325">
      <w:pPr>
        <w:rPr>
          <w:lang w:val="en-GB"/>
        </w:rPr>
      </w:pPr>
      <w:r w:rsidRPr="00180522">
        <w:rPr>
          <w:lang w:val="en-GB"/>
        </w:rPr>
        <w:t>A revision of a key ITU standard provides for multi-vendor interoperable 100G DWDM coherent line interfaces. The standard interfaces will accelerate industry innovation to achieve greater capacity in metro networks.</w:t>
      </w:r>
    </w:p>
    <w:p w14:paraId="32E620FB" w14:textId="77777777" w:rsidR="00655325" w:rsidRPr="00180522" w:rsidRDefault="00655325" w:rsidP="00655325">
      <w:pPr>
        <w:rPr>
          <w:lang w:val="en-GB"/>
        </w:rPr>
      </w:pPr>
      <w:r w:rsidRPr="00180522">
        <w:rPr>
          <w:lang w:val="en-GB"/>
        </w:rPr>
        <w:t>New ITU standards aim to bring high-speed broadband services to rural communities with lightweight, terabit-capable optical cable that can be deployed on the ground’s surface with minimal expense and environmental impact.</w:t>
      </w:r>
    </w:p>
    <w:p w14:paraId="418C1526" w14:textId="77777777" w:rsidR="00655325" w:rsidRPr="00180522" w:rsidRDefault="00655325" w:rsidP="00655325">
      <w:pPr>
        <w:rPr>
          <w:lang w:val="en-GB"/>
        </w:rPr>
      </w:pPr>
      <w:r w:rsidRPr="00180522">
        <w:rPr>
          <w:lang w:val="en-GB"/>
        </w:rPr>
        <w:t xml:space="preserve">A new ITU standard provides criteria for the evaluation of the environmental impact of mobile phones. Another new ITU standard provides guidelines and certification schemes for e-waste recyclers. </w:t>
      </w:r>
    </w:p>
    <w:p w14:paraId="36143616" w14:textId="77777777" w:rsidR="00655325" w:rsidRPr="00180522" w:rsidRDefault="00655325" w:rsidP="00655325">
      <w:pPr>
        <w:rPr>
          <w:lang w:val="en-GB"/>
        </w:rPr>
      </w:pPr>
      <w:r w:rsidRPr="00180522">
        <w:rPr>
          <w:lang w:val="en-GB"/>
        </w:rPr>
        <w:t>Two new ITU standards aim to overcome the security limitations of passwords, addressing biometric authentication on mobile devices and the use of external authenticators, such as mobile devices, to authenticate Web users. The specifications were submitted to ITU by the FIDO Alliance (‘Fast Identity Online’).</w:t>
      </w:r>
    </w:p>
    <w:p w14:paraId="5C6AA887" w14:textId="4C894BC7" w:rsidR="004178F8" w:rsidRPr="00180522" w:rsidRDefault="004178F8" w:rsidP="004178F8">
      <w:pPr>
        <w:rPr>
          <w:lang w:val="en-GB"/>
        </w:rPr>
      </w:pPr>
      <w:r w:rsidRPr="00180522">
        <w:rPr>
          <w:lang w:val="en-GB"/>
        </w:rPr>
        <w:t xml:space="preserve">Two new ITU standards address the relationship between voice QoS and 4G circuit-switched </w:t>
      </w:r>
      <w:proofErr w:type="spellStart"/>
      <w:r w:rsidRPr="00180522">
        <w:rPr>
          <w:lang w:val="en-GB"/>
        </w:rPr>
        <w:t>fallback</w:t>
      </w:r>
      <w:proofErr w:type="spellEnd"/>
      <w:r w:rsidRPr="00180522">
        <w:rPr>
          <w:lang w:val="en-GB"/>
        </w:rPr>
        <w:t xml:space="preserve">, and best practices for the measurement of QoS in mobile networks. A revised ITU standard details the factors influencing end-to-end QoS for 4G voice. The E-Model, supporting high-quality voice, now addresses both wideband (50-7000 Hz) and </w:t>
      </w:r>
      <w:proofErr w:type="spellStart"/>
      <w:r w:rsidRPr="00180522">
        <w:rPr>
          <w:lang w:val="en-GB"/>
        </w:rPr>
        <w:t>fullband</w:t>
      </w:r>
      <w:proofErr w:type="spellEnd"/>
      <w:r w:rsidRPr="00180522">
        <w:rPr>
          <w:lang w:val="en-GB"/>
        </w:rPr>
        <w:t xml:space="preserve"> (20-20000 Hz). </w:t>
      </w:r>
    </w:p>
    <w:p w14:paraId="7F6489A5" w14:textId="77777777" w:rsidR="00655325" w:rsidRPr="00180522" w:rsidRDefault="00655325" w:rsidP="00655325">
      <w:pPr>
        <w:rPr>
          <w:lang w:val="en-GB"/>
        </w:rPr>
      </w:pPr>
      <w:r w:rsidRPr="00180522">
        <w:rPr>
          <w:lang w:val="en-GB"/>
        </w:rPr>
        <w:t>Three new ITU standards address economic and policy issues relevant to international communications, in particular the relationship between network operators and providers of over-the-top (OTT) services, competition in mobile financial services, and principles for a unified format of price/tariffs/rates-lists used for exchanging telephone traffic.</w:t>
      </w:r>
    </w:p>
    <w:p w14:paraId="4F017C5F" w14:textId="77777777" w:rsidR="00655325" w:rsidRPr="00180522" w:rsidRDefault="00655325" w:rsidP="00655325">
      <w:pPr>
        <w:rPr>
          <w:lang w:val="en-GB"/>
        </w:rPr>
      </w:pPr>
      <w:r w:rsidRPr="00180522">
        <w:rPr>
          <w:lang w:val="en-GB"/>
        </w:rPr>
        <w:t>A new ITU standard describes a framework for solutions to combat counterfeit ICT devices, providing the reference framework and requirements to be considered when deploying solutions to combat the circulation and use of counterfeit ICT devices.</w:t>
      </w:r>
    </w:p>
    <w:p w14:paraId="070D250D" w14:textId="77777777" w:rsidR="00655325" w:rsidRPr="00180522" w:rsidRDefault="00655325" w:rsidP="00655325">
      <w:pPr>
        <w:rPr>
          <w:lang w:val="en-GB"/>
        </w:rPr>
      </w:pPr>
      <w:r w:rsidRPr="00180522">
        <w:rPr>
          <w:lang w:val="en-GB"/>
        </w:rPr>
        <w:t>ITU has established a new standards database to assist the harmonization of standards for intelligent transport systems (ITS). The database includes ITS standards developed by all relevant standards bodies, providing a reference to all standards supporting connected vehicles and automated driving.</w:t>
      </w:r>
    </w:p>
    <w:p w14:paraId="1E5323B7" w14:textId="03F02BFD" w:rsidR="00655325" w:rsidRPr="00180522" w:rsidRDefault="00655325" w:rsidP="00655325">
      <w:pPr>
        <w:rPr>
          <w:lang w:val="en-GB"/>
        </w:rPr>
      </w:pPr>
      <w:r w:rsidRPr="00180522">
        <w:rPr>
          <w:lang w:val="en-GB"/>
        </w:rPr>
        <w:t xml:space="preserve">Three ITU-T Focus Groups have concluded their </w:t>
      </w:r>
      <w:r w:rsidR="00814DDA" w:rsidRPr="00180522">
        <w:rPr>
          <w:lang w:val="en-GB"/>
        </w:rPr>
        <w:t>activities</w:t>
      </w:r>
      <w:r w:rsidRPr="00180522">
        <w:rPr>
          <w:lang w:val="en-GB"/>
        </w:rPr>
        <w:t xml:space="preserve">. The deliverables of the ITU-T Focus Group on ‘Data Processing and Management to support IoT and Smart Cities &amp; Communities’ has submitted its deliverables to ITU-T SG20. The deliverables of the ITU-T Focus Groups on ‘Digital Currency including Digital Fiat Currency’ and ‘Application of Distributed Ledger Technologies’ have been submitted for the consideration of this TSAG meeting. </w:t>
      </w:r>
    </w:p>
    <w:p w14:paraId="768DDB99" w14:textId="77777777" w:rsidR="00655325" w:rsidRPr="00180522" w:rsidRDefault="00655325" w:rsidP="00655325">
      <w:pPr>
        <w:rPr>
          <w:b/>
          <w:i/>
          <w:lang w:val="en-GB"/>
        </w:rPr>
      </w:pPr>
      <w:r w:rsidRPr="00180522">
        <w:rPr>
          <w:b/>
          <w:i/>
          <w:lang w:val="en-GB"/>
        </w:rPr>
        <w:lastRenderedPageBreak/>
        <w:t xml:space="preserve">Supporting collaboration </w:t>
      </w:r>
    </w:p>
    <w:p w14:paraId="3B2E7EA8" w14:textId="77777777" w:rsidR="00655325" w:rsidRPr="00180522" w:rsidRDefault="00655325" w:rsidP="00655325">
      <w:pPr>
        <w:rPr>
          <w:lang w:val="en-GB"/>
        </w:rPr>
      </w:pPr>
      <w:r w:rsidRPr="00180522">
        <w:rPr>
          <w:lang w:val="en-GB"/>
        </w:rPr>
        <w:t xml:space="preserve">ITU and Stanford University, a new ITU Academia member, have agreed to launch a partnership to support pilot implementations of Digital Fiat Currency, digital currency authorized and issued by a Central Bank. The partnership responds to call from participants in the ITU-T Focus Group on ‘Digital Currency including Digital Fiat Currency’ for a new forum to continue their work. </w:t>
      </w:r>
    </w:p>
    <w:p w14:paraId="01BDD976" w14:textId="77777777" w:rsidR="00655325" w:rsidRPr="00180522" w:rsidRDefault="00655325" w:rsidP="00655325">
      <w:pPr>
        <w:rPr>
          <w:lang w:val="en-GB"/>
        </w:rPr>
      </w:pPr>
      <w:r w:rsidRPr="00180522">
        <w:rPr>
          <w:lang w:val="en-GB"/>
        </w:rPr>
        <w:t>More than 100 cities worldwide are measuring their progress using ‘Key Performance Indicators for Smart Sustainable Cities’ based on ITU standards, indicators promoted by the ‘</w:t>
      </w:r>
      <w:hyperlink r:id="rId13" w:history="1">
        <w:r w:rsidRPr="00180522">
          <w:rPr>
            <w:rStyle w:val="Hyperlink"/>
            <w:lang w:val="en-GB"/>
          </w:rPr>
          <w:t>United for Smart Sustainable Cities (U4SSC) initiative</w:t>
        </w:r>
      </w:hyperlink>
      <w:r w:rsidRPr="00180522">
        <w:rPr>
          <w:lang w:val="en-GB"/>
        </w:rPr>
        <w:t>’. ITU case studies have evaluated the progress achieved in the smart city projects of Dubai, Singapore and Moscow, evaluations undertaken using the Key Performance Indicators.</w:t>
      </w:r>
    </w:p>
    <w:p w14:paraId="6B4C42F4" w14:textId="77777777" w:rsidR="00655325" w:rsidRPr="00180522" w:rsidRDefault="00655325" w:rsidP="00655325">
      <w:pPr>
        <w:rPr>
          <w:lang w:val="en-GB"/>
        </w:rPr>
      </w:pPr>
      <w:r w:rsidRPr="00180522">
        <w:rPr>
          <w:lang w:val="en-GB"/>
        </w:rPr>
        <w:t xml:space="preserve">The </w:t>
      </w:r>
      <w:hyperlink r:id="rId14" w:history="1">
        <w:r w:rsidRPr="00180522">
          <w:rPr>
            <w:rStyle w:val="Hyperlink"/>
            <w:lang w:val="en-GB"/>
          </w:rPr>
          <w:t>new ITU-WHO Safe Listening Toolkit</w:t>
        </w:r>
      </w:hyperlink>
      <w:r w:rsidRPr="00180522">
        <w:rPr>
          <w:lang w:val="en-GB"/>
        </w:rPr>
        <w:t xml:space="preserve"> provides practical guidance relevant to the adoption of the ITU standard on the safe listening of 'personal or portable audio systems' (particularly music players), in support of the WHO ‘Make Listening Safe’ initiative. In addition, a new ITU standard provides safe listening guidelines for personal sound amplifiers.</w:t>
      </w:r>
    </w:p>
    <w:p w14:paraId="67B18898" w14:textId="77777777" w:rsidR="00655325" w:rsidRPr="00180522" w:rsidRDefault="00655325" w:rsidP="00655325">
      <w:pPr>
        <w:rPr>
          <w:lang w:val="en-GB"/>
        </w:rPr>
      </w:pPr>
      <w:r w:rsidRPr="00180522">
        <w:rPr>
          <w:lang w:val="en-GB"/>
        </w:rPr>
        <w:t xml:space="preserve">ITU-T has finalized </w:t>
      </w:r>
      <w:hyperlink r:id="rId15" w:history="1">
        <w:r w:rsidRPr="00180522">
          <w:rPr>
            <w:rStyle w:val="Hyperlink"/>
            <w:lang w:val="en-GB"/>
          </w:rPr>
          <w:t>new Guidelines for National Standardization Secretariats (NSS)</w:t>
        </w:r>
      </w:hyperlink>
      <w:r w:rsidRPr="00180522">
        <w:rPr>
          <w:lang w:val="en-GB"/>
        </w:rPr>
        <w:t xml:space="preserve">, taking into account the Membership feedback on the Guidelines first published in 2014. The new Guidelines set out a number of options for developing national procedures and processes to support effective participation in the ITU-T standards-development process. The Guidelines were developed as part of </w:t>
      </w:r>
      <w:hyperlink r:id="rId16" w:history="1">
        <w:r w:rsidRPr="00180522">
          <w:rPr>
            <w:rStyle w:val="Hyperlink"/>
            <w:lang w:val="en-GB"/>
          </w:rPr>
          <w:t>ITU’s Bridging the Standardization Gap (BSG) programme</w:t>
        </w:r>
      </w:hyperlink>
      <w:r w:rsidRPr="00180522">
        <w:rPr>
          <w:lang w:val="en-GB"/>
        </w:rPr>
        <w:t>.</w:t>
      </w:r>
    </w:p>
    <w:p w14:paraId="20D22D07" w14:textId="77777777" w:rsidR="00655325" w:rsidRPr="00180522" w:rsidRDefault="00655325" w:rsidP="00655325">
      <w:pPr>
        <w:spacing w:after="120"/>
        <w:rPr>
          <w:szCs w:val="24"/>
          <w:lang w:val="en-GB"/>
        </w:rPr>
      </w:pPr>
      <w:r w:rsidRPr="00180522">
        <w:rPr>
          <w:szCs w:val="24"/>
          <w:lang w:val="en-GB"/>
        </w:rPr>
        <w:t xml:space="preserve">ITU celebrated the 50th anniversary of </w:t>
      </w:r>
      <w:hyperlink r:id="rId17" w:history="1">
        <w:r w:rsidRPr="00180522">
          <w:rPr>
            <w:rStyle w:val="Hyperlink"/>
            <w:szCs w:val="24"/>
            <w:lang w:val="en-GB"/>
          </w:rPr>
          <w:t>World Telecommunication and Information Society Day (WTISD)</w:t>
        </w:r>
      </w:hyperlink>
      <w:r w:rsidRPr="00180522">
        <w:rPr>
          <w:szCs w:val="24"/>
          <w:lang w:val="en-GB"/>
        </w:rPr>
        <w:t xml:space="preserve"> at ITU headquarters in Geneva on 17 May 2019. The theme for WTISD 2019 was "Bridging the standardization gap". WTISD celebrations featured a panel discussion on the importance of inclusive international standards for digital health, digital financial inclusion, and smart cities and communities. Six award winners were honoured for their significant contributions to ITU’s work to bridge the standardization gap. </w:t>
      </w:r>
    </w:p>
    <w:p w14:paraId="3A16180C" w14:textId="7789A5BA" w:rsidR="00655325" w:rsidRPr="00180522" w:rsidRDefault="00655325" w:rsidP="00655325">
      <w:pPr>
        <w:rPr>
          <w:lang w:val="en-GB"/>
        </w:rPr>
      </w:pPr>
      <w:r w:rsidRPr="00180522">
        <w:rPr>
          <w:lang w:val="en-GB"/>
        </w:rPr>
        <w:t xml:space="preserve">The third </w:t>
      </w:r>
      <w:hyperlink r:id="rId18" w:history="1">
        <w:r w:rsidRPr="00180522">
          <w:rPr>
            <w:rStyle w:val="Hyperlink"/>
            <w:lang w:val="en-GB"/>
          </w:rPr>
          <w:t>AI for Good Global Summit</w:t>
        </w:r>
      </w:hyperlink>
      <w:r w:rsidRPr="00180522">
        <w:rPr>
          <w:lang w:val="en-GB"/>
        </w:rPr>
        <w:t xml:space="preserve"> in Geneva, </w:t>
      </w:r>
      <w:r w:rsidR="00643F00" w:rsidRPr="00180522">
        <w:rPr>
          <w:lang w:val="en-GB"/>
        </w:rPr>
        <w:t>28-31 May 2019, ga</w:t>
      </w:r>
      <w:r w:rsidRPr="00180522">
        <w:rPr>
          <w:lang w:val="en-GB"/>
        </w:rPr>
        <w:t>ve rise to ‘AI Commons’, a framework for collaboration to achieve global impact. The Commons will assist AI development and application in building on the state of the art, enabling AI solutions to scale with the help of shared datasets, testing and simulation environments, AI models and associated software, and storage and computing resources.</w:t>
      </w:r>
    </w:p>
    <w:p w14:paraId="7CA5482B" w14:textId="77777777" w:rsidR="00655325" w:rsidRPr="00180522" w:rsidRDefault="00655325" w:rsidP="00655325">
      <w:pPr>
        <w:rPr>
          <w:lang w:val="en-GB"/>
        </w:rPr>
      </w:pPr>
      <w:r w:rsidRPr="00180522">
        <w:rPr>
          <w:bCs/>
          <w:lang w:val="en-GB"/>
        </w:rPr>
        <w:t xml:space="preserve">The </w:t>
      </w:r>
      <w:hyperlink r:id="rId19" w:history="1">
        <w:r w:rsidRPr="00180522">
          <w:rPr>
            <w:rStyle w:val="Hyperlink"/>
            <w:bCs/>
            <w:lang w:val="en-GB"/>
          </w:rPr>
          <w:t>Financial Inclusion Global Initiative</w:t>
        </w:r>
        <w:r w:rsidRPr="00180522">
          <w:rPr>
            <w:rStyle w:val="Hyperlink"/>
            <w:lang w:val="en-GB"/>
          </w:rPr>
          <w:t xml:space="preserve"> </w:t>
        </w:r>
        <w:r w:rsidRPr="00180522">
          <w:rPr>
            <w:rStyle w:val="Hyperlink"/>
            <w:bCs/>
            <w:lang w:val="en-GB"/>
          </w:rPr>
          <w:t>(FIGI)</w:t>
        </w:r>
      </w:hyperlink>
      <w:r w:rsidRPr="00180522">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 The second FIGI symposium was held in Cairo, Egypt, 22-24 January 2019. </w:t>
      </w:r>
    </w:p>
    <w:p w14:paraId="6BCE8238" w14:textId="77777777" w:rsidR="00655325" w:rsidRPr="00180522" w:rsidRDefault="00655325" w:rsidP="00655325">
      <w:pPr>
        <w:rPr>
          <w:lang w:val="en-GB"/>
        </w:rPr>
      </w:pPr>
      <w:r w:rsidRPr="00180522">
        <w:rPr>
          <w:lang w:val="en-GB"/>
        </w:rPr>
        <w:t xml:space="preserve">The 10th edition of Kaleidoscope, </w:t>
      </w:r>
      <w:hyperlink r:id="rId20" w:history="1">
        <w:r w:rsidRPr="00180522">
          <w:rPr>
            <w:rStyle w:val="Hyperlink"/>
            <w:lang w:val="en-GB"/>
          </w:rPr>
          <w:t>Kaleidoscope 2018: Machine Learning for a 5G future</w:t>
        </w:r>
      </w:hyperlink>
      <w:r w:rsidRPr="00180522">
        <w:rPr>
          <w:lang w:val="en-GB"/>
        </w:rPr>
        <w:t xml:space="preserve">, was held in Santa Fe, Argentina, 26-28 November 2018, hosted by Universidad </w:t>
      </w:r>
      <w:proofErr w:type="spellStart"/>
      <w:r w:rsidRPr="00180522">
        <w:rPr>
          <w:lang w:val="en-GB"/>
        </w:rPr>
        <w:t>Tecnológica</w:t>
      </w:r>
      <w:proofErr w:type="spellEnd"/>
      <w:r w:rsidRPr="00180522">
        <w:rPr>
          <w:lang w:val="en-GB"/>
        </w:rPr>
        <w:t xml:space="preserve"> Nacional. The winning paper, authored by researchers at Japan’s National Institute of Information and Communications Technology, highlighted Machine Learning’s potential to support automated network slicing. </w:t>
      </w:r>
    </w:p>
    <w:p w14:paraId="6C668E0F" w14:textId="77777777" w:rsidR="00655325" w:rsidRPr="00180522" w:rsidRDefault="00655325" w:rsidP="00655325">
      <w:pPr>
        <w:rPr>
          <w:lang w:val="en-GB"/>
        </w:rPr>
      </w:pPr>
      <w:r w:rsidRPr="00180522">
        <w:rPr>
          <w:lang w:val="en-GB"/>
        </w:rPr>
        <w:t>A special issue of the ITU Journal dedicated to the theme ‘</w:t>
      </w:r>
      <w:hyperlink r:id="rId21" w:history="1">
        <w:r w:rsidRPr="00180522">
          <w:rPr>
            <w:rStyle w:val="Hyperlink"/>
            <w:lang w:val="en-GB"/>
          </w:rPr>
          <w:t>Data for Good</w:t>
        </w:r>
      </w:hyperlink>
      <w:r w:rsidRPr="00180522">
        <w:rPr>
          <w:lang w:val="en-GB"/>
        </w:rPr>
        <w:t xml:space="preserve">’ published original academic papers investigating the technical, business and policy challenges underlying effective data management and analysis. Upcoming special issues will address </w:t>
      </w:r>
      <w:proofErr w:type="spellStart"/>
      <w:r w:rsidRPr="00180522">
        <w:rPr>
          <w:lang w:val="en-GB"/>
        </w:rPr>
        <w:t>radiowave</w:t>
      </w:r>
      <w:proofErr w:type="spellEnd"/>
      <w:r w:rsidRPr="00180522">
        <w:rPr>
          <w:lang w:val="en-GB"/>
        </w:rPr>
        <w:t xml:space="preserve"> propagation and the future of video and immersive media. </w:t>
      </w:r>
    </w:p>
    <w:p w14:paraId="3564CF0F" w14:textId="77777777" w:rsidR="00655325" w:rsidRPr="00180522" w:rsidRDefault="00655325" w:rsidP="00655325">
      <w:pPr>
        <w:pStyle w:val="Headingib"/>
      </w:pPr>
      <w:r w:rsidRPr="00180522">
        <w:t>ITU standardization platform</w:t>
      </w:r>
    </w:p>
    <w:p w14:paraId="776844CB" w14:textId="53C9CDEE" w:rsidR="00655325" w:rsidRPr="00180522" w:rsidRDefault="00655325" w:rsidP="00655325">
      <w:pPr>
        <w:rPr>
          <w:rFonts w:eastAsia="Calibri"/>
          <w:szCs w:val="24"/>
          <w:lang w:val="en-GB"/>
        </w:rPr>
      </w:pPr>
      <w:r w:rsidRPr="00180522">
        <w:rPr>
          <w:rFonts w:eastAsia="Calibri"/>
          <w:szCs w:val="24"/>
          <w:lang w:val="en-GB"/>
        </w:rPr>
        <w:t>ITU-T membership has maintained strong growth in 2019</w:t>
      </w:r>
      <w:r w:rsidR="00A4200D" w:rsidRPr="00180522">
        <w:rPr>
          <w:rFonts w:eastAsia="Calibri"/>
          <w:szCs w:val="24"/>
          <w:lang w:val="en-GB"/>
        </w:rPr>
        <w:t>, achieving a net increase of 22</w:t>
      </w:r>
      <w:r w:rsidRPr="00180522">
        <w:rPr>
          <w:rFonts w:eastAsia="Calibri"/>
          <w:szCs w:val="24"/>
          <w:lang w:val="en-GB"/>
        </w:rPr>
        <w:t xml:space="preserve"> memberships since December 2018 (not including Academia). During this period, 14 Sector </w:t>
      </w:r>
      <w:r w:rsidRPr="00180522">
        <w:rPr>
          <w:rFonts w:eastAsia="Calibri"/>
          <w:szCs w:val="24"/>
          <w:lang w:val="en-GB"/>
        </w:rPr>
        <w:lastRenderedPageBreak/>
        <w:t xml:space="preserve">Members and 26 Associates joined ITU-T, amounting to a total of 40 new members. In addition, 16 new Academia members joined, leading to a net increase of four Academia memberships. </w:t>
      </w:r>
      <w:r w:rsidRPr="00180522">
        <w:rPr>
          <w:rFonts w:eastAsia="Calibri"/>
          <w:szCs w:val="24"/>
          <w:lang w:val="en-GB" w:eastAsia="ja-JP"/>
        </w:rPr>
        <w:t xml:space="preserve">New ITU-T members include companies in </w:t>
      </w:r>
      <w:r w:rsidRPr="00180522">
        <w:rPr>
          <w:rFonts w:eastAsia="Calibri"/>
          <w:szCs w:val="24"/>
          <w:lang w:val="en-GB"/>
        </w:rPr>
        <w:t xml:space="preserve">energy and utilities, shipping and logistics, mobile payments, over-the-top applications, automotive, IoT/M2M connectivity, distributed ledger technologies, quantum communications, cybersecurity, AI, and quality of service and experience. </w:t>
      </w:r>
    </w:p>
    <w:p w14:paraId="7624117C" w14:textId="77777777" w:rsidR="00655325" w:rsidRPr="00180522" w:rsidRDefault="00655325" w:rsidP="00655325">
      <w:pPr>
        <w:rPr>
          <w:lang w:val="en-GB"/>
        </w:rPr>
      </w:pPr>
      <w:r w:rsidRPr="00180522">
        <w:rPr>
          <w:lang w:val="en-GB"/>
        </w:rPr>
        <w:t>ITU-T has welcomed a range of new members in the field of quantum communications. These new members aim to influence development of ITU standards on security and network aspects of quantum information technologies, technologies based on the properties of quantum physics.</w:t>
      </w:r>
    </w:p>
    <w:p w14:paraId="60BFB80F" w14:textId="77777777" w:rsidR="00655325" w:rsidRPr="00180522" w:rsidRDefault="00655325" w:rsidP="00655325">
      <w:pPr>
        <w:rPr>
          <w:highlight w:val="yellow"/>
          <w:lang w:val="en-GB"/>
        </w:rPr>
      </w:pPr>
      <w:r w:rsidRPr="00180522">
        <w:rPr>
          <w:lang w:val="en-GB"/>
        </w:rPr>
        <w:t>ITU-T Study Groups 5, 11, 16 and 20 have implemented a pilot project to increase the engagement of SMEs in the work of ITU. The participation of 16 SMEs in ITU-T has been approved by their relevant administrations as part of the pilot project.</w:t>
      </w:r>
    </w:p>
    <w:p w14:paraId="3604F496" w14:textId="77777777" w:rsidR="00655325" w:rsidRPr="00180522" w:rsidRDefault="00655325" w:rsidP="00655325">
      <w:pPr>
        <w:rPr>
          <w:lang w:val="en-GB"/>
        </w:rPr>
      </w:pPr>
      <w:r w:rsidRPr="00180522">
        <w:rPr>
          <w:lang w:val="en-GB"/>
        </w:rPr>
        <w:t>The ‘</w:t>
      </w:r>
      <w:hyperlink r:id="rId22" w:history="1">
        <w:r w:rsidRPr="00180522">
          <w:rPr>
            <w:rStyle w:val="Hyperlink"/>
            <w:rFonts w:eastAsiaTheme="majorEastAsia"/>
            <w:lang w:val="en-GB"/>
          </w:rPr>
          <w:t>ICT product conformity database</w:t>
        </w:r>
      </w:hyperlink>
      <w:r w:rsidRPr="00180522">
        <w:rPr>
          <w:lang w:val="en-GB"/>
        </w:rPr>
        <w:t xml:space="preserve">’ enables industry to publicize the conformance of ICT products and services to ITU-T Recommendations, assisting users in their efforts to select standards-compliant products. The database includes products for e-health, mobile phones compatible with vehicle hands-free terminals, Ethernet, IPTV, and mobile number portability. </w:t>
      </w:r>
    </w:p>
    <w:p w14:paraId="7727EFDC" w14:textId="77777777" w:rsidR="00655325" w:rsidRPr="00180522" w:rsidRDefault="00655325" w:rsidP="00655325">
      <w:pPr>
        <w:rPr>
          <w:lang w:val="en-GB"/>
        </w:rPr>
      </w:pPr>
      <w:r w:rsidRPr="00180522">
        <w:rPr>
          <w:lang w:val="en-GB"/>
        </w:rPr>
        <w:t xml:space="preserve">Diversity of staff, gender equality and the empowerment of women continue to be among TSB's priorities. </w:t>
      </w:r>
      <w:r w:rsidRPr="00180522">
        <w:rPr>
          <w:rFonts w:eastAsia="SimSun"/>
          <w:szCs w:val="24"/>
          <w:lang w:val="en-GB"/>
        </w:rPr>
        <w:t>60 per cent of all TSB promotions over the last two years were awarded to women in the Professional category of staff</w:t>
      </w:r>
      <w:r w:rsidRPr="00180522">
        <w:rPr>
          <w:lang w:val="en-GB"/>
        </w:rPr>
        <w:t xml:space="preserve">. </w:t>
      </w:r>
      <w:r w:rsidRPr="00180522">
        <w:rPr>
          <w:rFonts w:eastAsia="SimSun"/>
          <w:szCs w:val="24"/>
          <w:lang w:val="en-GB"/>
        </w:rPr>
        <w:t>TSB has endorsed the "Gender Responsive Standards" initiative by UNECE which aims to improve gender balance in standards development and ensure that the content and impacts of standards are gender responsive</w:t>
      </w:r>
      <w:r w:rsidRPr="00180522">
        <w:rPr>
          <w:lang w:val="en-GB"/>
        </w:rPr>
        <w:t xml:space="preserve">. </w:t>
      </w:r>
    </w:p>
    <w:p w14:paraId="5229D52A" w14:textId="77777777" w:rsidR="00655325" w:rsidRPr="00180522" w:rsidRDefault="00655325" w:rsidP="00655325">
      <w:pPr>
        <w:rPr>
          <w:lang w:val="en-GB"/>
        </w:rPr>
      </w:pPr>
      <w:r w:rsidRPr="00180522">
        <w:rPr>
          <w:szCs w:val="24"/>
          <w:lang w:val="en-GB"/>
        </w:rPr>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w:t>
      </w:r>
    </w:p>
    <w:p w14:paraId="29E38B0B" w14:textId="77777777" w:rsidR="00655325" w:rsidRPr="00180522" w:rsidRDefault="00655325" w:rsidP="00655325">
      <w:pPr>
        <w:rPr>
          <w:lang w:val="en-GB"/>
        </w:rPr>
      </w:pPr>
      <w:r w:rsidRPr="00180522">
        <w:rPr>
          <w:lang w:val="en-GB"/>
        </w:rPr>
        <w:t xml:space="preserve">Version 3 of </w:t>
      </w:r>
      <w:hyperlink r:id="rId23" w:history="1">
        <w:r w:rsidRPr="00180522">
          <w:rPr>
            <w:rStyle w:val="Hyperlink"/>
            <w:rFonts w:eastAsiaTheme="majorEastAsia"/>
            <w:lang w:val="en-GB"/>
          </w:rPr>
          <w:t>MyWorkspace</w:t>
        </w:r>
      </w:hyperlink>
      <w:r w:rsidRPr="00180522">
        <w:rPr>
          <w:lang w:val="en-GB"/>
        </w:rPr>
        <w:t xml:space="preserve"> has been released, with new features based on the feedback from its initial users. MyWorkspace is a new personalized webpage for TIES users that provides easy access to the information and services most valued by ITU-T delegates. The </w:t>
      </w:r>
      <w:hyperlink r:id="rId24" w:history="1">
        <w:r w:rsidRPr="00180522">
          <w:rPr>
            <w:rStyle w:val="Hyperlink"/>
            <w:rFonts w:asciiTheme="majorBidi" w:hAnsiTheme="majorBidi" w:cstheme="majorBidi"/>
            <w:lang w:val="en-GB"/>
          </w:rPr>
          <w:t>search engine</w:t>
        </w:r>
      </w:hyperlink>
      <w:r w:rsidRPr="00180522">
        <w:rPr>
          <w:lang w:val="en-GB"/>
        </w:rPr>
        <w:t xml:space="preserve"> returns results from the full collections of ITU documents, publications and web pages. ITU-T Study Groups' SharePoint collaboration sites continue to be enhanced. A new service announcements news channel, </w:t>
      </w:r>
      <w:hyperlink r:id="rId25" w:history="1">
        <w:r w:rsidRPr="00180522">
          <w:rPr>
            <w:rStyle w:val="Hyperlink"/>
            <w:rFonts w:asciiTheme="majorBidi" w:hAnsiTheme="majorBidi" w:cstheme="majorBidi"/>
            <w:lang w:val="en-GB"/>
          </w:rPr>
          <w:t>http://tsbtech.itu.int/</w:t>
        </w:r>
      </w:hyperlink>
      <w:r w:rsidRPr="00180522">
        <w:rPr>
          <w:lang w:val="en-GB"/>
        </w:rPr>
        <w:t xml:space="preserve">, provides regular updates on new services and tool enhancements available to ITU-T delegates. </w:t>
      </w:r>
    </w:p>
    <w:p w14:paraId="1959F639" w14:textId="40D6594F" w:rsidR="00655325" w:rsidRPr="00180522" w:rsidRDefault="00655325" w:rsidP="00655325">
      <w:pPr>
        <w:rPr>
          <w:lang w:val="en-GB"/>
        </w:rPr>
      </w:pPr>
      <w:r w:rsidRPr="00180522">
        <w:rPr>
          <w:lang w:val="en-GB"/>
        </w:rPr>
        <w:t xml:space="preserve">Over 14,000 pages of ITU-T Recommendations and Supplements were published between October 2018 and August 2019. Main versions of Recommendations and Supplements are being published in reflowable ePub format </w:t>
      </w:r>
      <w:r w:rsidR="00DF6111" w:rsidRPr="00180522">
        <w:rPr>
          <w:lang w:val="en-GB"/>
        </w:rPr>
        <w:t xml:space="preserve">(i.e., the document can adapt its presentation to the output device) </w:t>
      </w:r>
      <w:r w:rsidRPr="00180522">
        <w:rPr>
          <w:lang w:val="en-GB"/>
        </w:rPr>
        <w:t xml:space="preserve">in addition to the usual PDF format. The ITU product "ITU-T Recommendations and selected Handbooks" continues to be distributed on a quarterly basis as a USB key. </w:t>
      </w:r>
    </w:p>
    <w:p w14:paraId="2B47984A" w14:textId="77777777" w:rsidR="00655325" w:rsidRPr="00180522" w:rsidRDefault="00655325" w:rsidP="00655325">
      <w:pPr>
        <w:rPr>
          <w:lang w:val="en-GB"/>
        </w:rPr>
      </w:pPr>
      <w:r w:rsidRPr="00180522">
        <w:rPr>
          <w:lang w:val="en-GB"/>
        </w:rPr>
        <w:t xml:space="preserve">TSB continues to translate Recommendations approved under the traditional approval process (TAP), as well as all TSAG reports in all the languages of the Union. TSB translated 24 AAP Recommendations in the reporting period, in accordance with requests previously received from the ITU-T Study Groups and linguistic groups, and within the allocated translation budget. </w:t>
      </w:r>
    </w:p>
    <w:p w14:paraId="74AA0F78" w14:textId="77777777" w:rsidR="00655325" w:rsidRPr="00180522" w:rsidRDefault="00655325" w:rsidP="00655325">
      <w:pPr>
        <w:rPr>
          <w:lang w:val="en-GB"/>
        </w:rPr>
      </w:pPr>
      <w:r w:rsidRPr="00180522">
        <w:rPr>
          <w:lang w:val="en-GB"/>
        </w:rPr>
        <w:t xml:space="preserve">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More than 50 ITU workshops and symposia were organized in the reporting period. </w:t>
      </w:r>
    </w:p>
    <w:p w14:paraId="509EEDAC" w14:textId="0A228AAA" w:rsidR="006944F8" w:rsidRPr="00180522" w:rsidRDefault="006944F8" w:rsidP="006944F8">
      <w:pPr>
        <w:rPr>
          <w:highlight w:val="yellow"/>
          <w:lang w:val="en-GB"/>
        </w:rPr>
      </w:pPr>
    </w:p>
    <w:p w14:paraId="7C10AF6E" w14:textId="2092879C" w:rsidR="006944F8" w:rsidRPr="00180522" w:rsidRDefault="006944F8" w:rsidP="00C1421E">
      <w:pPr>
        <w:pStyle w:val="Heading1"/>
        <w:jc w:val="center"/>
        <w:rPr>
          <w:bCs/>
        </w:rPr>
      </w:pPr>
      <w:bookmarkStart w:id="5" w:name="_Toc480527765"/>
      <w:bookmarkStart w:id="6" w:name="_Toc18509734"/>
      <w:bookmarkStart w:id="7" w:name="_Toc462664184"/>
      <w:bookmarkStart w:id="8" w:name="_Toc475550127"/>
      <w:bookmarkStart w:id="9" w:name="_Toc416161323"/>
      <w:bookmarkStart w:id="10" w:name="_Toc438553934"/>
      <w:bookmarkStart w:id="11" w:name="_Toc453929055"/>
      <w:bookmarkStart w:id="12" w:name="_Toc453932927"/>
      <w:bookmarkStart w:id="13" w:name="_Toc454295831"/>
      <w:bookmarkStart w:id="14" w:name="_Toc418526228"/>
      <w:bookmarkStart w:id="15" w:name="_Toc462664185"/>
      <w:r w:rsidRPr="00180522">
        <w:rPr>
          <w:bCs/>
        </w:rPr>
        <w:lastRenderedPageBreak/>
        <w:t xml:space="preserve">Annex – Full Report of activities in ITU-T (from </w:t>
      </w:r>
      <w:r w:rsidR="00987BE3" w:rsidRPr="00180522">
        <w:rPr>
          <w:bCs/>
        </w:rPr>
        <w:t xml:space="preserve">October 2018 to </w:t>
      </w:r>
      <w:r w:rsidR="00DF6111" w:rsidRPr="00180522">
        <w:rPr>
          <w:bCs/>
        </w:rPr>
        <w:t>August</w:t>
      </w:r>
      <w:r w:rsidRPr="00180522">
        <w:rPr>
          <w:bCs/>
        </w:rPr>
        <w:t xml:space="preserve"> 201</w:t>
      </w:r>
      <w:r w:rsidR="00987BE3" w:rsidRPr="00180522">
        <w:rPr>
          <w:bCs/>
        </w:rPr>
        <w:t>9</w:t>
      </w:r>
      <w:r w:rsidRPr="00180522">
        <w:rPr>
          <w:bCs/>
        </w:rPr>
        <w:t>)</w:t>
      </w:r>
      <w:bookmarkEnd w:id="5"/>
      <w:bookmarkEnd w:id="6"/>
    </w:p>
    <w:p w14:paraId="4E3A3098" w14:textId="17321993" w:rsidR="00653C5B" w:rsidRPr="00180522" w:rsidRDefault="006944F8" w:rsidP="009E5FFA">
      <w:pPr>
        <w:pStyle w:val="Heading1"/>
      </w:pPr>
      <w:bookmarkStart w:id="16" w:name="_Toc18509735"/>
      <w:bookmarkStart w:id="17" w:name="_Toc480527766"/>
      <w:r w:rsidRPr="00180522">
        <w:t>1</w:t>
      </w:r>
      <w:r w:rsidRPr="00180522">
        <w:tab/>
      </w:r>
      <w:r w:rsidR="00754B21" w:rsidRPr="00180522">
        <w:t xml:space="preserve">Selection of achievements in </w:t>
      </w:r>
      <w:r w:rsidR="00653C5B" w:rsidRPr="00180522">
        <w:t>ITU-T standardization</w:t>
      </w:r>
      <w:bookmarkEnd w:id="16"/>
    </w:p>
    <w:p w14:paraId="73A14BA0" w14:textId="1FEFAE16" w:rsidR="00653C5B" w:rsidRPr="00180522" w:rsidRDefault="00653C5B" w:rsidP="009E5FFA">
      <w:pPr>
        <w:rPr>
          <w:lang w:val="en-GB"/>
        </w:rPr>
      </w:pPr>
      <w:r w:rsidRPr="00180522">
        <w:rPr>
          <w:lang w:val="en-GB"/>
        </w:rPr>
        <w:t xml:space="preserve">ITU approved more than </w:t>
      </w:r>
      <w:r w:rsidR="00754B21" w:rsidRPr="00180522">
        <w:rPr>
          <w:lang w:val="en-GB"/>
        </w:rPr>
        <w:t>300</w:t>
      </w:r>
      <w:r w:rsidRPr="00180522">
        <w:rPr>
          <w:lang w:val="en-GB"/>
        </w:rPr>
        <w:t xml:space="preserve"> new and revised ITU-T Recommendations from </w:t>
      </w:r>
      <w:r w:rsidR="00436746" w:rsidRPr="00180522">
        <w:rPr>
          <w:lang w:val="en-GB"/>
        </w:rPr>
        <w:t xml:space="preserve">1 </w:t>
      </w:r>
      <w:r w:rsidR="001A5D0C" w:rsidRPr="00180522">
        <w:rPr>
          <w:lang w:val="en-GB"/>
        </w:rPr>
        <w:t>October 2018</w:t>
      </w:r>
      <w:r w:rsidRPr="00180522">
        <w:rPr>
          <w:lang w:val="en-GB"/>
        </w:rPr>
        <w:t xml:space="preserve"> to </w:t>
      </w:r>
      <w:r w:rsidR="00754B21" w:rsidRPr="00180522">
        <w:rPr>
          <w:lang w:val="en-GB"/>
        </w:rPr>
        <w:t>31</w:t>
      </w:r>
      <w:r w:rsidR="00436746" w:rsidRPr="00180522">
        <w:rPr>
          <w:lang w:val="en-GB"/>
        </w:rPr>
        <w:t xml:space="preserve"> August </w:t>
      </w:r>
      <w:r w:rsidRPr="00180522">
        <w:rPr>
          <w:lang w:val="en-GB"/>
        </w:rPr>
        <w:t>201</w:t>
      </w:r>
      <w:r w:rsidR="001A5D0C" w:rsidRPr="00180522">
        <w:rPr>
          <w:lang w:val="en-GB"/>
        </w:rPr>
        <w:t>9</w:t>
      </w:r>
      <w:r w:rsidRPr="00180522">
        <w:rPr>
          <w:lang w:val="en-GB"/>
        </w:rPr>
        <w:t xml:space="preserve">. </w:t>
      </w:r>
      <w:r w:rsidR="007C213D" w:rsidRPr="00180522">
        <w:rPr>
          <w:lang w:val="en-GB"/>
        </w:rPr>
        <w:t>Appendix I lists these ITU-T Recommendations and related texts and summarizes their contents.</w:t>
      </w:r>
    </w:p>
    <w:p w14:paraId="4E59D1B8" w14:textId="77777777" w:rsidR="00754B21" w:rsidRPr="00180522" w:rsidRDefault="00754B21" w:rsidP="00754B21">
      <w:pPr>
        <w:rPr>
          <w:lang w:val="en-GB"/>
        </w:rPr>
      </w:pPr>
      <w:r w:rsidRPr="00180522">
        <w:rPr>
          <w:lang w:val="en-GB"/>
        </w:rPr>
        <w:t xml:space="preserve">Executive summaries for the various ITU-T Study Group meetings can be found on the homepages of </w:t>
      </w:r>
      <w:hyperlink r:id="rId26" w:history="1">
        <w:r w:rsidRPr="00180522">
          <w:rPr>
            <w:rStyle w:val="Hyperlink"/>
            <w:lang w:val="en-GB"/>
          </w:rPr>
          <w:t>ITU-T Study Groups</w:t>
        </w:r>
      </w:hyperlink>
      <w:r w:rsidRPr="00180522">
        <w:rPr>
          <w:lang w:val="en-GB"/>
        </w:rPr>
        <w:t>. Summaries of meetings held during the reporting period are listed below.</w:t>
      </w:r>
    </w:p>
    <w:p w14:paraId="66CF4C0B" w14:textId="77777777" w:rsidR="00754B21" w:rsidRPr="00180522" w:rsidRDefault="00754B21" w:rsidP="00754B21">
      <w:pPr>
        <w:numPr>
          <w:ilvl w:val="0"/>
          <w:numId w:val="24"/>
        </w:numPr>
        <w:rPr>
          <w:lang w:val="en-GB"/>
        </w:rPr>
      </w:pPr>
      <w:r w:rsidRPr="00180522">
        <w:rPr>
          <w:lang w:val="en-GB"/>
        </w:rPr>
        <w:t xml:space="preserve">ITU-T Study Group 2 (Operational aspects): </w:t>
      </w:r>
      <w:hyperlink r:id="rId27" w:history="1">
        <w:r w:rsidRPr="00180522">
          <w:rPr>
            <w:rStyle w:val="Hyperlink"/>
            <w:lang w:val="en-GB"/>
          </w:rPr>
          <w:t>Meeting report, February 2019</w:t>
        </w:r>
      </w:hyperlink>
    </w:p>
    <w:p w14:paraId="39A537C9" w14:textId="77777777" w:rsidR="00754B21" w:rsidRPr="00180522" w:rsidRDefault="00754B21" w:rsidP="00754B21">
      <w:pPr>
        <w:numPr>
          <w:ilvl w:val="0"/>
          <w:numId w:val="24"/>
        </w:numPr>
        <w:rPr>
          <w:lang w:val="en-GB"/>
        </w:rPr>
      </w:pPr>
      <w:r w:rsidRPr="00180522">
        <w:rPr>
          <w:lang w:val="en-GB"/>
        </w:rPr>
        <w:t xml:space="preserve">ITU-T Study Group 3 (Economic and policy issues): </w:t>
      </w:r>
      <w:hyperlink r:id="rId28" w:history="1">
        <w:r w:rsidRPr="00180522">
          <w:rPr>
            <w:rStyle w:val="Hyperlink"/>
            <w:lang w:val="en-GB"/>
          </w:rPr>
          <w:t>Executive summary, April 2019</w:t>
        </w:r>
      </w:hyperlink>
    </w:p>
    <w:p w14:paraId="1259E22E" w14:textId="77777777" w:rsidR="00754B21" w:rsidRPr="00180522" w:rsidRDefault="00754B21" w:rsidP="00754B21">
      <w:pPr>
        <w:numPr>
          <w:ilvl w:val="0"/>
          <w:numId w:val="24"/>
        </w:numPr>
        <w:rPr>
          <w:lang w:val="en-GB"/>
        </w:rPr>
      </w:pPr>
      <w:r w:rsidRPr="00180522">
        <w:rPr>
          <w:lang w:val="en-GB"/>
        </w:rPr>
        <w:t xml:space="preserve">ITU-T Study Group 5 (Environment and circular economy): </w:t>
      </w:r>
      <w:hyperlink r:id="rId29" w:history="1">
        <w:r w:rsidRPr="00180522">
          <w:rPr>
            <w:rStyle w:val="Hyperlink"/>
            <w:lang w:val="en-GB"/>
          </w:rPr>
          <w:t>Executive summary, May 2019</w:t>
        </w:r>
      </w:hyperlink>
    </w:p>
    <w:p w14:paraId="1D46AF1E" w14:textId="77777777" w:rsidR="00754B21" w:rsidRPr="00180522" w:rsidRDefault="00754B21" w:rsidP="00754B21">
      <w:pPr>
        <w:numPr>
          <w:ilvl w:val="0"/>
          <w:numId w:val="24"/>
        </w:numPr>
        <w:rPr>
          <w:lang w:val="en-GB"/>
        </w:rPr>
      </w:pPr>
      <w:r w:rsidRPr="00180522">
        <w:rPr>
          <w:lang w:val="en-GB"/>
        </w:rPr>
        <w:t xml:space="preserve">ITU-T Study Group 9 (Broadband cable and TV): </w:t>
      </w:r>
      <w:hyperlink r:id="rId30" w:history="1">
        <w:r w:rsidRPr="00180522">
          <w:rPr>
            <w:rStyle w:val="Hyperlink"/>
            <w:lang w:val="en-GB"/>
          </w:rPr>
          <w:t>Executive summary, May 2019</w:t>
        </w:r>
      </w:hyperlink>
    </w:p>
    <w:p w14:paraId="3BB8D26A" w14:textId="77777777" w:rsidR="00754B21" w:rsidRPr="00180522" w:rsidRDefault="00754B21" w:rsidP="00754B21">
      <w:pPr>
        <w:numPr>
          <w:ilvl w:val="0"/>
          <w:numId w:val="24"/>
        </w:numPr>
        <w:rPr>
          <w:lang w:val="en-GB"/>
        </w:rPr>
      </w:pPr>
      <w:r w:rsidRPr="00180522">
        <w:rPr>
          <w:lang w:val="en-GB"/>
        </w:rPr>
        <w:t xml:space="preserve">ITU-T Study Group 11 (Protocols and test specifications): </w:t>
      </w:r>
      <w:hyperlink r:id="rId31" w:history="1">
        <w:r w:rsidRPr="00180522">
          <w:rPr>
            <w:rStyle w:val="Hyperlink"/>
            <w:lang w:val="en-GB"/>
          </w:rPr>
          <w:t>Executive summary, March 2019</w:t>
        </w:r>
      </w:hyperlink>
    </w:p>
    <w:p w14:paraId="3C6CEF0B" w14:textId="77777777" w:rsidR="00754B21" w:rsidRPr="00180522" w:rsidRDefault="00754B21" w:rsidP="00754B21">
      <w:pPr>
        <w:numPr>
          <w:ilvl w:val="0"/>
          <w:numId w:val="24"/>
        </w:numPr>
        <w:rPr>
          <w:lang w:val="en-GB"/>
        </w:rPr>
      </w:pPr>
      <w:r w:rsidRPr="00180522">
        <w:rPr>
          <w:lang w:val="en-GB"/>
        </w:rPr>
        <w:t xml:space="preserve">ITU-T Study Group 12 (Performance, QoS and QoE): </w:t>
      </w:r>
      <w:hyperlink r:id="rId32" w:history="1">
        <w:r w:rsidRPr="00180522">
          <w:rPr>
            <w:rStyle w:val="Hyperlink"/>
            <w:lang w:val="en-GB"/>
          </w:rPr>
          <w:t>Executive summary, May 2019</w:t>
        </w:r>
      </w:hyperlink>
      <w:r w:rsidRPr="00180522">
        <w:rPr>
          <w:lang w:val="en-GB"/>
        </w:rPr>
        <w:t xml:space="preserve">; </w:t>
      </w:r>
      <w:hyperlink r:id="rId33" w:history="1">
        <w:r w:rsidRPr="00180522">
          <w:rPr>
            <w:rStyle w:val="Hyperlink"/>
            <w:lang w:val="en-GB"/>
          </w:rPr>
          <w:t>Executive summary, November 2018</w:t>
        </w:r>
      </w:hyperlink>
    </w:p>
    <w:p w14:paraId="3A1B5E3A" w14:textId="77777777" w:rsidR="00754B21" w:rsidRPr="00180522" w:rsidRDefault="00754B21" w:rsidP="00754B21">
      <w:pPr>
        <w:numPr>
          <w:ilvl w:val="0"/>
          <w:numId w:val="24"/>
        </w:numPr>
        <w:rPr>
          <w:lang w:val="en-GB"/>
        </w:rPr>
      </w:pPr>
      <w:r w:rsidRPr="00180522">
        <w:rPr>
          <w:lang w:val="en-GB"/>
        </w:rPr>
        <w:t xml:space="preserve">ITU-T Study Group 13 (Future networks and cloud): </w:t>
      </w:r>
      <w:hyperlink r:id="rId34" w:history="1">
        <w:r w:rsidRPr="00180522">
          <w:rPr>
            <w:rStyle w:val="Hyperlink"/>
            <w:lang w:val="en-GB"/>
          </w:rPr>
          <w:t>Executive summary, March 2019</w:t>
        </w:r>
      </w:hyperlink>
    </w:p>
    <w:p w14:paraId="46FA99C2" w14:textId="77777777" w:rsidR="00754B21" w:rsidRPr="00180522" w:rsidRDefault="00754B21" w:rsidP="00754B21">
      <w:pPr>
        <w:numPr>
          <w:ilvl w:val="0"/>
          <w:numId w:val="24"/>
        </w:numPr>
        <w:rPr>
          <w:lang w:val="en-GB"/>
        </w:rPr>
      </w:pPr>
      <w:r w:rsidRPr="00180522">
        <w:rPr>
          <w:lang w:val="en-GB"/>
        </w:rPr>
        <w:t xml:space="preserve">ITU-T Study Group 15 (Transport, access and home): </w:t>
      </w:r>
      <w:hyperlink r:id="rId35" w:history="1">
        <w:r w:rsidRPr="00180522">
          <w:rPr>
            <w:rStyle w:val="Hyperlink"/>
            <w:lang w:val="en-GB"/>
          </w:rPr>
          <w:t>Executive summary, July 2019</w:t>
        </w:r>
      </w:hyperlink>
      <w:r w:rsidRPr="00180522">
        <w:rPr>
          <w:lang w:val="en-GB"/>
        </w:rPr>
        <w:t xml:space="preserve">; </w:t>
      </w:r>
      <w:hyperlink r:id="rId36" w:history="1">
        <w:r w:rsidRPr="00180522">
          <w:rPr>
            <w:rStyle w:val="Hyperlink"/>
            <w:lang w:val="en-GB"/>
          </w:rPr>
          <w:t>Executive summary, October 2018</w:t>
        </w:r>
      </w:hyperlink>
    </w:p>
    <w:p w14:paraId="16E97448" w14:textId="4B5C07D0" w:rsidR="00754B21" w:rsidRPr="00180522" w:rsidRDefault="00754B21" w:rsidP="00754B21">
      <w:pPr>
        <w:numPr>
          <w:ilvl w:val="0"/>
          <w:numId w:val="24"/>
        </w:numPr>
        <w:rPr>
          <w:lang w:val="en-GB"/>
        </w:rPr>
      </w:pPr>
      <w:r w:rsidRPr="00180522">
        <w:rPr>
          <w:lang w:val="en-GB"/>
        </w:rPr>
        <w:t xml:space="preserve">ITU-T Study Group 16 (Multimedia): </w:t>
      </w:r>
      <w:hyperlink r:id="rId37" w:history="1">
        <w:r w:rsidRPr="00180522">
          <w:rPr>
            <w:rStyle w:val="Hyperlink"/>
            <w:lang w:val="en-GB"/>
          </w:rPr>
          <w:t>WP2/16 executive summary, June 2019</w:t>
        </w:r>
      </w:hyperlink>
      <w:r w:rsidRPr="00180522">
        <w:rPr>
          <w:lang w:val="en-GB"/>
        </w:rPr>
        <w:t xml:space="preserve">; </w:t>
      </w:r>
      <w:hyperlink r:id="rId38" w:history="1">
        <w:r w:rsidRPr="00180522">
          <w:rPr>
            <w:rStyle w:val="Hyperlink"/>
            <w:lang w:val="en-GB"/>
          </w:rPr>
          <w:t>Executive summary, March 2019</w:t>
        </w:r>
      </w:hyperlink>
      <w:r w:rsidRPr="00180522">
        <w:rPr>
          <w:lang w:val="en-GB"/>
        </w:rPr>
        <w:t xml:space="preserve">; </w:t>
      </w:r>
      <w:hyperlink r:id="rId39" w:history="1">
        <w:r w:rsidRPr="00180522">
          <w:rPr>
            <w:rStyle w:val="Hyperlink"/>
            <w:lang w:val="en-GB"/>
          </w:rPr>
          <w:t xml:space="preserve">WP 1/16 </w:t>
        </w:r>
        <w:r w:rsidR="00514BC1" w:rsidRPr="00180522">
          <w:rPr>
            <w:rStyle w:val="Hyperlink"/>
            <w:lang w:val="en-GB"/>
          </w:rPr>
          <w:t>executive</w:t>
        </w:r>
        <w:r w:rsidRPr="00180522">
          <w:rPr>
            <w:rStyle w:val="Hyperlink"/>
            <w:lang w:val="en-GB"/>
          </w:rPr>
          <w:t xml:space="preserve"> summary, October 2018</w:t>
        </w:r>
      </w:hyperlink>
    </w:p>
    <w:p w14:paraId="151EA89A" w14:textId="77777777" w:rsidR="00754B21" w:rsidRPr="00180522" w:rsidRDefault="00754B21" w:rsidP="00754B21">
      <w:pPr>
        <w:numPr>
          <w:ilvl w:val="0"/>
          <w:numId w:val="24"/>
        </w:numPr>
        <w:rPr>
          <w:lang w:val="en-GB"/>
        </w:rPr>
      </w:pPr>
      <w:r w:rsidRPr="00180522">
        <w:rPr>
          <w:lang w:val="en-GB"/>
        </w:rPr>
        <w:t xml:space="preserve">ITU-T Study Group 17 (Security): </w:t>
      </w:r>
      <w:hyperlink r:id="rId40" w:history="1">
        <w:r w:rsidRPr="00180522">
          <w:rPr>
            <w:rStyle w:val="Hyperlink"/>
            <w:lang w:val="en-GB"/>
          </w:rPr>
          <w:t>Executive summary, January 2019</w:t>
        </w:r>
      </w:hyperlink>
    </w:p>
    <w:p w14:paraId="5436E97F" w14:textId="77777777" w:rsidR="00754B21" w:rsidRPr="00180522" w:rsidRDefault="00754B21" w:rsidP="00754B21">
      <w:pPr>
        <w:numPr>
          <w:ilvl w:val="0"/>
          <w:numId w:val="24"/>
        </w:numPr>
        <w:rPr>
          <w:lang w:val="en-GB"/>
        </w:rPr>
      </w:pPr>
      <w:r w:rsidRPr="00180522">
        <w:rPr>
          <w:lang w:val="en-GB"/>
        </w:rPr>
        <w:t xml:space="preserve">ITU-T Study Group 20 (IoT and smart cities): </w:t>
      </w:r>
      <w:hyperlink r:id="rId41" w:history="1">
        <w:r w:rsidRPr="00180522">
          <w:rPr>
            <w:rStyle w:val="Hyperlink"/>
            <w:lang w:val="en-GB"/>
          </w:rPr>
          <w:t>Executive summary, April 2019</w:t>
        </w:r>
      </w:hyperlink>
      <w:r w:rsidRPr="00180522">
        <w:rPr>
          <w:lang w:val="en-GB"/>
        </w:rPr>
        <w:t xml:space="preserve">; </w:t>
      </w:r>
      <w:hyperlink r:id="rId42" w:history="1">
        <w:r w:rsidRPr="00180522">
          <w:rPr>
            <w:rStyle w:val="Hyperlink"/>
            <w:lang w:val="en-GB"/>
          </w:rPr>
          <w:t>Executive summary, December 2018</w:t>
        </w:r>
      </w:hyperlink>
    </w:p>
    <w:p w14:paraId="59A886E6" w14:textId="77777777" w:rsidR="00754B21" w:rsidRPr="00180522" w:rsidRDefault="00754B21" w:rsidP="00754B21">
      <w:pPr>
        <w:rPr>
          <w:lang w:val="en-GB"/>
        </w:rPr>
      </w:pPr>
      <w:r w:rsidRPr="00180522">
        <w:rPr>
          <w:lang w:val="en-GB"/>
        </w:rPr>
        <w:t>IMT-2020 (5G) transport projects have built strong momentum. Passive Optical Network (PON), Carrier Ethernet and Optical Transport Network (OTN) are among the technologies standardized by ITU-T with significant potential to support 5G systems. An ITU-T Technical Report places emerging 5G radio requirements in the context of their demands on transport networks. The latest ITU-T text to address 5G transport is a Supplement highlighting the requirement of 5G fronthaul in a PON context.</w:t>
      </w:r>
    </w:p>
    <w:p w14:paraId="314C169F" w14:textId="77777777" w:rsidR="00754B21" w:rsidRPr="00180522" w:rsidRDefault="007706CC" w:rsidP="00754B21">
      <w:pPr>
        <w:numPr>
          <w:ilvl w:val="0"/>
          <w:numId w:val="105"/>
        </w:numPr>
        <w:rPr>
          <w:lang w:val="en-GB"/>
        </w:rPr>
      </w:pPr>
      <w:hyperlink r:id="rId43" w:history="1">
        <w:r w:rsidR="00754B21" w:rsidRPr="00180522">
          <w:rPr>
            <w:rStyle w:val="Hyperlink"/>
            <w:lang w:val="en-GB"/>
          </w:rPr>
          <w:t>ITU brings new clarity to 5G transport</w:t>
        </w:r>
      </w:hyperlink>
      <w:r w:rsidR="00754B21" w:rsidRPr="00180522">
        <w:rPr>
          <w:lang w:val="en-GB"/>
        </w:rPr>
        <w:t xml:space="preserve"> </w:t>
      </w:r>
    </w:p>
    <w:p w14:paraId="4F0CAF46" w14:textId="77777777" w:rsidR="00754B21" w:rsidRPr="00180522" w:rsidRDefault="00754B21" w:rsidP="00754B21">
      <w:pPr>
        <w:rPr>
          <w:lang w:val="en-GB"/>
        </w:rPr>
      </w:pPr>
      <w:r w:rsidRPr="00180522">
        <w:rPr>
          <w:lang w:val="en-GB"/>
        </w:rPr>
        <w:t>A new ITU standard has established a basis for the cost-effective integration of Machine Learning into 5G and future networks. The standard describes an architectural framework for networks to accommodate current as well as future use cases of Machine Learning. The approval marks the first time that a Study Group has approved a Focus Group deliverable as an ITU standard before the conclusion of the Focus Group’s lifetime, representing an important achievement in ITU’s work to expedite the transition from exploratory studies to the agreement of new ITU standards.</w:t>
      </w:r>
    </w:p>
    <w:p w14:paraId="34ACDE48" w14:textId="77777777" w:rsidR="00754B21" w:rsidRPr="00180522" w:rsidRDefault="007706CC" w:rsidP="00754B21">
      <w:pPr>
        <w:numPr>
          <w:ilvl w:val="0"/>
          <w:numId w:val="106"/>
        </w:numPr>
        <w:rPr>
          <w:lang w:val="en-GB"/>
        </w:rPr>
      </w:pPr>
      <w:hyperlink r:id="rId44" w:history="1">
        <w:r w:rsidR="00754B21" w:rsidRPr="00180522">
          <w:rPr>
            <w:rStyle w:val="Hyperlink"/>
            <w:lang w:val="en-GB"/>
          </w:rPr>
          <w:t>New ITU standard to introduce Machine Learning into 5G networks</w:t>
        </w:r>
      </w:hyperlink>
      <w:r w:rsidR="00754B21" w:rsidRPr="00180522">
        <w:rPr>
          <w:lang w:val="en-GB"/>
        </w:rPr>
        <w:t xml:space="preserve"> </w:t>
      </w:r>
    </w:p>
    <w:p w14:paraId="66D83F6E" w14:textId="77777777" w:rsidR="00754B21" w:rsidRPr="00180522" w:rsidRDefault="00754B21" w:rsidP="00754B21">
      <w:pPr>
        <w:rPr>
          <w:lang w:val="en-GB"/>
        </w:rPr>
      </w:pPr>
      <w:r w:rsidRPr="00180522">
        <w:rPr>
          <w:lang w:val="en-GB"/>
        </w:rPr>
        <w:t>A new ITU standard for high-speed indoor ‘visible light communication’ (VLC), also known as ‘LiFi’, will establish the foundations for the growth of the VLC market. LED and infrared are capable of transmitting data at rates high enough to support bandwidth-intensive services such as video streaming, interactive gaming and advanced virtual reality (VR) applications. VLC is also expected to assist in unlocking the potentially multi-billion dollar indoor-positioning market by achieving positioning accuracy superior to that achieved by WiFi.</w:t>
      </w:r>
    </w:p>
    <w:p w14:paraId="11063F8C" w14:textId="77777777" w:rsidR="00754B21" w:rsidRPr="00180522" w:rsidRDefault="007706CC" w:rsidP="00754B21">
      <w:pPr>
        <w:numPr>
          <w:ilvl w:val="0"/>
          <w:numId w:val="107"/>
        </w:numPr>
        <w:rPr>
          <w:lang w:val="en-GB"/>
        </w:rPr>
      </w:pPr>
      <w:hyperlink r:id="rId45" w:history="1">
        <w:r w:rsidR="00754B21" w:rsidRPr="00180522">
          <w:rPr>
            <w:rStyle w:val="Hyperlink"/>
            <w:lang w:val="en-GB"/>
          </w:rPr>
          <w:t>High-speed indoor Visible Light Communication: New ITU standard nearing approval</w:t>
        </w:r>
      </w:hyperlink>
      <w:r w:rsidR="00754B21" w:rsidRPr="00180522">
        <w:rPr>
          <w:lang w:val="en-GB"/>
        </w:rPr>
        <w:t xml:space="preserve"> </w:t>
      </w:r>
    </w:p>
    <w:p w14:paraId="37C09682" w14:textId="77777777" w:rsidR="00754B21" w:rsidRPr="00180522" w:rsidRDefault="00754B21" w:rsidP="00754B21">
      <w:pPr>
        <w:rPr>
          <w:lang w:val="en-GB"/>
        </w:rPr>
      </w:pPr>
      <w:r w:rsidRPr="00180522">
        <w:rPr>
          <w:lang w:val="en-GB"/>
        </w:rPr>
        <w:lastRenderedPageBreak/>
        <w:t xml:space="preserve">A revision of a key ITU standard provides for multi-vendor interoperable 100G DWDM coherent line interfaces. The standard interfaces will accelerate industry innovation to achieve greater capacity in metro networks. The achievement of a standard for multi-vendor interoperability represents an industry first, particularly with respect to the adaption of the ‘error vector magnitude’ metric from wireless communications to optical transport. ITU-T as started validating the ‘error vector magnitude’ metric for 16QAM modulation with a view to standardizing 400G line interfaces. </w:t>
      </w:r>
    </w:p>
    <w:p w14:paraId="725AB8FD" w14:textId="77777777" w:rsidR="00754B21" w:rsidRPr="00180522" w:rsidRDefault="007706CC" w:rsidP="00754B21">
      <w:pPr>
        <w:numPr>
          <w:ilvl w:val="0"/>
          <w:numId w:val="110"/>
        </w:numPr>
        <w:rPr>
          <w:lang w:val="en-GB"/>
        </w:rPr>
      </w:pPr>
      <w:hyperlink r:id="rId46" w:history="1">
        <w:r w:rsidR="00754B21" w:rsidRPr="00180522">
          <w:rPr>
            <w:rStyle w:val="Hyperlink"/>
            <w:lang w:val="en-GB"/>
          </w:rPr>
          <w:t>ITU delivers the first multi-vendor interoperable 100G coherent line interfaces</w:t>
        </w:r>
      </w:hyperlink>
    </w:p>
    <w:p w14:paraId="1D77B1DB" w14:textId="77777777" w:rsidR="00754B21" w:rsidRPr="00180522" w:rsidRDefault="00754B21" w:rsidP="00754B21">
      <w:pPr>
        <w:rPr>
          <w:lang w:val="en-GB"/>
        </w:rPr>
      </w:pPr>
      <w:r w:rsidRPr="00180522">
        <w:rPr>
          <w:lang w:val="en-GB"/>
        </w:rPr>
        <w:t>New ITU standards aim to bring high-speed broadband services to rural communities with lightweight, terabit-capable optical cable that can be deployed on the ground’s surface with minimal expense and environmental impact. The standards are giving developing countries the confidence to consider the rollout of optical networks in some of the world’s most challenging conditions. Nepal, for example, has highlighted its intention to use ITU-standardized lightweight optical cable to connect places as remote as Mount Everest Base Camp and Annapurna Trekking Trail.</w:t>
      </w:r>
    </w:p>
    <w:p w14:paraId="13EEE06C" w14:textId="77777777" w:rsidR="00754B21" w:rsidRPr="00180522" w:rsidRDefault="007706CC" w:rsidP="00754B21">
      <w:pPr>
        <w:numPr>
          <w:ilvl w:val="0"/>
          <w:numId w:val="109"/>
        </w:numPr>
        <w:rPr>
          <w:lang w:val="en-GB"/>
        </w:rPr>
      </w:pPr>
      <w:hyperlink r:id="rId47" w:history="1">
        <w:r w:rsidR="00754B21" w:rsidRPr="00180522">
          <w:rPr>
            <w:rStyle w:val="Hyperlink"/>
            <w:lang w:val="en-GB"/>
          </w:rPr>
          <w:t>New ITU standards bring broadband to places as remote as Mount Everest</w:t>
        </w:r>
      </w:hyperlink>
    </w:p>
    <w:p w14:paraId="336BEEAB" w14:textId="77777777" w:rsidR="003C7372" w:rsidRPr="00180522" w:rsidRDefault="003C7372" w:rsidP="003C7372">
      <w:pPr>
        <w:rPr>
          <w:lang w:val="en-GB"/>
        </w:rPr>
      </w:pPr>
      <w:r w:rsidRPr="00180522">
        <w:rPr>
          <w:lang w:val="en-GB"/>
        </w:rPr>
        <w:t xml:space="preserve">More than 100 cities worldwide are measuring their progress using ‘Key Performance Indicators for Smart Sustainable Cities’ based on ITU standards, indicators promoted by the ‘United for Smart Sustainable Cities (U4SSC) initiative’. ITU-T standardization work for the Internet of Things (IoT) and smart cities aims to support interoperability and efficient data processing and management. The standardization of IoT test specifications is accelerating, supported by the increasing collaboration of ITU-T and oneM2M. </w:t>
      </w:r>
    </w:p>
    <w:p w14:paraId="4EAFE5C5" w14:textId="77777777" w:rsidR="003C7372" w:rsidRPr="00180522" w:rsidRDefault="007706CC" w:rsidP="003C7372">
      <w:pPr>
        <w:numPr>
          <w:ilvl w:val="0"/>
          <w:numId w:val="118"/>
        </w:numPr>
        <w:rPr>
          <w:lang w:val="en-GB"/>
        </w:rPr>
      </w:pPr>
      <w:hyperlink r:id="rId48" w:history="1">
        <w:r w:rsidR="003C7372" w:rsidRPr="00180522">
          <w:rPr>
            <w:rStyle w:val="Hyperlink"/>
            <w:lang w:val="en-GB"/>
          </w:rPr>
          <w:t>New ITU case study maps the Moscow ‘smart city’ journey</w:t>
        </w:r>
      </w:hyperlink>
    </w:p>
    <w:p w14:paraId="4D0E93A0" w14:textId="77777777" w:rsidR="003C7372" w:rsidRPr="00180522" w:rsidRDefault="003C7372" w:rsidP="003C7372">
      <w:pPr>
        <w:rPr>
          <w:lang w:val="en-GB"/>
        </w:rPr>
      </w:pPr>
      <w:r w:rsidRPr="00180522">
        <w:rPr>
          <w:lang w:val="en-GB"/>
        </w:rPr>
        <w:t xml:space="preserve">A new ITU standard provides criteria for the evaluation of the environmental impact of mobile phones. The standard considers all stages of a mobile phone’s lifecycle, including end-of-life management. It also defines a minimum level of environmental performance. Another new ITU standard provides guidelines and certification schemes for e-waste recyclers. It addresses in particular the role played by the informal sector in e-waste collection and dismantling. </w:t>
      </w:r>
    </w:p>
    <w:p w14:paraId="10129667" w14:textId="540381AF" w:rsidR="003C7372" w:rsidRPr="00180522" w:rsidRDefault="007706CC" w:rsidP="00754B21">
      <w:pPr>
        <w:numPr>
          <w:ilvl w:val="0"/>
          <w:numId w:val="119"/>
        </w:numPr>
        <w:rPr>
          <w:lang w:val="en-GB"/>
        </w:rPr>
      </w:pPr>
      <w:hyperlink r:id="rId49" w:history="1">
        <w:r w:rsidR="003C7372" w:rsidRPr="00180522">
          <w:rPr>
            <w:rStyle w:val="Hyperlink"/>
            <w:lang w:val="en-GB"/>
          </w:rPr>
          <w:t>Progress update on ITU standardization for environment and circular economy</w:t>
        </w:r>
      </w:hyperlink>
    </w:p>
    <w:p w14:paraId="4E245C1C" w14:textId="6DEBF493" w:rsidR="00754B21" w:rsidRPr="00180522" w:rsidRDefault="00754B21" w:rsidP="00754B21">
      <w:pPr>
        <w:rPr>
          <w:lang w:val="en-GB"/>
        </w:rPr>
      </w:pPr>
      <w:r w:rsidRPr="00180522">
        <w:rPr>
          <w:lang w:val="en-GB"/>
        </w:rPr>
        <w:t>Two new ITU standards aim to overcome the security limitations of passwords, addressing biometric authentication on mobile devices and the use of external authenticators, such as mobile devices, to authenticate Web users. The specifications were submitted to ITU by the FIDO Alliance (‘Fast Identity Online’), an industry consortium focused on developing open specifications for interoperable strong user authentication leveraging public key cryptography. The approval of the FIDO specifications as ITU international standards is expected to stimulate their adoption globally.</w:t>
      </w:r>
    </w:p>
    <w:p w14:paraId="63EE85F2" w14:textId="77777777" w:rsidR="00754B21" w:rsidRPr="00180522" w:rsidRDefault="007706CC" w:rsidP="00754B21">
      <w:pPr>
        <w:numPr>
          <w:ilvl w:val="0"/>
          <w:numId w:val="108"/>
        </w:numPr>
        <w:rPr>
          <w:lang w:val="en-GB"/>
        </w:rPr>
      </w:pPr>
      <w:hyperlink r:id="rId50" w:history="1">
        <w:r w:rsidR="00754B21" w:rsidRPr="00180522">
          <w:rPr>
            <w:rStyle w:val="Hyperlink"/>
            <w:lang w:val="en-GB"/>
          </w:rPr>
          <w:t>New ITU standards to overcome the security limitations of passwords</w:t>
        </w:r>
      </w:hyperlink>
      <w:r w:rsidR="00754B21" w:rsidRPr="00180522">
        <w:rPr>
          <w:lang w:val="en-GB"/>
        </w:rPr>
        <w:t xml:space="preserve"> </w:t>
      </w:r>
    </w:p>
    <w:p w14:paraId="509584B5" w14:textId="77777777" w:rsidR="00754B21" w:rsidRPr="00180522" w:rsidRDefault="007706CC" w:rsidP="00754B21">
      <w:pPr>
        <w:numPr>
          <w:ilvl w:val="0"/>
          <w:numId w:val="108"/>
        </w:numPr>
        <w:rPr>
          <w:lang w:val="en-GB"/>
        </w:rPr>
      </w:pPr>
      <w:hyperlink r:id="rId51" w:history="1">
        <w:r w:rsidR="00754B21" w:rsidRPr="00180522">
          <w:rPr>
            <w:rStyle w:val="Hyperlink"/>
            <w:lang w:val="en-GB"/>
          </w:rPr>
          <w:t>Time to eliminate the password: New report on next-generation authentication for digital financial services</w:t>
        </w:r>
      </w:hyperlink>
    </w:p>
    <w:p w14:paraId="1310EDE5" w14:textId="22173FDC" w:rsidR="00754B21" w:rsidRPr="00180522" w:rsidRDefault="00D87AB7" w:rsidP="000C01CD">
      <w:pPr>
        <w:rPr>
          <w:lang w:val="en-GB"/>
        </w:rPr>
      </w:pPr>
      <w:r w:rsidRPr="00180522">
        <w:rPr>
          <w:lang w:val="en-GB"/>
        </w:rPr>
        <w:t xml:space="preserve">The </w:t>
      </w:r>
      <w:r w:rsidR="004406DA" w:rsidRPr="00180522">
        <w:rPr>
          <w:lang w:val="en-GB"/>
        </w:rPr>
        <w:t xml:space="preserve">new </w:t>
      </w:r>
      <w:r w:rsidRPr="00180522">
        <w:rPr>
          <w:lang w:val="en-GB"/>
        </w:rPr>
        <w:t>ITU-WHO Safe Listening Toolkit</w:t>
      </w:r>
      <w:r w:rsidR="00754B21" w:rsidRPr="00180522">
        <w:rPr>
          <w:lang w:val="en-GB"/>
        </w:rPr>
        <w:t xml:space="preserve"> provides practical guidance relevant to the adoption of the ITU standard on the safe listening of </w:t>
      </w:r>
      <w:r w:rsidR="00111D4E" w:rsidRPr="00180522">
        <w:rPr>
          <w:lang w:val="en-GB"/>
        </w:rPr>
        <w:t>'personal or portable audio systems' (particularly music players)</w:t>
      </w:r>
      <w:r w:rsidR="00754B21" w:rsidRPr="00180522">
        <w:rPr>
          <w:lang w:val="en-GB"/>
        </w:rPr>
        <w:t xml:space="preserve">, in support of the WHO ‘Make Listening Safe’ initiative. The standard and associated toolkit aim to prevent audio devices from causing ‘sound-induced hearing loss’, the world’s leading cause of preventable hearing loss. In addition, a new ITU standard provides safe listening guidelines </w:t>
      </w:r>
      <w:r w:rsidR="000C01CD" w:rsidRPr="00180522">
        <w:rPr>
          <w:lang w:val="en-GB"/>
        </w:rPr>
        <w:t>for personal sound amplifiers. Future standards in the series are expected to address communications and assistive devices as well as gaming consoles.</w:t>
      </w:r>
    </w:p>
    <w:p w14:paraId="0B833160" w14:textId="77777777" w:rsidR="00754B21" w:rsidRPr="00180522" w:rsidRDefault="007706CC" w:rsidP="00754B21">
      <w:pPr>
        <w:numPr>
          <w:ilvl w:val="0"/>
          <w:numId w:val="111"/>
        </w:numPr>
        <w:rPr>
          <w:lang w:val="en-GB"/>
        </w:rPr>
      </w:pPr>
      <w:hyperlink r:id="rId52" w:history="1">
        <w:r w:rsidR="00754B21" w:rsidRPr="00180522">
          <w:rPr>
            <w:rStyle w:val="Hyperlink"/>
            <w:lang w:val="en-GB"/>
          </w:rPr>
          <w:t>ITU and WHO launch ‘safe listening’ toolkit to protect people’s hearing</w:t>
        </w:r>
      </w:hyperlink>
    </w:p>
    <w:p w14:paraId="4309F8C8" w14:textId="77777777" w:rsidR="00754B21" w:rsidRPr="00180522" w:rsidRDefault="00754B21" w:rsidP="00754B21">
      <w:pPr>
        <w:rPr>
          <w:lang w:val="en-GB"/>
        </w:rPr>
      </w:pPr>
      <w:r w:rsidRPr="00180522">
        <w:rPr>
          <w:lang w:val="en-GB"/>
        </w:rPr>
        <w:t xml:space="preserve">ITU has established a </w:t>
      </w:r>
      <w:hyperlink r:id="rId53" w:anchor="?topic=0.131&amp;workgroup=1&amp;searchValue=&amp;page=1&amp;sort=Revelance" w:history="1">
        <w:r w:rsidRPr="00180522">
          <w:rPr>
            <w:rStyle w:val="Hyperlink"/>
            <w:lang w:val="en-GB"/>
          </w:rPr>
          <w:t>new standards database</w:t>
        </w:r>
      </w:hyperlink>
      <w:r w:rsidRPr="00180522">
        <w:rPr>
          <w:lang w:val="en-GB"/>
        </w:rPr>
        <w:t xml:space="preserve"> to assist the harmonization of standards for intelligent transport systems (ITS). The database includes ITS standards developed by all relevant standards bodies, providing a reference to all standards supporting connected vehicles and automated driving. </w:t>
      </w:r>
      <w:r w:rsidRPr="00180522">
        <w:rPr>
          <w:lang w:val="en-GB"/>
        </w:rPr>
        <w:lastRenderedPageBreak/>
        <w:t xml:space="preserve">The database supports the Collaboration on ITS Communication Standards (CITS) in its work to ensure coherence and compatibility among ITS standards, an objective growing in importance as the deployment of ITS solutions accelerates worldwide. </w:t>
      </w:r>
    </w:p>
    <w:p w14:paraId="7099E061" w14:textId="77777777" w:rsidR="00754B21" w:rsidRPr="00180522" w:rsidRDefault="007706CC" w:rsidP="00754B21">
      <w:pPr>
        <w:numPr>
          <w:ilvl w:val="0"/>
          <w:numId w:val="112"/>
        </w:numPr>
        <w:rPr>
          <w:lang w:val="en-GB"/>
        </w:rPr>
      </w:pPr>
      <w:hyperlink r:id="rId54" w:history="1">
        <w:r w:rsidR="00754B21" w:rsidRPr="00180522">
          <w:rPr>
            <w:rStyle w:val="Hyperlink"/>
            <w:lang w:val="en-GB"/>
          </w:rPr>
          <w:t>New ITU database to assist the harmonization of intelligent transport standards</w:t>
        </w:r>
      </w:hyperlink>
    </w:p>
    <w:p w14:paraId="5A41CD44" w14:textId="7305EF33" w:rsidR="00754B21" w:rsidRPr="00180522" w:rsidRDefault="004178F8" w:rsidP="00754B21">
      <w:pPr>
        <w:rPr>
          <w:lang w:val="en-GB"/>
        </w:rPr>
      </w:pPr>
      <w:r w:rsidRPr="00180522">
        <w:rPr>
          <w:lang w:val="en-GB"/>
        </w:rPr>
        <w:t xml:space="preserve">Two new ITU standards address the relationship between voice QoS and 4G circuit-switched </w:t>
      </w:r>
      <w:proofErr w:type="spellStart"/>
      <w:r w:rsidRPr="00180522">
        <w:rPr>
          <w:lang w:val="en-GB"/>
        </w:rPr>
        <w:t>fallback</w:t>
      </w:r>
      <w:proofErr w:type="spellEnd"/>
      <w:r w:rsidRPr="00180522">
        <w:rPr>
          <w:lang w:val="en-GB"/>
        </w:rPr>
        <w:t xml:space="preserve">, and best practices for the measurement of QoS in mobile networks. Revisions have been made to the ITU standard detailing the factors influencing end-to-end QoS for 4G voice. The E-Model – a computational model to support transmission planners in ensuring high-quality voice services – now addresses both wideband (50-7000 Hz) and </w:t>
      </w:r>
      <w:proofErr w:type="spellStart"/>
      <w:r w:rsidRPr="00180522">
        <w:rPr>
          <w:lang w:val="en-GB"/>
        </w:rPr>
        <w:t>fullband</w:t>
      </w:r>
      <w:proofErr w:type="spellEnd"/>
      <w:r w:rsidRPr="00180522">
        <w:rPr>
          <w:lang w:val="en-GB"/>
        </w:rPr>
        <w:t xml:space="preserve"> (20-20000 Hz)</w:t>
      </w:r>
      <w:r w:rsidR="00754B21" w:rsidRPr="00180522">
        <w:rPr>
          <w:lang w:val="en-GB"/>
        </w:rPr>
        <w:t xml:space="preserve">. </w:t>
      </w:r>
    </w:p>
    <w:p w14:paraId="296C966D" w14:textId="77777777" w:rsidR="00754B21" w:rsidRPr="00180522" w:rsidRDefault="007706CC" w:rsidP="00754B21">
      <w:pPr>
        <w:numPr>
          <w:ilvl w:val="0"/>
          <w:numId w:val="113"/>
        </w:numPr>
        <w:rPr>
          <w:lang w:val="en-GB"/>
        </w:rPr>
      </w:pPr>
      <w:hyperlink r:id="rId55" w:history="1">
        <w:r w:rsidR="00754B21" w:rsidRPr="00180522">
          <w:rPr>
            <w:rStyle w:val="Hyperlink"/>
            <w:lang w:val="en-GB"/>
          </w:rPr>
          <w:t>Webinar: ITU standards to measure IP performance and 4G voice quality</w:t>
        </w:r>
      </w:hyperlink>
    </w:p>
    <w:p w14:paraId="45D39C94" w14:textId="77777777" w:rsidR="00754B21" w:rsidRPr="00180522" w:rsidRDefault="00754B21" w:rsidP="00754B21">
      <w:pPr>
        <w:rPr>
          <w:lang w:val="en-GB"/>
        </w:rPr>
      </w:pPr>
      <w:r w:rsidRPr="00180522">
        <w:rPr>
          <w:lang w:val="en-GB"/>
        </w:rPr>
        <w:t>ITU-T has welcomed a range of new members in the field of quantum communications. These new members aim to influence development of ITU standards on security and network aspects of quantum information technologies, technologies based on the properties of quantum physics. These standards will be key to the deployment of quantum information technologies and their interoperability. The ecosystem of quantum specialists within ITU continues to expand, and ITU aims to play a leading role leading role in bringing standards bodies together to ensure the effective coordination of quantum-relevant standardization activities.</w:t>
      </w:r>
    </w:p>
    <w:p w14:paraId="622AB075" w14:textId="77777777" w:rsidR="00754B21" w:rsidRPr="00180522" w:rsidRDefault="007706CC" w:rsidP="00754B21">
      <w:pPr>
        <w:numPr>
          <w:ilvl w:val="0"/>
          <w:numId w:val="114"/>
        </w:numPr>
        <w:rPr>
          <w:lang w:val="en-GB"/>
        </w:rPr>
      </w:pPr>
      <w:hyperlink r:id="rId56" w:history="1">
        <w:r w:rsidR="00754B21" w:rsidRPr="00180522">
          <w:rPr>
            <w:rStyle w:val="Hyperlink"/>
            <w:lang w:val="en-GB"/>
          </w:rPr>
          <w:t>Quantum specialists are racing to join the ITU membership: ID Quantique explains why</w:t>
        </w:r>
      </w:hyperlink>
    </w:p>
    <w:p w14:paraId="1AC0586A" w14:textId="77777777" w:rsidR="00754B21" w:rsidRPr="00180522" w:rsidRDefault="007706CC" w:rsidP="00754B21">
      <w:pPr>
        <w:numPr>
          <w:ilvl w:val="0"/>
          <w:numId w:val="114"/>
        </w:numPr>
        <w:rPr>
          <w:lang w:val="en-GB"/>
        </w:rPr>
      </w:pPr>
      <w:hyperlink r:id="rId57" w:history="1">
        <w:r w:rsidR="00754B21" w:rsidRPr="00180522">
          <w:rPr>
            <w:rStyle w:val="Hyperlink"/>
            <w:lang w:val="en-GB"/>
          </w:rPr>
          <w:t>How can quantum technologies make networking more secure? ITU workshop in Shanghai</w:t>
        </w:r>
      </w:hyperlink>
    </w:p>
    <w:p w14:paraId="600CA12A" w14:textId="77777777" w:rsidR="00754B21" w:rsidRPr="00180522" w:rsidRDefault="007706CC" w:rsidP="00754B21">
      <w:pPr>
        <w:numPr>
          <w:ilvl w:val="0"/>
          <w:numId w:val="114"/>
        </w:numPr>
        <w:rPr>
          <w:lang w:val="en-GB"/>
        </w:rPr>
      </w:pPr>
      <w:hyperlink r:id="rId58" w:history="1">
        <w:r w:rsidR="00754B21" w:rsidRPr="00180522">
          <w:rPr>
            <w:rStyle w:val="Hyperlink"/>
            <w:lang w:val="en-GB"/>
          </w:rPr>
          <w:t>CTOs from China, Japan and Korea highlight standardization priorities</w:t>
        </w:r>
      </w:hyperlink>
    </w:p>
    <w:p w14:paraId="5F8FAD1C" w14:textId="12B71019" w:rsidR="00754B21" w:rsidRPr="00180522" w:rsidRDefault="00754B21" w:rsidP="00754B21">
      <w:pPr>
        <w:rPr>
          <w:lang w:val="en-GB"/>
        </w:rPr>
      </w:pPr>
      <w:r w:rsidRPr="00180522">
        <w:rPr>
          <w:lang w:val="en-GB"/>
        </w:rPr>
        <w:t xml:space="preserve">ITU and Stanford University, a new ITU Academia member, have agreed to launch a partnership to support pilot implementations of Digital Fiat Currency (DFC). 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The International Monetary Fund and Bank for International Settlements are also expected to join this initiative. </w:t>
      </w:r>
    </w:p>
    <w:p w14:paraId="25F0F7BF" w14:textId="77777777" w:rsidR="00754B21" w:rsidRPr="00180522" w:rsidRDefault="007706CC" w:rsidP="00754B21">
      <w:pPr>
        <w:numPr>
          <w:ilvl w:val="0"/>
          <w:numId w:val="115"/>
        </w:numPr>
        <w:rPr>
          <w:lang w:val="en-GB"/>
        </w:rPr>
      </w:pPr>
      <w:hyperlink r:id="rId59" w:history="1">
        <w:r w:rsidR="00754B21" w:rsidRPr="00180522">
          <w:rPr>
            <w:rStyle w:val="Hyperlink"/>
            <w:lang w:val="en-GB"/>
          </w:rPr>
          <w:t>ITU and Stanford University to launch new partnership supporting pilots of Digital Fiat Currency</w:t>
        </w:r>
      </w:hyperlink>
    </w:p>
    <w:p w14:paraId="285D156F" w14:textId="77777777" w:rsidR="00754B21" w:rsidRPr="00180522" w:rsidRDefault="00754B21" w:rsidP="00754B21">
      <w:pPr>
        <w:rPr>
          <w:lang w:val="en-GB"/>
        </w:rPr>
      </w:pPr>
      <w:r w:rsidRPr="00180522">
        <w:rPr>
          <w:lang w:val="en-GB"/>
        </w:rPr>
        <w:t>Three new ITU standards address economic and policy issues relevant to international communications, in particular the relationship between network operators and providers of over-the-top (OTT) services, competition in mobile financial services, and principles for a unified format of price/tariffs/rates-lists used for exchanging telephone traffic. The new ITU standard on OTTs describes the interdependence of OTT and telecoms business, highlighting that the coexistence of OTT and telecoms, and their complementary contributions to innovation and investment, will be central to the advance of the ICT ecosystem.</w:t>
      </w:r>
    </w:p>
    <w:p w14:paraId="160BFBE6" w14:textId="77777777" w:rsidR="00754B21" w:rsidRPr="00180522" w:rsidRDefault="007706CC" w:rsidP="00754B21">
      <w:pPr>
        <w:numPr>
          <w:ilvl w:val="0"/>
          <w:numId w:val="116"/>
        </w:numPr>
        <w:rPr>
          <w:lang w:val="en-GB"/>
        </w:rPr>
      </w:pPr>
      <w:hyperlink r:id="rId60" w:history="1">
        <w:r w:rsidR="00754B21" w:rsidRPr="00180522">
          <w:rPr>
            <w:rStyle w:val="Hyperlink"/>
            <w:lang w:val="en-GB"/>
          </w:rPr>
          <w:t>New ITU Recommendation provides parameters for a collaborative framework for OTTs</w:t>
        </w:r>
      </w:hyperlink>
    </w:p>
    <w:p w14:paraId="64CB5F59" w14:textId="77777777" w:rsidR="00754B21" w:rsidRPr="00180522" w:rsidRDefault="00754B21" w:rsidP="00754B21">
      <w:pPr>
        <w:rPr>
          <w:lang w:val="en-GB"/>
        </w:rPr>
      </w:pPr>
      <w:r w:rsidRPr="00180522">
        <w:rPr>
          <w:lang w:val="en-GB"/>
        </w:rPr>
        <w:t>A new ITU standard describes a framework for solutions to combat counterfeit ICT devices, providing the reference framework and requirements to be considered when deploying solutions to combat the circulation and use of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6915CD65" w14:textId="77777777" w:rsidR="00754B21" w:rsidRPr="00180522" w:rsidRDefault="007706CC" w:rsidP="00754B21">
      <w:pPr>
        <w:numPr>
          <w:ilvl w:val="0"/>
          <w:numId w:val="117"/>
        </w:numPr>
        <w:rPr>
          <w:lang w:val="en-GB"/>
        </w:rPr>
      </w:pPr>
      <w:hyperlink r:id="rId61" w:history="1">
        <w:r w:rsidR="00754B21" w:rsidRPr="00180522">
          <w:rPr>
            <w:rStyle w:val="Hyperlink"/>
            <w:lang w:val="en-GB"/>
          </w:rPr>
          <w:t>Progress update on ITU standardization for protocols, test specifications and combatting counterfeiting</w:t>
        </w:r>
      </w:hyperlink>
    </w:p>
    <w:p w14:paraId="05BE9DFF" w14:textId="77777777" w:rsidR="00754B21" w:rsidRPr="00180522" w:rsidRDefault="00754B21" w:rsidP="00754B21">
      <w:pPr>
        <w:rPr>
          <w:lang w:val="en-GB"/>
        </w:rPr>
      </w:pPr>
      <w:r w:rsidRPr="00180522">
        <w:rPr>
          <w:lang w:val="en-GB"/>
        </w:rPr>
        <w:lastRenderedPageBreak/>
        <w:t>Focus Groups are formed in response to immediate ICT standardization demands, tasked with establishing the basis for subsequent standardization work in ITU-T Study Groups. These groups are the place to explore new directions in ITU standardization.</w:t>
      </w:r>
    </w:p>
    <w:p w14:paraId="7CBFFD99" w14:textId="77777777" w:rsidR="00754B21" w:rsidRPr="00180522" w:rsidRDefault="00754B21" w:rsidP="00754B21">
      <w:pPr>
        <w:rPr>
          <w:b/>
          <w:lang w:val="en-GB"/>
        </w:rPr>
      </w:pPr>
      <w:r w:rsidRPr="00180522">
        <w:rPr>
          <w:lang w:val="en-GB"/>
        </w:rPr>
        <w:t>Three ITU-T Focus Groups have concluded their activities</w:t>
      </w:r>
      <w:r w:rsidRPr="00180522">
        <w:rPr>
          <w:b/>
          <w:lang w:val="en-GB"/>
        </w:rPr>
        <w:t xml:space="preserve">: </w:t>
      </w:r>
    </w:p>
    <w:p w14:paraId="6C70DF19" w14:textId="1454EC3B" w:rsidR="00754B21" w:rsidRPr="00180522" w:rsidRDefault="007706CC" w:rsidP="00754B21">
      <w:pPr>
        <w:numPr>
          <w:ilvl w:val="0"/>
          <w:numId w:val="120"/>
        </w:numPr>
        <w:rPr>
          <w:lang w:val="en-GB"/>
        </w:rPr>
      </w:pPr>
      <w:hyperlink r:id="rId62" w:history="1">
        <w:r w:rsidR="00754B21" w:rsidRPr="00180522">
          <w:rPr>
            <w:rStyle w:val="Hyperlink"/>
            <w:lang w:val="en-GB"/>
          </w:rPr>
          <w:t xml:space="preserve">Data Processing and Management to support IoT and Smart Cities </w:t>
        </w:r>
        <w:r w:rsidR="002522DA" w:rsidRPr="00180522">
          <w:rPr>
            <w:rStyle w:val="Hyperlink"/>
            <w:lang w:val="en-GB"/>
          </w:rPr>
          <w:t>&amp;</w:t>
        </w:r>
        <w:r w:rsidR="00754B21" w:rsidRPr="00180522">
          <w:rPr>
            <w:rStyle w:val="Hyperlink"/>
            <w:lang w:val="en-GB"/>
          </w:rPr>
          <w:t xml:space="preserve"> Communities</w:t>
        </w:r>
      </w:hyperlink>
      <w:r w:rsidR="00754B21" w:rsidRPr="00180522">
        <w:rPr>
          <w:lang w:val="en-GB"/>
        </w:rPr>
        <w:t xml:space="preserve"> </w:t>
      </w:r>
    </w:p>
    <w:p w14:paraId="7D5C20CB" w14:textId="77777777" w:rsidR="002522DA" w:rsidRPr="00180522" w:rsidRDefault="007706CC" w:rsidP="002522DA">
      <w:pPr>
        <w:numPr>
          <w:ilvl w:val="0"/>
          <w:numId w:val="120"/>
        </w:numPr>
        <w:rPr>
          <w:lang w:val="en-GB"/>
        </w:rPr>
      </w:pPr>
      <w:hyperlink r:id="rId63" w:history="1">
        <w:r w:rsidR="002522DA" w:rsidRPr="00180522">
          <w:rPr>
            <w:rStyle w:val="Hyperlink"/>
            <w:lang w:val="en-GB"/>
          </w:rPr>
          <w:t>Digital Currency including Digital Fiat Currency</w:t>
        </w:r>
      </w:hyperlink>
    </w:p>
    <w:p w14:paraId="412BC07C" w14:textId="77777777" w:rsidR="00754B21" w:rsidRPr="00180522" w:rsidRDefault="007706CC" w:rsidP="00754B21">
      <w:pPr>
        <w:numPr>
          <w:ilvl w:val="0"/>
          <w:numId w:val="120"/>
        </w:numPr>
        <w:rPr>
          <w:lang w:val="en-GB"/>
        </w:rPr>
      </w:pPr>
      <w:hyperlink r:id="rId64" w:history="1">
        <w:r w:rsidR="00754B21" w:rsidRPr="00180522">
          <w:rPr>
            <w:rStyle w:val="Hyperlink"/>
            <w:lang w:val="en-GB"/>
          </w:rPr>
          <w:t>Application of Distributed Ledger Technology</w:t>
        </w:r>
      </w:hyperlink>
    </w:p>
    <w:p w14:paraId="5A7FEFAF" w14:textId="77777777" w:rsidR="00754B21" w:rsidRPr="00180522" w:rsidRDefault="00754B21" w:rsidP="00754B21">
      <w:pPr>
        <w:rPr>
          <w:lang w:val="en-GB"/>
        </w:rPr>
      </w:pPr>
      <w:r w:rsidRPr="00180522">
        <w:rPr>
          <w:lang w:val="en-GB"/>
        </w:rPr>
        <w:t>Active ITU-T Focus Groups:</w:t>
      </w:r>
    </w:p>
    <w:p w14:paraId="791AF40C" w14:textId="77777777" w:rsidR="00754B21" w:rsidRPr="00180522" w:rsidRDefault="007706CC" w:rsidP="00754B21">
      <w:pPr>
        <w:numPr>
          <w:ilvl w:val="0"/>
          <w:numId w:val="121"/>
        </w:numPr>
        <w:rPr>
          <w:lang w:val="en-GB"/>
        </w:rPr>
      </w:pPr>
      <w:hyperlink r:id="rId65" w:history="1">
        <w:r w:rsidR="00754B21" w:rsidRPr="00180522">
          <w:rPr>
            <w:rStyle w:val="Hyperlink"/>
            <w:lang w:val="en-GB"/>
          </w:rPr>
          <w:t xml:space="preserve">Artificial Intelligence for Health </w:t>
        </w:r>
      </w:hyperlink>
    </w:p>
    <w:p w14:paraId="1A116AA5" w14:textId="77777777" w:rsidR="00754B21" w:rsidRPr="00180522" w:rsidRDefault="007706CC" w:rsidP="00754B21">
      <w:pPr>
        <w:numPr>
          <w:ilvl w:val="0"/>
          <w:numId w:val="121"/>
        </w:numPr>
        <w:rPr>
          <w:lang w:val="en-GB"/>
        </w:rPr>
      </w:pPr>
      <w:hyperlink r:id="rId66" w:history="1">
        <w:r w:rsidR="00754B21" w:rsidRPr="00180522">
          <w:rPr>
            <w:rStyle w:val="Hyperlink"/>
            <w:lang w:val="en-GB"/>
          </w:rPr>
          <w:t>Machine Learning for Future Networks including 5G</w:t>
        </w:r>
      </w:hyperlink>
    </w:p>
    <w:p w14:paraId="29350034" w14:textId="77777777" w:rsidR="00754B21" w:rsidRPr="00180522" w:rsidRDefault="007706CC" w:rsidP="00754B21">
      <w:pPr>
        <w:numPr>
          <w:ilvl w:val="0"/>
          <w:numId w:val="121"/>
        </w:numPr>
        <w:rPr>
          <w:lang w:val="en-GB"/>
        </w:rPr>
      </w:pPr>
      <w:hyperlink r:id="rId67" w:history="1">
        <w:r w:rsidR="00754B21" w:rsidRPr="00180522">
          <w:rPr>
            <w:rStyle w:val="Hyperlink"/>
            <w:lang w:val="en-GB"/>
          </w:rPr>
          <w:t>Vehicular Multimedia</w:t>
        </w:r>
      </w:hyperlink>
    </w:p>
    <w:p w14:paraId="71559092" w14:textId="77777777" w:rsidR="00754B21" w:rsidRPr="00180522" w:rsidRDefault="007706CC" w:rsidP="00754B21">
      <w:pPr>
        <w:numPr>
          <w:ilvl w:val="0"/>
          <w:numId w:val="121"/>
        </w:numPr>
        <w:rPr>
          <w:lang w:val="en-GB"/>
        </w:rPr>
      </w:pPr>
      <w:hyperlink r:id="rId68" w:history="1">
        <w:r w:rsidR="00754B21" w:rsidRPr="00180522">
          <w:rPr>
            <w:rStyle w:val="Hyperlink"/>
            <w:lang w:val="en-GB"/>
          </w:rPr>
          <w:t>Technologies for Network 2030</w:t>
        </w:r>
      </w:hyperlink>
    </w:p>
    <w:p w14:paraId="58FE2917" w14:textId="1C758FC9" w:rsidR="0030657A" w:rsidRPr="00180522" w:rsidRDefault="007706CC" w:rsidP="008A2F29">
      <w:pPr>
        <w:numPr>
          <w:ilvl w:val="0"/>
          <w:numId w:val="121"/>
        </w:numPr>
        <w:rPr>
          <w:lang w:val="en-GB"/>
        </w:rPr>
      </w:pPr>
      <w:hyperlink r:id="rId69" w:history="1">
        <w:r w:rsidR="00754B21" w:rsidRPr="00180522">
          <w:rPr>
            <w:rStyle w:val="Hyperlink"/>
            <w:lang w:val="en-GB"/>
          </w:rPr>
          <w:t>Environmental Efficiency for Artificial Intelligence and other Emerging Technologies</w:t>
        </w:r>
      </w:hyperlink>
    </w:p>
    <w:p w14:paraId="54B5A0A5" w14:textId="67029BEC" w:rsidR="006944F8" w:rsidRPr="00180522" w:rsidRDefault="00653C5B" w:rsidP="001A5609">
      <w:pPr>
        <w:pStyle w:val="Heading1"/>
        <w:rPr>
          <w:rFonts w:eastAsiaTheme="minorEastAsia"/>
        </w:rPr>
      </w:pPr>
      <w:bookmarkStart w:id="18" w:name="_2.8_IPTV_and"/>
      <w:bookmarkStart w:id="19" w:name="a353677d2-7347-4cd3-8301-15d8ee365aeb"/>
      <w:bookmarkStart w:id="20" w:name="_3.4_e-Health"/>
      <w:bookmarkStart w:id="21" w:name="_3.6_Aviation_applications"/>
      <w:bookmarkStart w:id="22" w:name="_Toc416161352"/>
      <w:bookmarkStart w:id="23" w:name="_Toc438553972"/>
      <w:bookmarkStart w:id="24" w:name="_Toc453929091"/>
      <w:bookmarkStart w:id="25" w:name="_Toc453932962"/>
      <w:bookmarkStart w:id="26" w:name="_Toc454295868"/>
      <w:bookmarkStart w:id="27" w:name="_Toc462664223"/>
      <w:bookmarkStart w:id="28" w:name="_Toc480527817"/>
      <w:bookmarkStart w:id="29" w:name="_Toc18509736"/>
      <w:bookmarkEnd w:id="7"/>
      <w:bookmarkEnd w:id="8"/>
      <w:bookmarkEnd w:id="9"/>
      <w:bookmarkEnd w:id="10"/>
      <w:bookmarkEnd w:id="11"/>
      <w:bookmarkEnd w:id="12"/>
      <w:bookmarkEnd w:id="13"/>
      <w:bookmarkEnd w:id="14"/>
      <w:bookmarkEnd w:id="15"/>
      <w:bookmarkEnd w:id="17"/>
      <w:bookmarkEnd w:id="18"/>
      <w:bookmarkEnd w:id="19"/>
      <w:bookmarkEnd w:id="20"/>
      <w:bookmarkEnd w:id="21"/>
      <w:r w:rsidRPr="00180522">
        <w:rPr>
          <w:rFonts w:eastAsiaTheme="minorEastAsia"/>
        </w:rPr>
        <w:t>2</w:t>
      </w:r>
      <w:r w:rsidR="006944F8" w:rsidRPr="00180522">
        <w:rPr>
          <w:rFonts w:eastAsiaTheme="minorEastAsia"/>
        </w:rPr>
        <w:tab/>
        <w:t>Conformity, interoperability</w:t>
      </w:r>
      <w:bookmarkEnd w:id="22"/>
      <w:r w:rsidR="006944F8" w:rsidRPr="00180522">
        <w:rPr>
          <w:rFonts w:eastAsiaTheme="minorEastAsia"/>
        </w:rPr>
        <w:t xml:space="preserve"> and testing</w:t>
      </w:r>
      <w:bookmarkEnd w:id="23"/>
      <w:bookmarkEnd w:id="24"/>
      <w:bookmarkEnd w:id="25"/>
      <w:bookmarkEnd w:id="26"/>
      <w:bookmarkEnd w:id="27"/>
      <w:bookmarkEnd w:id="28"/>
      <w:bookmarkEnd w:id="29"/>
    </w:p>
    <w:p w14:paraId="1F7CA4EA" w14:textId="0A4F64A6" w:rsidR="006944F8" w:rsidRPr="00180522" w:rsidRDefault="00653C5B" w:rsidP="001A5609">
      <w:pPr>
        <w:pStyle w:val="Heading2"/>
      </w:pPr>
      <w:bookmarkStart w:id="30" w:name="_Toc462664224"/>
      <w:bookmarkStart w:id="31" w:name="_Toc480527818"/>
      <w:bookmarkStart w:id="32" w:name="_Toc18509737"/>
      <w:bookmarkStart w:id="33" w:name="_Toc453929092"/>
      <w:bookmarkStart w:id="34" w:name="_Toc453932963"/>
      <w:bookmarkStart w:id="35" w:name="_Toc454295869"/>
      <w:r w:rsidRPr="00180522">
        <w:t>2</w:t>
      </w:r>
      <w:r w:rsidR="006944F8" w:rsidRPr="00180522">
        <w:t>.1</w:t>
      </w:r>
      <w:r w:rsidR="006944F8" w:rsidRPr="00180522">
        <w:tab/>
        <w:t>Conform</w:t>
      </w:r>
      <w:r w:rsidR="00E12728" w:rsidRPr="00180522">
        <w:t>ity</w:t>
      </w:r>
      <w:r w:rsidR="006944F8" w:rsidRPr="00180522">
        <w:t xml:space="preserve"> Assessment Steering Committee (CASC)</w:t>
      </w:r>
      <w:bookmarkEnd w:id="30"/>
      <w:bookmarkEnd w:id="31"/>
      <w:bookmarkEnd w:id="32"/>
    </w:p>
    <w:p w14:paraId="0BCF79D5" w14:textId="16E6CC45" w:rsidR="006944F8" w:rsidRPr="00180522" w:rsidRDefault="006944F8" w:rsidP="006944F8">
      <w:pPr>
        <w:snapToGrid w:val="0"/>
        <w:rPr>
          <w:lang w:val="en-GB"/>
        </w:rPr>
      </w:pPr>
      <w:r w:rsidRPr="00180522">
        <w:rPr>
          <w:lang w:val="en-GB"/>
        </w:rPr>
        <w:t xml:space="preserve">The main objective of ITU-T CASC is to set up criteria, rules and procedures to recognize Test Laboratories (TL) with competence in ITU-T Recommendation(s) and register these TLs in </w:t>
      </w:r>
      <w:r w:rsidR="007E3D24" w:rsidRPr="00180522">
        <w:rPr>
          <w:lang w:val="en-GB"/>
        </w:rPr>
        <w:t xml:space="preserve">a list of </w:t>
      </w:r>
      <w:r w:rsidRPr="00180522">
        <w:rPr>
          <w:lang w:val="en-GB"/>
        </w:rPr>
        <w:t>ITU</w:t>
      </w:r>
      <w:r w:rsidR="007E3D24" w:rsidRPr="00180522">
        <w:rPr>
          <w:lang w:val="en-GB"/>
        </w:rPr>
        <w:t>-</w:t>
      </w:r>
      <w:r w:rsidRPr="00180522">
        <w:rPr>
          <w:lang w:val="en-GB"/>
        </w:rPr>
        <w:t>recognized TL</w:t>
      </w:r>
      <w:r w:rsidR="007E3D24" w:rsidRPr="00180522">
        <w:rPr>
          <w:lang w:val="en-GB"/>
        </w:rPr>
        <w:t>s</w:t>
      </w:r>
      <w:r w:rsidRPr="00180522">
        <w:rPr>
          <w:lang w:val="en-GB"/>
        </w:rPr>
        <w:t xml:space="preserve">. This effort is supported by a guideline </w:t>
      </w:r>
      <w:r w:rsidR="00CA2D85" w:rsidRPr="00180522">
        <w:rPr>
          <w:lang w:val="en-GB"/>
        </w:rPr>
        <w:t>"</w:t>
      </w:r>
      <w:r w:rsidRPr="00180522">
        <w:rPr>
          <w:lang w:val="en-GB"/>
        </w:rPr>
        <w:t>Testing laboratories recognition procedure</w:t>
      </w:r>
      <w:r w:rsidR="00CA2D85" w:rsidRPr="00180522">
        <w:rPr>
          <w:lang w:val="en-GB"/>
        </w:rPr>
        <w:t>"</w:t>
      </w:r>
      <w:r w:rsidRPr="00180522">
        <w:rPr>
          <w:lang w:val="en-GB"/>
        </w:rPr>
        <w:t xml:space="preserve"> agreed by ITU-T SG11 in 2015. According to requests received from ITU members and ITU-T Study Groups, ITU-T CASC </w:t>
      </w:r>
      <w:r w:rsidR="00754B21" w:rsidRPr="00180522">
        <w:rPr>
          <w:lang w:val="en-GB"/>
        </w:rPr>
        <w:t xml:space="preserve">has </w:t>
      </w:r>
      <w:r w:rsidRPr="00180522">
        <w:rPr>
          <w:lang w:val="en-GB"/>
        </w:rPr>
        <w:t>established a list of ITU-T Recommendations (e.g., ITU-T P.1140, ITU-T P.1100 and P.1110, and ITU-T K.116) which may become subjects of future joint certification schemes.</w:t>
      </w:r>
    </w:p>
    <w:p w14:paraId="28382E74" w14:textId="797BAC1C" w:rsidR="00851D80" w:rsidRPr="00180522" w:rsidRDefault="00851D80" w:rsidP="00851D80">
      <w:pPr>
        <w:rPr>
          <w:lang w:val="en-GB"/>
        </w:rPr>
      </w:pPr>
      <w:r w:rsidRPr="00180522">
        <w:rPr>
          <w:lang w:val="en-GB"/>
        </w:rPr>
        <w:t xml:space="preserve">ITU-T CASC is developing a joint ITU/IEC certification scheme in collaboration with IECEE. </w:t>
      </w:r>
      <w:r w:rsidR="00270B63" w:rsidRPr="00180522">
        <w:rPr>
          <w:lang w:val="en-GB"/>
        </w:rPr>
        <w:t>This service would be organized and arranged by IECEE based on the IECEE peer-assessment programme, leveraging ITU-T technical experts nominated by ITU-T CASC.</w:t>
      </w:r>
    </w:p>
    <w:p w14:paraId="2732EFAF" w14:textId="77777777" w:rsidR="00851D80" w:rsidRPr="00180522" w:rsidRDefault="00851D80" w:rsidP="008A2F29">
      <w:pPr>
        <w:rPr>
          <w:lang w:val="en-GB"/>
        </w:rPr>
      </w:pPr>
      <w:r w:rsidRPr="00180522">
        <w:rPr>
          <w:lang w:val="en-GB"/>
        </w:rPr>
        <w:t>ITU-T CASC has requested all ITU-T Study Groups to propose ITU-T Recommendations with potential to become subjects of this future ITU/IEC joint certification scheme, taking into consideration market needs.</w:t>
      </w:r>
    </w:p>
    <w:p w14:paraId="756E15FF" w14:textId="679173E9" w:rsidR="00575262" w:rsidRPr="00180522" w:rsidRDefault="00270B63" w:rsidP="00575262">
      <w:pPr>
        <w:snapToGrid w:val="0"/>
        <w:rPr>
          <w:lang w:val="en-GB"/>
        </w:rPr>
      </w:pPr>
      <w:r w:rsidRPr="00180522">
        <w:rPr>
          <w:lang w:val="en-GB"/>
        </w:rPr>
        <w:t xml:space="preserve">The relevant working group of the </w:t>
      </w:r>
      <w:r w:rsidR="00575262" w:rsidRPr="00180522">
        <w:rPr>
          <w:lang w:val="en-GB"/>
        </w:rPr>
        <w:t xml:space="preserve">IECEE </w:t>
      </w:r>
      <w:r w:rsidRPr="00180522">
        <w:rPr>
          <w:lang w:val="en-GB"/>
        </w:rPr>
        <w:t xml:space="preserve">Certification Management Committee (IECEE CMC) has </w:t>
      </w:r>
      <w:r w:rsidR="00575262" w:rsidRPr="00180522">
        <w:rPr>
          <w:lang w:val="en-GB"/>
        </w:rPr>
        <w:t xml:space="preserve">finalized </w:t>
      </w:r>
      <w:r w:rsidRPr="00180522">
        <w:rPr>
          <w:lang w:val="en-GB"/>
        </w:rPr>
        <w:t xml:space="preserve">an </w:t>
      </w:r>
      <w:r w:rsidR="00575262" w:rsidRPr="00180522">
        <w:rPr>
          <w:lang w:val="en-GB"/>
        </w:rPr>
        <w:t xml:space="preserve">Operational Document (OD) </w:t>
      </w:r>
      <w:r w:rsidRPr="00180522">
        <w:rPr>
          <w:lang w:val="en-GB"/>
        </w:rPr>
        <w:t xml:space="preserve">titled </w:t>
      </w:r>
      <w:r w:rsidR="00CA2D85" w:rsidRPr="00180522">
        <w:rPr>
          <w:lang w:val="en-GB"/>
        </w:rPr>
        <w:t>"</w:t>
      </w:r>
      <w:r w:rsidR="00575262" w:rsidRPr="00180522">
        <w:rPr>
          <w:lang w:val="en-GB"/>
        </w:rPr>
        <w:t>ICT Laboratory Recognition Service on ITU-T Recommendations</w:t>
      </w:r>
      <w:r w:rsidR="00CA2D85" w:rsidRPr="00180522">
        <w:rPr>
          <w:lang w:val="en-GB"/>
        </w:rPr>
        <w:t>"</w:t>
      </w:r>
      <w:r w:rsidRPr="00180522">
        <w:rPr>
          <w:lang w:val="en-GB"/>
        </w:rPr>
        <w:t xml:space="preserve">. The OD was </w:t>
      </w:r>
      <w:r w:rsidR="00575262" w:rsidRPr="00180522">
        <w:rPr>
          <w:lang w:val="en-GB"/>
        </w:rPr>
        <w:t>presented at the</w:t>
      </w:r>
      <w:r w:rsidRPr="00180522">
        <w:rPr>
          <w:lang w:val="en-GB"/>
        </w:rPr>
        <w:t xml:space="preserve"> March 2019 meeting of</w:t>
      </w:r>
      <w:r w:rsidR="00575262" w:rsidRPr="00180522">
        <w:rPr>
          <w:lang w:val="en-GB"/>
        </w:rPr>
        <w:t xml:space="preserve"> ITU-T CASC. The OD </w:t>
      </w:r>
      <w:r w:rsidRPr="00180522">
        <w:rPr>
          <w:lang w:val="en-GB"/>
        </w:rPr>
        <w:t xml:space="preserve">is awaiting the approval of </w:t>
      </w:r>
      <w:r w:rsidR="00575262" w:rsidRPr="00180522">
        <w:rPr>
          <w:lang w:val="en-GB"/>
        </w:rPr>
        <w:t>IECEE CMC</w:t>
      </w:r>
      <w:r w:rsidRPr="00180522">
        <w:rPr>
          <w:lang w:val="en-GB"/>
        </w:rPr>
        <w:t xml:space="preserve">. The approval of the OD would allow </w:t>
      </w:r>
      <w:r w:rsidR="00575262" w:rsidRPr="00180522">
        <w:rPr>
          <w:lang w:val="en-GB"/>
        </w:rPr>
        <w:t>any TL</w:t>
      </w:r>
      <w:r w:rsidRPr="00180522">
        <w:rPr>
          <w:lang w:val="en-GB"/>
        </w:rPr>
        <w:t xml:space="preserve"> </w:t>
      </w:r>
      <w:r w:rsidR="00575262" w:rsidRPr="00180522">
        <w:rPr>
          <w:lang w:val="en-GB"/>
        </w:rPr>
        <w:t xml:space="preserve">(including non-ITU members) </w:t>
      </w:r>
      <w:r w:rsidRPr="00180522">
        <w:rPr>
          <w:lang w:val="en-GB"/>
        </w:rPr>
        <w:t xml:space="preserve">to </w:t>
      </w:r>
      <w:r w:rsidR="00575262" w:rsidRPr="00180522">
        <w:rPr>
          <w:lang w:val="en-GB"/>
        </w:rPr>
        <w:t>apply for recognition</w:t>
      </w:r>
      <w:r w:rsidRPr="00180522">
        <w:rPr>
          <w:lang w:val="en-GB"/>
        </w:rPr>
        <w:t xml:space="preserve"> as a TL with competence in ITU-T Recommendations</w:t>
      </w:r>
      <w:r w:rsidR="00575262" w:rsidRPr="00180522">
        <w:rPr>
          <w:lang w:val="en-GB"/>
        </w:rPr>
        <w:t xml:space="preserve">. </w:t>
      </w:r>
    </w:p>
    <w:p w14:paraId="1B4EDC0A" w14:textId="0721FE87" w:rsidR="00575262" w:rsidRPr="00180522" w:rsidRDefault="00270B63" w:rsidP="00575262">
      <w:pPr>
        <w:snapToGrid w:val="0"/>
        <w:rPr>
          <w:lang w:val="en-GB"/>
        </w:rPr>
      </w:pPr>
      <w:r w:rsidRPr="00180522">
        <w:rPr>
          <w:lang w:val="en-GB"/>
        </w:rPr>
        <w:t xml:space="preserve">In addition, </w:t>
      </w:r>
      <w:r w:rsidR="00575262" w:rsidRPr="00180522">
        <w:rPr>
          <w:lang w:val="en-GB"/>
        </w:rPr>
        <w:t xml:space="preserve">ITU-T CASC is </w:t>
      </w:r>
      <w:r w:rsidR="007E3D24" w:rsidRPr="00180522">
        <w:rPr>
          <w:lang w:val="en-GB"/>
        </w:rPr>
        <w:t xml:space="preserve">currently </w:t>
      </w:r>
      <w:r w:rsidR="00575262" w:rsidRPr="00180522">
        <w:rPr>
          <w:lang w:val="en-GB"/>
        </w:rPr>
        <w:t>developing the</w:t>
      </w:r>
      <w:r w:rsidRPr="00180522">
        <w:rPr>
          <w:lang w:val="en-GB"/>
        </w:rPr>
        <w:t xml:space="preserve"> </w:t>
      </w:r>
      <w:r w:rsidR="007E3D24" w:rsidRPr="00180522">
        <w:rPr>
          <w:lang w:val="en-GB"/>
        </w:rPr>
        <w:t>g</w:t>
      </w:r>
      <w:r w:rsidR="00575262" w:rsidRPr="00180522">
        <w:rPr>
          <w:lang w:val="en-GB"/>
        </w:rPr>
        <w:t xml:space="preserve">uideline </w:t>
      </w:r>
      <w:r w:rsidR="00CA2D85" w:rsidRPr="00180522">
        <w:rPr>
          <w:lang w:val="en-GB"/>
        </w:rPr>
        <w:t>"</w:t>
      </w:r>
      <w:r w:rsidR="00575262" w:rsidRPr="00180522">
        <w:rPr>
          <w:lang w:val="en-GB"/>
        </w:rPr>
        <w:t>ITU-T CASC collaboration procedure with IECEE for TL recognition service on ITU-T Recommendations</w:t>
      </w:r>
      <w:r w:rsidR="00CA2D85" w:rsidRPr="00180522">
        <w:rPr>
          <w:lang w:val="en-GB"/>
        </w:rPr>
        <w:t>"</w:t>
      </w:r>
      <w:r w:rsidR="00575262" w:rsidRPr="00180522">
        <w:rPr>
          <w:lang w:val="en-GB"/>
        </w:rPr>
        <w:t xml:space="preserve">. This document </w:t>
      </w:r>
      <w:r w:rsidR="007E3D24" w:rsidRPr="00180522">
        <w:rPr>
          <w:lang w:val="en-GB"/>
        </w:rPr>
        <w:t xml:space="preserve">is expected to be </w:t>
      </w:r>
      <w:r w:rsidR="00575262" w:rsidRPr="00180522">
        <w:rPr>
          <w:lang w:val="en-GB"/>
        </w:rPr>
        <w:t xml:space="preserve">finalized </w:t>
      </w:r>
      <w:r w:rsidR="007E3D24" w:rsidRPr="00180522">
        <w:rPr>
          <w:lang w:val="en-GB"/>
        </w:rPr>
        <w:t xml:space="preserve">by </w:t>
      </w:r>
      <w:r w:rsidR="00575262" w:rsidRPr="00180522">
        <w:rPr>
          <w:lang w:val="en-GB"/>
        </w:rPr>
        <w:t>October 2019.</w:t>
      </w:r>
    </w:p>
    <w:p w14:paraId="3F390B9B" w14:textId="5FD40164" w:rsidR="00851D80" w:rsidRPr="00180522" w:rsidRDefault="00575262" w:rsidP="00575262">
      <w:pPr>
        <w:snapToGrid w:val="0"/>
        <w:rPr>
          <w:lang w:val="en-GB"/>
        </w:rPr>
      </w:pPr>
      <w:r w:rsidRPr="00180522">
        <w:rPr>
          <w:lang w:val="en-GB"/>
        </w:rPr>
        <w:t xml:space="preserve">ITU-T CASC </w:t>
      </w:r>
      <w:r w:rsidR="007E3D24" w:rsidRPr="00180522">
        <w:rPr>
          <w:lang w:val="en-GB"/>
        </w:rPr>
        <w:t>has</w:t>
      </w:r>
      <w:r w:rsidR="00270B63" w:rsidRPr="00180522">
        <w:rPr>
          <w:lang w:val="en-GB"/>
        </w:rPr>
        <w:t xml:space="preserve"> </w:t>
      </w:r>
      <w:r w:rsidRPr="00180522">
        <w:rPr>
          <w:lang w:val="en-GB"/>
        </w:rPr>
        <w:t xml:space="preserve">received two applications from candidates requesting </w:t>
      </w:r>
      <w:r w:rsidR="007E3D24" w:rsidRPr="00180522">
        <w:rPr>
          <w:lang w:val="en-GB"/>
        </w:rPr>
        <w:t xml:space="preserve">to be </w:t>
      </w:r>
      <w:r w:rsidRPr="00180522">
        <w:rPr>
          <w:lang w:val="en-GB"/>
        </w:rPr>
        <w:t>appoint</w:t>
      </w:r>
      <w:r w:rsidR="007E3D24" w:rsidRPr="00180522">
        <w:rPr>
          <w:lang w:val="en-GB"/>
        </w:rPr>
        <w:t xml:space="preserve">ed </w:t>
      </w:r>
      <w:r w:rsidRPr="00180522">
        <w:rPr>
          <w:lang w:val="en-GB"/>
        </w:rPr>
        <w:t>ITU-T technical experts</w:t>
      </w:r>
      <w:r w:rsidR="007E3D24" w:rsidRPr="00180522">
        <w:rPr>
          <w:lang w:val="en-GB"/>
        </w:rPr>
        <w:t xml:space="preserve"> </w:t>
      </w:r>
      <w:r w:rsidRPr="00180522">
        <w:rPr>
          <w:lang w:val="en-GB"/>
        </w:rPr>
        <w:t xml:space="preserve">with competence in </w:t>
      </w:r>
      <w:r w:rsidR="00C82DE5" w:rsidRPr="00180522">
        <w:rPr>
          <w:lang w:val="en-GB"/>
        </w:rPr>
        <w:t xml:space="preserve">certain ITU-T </w:t>
      </w:r>
      <w:r w:rsidR="003506F3" w:rsidRPr="00180522">
        <w:rPr>
          <w:lang w:val="en-GB"/>
        </w:rPr>
        <w:t>Recommendations</w:t>
      </w:r>
      <w:r w:rsidR="00C82DE5" w:rsidRPr="00180522">
        <w:rPr>
          <w:lang w:val="en-GB"/>
        </w:rPr>
        <w:t xml:space="preserve"> </w:t>
      </w:r>
      <w:r w:rsidR="007E3D24" w:rsidRPr="00180522">
        <w:rPr>
          <w:lang w:val="en-GB"/>
        </w:rPr>
        <w:t xml:space="preserve">under the responsibility of </w:t>
      </w:r>
      <w:r w:rsidRPr="00180522">
        <w:rPr>
          <w:lang w:val="en-GB"/>
        </w:rPr>
        <w:t>ITU-T SG2 and ITU-T SG5. In line with the approved guidelines for the appointment of</w:t>
      </w:r>
      <w:r w:rsidR="007E3D24" w:rsidRPr="00180522">
        <w:rPr>
          <w:lang w:val="en-GB"/>
        </w:rPr>
        <w:t xml:space="preserve"> such ITU-T technical experts</w:t>
      </w:r>
      <w:r w:rsidRPr="00180522">
        <w:rPr>
          <w:lang w:val="en-GB"/>
        </w:rPr>
        <w:t xml:space="preserve">, ITU-T CASC </w:t>
      </w:r>
      <w:r w:rsidR="007E3D24" w:rsidRPr="00180522">
        <w:rPr>
          <w:lang w:val="en-GB"/>
        </w:rPr>
        <w:t xml:space="preserve">formed </w:t>
      </w:r>
      <w:r w:rsidRPr="00180522">
        <w:rPr>
          <w:lang w:val="en-GB"/>
        </w:rPr>
        <w:t xml:space="preserve">appointment teams to review the applications and provide </w:t>
      </w:r>
      <w:r w:rsidR="007E3D24" w:rsidRPr="00180522">
        <w:rPr>
          <w:lang w:val="en-GB"/>
        </w:rPr>
        <w:t xml:space="preserve">related </w:t>
      </w:r>
      <w:r w:rsidRPr="00180522">
        <w:rPr>
          <w:lang w:val="en-GB"/>
        </w:rPr>
        <w:t xml:space="preserve">recommendations to ITU-T CASC. </w:t>
      </w:r>
    </w:p>
    <w:p w14:paraId="3B5C1D9C" w14:textId="393C376A" w:rsidR="00575262" w:rsidRPr="00180522" w:rsidRDefault="00575262" w:rsidP="00575262">
      <w:pPr>
        <w:snapToGrid w:val="0"/>
        <w:rPr>
          <w:lang w:val="en-GB"/>
        </w:rPr>
      </w:pPr>
      <w:r w:rsidRPr="00180522">
        <w:rPr>
          <w:lang w:val="en-GB"/>
        </w:rPr>
        <w:t xml:space="preserve">ITU-T CASC </w:t>
      </w:r>
      <w:r w:rsidR="007E3D24" w:rsidRPr="00180522">
        <w:rPr>
          <w:lang w:val="en-GB"/>
        </w:rPr>
        <w:t xml:space="preserve">has </w:t>
      </w:r>
      <w:r w:rsidRPr="00180522">
        <w:rPr>
          <w:lang w:val="en-GB"/>
        </w:rPr>
        <w:t xml:space="preserve">requested </w:t>
      </w:r>
      <w:r w:rsidR="007E3D24" w:rsidRPr="00180522">
        <w:rPr>
          <w:lang w:val="en-GB"/>
        </w:rPr>
        <w:t xml:space="preserve">that </w:t>
      </w:r>
      <w:r w:rsidRPr="00180522">
        <w:rPr>
          <w:lang w:val="en-GB"/>
        </w:rPr>
        <w:t>all ITU-T S</w:t>
      </w:r>
      <w:r w:rsidR="007E3D24" w:rsidRPr="00180522">
        <w:rPr>
          <w:lang w:val="en-GB"/>
        </w:rPr>
        <w:t xml:space="preserve">tudy </w:t>
      </w:r>
      <w:r w:rsidRPr="00180522">
        <w:rPr>
          <w:lang w:val="en-GB"/>
        </w:rPr>
        <w:t>G</w:t>
      </w:r>
      <w:r w:rsidR="007E3D24" w:rsidRPr="00180522">
        <w:rPr>
          <w:lang w:val="en-GB"/>
        </w:rPr>
        <w:t>roups</w:t>
      </w:r>
      <w:r w:rsidRPr="00180522">
        <w:rPr>
          <w:lang w:val="en-GB"/>
        </w:rPr>
        <w:t xml:space="preserve"> </w:t>
      </w:r>
      <w:r w:rsidR="007E3D24" w:rsidRPr="00180522">
        <w:rPr>
          <w:lang w:val="en-GB"/>
        </w:rPr>
        <w:t xml:space="preserve">appoint </w:t>
      </w:r>
      <w:r w:rsidRPr="00180522">
        <w:rPr>
          <w:lang w:val="en-GB"/>
        </w:rPr>
        <w:t xml:space="preserve">focal points </w:t>
      </w:r>
      <w:r w:rsidR="00851D80" w:rsidRPr="00180522">
        <w:rPr>
          <w:lang w:val="en-GB"/>
        </w:rPr>
        <w:t xml:space="preserve">for their interaction with </w:t>
      </w:r>
      <w:r w:rsidRPr="00180522">
        <w:rPr>
          <w:lang w:val="en-GB"/>
        </w:rPr>
        <w:t xml:space="preserve">ITU-T CASC. </w:t>
      </w:r>
    </w:p>
    <w:p w14:paraId="244BCF23" w14:textId="3572C930" w:rsidR="006944F8" w:rsidRPr="00180522" w:rsidRDefault="006944F8" w:rsidP="00C1421E">
      <w:pPr>
        <w:rPr>
          <w:lang w:val="en-GB"/>
        </w:rPr>
      </w:pPr>
      <w:r w:rsidRPr="00180522">
        <w:rPr>
          <w:lang w:val="en-GB"/>
        </w:rPr>
        <w:lastRenderedPageBreak/>
        <w:t xml:space="preserve">More details are available on the ITU-T CASC </w:t>
      </w:r>
      <w:hyperlink r:id="rId70" w:history="1">
        <w:r w:rsidRPr="00180522">
          <w:rPr>
            <w:rStyle w:val="Hyperlink"/>
            <w:lang w:val="en-GB"/>
          </w:rPr>
          <w:t>web page</w:t>
        </w:r>
      </w:hyperlink>
      <w:r w:rsidRPr="00180522">
        <w:rPr>
          <w:lang w:val="en-GB"/>
        </w:rPr>
        <w:t>.</w:t>
      </w:r>
    </w:p>
    <w:p w14:paraId="0B563D2C" w14:textId="4FD6C009" w:rsidR="006944F8" w:rsidRPr="00180522" w:rsidRDefault="00D64AF8" w:rsidP="006944F8">
      <w:pPr>
        <w:pStyle w:val="Heading2"/>
      </w:pPr>
      <w:bookmarkStart w:id="36" w:name="_Toc462664225"/>
      <w:bookmarkStart w:id="37" w:name="_Toc480527819"/>
      <w:bookmarkStart w:id="38" w:name="_Toc18509738"/>
      <w:bookmarkStart w:id="39" w:name="_Toc453932965"/>
      <w:bookmarkStart w:id="40" w:name="_Toc438553975"/>
      <w:bookmarkStart w:id="41" w:name="_Toc453929094"/>
      <w:bookmarkStart w:id="42" w:name="_Toc454295871"/>
      <w:r w:rsidRPr="00180522">
        <w:t>2</w:t>
      </w:r>
      <w:r w:rsidR="006944F8" w:rsidRPr="00180522">
        <w:t>.2</w:t>
      </w:r>
      <w:r w:rsidR="006944F8" w:rsidRPr="00180522">
        <w:tab/>
        <w:t xml:space="preserve">ICT </w:t>
      </w:r>
      <w:r w:rsidR="001C37A8" w:rsidRPr="00180522">
        <w:t>product conformity database</w:t>
      </w:r>
      <w:bookmarkEnd w:id="36"/>
      <w:bookmarkEnd w:id="37"/>
      <w:bookmarkEnd w:id="38"/>
    </w:p>
    <w:p w14:paraId="53247AEC" w14:textId="6884F8A2" w:rsidR="00666F7F" w:rsidRPr="00180522" w:rsidRDefault="006944F8" w:rsidP="00666F7F">
      <w:pPr>
        <w:rPr>
          <w:lang w:val="en-GB"/>
        </w:rPr>
      </w:pPr>
      <w:r w:rsidRPr="00180522">
        <w:rPr>
          <w:lang w:val="en-GB"/>
        </w:rPr>
        <w:t xml:space="preserve">The </w:t>
      </w:r>
      <w:r w:rsidR="00CA2D85" w:rsidRPr="00180522">
        <w:rPr>
          <w:lang w:val="en-GB"/>
        </w:rPr>
        <w:t>"</w:t>
      </w:r>
      <w:hyperlink r:id="rId71" w:history="1">
        <w:r w:rsidRPr="00180522">
          <w:rPr>
            <w:rStyle w:val="Hyperlink"/>
            <w:rFonts w:eastAsiaTheme="majorEastAsia"/>
            <w:lang w:val="en-GB"/>
          </w:rPr>
          <w:t>ICT product conformity database</w:t>
        </w:r>
      </w:hyperlink>
      <w:r w:rsidR="00CA2D85" w:rsidRPr="00180522">
        <w:rPr>
          <w:lang w:val="en-GB"/>
        </w:rPr>
        <w:t>"</w:t>
      </w:r>
      <w:r w:rsidRPr="00180522">
        <w:rPr>
          <w:lang w:val="en-GB"/>
        </w:rPr>
        <w:t xml:space="preserve"> enables industry to publicize the conformance of ICT products and services to ITU-T Recommendations, assisting users in their efforts to select standards-compliant products. </w:t>
      </w:r>
      <w:r w:rsidR="00666F7F" w:rsidRPr="00180522">
        <w:rPr>
          <w:szCs w:val="22"/>
          <w:lang w:val="en-GB"/>
        </w:rPr>
        <w:t>The database currently contains more than 500 entries.</w:t>
      </w:r>
      <w:r w:rsidR="00FB4454" w:rsidRPr="00180522">
        <w:rPr>
          <w:szCs w:val="22"/>
          <w:lang w:val="en-GB"/>
        </w:rPr>
        <w:t xml:space="preserve"> </w:t>
      </w:r>
      <w:r w:rsidR="00FB4454" w:rsidRPr="00180522">
        <w:rPr>
          <w:lang w:val="en-GB"/>
        </w:rPr>
        <w:t>Five categories of products and services have been submitted to the database:</w:t>
      </w:r>
    </w:p>
    <w:p w14:paraId="62804A5B" w14:textId="5928C528" w:rsidR="006944F8" w:rsidRPr="00180522" w:rsidRDefault="006944F8" w:rsidP="001C37A8">
      <w:pPr>
        <w:numPr>
          <w:ilvl w:val="0"/>
          <w:numId w:val="23"/>
        </w:numPr>
        <w:rPr>
          <w:i/>
          <w:lang w:val="en-GB"/>
        </w:rPr>
      </w:pPr>
      <w:r w:rsidRPr="00180522">
        <w:rPr>
          <w:b/>
          <w:bCs/>
          <w:lang w:val="en-GB"/>
        </w:rPr>
        <w:t>e-Health</w:t>
      </w:r>
      <w:r w:rsidRPr="00180522">
        <w:rPr>
          <w:lang w:val="en-GB"/>
        </w:rPr>
        <w:t xml:space="preserve"> solutions complying with the specifications of ITU-T H.810 </w:t>
      </w:r>
      <w:r w:rsidR="00CA2D85" w:rsidRPr="00180522">
        <w:rPr>
          <w:lang w:val="en-GB"/>
        </w:rPr>
        <w:t>"</w:t>
      </w:r>
      <w:r w:rsidRPr="00180522">
        <w:rPr>
          <w:lang w:val="en-GB"/>
        </w:rPr>
        <w:t>Interoperability design guidelines for personal health systems</w:t>
      </w:r>
      <w:r w:rsidR="00CA2D85" w:rsidRPr="00180522">
        <w:rPr>
          <w:lang w:val="en-GB"/>
        </w:rPr>
        <w:t>"</w:t>
      </w:r>
      <w:r w:rsidRPr="00180522">
        <w:rPr>
          <w:lang w:val="en-GB"/>
        </w:rPr>
        <w:t>, a transposition of the Continua Design Guidelines.</w:t>
      </w:r>
      <w:r w:rsidR="00666F7F" w:rsidRPr="00180522">
        <w:rPr>
          <w:lang w:val="en-GB"/>
        </w:rPr>
        <w:t xml:space="preserve"> The testing procedures are specified in the ITU-T H.820-H.850 sub-series of Recommendations.</w:t>
      </w:r>
    </w:p>
    <w:p w14:paraId="6EB17E71" w14:textId="607161F8" w:rsidR="006944F8" w:rsidRPr="00180522" w:rsidRDefault="006944F8" w:rsidP="001C37A8">
      <w:pPr>
        <w:numPr>
          <w:ilvl w:val="0"/>
          <w:numId w:val="23"/>
        </w:numPr>
        <w:rPr>
          <w:lang w:val="en-GB"/>
        </w:rPr>
      </w:pPr>
      <w:r w:rsidRPr="00180522">
        <w:rPr>
          <w:b/>
          <w:bCs/>
          <w:lang w:val="en-GB"/>
        </w:rPr>
        <w:t>Mobile phones</w:t>
      </w:r>
      <w:r w:rsidRPr="00180522">
        <w:rPr>
          <w:lang w:val="en-GB"/>
        </w:rPr>
        <w:t xml:space="preserve"> compatible with Bluetooth-enabled vehicle hands-free terminals. This compatibility is determined in accordance with the </w:t>
      </w:r>
      <w:r w:rsidR="00CA2D85" w:rsidRPr="00180522">
        <w:rPr>
          <w:lang w:val="en-GB"/>
        </w:rPr>
        <w:t>'</w:t>
      </w:r>
      <w:r w:rsidRPr="00180522">
        <w:rPr>
          <w:lang w:val="en-GB"/>
        </w:rPr>
        <w:t>Chapter 12 tests</w:t>
      </w:r>
      <w:r w:rsidR="00CA2D85" w:rsidRPr="00180522">
        <w:rPr>
          <w:lang w:val="en-GB"/>
        </w:rPr>
        <w:t>'</w:t>
      </w:r>
      <w:r w:rsidRPr="00180522">
        <w:rPr>
          <w:lang w:val="en-GB"/>
        </w:rPr>
        <w:t xml:space="preserve"> (</w:t>
      </w:r>
      <w:r w:rsidR="00CA2D85" w:rsidRPr="00180522">
        <w:rPr>
          <w:lang w:val="en-GB"/>
        </w:rPr>
        <w:t>"</w:t>
      </w:r>
      <w:r w:rsidRPr="00180522">
        <w:rPr>
          <w:lang w:val="en-GB"/>
        </w:rPr>
        <w:t>Verification of the transmission performance of short-range wireless (SRW) transmission enabled phones</w:t>
      </w:r>
      <w:r w:rsidR="00CA2D85" w:rsidRPr="00180522">
        <w:rPr>
          <w:lang w:val="en-GB"/>
        </w:rPr>
        <w:t>"</w:t>
      </w:r>
      <w:r w:rsidRPr="00180522">
        <w:rPr>
          <w:lang w:val="en-GB"/>
        </w:rPr>
        <w:t xml:space="preserve">) of ITU-T P.1100 and ITU-T P.1110. </w:t>
      </w:r>
    </w:p>
    <w:p w14:paraId="2A4C98C8" w14:textId="5E44F783" w:rsidR="006944F8" w:rsidRPr="00180522" w:rsidRDefault="006944F8" w:rsidP="001C37A8">
      <w:pPr>
        <w:numPr>
          <w:ilvl w:val="0"/>
          <w:numId w:val="23"/>
        </w:numPr>
        <w:rPr>
          <w:lang w:val="en-GB"/>
        </w:rPr>
      </w:pPr>
      <w:r w:rsidRPr="00180522">
        <w:rPr>
          <w:b/>
          <w:bCs/>
          <w:lang w:val="en-GB"/>
        </w:rPr>
        <w:t xml:space="preserve">Ethernet </w:t>
      </w:r>
      <w:r w:rsidRPr="00180522">
        <w:rPr>
          <w:lang w:val="en-GB"/>
        </w:rPr>
        <w:t xml:space="preserve">products complying with ITU-T G.8011/Y.1307 </w:t>
      </w:r>
      <w:r w:rsidR="00CA2D85" w:rsidRPr="00180522">
        <w:rPr>
          <w:lang w:val="en-GB"/>
        </w:rPr>
        <w:t>"</w:t>
      </w:r>
      <w:r w:rsidRPr="00180522">
        <w:rPr>
          <w:lang w:val="en-GB"/>
        </w:rPr>
        <w:t>Ethernet Services Characteristics</w:t>
      </w:r>
      <w:r w:rsidR="00CA2D85" w:rsidRPr="00180522">
        <w:rPr>
          <w:lang w:val="en-GB"/>
        </w:rPr>
        <w:t>"</w:t>
      </w:r>
      <w:r w:rsidRPr="00180522">
        <w:rPr>
          <w:lang w:val="en-GB"/>
        </w:rPr>
        <w:t>. This standard as well as the corresponding tests are based on the work of MEF (formerly called Metro Ethernet Forum).</w:t>
      </w:r>
    </w:p>
    <w:p w14:paraId="1771C3E6" w14:textId="46C0F409" w:rsidR="004C20A0" w:rsidRPr="00180522" w:rsidRDefault="005C1FE3" w:rsidP="00643F30">
      <w:pPr>
        <w:numPr>
          <w:ilvl w:val="0"/>
          <w:numId w:val="23"/>
        </w:numPr>
        <w:rPr>
          <w:lang w:val="en-GB"/>
        </w:rPr>
      </w:pPr>
      <w:r w:rsidRPr="00180522">
        <w:rPr>
          <w:b/>
          <w:szCs w:val="22"/>
          <w:lang w:val="en-GB"/>
        </w:rPr>
        <w:t>IPTV system</w:t>
      </w:r>
      <w:r w:rsidR="004C20A0" w:rsidRPr="00180522">
        <w:rPr>
          <w:b/>
          <w:szCs w:val="22"/>
          <w:lang w:val="en-GB"/>
        </w:rPr>
        <w:t>s</w:t>
      </w:r>
      <w:r w:rsidRPr="00180522">
        <w:rPr>
          <w:szCs w:val="22"/>
          <w:lang w:val="en-GB"/>
        </w:rPr>
        <w:t xml:space="preserve"> compatible with ITU-T H.721 </w:t>
      </w:r>
      <w:r w:rsidR="00CA2D85" w:rsidRPr="00180522">
        <w:rPr>
          <w:szCs w:val="22"/>
          <w:lang w:val="en-GB"/>
        </w:rPr>
        <w:t>"</w:t>
      </w:r>
      <w:r w:rsidRPr="00180522">
        <w:rPr>
          <w:szCs w:val="22"/>
          <w:lang w:val="en-GB"/>
        </w:rPr>
        <w:t>IPTV terminal devices: Basic model</w:t>
      </w:r>
      <w:r w:rsidR="00CA2D85" w:rsidRPr="00180522">
        <w:rPr>
          <w:szCs w:val="22"/>
          <w:lang w:val="en-GB"/>
        </w:rPr>
        <w:t>"</w:t>
      </w:r>
      <w:r w:rsidRPr="00180522">
        <w:rPr>
          <w:szCs w:val="22"/>
          <w:lang w:val="en-GB"/>
        </w:rPr>
        <w:t xml:space="preserve"> and ITU-T H.702 </w:t>
      </w:r>
      <w:r w:rsidR="00CA2D85" w:rsidRPr="00180522">
        <w:rPr>
          <w:szCs w:val="22"/>
          <w:lang w:val="en-GB"/>
        </w:rPr>
        <w:t>"</w:t>
      </w:r>
      <w:r w:rsidRPr="00180522">
        <w:rPr>
          <w:szCs w:val="22"/>
          <w:lang w:val="en-GB"/>
        </w:rPr>
        <w:t>Accessibility profiles for IPTV systems</w:t>
      </w:r>
      <w:r w:rsidR="00CA2D85" w:rsidRPr="00180522">
        <w:rPr>
          <w:szCs w:val="22"/>
          <w:lang w:val="en-GB"/>
        </w:rPr>
        <w:t>"</w:t>
      </w:r>
      <w:r w:rsidR="004C20A0" w:rsidRPr="00180522">
        <w:rPr>
          <w:szCs w:val="22"/>
          <w:lang w:val="en-GB"/>
        </w:rPr>
        <w:t xml:space="preserve">, </w:t>
      </w:r>
      <w:r w:rsidR="004C20A0" w:rsidRPr="00180522">
        <w:rPr>
          <w:lang w:val="en-GB"/>
        </w:rPr>
        <w:t xml:space="preserve">tested to </w:t>
      </w:r>
      <w:hyperlink r:id="rId72" w:history="1">
        <w:r w:rsidR="004C20A0" w:rsidRPr="00180522">
          <w:rPr>
            <w:rStyle w:val="Hyperlink"/>
            <w:rFonts w:asciiTheme="majorBidi" w:eastAsia="Batang" w:hAnsiTheme="majorBidi" w:cstheme="majorBidi"/>
            <w:lang w:val="en-GB"/>
          </w:rPr>
          <w:t>HSTP-CONF-H721</w:t>
        </w:r>
      </w:hyperlink>
      <w:r w:rsidR="004C20A0" w:rsidRPr="00180522">
        <w:rPr>
          <w:rFonts w:asciiTheme="majorBidi" w:hAnsiTheme="majorBidi" w:cstheme="majorBidi"/>
          <w:lang w:val="en-GB"/>
        </w:rPr>
        <w:t xml:space="preserve"> </w:t>
      </w:r>
      <w:r w:rsidR="004C20A0" w:rsidRPr="00180522">
        <w:rPr>
          <w:rFonts w:asciiTheme="majorBidi" w:hAnsiTheme="majorBidi" w:cstheme="majorBidi"/>
          <w:szCs w:val="24"/>
          <w:lang w:val="en-GB"/>
        </w:rPr>
        <w:t xml:space="preserve">and </w:t>
      </w:r>
      <w:hyperlink r:id="rId73" w:history="1">
        <w:r w:rsidR="004C20A0" w:rsidRPr="00180522">
          <w:rPr>
            <w:rStyle w:val="Hyperlink"/>
            <w:rFonts w:asciiTheme="majorBidi" w:eastAsia="Batang" w:hAnsiTheme="majorBidi" w:cstheme="majorBidi"/>
            <w:szCs w:val="24"/>
            <w:lang w:val="en-GB"/>
          </w:rPr>
          <w:t>HSTP-CONF-H702</w:t>
        </w:r>
      </w:hyperlink>
      <w:r w:rsidR="004C20A0" w:rsidRPr="00180522">
        <w:rPr>
          <w:rStyle w:val="Hyperlink"/>
          <w:rFonts w:asciiTheme="majorBidi" w:eastAsia="Batang" w:hAnsiTheme="majorBidi" w:cstheme="majorBidi"/>
          <w:szCs w:val="24"/>
          <w:lang w:val="en-GB"/>
        </w:rPr>
        <w:t>.</w:t>
      </w:r>
    </w:p>
    <w:p w14:paraId="7DDC8B53" w14:textId="63463E1B" w:rsidR="006944F8" w:rsidRPr="00180522" w:rsidRDefault="006944F8" w:rsidP="003506F3">
      <w:pPr>
        <w:numPr>
          <w:ilvl w:val="0"/>
          <w:numId w:val="23"/>
        </w:numPr>
        <w:rPr>
          <w:lang w:val="en-GB"/>
        </w:rPr>
      </w:pPr>
      <w:r w:rsidRPr="00180522">
        <w:rPr>
          <w:b/>
          <w:lang w:val="en-GB"/>
        </w:rPr>
        <w:t>Mobile Number Portability (MNP)</w:t>
      </w:r>
      <w:r w:rsidRPr="00180522">
        <w:rPr>
          <w:lang w:val="en-GB"/>
        </w:rPr>
        <w:t xml:space="preserve"> </w:t>
      </w:r>
      <w:r w:rsidR="004C20A0" w:rsidRPr="00180522">
        <w:rPr>
          <w:lang w:val="en-GB"/>
        </w:rPr>
        <w:t xml:space="preserve">systems </w:t>
      </w:r>
      <w:r w:rsidR="005C1FE3" w:rsidRPr="00180522">
        <w:rPr>
          <w:szCs w:val="22"/>
          <w:lang w:val="en-GB"/>
        </w:rPr>
        <w:t xml:space="preserve">compatible with ITU-T Q.Supplement 4 </w:t>
      </w:r>
      <w:r w:rsidR="00CA2D85" w:rsidRPr="00180522">
        <w:rPr>
          <w:szCs w:val="22"/>
          <w:lang w:val="en-GB"/>
        </w:rPr>
        <w:t>"</w:t>
      </w:r>
      <w:r w:rsidR="005C1FE3" w:rsidRPr="00180522">
        <w:rPr>
          <w:szCs w:val="22"/>
          <w:lang w:val="en-GB"/>
        </w:rPr>
        <w:t>Number portability – Capability set 1 requirements for service provider portability (All call query and Onward routing)</w:t>
      </w:r>
      <w:r w:rsidR="00CA2D85" w:rsidRPr="00180522">
        <w:rPr>
          <w:szCs w:val="22"/>
          <w:lang w:val="en-GB"/>
        </w:rPr>
        <w:t>"</w:t>
      </w:r>
      <w:r w:rsidR="004C20A0" w:rsidRPr="00180522">
        <w:rPr>
          <w:szCs w:val="22"/>
          <w:lang w:val="en-GB"/>
        </w:rPr>
        <w:t xml:space="preserve">, tested to </w:t>
      </w:r>
      <w:r w:rsidR="005C1FE3" w:rsidRPr="00180522">
        <w:rPr>
          <w:szCs w:val="22"/>
          <w:lang w:val="en-GB"/>
        </w:rPr>
        <w:t>ITU-T Q.3905.</w:t>
      </w:r>
    </w:p>
    <w:p w14:paraId="57338550" w14:textId="2875368B" w:rsidR="00D64AF8" w:rsidRPr="00180522" w:rsidRDefault="00D64AF8" w:rsidP="009E5FFA">
      <w:pPr>
        <w:pStyle w:val="Heading2"/>
      </w:pPr>
      <w:bookmarkStart w:id="43" w:name="_Toc18509739"/>
      <w:r w:rsidRPr="00180522">
        <w:t>2.3</w:t>
      </w:r>
      <w:r w:rsidRPr="00180522">
        <w:tab/>
        <w:t>Testing Internet of Things</w:t>
      </w:r>
      <w:bookmarkEnd w:id="43"/>
    </w:p>
    <w:p w14:paraId="1AEF4BB8" w14:textId="47169711" w:rsidR="00D64AF8" w:rsidRPr="00180522" w:rsidRDefault="00A42763" w:rsidP="00D64AF8">
      <w:pPr>
        <w:rPr>
          <w:lang w:val="en-GB"/>
        </w:rPr>
      </w:pPr>
      <w:r w:rsidRPr="00180522">
        <w:rPr>
          <w:lang w:val="en-GB"/>
        </w:rPr>
        <w:t xml:space="preserve">Following the October 2018 </w:t>
      </w:r>
      <w:r w:rsidR="004C20A0" w:rsidRPr="00180522">
        <w:rPr>
          <w:lang w:val="en-GB"/>
        </w:rPr>
        <w:t xml:space="preserve">approval of </w:t>
      </w:r>
      <w:r w:rsidR="00D64AF8" w:rsidRPr="00180522">
        <w:rPr>
          <w:lang w:val="en-GB"/>
        </w:rPr>
        <w:t xml:space="preserve">ITU-T Q.4060 </w:t>
      </w:r>
      <w:r w:rsidR="00CA2D85" w:rsidRPr="00180522">
        <w:rPr>
          <w:lang w:val="en-GB"/>
        </w:rPr>
        <w:t>"</w:t>
      </w:r>
      <w:r w:rsidR="00D64AF8" w:rsidRPr="00180522">
        <w:rPr>
          <w:lang w:val="en-GB"/>
        </w:rPr>
        <w:t>The structure of the testing of heterogeneous Internet of Things gateways in a laboratory environment</w:t>
      </w:r>
      <w:r w:rsidR="00CA2D85" w:rsidRPr="00180522">
        <w:rPr>
          <w:lang w:val="en-GB"/>
        </w:rPr>
        <w:t>"</w:t>
      </w:r>
      <w:r w:rsidRPr="00180522">
        <w:rPr>
          <w:lang w:val="en-GB"/>
        </w:rPr>
        <w:t xml:space="preserve">, </w:t>
      </w:r>
      <w:r w:rsidR="00D64AF8" w:rsidRPr="00180522">
        <w:rPr>
          <w:lang w:val="en-GB"/>
        </w:rPr>
        <w:t xml:space="preserve">a new subcategory of the Q.series was established: Q.4060-Q.4099 </w:t>
      </w:r>
      <w:r w:rsidR="00CA2D85" w:rsidRPr="00180522">
        <w:rPr>
          <w:lang w:val="en-GB"/>
        </w:rPr>
        <w:t>"</w:t>
      </w:r>
      <w:r w:rsidR="00D64AF8" w:rsidRPr="00180522">
        <w:rPr>
          <w:lang w:val="en-GB"/>
        </w:rPr>
        <w:t>Testing specifications for IMT-2020 and IoT</w:t>
      </w:r>
      <w:r w:rsidR="00CA2D85" w:rsidRPr="00180522">
        <w:rPr>
          <w:lang w:val="en-GB"/>
        </w:rPr>
        <w:t>"</w:t>
      </w:r>
      <w:r w:rsidR="00D64AF8" w:rsidRPr="00180522">
        <w:rPr>
          <w:lang w:val="en-GB"/>
        </w:rPr>
        <w:t>.</w:t>
      </w:r>
    </w:p>
    <w:p w14:paraId="0008A403" w14:textId="5E88BD1A" w:rsidR="00D64AF8" w:rsidRPr="00180522" w:rsidRDefault="00C82DE5" w:rsidP="008A2F29">
      <w:pPr>
        <w:rPr>
          <w:lang w:val="en-GB"/>
        </w:rPr>
      </w:pPr>
      <w:r w:rsidRPr="00180522">
        <w:rPr>
          <w:lang w:val="en-GB"/>
        </w:rPr>
        <w:t>Current w</w:t>
      </w:r>
      <w:r w:rsidR="00D64AF8" w:rsidRPr="00180522">
        <w:rPr>
          <w:lang w:val="en-GB"/>
        </w:rPr>
        <w:t>ork items</w:t>
      </w:r>
      <w:r w:rsidRPr="00180522">
        <w:rPr>
          <w:lang w:val="en-GB"/>
        </w:rPr>
        <w:t xml:space="preserve"> </w:t>
      </w:r>
      <w:r w:rsidR="00D64AF8" w:rsidRPr="00180522">
        <w:rPr>
          <w:lang w:val="en-GB"/>
        </w:rPr>
        <w:t>on IoT testing</w:t>
      </w:r>
      <w:r w:rsidRPr="00180522">
        <w:rPr>
          <w:lang w:val="en-GB"/>
        </w:rPr>
        <w:t xml:space="preserve"> include </w:t>
      </w:r>
      <w:r w:rsidR="00D64AF8" w:rsidRPr="00180522">
        <w:rPr>
          <w:lang w:val="en-GB"/>
        </w:rPr>
        <w:t xml:space="preserve">Q.39_FW_Test_ID_IoT </w:t>
      </w:r>
      <w:r w:rsidR="00CA2D85" w:rsidRPr="00180522">
        <w:rPr>
          <w:lang w:val="en-GB"/>
        </w:rPr>
        <w:t>"</w:t>
      </w:r>
      <w:r w:rsidR="00D64AF8" w:rsidRPr="00180522">
        <w:rPr>
          <w:lang w:val="en-GB"/>
        </w:rPr>
        <w:t>The framework of testing of identification systems used in IoT</w:t>
      </w:r>
      <w:r w:rsidR="00CA2D85" w:rsidRPr="00180522">
        <w:rPr>
          <w:lang w:val="en-GB"/>
        </w:rPr>
        <w:t>"</w:t>
      </w:r>
      <w:r w:rsidRPr="00180522">
        <w:rPr>
          <w:lang w:val="en-GB"/>
        </w:rPr>
        <w:t xml:space="preserve"> and </w:t>
      </w:r>
      <w:r w:rsidR="00D64AF8" w:rsidRPr="00180522">
        <w:rPr>
          <w:lang w:val="en-GB"/>
        </w:rPr>
        <w:t xml:space="preserve">Q.FW_IoT/Test </w:t>
      </w:r>
      <w:r w:rsidR="00CA2D85" w:rsidRPr="00180522">
        <w:rPr>
          <w:lang w:val="en-GB"/>
        </w:rPr>
        <w:t>"</w:t>
      </w:r>
      <w:r w:rsidR="00D64AF8" w:rsidRPr="00180522">
        <w:rPr>
          <w:lang w:val="en-GB"/>
        </w:rPr>
        <w:t>Framework for IoT Testing</w:t>
      </w:r>
      <w:r w:rsidR="00CA2D85" w:rsidRPr="00180522">
        <w:rPr>
          <w:lang w:val="en-GB"/>
        </w:rPr>
        <w:t>"</w:t>
      </w:r>
    </w:p>
    <w:p w14:paraId="2B849DA0" w14:textId="7F0C9E3A" w:rsidR="006944F8" w:rsidRPr="00180522" w:rsidRDefault="00D64AF8" w:rsidP="00C1421E">
      <w:pPr>
        <w:pStyle w:val="Heading1"/>
      </w:pPr>
      <w:bookmarkStart w:id="44" w:name="_Toc438553988"/>
      <w:bookmarkStart w:id="45" w:name="_Toc453929112"/>
      <w:bookmarkStart w:id="46" w:name="_Toc453932983"/>
      <w:bookmarkStart w:id="47" w:name="_Toc454295889"/>
      <w:bookmarkStart w:id="48" w:name="_Toc462664270"/>
      <w:bookmarkStart w:id="49" w:name="_Toc480527824"/>
      <w:bookmarkStart w:id="50" w:name="_Toc18509740"/>
      <w:bookmarkStart w:id="51" w:name="_Toc416161354"/>
      <w:bookmarkStart w:id="52" w:name="_Toc438553977"/>
      <w:bookmarkStart w:id="53" w:name="_Toc453929096"/>
      <w:bookmarkStart w:id="54" w:name="_Toc453932967"/>
      <w:bookmarkStart w:id="55" w:name="_Toc454295873"/>
      <w:bookmarkStart w:id="56" w:name="_Toc462664237"/>
      <w:bookmarkEnd w:id="33"/>
      <w:bookmarkEnd w:id="34"/>
      <w:bookmarkEnd w:id="35"/>
      <w:bookmarkEnd w:id="39"/>
      <w:bookmarkEnd w:id="40"/>
      <w:bookmarkEnd w:id="41"/>
      <w:bookmarkEnd w:id="42"/>
      <w:r w:rsidRPr="00180522">
        <w:rPr>
          <w:rFonts w:eastAsiaTheme="minorEastAsia"/>
        </w:rPr>
        <w:t>3</w:t>
      </w:r>
      <w:r w:rsidR="006944F8" w:rsidRPr="00180522">
        <w:rPr>
          <w:rFonts w:eastAsiaTheme="minorEastAsia"/>
        </w:rPr>
        <w:tab/>
      </w:r>
      <w:r w:rsidR="003F40B4" w:rsidRPr="00180522">
        <w:rPr>
          <w:rFonts w:eastAsiaTheme="minorEastAsia"/>
        </w:rPr>
        <w:t>Accessible ITU-T meetings</w:t>
      </w:r>
      <w:bookmarkEnd w:id="44"/>
      <w:bookmarkEnd w:id="45"/>
      <w:bookmarkEnd w:id="46"/>
      <w:bookmarkEnd w:id="47"/>
      <w:bookmarkEnd w:id="48"/>
      <w:bookmarkEnd w:id="49"/>
      <w:bookmarkEnd w:id="50"/>
    </w:p>
    <w:p w14:paraId="2365D2FE" w14:textId="77777777" w:rsidR="006944F8" w:rsidRPr="00180522" w:rsidRDefault="006944F8" w:rsidP="006944F8">
      <w:pPr>
        <w:rPr>
          <w:lang w:val="en-GB"/>
        </w:rPr>
      </w:pPr>
      <w:r w:rsidRPr="00180522">
        <w:rPr>
          <w:lang w:val="en-GB"/>
        </w:rPr>
        <w:t>ITU-T provides services such as sign-language interpretation and captioning, and financial support in some cases, to engage persons with disabilities in the ITU-T standardization process.</w:t>
      </w:r>
    </w:p>
    <w:p w14:paraId="6D2E1304" w14:textId="0C15A306" w:rsidR="00027C0F" w:rsidRPr="00180522" w:rsidRDefault="00027C0F" w:rsidP="00027C0F">
      <w:pPr>
        <w:rPr>
          <w:lang w:val="en-GB"/>
        </w:rPr>
      </w:pPr>
      <w:r w:rsidRPr="00180522">
        <w:rPr>
          <w:lang w:val="en-GB"/>
        </w:rPr>
        <w:t xml:space="preserve">American Sign Language (ASL), British Sign Language (BSL) and real-time captioning were provided for Q26/16 during </w:t>
      </w:r>
      <w:r w:rsidR="00A42763" w:rsidRPr="00180522">
        <w:rPr>
          <w:lang w:val="en-GB"/>
        </w:rPr>
        <w:t xml:space="preserve">the </w:t>
      </w:r>
      <w:r w:rsidRPr="00180522">
        <w:rPr>
          <w:lang w:val="en-GB"/>
        </w:rPr>
        <w:t>SG16 meeting in March 2019</w:t>
      </w:r>
      <w:r w:rsidR="00A42763" w:rsidRPr="00180522">
        <w:rPr>
          <w:lang w:val="en-GB"/>
        </w:rPr>
        <w:t>; the</w:t>
      </w:r>
      <w:r w:rsidRPr="00180522">
        <w:rPr>
          <w:lang w:val="en-GB"/>
        </w:rPr>
        <w:t xml:space="preserve"> Q26/16 Rapporteur Group meetin</w:t>
      </w:r>
      <w:r w:rsidR="00A42763" w:rsidRPr="00180522">
        <w:rPr>
          <w:lang w:val="en-GB"/>
        </w:rPr>
        <w:t xml:space="preserve">g, </w:t>
      </w:r>
      <w:r w:rsidRPr="00180522">
        <w:rPr>
          <w:lang w:val="en-GB"/>
        </w:rPr>
        <w:t>10-12 June 2019</w:t>
      </w:r>
      <w:r w:rsidR="00A42763" w:rsidRPr="00180522">
        <w:rPr>
          <w:lang w:val="en-GB"/>
        </w:rPr>
        <w:t>;</w:t>
      </w:r>
      <w:r w:rsidRPr="00180522">
        <w:rPr>
          <w:lang w:val="en-GB"/>
        </w:rPr>
        <w:t xml:space="preserve"> and</w:t>
      </w:r>
      <w:r w:rsidR="00A42763" w:rsidRPr="00180522">
        <w:rPr>
          <w:lang w:val="en-GB"/>
        </w:rPr>
        <w:t xml:space="preserve"> the</w:t>
      </w:r>
      <w:r w:rsidRPr="00180522">
        <w:rPr>
          <w:lang w:val="en-GB"/>
        </w:rPr>
        <w:t xml:space="preserve"> </w:t>
      </w:r>
      <w:hyperlink r:id="rId74" w:history="1">
        <w:r w:rsidRPr="00180522">
          <w:rPr>
            <w:rStyle w:val="Hyperlink"/>
            <w:rFonts w:asciiTheme="majorBidi" w:hAnsiTheme="majorBidi" w:cstheme="majorBidi"/>
            <w:lang w:val="en-GB"/>
          </w:rPr>
          <w:t>JCA-AHF</w:t>
        </w:r>
      </w:hyperlink>
      <w:r w:rsidRPr="00180522">
        <w:rPr>
          <w:lang w:val="en-GB"/>
        </w:rPr>
        <w:t xml:space="preserve"> meeting</w:t>
      </w:r>
      <w:r w:rsidR="00A42763" w:rsidRPr="00180522">
        <w:rPr>
          <w:lang w:val="en-GB"/>
        </w:rPr>
        <w:t xml:space="preserve"> on </w:t>
      </w:r>
      <w:r w:rsidRPr="00180522">
        <w:rPr>
          <w:lang w:val="en-GB"/>
        </w:rPr>
        <w:t>11 June 2019.</w:t>
      </w:r>
    </w:p>
    <w:p w14:paraId="1B9C8381" w14:textId="351BDB39" w:rsidR="00027C0F" w:rsidRPr="00180522" w:rsidRDefault="00027C0F" w:rsidP="00027C0F">
      <w:pPr>
        <w:rPr>
          <w:lang w:val="en-GB"/>
        </w:rPr>
      </w:pPr>
      <w:r w:rsidRPr="00180522">
        <w:rPr>
          <w:lang w:val="en-GB"/>
        </w:rPr>
        <w:t xml:space="preserve">Q26/16 and JCA-AHF also organized workshop sessions on </w:t>
      </w:r>
      <w:r w:rsidR="00CA2D85" w:rsidRPr="00180522">
        <w:rPr>
          <w:lang w:val="en-GB"/>
        </w:rPr>
        <w:t>"</w:t>
      </w:r>
      <w:hyperlink r:id="rId75" w:anchor="intro" w:history="1">
        <w:r w:rsidRPr="00180522">
          <w:rPr>
            <w:rStyle w:val="Hyperlink"/>
            <w:rFonts w:asciiTheme="majorBidi" w:eastAsiaTheme="majorEastAsia" w:hAnsiTheme="majorBidi" w:cstheme="majorBidi"/>
            <w:lang w:val="en-GB"/>
          </w:rPr>
          <w:t>Accessibility for Emerging Technologies</w:t>
        </w:r>
      </w:hyperlink>
      <w:r w:rsidR="00CA2D85" w:rsidRPr="00180522">
        <w:rPr>
          <w:lang w:val="en-GB"/>
        </w:rPr>
        <w:t>"</w:t>
      </w:r>
      <w:r w:rsidRPr="00180522">
        <w:rPr>
          <w:lang w:val="en-GB"/>
        </w:rPr>
        <w:t xml:space="preserve"> and </w:t>
      </w:r>
      <w:r w:rsidR="00CA2D85" w:rsidRPr="00180522">
        <w:rPr>
          <w:lang w:val="en-GB"/>
        </w:rPr>
        <w:t>"</w:t>
      </w:r>
      <w:hyperlink r:id="rId76" w:anchor="intro" w:history="1">
        <w:r w:rsidRPr="00180522">
          <w:rPr>
            <w:rStyle w:val="Hyperlink"/>
            <w:rFonts w:asciiTheme="majorBidi" w:eastAsiaTheme="majorEastAsia" w:hAnsiTheme="majorBidi" w:cstheme="majorBidi"/>
            <w:lang w:val="en-GB"/>
          </w:rPr>
          <w:t>Telecom Relay Services</w:t>
        </w:r>
      </w:hyperlink>
      <w:r w:rsidR="00CA2D85" w:rsidRPr="00180522">
        <w:rPr>
          <w:lang w:val="en-GB"/>
        </w:rPr>
        <w:t>"</w:t>
      </w:r>
      <w:r w:rsidRPr="00180522">
        <w:rPr>
          <w:lang w:val="en-GB"/>
        </w:rPr>
        <w:t xml:space="preserve"> on 8 April 2019 at the ICT Accessibility Day of the WSIS Forum 2019. International Sign (IS) interpretation was provided and sponsored by</w:t>
      </w:r>
      <w:r w:rsidR="00451C6D" w:rsidRPr="00180522">
        <w:rPr>
          <w:lang w:val="en-GB"/>
        </w:rPr>
        <w:t xml:space="preserve"> The Nippon Foundation (Japan).</w:t>
      </w:r>
    </w:p>
    <w:p w14:paraId="6D2F5E65" w14:textId="3D8CF2F1" w:rsidR="006944F8" w:rsidRPr="00180522" w:rsidRDefault="00D64AF8" w:rsidP="006944F8">
      <w:pPr>
        <w:pStyle w:val="Heading1"/>
        <w:rPr>
          <w:rFonts w:eastAsiaTheme="minorEastAsia"/>
        </w:rPr>
      </w:pPr>
      <w:bookmarkStart w:id="57" w:name="_Toc480527828"/>
      <w:bookmarkStart w:id="58" w:name="_Toc18509741"/>
      <w:r w:rsidRPr="00180522">
        <w:rPr>
          <w:rFonts w:eastAsiaTheme="minorEastAsia"/>
        </w:rPr>
        <w:t>4</w:t>
      </w:r>
      <w:r w:rsidR="006944F8" w:rsidRPr="00180522">
        <w:rPr>
          <w:rFonts w:eastAsiaTheme="minorEastAsia"/>
        </w:rPr>
        <w:tab/>
        <w:t>Intellectual property rights</w:t>
      </w:r>
      <w:bookmarkEnd w:id="51"/>
      <w:bookmarkEnd w:id="52"/>
      <w:bookmarkEnd w:id="53"/>
      <w:bookmarkEnd w:id="54"/>
      <w:bookmarkEnd w:id="55"/>
      <w:bookmarkEnd w:id="56"/>
      <w:bookmarkEnd w:id="57"/>
      <w:bookmarkEnd w:id="58"/>
    </w:p>
    <w:p w14:paraId="7369A933" w14:textId="7710C7B1" w:rsidR="006944F8" w:rsidRPr="00180522" w:rsidRDefault="006944F8" w:rsidP="006944F8">
      <w:pPr>
        <w:rPr>
          <w:lang w:val="en-GB"/>
        </w:rPr>
      </w:pPr>
      <w:r w:rsidRPr="00180522">
        <w:rPr>
          <w:lang w:val="en-GB"/>
        </w:rPr>
        <w:t xml:space="preserve">The </w:t>
      </w:r>
      <w:hyperlink r:id="rId77" w:history="1">
        <w:r w:rsidRPr="00180522">
          <w:rPr>
            <w:rStyle w:val="Hyperlink"/>
            <w:rFonts w:asciiTheme="majorBidi" w:hAnsiTheme="majorBidi" w:cstheme="majorBidi"/>
            <w:lang w:val="en-GB"/>
          </w:rPr>
          <w:t>TSB Director</w:t>
        </w:r>
        <w:r w:rsidR="00CA2D85" w:rsidRPr="00180522">
          <w:rPr>
            <w:rStyle w:val="Hyperlink"/>
            <w:rFonts w:asciiTheme="majorBidi" w:hAnsiTheme="majorBidi" w:cstheme="majorBidi"/>
            <w:lang w:val="en-GB"/>
          </w:rPr>
          <w:t>'</w:t>
        </w:r>
        <w:r w:rsidRPr="00180522">
          <w:rPr>
            <w:rStyle w:val="Hyperlink"/>
            <w:rFonts w:asciiTheme="majorBidi" w:hAnsiTheme="majorBidi" w:cstheme="majorBidi"/>
            <w:lang w:val="en-GB"/>
          </w:rPr>
          <w:t>s Ad Hoc Group on Intellectual Property Rights (IPR AHG)</w:t>
        </w:r>
      </w:hyperlink>
      <w:r w:rsidRPr="00180522">
        <w:rPr>
          <w:lang w:val="en-GB"/>
        </w:rPr>
        <w:t xml:space="preserve"> continues its work to protect the integrity of the standards-development process by clarifying aspects of the </w:t>
      </w:r>
      <w:hyperlink r:id="rId78" w:history="1">
        <w:r w:rsidRPr="00180522">
          <w:rPr>
            <w:rStyle w:val="Hyperlink"/>
            <w:rFonts w:asciiTheme="majorBidi" w:hAnsiTheme="majorBidi" w:cstheme="majorBidi"/>
            <w:lang w:val="en-GB"/>
          </w:rPr>
          <w:t>ITU-R/ITU-T/ISO/IEC Patent Policy and related Guidelines</w:t>
        </w:r>
      </w:hyperlink>
      <w:r w:rsidRPr="00180522">
        <w:rPr>
          <w:lang w:val="en-GB"/>
        </w:rPr>
        <w:t xml:space="preserve"> – the Union</w:t>
      </w:r>
      <w:r w:rsidR="00CA2D85" w:rsidRPr="00180522">
        <w:rPr>
          <w:lang w:val="en-GB"/>
        </w:rPr>
        <w:t>'</w:t>
      </w:r>
      <w:r w:rsidRPr="00180522">
        <w:rPr>
          <w:lang w:val="en-GB"/>
        </w:rPr>
        <w:t xml:space="preserve">s main tool to manage the challenges </w:t>
      </w:r>
      <w:r w:rsidRPr="00180522">
        <w:rPr>
          <w:lang w:val="en-GB"/>
        </w:rPr>
        <w:lastRenderedPageBreak/>
        <w:t xml:space="preserve">associated with the incorporation of patents in </w:t>
      </w:r>
      <w:hyperlink r:id="rId79" w:history="1">
        <w:r w:rsidRPr="00180522">
          <w:rPr>
            <w:rStyle w:val="Hyperlink"/>
            <w:rFonts w:asciiTheme="majorBidi" w:hAnsiTheme="majorBidi" w:cstheme="majorBidi"/>
            <w:lang w:val="en-GB"/>
          </w:rPr>
          <w:t>ITU-T and ITU-R Recommendations</w:t>
        </w:r>
      </w:hyperlink>
      <w:bookmarkStart w:id="59" w:name="_10.1_TSB_Director's"/>
      <w:bookmarkEnd w:id="59"/>
      <w:r w:rsidRPr="00180522">
        <w:rPr>
          <w:lang w:val="en-GB"/>
        </w:rPr>
        <w:t xml:space="preserve">. </w:t>
      </w:r>
      <w:r w:rsidR="00A42763" w:rsidRPr="00180522">
        <w:rPr>
          <w:lang w:val="en-GB"/>
        </w:rPr>
        <w:t xml:space="preserve">IPR AHG met at </w:t>
      </w:r>
      <w:r w:rsidRPr="00180522">
        <w:rPr>
          <w:lang w:val="en-GB"/>
        </w:rPr>
        <w:t xml:space="preserve">ITU </w:t>
      </w:r>
      <w:r w:rsidR="00A23389" w:rsidRPr="00180522">
        <w:rPr>
          <w:lang w:val="en-GB"/>
        </w:rPr>
        <w:t xml:space="preserve">headquarters </w:t>
      </w:r>
      <w:r w:rsidRPr="00180522">
        <w:rPr>
          <w:lang w:val="en-GB"/>
        </w:rPr>
        <w:t>in Geneva, 28 January 201</w:t>
      </w:r>
      <w:r w:rsidR="00A42763" w:rsidRPr="00180522">
        <w:rPr>
          <w:lang w:val="en-GB"/>
        </w:rPr>
        <w:t xml:space="preserve">9, </w:t>
      </w:r>
      <w:r w:rsidRPr="00180522">
        <w:rPr>
          <w:lang w:val="en-GB"/>
        </w:rPr>
        <w:t xml:space="preserve">followed by </w:t>
      </w:r>
      <w:r w:rsidR="001F2C82" w:rsidRPr="00180522">
        <w:rPr>
          <w:lang w:val="en-GB"/>
        </w:rPr>
        <w:t>a</w:t>
      </w:r>
      <w:r w:rsidRPr="00180522">
        <w:rPr>
          <w:lang w:val="en-GB"/>
        </w:rPr>
        <w:t xml:space="preserve"> joint ITU-NGMN </w:t>
      </w:r>
      <w:r w:rsidR="001F2C82" w:rsidRPr="00180522">
        <w:rPr>
          <w:lang w:val="en-GB"/>
        </w:rPr>
        <w:t>conference</w:t>
      </w:r>
      <w:r w:rsidRPr="00180522">
        <w:rPr>
          <w:lang w:val="en-GB"/>
        </w:rPr>
        <w:t xml:space="preserve"> on </w:t>
      </w:r>
      <w:r w:rsidR="001F2C82" w:rsidRPr="00180522">
        <w:rPr>
          <w:lang w:val="en-GB"/>
        </w:rPr>
        <w:t>licensing practices in 5G industry segments</w:t>
      </w:r>
      <w:r w:rsidR="00D006F1" w:rsidRPr="00180522">
        <w:rPr>
          <w:lang w:val="en-GB"/>
        </w:rPr>
        <w:t xml:space="preserve">, </w:t>
      </w:r>
      <w:r w:rsidRPr="00180522">
        <w:rPr>
          <w:lang w:val="en-GB"/>
        </w:rPr>
        <w:t>29</w:t>
      </w:r>
      <w:r w:rsidR="00D006F1" w:rsidRPr="00180522">
        <w:rPr>
          <w:lang w:val="en-GB"/>
        </w:rPr>
        <w:t>-</w:t>
      </w:r>
      <w:r w:rsidRPr="00180522">
        <w:rPr>
          <w:lang w:val="en-GB"/>
        </w:rPr>
        <w:t>30 January 2019</w:t>
      </w:r>
      <w:r w:rsidR="00D006F1" w:rsidRPr="00180522">
        <w:rPr>
          <w:lang w:val="en-GB"/>
        </w:rPr>
        <w:t xml:space="preserve">, </w:t>
      </w:r>
      <w:r w:rsidRPr="00180522">
        <w:rPr>
          <w:lang w:val="en-GB"/>
        </w:rPr>
        <w:t>and a meeting of the NGMN IPR Group</w:t>
      </w:r>
      <w:r w:rsidR="00D006F1" w:rsidRPr="00180522">
        <w:rPr>
          <w:lang w:val="en-GB"/>
        </w:rPr>
        <w:t xml:space="preserve">, </w:t>
      </w:r>
      <w:r w:rsidRPr="00180522">
        <w:rPr>
          <w:lang w:val="en-GB"/>
        </w:rPr>
        <w:t>31 January 2019.</w:t>
      </w:r>
      <w:r w:rsidR="001F2C82" w:rsidRPr="00180522">
        <w:rPr>
          <w:lang w:val="en-GB"/>
        </w:rPr>
        <w:t xml:space="preserve"> The meet</w:t>
      </w:r>
      <w:r w:rsidR="006C1CAD" w:rsidRPr="00180522">
        <w:rPr>
          <w:lang w:val="en-GB"/>
        </w:rPr>
        <w:t>i</w:t>
      </w:r>
      <w:r w:rsidR="001F2C82" w:rsidRPr="00180522">
        <w:rPr>
          <w:lang w:val="en-GB"/>
        </w:rPr>
        <w:t xml:space="preserve">ng report can be found on the IPR AHG website at </w:t>
      </w:r>
      <w:hyperlink r:id="rId80" w:history="1">
        <w:r w:rsidR="00CA2D85" w:rsidRPr="00180522">
          <w:rPr>
            <w:rStyle w:val="Hyperlink"/>
            <w:lang w:val="en-GB"/>
          </w:rPr>
          <w:t>https://itu.int/en/ITU-T/ipr/Pages/adhoc.aspx</w:t>
        </w:r>
      </w:hyperlink>
      <w:r w:rsidR="00A42763" w:rsidRPr="00180522">
        <w:rPr>
          <w:lang w:val="en-GB"/>
        </w:rPr>
        <w:t xml:space="preserve">. See relevant </w:t>
      </w:r>
      <w:hyperlink r:id="rId81" w:history="1">
        <w:r w:rsidR="00A42763" w:rsidRPr="00180522">
          <w:rPr>
            <w:rStyle w:val="Hyperlink"/>
            <w:lang w:val="en-GB"/>
          </w:rPr>
          <w:t>ITU News story</w:t>
        </w:r>
      </w:hyperlink>
      <w:r w:rsidR="00A42763" w:rsidRPr="00180522">
        <w:rPr>
          <w:lang w:val="en-GB"/>
        </w:rPr>
        <w:t xml:space="preserve">. </w:t>
      </w:r>
    </w:p>
    <w:p w14:paraId="0BDAECC9" w14:textId="1240C990" w:rsidR="006944F8" w:rsidRPr="00180522" w:rsidRDefault="00D64AF8" w:rsidP="006944F8">
      <w:pPr>
        <w:pStyle w:val="Heading1"/>
      </w:pPr>
      <w:bookmarkStart w:id="60" w:name="_Toc480527831"/>
      <w:bookmarkStart w:id="61" w:name="_Toc18509742"/>
      <w:bookmarkStart w:id="62" w:name="_Toc438553939"/>
      <w:bookmarkStart w:id="63" w:name="_Toc453929065"/>
      <w:bookmarkStart w:id="64" w:name="_Toc453932937"/>
      <w:bookmarkStart w:id="65" w:name="_Toc454295841"/>
      <w:r w:rsidRPr="00180522">
        <w:rPr>
          <w:rFonts w:eastAsiaTheme="minorEastAsia"/>
        </w:rPr>
        <w:t>5</w:t>
      </w:r>
      <w:r w:rsidR="006944F8" w:rsidRPr="00180522">
        <w:rPr>
          <w:rFonts w:eastAsiaTheme="minorEastAsia"/>
        </w:rPr>
        <w:tab/>
      </w:r>
      <w:r w:rsidR="006944F8" w:rsidRPr="00180522">
        <w:t>ITU-T Focus Groups: Exploring new directions in ITU standardization</w:t>
      </w:r>
      <w:bookmarkEnd w:id="60"/>
      <w:bookmarkEnd w:id="61"/>
    </w:p>
    <w:p w14:paraId="68BAA4AC" w14:textId="2AF91BC2" w:rsidR="006944F8" w:rsidRPr="00180522" w:rsidRDefault="006944F8" w:rsidP="006944F8">
      <w:pPr>
        <w:rPr>
          <w:lang w:val="en-GB"/>
        </w:rPr>
      </w:pPr>
      <w:r w:rsidRPr="00180522">
        <w:rPr>
          <w:lang w:val="en-GB"/>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w:t>
      </w:r>
      <w:r w:rsidR="00CA2D85" w:rsidRPr="00180522">
        <w:rPr>
          <w:lang w:val="en-GB"/>
        </w:rPr>
        <w:t>'</w:t>
      </w:r>
      <w:r w:rsidRPr="00180522">
        <w:rPr>
          <w:lang w:val="en-GB"/>
        </w:rPr>
        <w:t>s membership</w:t>
      </w:r>
      <w:r w:rsidR="00A42763" w:rsidRPr="00180522">
        <w:rPr>
          <w:lang w:val="en-GB"/>
        </w:rPr>
        <w:t>. T</w:t>
      </w:r>
      <w:r w:rsidRPr="00180522">
        <w:rPr>
          <w:lang w:val="en-GB"/>
        </w:rPr>
        <w:t>hese groups are afforded great flexibility in their chosen deliverables and working methods.</w:t>
      </w:r>
    </w:p>
    <w:p w14:paraId="5B4C4987" w14:textId="31AAA42A" w:rsidR="006944F8" w:rsidRPr="00180522" w:rsidRDefault="00D64AF8" w:rsidP="006944F8">
      <w:pPr>
        <w:pStyle w:val="Heading2"/>
      </w:pPr>
      <w:bookmarkStart w:id="66" w:name="_Toc18509743"/>
      <w:bookmarkStart w:id="67" w:name="_Toc480527833"/>
      <w:bookmarkEnd w:id="62"/>
      <w:bookmarkEnd w:id="63"/>
      <w:bookmarkEnd w:id="64"/>
      <w:bookmarkEnd w:id="65"/>
      <w:r w:rsidRPr="00180522">
        <w:t>5</w:t>
      </w:r>
      <w:r w:rsidR="006944F8" w:rsidRPr="00180522">
        <w:t>.1</w:t>
      </w:r>
      <w:r w:rsidR="006944F8" w:rsidRPr="00180522">
        <w:tab/>
        <w:t xml:space="preserve">Data Processing and Management to support IoT and Smart Cities </w:t>
      </w:r>
      <w:r w:rsidR="006653E5" w:rsidRPr="00180522">
        <w:t>&amp;</w:t>
      </w:r>
      <w:r w:rsidR="006944F8" w:rsidRPr="00180522">
        <w:t xml:space="preserve"> Communities</w:t>
      </w:r>
      <w:bookmarkEnd w:id="66"/>
    </w:p>
    <w:p w14:paraId="0209F415" w14:textId="759219C2" w:rsidR="004F0C57" w:rsidRPr="00180522" w:rsidRDefault="004F0C57" w:rsidP="004F0C57">
      <w:pPr>
        <w:rPr>
          <w:lang w:val="en-GB"/>
        </w:rPr>
      </w:pPr>
      <w:r w:rsidRPr="00180522">
        <w:rPr>
          <w:lang w:val="en-GB"/>
        </w:rPr>
        <w:t xml:space="preserve">The </w:t>
      </w:r>
      <w:hyperlink r:id="rId82" w:history="1">
        <w:r w:rsidRPr="00180522">
          <w:rPr>
            <w:rStyle w:val="Hyperlink"/>
            <w:lang w:val="en-GB"/>
          </w:rPr>
          <w:t>ITU-T Focus Group on Data Processing and Management to support IoT and Smart Cities &amp; Communities (FG</w:t>
        </w:r>
        <w:r w:rsidR="00C82DE5" w:rsidRPr="00180522">
          <w:rPr>
            <w:rStyle w:val="Hyperlink"/>
            <w:lang w:val="en-GB"/>
          </w:rPr>
          <w:t xml:space="preserve"> </w:t>
        </w:r>
        <w:r w:rsidRPr="00180522">
          <w:rPr>
            <w:rStyle w:val="Hyperlink"/>
            <w:lang w:val="en-GB"/>
          </w:rPr>
          <w:t>DPM)</w:t>
        </w:r>
      </w:hyperlink>
      <w:r w:rsidRPr="00180522">
        <w:rPr>
          <w:lang w:val="en-GB"/>
        </w:rPr>
        <w:t xml:space="preserve"> </w:t>
      </w:r>
      <w:r w:rsidR="00E967D2" w:rsidRPr="00180522">
        <w:rPr>
          <w:lang w:val="en-GB"/>
        </w:rPr>
        <w:t xml:space="preserve">– final meeting 15-19 July 2019 – </w:t>
      </w:r>
      <w:r w:rsidRPr="00180522">
        <w:rPr>
          <w:lang w:val="en-GB"/>
        </w:rPr>
        <w:t>developed several technical specifications and technical reports for data management, taking into consideration the activities currently undertaken by the various standards</w:t>
      </w:r>
      <w:r w:rsidR="00C82DE5" w:rsidRPr="00180522">
        <w:rPr>
          <w:lang w:val="en-GB"/>
        </w:rPr>
        <w:t xml:space="preserve"> bodies</w:t>
      </w:r>
      <w:r w:rsidRPr="00180522">
        <w:rPr>
          <w:lang w:val="en-GB"/>
        </w:rPr>
        <w:t>. FG</w:t>
      </w:r>
      <w:r w:rsidR="00C82DE5" w:rsidRPr="00180522">
        <w:rPr>
          <w:lang w:val="en-GB"/>
        </w:rPr>
        <w:t xml:space="preserve"> </w:t>
      </w:r>
      <w:r w:rsidRPr="00180522">
        <w:rPr>
          <w:lang w:val="en-GB"/>
        </w:rPr>
        <w:t>DPM studied and reviewed existing technologies, platforms, guidelines and standards for data processing and management, including data formats, in support of IoT and Smart Cities. FG</w:t>
      </w:r>
      <w:r w:rsidR="00C82DE5" w:rsidRPr="00180522">
        <w:rPr>
          <w:lang w:val="en-GB"/>
        </w:rPr>
        <w:t xml:space="preserve"> </w:t>
      </w:r>
      <w:r w:rsidRPr="00180522">
        <w:rPr>
          <w:lang w:val="en-GB"/>
        </w:rPr>
        <w:t xml:space="preserve">DPM </w:t>
      </w:r>
      <w:r w:rsidR="00FF7F99" w:rsidRPr="00180522">
        <w:rPr>
          <w:lang w:val="en-GB"/>
        </w:rPr>
        <w:t>developed</w:t>
      </w:r>
      <w:r w:rsidR="00C82DE5" w:rsidRPr="00180522">
        <w:rPr>
          <w:lang w:val="en-GB"/>
        </w:rPr>
        <w:t xml:space="preserve"> </w:t>
      </w:r>
      <w:r w:rsidRPr="00180522">
        <w:rPr>
          <w:lang w:val="en-GB"/>
        </w:rPr>
        <w:t xml:space="preserve">15 deliverables, which </w:t>
      </w:r>
      <w:r w:rsidR="00C82DE5" w:rsidRPr="00180522">
        <w:rPr>
          <w:lang w:val="en-GB"/>
        </w:rPr>
        <w:t xml:space="preserve">have been submitted for the consideration of </w:t>
      </w:r>
      <w:r w:rsidR="00FF7F99" w:rsidRPr="00180522">
        <w:rPr>
          <w:lang w:val="en-GB"/>
        </w:rPr>
        <w:t xml:space="preserve">its parent group, </w:t>
      </w:r>
      <w:r w:rsidR="00C82DE5" w:rsidRPr="00180522">
        <w:rPr>
          <w:lang w:val="en-GB"/>
        </w:rPr>
        <w:t>ITU-T SG20</w:t>
      </w:r>
      <w:r w:rsidRPr="00180522">
        <w:rPr>
          <w:lang w:val="en-GB"/>
        </w:rPr>
        <w:t xml:space="preserve">. </w:t>
      </w:r>
      <w:r w:rsidR="00C82DE5" w:rsidRPr="00180522">
        <w:rPr>
          <w:lang w:val="en-GB"/>
        </w:rPr>
        <w:t xml:space="preserve">These deliverables are available on the FG DPM homepage.  </w:t>
      </w:r>
    </w:p>
    <w:p w14:paraId="609AEE9E" w14:textId="0AD80405" w:rsidR="006944F8" w:rsidRPr="00180522" w:rsidRDefault="00D64AF8" w:rsidP="006944F8">
      <w:pPr>
        <w:pStyle w:val="Heading2"/>
      </w:pPr>
      <w:bookmarkStart w:id="68" w:name="_Toc18509744"/>
      <w:r w:rsidRPr="00180522">
        <w:t>5</w:t>
      </w:r>
      <w:r w:rsidR="006944F8" w:rsidRPr="00180522">
        <w:t>.2</w:t>
      </w:r>
      <w:r w:rsidR="006944F8" w:rsidRPr="00180522">
        <w:tab/>
        <w:t xml:space="preserve">Digital </w:t>
      </w:r>
      <w:r w:rsidRPr="00180522">
        <w:t>C</w:t>
      </w:r>
      <w:r w:rsidR="006944F8" w:rsidRPr="00180522">
        <w:t xml:space="preserve">urrency including </w:t>
      </w:r>
      <w:r w:rsidRPr="00180522">
        <w:t>D</w:t>
      </w:r>
      <w:r w:rsidR="006944F8" w:rsidRPr="00180522">
        <w:t xml:space="preserve">igital </w:t>
      </w:r>
      <w:r w:rsidRPr="00180522">
        <w:t>F</w:t>
      </w:r>
      <w:r w:rsidR="006944F8" w:rsidRPr="00180522">
        <w:t xml:space="preserve">iat </w:t>
      </w:r>
      <w:r w:rsidRPr="00180522">
        <w:t>C</w:t>
      </w:r>
      <w:r w:rsidR="006944F8" w:rsidRPr="00180522">
        <w:t>urrency</w:t>
      </w:r>
      <w:bookmarkEnd w:id="68"/>
    </w:p>
    <w:p w14:paraId="72539DC3" w14:textId="4DD50F91" w:rsidR="00376554" w:rsidRPr="00180522" w:rsidRDefault="00376554" w:rsidP="001C37A8">
      <w:pPr>
        <w:rPr>
          <w:lang w:val="en-GB"/>
        </w:rPr>
      </w:pPr>
      <w:r w:rsidRPr="00180522">
        <w:rPr>
          <w:lang w:val="en-GB"/>
        </w:rPr>
        <w:t xml:space="preserve">The </w:t>
      </w:r>
      <w:hyperlink r:id="rId83" w:history="1">
        <w:r w:rsidRPr="00180522">
          <w:rPr>
            <w:rStyle w:val="Hyperlink"/>
            <w:lang w:val="en-GB"/>
          </w:rPr>
          <w:t>ITU-T Focus Group Digital Currency including Digital Fiat Currency (FG DFC)</w:t>
        </w:r>
      </w:hyperlink>
      <w:r w:rsidRPr="00180522">
        <w:rPr>
          <w:lang w:val="en-GB"/>
        </w:rPr>
        <w:t xml:space="preserve"> </w:t>
      </w:r>
      <w:r w:rsidR="00E967D2" w:rsidRPr="00180522">
        <w:rPr>
          <w:lang w:val="en-GB"/>
        </w:rPr>
        <w:t xml:space="preserve">– final meeting 12-14 June 2019 – </w:t>
      </w:r>
      <w:r w:rsidRPr="00180522">
        <w:rPr>
          <w:lang w:val="en-GB"/>
        </w:rPr>
        <w:t xml:space="preserve">provided a forum for dialogue among players in the banking, </w:t>
      </w:r>
      <w:proofErr w:type="spellStart"/>
      <w:r w:rsidRPr="00180522">
        <w:rPr>
          <w:lang w:val="en-GB"/>
        </w:rPr>
        <w:t>fintech</w:t>
      </w:r>
      <w:proofErr w:type="spellEnd"/>
      <w:r w:rsidRPr="00180522">
        <w:rPr>
          <w:lang w:val="en-GB"/>
        </w:rPr>
        <w:t xml:space="preserve"> and telecom sectors to share information and best practices and showcase innovations</w:t>
      </w:r>
      <w:r w:rsidR="00A42763" w:rsidRPr="00180522">
        <w:rPr>
          <w:lang w:val="en-GB"/>
        </w:rPr>
        <w:t xml:space="preserve">. The group </w:t>
      </w:r>
      <w:r w:rsidRPr="00180522">
        <w:rPr>
          <w:lang w:val="en-GB"/>
        </w:rPr>
        <w:t>develop</w:t>
      </w:r>
      <w:r w:rsidR="00A42763" w:rsidRPr="00180522">
        <w:rPr>
          <w:lang w:val="en-GB"/>
        </w:rPr>
        <w:t>ed</w:t>
      </w:r>
      <w:r w:rsidRPr="00180522">
        <w:rPr>
          <w:lang w:val="en-GB"/>
        </w:rPr>
        <w:t xml:space="preserve"> </w:t>
      </w:r>
      <w:r w:rsidR="00FF7F99" w:rsidRPr="00180522">
        <w:rPr>
          <w:lang w:val="en-GB"/>
        </w:rPr>
        <w:t xml:space="preserve">seven </w:t>
      </w:r>
      <w:r w:rsidRPr="00180522">
        <w:rPr>
          <w:lang w:val="en-GB"/>
        </w:rPr>
        <w:t>deliverables highlighting requirements for reference architecture</w:t>
      </w:r>
      <w:r w:rsidR="00A42763" w:rsidRPr="00180522">
        <w:rPr>
          <w:lang w:val="en-GB"/>
        </w:rPr>
        <w:t xml:space="preserve"> and </w:t>
      </w:r>
      <w:r w:rsidRPr="00180522">
        <w:rPr>
          <w:lang w:val="en-GB"/>
        </w:rPr>
        <w:t>security</w:t>
      </w:r>
      <w:r w:rsidR="00E967D2" w:rsidRPr="00180522">
        <w:rPr>
          <w:lang w:val="en-GB"/>
        </w:rPr>
        <w:t xml:space="preserve">. These deliverables also describe the </w:t>
      </w:r>
      <w:r w:rsidRPr="00180522">
        <w:rPr>
          <w:lang w:val="en-GB"/>
        </w:rPr>
        <w:t xml:space="preserve">need for standards </w:t>
      </w:r>
      <w:r w:rsidR="00E967D2" w:rsidRPr="00180522">
        <w:rPr>
          <w:lang w:val="en-GB"/>
        </w:rPr>
        <w:t xml:space="preserve">in support of </w:t>
      </w:r>
      <w:r w:rsidRPr="00180522">
        <w:rPr>
          <w:lang w:val="en-GB"/>
        </w:rPr>
        <w:t>digital currency</w:t>
      </w:r>
      <w:r w:rsidR="007F6DBC" w:rsidRPr="00180522">
        <w:rPr>
          <w:lang w:val="en-GB"/>
        </w:rPr>
        <w:t xml:space="preserve"> authorized and issued by C</w:t>
      </w:r>
      <w:r w:rsidR="00E967D2" w:rsidRPr="00180522">
        <w:rPr>
          <w:lang w:val="en-GB"/>
        </w:rPr>
        <w:t>en</w:t>
      </w:r>
      <w:r w:rsidR="007F6DBC" w:rsidRPr="00180522">
        <w:rPr>
          <w:lang w:val="en-GB"/>
        </w:rPr>
        <w:t>tral B</w:t>
      </w:r>
      <w:r w:rsidR="00E967D2" w:rsidRPr="00180522">
        <w:rPr>
          <w:lang w:val="en-GB"/>
        </w:rPr>
        <w:t>anks</w:t>
      </w:r>
      <w:r w:rsidRPr="00180522">
        <w:rPr>
          <w:lang w:val="en-GB"/>
        </w:rPr>
        <w:t>.</w:t>
      </w:r>
      <w:r w:rsidR="00FF7F99" w:rsidRPr="00180522">
        <w:rPr>
          <w:lang w:val="en-GB"/>
        </w:rPr>
        <w:t xml:space="preserve"> The deliverables </w:t>
      </w:r>
      <w:r w:rsidR="00C82DE5" w:rsidRPr="00180522">
        <w:rPr>
          <w:lang w:val="en-GB"/>
        </w:rPr>
        <w:t xml:space="preserve">have been </w:t>
      </w:r>
      <w:r w:rsidR="00E967D2" w:rsidRPr="00180522">
        <w:rPr>
          <w:lang w:val="en-GB"/>
        </w:rPr>
        <w:t>submitted for the consideration of this TSAG meeting</w:t>
      </w:r>
      <w:r w:rsidR="00FF7F99" w:rsidRPr="00180522">
        <w:rPr>
          <w:lang w:val="en-GB"/>
        </w:rPr>
        <w:t xml:space="preserve"> and </w:t>
      </w:r>
      <w:r w:rsidR="00C82DE5" w:rsidRPr="00180522">
        <w:rPr>
          <w:lang w:val="en-GB"/>
        </w:rPr>
        <w:t>are available on the FG D</w:t>
      </w:r>
      <w:r w:rsidR="00684F73" w:rsidRPr="00180522">
        <w:rPr>
          <w:lang w:val="en-GB"/>
        </w:rPr>
        <w:t xml:space="preserve">FC </w:t>
      </w:r>
      <w:r w:rsidR="00C82DE5" w:rsidRPr="00180522">
        <w:rPr>
          <w:lang w:val="en-GB"/>
        </w:rPr>
        <w:t xml:space="preserve">homepage.  </w:t>
      </w:r>
    </w:p>
    <w:p w14:paraId="79062356" w14:textId="1DADC241" w:rsidR="00FF7F99" w:rsidRPr="00180522" w:rsidRDefault="00376554" w:rsidP="00FF7F99">
      <w:pPr>
        <w:rPr>
          <w:lang w:val="en-GB"/>
        </w:rPr>
      </w:pPr>
      <w:r w:rsidRPr="00180522">
        <w:rPr>
          <w:lang w:val="en-GB"/>
        </w:rPr>
        <w:t>ITU and Stanford University</w:t>
      </w:r>
      <w:r w:rsidR="000F62F1" w:rsidRPr="00180522">
        <w:rPr>
          <w:lang w:val="en-GB"/>
        </w:rPr>
        <w:t>, a new ITU Academ</w:t>
      </w:r>
      <w:r w:rsidR="00E967D2" w:rsidRPr="00180522">
        <w:rPr>
          <w:lang w:val="en-GB"/>
        </w:rPr>
        <w:t>ia member,</w:t>
      </w:r>
      <w:r w:rsidRPr="00180522">
        <w:rPr>
          <w:lang w:val="en-GB"/>
        </w:rPr>
        <w:t xml:space="preserve"> have agreed to launch a partnership to support pilot implementations of DFC</w:t>
      </w:r>
      <w:r w:rsidR="00E967D2" w:rsidRPr="00180522">
        <w:rPr>
          <w:lang w:val="en-GB"/>
        </w:rPr>
        <w:t>.</w:t>
      </w:r>
      <w:r w:rsidR="00FF7F99" w:rsidRPr="00180522">
        <w:rPr>
          <w:lang w:val="en-GB"/>
        </w:rPr>
        <w:t xml:space="preserve"> The partnership responds to a call from the FG DFC participants for a new forum to continue their work. See relevant </w:t>
      </w:r>
      <w:hyperlink r:id="rId84" w:history="1">
        <w:r w:rsidR="00FF7F99" w:rsidRPr="00180522">
          <w:rPr>
            <w:rStyle w:val="Hyperlink"/>
            <w:lang w:val="en-GB"/>
          </w:rPr>
          <w:t>ITU News story</w:t>
        </w:r>
      </w:hyperlink>
      <w:r w:rsidR="00FF7F99" w:rsidRPr="00180522">
        <w:rPr>
          <w:lang w:val="en-GB"/>
        </w:rPr>
        <w:t xml:space="preserve">. </w:t>
      </w:r>
    </w:p>
    <w:p w14:paraId="48063C06" w14:textId="3299D407" w:rsidR="00FF7F99" w:rsidRPr="00180522" w:rsidRDefault="00376554" w:rsidP="00CA2D85">
      <w:pPr>
        <w:rPr>
          <w:lang w:val="en-GB"/>
        </w:rPr>
      </w:pPr>
      <w:r w:rsidRPr="00180522">
        <w:rPr>
          <w:lang w:val="en-GB"/>
        </w:rPr>
        <w:t xml:space="preserve">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w:t>
      </w:r>
      <w:r w:rsidR="002B73CF" w:rsidRPr="00180522">
        <w:rPr>
          <w:lang w:val="en-GB"/>
        </w:rPr>
        <w:t xml:space="preserve">The </w:t>
      </w:r>
      <w:r w:rsidRPr="00180522">
        <w:rPr>
          <w:lang w:val="en-GB"/>
        </w:rPr>
        <w:t xml:space="preserve">International Monetary Fund and Bank for International Settlements are </w:t>
      </w:r>
      <w:r w:rsidR="002B73CF" w:rsidRPr="00180522">
        <w:rPr>
          <w:lang w:val="en-GB"/>
        </w:rPr>
        <w:t xml:space="preserve">also </w:t>
      </w:r>
      <w:r w:rsidRPr="00180522">
        <w:rPr>
          <w:lang w:val="en-GB"/>
        </w:rPr>
        <w:t>expected to join this initiative.</w:t>
      </w:r>
      <w:r w:rsidR="002B73CF" w:rsidRPr="00180522">
        <w:rPr>
          <w:lang w:val="en-GB"/>
        </w:rPr>
        <w:t xml:space="preserve"> </w:t>
      </w:r>
    </w:p>
    <w:p w14:paraId="0C9257B1" w14:textId="2AA47C5C" w:rsidR="006944F8" w:rsidRPr="00180522" w:rsidRDefault="00D64AF8" w:rsidP="006944F8">
      <w:pPr>
        <w:pStyle w:val="Heading2"/>
      </w:pPr>
      <w:bookmarkStart w:id="69" w:name="_Toc18509745"/>
      <w:r w:rsidRPr="00180522">
        <w:t>5</w:t>
      </w:r>
      <w:r w:rsidR="006944F8" w:rsidRPr="00180522">
        <w:t>.3</w:t>
      </w:r>
      <w:r w:rsidR="006944F8" w:rsidRPr="00180522">
        <w:tab/>
        <w:t>Application of Distributed Ledger Technology</w:t>
      </w:r>
      <w:bookmarkEnd w:id="69"/>
    </w:p>
    <w:p w14:paraId="756879F0" w14:textId="56595ED5" w:rsidR="00FF7F99" w:rsidRPr="00180522" w:rsidRDefault="00AD6561" w:rsidP="00FF7F99">
      <w:pPr>
        <w:rPr>
          <w:lang w:val="en-GB"/>
        </w:rPr>
      </w:pPr>
      <w:r w:rsidRPr="00180522">
        <w:rPr>
          <w:lang w:val="en-GB"/>
        </w:rPr>
        <w:t xml:space="preserve">The </w:t>
      </w:r>
      <w:hyperlink r:id="rId85" w:history="1">
        <w:r w:rsidR="006944F8" w:rsidRPr="00180522">
          <w:rPr>
            <w:rStyle w:val="Hyperlink"/>
            <w:lang w:val="en-GB"/>
          </w:rPr>
          <w:t>ITU-T Focus Group on Application of Distributed Ledger Technology (FG DLT)</w:t>
        </w:r>
      </w:hyperlink>
      <w:r w:rsidR="006944F8" w:rsidRPr="00180522">
        <w:rPr>
          <w:lang w:val="en-GB"/>
        </w:rPr>
        <w:t xml:space="preserve"> </w:t>
      </w:r>
      <w:r w:rsidR="002B73CF" w:rsidRPr="00180522">
        <w:rPr>
          <w:lang w:val="en-GB"/>
        </w:rPr>
        <w:t xml:space="preserve">– final meeting 29 July - 1 August 2019 – has </w:t>
      </w:r>
      <w:r w:rsidR="006944F8" w:rsidRPr="00180522">
        <w:rPr>
          <w:lang w:val="en-GB"/>
        </w:rPr>
        <w:t>deliver</w:t>
      </w:r>
      <w:r w:rsidR="002B73CF" w:rsidRPr="00180522">
        <w:rPr>
          <w:lang w:val="en-GB"/>
        </w:rPr>
        <w:t>ed</w:t>
      </w:r>
      <w:r w:rsidR="006944F8" w:rsidRPr="00180522">
        <w:rPr>
          <w:lang w:val="en-GB"/>
        </w:rPr>
        <w:t xml:space="preserve"> an </w:t>
      </w:r>
      <w:r w:rsidR="00CA2D85" w:rsidRPr="00180522">
        <w:rPr>
          <w:lang w:val="en-GB"/>
        </w:rPr>
        <w:t>'</w:t>
      </w:r>
      <w:r w:rsidR="006944F8" w:rsidRPr="00180522">
        <w:rPr>
          <w:lang w:val="en-GB"/>
        </w:rPr>
        <w:t>assessment framework</w:t>
      </w:r>
      <w:r w:rsidR="00CA2D85" w:rsidRPr="00180522">
        <w:rPr>
          <w:lang w:val="en-GB"/>
        </w:rPr>
        <w:t>'</w:t>
      </w:r>
      <w:r w:rsidR="006944F8" w:rsidRPr="00180522">
        <w:rPr>
          <w:lang w:val="en-GB"/>
        </w:rPr>
        <w:t xml:space="preserve"> to support efforts to understand the strengths and weaknesses of DLT platforms in different use cases. The group </w:t>
      </w:r>
      <w:r w:rsidR="002B73CF" w:rsidRPr="00180522">
        <w:rPr>
          <w:lang w:val="en-GB"/>
        </w:rPr>
        <w:t xml:space="preserve">has also produced </w:t>
      </w:r>
      <w:r w:rsidR="006944F8" w:rsidRPr="00180522">
        <w:rPr>
          <w:lang w:val="en-GB"/>
        </w:rPr>
        <w:t>a high-level DLT architecture – a reference framework – detailing the key elements of a DLT platform. The Focus Group stud</w:t>
      </w:r>
      <w:r w:rsidR="002B73CF" w:rsidRPr="00180522">
        <w:rPr>
          <w:lang w:val="en-GB"/>
        </w:rPr>
        <w:t>ied</w:t>
      </w:r>
      <w:r w:rsidR="006944F8" w:rsidRPr="00180522">
        <w:rPr>
          <w:lang w:val="en-GB"/>
        </w:rPr>
        <w:t xml:space="preserve"> high-potential DLT use cases and DLT platforms said to meet the requirements of such use cases. These studies guide</w:t>
      </w:r>
      <w:r w:rsidR="002B73CF" w:rsidRPr="00180522">
        <w:rPr>
          <w:lang w:val="en-GB"/>
        </w:rPr>
        <w:t>d</w:t>
      </w:r>
      <w:r w:rsidR="006944F8" w:rsidRPr="00180522">
        <w:rPr>
          <w:lang w:val="en-GB"/>
        </w:rPr>
        <w:t xml:space="preserve"> the Focus Group</w:t>
      </w:r>
      <w:r w:rsidR="00CA2D85" w:rsidRPr="00180522">
        <w:rPr>
          <w:lang w:val="en-GB"/>
        </w:rPr>
        <w:t>'</w:t>
      </w:r>
      <w:r w:rsidR="006944F8" w:rsidRPr="00180522">
        <w:rPr>
          <w:lang w:val="en-GB"/>
        </w:rPr>
        <w:t xml:space="preserve">s abstraction of the common requirements necessary to describe a DLT architecture and associated assessment </w:t>
      </w:r>
      <w:r w:rsidR="006944F8" w:rsidRPr="00180522">
        <w:rPr>
          <w:lang w:val="en-GB"/>
        </w:rPr>
        <w:lastRenderedPageBreak/>
        <w:t>criteria.</w:t>
      </w:r>
      <w:r w:rsidR="00FF7F99" w:rsidRPr="00180522">
        <w:rPr>
          <w:lang w:val="en-GB"/>
        </w:rPr>
        <w:t xml:space="preserve"> The eight deliverables developed by FG DLT have been submitted for the consideration of this TSAG meeting and are available on the FG DLT homepage.  </w:t>
      </w:r>
    </w:p>
    <w:p w14:paraId="57C2A8AA" w14:textId="009F8CCA" w:rsidR="006944F8" w:rsidRPr="00180522" w:rsidRDefault="00D64AF8" w:rsidP="009E5FFA">
      <w:pPr>
        <w:pStyle w:val="Heading2"/>
      </w:pPr>
      <w:bookmarkStart w:id="70" w:name="_Toc18509746"/>
      <w:r w:rsidRPr="00180522">
        <w:t>5</w:t>
      </w:r>
      <w:r w:rsidR="006944F8" w:rsidRPr="00180522">
        <w:t>.4</w:t>
      </w:r>
      <w:r w:rsidR="006944F8" w:rsidRPr="00180522">
        <w:tab/>
        <w:t xml:space="preserve">Machine </w:t>
      </w:r>
      <w:r w:rsidRPr="00180522">
        <w:t>L</w:t>
      </w:r>
      <w:r w:rsidR="006944F8" w:rsidRPr="00180522">
        <w:t xml:space="preserve">earning </w:t>
      </w:r>
      <w:r w:rsidRPr="00180522">
        <w:t>for Future Networks including</w:t>
      </w:r>
      <w:r w:rsidR="006944F8" w:rsidRPr="00180522">
        <w:t xml:space="preserve"> 5G</w:t>
      </w:r>
      <w:bookmarkEnd w:id="70"/>
    </w:p>
    <w:p w14:paraId="144B5C25" w14:textId="0BB10C48" w:rsidR="006944F8" w:rsidRPr="00180522" w:rsidRDefault="006944F8" w:rsidP="001C37A8">
      <w:pPr>
        <w:rPr>
          <w:lang w:val="en-GB"/>
        </w:rPr>
      </w:pPr>
      <w:r w:rsidRPr="00180522">
        <w:rPr>
          <w:lang w:val="en-GB"/>
        </w:rPr>
        <w:t xml:space="preserve">The </w:t>
      </w:r>
      <w:hyperlink r:id="rId86" w:history="1">
        <w:r w:rsidRPr="00180522">
          <w:rPr>
            <w:rStyle w:val="Hyperlink"/>
            <w:lang w:val="en-GB"/>
          </w:rPr>
          <w:t>ITU</w:t>
        </w:r>
        <w:r w:rsidR="00D64AF8" w:rsidRPr="00180522">
          <w:rPr>
            <w:rStyle w:val="Hyperlink"/>
            <w:lang w:val="en-GB"/>
          </w:rPr>
          <w:t>-T</w:t>
        </w:r>
        <w:r w:rsidRPr="00180522">
          <w:rPr>
            <w:rStyle w:val="Hyperlink"/>
            <w:lang w:val="en-GB"/>
          </w:rPr>
          <w:t xml:space="preserve"> Focus Group on Machine Learning for Future Networks including </w:t>
        </w:r>
        <w:r w:rsidR="002534EE" w:rsidRPr="00180522">
          <w:rPr>
            <w:rStyle w:val="Hyperlink"/>
            <w:lang w:val="en-GB"/>
          </w:rPr>
          <w:t>5G (FG ML5G)</w:t>
        </w:r>
        <w:r w:rsidR="002534EE" w:rsidRPr="00180522" w:rsidDel="002534EE">
          <w:rPr>
            <w:rStyle w:val="Hyperlink"/>
            <w:lang w:val="en-GB"/>
          </w:rPr>
          <w:t xml:space="preserve"> </w:t>
        </w:r>
      </w:hyperlink>
      <w:r w:rsidR="002B73CF" w:rsidRPr="00180522">
        <w:rPr>
          <w:lang w:val="en-GB"/>
        </w:rPr>
        <w:t>is</w:t>
      </w:r>
      <w:r w:rsidR="00582EFF" w:rsidRPr="00180522">
        <w:rPr>
          <w:lang w:val="en-GB"/>
        </w:rPr>
        <w:t xml:space="preserve"> </w:t>
      </w:r>
      <w:r w:rsidRPr="00180522">
        <w:rPr>
          <w:lang w:val="en-GB"/>
        </w:rPr>
        <w:t>propos</w:t>
      </w:r>
      <w:r w:rsidR="002B73CF" w:rsidRPr="00180522">
        <w:rPr>
          <w:lang w:val="en-GB"/>
        </w:rPr>
        <w:t xml:space="preserve">ing </w:t>
      </w:r>
      <w:r w:rsidRPr="00180522">
        <w:rPr>
          <w:lang w:val="en-GB"/>
        </w:rPr>
        <w:t xml:space="preserve">standardization strategies to assist machine learning in contributing to the efficiency of emerging 5G systems. The group </w:t>
      </w:r>
      <w:r w:rsidR="002534EE" w:rsidRPr="00180522">
        <w:rPr>
          <w:lang w:val="en-GB"/>
        </w:rPr>
        <w:t xml:space="preserve">is </w:t>
      </w:r>
      <w:r w:rsidRPr="00180522">
        <w:rPr>
          <w:lang w:val="en-GB"/>
        </w:rPr>
        <w:t>defin</w:t>
      </w:r>
      <w:r w:rsidR="002534EE" w:rsidRPr="00180522">
        <w:rPr>
          <w:lang w:val="en-GB"/>
        </w:rPr>
        <w:t>ing</w:t>
      </w:r>
      <w:r w:rsidRPr="00180522">
        <w:rPr>
          <w:lang w:val="en-GB"/>
        </w:rPr>
        <w:t xml:space="preserve"> the requirements of machine learning as they relate to </w:t>
      </w:r>
      <w:r w:rsidR="00582EFF" w:rsidRPr="00180522">
        <w:rPr>
          <w:lang w:val="en-GB"/>
        </w:rPr>
        <w:t xml:space="preserve">interfaces, protocols, algorithms, </w:t>
      </w:r>
      <w:r w:rsidRPr="00180522">
        <w:rPr>
          <w:lang w:val="en-GB"/>
        </w:rPr>
        <w:t>data formats and network architectures.</w:t>
      </w:r>
      <w:r w:rsidR="00AD6561" w:rsidRPr="00180522">
        <w:rPr>
          <w:lang w:val="en-GB"/>
        </w:rPr>
        <w:t xml:space="preserve"> </w:t>
      </w:r>
      <w:r w:rsidRPr="00180522">
        <w:rPr>
          <w:lang w:val="en-GB"/>
        </w:rPr>
        <w:t>One of the Focus Group</w:t>
      </w:r>
      <w:r w:rsidR="00CA2D85" w:rsidRPr="00180522">
        <w:rPr>
          <w:lang w:val="en-GB"/>
        </w:rPr>
        <w:t>'</w:t>
      </w:r>
      <w:r w:rsidRPr="00180522">
        <w:rPr>
          <w:lang w:val="en-GB"/>
        </w:rPr>
        <w:t>s ambitions is to address the challenges surrounding the availability and quality of the data required to fuel machine learning algorithms.</w:t>
      </w:r>
    </w:p>
    <w:p w14:paraId="562057AF" w14:textId="4C6DC89E" w:rsidR="000F62F1" w:rsidRPr="00180522" w:rsidRDefault="000F62F1" w:rsidP="000F62F1">
      <w:pPr>
        <w:rPr>
          <w:lang w:val="en-GB"/>
        </w:rPr>
      </w:pPr>
      <w:r w:rsidRPr="00180522">
        <w:rPr>
          <w:lang w:val="en-GB"/>
        </w:rPr>
        <w:t>A new ITU standard developed by the Focus Group has established a basis for the cost-effective integration of Machine Learning into 5G and future networks. </w:t>
      </w:r>
      <w:hyperlink r:id="rId87" w:history="1">
        <w:r w:rsidRPr="00180522">
          <w:rPr>
            <w:rStyle w:val="Hyperlink"/>
            <w:lang w:val="en-GB"/>
          </w:rPr>
          <w:t>ITU-T Y.3172</w:t>
        </w:r>
      </w:hyperlink>
      <w:r w:rsidR="0002156B" w:rsidRPr="00180522">
        <w:rPr>
          <w:lang w:val="en-GB"/>
        </w:rPr>
        <w:t> </w:t>
      </w:r>
      <w:r w:rsidRPr="00180522">
        <w:rPr>
          <w:lang w:val="en-GB"/>
        </w:rPr>
        <w:t>describes an architectural framework for networks to accommodate current as well as future use cases of Machine Learning.</w:t>
      </w:r>
    </w:p>
    <w:p w14:paraId="6FE080F2" w14:textId="1C81A039" w:rsidR="002B73CF" w:rsidRPr="00180522" w:rsidRDefault="0002156B" w:rsidP="001C37A8">
      <w:pPr>
        <w:rPr>
          <w:lang w:val="en-GB"/>
        </w:rPr>
      </w:pPr>
      <w:r w:rsidRPr="00180522">
        <w:rPr>
          <w:lang w:val="en-GB"/>
        </w:rPr>
        <w:t xml:space="preserve">ITU Y.3172 was approved in June 2019 by the </w:t>
      </w:r>
      <w:r w:rsidR="000F62F1" w:rsidRPr="00180522">
        <w:rPr>
          <w:lang w:val="en-GB"/>
        </w:rPr>
        <w:t>Focus Group’s parent group, </w:t>
      </w:r>
      <w:r w:rsidR="00FF7F99" w:rsidRPr="00180522">
        <w:rPr>
          <w:lang w:val="en-GB"/>
        </w:rPr>
        <w:t>ITU-T SG13.</w:t>
      </w:r>
      <w:r w:rsidRPr="00180522">
        <w:rPr>
          <w:lang w:val="en-GB"/>
        </w:rPr>
        <w:t xml:space="preserve"> The approval marks the</w:t>
      </w:r>
      <w:r w:rsidR="000F62F1" w:rsidRPr="00180522">
        <w:rPr>
          <w:lang w:val="en-GB"/>
        </w:rPr>
        <w:t xml:space="preserve"> first time that a Study Group has approved a Focus Group deliverable as an ITU standard before the conclusion of the Focus Group’s lifetime</w:t>
      </w:r>
      <w:r w:rsidRPr="00180522">
        <w:rPr>
          <w:lang w:val="en-GB"/>
        </w:rPr>
        <w:t xml:space="preserve">, </w:t>
      </w:r>
      <w:r w:rsidR="000F62F1" w:rsidRPr="00180522">
        <w:rPr>
          <w:lang w:val="en-GB"/>
        </w:rPr>
        <w:t>representing an important achievement in ITU’s work to expedite the transition from exploratory studies to the agreement of new ITU standards.</w:t>
      </w:r>
      <w:r w:rsidRPr="00180522">
        <w:rPr>
          <w:lang w:val="en-GB"/>
        </w:rPr>
        <w:t xml:space="preserve"> See relevant </w:t>
      </w:r>
      <w:hyperlink r:id="rId88" w:history="1">
        <w:r w:rsidRPr="00180522">
          <w:rPr>
            <w:rStyle w:val="Hyperlink"/>
            <w:lang w:val="en-GB"/>
          </w:rPr>
          <w:t>ITU News story</w:t>
        </w:r>
      </w:hyperlink>
      <w:r w:rsidRPr="00180522">
        <w:rPr>
          <w:lang w:val="en-GB"/>
        </w:rPr>
        <w:t xml:space="preserve">. </w:t>
      </w:r>
    </w:p>
    <w:p w14:paraId="2A1AA560" w14:textId="4511186A" w:rsidR="006944F8" w:rsidRPr="00180522" w:rsidRDefault="00D64AF8" w:rsidP="006944F8">
      <w:pPr>
        <w:pStyle w:val="Heading2"/>
      </w:pPr>
      <w:bookmarkStart w:id="71" w:name="_Toc18509747"/>
      <w:r w:rsidRPr="00180522">
        <w:t>5</w:t>
      </w:r>
      <w:r w:rsidR="006944F8" w:rsidRPr="00180522">
        <w:t>.5</w:t>
      </w:r>
      <w:r w:rsidR="006944F8" w:rsidRPr="00180522">
        <w:tab/>
        <w:t>Technologies for Network 2030</w:t>
      </w:r>
      <w:bookmarkEnd w:id="71"/>
    </w:p>
    <w:p w14:paraId="38CEFD74" w14:textId="21A22B61" w:rsidR="0002156B" w:rsidRPr="00180522" w:rsidRDefault="006944F8" w:rsidP="001C37A8">
      <w:pPr>
        <w:rPr>
          <w:lang w:val="en-GB"/>
        </w:rPr>
      </w:pPr>
      <w:r w:rsidRPr="00180522">
        <w:rPr>
          <w:lang w:val="en-GB"/>
        </w:rPr>
        <w:t xml:space="preserve">The </w:t>
      </w:r>
      <w:hyperlink r:id="rId89" w:history="1">
        <w:r w:rsidRPr="00180522">
          <w:rPr>
            <w:rStyle w:val="Hyperlink"/>
            <w:lang w:val="en-GB"/>
          </w:rPr>
          <w:t>ITU</w:t>
        </w:r>
        <w:r w:rsidR="00D64AF8" w:rsidRPr="00180522">
          <w:rPr>
            <w:rStyle w:val="Hyperlink"/>
            <w:lang w:val="en-GB"/>
          </w:rPr>
          <w:t>-T</w:t>
        </w:r>
        <w:r w:rsidRPr="00180522">
          <w:rPr>
            <w:rStyle w:val="Hyperlink"/>
            <w:lang w:val="en-GB"/>
          </w:rPr>
          <w:t xml:space="preserve"> Focus Group on Technologies for Network 2030 (FG NET-2030)</w:t>
        </w:r>
      </w:hyperlink>
      <w:r w:rsidRPr="00180522">
        <w:rPr>
          <w:lang w:val="en-GB"/>
        </w:rPr>
        <w:t xml:space="preserve"> </w:t>
      </w:r>
      <w:r w:rsidR="0002156B" w:rsidRPr="00180522">
        <w:rPr>
          <w:lang w:val="en-GB"/>
        </w:rPr>
        <w:t>is</w:t>
      </w:r>
      <w:r w:rsidR="002534EE" w:rsidRPr="00180522">
        <w:rPr>
          <w:lang w:val="en-GB"/>
        </w:rPr>
        <w:t xml:space="preserve"> examin</w:t>
      </w:r>
      <w:r w:rsidR="0002156B" w:rsidRPr="00180522">
        <w:rPr>
          <w:lang w:val="en-GB"/>
        </w:rPr>
        <w:t>ing</w:t>
      </w:r>
      <w:r w:rsidR="00AD6561" w:rsidRPr="00180522">
        <w:rPr>
          <w:lang w:val="en-GB"/>
        </w:rPr>
        <w:t xml:space="preserve"> how emerging technologies can enhance network capabilities to meet the demands of 5G systems and future innovations. The group is studying</w:t>
      </w:r>
      <w:r w:rsidRPr="00180522">
        <w:rPr>
          <w:lang w:val="en-GB"/>
        </w:rPr>
        <w:t xml:space="preserve"> new media, services and architectures to identify communication needs and use cases for the year 2030 and beyond. </w:t>
      </w:r>
      <w:r w:rsidR="0002156B" w:rsidRPr="00180522">
        <w:rPr>
          <w:lang w:val="en-GB"/>
        </w:rPr>
        <w:t xml:space="preserve">In focus are applications including augmented and virtual reality and holograms, and the group aims also respond to increasing user demand for time-sensitive applications in fields such as telemedicine and industrial automation. </w:t>
      </w:r>
    </w:p>
    <w:p w14:paraId="6DDBFB2F" w14:textId="456643C4" w:rsidR="006944F8" w:rsidRPr="00180522" w:rsidRDefault="0002156B" w:rsidP="001C37A8">
      <w:pPr>
        <w:rPr>
          <w:lang w:val="en-GB"/>
        </w:rPr>
      </w:pPr>
      <w:r w:rsidRPr="00180522">
        <w:rPr>
          <w:lang w:val="en-GB"/>
        </w:rPr>
        <w:t>In May 2019, t</w:t>
      </w:r>
      <w:r w:rsidR="006944F8" w:rsidRPr="00180522">
        <w:rPr>
          <w:lang w:val="en-GB"/>
        </w:rPr>
        <w:t xml:space="preserve">he Focus Group </w:t>
      </w:r>
      <w:r w:rsidRPr="00180522">
        <w:rPr>
          <w:lang w:val="en-GB"/>
        </w:rPr>
        <w:t xml:space="preserve">put forward </w:t>
      </w:r>
      <w:r w:rsidR="006944F8" w:rsidRPr="00180522">
        <w:rPr>
          <w:lang w:val="en-GB"/>
        </w:rPr>
        <w:t>a</w:t>
      </w:r>
      <w:r w:rsidR="00DB0F3F" w:rsidRPr="00180522">
        <w:rPr>
          <w:lang w:val="en-GB"/>
        </w:rPr>
        <w:t>n initial</w:t>
      </w:r>
      <w:r w:rsidR="006944F8" w:rsidRPr="00180522">
        <w:rPr>
          <w:lang w:val="en-GB"/>
        </w:rPr>
        <w:t xml:space="preserve"> vision for networks in the year 2030 </w:t>
      </w:r>
      <w:r w:rsidRPr="00180522">
        <w:rPr>
          <w:lang w:val="en-GB"/>
        </w:rPr>
        <w:t>with a  w</w:t>
      </w:r>
      <w:r w:rsidR="00DB0F3F" w:rsidRPr="00180522">
        <w:rPr>
          <w:lang w:val="en-GB"/>
        </w:rPr>
        <w:t xml:space="preserve">hite </w:t>
      </w:r>
      <w:r w:rsidRPr="00180522">
        <w:rPr>
          <w:lang w:val="en-GB"/>
        </w:rPr>
        <w:t>p</w:t>
      </w:r>
      <w:r w:rsidR="00DB0F3F" w:rsidRPr="00180522">
        <w:rPr>
          <w:lang w:val="en-GB"/>
        </w:rPr>
        <w:t>aper</w:t>
      </w:r>
      <w:r w:rsidRPr="00180522">
        <w:rPr>
          <w:lang w:val="en-GB"/>
        </w:rPr>
        <w:t xml:space="preserve"> titled</w:t>
      </w:r>
      <w:r w:rsidR="00DB0F3F" w:rsidRPr="00180522">
        <w:rPr>
          <w:lang w:val="en-GB"/>
        </w:rPr>
        <w:t xml:space="preserve"> </w:t>
      </w:r>
      <w:hyperlink r:id="rId90" w:history="1">
        <w:r w:rsidR="00FF7F99" w:rsidRPr="00180522">
          <w:rPr>
            <w:rStyle w:val="Hyperlink"/>
            <w:lang w:val="en-GB"/>
          </w:rPr>
          <w:t>“N</w:t>
        </w:r>
        <w:r w:rsidR="00DB0F3F" w:rsidRPr="00180522">
          <w:rPr>
            <w:rStyle w:val="Hyperlink"/>
            <w:lang w:val="en-GB"/>
          </w:rPr>
          <w:t>etwork 2030 - A Blueprint of Technology, Applications and Market Drivers Towards the Year 2030 and Beyond</w:t>
        </w:r>
      </w:hyperlink>
      <w:r w:rsidR="00FF7F99" w:rsidRPr="00180522">
        <w:rPr>
          <w:rStyle w:val="Hyperlink"/>
          <w:lang w:val="en-GB"/>
        </w:rPr>
        <w:t>”</w:t>
      </w:r>
      <w:r w:rsidR="00DB0F3F" w:rsidRPr="00180522">
        <w:rPr>
          <w:lang w:val="en-GB"/>
        </w:rPr>
        <w:t xml:space="preserve">. </w:t>
      </w:r>
    </w:p>
    <w:p w14:paraId="2B402440" w14:textId="2D6FB9A0" w:rsidR="006944F8" w:rsidRPr="00180522" w:rsidRDefault="00D64AF8" w:rsidP="006944F8">
      <w:pPr>
        <w:pStyle w:val="Heading2"/>
      </w:pPr>
      <w:bookmarkStart w:id="72" w:name="_Toc18509748"/>
      <w:r w:rsidRPr="00180522">
        <w:t>5</w:t>
      </w:r>
      <w:r w:rsidR="006944F8" w:rsidRPr="00180522">
        <w:t>.6</w:t>
      </w:r>
      <w:r w:rsidR="006944F8" w:rsidRPr="00180522">
        <w:tab/>
        <w:t>Artificial Intelligence for Health</w:t>
      </w:r>
      <w:bookmarkEnd w:id="72"/>
    </w:p>
    <w:p w14:paraId="1DD9AE8A" w14:textId="5741D1EA" w:rsidR="00CA2D85" w:rsidRPr="00180522" w:rsidRDefault="00CA2D85" w:rsidP="00CA2D85">
      <w:pPr>
        <w:rPr>
          <w:lang w:val="en-GB"/>
        </w:rPr>
      </w:pPr>
      <w:r w:rsidRPr="00180522">
        <w:rPr>
          <w:lang w:val="en-GB"/>
        </w:rPr>
        <w:t xml:space="preserve">The </w:t>
      </w:r>
      <w:hyperlink r:id="rId91" w:history="1">
        <w:r w:rsidRPr="00180522">
          <w:rPr>
            <w:rStyle w:val="Hyperlink"/>
            <w:lang w:val="en-GB"/>
          </w:rPr>
          <w:t>ITU-T Focus Group on Artificial Intelligence for Health (FG AI4H)</w:t>
        </w:r>
      </w:hyperlink>
      <w:r w:rsidRPr="00180522">
        <w:rPr>
          <w:lang w:val="en-GB"/>
        </w:rPr>
        <w:t>, driven in close collaboration by ITU and WHO, is working towards the establishment of a framework and associated process</w:t>
      </w:r>
      <w:r w:rsidR="0002156B" w:rsidRPr="00180522">
        <w:rPr>
          <w:lang w:val="en-GB"/>
        </w:rPr>
        <w:t>es</w:t>
      </w:r>
      <w:r w:rsidRPr="00180522">
        <w:rPr>
          <w:lang w:val="en-GB"/>
        </w:rPr>
        <w:t xml:space="preserve"> for the performance benchmarking of ‘AI for Health’</w:t>
      </w:r>
      <w:r w:rsidR="0002156B" w:rsidRPr="00180522">
        <w:rPr>
          <w:lang w:val="en-GB"/>
        </w:rPr>
        <w:t xml:space="preserve"> algorithms</w:t>
      </w:r>
      <w:r w:rsidRPr="00180522">
        <w:rPr>
          <w:lang w:val="en-GB"/>
        </w:rPr>
        <w:t xml:space="preserve">. The group is currently working on 12 topic areas ("use cases") </w:t>
      </w:r>
      <w:r w:rsidR="0002156B" w:rsidRPr="00180522">
        <w:rPr>
          <w:lang w:val="en-GB"/>
        </w:rPr>
        <w:t xml:space="preserve">addressing health issues including breast cancer, neurodegenerative diseases, autism, vision loss, skin lesions, cardiovascular diseases, and venomous snakebites. </w:t>
      </w:r>
      <w:r w:rsidR="00515A4B" w:rsidRPr="00180522">
        <w:rPr>
          <w:lang w:val="en-GB"/>
        </w:rPr>
        <w:t>A summary of the current status of the work was published in The Lancet – “</w:t>
      </w:r>
      <w:hyperlink r:id="rId92" w:history="1">
        <w:r w:rsidR="00515A4B" w:rsidRPr="00180522">
          <w:rPr>
            <w:rStyle w:val="Hyperlink"/>
            <w:lang w:val="en-GB"/>
          </w:rPr>
          <w:t>WHO and ITU establish benchmarking process for artificial intelligence in health</w:t>
        </w:r>
      </w:hyperlink>
      <w:r w:rsidR="00515A4B" w:rsidRPr="00180522">
        <w:rPr>
          <w:lang w:val="en-GB"/>
        </w:rPr>
        <w:t>” –,  a weekly peer-reviewed general medical journal which is among the world’s oldest, most prestigious and best known general medical journals.</w:t>
      </w:r>
    </w:p>
    <w:p w14:paraId="422B6D75" w14:textId="5011D688" w:rsidR="006944F8" w:rsidRPr="00180522" w:rsidRDefault="00D64AF8" w:rsidP="006944F8">
      <w:pPr>
        <w:pStyle w:val="Heading2"/>
      </w:pPr>
      <w:bookmarkStart w:id="73" w:name="_Toc18509749"/>
      <w:r w:rsidRPr="00180522">
        <w:t>5</w:t>
      </w:r>
      <w:r w:rsidR="006944F8" w:rsidRPr="00180522">
        <w:t>.7</w:t>
      </w:r>
      <w:r w:rsidR="006944F8" w:rsidRPr="00180522">
        <w:tab/>
        <w:t>Vehicular Multimedia</w:t>
      </w:r>
      <w:bookmarkEnd w:id="73"/>
    </w:p>
    <w:p w14:paraId="5D3AD5CA" w14:textId="4F52B9B8" w:rsidR="00E34BE7" w:rsidRPr="00180522" w:rsidRDefault="00AD6561" w:rsidP="001C37A8">
      <w:pPr>
        <w:rPr>
          <w:lang w:val="en-GB"/>
        </w:rPr>
      </w:pPr>
      <w:r w:rsidRPr="00180522">
        <w:rPr>
          <w:lang w:val="en-GB"/>
        </w:rPr>
        <w:t>The</w:t>
      </w:r>
      <w:r w:rsidR="006944F8" w:rsidRPr="00180522">
        <w:rPr>
          <w:lang w:val="en-GB"/>
        </w:rPr>
        <w:t xml:space="preserve"> </w:t>
      </w:r>
      <w:hyperlink r:id="rId93" w:history="1">
        <w:r w:rsidR="002B19CF" w:rsidRPr="00180522">
          <w:rPr>
            <w:rStyle w:val="Hyperlink"/>
            <w:lang w:val="en-GB"/>
          </w:rPr>
          <w:t>IT</w:t>
        </w:r>
        <w:r w:rsidR="00D8205A" w:rsidRPr="00180522">
          <w:rPr>
            <w:rStyle w:val="Hyperlink"/>
            <w:lang w:val="en-GB"/>
          </w:rPr>
          <w:t>U-T Focus Group on Vehicular Multimedia (FG VM</w:t>
        </w:r>
      </w:hyperlink>
      <w:r w:rsidR="00D8205A" w:rsidRPr="00180522">
        <w:rPr>
          <w:lang w:val="en-GB"/>
        </w:rPr>
        <w:t>)</w:t>
      </w:r>
      <w:r w:rsidR="00D8205A" w:rsidRPr="00180522" w:rsidDel="002534EE">
        <w:rPr>
          <w:lang w:val="en-GB"/>
        </w:rPr>
        <w:t xml:space="preserve"> </w:t>
      </w:r>
      <w:r w:rsidR="00E34BE7" w:rsidRPr="00180522">
        <w:rPr>
          <w:lang w:val="en-GB"/>
        </w:rPr>
        <w:t>is investigating where international standards could support the global adoption of new ‘infotainment’ systems incorporating services such as Augmented Reality navigation, video streaming, and automated in-vehicle climate control.</w:t>
      </w:r>
      <w:r w:rsidR="00FF7F99" w:rsidRPr="00180522">
        <w:rPr>
          <w:lang w:val="en-GB"/>
        </w:rPr>
        <w:t xml:space="preserve"> FG VM </w:t>
      </w:r>
      <w:r w:rsidR="00E34BE7" w:rsidRPr="00180522">
        <w:rPr>
          <w:lang w:val="en-GB"/>
        </w:rPr>
        <w:t>has documented innovative use cases of vehicular multimedia and their underlying technical requirements. In the second phase of its work, the group will propose the architecture, interfaces and protocols of the vehicular multimedia network.</w:t>
      </w:r>
    </w:p>
    <w:p w14:paraId="37F479FF" w14:textId="07973161" w:rsidR="00210CA6" w:rsidRPr="00180522" w:rsidRDefault="00144799" w:rsidP="008A2F29">
      <w:pPr>
        <w:pStyle w:val="Heading2"/>
        <w:ind w:left="0" w:firstLine="0"/>
      </w:pPr>
      <w:bookmarkStart w:id="74" w:name="_Toc18509750"/>
      <w:r w:rsidRPr="00180522">
        <w:lastRenderedPageBreak/>
        <w:t>5.8</w:t>
      </w:r>
      <w:r w:rsidRPr="00180522">
        <w:tab/>
      </w:r>
      <w:r w:rsidR="00210CA6" w:rsidRPr="00180522">
        <w:t>Environmental Efficiency for Artificial Intelligence and other Emerging Technologies</w:t>
      </w:r>
      <w:bookmarkEnd w:id="74"/>
    </w:p>
    <w:p w14:paraId="628E92AC" w14:textId="1E7928C6" w:rsidR="00BF79C7" w:rsidRPr="00180522" w:rsidRDefault="001434ED" w:rsidP="001434ED">
      <w:pPr>
        <w:rPr>
          <w:lang w:val="en-GB"/>
        </w:rPr>
      </w:pPr>
      <w:r w:rsidRPr="00180522">
        <w:rPr>
          <w:lang w:val="en-GB"/>
        </w:rPr>
        <w:t xml:space="preserve">The </w:t>
      </w:r>
      <w:hyperlink r:id="rId94" w:history="1">
        <w:r w:rsidRPr="00180522">
          <w:rPr>
            <w:rStyle w:val="Hyperlink"/>
            <w:lang w:val="en-GB"/>
          </w:rPr>
          <w:t>ITU-T Focus Group on Environmental Efficiency for AI and other Emerging Technologies</w:t>
        </w:r>
        <w:r w:rsidR="00FF7F99" w:rsidRPr="00180522">
          <w:rPr>
            <w:rStyle w:val="Hyperlink"/>
            <w:lang w:val="en-GB"/>
          </w:rPr>
          <w:t xml:space="preserve"> (FG </w:t>
        </w:r>
        <w:r w:rsidR="00BF79C7" w:rsidRPr="00180522">
          <w:rPr>
            <w:rStyle w:val="Hyperlink"/>
            <w:lang w:val="en-GB"/>
          </w:rPr>
          <w:t>AI4EE)</w:t>
        </w:r>
        <w:r w:rsidR="00BF79C7" w:rsidRPr="00180522" w:rsidDel="00BF79C7">
          <w:rPr>
            <w:rStyle w:val="Hyperlink"/>
            <w:lang w:val="en-GB"/>
          </w:rPr>
          <w:t xml:space="preserve"> </w:t>
        </w:r>
      </w:hyperlink>
      <w:r w:rsidRPr="00180522">
        <w:rPr>
          <w:lang w:val="en-GB"/>
        </w:rPr>
        <w:t xml:space="preserve"> </w:t>
      </w:r>
      <w:r w:rsidR="00BF79C7" w:rsidRPr="00180522">
        <w:rPr>
          <w:lang w:val="en-GB"/>
        </w:rPr>
        <w:t>– scheduled to meet for the first time in Vi</w:t>
      </w:r>
      <w:r w:rsidR="00FF7F99" w:rsidRPr="00180522">
        <w:rPr>
          <w:lang w:val="en-GB"/>
        </w:rPr>
        <w:t xml:space="preserve">enna, Austria, 15 October 2019 – </w:t>
      </w:r>
      <w:r w:rsidR="00BF79C7" w:rsidRPr="00180522">
        <w:rPr>
          <w:lang w:val="en-GB"/>
        </w:rPr>
        <w:t xml:space="preserve">will study environmental efficiency in the age of Artificial Intelligence, increasing automation, and smart manufacturing. The group's work is also expected to support ITU's ongoing studies of the environmental requirements of IMT-2020 (5G) systems. The Focus Group aims to provide guidance on the environmentally efficient operation of emerging technologies, as well as the influence of these technologies on the environmental efficiency of the broader ICT ecosystem. See relevant </w:t>
      </w:r>
      <w:hyperlink r:id="rId95" w:history="1">
        <w:r w:rsidR="00BF79C7" w:rsidRPr="00180522">
          <w:rPr>
            <w:rStyle w:val="Hyperlink"/>
            <w:lang w:val="en-GB"/>
          </w:rPr>
          <w:t>ITU Press Release</w:t>
        </w:r>
      </w:hyperlink>
      <w:r w:rsidR="00BF79C7" w:rsidRPr="00180522">
        <w:rPr>
          <w:lang w:val="en-GB"/>
        </w:rPr>
        <w:t xml:space="preserve">. </w:t>
      </w:r>
    </w:p>
    <w:p w14:paraId="4C2D6891" w14:textId="21A8FDB5" w:rsidR="006944F8" w:rsidRPr="00180522" w:rsidRDefault="00D64AF8" w:rsidP="006944F8">
      <w:pPr>
        <w:pStyle w:val="Heading1"/>
      </w:pPr>
      <w:bookmarkStart w:id="75" w:name="_Toc416161369"/>
      <w:bookmarkStart w:id="76" w:name="_Toc438553990"/>
      <w:bookmarkStart w:id="77" w:name="_Toc453929114"/>
      <w:bookmarkStart w:id="78" w:name="_Toc453932985"/>
      <w:bookmarkStart w:id="79" w:name="_Toc454295891"/>
      <w:bookmarkStart w:id="80" w:name="_Toc462664250"/>
      <w:bookmarkStart w:id="81" w:name="_Toc480527836"/>
      <w:bookmarkStart w:id="82" w:name="_Toc18509751"/>
      <w:bookmarkEnd w:id="67"/>
      <w:r w:rsidRPr="00180522">
        <w:t>6</w:t>
      </w:r>
      <w:r w:rsidR="006944F8" w:rsidRPr="00180522">
        <w:tab/>
        <w:t xml:space="preserve">Collaboration </w:t>
      </w:r>
      <w:bookmarkEnd w:id="75"/>
      <w:bookmarkEnd w:id="76"/>
      <w:bookmarkEnd w:id="77"/>
      <w:bookmarkEnd w:id="78"/>
      <w:bookmarkEnd w:id="79"/>
      <w:r w:rsidR="006944F8" w:rsidRPr="00180522">
        <w:t>in standardization</w:t>
      </w:r>
      <w:bookmarkEnd w:id="80"/>
      <w:bookmarkEnd w:id="81"/>
      <w:bookmarkEnd w:id="82"/>
    </w:p>
    <w:p w14:paraId="05115733" w14:textId="4CD58758" w:rsidR="006944F8" w:rsidRPr="00180522" w:rsidRDefault="00D64AF8" w:rsidP="006944F8">
      <w:pPr>
        <w:pStyle w:val="Heading2"/>
      </w:pPr>
      <w:bookmarkStart w:id="83" w:name="_Toc480527837"/>
      <w:bookmarkStart w:id="84" w:name="_Toc18509752"/>
      <w:bookmarkStart w:id="85" w:name="_Toc462664251"/>
      <w:r w:rsidRPr="00180522">
        <w:t>6</w:t>
      </w:r>
      <w:r w:rsidR="006944F8" w:rsidRPr="00180522">
        <w:t>.1</w:t>
      </w:r>
      <w:r w:rsidR="006944F8" w:rsidRPr="00180522">
        <w:tab/>
        <w:t>Coordination and cooperation among ITU Sectors</w:t>
      </w:r>
      <w:bookmarkEnd w:id="83"/>
      <w:bookmarkEnd w:id="84"/>
    </w:p>
    <w:p w14:paraId="1527D375" w14:textId="1BC35A39" w:rsidR="002534EE" w:rsidRPr="00180522" w:rsidRDefault="006944F8" w:rsidP="006944F8">
      <w:pPr>
        <w:rPr>
          <w:lang w:val="en-GB"/>
        </w:rPr>
      </w:pPr>
      <w:r w:rsidRPr="00180522">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w:t>
      </w:r>
      <w:r w:rsidR="000F68DB" w:rsidRPr="00180522">
        <w:rPr>
          <w:lang w:val="en-GB"/>
        </w:rPr>
        <w:t xml:space="preserve"> based on information received.</w:t>
      </w:r>
    </w:p>
    <w:p w14:paraId="60E22E7E" w14:textId="1C5E3587" w:rsidR="002534EE" w:rsidRPr="00180522" w:rsidRDefault="006944F8" w:rsidP="009E5FFA">
      <w:pPr>
        <w:rPr>
          <w:lang w:val="en-GB"/>
        </w:rPr>
      </w:pPr>
      <w:r w:rsidRPr="00180522">
        <w:rPr>
          <w:lang w:val="en-GB"/>
        </w:rPr>
        <w:t>TSAG</w:t>
      </w:r>
      <w:r w:rsidR="002534EE" w:rsidRPr="00180522">
        <w:rPr>
          <w:lang w:val="en-GB"/>
        </w:rPr>
        <w:t xml:space="preserve"> </w:t>
      </w:r>
      <w:r w:rsidRPr="00180522">
        <w:rPr>
          <w:lang w:val="en-GB"/>
        </w:rPr>
        <w:t>maintains a close relationship with RAG and TDAG in order to develop synergies with the objective of strengthening coordination and cooperation among the three ITU Sectors on matters of mutual interest.</w:t>
      </w:r>
      <w:bookmarkStart w:id="86" w:name="Item18_01"/>
      <w:bookmarkEnd w:id="86"/>
    </w:p>
    <w:p w14:paraId="054AEED0" w14:textId="7E0D8DB6" w:rsidR="006944F8" w:rsidRPr="00180522" w:rsidRDefault="006944F8" w:rsidP="009E5FFA">
      <w:pPr>
        <w:rPr>
          <w:lang w:val="en-GB"/>
        </w:rPr>
      </w:pPr>
      <w:r w:rsidRPr="00180522">
        <w:rPr>
          <w:lang w:val="en-GB"/>
        </w:rPr>
        <w:t xml:space="preserve">Three </w:t>
      </w:r>
      <w:r w:rsidR="00515A4B" w:rsidRPr="00180522">
        <w:rPr>
          <w:lang w:val="en-GB"/>
        </w:rPr>
        <w:t>I</w:t>
      </w:r>
      <w:r w:rsidRPr="00180522">
        <w:rPr>
          <w:lang w:val="en-GB"/>
        </w:rPr>
        <w:t>nter-Sector Rapporteur groups (IRGs) work on items of interest</w:t>
      </w:r>
      <w:r w:rsidR="00317510" w:rsidRPr="00180522">
        <w:rPr>
          <w:lang w:val="en-GB"/>
        </w:rPr>
        <w:t xml:space="preserve"> to various ITU-T and ITU-R Study G</w:t>
      </w:r>
      <w:r w:rsidRPr="00180522">
        <w:rPr>
          <w:lang w:val="en-GB"/>
        </w:rPr>
        <w:t>roups.</w:t>
      </w:r>
    </w:p>
    <w:p w14:paraId="26B84647" w14:textId="77777777" w:rsidR="006944F8" w:rsidRPr="00180522" w:rsidRDefault="006944F8" w:rsidP="00416693">
      <w:pPr>
        <w:numPr>
          <w:ilvl w:val="0"/>
          <w:numId w:val="104"/>
        </w:numPr>
        <w:rPr>
          <w:lang w:val="en-GB"/>
        </w:rPr>
      </w:pPr>
      <w:r w:rsidRPr="00180522">
        <w:rPr>
          <w:lang w:val="en-GB"/>
        </w:rPr>
        <w:t>IRG-AVA: Intersector Rapporteur Group Audiovisual Media Accessibility, amongst ITU-T SG9, ITU-T SG16 and ITU-R SG6.</w:t>
      </w:r>
    </w:p>
    <w:p w14:paraId="066CEBC9" w14:textId="77777777" w:rsidR="006944F8" w:rsidRPr="00180522" w:rsidRDefault="006944F8" w:rsidP="00416693">
      <w:pPr>
        <w:numPr>
          <w:ilvl w:val="0"/>
          <w:numId w:val="104"/>
        </w:numPr>
        <w:rPr>
          <w:lang w:val="en-GB"/>
        </w:rPr>
      </w:pPr>
      <w:r w:rsidRPr="00180522">
        <w:rPr>
          <w:lang w:val="en-GB"/>
        </w:rPr>
        <w:t>IRG-AVQA: Intersector Rapporteur Group Audiovisual Quality Assessment, amongst ITU-T SG12 and ITU-R SG6.</w:t>
      </w:r>
    </w:p>
    <w:p w14:paraId="1B9E3744" w14:textId="77777777" w:rsidR="006944F8" w:rsidRPr="00180522" w:rsidRDefault="006944F8" w:rsidP="00416693">
      <w:pPr>
        <w:numPr>
          <w:ilvl w:val="0"/>
          <w:numId w:val="104"/>
        </w:numPr>
        <w:rPr>
          <w:lang w:val="en-GB"/>
        </w:rPr>
      </w:pPr>
      <w:r w:rsidRPr="00180522">
        <w:rPr>
          <w:lang w:val="en-GB"/>
        </w:rPr>
        <w:t>IRG-IBB: Intersector Rapporteur Group Integrated Broadcast-Broadband, between ITU-T SG9, ITU-T SG16 and ITU-R WP 6B.</w:t>
      </w:r>
    </w:p>
    <w:p w14:paraId="1FBAFCDA" w14:textId="75DF2620" w:rsidR="006944F8" w:rsidRPr="00180522" w:rsidRDefault="006944F8" w:rsidP="009E5FFA">
      <w:pPr>
        <w:rPr>
          <w:lang w:val="en-GB"/>
        </w:rPr>
      </w:pPr>
      <w:r w:rsidRPr="00180522">
        <w:rPr>
          <w:lang w:val="en-GB"/>
        </w:rPr>
        <w:t xml:space="preserve">The </w:t>
      </w:r>
      <w:r w:rsidR="002534EE" w:rsidRPr="00180522">
        <w:rPr>
          <w:lang w:val="en-GB"/>
        </w:rPr>
        <w:t>I</w:t>
      </w:r>
      <w:r w:rsidRPr="00180522">
        <w:rPr>
          <w:lang w:val="en-GB"/>
        </w:rPr>
        <w:t xml:space="preserve">nter-Sector </w:t>
      </w:r>
      <w:r w:rsidR="002534EE" w:rsidRPr="00180522">
        <w:rPr>
          <w:lang w:val="en-GB"/>
        </w:rPr>
        <w:t>C</w:t>
      </w:r>
      <w:r w:rsidRPr="00180522">
        <w:rPr>
          <w:lang w:val="en-GB"/>
        </w:rPr>
        <w:t xml:space="preserve">oordination </w:t>
      </w:r>
      <w:r w:rsidR="002534EE" w:rsidRPr="00180522">
        <w:rPr>
          <w:lang w:val="en-GB"/>
        </w:rPr>
        <w:t>T</w:t>
      </w:r>
      <w:r w:rsidRPr="00180522">
        <w:rPr>
          <w:lang w:val="en-GB"/>
        </w:rPr>
        <w:t xml:space="preserve">eam (ISCT) is composed </w:t>
      </w:r>
      <w:r w:rsidR="00BF79C7" w:rsidRPr="00180522">
        <w:rPr>
          <w:lang w:val="en-GB"/>
        </w:rPr>
        <w:t xml:space="preserve">of </w:t>
      </w:r>
      <w:r w:rsidRPr="00180522">
        <w:rPr>
          <w:lang w:val="en-GB"/>
        </w:rPr>
        <w:t>representatives of all three advisory groups, work</w:t>
      </w:r>
      <w:r w:rsidR="00BF79C7" w:rsidRPr="00180522">
        <w:rPr>
          <w:lang w:val="en-GB"/>
        </w:rPr>
        <w:t>ing</w:t>
      </w:r>
      <w:r w:rsidRPr="00180522">
        <w:rPr>
          <w:lang w:val="en-GB"/>
        </w:rPr>
        <w:t xml:space="preserve"> to identify subjects common </w:t>
      </w:r>
      <w:r w:rsidR="002534EE" w:rsidRPr="00180522">
        <w:rPr>
          <w:lang w:val="en-GB"/>
        </w:rPr>
        <w:t xml:space="preserve">interest </w:t>
      </w:r>
      <w:r w:rsidRPr="00180522">
        <w:rPr>
          <w:lang w:val="en-GB"/>
        </w:rPr>
        <w:t>to the t</w:t>
      </w:r>
      <w:r w:rsidR="00BF79C7" w:rsidRPr="00180522">
        <w:rPr>
          <w:lang w:val="en-GB"/>
        </w:rPr>
        <w:t>h</w:t>
      </w:r>
      <w:r w:rsidRPr="00180522">
        <w:rPr>
          <w:lang w:val="en-GB"/>
        </w:rPr>
        <w:t>ree Sector</w:t>
      </w:r>
      <w:r w:rsidR="00BF79C7" w:rsidRPr="00180522">
        <w:rPr>
          <w:lang w:val="en-GB"/>
        </w:rPr>
        <w:t>s</w:t>
      </w:r>
      <w:r w:rsidRPr="00180522">
        <w:rPr>
          <w:lang w:val="en-GB"/>
        </w:rPr>
        <w:t xml:space="preserve">. It also seeks to identify the mechanisms </w:t>
      </w:r>
      <w:r w:rsidR="00BF79C7" w:rsidRPr="00180522">
        <w:rPr>
          <w:lang w:val="en-GB"/>
        </w:rPr>
        <w:t xml:space="preserve">necessary </w:t>
      </w:r>
      <w:r w:rsidRPr="00180522">
        <w:rPr>
          <w:lang w:val="en-GB"/>
        </w:rPr>
        <w:t>to strengthen cooperation and joint activit</w:t>
      </w:r>
      <w:r w:rsidR="00BF79C7" w:rsidRPr="00180522">
        <w:rPr>
          <w:lang w:val="en-GB"/>
        </w:rPr>
        <w:t xml:space="preserve">ies </w:t>
      </w:r>
      <w:r w:rsidRPr="00180522">
        <w:rPr>
          <w:lang w:val="en-GB"/>
        </w:rPr>
        <w:t>among the three Sectors, with particular emphasis on the interests of developing countries. In addition, the ITU Inter-Sectoral Coordination Task Force (ISC-TF) is coordinating activities among the t</w:t>
      </w:r>
      <w:r w:rsidR="002534EE" w:rsidRPr="00180522">
        <w:rPr>
          <w:lang w:val="en-GB"/>
        </w:rPr>
        <w:t>h</w:t>
      </w:r>
      <w:r w:rsidRPr="00180522">
        <w:rPr>
          <w:lang w:val="en-GB"/>
        </w:rPr>
        <w:t>ree Bureaux.</w:t>
      </w:r>
      <w:bookmarkStart w:id="87" w:name="Item57_02"/>
      <w:bookmarkEnd w:id="87"/>
    </w:p>
    <w:p w14:paraId="28CD2E40" w14:textId="6CBF9027" w:rsidR="0034036E" w:rsidRPr="00180522" w:rsidRDefault="00111D4E" w:rsidP="009E5FFA">
      <w:pPr>
        <w:rPr>
          <w:lang w:val="en-GB"/>
        </w:rPr>
      </w:pPr>
      <w:r w:rsidRPr="00180522">
        <w:rPr>
          <w:lang w:val="en-GB"/>
        </w:rPr>
        <w:t>A</w:t>
      </w:r>
      <w:r w:rsidR="00E05461" w:rsidRPr="00180522">
        <w:rPr>
          <w:lang w:val="en-GB"/>
        </w:rPr>
        <w:t xml:space="preserve"> series of events on </w:t>
      </w:r>
      <w:r w:rsidR="00CA2D85" w:rsidRPr="00180522">
        <w:rPr>
          <w:lang w:val="en-GB"/>
        </w:rPr>
        <w:t>"</w:t>
      </w:r>
      <w:r w:rsidR="00BF79C7" w:rsidRPr="00180522">
        <w:rPr>
          <w:lang w:val="en-GB"/>
        </w:rPr>
        <w:t>T</w:t>
      </w:r>
      <w:r w:rsidR="00E05461" w:rsidRPr="00180522">
        <w:rPr>
          <w:lang w:val="en-GB"/>
        </w:rPr>
        <w:t xml:space="preserve">he </w:t>
      </w:r>
      <w:r w:rsidR="00BF79C7" w:rsidRPr="00180522">
        <w:rPr>
          <w:lang w:val="en-GB"/>
        </w:rPr>
        <w:t>F</w:t>
      </w:r>
      <w:r w:rsidR="00E05461" w:rsidRPr="00180522">
        <w:rPr>
          <w:lang w:val="en-GB"/>
        </w:rPr>
        <w:t>uture of TV</w:t>
      </w:r>
      <w:r w:rsidR="00CA2D85" w:rsidRPr="00180522">
        <w:rPr>
          <w:lang w:val="en-GB"/>
        </w:rPr>
        <w:t>"</w:t>
      </w:r>
      <w:r w:rsidRPr="00180522">
        <w:rPr>
          <w:lang w:val="en-GB"/>
        </w:rPr>
        <w:t xml:space="preserve">, initiated by ITU-T SG9, are </w:t>
      </w:r>
      <w:r w:rsidR="00E05461" w:rsidRPr="00180522">
        <w:rPr>
          <w:lang w:val="en-GB"/>
        </w:rPr>
        <w:t xml:space="preserve">organized </w:t>
      </w:r>
      <w:r w:rsidR="00BF79C7" w:rsidRPr="00180522">
        <w:rPr>
          <w:lang w:val="en-GB"/>
        </w:rPr>
        <w:t xml:space="preserve">in collaboration </w:t>
      </w:r>
      <w:r w:rsidR="00E05461" w:rsidRPr="00180522">
        <w:rPr>
          <w:lang w:val="en-GB"/>
        </w:rPr>
        <w:t xml:space="preserve">by the three </w:t>
      </w:r>
      <w:r w:rsidR="00014568" w:rsidRPr="00180522">
        <w:rPr>
          <w:lang w:val="en-GB"/>
        </w:rPr>
        <w:t xml:space="preserve">ITU </w:t>
      </w:r>
      <w:r w:rsidR="00E05461" w:rsidRPr="00180522">
        <w:rPr>
          <w:lang w:val="en-GB"/>
        </w:rPr>
        <w:t xml:space="preserve">Sectors </w:t>
      </w:r>
      <w:r w:rsidR="00BF79C7" w:rsidRPr="00180522">
        <w:rPr>
          <w:lang w:val="en-GB"/>
        </w:rPr>
        <w:t>and ITU</w:t>
      </w:r>
      <w:r w:rsidR="00E05461" w:rsidRPr="00180522">
        <w:rPr>
          <w:lang w:val="en-GB"/>
        </w:rPr>
        <w:t xml:space="preserve"> </w:t>
      </w:r>
      <w:r w:rsidR="00BF79C7" w:rsidRPr="00180522">
        <w:rPr>
          <w:lang w:val="en-GB"/>
        </w:rPr>
        <w:t>R</w:t>
      </w:r>
      <w:r w:rsidR="00E05461" w:rsidRPr="00180522">
        <w:rPr>
          <w:lang w:val="en-GB"/>
        </w:rPr>
        <w:t xml:space="preserve">egional </w:t>
      </w:r>
      <w:r w:rsidR="00BF79C7" w:rsidRPr="00180522">
        <w:rPr>
          <w:lang w:val="en-GB"/>
        </w:rPr>
        <w:t>O</w:t>
      </w:r>
      <w:r w:rsidR="00E05461" w:rsidRPr="00180522">
        <w:rPr>
          <w:lang w:val="en-GB"/>
        </w:rPr>
        <w:t>ffices.</w:t>
      </w:r>
      <w:r w:rsidRPr="00180522">
        <w:rPr>
          <w:lang w:val="en-GB"/>
        </w:rPr>
        <w:t xml:space="preserve"> Three such events have been held to date: </w:t>
      </w:r>
    </w:p>
    <w:p w14:paraId="23D3B0FC" w14:textId="77777777" w:rsidR="0034036E" w:rsidRPr="00180522" w:rsidRDefault="007706CC" w:rsidP="0034036E">
      <w:pPr>
        <w:numPr>
          <w:ilvl w:val="0"/>
          <w:numId w:val="67"/>
        </w:numPr>
        <w:rPr>
          <w:lang w:val="en-GB"/>
        </w:rPr>
      </w:pPr>
      <w:hyperlink r:id="rId96" w:history="1">
        <w:r w:rsidR="0034036E" w:rsidRPr="00180522">
          <w:rPr>
            <w:rStyle w:val="Hyperlink"/>
            <w:lang w:val="en-GB"/>
          </w:rPr>
          <w:t>ITU Workshop on the Future of Television for Europe</w:t>
        </w:r>
      </w:hyperlink>
      <w:r w:rsidR="0034036E" w:rsidRPr="00180522">
        <w:rPr>
          <w:lang w:val="en-GB"/>
        </w:rPr>
        <w:t>, Geneva, Switzerland, 7 June 2019</w:t>
      </w:r>
    </w:p>
    <w:p w14:paraId="0B397E41" w14:textId="36FEA438" w:rsidR="0034036E" w:rsidRPr="00180522" w:rsidRDefault="007706CC" w:rsidP="0034036E">
      <w:pPr>
        <w:numPr>
          <w:ilvl w:val="0"/>
          <w:numId w:val="67"/>
        </w:numPr>
        <w:rPr>
          <w:lang w:val="en-GB"/>
        </w:rPr>
      </w:pPr>
      <w:hyperlink r:id="rId97" w:history="1">
        <w:r w:rsidR="0034036E" w:rsidRPr="00180522">
          <w:rPr>
            <w:rStyle w:val="Hyperlink"/>
            <w:lang w:val="en-GB"/>
          </w:rPr>
          <w:t>ITU Workshop on the Future of TV for the Americas</w:t>
        </w:r>
      </w:hyperlink>
      <w:r w:rsidR="00111D4E" w:rsidRPr="00180522">
        <w:rPr>
          <w:lang w:val="en-GB"/>
        </w:rPr>
        <w:t>, B</w:t>
      </w:r>
      <w:r w:rsidR="0034036E" w:rsidRPr="00180522">
        <w:rPr>
          <w:lang w:val="en-GB"/>
        </w:rPr>
        <w:t xml:space="preserve">ogotá, </w:t>
      </w:r>
      <w:r w:rsidR="00111D4E" w:rsidRPr="00180522">
        <w:rPr>
          <w:lang w:val="en-GB"/>
        </w:rPr>
        <w:t xml:space="preserve">Colombia, </w:t>
      </w:r>
      <w:r w:rsidR="0034036E" w:rsidRPr="00180522">
        <w:rPr>
          <w:lang w:val="en-GB"/>
        </w:rPr>
        <w:t>26 November 2018</w:t>
      </w:r>
    </w:p>
    <w:p w14:paraId="37AD3AC3" w14:textId="1579A581" w:rsidR="0034036E" w:rsidRPr="00180522" w:rsidRDefault="007706CC" w:rsidP="0034036E">
      <w:pPr>
        <w:numPr>
          <w:ilvl w:val="0"/>
          <w:numId w:val="67"/>
        </w:numPr>
        <w:rPr>
          <w:lang w:val="en-GB"/>
        </w:rPr>
      </w:pPr>
      <w:hyperlink r:id="rId98" w:history="1">
        <w:r w:rsidR="0034036E" w:rsidRPr="00180522">
          <w:rPr>
            <w:rStyle w:val="Hyperlink"/>
            <w:lang w:val="en-GB"/>
          </w:rPr>
          <w:t>ITU Workshop on the Future of Cable TV</w:t>
        </w:r>
      </w:hyperlink>
      <w:r w:rsidR="00111D4E" w:rsidRPr="00180522">
        <w:rPr>
          <w:lang w:val="en-GB"/>
        </w:rPr>
        <w:t>, G</w:t>
      </w:r>
      <w:r w:rsidR="0034036E" w:rsidRPr="00180522">
        <w:rPr>
          <w:lang w:val="en-GB"/>
        </w:rPr>
        <w:t>eneva, Switzerland, 25-26 January 2018</w:t>
      </w:r>
    </w:p>
    <w:p w14:paraId="330E1F4B" w14:textId="13503160" w:rsidR="0034036E" w:rsidRPr="00180522" w:rsidRDefault="00111D4E" w:rsidP="009E5FFA">
      <w:pPr>
        <w:rPr>
          <w:bCs/>
          <w:lang w:val="en-GB"/>
        </w:rPr>
      </w:pPr>
      <w:r w:rsidRPr="00180522">
        <w:rPr>
          <w:bCs/>
          <w:lang w:val="en-GB"/>
        </w:rPr>
        <w:t xml:space="preserve">Similar events will be held </w:t>
      </w:r>
      <w:r w:rsidR="000C01CD" w:rsidRPr="00180522">
        <w:rPr>
          <w:bCs/>
          <w:lang w:val="en-GB"/>
        </w:rPr>
        <w:t xml:space="preserve">for the Asia-Pacific region </w:t>
      </w:r>
      <w:r w:rsidRPr="00180522">
        <w:rPr>
          <w:bCs/>
          <w:lang w:val="en-GB"/>
        </w:rPr>
        <w:t xml:space="preserve">in </w:t>
      </w:r>
      <w:r w:rsidR="000C01CD" w:rsidRPr="00180522">
        <w:rPr>
          <w:bCs/>
          <w:lang w:val="en-GB"/>
        </w:rPr>
        <w:t xml:space="preserve">Guangzhou, China, 3 September 2019; and in 2020 for the </w:t>
      </w:r>
      <w:r w:rsidR="0034036E" w:rsidRPr="00180522">
        <w:rPr>
          <w:bCs/>
          <w:lang w:val="en-GB"/>
        </w:rPr>
        <w:t>Africa</w:t>
      </w:r>
      <w:r w:rsidR="000C01CD" w:rsidRPr="00180522">
        <w:rPr>
          <w:bCs/>
          <w:lang w:val="en-GB"/>
        </w:rPr>
        <w:t>s</w:t>
      </w:r>
      <w:r w:rsidR="0034036E" w:rsidRPr="00180522">
        <w:rPr>
          <w:bCs/>
          <w:lang w:val="en-GB"/>
        </w:rPr>
        <w:t xml:space="preserve"> </w:t>
      </w:r>
      <w:r w:rsidRPr="00180522">
        <w:rPr>
          <w:bCs/>
          <w:lang w:val="en-GB"/>
        </w:rPr>
        <w:t>region</w:t>
      </w:r>
      <w:r w:rsidR="0034036E" w:rsidRPr="00180522">
        <w:rPr>
          <w:bCs/>
          <w:lang w:val="en-GB"/>
        </w:rPr>
        <w:t xml:space="preserve">. </w:t>
      </w:r>
    </w:p>
    <w:p w14:paraId="6383062B" w14:textId="268AB298" w:rsidR="006944F8" w:rsidRPr="00180522" w:rsidRDefault="00D64AF8" w:rsidP="006944F8">
      <w:pPr>
        <w:pStyle w:val="Heading2"/>
      </w:pPr>
      <w:bookmarkStart w:id="88" w:name="_Toc18509753"/>
      <w:r w:rsidRPr="00180522">
        <w:t>6</w:t>
      </w:r>
      <w:r w:rsidR="006944F8" w:rsidRPr="00180522">
        <w:t>.2</w:t>
      </w:r>
      <w:r w:rsidR="006944F8" w:rsidRPr="00180522">
        <w:tab/>
        <w:t>Coordination and cooperation with the Regions and the Regional Offices</w:t>
      </w:r>
      <w:bookmarkEnd w:id="88"/>
    </w:p>
    <w:p w14:paraId="64550A59" w14:textId="69028B61" w:rsidR="003C0BD5" w:rsidRPr="00180522" w:rsidRDefault="003C0BD5" w:rsidP="003C0BD5">
      <w:pPr>
        <w:rPr>
          <w:szCs w:val="24"/>
          <w:lang w:val="en-GB"/>
        </w:rPr>
      </w:pPr>
      <w:r w:rsidRPr="00180522">
        <w:rPr>
          <w:lang w:val="en-GB"/>
        </w:rPr>
        <w:t xml:space="preserve">With the goal of improving coordination and increasing the efficiency of the overall operations, events and activities of the Sector and the Bureau, TSB organizes conference calls and face-to-face meetings on a regular basis with </w:t>
      </w:r>
      <w:r w:rsidR="00BF79C7" w:rsidRPr="00180522">
        <w:rPr>
          <w:lang w:val="en-GB"/>
        </w:rPr>
        <w:t xml:space="preserve">ITU’s </w:t>
      </w:r>
      <w:r w:rsidRPr="00180522">
        <w:rPr>
          <w:lang w:val="en-GB"/>
        </w:rPr>
        <w:t>Regional Offices</w:t>
      </w:r>
      <w:r w:rsidR="00720F28" w:rsidRPr="00180522">
        <w:rPr>
          <w:lang w:val="en-GB"/>
        </w:rPr>
        <w:t xml:space="preserve">. </w:t>
      </w:r>
    </w:p>
    <w:p w14:paraId="611097C7" w14:textId="013911A4" w:rsidR="003C0BD5" w:rsidRPr="00180522" w:rsidRDefault="003C0BD5" w:rsidP="003C0BD5">
      <w:pPr>
        <w:rPr>
          <w:lang w:val="en-GB"/>
        </w:rPr>
      </w:pPr>
      <w:r w:rsidRPr="00180522">
        <w:rPr>
          <w:lang w:val="en-GB"/>
        </w:rPr>
        <w:lastRenderedPageBreak/>
        <w:t>This activity has led to significant improvements in the overall coordination of standardization operations, events and activities taking place in the Regions</w:t>
      </w:r>
      <w:r w:rsidR="00720F28" w:rsidRPr="00180522">
        <w:rPr>
          <w:szCs w:val="24"/>
          <w:lang w:val="en-GB"/>
        </w:rPr>
        <w:t xml:space="preserve">. It has contributed to greater awareness of </w:t>
      </w:r>
      <w:r w:rsidRPr="00180522">
        <w:rPr>
          <w:szCs w:val="24"/>
          <w:lang w:val="en-GB"/>
        </w:rPr>
        <w:t>ITU-T standardization activities in each Region</w:t>
      </w:r>
      <w:r w:rsidRPr="00180522">
        <w:rPr>
          <w:lang w:val="en-GB"/>
        </w:rPr>
        <w:t>.</w:t>
      </w:r>
    </w:p>
    <w:p w14:paraId="3BE07711" w14:textId="21AA09A4" w:rsidR="00461720" w:rsidRPr="00180522" w:rsidRDefault="003C0BD5" w:rsidP="009E5FFA">
      <w:pPr>
        <w:rPr>
          <w:lang w:val="en-GB"/>
        </w:rPr>
      </w:pPr>
      <w:r w:rsidRPr="00180522">
        <w:rPr>
          <w:lang w:val="en-GB"/>
        </w:rPr>
        <w:t xml:space="preserve">TSB will continue to enhance cooperation with the ITU Regional </w:t>
      </w:r>
      <w:r w:rsidR="00720F28" w:rsidRPr="00180522">
        <w:rPr>
          <w:lang w:val="en-GB"/>
        </w:rPr>
        <w:t>O</w:t>
      </w:r>
      <w:r w:rsidRPr="00180522">
        <w:rPr>
          <w:lang w:val="en-GB"/>
        </w:rPr>
        <w:t>ffices, as well as with relevant regional and other international organizations dealing with standards.</w:t>
      </w:r>
    </w:p>
    <w:p w14:paraId="453D2B60" w14:textId="47987ECB" w:rsidR="006944F8" w:rsidRPr="00180522" w:rsidRDefault="00D64AF8" w:rsidP="006944F8">
      <w:pPr>
        <w:pStyle w:val="Heading2"/>
      </w:pPr>
      <w:bookmarkStart w:id="89" w:name="_Toc18509754"/>
      <w:r w:rsidRPr="00180522">
        <w:t>6</w:t>
      </w:r>
      <w:r w:rsidR="006944F8" w:rsidRPr="00180522">
        <w:t>.3</w:t>
      </w:r>
      <w:r w:rsidR="006944F8" w:rsidRPr="00180522">
        <w:tab/>
        <w:t>General assistance and cooperation</w:t>
      </w:r>
      <w:bookmarkEnd w:id="89"/>
    </w:p>
    <w:p w14:paraId="56B5D98A" w14:textId="77777777" w:rsidR="006944F8" w:rsidRPr="00180522" w:rsidRDefault="006944F8" w:rsidP="006944F8">
      <w:pPr>
        <w:rPr>
          <w:lang w:val="en-GB"/>
        </w:rPr>
      </w:pPr>
      <w:bookmarkStart w:id="90" w:name="_6.5_Focus_Group"/>
      <w:bookmarkStart w:id="91" w:name="_7.5_Focus_Group"/>
      <w:bookmarkStart w:id="92" w:name="_7.2_TSB_Director’s"/>
      <w:bookmarkStart w:id="93" w:name="_13_Chief_Technology"/>
      <w:bookmarkStart w:id="94" w:name="_8.1_ITU-UNECE_event"/>
      <w:bookmarkStart w:id="95" w:name="_8.3_3rd_ITU"/>
      <w:bookmarkStart w:id="96" w:name="_8.5_Standards_collaboration,"/>
      <w:bookmarkStart w:id="97" w:name="_8.6_Montevideo_forum"/>
      <w:bookmarkStart w:id="98" w:name="_8.8_Accessible_Inclusion"/>
      <w:bookmarkStart w:id="99" w:name="_10_Chief_Technology"/>
      <w:bookmarkEnd w:id="85"/>
      <w:bookmarkEnd w:id="90"/>
      <w:bookmarkEnd w:id="91"/>
      <w:bookmarkEnd w:id="92"/>
      <w:bookmarkEnd w:id="93"/>
      <w:bookmarkEnd w:id="94"/>
      <w:bookmarkEnd w:id="95"/>
      <w:bookmarkEnd w:id="96"/>
      <w:bookmarkEnd w:id="97"/>
      <w:bookmarkEnd w:id="98"/>
      <w:bookmarkEnd w:id="99"/>
      <w:r w:rsidRPr="00180522">
        <w:rPr>
          <w:lang w:val="en-GB"/>
        </w:rPr>
        <w:t xml:space="preserve">ITU continues to provide leadership in </w:t>
      </w:r>
      <w:r w:rsidRPr="00180522">
        <w:rPr>
          <w:bCs/>
          <w:lang w:val="en-GB"/>
        </w:rPr>
        <w:t>building cooperation</w:t>
      </w:r>
      <w:r w:rsidRPr="00180522">
        <w:rPr>
          <w:lang w:val="en-GB"/>
        </w:rPr>
        <w:t xml:space="preserve"> among the many interests served by ICT standardization.</w:t>
      </w:r>
    </w:p>
    <w:p w14:paraId="196770E8" w14:textId="2C59E04B" w:rsidR="006944F8" w:rsidRPr="00180522" w:rsidRDefault="006944F8" w:rsidP="009E5FFA">
      <w:pPr>
        <w:rPr>
          <w:lang w:val="en-GB"/>
        </w:rPr>
      </w:pPr>
      <w:r w:rsidRPr="00180522">
        <w:rPr>
          <w:lang w:val="en-GB"/>
        </w:rPr>
        <w:t xml:space="preserve">The </w:t>
      </w:r>
      <w:r w:rsidRPr="00180522">
        <w:rPr>
          <w:b/>
          <w:lang w:val="en-GB"/>
        </w:rPr>
        <w:t xml:space="preserve">World </w:t>
      </w:r>
      <w:r w:rsidRPr="00180522">
        <w:rPr>
          <w:b/>
          <w:bCs/>
          <w:lang w:val="en-GB"/>
        </w:rPr>
        <w:t>Standards Cooperation</w:t>
      </w:r>
      <w:r w:rsidRPr="00180522">
        <w:rPr>
          <w:lang w:val="en-GB"/>
        </w:rPr>
        <w:t xml:space="preserve"> is a partnership of ITU, ISO and IEC to promote international standards. </w:t>
      </w:r>
      <w:r w:rsidR="00720F28" w:rsidRPr="00180522">
        <w:rPr>
          <w:lang w:val="en-GB"/>
        </w:rPr>
        <w:t xml:space="preserve">The World Standards Cooperation leads the celebration of World Standards Day, 14 October. </w:t>
      </w:r>
      <w:r w:rsidR="00317140" w:rsidRPr="00180522">
        <w:rPr>
          <w:lang w:val="en-GB"/>
        </w:rPr>
        <w:t>The theme of World Standards Day 201</w:t>
      </w:r>
      <w:r w:rsidR="00720F28" w:rsidRPr="00180522">
        <w:rPr>
          <w:lang w:val="en-GB"/>
        </w:rPr>
        <w:t>8</w:t>
      </w:r>
      <w:r w:rsidR="00317140" w:rsidRPr="00180522">
        <w:rPr>
          <w:lang w:val="en-GB"/>
        </w:rPr>
        <w:t xml:space="preserve"> </w:t>
      </w:r>
      <w:r w:rsidR="00720F28" w:rsidRPr="00180522">
        <w:rPr>
          <w:lang w:val="en-GB"/>
        </w:rPr>
        <w:t xml:space="preserve">was </w:t>
      </w:r>
      <w:r w:rsidR="00CA2D85" w:rsidRPr="00180522">
        <w:rPr>
          <w:lang w:val="en-GB"/>
        </w:rPr>
        <w:t>"</w:t>
      </w:r>
      <w:r w:rsidR="00142431" w:rsidRPr="00180522">
        <w:rPr>
          <w:lang w:val="en-GB"/>
        </w:rPr>
        <w:t>International Standards and the Fourth Industrial Revolution</w:t>
      </w:r>
      <w:r w:rsidR="00CA2D85" w:rsidRPr="00180522">
        <w:rPr>
          <w:lang w:val="en-GB"/>
        </w:rPr>
        <w:t>"</w:t>
      </w:r>
      <w:r w:rsidR="00317140" w:rsidRPr="00180522">
        <w:rPr>
          <w:lang w:val="en-GB"/>
        </w:rPr>
        <w:t>.</w:t>
      </w:r>
      <w:r w:rsidR="00720F28" w:rsidRPr="00180522">
        <w:rPr>
          <w:lang w:val="en-GB"/>
        </w:rPr>
        <w:t xml:space="preserve"> The 2019 theme is “Video standards create a global stage”’.</w:t>
      </w:r>
    </w:p>
    <w:p w14:paraId="0A9C9558" w14:textId="77777777" w:rsidR="00F053CB" w:rsidRPr="00180522" w:rsidRDefault="00F053CB" w:rsidP="00F053CB">
      <w:pPr>
        <w:rPr>
          <w:sz w:val="21"/>
          <w:highlight w:val="yellow"/>
          <w:lang w:val="en-GB"/>
        </w:rPr>
      </w:pPr>
      <w:r w:rsidRPr="00180522">
        <w:rPr>
          <w:b/>
          <w:lang w:val="en-GB"/>
        </w:rPr>
        <w:t>IEC, ISO and ITU</w:t>
      </w:r>
      <w:r w:rsidRPr="00180522">
        <w:rPr>
          <w:lang w:val="en-GB"/>
        </w:rPr>
        <w:t xml:space="preserve"> cooperate in standardization to the degree that 10 per cent of all ITU standards are common or aligned texts with the ISO/IEC Joint Technical Committee 1 on Information Technology (ISO/IEC JTC1).</w:t>
      </w:r>
    </w:p>
    <w:p w14:paraId="3419FB4E" w14:textId="4E381FDB" w:rsidR="00F053CB" w:rsidRPr="00180522" w:rsidRDefault="00F053CB" w:rsidP="00F053CB">
      <w:pPr>
        <w:rPr>
          <w:lang w:val="en-GB"/>
        </w:rPr>
      </w:pPr>
      <w:r w:rsidRPr="00180522">
        <w:rPr>
          <w:b/>
          <w:lang w:val="en-GB"/>
        </w:rPr>
        <w:t>Global Standards Collaboration</w:t>
      </w:r>
      <w:r w:rsidRPr="00180522">
        <w:rPr>
          <w:lang w:val="en-GB"/>
        </w:rPr>
        <w:t xml:space="preserve"> </w:t>
      </w:r>
      <w:r w:rsidRPr="00180522">
        <w:rPr>
          <w:b/>
          <w:bCs/>
          <w:lang w:val="en-GB"/>
        </w:rPr>
        <w:t>(GSC)</w:t>
      </w:r>
      <w:r w:rsidRPr="00180522">
        <w:rPr>
          <w:lang w:val="en-GB"/>
        </w:rPr>
        <w:t xml:space="preserve"> assists regional and international SDOs in coordinating their contributions to fields of mutual interest.</w:t>
      </w:r>
      <w:r w:rsidR="00D32FC7" w:rsidRPr="00180522">
        <w:rPr>
          <w:lang w:val="en-GB"/>
        </w:rPr>
        <w:t xml:space="preserve"> </w:t>
      </w:r>
      <w:hyperlink r:id="rId99" w:history="1">
        <w:r w:rsidR="00D32FC7" w:rsidRPr="00180522">
          <w:rPr>
            <w:rStyle w:val="Hyperlink"/>
            <w:lang w:val="en-GB"/>
          </w:rPr>
          <w:t>GSC-22</w:t>
        </w:r>
      </w:hyperlink>
      <w:r w:rsidR="00D32FC7" w:rsidRPr="00180522">
        <w:rPr>
          <w:lang w:val="en-GB"/>
        </w:rPr>
        <w:t xml:space="preserve"> was hosted by IEC and ISO on 26-27 March 2019 in Switzerland.</w:t>
      </w:r>
      <w:r w:rsidRPr="00180522">
        <w:rPr>
          <w:lang w:val="en-GB"/>
        </w:rPr>
        <w:t xml:space="preserve"> ITU hosts the </w:t>
      </w:r>
      <w:hyperlink r:id="rId100" w:history="1">
        <w:r w:rsidRPr="00180522">
          <w:rPr>
            <w:rStyle w:val="Hyperlink"/>
            <w:rFonts w:eastAsiaTheme="majorEastAsia"/>
            <w:lang w:val="en-GB"/>
          </w:rPr>
          <w:t>repository</w:t>
        </w:r>
      </w:hyperlink>
      <w:r w:rsidRPr="00180522">
        <w:rPr>
          <w:lang w:val="en-GB"/>
        </w:rPr>
        <w:t xml:space="preserve"> of GSC documents from past meetings. See </w:t>
      </w:r>
      <w:hyperlink r:id="rId101" w:history="1">
        <w:r w:rsidRPr="00180522">
          <w:rPr>
            <w:rStyle w:val="Hyperlink"/>
            <w:rFonts w:eastAsiaTheme="majorEastAsia"/>
            <w:lang w:val="en-GB"/>
          </w:rPr>
          <w:t>GSC website</w:t>
        </w:r>
      </w:hyperlink>
      <w:r w:rsidRPr="00180522">
        <w:rPr>
          <w:lang w:val="en-GB"/>
        </w:rPr>
        <w:t>.</w:t>
      </w:r>
    </w:p>
    <w:p w14:paraId="27C87D46" w14:textId="658994B4" w:rsidR="00F053CB" w:rsidRPr="00180522" w:rsidRDefault="00F053CB" w:rsidP="009E5FFA">
      <w:pPr>
        <w:rPr>
          <w:b/>
          <w:lang w:val="en-GB"/>
        </w:rPr>
      </w:pPr>
      <w:r w:rsidRPr="00180522">
        <w:rPr>
          <w:rFonts w:cs="Segoe UI"/>
          <w:b/>
          <w:lang w:val="en-GB"/>
        </w:rPr>
        <w:t xml:space="preserve">ITU and the African Organization for Standardization (ARSO) </w:t>
      </w:r>
      <w:r w:rsidRPr="00180522">
        <w:rPr>
          <w:rFonts w:cs="Segoe UI"/>
          <w:color w:val="000000"/>
          <w:lang w:val="en-GB"/>
        </w:rPr>
        <w:t xml:space="preserve">signed a </w:t>
      </w:r>
      <w:hyperlink r:id="rId102" w:history="1">
        <w:r w:rsidRPr="00180522">
          <w:rPr>
            <w:rStyle w:val="Hyperlink"/>
            <w:rFonts w:cs="Segoe UI"/>
            <w:lang w:val="en-GB"/>
          </w:rPr>
          <w:t>Cooperation Agreement</w:t>
        </w:r>
      </w:hyperlink>
      <w:r w:rsidRPr="00180522">
        <w:rPr>
          <w:rFonts w:cs="Segoe UI"/>
          <w:color w:val="000000"/>
          <w:lang w:val="en-GB"/>
        </w:rPr>
        <w:t xml:space="preserve"> in June 2019, establishing a high-level, non-exclusive framework for cooperation. The agreement supports the promotion of ITU standards, taking into account the requirements of the African region, to support sustainable economic development and trade over the long term.</w:t>
      </w:r>
    </w:p>
    <w:p w14:paraId="30632BBB" w14:textId="27167514" w:rsidR="006944F8" w:rsidRPr="00180522" w:rsidRDefault="006944F8" w:rsidP="006944F8">
      <w:pPr>
        <w:rPr>
          <w:lang w:val="en-GB"/>
        </w:rPr>
      </w:pPr>
      <w:r w:rsidRPr="00180522">
        <w:rPr>
          <w:b/>
          <w:bCs/>
          <w:lang w:val="en-GB"/>
        </w:rPr>
        <w:t xml:space="preserve">ITU is a strong advocate of </w:t>
      </w:r>
      <w:r w:rsidR="00CA2D85" w:rsidRPr="00180522">
        <w:rPr>
          <w:b/>
          <w:bCs/>
          <w:lang w:val="en-GB"/>
        </w:rPr>
        <w:t>"</w:t>
      </w:r>
      <w:r w:rsidRPr="00180522">
        <w:rPr>
          <w:b/>
          <w:bCs/>
          <w:lang w:val="en-GB"/>
        </w:rPr>
        <w:t>Universal Design</w:t>
      </w:r>
      <w:r w:rsidR="00CA2D85" w:rsidRPr="00180522">
        <w:rPr>
          <w:b/>
          <w:bCs/>
          <w:lang w:val="en-GB"/>
        </w:rPr>
        <w:t>"</w:t>
      </w:r>
      <w:r w:rsidRPr="00180522">
        <w:rPr>
          <w:lang w:val="en-GB"/>
        </w:rPr>
        <w:t xml:space="preserve"> and has standardization guidelines to produce solutions that are inherently accessible to persons with and without disabilities.</w:t>
      </w:r>
    </w:p>
    <w:p w14:paraId="6791684B" w14:textId="087A8DA6" w:rsidR="006944F8" w:rsidRPr="00180522" w:rsidRDefault="006944F8" w:rsidP="006944F8">
      <w:pPr>
        <w:rPr>
          <w:bCs/>
          <w:lang w:val="en-GB"/>
        </w:rPr>
      </w:pPr>
      <w:r w:rsidRPr="00180522">
        <w:rPr>
          <w:b/>
          <w:bCs/>
          <w:lang w:val="en-GB"/>
        </w:rPr>
        <w:t>ITU</w:t>
      </w:r>
      <w:r w:rsidR="00CA2D85" w:rsidRPr="00180522">
        <w:rPr>
          <w:b/>
          <w:bCs/>
          <w:lang w:val="en-GB"/>
        </w:rPr>
        <w:t>'</w:t>
      </w:r>
      <w:r w:rsidRPr="00180522">
        <w:rPr>
          <w:b/>
          <w:bCs/>
          <w:lang w:val="en-GB"/>
        </w:rPr>
        <w:t>s Bridging the Standardization Gap (BSG) programme</w:t>
      </w:r>
      <w:r w:rsidRPr="00180522">
        <w:rPr>
          <w:lang w:val="en-GB"/>
        </w:rPr>
        <w:t xml:space="preserve"> improves the capacity</w:t>
      </w:r>
      <w:r w:rsidRPr="00180522">
        <w:rPr>
          <w:bCs/>
          <w:lang w:val="en-GB"/>
        </w:rPr>
        <w:t xml:space="preserve"> of developing countries to participate in the development and implementation of international ICT standards.</w:t>
      </w:r>
    </w:p>
    <w:p w14:paraId="505AEA66" w14:textId="2EA89989" w:rsidR="006944F8" w:rsidRPr="00180522" w:rsidRDefault="006944F8" w:rsidP="006944F8">
      <w:pPr>
        <w:rPr>
          <w:bCs/>
          <w:lang w:val="en-GB"/>
        </w:rPr>
      </w:pPr>
      <w:r w:rsidRPr="00180522">
        <w:rPr>
          <w:b/>
          <w:lang w:val="en-GB"/>
        </w:rPr>
        <w:t>ITU</w:t>
      </w:r>
      <w:r w:rsidR="00CA2D85" w:rsidRPr="00180522">
        <w:rPr>
          <w:b/>
          <w:lang w:val="en-GB"/>
        </w:rPr>
        <w:t>'</w:t>
      </w:r>
      <w:r w:rsidRPr="00180522">
        <w:rPr>
          <w:b/>
          <w:lang w:val="en-GB"/>
        </w:rPr>
        <w:t>s conformity and interoperability (C&amp;I) programme</w:t>
      </w:r>
      <w:r w:rsidRPr="00180522">
        <w:rPr>
          <w:bCs/>
          <w:lang w:val="en-GB"/>
        </w:rPr>
        <w:t xml:space="preserve"> is of particular value to developing countries in their efforts to enhance conformity and interoperability of ICT products implementing ITU Recommendations or part thereof.</w:t>
      </w:r>
    </w:p>
    <w:p w14:paraId="4ADF2D23" w14:textId="63A6C1AD" w:rsidR="006944F8" w:rsidRPr="00180522" w:rsidRDefault="006944F8" w:rsidP="0033393D">
      <w:pPr>
        <w:rPr>
          <w:bCs/>
          <w:highlight w:val="yellow"/>
          <w:lang w:val="en-GB"/>
        </w:rPr>
      </w:pPr>
      <w:r w:rsidRPr="00180522">
        <w:rPr>
          <w:b/>
          <w:lang w:val="en-GB"/>
        </w:rPr>
        <w:t>Chief Technology Officer meetings</w:t>
      </w:r>
      <w:r w:rsidRPr="00180522">
        <w:rPr>
          <w:bCs/>
          <w:lang w:val="en-GB"/>
        </w:rPr>
        <w:t xml:space="preserve">: </w:t>
      </w:r>
      <w:hyperlink r:id="rId103" w:history="1">
        <w:r w:rsidRPr="00180522">
          <w:rPr>
            <w:rStyle w:val="Hyperlink"/>
            <w:rFonts w:eastAsiaTheme="majorEastAsia"/>
            <w:bCs/>
            <w:lang w:val="en-GB"/>
          </w:rPr>
          <w:t xml:space="preserve">CTO and </w:t>
        </w:r>
        <w:proofErr w:type="spellStart"/>
        <w:r w:rsidRPr="00180522">
          <w:rPr>
            <w:rStyle w:val="Hyperlink"/>
            <w:rFonts w:eastAsiaTheme="majorEastAsia"/>
            <w:bCs/>
            <w:lang w:val="en-GB"/>
          </w:rPr>
          <w:t>CxO</w:t>
        </w:r>
        <w:proofErr w:type="spellEnd"/>
        <w:r w:rsidRPr="00180522">
          <w:rPr>
            <w:rStyle w:val="Hyperlink"/>
            <w:rFonts w:eastAsiaTheme="majorEastAsia"/>
            <w:bCs/>
            <w:lang w:val="en-GB"/>
          </w:rPr>
          <w:t xml:space="preserve"> meetings</w:t>
        </w:r>
      </w:hyperlink>
      <w:r w:rsidRPr="00180522">
        <w:rPr>
          <w:bCs/>
          <w:lang w:val="en-GB"/>
        </w:rPr>
        <w:t xml:space="preserve"> bring together industry executives to highlight their business priorities and support</w:t>
      </w:r>
      <w:r w:rsidR="006553CE" w:rsidRPr="00180522">
        <w:rPr>
          <w:bCs/>
          <w:lang w:val="en-GB"/>
        </w:rPr>
        <w:t>ing standardization strategies.</w:t>
      </w:r>
      <w:r w:rsidR="0034036E" w:rsidRPr="00180522">
        <w:rPr>
          <w:bCs/>
          <w:lang w:val="en-GB"/>
        </w:rPr>
        <w:t xml:space="preserve"> TSB management held a </w:t>
      </w:r>
      <w:r w:rsidR="007B1FAD" w:rsidRPr="00180522">
        <w:rPr>
          <w:bCs/>
          <w:lang w:val="en-GB"/>
        </w:rPr>
        <w:t>consultation</w:t>
      </w:r>
      <w:r w:rsidR="0034036E" w:rsidRPr="00180522">
        <w:rPr>
          <w:bCs/>
          <w:lang w:val="en-GB"/>
        </w:rPr>
        <w:t xml:space="preserve"> meeting with CTOs from China, Japan and Korea in Tokyo, Japan, 16 July 2019, hosted by Japan’s Telecommunication Technology Committee. See relevant </w:t>
      </w:r>
      <w:hyperlink r:id="rId104" w:history="1">
        <w:r w:rsidR="0034036E" w:rsidRPr="00180522">
          <w:rPr>
            <w:rStyle w:val="Hyperlink"/>
            <w:bCs/>
            <w:lang w:val="en-GB"/>
          </w:rPr>
          <w:t>ITU News story</w:t>
        </w:r>
      </w:hyperlink>
      <w:r w:rsidR="0034036E" w:rsidRPr="00180522">
        <w:rPr>
          <w:bCs/>
          <w:lang w:val="en-GB"/>
        </w:rPr>
        <w:t xml:space="preserve">. </w:t>
      </w:r>
    </w:p>
    <w:p w14:paraId="79B43291" w14:textId="5A2AF01F" w:rsidR="006944F8" w:rsidRPr="00180522" w:rsidRDefault="006944F8" w:rsidP="00CA2D85">
      <w:pPr>
        <w:rPr>
          <w:lang w:val="en-GB"/>
        </w:rPr>
      </w:pPr>
      <w:r w:rsidRPr="00180522">
        <w:rPr>
          <w:b/>
          <w:bCs/>
          <w:lang w:val="en-GB"/>
        </w:rPr>
        <w:t>AI for Good</w:t>
      </w:r>
      <w:r w:rsidR="0034036E" w:rsidRPr="00180522">
        <w:rPr>
          <w:b/>
          <w:bCs/>
          <w:lang w:val="en-GB"/>
        </w:rPr>
        <w:t xml:space="preserve">: </w:t>
      </w:r>
      <w:r w:rsidR="0034036E" w:rsidRPr="00180522">
        <w:rPr>
          <w:bCs/>
          <w:lang w:val="en-GB"/>
        </w:rPr>
        <w:t xml:space="preserve">The AI for Good </w:t>
      </w:r>
      <w:r w:rsidR="00D32FC7" w:rsidRPr="00180522">
        <w:rPr>
          <w:bCs/>
          <w:lang w:val="en-GB"/>
        </w:rPr>
        <w:t xml:space="preserve">Global Summit </w:t>
      </w:r>
      <w:r w:rsidR="0034036E" w:rsidRPr="00180522">
        <w:rPr>
          <w:bCs/>
          <w:lang w:val="en-GB"/>
        </w:rPr>
        <w:t xml:space="preserve">series </w:t>
      </w:r>
      <w:r w:rsidRPr="00180522">
        <w:rPr>
          <w:lang w:val="en-GB"/>
        </w:rPr>
        <w:t>identifie</w:t>
      </w:r>
      <w:r w:rsidR="0034036E" w:rsidRPr="00180522">
        <w:rPr>
          <w:lang w:val="en-GB"/>
        </w:rPr>
        <w:t>s</w:t>
      </w:r>
      <w:r w:rsidRPr="00180522">
        <w:rPr>
          <w:lang w:val="en-GB"/>
        </w:rPr>
        <w:t xml:space="preserve"> practical applications of AI with the potential to accelerate progress towards the United Nations</w:t>
      </w:r>
      <w:r w:rsidR="00CA2D85" w:rsidRPr="00180522">
        <w:rPr>
          <w:lang w:val="en-GB"/>
        </w:rPr>
        <w:t>'</w:t>
      </w:r>
      <w:r w:rsidRPr="00180522">
        <w:rPr>
          <w:lang w:val="en-GB"/>
        </w:rPr>
        <w:t xml:space="preserve"> Sustainable Development Goals.</w:t>
      </w:r>
      <w:r w:rsidR="00643F00" w:rsidRPr="00180522">
        <w:rPr>
          <w:lang w:val="en-GB"/>
        </w:rPr>
        <w:t xml:space="preserve"> The third summit ga</w:t>
      </w:r>
      <w:r w:rsidR="0034036E" w:rsidRPr="00180522">
        <w:rPr>
          <w:lang w:val="en-GB"/>
        </w:rPr>
        <w:t>ve rise to ‘AI Commons’</w:t>
      </w:r>
      <w:r w:rsidR="00EA0C1F" w:rsidRPr="00180522">
        <w:rPr>
          <w:lang w:val="en-GB"/>
        </w:rPr>
        <w:t>, a framework for collaboration to achieve global impact.</w:t>
      </w:r>
      <w:r w:rsidR="00BA61AB" w:rsidRPr="00180522">
        <w:rPr>
          <w:lang w:val="en-GB"/>
        </w:rPr>
        <w:t xml:space="preserve"> The Commons </w:t>
      </w:r>
      <w:r w:rsidR="00B16F5C" w:rsidRPr="00180522">
        <w:rPr>
          <w:lang w:val="en-GB"/>
        </w:rPr>
        <w:t xml:space="preserve">will </w:t>
      </w:r>
      <w:r w:rsidR="00BA61AB" w:rsidRPr="00180522">
        <w:rPr>
          <w:lang w:val="en-GB"/>
        </w:rPr>
        <w:t>assist AI development and application in building on the state of the art, enabling AI solutions to scale with the help of shared datasets, testing and simulation environments, AI models and associated software, and storage and computing resources.</w:t>
      </w:r>
      <w:r w:rsidR="00EA0C1F" w:rsidRPr="00180522">
        <w:rPr>
          <w:lang w:val="en-GB"/>
        </w:rPr>
        <w:t xml:space="preserve"> </w:t>
      </w:r>
      <w:r w:rsidR="0034036E" w:rsidRPr="00180522">
        <w:rPr>
          <w:lang w:val="en-GB"/>
        </w:rPr>
        <w:t xml:space="preserve">See relevant </w:t>
      </w:r>
      <w:hyperlink r:id="rId105" w:history="1">
        <w:r w:rsidR="0034036E" w:rsidRPr="00180522">
          <w:rPr>
            <w:rStyle w:val="Hyperlink"/>
            <w:lang w:val="en-GB"/>
          </w:rPr>
          <w:t>ITU News story</w:t>
        </w:r>
      </w:hyperlink>
      <w:r w:rsidR="00EA0C1F" w:rsidRPr="00180522">
        <w:rPr>
          <w:lang w:val="en-GB"/>
        </w:rPr>
        <w:t xml:space="preserve">. </w:t>
      </w:r>
    </w:p>
    <w:p w14:paraId="1104DEF6" w14:textId="77777777" w:rsidR="006944F8" w:rsidRPr="00180522" w:rsidRDefault="006944F8" w:rsidP="006944F8">
      <w:pPr>
        <w:rPr>
          <w:bCs/>
          <w:lang w:val="en-GB"/>
        </w:rPr>
      </w:pPr>
      <w:r w:rsidRPr="00180522">
        <w:rPr>
          <w:b/>
          <w:lang w:val="en-GB"/>
        </w:rPr>
        <w:t>e-Health</w:t>
      </w:r>
      <w:r w:rsidRPr="00180522">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1667523F" w14:textId="08483D8E" w:rsidR="006944F8" w:rsidRPr="00180522" w:rsidRDefault="006944F8" w:rsidP="009E5FFA">
      <w:pPr>
        <w:rPr>
          <w:szCs w:val="24"/>
          <w:highlight w:val="yellow"/>
          <w:lang w:val="en-GB"/>
        </w:rPr>
      </w:pPr>
      <w:r w:rsidRPr="00180522">
        <w:rPr>
          <w:b/>
          <w:bCs/>
          <w:lang w:val="en-GB"/>
        </w:rPr>
        <w:lastRenderedPageBreak/>
        <w:t xml:space="preserve">Safe listening: </w:t>
      </w:r>
      <w:r w:rsidRPr="00180522">
        <w:rPr>
          <w:lang w:val="en-GB"/>
        </w:rPr>
        <w:t>ITU-T</w:t>
      </w:r>
      <w:r w:rsidR="007B2629" w:rsidRPr="00180522">
        <w:rPr>
          <w:lang w:val="en-GB"/>
        </w:rPr>
        <w:t xml:space="preserve"> and WHO continue to</w:t>
      </w:r>
      <w:r w:rsidRPr="00180522">
        <w:rPr>
          <w:lang w:val="en-GB"/>
        </w:rPr>
        <w:t xml:space="preserve"> collaborat</w:t>
      </w:r>
      <w:r w:rsidR="007B2629" w:rsidRPr="00180522">
        <w:rPr>
          <w:lang w:val="en-GB"/>
        </w:rPr>
        <w:t xml:space="preserve">e in support of the </w:t>
      </w:r>
      <w:r w:rsidRPr="00180522">
        <w:rPr>
          <w:lang w:val="en-GB"/>
        </w:rPr>
        <w:t xml:space="preserve">WHO </w:t>
      </w:r>
      <w:r w:rsidR="00CA2D85" w:rsidRPr="00180522">
        <w:rPr>
          <w:lang w:val="en-GB"/>
        </w:rPr>
        <w:t>"</w:t>
      </w:r>
      <w:r w:rsidR="007B2629" w:rsidRPr="00180522">
        <w:rPr>
          <w:lang w:val="en-GB"/>
        </w:rPr>
        <w:t>Make Listening Safe</w:t>
      </w:r>
      <w:r w:rsidR="00CA2D85" w:rsidRPr="00180522">
        <w:rPr>
          <w:lang w:val="en-GB"/>
        </w:rPr>
        <w:t>"</w:t>
      </w:r>
      <w:r w:rsidR="007B2629" w:rsidRPr="00180522">
        <w:rPr>
          <w:lang w:val="en-GB"/>
        </w:rPr>
        <w:t xml:space="preserve"> initiative. ITU-T H.870 </w:t>
      </w:r>
      <w:r w:rsidR="00CA2D85" w:rsidRPr="00180522">
        <w:rPr>
          <w:lang w:val="en-GB"/>
        </w:rPr>
        <w:t>"</w:t>
      </w:r>
      <w:r w:rsidR="007B2629" w:rsidRPr="00180522">
        <w:rPr>
          <w:lang w:val="en-GB"/>
        </w:rPr>
        <w:t>Guidelines for safe listening devices/systems</w:t>
      </w:r>
      <w:r w:rsidR="00CA2D85" w:rsidRPr="00180522">
        <w:rPr>
          <w:lang w:val="en-GB"/>
        </w:rPr>
        <w:t>"</w:t>
      </w:r>
      <w:r w:rsidR="007B2629" w:rsidRPr="00180522">
        <w:rPr>
          <w:lang w:val="en-GB"/>
        </w:rPr>
        <w:t xml:space="preserve"> </w:t>
      </w:r>
      <w:r w:rsidR="00EA0C1F" w:rsidRPr="00180522">
        <w:rPr>
          <w:lang w:val="en-GB"/>
        </w:rPr>
        <w:t xml:space="preserve">was </w:t>
      </w:r>
      <w:r w:rsidR="007B2629" w:rsidRPr="00180522">
        <w:rPr>
          <w:lang w:val="en-GB"/>
        </w:rPr>
        <w:t xml:space="preserve">the first standard to result from this collaboration, focusing on the safe listening of </w:t>
      </w:r>
      <w:r w:rsidR="00CA2D85" w:rsidRPr="00180522">
        <w:rPr>
          <w:lang w:val="en-GB"/>
        </w:rPr>
        <w:t>'</w:t>
      </w:r>
      <w:r w:rsidR="007B2629" w:rsidRPr="00180522">
        <w:rPr>
          <w:lang w:val="en-GB"/>
        </w:rPr>
        <w:t>personal or portable audio systems</w:t>
      </w:r>
      <w:r w:rsidR="00CA2D85" w:rsidRPr="00180522">
        <w:rPr>
          <w:lang w:val="en-GB"/>
        </w:rPr>
        <w:t>'</w:t>
      </w:r>
      <w:r w:rsidR="007B2629" w:rsidRPr="00180522">
        <w:rPr>
          <w:lang w:val="en-GB"/>
        </w:rPr>
        <w:t xml:space="preserve">, particularly music players. </w:t>
      </w:r>
      <w:r w:rsidR="00EA0C1F" w:rsidRPr="00180522">
        <w:rPr>
          <w:lang w:val="en-GB"/>
        </w:rPr>
        <w:t>The new ITU-T H.871 "Safe listening guidelines for personal sound amplifiers" provides guidance based on ITU-T H.870 to ensure safe sound levels and exposures for this new class of consumer device.</w:t>
      </w:r>
      <w:r w:rsidR="000C01CD" w:rsidRPr="00180522">
        <w:rPr>
          <w:szCs w:val="24"/>
          <w:lang w:val="en-GB"/>
        </w:rPr>
        <w:t xml:space="preserve"> </w:t>
      </w:r>
      <w:r w:rsidR="007B2629" w:rsidRPr="00180522">
        <w:rPr>
          <w:lang w:val="en-GB"/>
        </w:rPr>
        <w:t xml:space="preserve">Future standards in the series </w:t>
      </w:r>
      <w:r w:rsidR="00EA0C1F" w:rsidRPr="00180522">
        <w:rPr>
          <w:lang w:val="en-GB"/>
        </w:rPr>
        <w:t xml:space="preserve">are </w:t>
      </w:r>
      <w:r w:rsidR="007B2629" w:rsidRPr="00180522">
        <w:rPr>
          <w:lang w:val="en-GB"/>
        </w:rPr>
        <w:t>expected to address communications and assistive devi</w:t>
      </w:r>
      <w:r w:rsidR="00240BDA" w:rsidRPr="00180522">
        <w:rPr>
          <w:lang w:val="en-GB"/>
        </w:rPr>
        <w:t>ces as well as gaming consoles.</w:t>
      </w:r>
      <w:r w:rsidR="00CA2D85" w:rsidRPr="00180522">
        <w:rPr>
          <w:lang w:val="en-GB"/>
        </w:rPr>
        <w:t xml:space="preserve"> </w:t>
      </w:r>
    </w:p>
    <w:p w14:paraId="09911759" w14:textId="2B2566B4" w:rsidR="008B7852" w:rsidRPr="00180522" w:rsidRDefault="006944F8">
      <w:pPr>
        <w:rPr>
          <w:bCs/>
          <w:lang w:val="en-GB"/>
        </w:rPr>
      </w:pPr>
      <w:r w:rsidRPr="00180522">
        <w:rPr>
          <w:b/>
          <w:lang w:val="en-GB"/>
        </w:rPr>
        <w:t>Intelligent transport systems (ITS)</w:t>
      </w:r>
      <w:r w:rsidRPr="00180522">
        <w:rPr>
          <w:bCs/>
          <w:lang w:val="en-GB"/>
        </w:rPr>
        <w:t xml:space="preserve">: The </w:t>
      </w:r>
      <w:hyperlink r:id="rId106" w:history="1">
        <w:r w:rsidRPr="00180522">
          <w:rPr>
            <w:rStyle w:val="Hyperlink"/>
            <w:rFonts w:eastAsiaTheme="majorEastAsia"/>
            <w:bCs/>
            <w:lang w:val="en-GB"/>
          </w:rPr>
          <w:t>Collaboration on ITS Communication Standards</w:t>
        </w:r>
      </w:hyperlink>
      <w:r w:rsidRPr="00180522">
        <w:rPr>
          <w:bCs/>
          <w:lang w:val="en-GB"/>
        </w:rPr>
        <w:t xml:space="preserve"> is a body responsible for the coordination of technical standardization work to encourage the offer of interoperable ITS products.</w:t>
      </w:r>
      <w:r w:rsidR="009C2F17" w:rsidRPr="00180522">
        <w:rPr>
          <w:bCs/>
          <w:lang w:val="en-GB"/>
        </w:rPr>
        <w:t xml:space="preserve"> </w:t>
      </w:r>
      <w:r w:rsidR="007B2629" w:rsidRPr="00180522">
        <w:rPr>
          <w:bCs/>
          <w:lang w:val="en-GB"/>
        </w:rPr>
        <w:t>CITS meetings are held back-to-back with ITU workshops on</w:t>
      </w:r>
      <w:r w:rsidR="00240BDA" w:rsidRPr="00180522">
        <w:rPr>
          <w:bCs/>
          <w:lang w:val="en-GB"/>
        </w:rPr>
        <w:t xml:space="preserve"> intelligent transport systems.</w:t>
      </w:r>
      <w:r w:rsidR="008B7852" w:rsidRPr="00180522">
        <w:rPr>
          <w:bCs/>
          <w:lang w:val="en-GB"/>
        </w:rPr>
        <w:t xml:space="preserve"> </w:t>
      </w:r>
      <w:r w:rsidR="00EA0C1F" w:rsidRPr="00180522">
        <w:rPr>
          <w:bCs/>
          <w:lang w:val="en-GB"/>
        </w:rPr>
        <w:t>CITS has established a </w:t>
      </w:r>
      <w:hyperlink r:id="rId107" w:anchor="?topic=0.131&amp;workgroup=1&amp;searchValue=&amp;page=1&amp;sort=Revelance" w:history="1">
        <w:r w:rsidR="00EA0C1F" w:rsidRPr="00180522">
          <w:rPr>
            <w:rStyle w:val="Hyperlink"/>
            <w:bCs/>
            <w:lang w:val="en-GB"/>
          </w:rPr>
          <w:t>new standards database</w:t>
        </w:r>
      </w:hyperlink>
      <w:r w:rsidR="00EA0C1F" w:rsidRPr="00180522">
        <w:rPr>
          <w:bCs/>
          <w:lang w:val="en-GB"/>
        </w:rPr>
        <w:t xml:space="preserve"> to assist the harmonization of ITS standards. The database includes ITS standards developed by all relevant standards bodies. See relevant </w:t>
      </w:r>
      <w:hyperlink r:id="rId108" w:history="1">
        <w:r w:rsidR="00EA0C1F" w:rsidRPr="00180522">
          <w:rPr>
            <w:rStyle w:val="Hyperlink"/>
            <w:bCs/>
            <w:lang w:val="en-GB"/>
          </w:rPr>
          <w:t>ITU News story</w:t>
        </w:r>
      </w:hyperlink>
      <w:r w:rsidR="00EA0C1F" w:rsidRPr="00180522">
        <w:rPr>
          <w:bCs/>
          <w:lang w:val="en-GB"/>
        </w:rPr>
        <w:t xml:space="preserve">. </w:t>
      </w:r>
    </w:p>
    <w:p w14:paraId="7B737907" w14:textId="51227A7E" w:rsidR="006175CC" w:rsidRPr="00180522" w:rsidRDefault="006944F8" w:rsidP="006A13AE">
      <w:pPr>
        <w:rPr>
          <w:lang w:val="en-GB"/>
        </w:rPr>
      </w:pPr>
      <w:r w:rsidRPr="00180522">
        <w:rPr>
          <w:b/>
          <w:lang w:val="en-GB"/>
        </w:rPr>
        <w:t xml:space="preserve">ITU/WMO/UNESCO-IOC Joint Task Force on SMART Cable Systems: </w:t>
      </w:r>
      <w:r w:rsidR="006A13AE" w:rsidRPr="00180522">
        <w:rPr>
          <w:bCs/>
          <w:lang w:val="en-GB"/>
        </w:rPr>
        <w:t>The joint task force</w:t>
      </w:r>
      <w:r w:rsidR="006A13AE" w:rsidRPr="00180522">
        <w:rPr>
          <w:lang w:val="en-GB"/>
        </w:rPr>
        <w:t xml:space="preserve"> 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field-proven via ongoing demonstrations and proposed pilot systems in The Americas, Antarctica, Asia and Europe. On 2 August 2019, the joint task force published a detailed peer-reviewed article in the journal “Frontiers in Marine Science”: “</w:t>
      </w:r>
      <w:hyperlink r:id="rId109" w:history="1">
        <w:r w:rsidR="006A13AE" w:rsidRPr="00180522">
          <w:rPr>
            <w:rStyle w:val="Hyperlink"/>
            <w:lang w:val="en-GB"/>
          </w:rPr>
          <w:t>SMART Cables for Observing the Global Ocean: Science and Implementation</w:t>
        </w:r>
      </w:hyperlink>
      <w:r w:rsidR="006A13AE" w:rsidRPr="00180522">
        <w:rPr>
          <w:lang w:val="en-GB"/>
        </w:rPr>
        <w:t>”.</w:t>
      </w:r>
    </w:p>
    <w:p w14:paraId="1EC7A314" w14:textId="77777777" w:rsidR="00A2313B" w:rsidRPr="00180522" w:rsidRDefault="00A2313B" w:rsidP="00A2313B">
      <w:pPr>
        <w:rPr>
          <w:bCs/>
          <w:lang w:val="en-GB"/>
        </w:rPr>
      </w:pPr>
      <w:r w:rsidRPr="00180522">
        <w:rPr>
          <w:b/>
          <w:lang w:val="en-GB"/>
        </w:rPr>
        <w:t>ICT, environment and climate change</w:t>
      </w:r>
      <w:r w:rsidRPr="00180522">
        <w:rPr>
          <w:bCs/>
          <w:lang w:val="en-GB"/>
        </w:rPr>
        <w:t>: ITU-T maintains cooperation with a wide range of bodies active in environmental sustainability, including UN bodies, standards bodies, regional organizations, academia, and industry associations. ITU is working together with nine other UN bodies to develop a report on ‘frontier technologies to protect the environment and tackle climate change’.</w:t>
      </w:r>
    </w:p>
    <w:p w14:paraId="3BD80DB6" w14:textId="54E26D46" w:rsidR="00A2313B" w:rsidRPr="00180522" w:rsidRDefault="00A2313B" w:rsidP="00A4200D">
      <w:pPr>
        <w:rPr>
          <w:bCs/>
          <w:lang w:val="en-GB"/>
        </w:rPr>
      </w:pPr>
      <w:r w:rsidRPr="00180522">
        <w:rPr>
          <w:b/>
          <w:bCs/>
          <w:lang w:val="en-GB"/>
        </w:rPr>
        <w:t>Green Standards Week</w:t>
      </w:r>
      <w:r w:rsidRPr="00180522">
        <w:rPr>
          <w:bCs/>
          <w:lang w:val="en-GB"/>
        </w:rPr>
        <w:t xml:space="preserve">: The annual ITU Green Standard Week discusses the relationship between ICTs and circular economy and how frontier technologies could assist cities in </w:t>
      </w:r>
      <w:r w:rsidRPr="00180522">
        <w:rPr>
          <w:lang w:val="en-GB"/>
        </w:rPr>
        <w:t xml:space="preserve">becoming smarter and more sustainable. Themed ‘Connecting Smart Sustainable Cities with the Sustainable Development Goals’, the </w:t>
      </w:r>
      <w:hyperlink r:id="rId110" w:history="1">
        <w:r w:rsidRPr="00180522">
          <w:rPr>
            <w:rStyle w:val="Hyperlink"/>
            <w:lang w:val="en-GB"/>
          </w:rPr>
          <w:t>9th ITU Green Standards Week</w:t>
        </w:r>
      </w:hyperlink>
      <w:r w:rsidRPr="00180522">
        <w:rPr>
          <w:lang w:val="en-GB"/>
        </w:rPr>
        <w:t xml:space="preserve"> will be held in Valencia, Spain, 1-4 October 2019, organized b</w:t>
      </w:r>
      <w:r w:rsidR="004848DD" w:rsidRPr="00180522">
        <w:rPr>
          <w:lang w:val="en-GB"/>
        </w:rPr>
        <w:t xml:space="preserve">y ITU together with 37 </w:t>
      </w:r>
      <w:r w:rsidRPr="00180522">
        <w:rPr>
          <w:lang w:val="en-GB"/>
        </w:rPr>
        <w:t>partners.</w:t>
      </w:r>
    </w:p>
    <w:p w14:paraId="55B1D046" w14:textId="25049758" w:rsidR="00A4200D" w:rsidRPr="00180522" w:rsidRDefault="00A4200D" w:rsidP="00A4200D">
      <w:pPr>
        <w:rPr>
          <w:bCs/>
          <w:lang w:val="en-GB"/>
        </w:rPr>
      </w:pPr>
      <w:r w:rsidRPr="00180522">
        <w:rPr>
          <w:b/>
          <w:lang w:val="en-GB"/>
        </w:rPr>
        <w:t>Smart Sustainable Cities</w:t>
      </w:r>
      <w:r w:rsidRPr="00180522">
        <w:rPr>
          <w:bCs/>
          <w:lang w:val="en-GB"/>
        </w:rPr>
        <w:t xml:space="preserve">: The </w:t>
      </w:r>
      <w:hyperlink r:id="rId111" w:history="1">
        <w:r w:rsidRPr="00180522">
          <w:rPr>
            <w:rStyle w:val="Hyperlink"/>
            <w:rFonts w:eastAsiaTheme="majorEastAsia"/>
            <w:bCs/>
            <w:lang w:val="en-GB"/>
          </w:rPr>
          <w:t>United for Smart Sustainable Cities (U4SSC)</w:t>
        </w:r>
      </w:hyperlink>
      <w:r w:rsidRPr="00180522">
        <w:rPr>
          <w:rFonts w:eastAsiaTheme="majorEastAsia"/>
          <w:lang w:val="en-GB"/>
        </w:rPr>
        <w:t xml:space="preserve"> initiative</w:t>
      </w:r>
      <w:r w:rsidRPr="00180522">
        <w:rPr>
          <w:bCs/>
          <w:lang w:val="en-GB"/>
        </w:rPr>
        <w:t xml:space="preserve">, supported by 16 UN bodies, advocates for public policy to ensure that ICTs – and ICT standards in particular – play a definitive role in the transition to smart cities. </w:t>
      </w:r>
      <w:r w:rsidR="00820747" w:rsidRPr="00180522">
        <w:rPr>
          <w:bCs/>
          <w:lang w:val="en-GB"/>
        </w:rPr>
        <w:t xml:space="preserve">A range of </w:t>
      </w:r>
      <w:r w:rsidR="00820747" w:rsidRPr="00180522">
        <w:rPr>
          <w:lang w:val="en-GB"/>
        </w:rPr>
        <w:t>city ‘fact sheets’ developed under the auspices of U4SSC will be launched at the 9</w:t>
      </w:r>
      <w:r w:rsidR="00820747" w:rsidRPr="00180522">
        <w:rPr>
          <w:vertAlign w:val="superscript"/>
          <w:lang w:val="en-GB"/>
        </w:rPr>
        <w:t>th</w:t>
      </w:r>
      <w:r w:rsidR="00820747" w:rsidRPr="00180522">
        <w:rPr>
          <w:lang w:val="en-GB"/>
        </w:rPr>
        <w:t xml:space="preserve"> </w:t>
      </w:r>
      <w:r w:rsidR="00A2313B" w:rsidRPr="00180522">
        <w:rPr>
          <w:lang w:val="en-GB"/>
        </w:rPr>
        <w:t xml:space="preserve">ITU Green Standards Week. The fact sheets address the relationship between </w:t>
      </w:r>
      <w:r w:rsidR="00820747" w:rsidRPr="00180522">
        <w:rPr>
          <w:lang w:val="en-GB"/>
        </w:rPr>
        <w:t>smart city initiative</w:t>
      </w:r>
      <w:r w:rsidR="00A2313B" w:rsidRPr="00180522">
        <w:rPr>
          <w:lang w:val="en-GB"/>
        </w:rPr>
        <w:t xml:space="preserve">s and the Sustainable Development Goals, sharing insight into </w:t>
      </w:r>
      <w:r w:rsidR="00820747" w:rsidRPr="00180522">
        <w:rPr>
          <w:lang w:val="en-GB"/>
        </w:rPr>
        <w:t xml:space="preserve">cities’ experiences in this regard. </w:t>
      </w:r>
    </w:p>
    <w:p w14:paraId="02ACEA2F" w14:textId="075C9252" w:rsidR="006944F8" w:rsidRPr="00180522" w:rsidRDefault="00D006F1" w:rsidP="0033393D">
      <w:pPr>
        <w:rPr>
          <w:bCs/>
          <w:lang w:val="en-GB"/>
        </w:rPr>
      </w:pPr>
      <w:r w:rsidRPr="00180522">
        <w:rPr>
          <w:b/>
          <w:lang w:val="en-GB"/>
        </w:rPr>
        <w:t>P</w:t>
      </w:r>
      <w:r w:rsidR="006944F8" w:rsidRPr="00180522">
        <w:rPr>
          <w:b/>
          <w:lang w:val="en-GB"/>
        </w:rPr>
        <w:t xml:space="preserve">roject implementing the </w:t>
      </w:r>
      <w:r w:rsidR="001673DC" w:rsidRPr="00180522">
        <w:rPr>
          <w:b/>
          <w:lang w:val="en-GB"/>
        </w:rPr>
        <w:t>U4SSC</w:t>
      </w:r>
      <w:r w:rsidR="006944F8" w:rsidRPr="00180522">
        <w:rPr>
          <w:b/>
          <w:lang w:val="en-GB"/>
        </w:rPr>
        <w:t xml:space="preserve"> Key Performance Indicators for Smart Sustainable Cities: </w:t>
      </w:r>
      <w:r w:rsidR="00502FC4" w:rsidRPr="00180522">
        <w:rPr>
          <w:lang w:val="en-GB"/>
        </w:rPr>
        <w:t xml:space="preserve">More than </w:t>
      </w:r>
      <w:r w:rsidR="001673DC" w:rsidRPr="00180522">
        <w:rPr>
          <w:lang w:val="en-GB"/>
        </w:rPr>
        <w:t>100</w:t>
      </w:r>
      <w:r w:rsidR="00502FC4" w:rsidRPr="00180522">
        <w:rPr>
          <w:lang w:val="en-GB"/>
        </w:rPr>
        <w:t xml:space="preserve"> cities worldwide are measuring their progress using </w:t>
      </w:r>
      <w:r w:rsidR="00CA2D85" w:rsidRPr="00180522">
        <w:rPr>
          <w:lang w:val="en-GB"/>
        </w:rPr>
        <w:t>'</w:t>
      </w:r>
      <w:r w:rsidR="00502FC4" w:rsidRPr="00180522">
        <w:rPr>
          <w:lang w:val="en-GB"/>
        </w:rPr>
        <w:t>Key Performance Indicators for Smart Sustainable Cities</w:t>
      </w:r>
      <w:r w:rsidR="00CA2D85" w:rsidRPr="00180522">
        <w:rPr>
          <w:lang w:val="en-GB"/>
        </w:rPr>
        <w:t>'</w:t>
      </w:r>
      <w:r w:rsidR="00502FC4" w:rsidRPr="00180522">
        <w:rPr>
          <w:lang w:val="en-GB"/>
        </w:rPr>
        <w:t xml:space="preserve"> based on ITU standards. ITU case studies </w:t>
      </w:r>
      <w:r w:rsidR="006653E5" w:rsidRPr="00180522">
        <w:rPr>
          <w:lang w:val="en-GB"/>
        </w:rPr>
        <w:t xml:space="preserve">have </w:t>
      </w:r>
      <w:r w:rsidR="002606A3" w:rsidRPr="00180522">
        <w:rPr>
          <w:lang w:val="en-GB"/>
        </w:rPr>
        <w:t>evaluate</w:t>
      </w:r>
      <w:r w:rsidR="006653E5" w:rsidRPr="00180522">
        <w:rPr>
          <w:lang w:val="en-GB"/>
        </w:rPr>
        <w:t>d</w:t>
      </w:r>
      <w:r w:rsidR="002606A3" w:rsidRPr="00180522">
        <w:rPr>
          <w:lang w:val="en-GB"/>
        </w:rPr>
        <w:t xml:space="preserve"> </w:t>
      </w:r>
      <w:r w:rsidR="00502FC4" w:rsidRPr="00180522">
        <w:rPr>
          <w:lang w:val="en-GB"/>
        </w:rPr>
        <w:t>the progress achieved in the smart city projects of Dubai, Singapore</w:t>
      </w:r>
      <w:r w:rsidR="00684F73" w:rsidRPr="00180522">
        <w:rPr>
          <w:lang w:val="en-GB"/>
        </w:rPr>
        <w:t xml:space="preserve"> and </w:t>
      </w:r>
      <w:r w:rsidR="00502FC4" w:rsidRPr="00180522">
        <w:rPr>
          <w:lang w:val="en-GB"/>
        </w:rPr>
        <w:t>Moscow, evaluations undertaken using the Key Performance Indicators.</w:t>
      </w:r>
      <w:r w:rsidR="006E6B6E" w:rsidRPr="00180522">
        <w:rPr>
          <w:lang w:val="en-GB"/>
        </w:rPr>
        <w:t xml:space="preserve"> </w:t>
      </w:r>
    </w:p>
    <w:p w14:paraId="1554D0A3" w14:textId="469E937F" w:rsidR="00C93347" w:rsidRPr="00180522" w:rsidRDefault="00C93347" w:rsidP="00C93347">
      <w:pPr>
        <w:rPr>
          <w:lang w:val="en-GB"/>
        </w:rPr>
      </w:pPr>
      <w:r w:rsidRPr="00180522">
        <w:rPr>
          <w:b/>
          <w:lang w:val="en-GB"/>
        </w:rPr>
        <w:t>ITU and ETSI</w:t>
      </w:r>
      <w:r w:rsidRPr="00180522">
        <w:rPr>
          <w:lang w:val="en-GB"/>
        </w:rPr>
        <w:t xml:space="preserve"> continue to enjoy successful collaboration in areas including multimedia QoE and IP capacity and latency parameters</w:t>
      </w:r>
      <w:r w:rsidR="00561D21" w:rsidRPr="00180522">
        <w:rPr>
          <w:lang w:val="en-GB"/>
        </w:rPr>
        <w:t>;</w:t>
      </w:r>
      <w:r w:rsidRPr="00180522">
        <w:rPr>
          <w:lang w:val="en-GB"/>
        </w:rPr>
        <w:t xml:space="preserve"> ICT energy efficiency and methodologies to assess ICTs’ environmental impacts</w:t>
      </w:r>
      <w:r w:rsidR="00561D21" w:rsidRPr="00180522">
        <w:rPr>
          <w:lang w:val="en-GB"/>
        </w:rPr>
        <w:t>;</w:t>
      </w:r>
      <w:r w:rsidRPr="00180522">
        <w:rPr>
          <w:lang w:val="en-GB"/>
        </w:rPr>
        <w:t xml:space="preserve"> standardization for C&amp;I testing</w:t>
      </w:r>
      <w:r w:rsidR="00561D21" w:rsidRPr="00180522">
        <w:rPr>
          <w:lang w:val="en-GB"/>
        </w:rPr>
        <w:t>;</w:t>
      </w:r>
      <w:r w:rsidRPr="00180522">
        <w:rPr>
          <w:lang w:val="en-GB"/>
        </w:rPr>
        <w:t xml:space="preserve"> and </w:t>
      </w:r>
      <w:r w:rsidR="00561D21" w:rsidRPr="00180522">
        <w:rPr>
          <w:lang w:val="en-GB"/>
        </w:rPr>
        <w:t>Test and Test Control Notation version 3</w:t>
      </w:r>
      <w:r w:rsidRPr="00180522">
        <w:rPr>
          <w:lang w:val="en-GB"/>
        </w:rPr>
        <w:t>.</w:t>
      </w:r>
    </w:p>
    <w:p w14:paraId="71D4CA50" w14:textId="7E7F3694" w:rsidR="00C93347" w:rsidRPr="00180522" w:rsidRDefault="00C93347" w:rsidP="00C93347">
      <w:pPr>
        <w:rPr>
          <w:b/>
          <w:lang w:val="en-GB"/>
        </w:rPr>
      </w:pPr>
      <w:r w:rsidRPr="00180522">
        <w:rPr>
          <w:b/>
          <w:lang w:val="en-GB"/>
        </w:rPr>
        <w:t xml:space="preserve">ITU and OASIS </w:t>
      </w:r>
      <w:r w:rsidRPr="00180522">
        <w:rPr>
          <w:lang w:val="en-GB"/>
        </w:rPr>
        <w:t>continue collaboration on ICT security standardization. ITU adop</w:t>
      </w:r>
      <w:r w:rsidR="000C01CD" w:rsidRPr="00180522">
        <w:rPr>
          <w:lang w:val="en-GB"/>
        </w:rPr>
        <w:t>t</w:t>
      </w:r>
      <w:r w:rsidRPr="00180522">
        <w:rPr>
          <w:lang w:val="en-GB"/>
        </w:rPr>
        <w:t>ed OASIS STIX as ITU-T X.1215 “Use Cases for Structured Threat Information Expression (STIX)”</w:t>
      </w:r>
      <w:r w:rsidRPr="00180522">
        <w:rPr>
          <w:bCs/>
          <w:lang w:val="en-GB"/>
        </w:rPr>
        <w:t>.</w:t>
      </w:r>
    </w:p>
    <w:p w14:paraId="0B625BBF" w14:textId="4682E2BE" w:rsidR="00C93347" w:rsidRPr="00180522" w:rsidRDefault="00C93347" w:rsidP="00C93347">
      <w:pPr>
        <w:rPr>
          <w:lang w:val="en-GB"/>
        </w:rPr>
      </w:pPr>
      <w:r w:rsidRPr="00180522">
        <w:rPr>
          <w:b/>
          <w:lang w:val="en-GB"/>
        </w:rPr>
        <w:lastRenderedPageBreak/>
        <w:t>ITU and FIDO Alliance</w:t>
      </w:r>
      <w:r w:rsidRPr="00180522">
        <w:rPr>
          <w:lang w:val="en-GB"/>
        </w:rPr>
        <w:t xml:space="preserve"> (‘Fast Identity Online’) continue collaboration on identity management. ITU adopted FIDO UAF 1.1 as ITU-T X.1277 </w:t>
      </w:r>
      <w:r w:rsidRPr="00180522">
        <w:rPr>
          <w:rFonts w:asciiTheme="majorBidi" w:hAnsiTheme="majorBidi" w:cstheme="majorBidi"/>
          <w:b/>
          <w:bCs/>
          <w:lang w:val="en-GB"/>
        </w:rPr>
        <w:t>“</w:t>
      </w:r>
      <w:r w:rsidRPr="00180522">
        <w:rPr>
          <w:rFonts w:asciiTheme="majorBidi" w:hAnsiTheme="majorBidi" w:cstheme="majorBidi"/>
          <w:bCs/>
          <w:lang w:val="en-GB"/>
        </w:rPr>
        <w:t>FIDO Universal Authentication Framework (UAF)” and adopted FIDO CTAP as ITU-T X.1278 “Client To Authenticator Protocol/Universal 2-factor framework”.</w:t>
      </w:r>
      <w:r w:rsidR="00D03C38" w:rsidRPr="00180522">
        <w:rPr>
          <w:rFonts w:asciiTheme="majorBidi" w:hAnsiTheme="majorBidi" w:cstheme="majorBidi"/>
          <w:bCs/>
          <w:lang w:val="en-GB"/>
        </w:rPr>
        <w:t xml:space="preserve"> See relevant </w:t>
      </w:r>
      <w:hyperlink r:id="rId112" w:history="1">
        <w:r w:rsidR="00D03C38" w:rsidRPr="00180522">
          <w:rPr>
            <w:rStyle w:val="Hyperlink"/>
            <w:rFonts w:asciiTheme="majorBidi" w:hAnsiTheme="majorBidi" w:cstheme="majorBidi"/>
            <w:bCs/>
            <w:lang w:val="en-GB"/>
          </w:rPr>
          <w:t>ITU News story</w:t>
        </w:r>
      </w:hyperlink>
      <w:r w:rsidR="00D03C38" w:rsidRPr="00180522">
        <w:rPr>
          <w:rFonts w:asciiTheme="majorBidi" w:hAnsiTheme="majorBidi" w:cstheme="majorBidi"/>
          <w:bCs/>
          <w:lang w:val="en-GB"/>
        </w:rPr>
        <w:t xml:space="preserve">. </w:t>
      </w:r>
    </w:p>
    <w:p w14:paraId="752F0EBD" w14:textId="4C8D5A49" w:rsidR="006944F8" w:rsidRPr="00180522" w:rsidRDefault="006944F8" w:rsidP="00BA2A86">
      <w:pPr>
        <w:rPr>
          <w:lang w:val="en-GB"/>
        </w:rPr>
      </w:pPr>
      <w:r w:rsidRPr="00180522">
        <w:rPr>
          <w:b/>
          <w:bCs/>
          <w:lang w:val="en-GB"/>
        </w:rPr>
        <w:t xml:space="preserve">ITU and the NGMN Alliance </w:t>
      </w:r>
      <w:r w:rsidRPr="00180522">
        <w:rPr>
          <w:lang w:val="en-GB"/>
        </w:rPr>
        <w:t>cooperate in support of</w:t>
      </w:r>
      <w:r w:rsidRPr="00180522">
        <w:rPr>
          <w:b/>
          <w:bCs/>
          <w:lang w:val="en-GB"/>
        </w:rPr>
        <w:t xml:space="preserve"> </w:t>
      </w:r>
      <w:r w:rsidRPr="00180522">
        <w:rPr>
          <w:lang w:val="en-GB"/>
        </w:rPr>
        <w:t>the development of next-generation mobile broadband technologies</w:t>
      </w:r>
      <w:r w:rsidR="007F6DBC" w:rsidRPr="00180522">
        <w:rPr>
          <w:lang w:val="en-GB"/>
        </w:rPr>
        <w:t xml:space="preserve">. The two organizations are also working together to promote a level playing field for intellectual property licensing. See relevant </w:t>
      </w:r>
      <w:hyperlink r:id="rId113" w:history="1">
        <w:r w:rsidR="007F6DBC" w:rsidRPr="00180522">
          <w:rPr>
            <w:rStyle w:val="Hyperlink"/>
            <w:lang w:val="en-GB"/>
          </w:rPr>
          <w:t>ITU News story</w:t>
        </w:r>
      </w:hyperlink>
      <w:r w:rsidR="007F6DBC" w:rsidRPr="00180522">
        <w:rPr>
          <w:lang w:val="en-GB"/>
        </w:rPr>
        <w:t xml:space="preserve">. </w:t>
      </w:r>
    </w:p>
    <w:p w14:paraId="29555A1A" w14:textId="59C14175" w:rsidR="006944F8" w:rsidRPr="00180522" w:rsidRDefault="006944F8" w:rsidP="006944F8">
      <w:pPr>
        <w:rPr>
          <w:lang w:val="en-GB"/>
        </w:rPr>
      </w:pPr>
      <w:r w:rsidRPr="00180522">
        <w:rPr>
          <w:b/>
          <w:bCs/>
          <w:lang w:val="en-GB"/>
        </w:rPr>
        <w:t>Financial Inclusion Global Initiative</w:t>
      </w:r>
      <w:r w:rsidRPr="00180522">
        <w:rPr>
          <w:lang w:val="en-GB"/>
        </w:rPr>
        <w:t xml:space="preserve"> </w:t>
      </w:r>
      <w:r w:rsidRPr="00180522">
        <w:rPr>
          <w:b/>
          <w:bCs/>
          <w:lang w:val="en-GB"/>
        </w:rPr>
        <w:t>(FIGI)</w:t>
      </w:r>
      <w:r w:rsidRPr="00180522">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r w:rsidR="007F6DBC" w:rsidRPr="00180522">
        <w:rPr>
          <w:lang w:val="en-GB"/>
        </w:rPr>
        <w:t xml:space="preserve"> </w:t>
      </w:r>
      <w:r w:rsidR="00DC55F1" w:rsidRPr="00180522">
        <w:rPr>
          <w:lang w:val="en-GB"/>
        </w:rPr>
        <w:t xml:space="preserve">The second FIGI symposium was held in Cairo, Egypt, 22-24 January 2019. </w:t>
      </w:r>
      <w:r w:rsidR="007F6DBC" w:rsidRPr="00180522">
        <w:rPr>
          <w:lang w:val="en-GB"/>
        </w:rPr>
        <w:t xml:space="preserve">See relevant </w:t>
      </w:r>
      <w:hyperlink r:id="rId114" w:history="1">
        <w:r w:rsidR="007F6DBC" w:rsidRPr="00180522">
          <w:rPr>
            <w:rStyle w:val="Hyperlink"/>
            <w:lang w:val="en-GB"/>
          </w:rPr>
          <w:t>category of ITU News stories</w:t>
        </w:r>
      </w:hyperlink>
      <w:r w:rsidR="007F6DBC" w:rsidRPr="00180522">
        <w:rPr>
          <w:lang w:val="en-GB"/>
        </w:rPr>
        <w:t xml:space="preserve">. </w:t>
      </w:r>
    </w:p>
    <w:p w14:paraId="5F180306" w14:textId="7F6BCF09" w:rsidR="00143477" w:rsidRPr="00180522" w:rsidRDefault="00143477" w:rsidP="001C37A8">
      <w:pPr>
        <w:rPr>
          <w:lang w:val="en-GB"/>
        </w:rPr>
      </w:pPr>
      <w:r w:rsidRPr="00180522">
        <w:rPr>
          <w:b/>
          <w:lang w:val="en-GB"/>
        </w:rPr>
        <w:t>ITU and Stanford University</w:t>
      </w:r>
      <w:r w:rsidRPr="00180522">
        <w:rPr>
          <w:lang w:val="en-GB"/>
        </w:rPr>
        <w:t xml:space="preserve"> have agreed to launch a new partnership to support pilot implementations of DFC, digital currency authorized and issued by a Central Bank. The partnership will offer technical assistance to Central Banks piloting the introduction of DFC and an open forum to share lessons learnt from these pilots among Central Banks, digital currency platform providers, payment system organizations, academia, and telecoms companies. </w:t>
      </w:r>
      <w:r w:rsidR="007F6DBC" w:rsidRPr="00180522">
        <w:rPr>
          <w:lang w:val="en-GB"/>
        </w:rPr>
        <w:t xml:space="preserve">See relevant </w:t>
      </w:r>
      <w:hyperlink r:id="rId115" w:history="1">
        <w:r w:rsidR="007F6DBC" w:rsidRPr="00180522">
          <w:rPr>
            <w:rStyle w:val="Hyperlink"/>
            <w:lang w:val="en-GB"/>
          </w:rPr>
          <w:t>ITU News story</w:t>
        </w:r>
      </w:hyperlink>
      <w:r w:rsidR="007F6DBC" w:rsidRPr="00180522">
        <w:rPr>
          <w:lang w:val="en-GB"/>
        </w:rPr>
        <w:t xml:space="preserve">. </w:t>
      </w:r>
    </w:p>
    <w:p w14:paraId="0B037D4A" w14:textId="684100DA" w:rsidR="006944F8" w:rsidRPr="00180522" w:rsidRDefault="00D64AF8" w:rsidP="006944F8">
      <w:pPr>
        <w:pStyle w:val="Heading2"/>
      </w:pPr>
      <w:bookmarkStart w:id="100" w:name="_Toc18509755"/>
      <w:r w:rsidRPr="00180522">
        <w:t>6</w:t>
      </w:r>
      <w:r w:rsidR="006944F8" w:rsidRPr="00180522">
        <w:t>.5</w:t>
      </w:r>
      <w:r w:rsidR="006944F8" w:rsidRPr="00180522">
        <w:tab/>
        <w:t>Cooperation with national and regional standardization organizations</w:t>
      </w:r>
      <w:bookmarkEnd w:id="100"/>
    </w:p>
    <w:p w14:paraId="2481B98E" w14:textId="73D3DB3C" w:rsidR="000A5F8C" w:rsidRPr="00180522" w:rsidRDefault="000A5F8C" w:rsidP="000A5F8C">
      <w:pPr>
        <w:rPr>
          <w:szCs w:val="24"/>
          <w:lang w:val="en-GB"/>
        </w:rPr>
      </w:pPr>
      <w:r w:rsidRPr="00180522">
        <w:rPr>
          <w:szCs w:val="24"/>
          <w:lang w:val="en-GB"/>
        </w:rPr>
        <w:t xml:space="preserve">TSB supports the achievement of Objective T.5 of the Strategic Plan of the Union, </w:t>
      </w:r>
      <w:r w:rsidR="00CA2D85" w:rsidRPr="00180522">
        <w:rPr>
          <w:szCs w:val="24"/>
          <w:lang w:val="en-GB"/>
        </w:rPr>
        <w:t>"</w:t>
      </w:r>
      <w:r w:rsidRPr="00180522">
        <w:rPr>
          <w:szCs w:val="24"/>
          <w:lang w:val="en-GB"/>
        </w:rPr>
        <w:t>Extend and facilitate cooperation with international, regional and national standardization bodies</w:t>
      </w:r>
      <w:r w:rsidR="00CA2D85" w:rsidRPr="00180522">
        <w:rPr>
          <w:szCs w:val="24"/>
          <w:lang w:val="en-GB"/>
        </w:rPr>
        <w:t>"</w:t>
      </w:r>
      <w:r w:rsidRPr="00180522">
        <w:rPr>
          <w:szCs w:val="24"/>
          <w:lang w:val="en-GB"/>
        </w:rPr>
        <w:t>, by facilitating an ITU-T presence in activities arranged by other standards bodies, with a view to promoting other standards bodies</w:t>
      </w:r>
      <w:r w:rsidR="00CA2D85" w:rsidRPr="00180522">
        <w:rPr>
          <w:szCs w:val="24"/>
          <w:lang w:val="en-GB"/>
        </w:rPr>
        <w:t>'</w:t>
      </w:r>
      <w:r w:rsidRPr="00180522">
        <w:rPr>
          <w:szCs w:val="24"/>
          <w:lang w:val="en-GB"/>
        </w:rPr>
        <w:t xml:space="preserve"> engagement with </w:t>
      </w:r>
      <w:r w:rsidR="007F6DBC" w:rsidRPr="00180522">
        <w:rPr>
          <w:szCs w:val="24"/>
          <w:lang w:val="en-GB"/>
        </w:rPr>
        <w:t>ITU-T workings groups, workshops and related ITU-T collaboration initiatives. TSB’s efforts in this regard h</w:t>
      </w:r>
      <w:r w:rsidR="005A6B40" w:rsidRPr="00180522">
        <w:rPr>
          <w:szCs w:val="24"/>
          <w:lang w:val="en-GB"/>
        </w:rPr>
        <w:t xml:space="preserve">ave strengthened the exchange of information between ITU-T and national and regional standards, supporting closer cooperation </w:t>
      </w:r>
      <w:r w:rsidR="006A1DDE" w:rsidRPr="00180522">
        <w:rPr>
          <w:szCs w:val="24"/>
          <w:lang w:val="en-GB"/>
        </w:rPr>
        <w:t>and</w:t>
      </w:r>
      <w:r w:rsidR="005A6B40" w:rsidRPr="00180522">
        <w:rPr>
          <w:szCs w:val="24"/>
          <w:lang w:val="en-GB"/>
        </w:rPr>
        <w:t xml:space="preserve"> collaboration. </w:t>
      </w:r>
    </w:p>
    <w:p w14:paraId="2B012DA8" w14:textId="1936CB1D" w:rsidR="006944F8" w:rsidRPr="00180522" w:rsidRDefault="000A5F8C" w:rsidP="009E5FFA">
      <w:pPr>
        <w:rPr>
          <w:szCs w:val="24"/>
          <w:lang w:val="en-GB"/>
        </w:rPr>
      </w:pPr>
      <w:r w:rsidRPr="00180522">
        <w:rPr>
          <w:szCs w:val="24"/>
          <w:lang w:val="en-GB"/>
        </w:rPr>
        <w:t>Activities with notable participation from other standards bodies include:</w:t>
      </w:r>
    </w:p>
    <w:p w14:paraId="1534A332" w14:textId="00A3D0D3" w:rsidR="00B638C4" w:rsidRPr="00180522" w:rsidRDefault="007706CC" w:rsidP="00C95497">
      <w:pPr>
        <w:numPr>
          <w:ilvl w:val="0"/>
          <w:numId w:val="58"/>
        </w:numPr>
        <w:rPr>
          <w:rFonts w:eastAsiaTheme="majorEastAsia"/>
          <w:lang w:val="en-GB"/>
        </w:rPr>
      </w:pPr>
      <w:hyperlink r:id="rId116" w:history="1">
        <w:r w:rsidR="00B638C4" w:rsidRPr="00180522">
          <w:rPr>
            <w:rStyle w:val="Hyperlink"/>
            <w:lang w:val="en-GB"/>
          </w:rPr>
          <w:t>ITU</w:t>
        </w:r>
        <w:r w:rsidR="005A6B40" w:rsidRPr="00180522">
          <w:rPr>
            <w:rStyle w:val="Hyperlink"/>
            <w:lang w:val="en-GB"/>
          </w:rPr>
          <w:t>-</w:t>
        </w:r>
        <w:r w:rsidR="00B638C4" w:rsidRPr="00180522">
          <w:rPr>
            <w:rStyle w:val="Hyperlink"/>
            <w:lang w:val="en-GB"/>
          </w:rPr>
          <w:t xml:space="preserve">WHO Workshop on </w:t>
        </w:r>
        <w:r w:rsidR="00CA2D85" w:rsidRPr="00180522">
          <w:rPr>
            <w:rStyle w:val="Hyperlink"/>
            <w:lang w:val="en-GB"/>
          </w:rPr>
          <w:t>"</w:t>
        </w:r>
        <w:r w:rsidR="00B638C4" w:rsidRPr="00180522">
          <w:rPr>
            <w:rStyle w:val="Hyperlink"/>
            <w:lang w:val="en-GB"/>
          </w:rPr>
          <w:t>Artificial Intelligence for Health</w:t>
        </w:r>
        <w:r w:rsidR="00CA2D85" w:rsidRPr="00180522">
          <w:rPr>
            <w:rStyle w:val="Hyperlink"/>
            <w:lang w:val="en-GB"/>
          </w:rPr>
          <w:t>"</w:t>
        </w:r>
      </w:hyperlink>
      <w:r w:rsidR="00B638C4" w:rsidRPr="00180522">
        <w:rPr>
          <w:lang w:val="en-GB"/>
        </w:rPr>
        <w:t>, Geneva, Switzerland, 29 May 2019.</w:t>
      </w:r>
    </w:p>
    <w:p w14:paraId="66AF51CB" w14:textId="278ECD73" w:rsidR="00294F3D" w:rsidRPr="00180522" w:rsidRDefault="007706CC" w:rsidP="00C95497">
      <w:pPr>
        <w:numPr>
          <w:ilvl w:val="0"/>
          <w:numId w:val="58"/>
        </w:numPr>
        <w:rPr>
          <w:rFonts w:eastAsiaTheme="majorEastAsia"/>
          <w:lang w:val="en-GB"/>
        </w:rPr>
      </w:pPr>
      <w:hyperlink r:id="rId117" w:history="1">
        <w:r w:rsidR="005A6B40" w:rsidRPr="00180522">
          <w:rPr>
            <w:rStyle w:val="Hyperlink"/>
            <w:lang w:val="en-GB"/>
          </w:rPr>
          <w:t>A</w:t>
        </w:r>
        <w:r w:rsidR="00294F3D" w:rsidRPr="00180522">
          <w:rPr>
            <w:rStyle w:val="Hyperlink"/>
            <w:lang w:val="en-GB"/>
          </w:rPr>
          <w:t>I for Good Global Summit</w:t>
        </w:r>
      </w:hyperlink>
      <w:r w:rsidR="00294F3D" w:rsidRPr="00180522">
        <w:rPr>
          <w:lang w:val="en-GB"/>
        </w:rPr>
        <w:t>, Geneva, Switzerland, 28-31 May 2019.</w:t>
      </w:r>
    </w:p>
    <w:p w14:paraId="18500BE5" w14:textId="1D47326F" w:rsidR="00294F3D" w:rsidRPr="00180522" w:rsidRDefault="007706CC" w:rsidP="00C95497">
      <w:pPr>
        <w:numPr>
          <w:ilvl w:val="0"/>
          <w:numId w:val="58"/>
        </w:numPr>
        <w:rPr>
          <w:rFonts w:eastAsiaTheme="majorEastAsia"/>
          <w:lang w:val="en-GB"/>
        </w:rPr>
      </w:pPr>
      <w:hyperlink r:id="rId118" w:history="1">
        <w:r w:rsidR="00294F3D" w:rsidRPr="00180522">
          <w:rPr>
            <w:rStyle w:val="Hyperlink"/>
            <w:lang w:val="en-GB"/>
          </w:rPr>
          <w:t>ITU</w:t>
        </w:r>
        <w:r w:rsidR="005A6B40" w:rsidRPr="00180522">
          <w:rPr>
            <w:rStyle w:val="Hyperlink"/>
            <w:lang w:val="en-GB"/>
          </w:rPr>
          <w:t>-</w:t>
        </w:r>
        <w:r w:rsidR="00294F3D" w:rsidRPr="00180522">
          <w:rPr>
            <w:rStyle w:val="Hyperlink"/>
            <w:lang w:val="en-GB"/>
          </w:rPr>
          <w:t xml:space="preserve">WHO Workshop on </w:t>
        </w:r>
        <w:r w:rsidR="00CA2D85" w:rsidRPr="00180522">
          <w:rPr>
            <w:rStyle w:val="Hyperlink"/>
            <w:lang w:val="en-GB"/>
          </w:rPr>
          <w:t>"</w:t>
        </w:r>
        <w:r w:rsidR="00294F3D" w:rsidRPr="00180522">
          <w:rPr>
            <w:rStyle w:val="Hyperlink"/>
            <w:lang w:val="en-GB"/>
          </w:rPr>
          <w:t>Artificial Intelligence for Health</w:t>
        </w:r>
        <w:r w:rsidR="00CA2D85" w:rsidRPr="00180522">
          <w:rPr>
            <w:rStyle w:val="Hyperlink"/>
            <w:lang w:val="en-GB"/>
          </w:rPr>
          <w:t>"</w:t>
        </w:r>
      </w:hyperlink>
      <w:r w:rsidR="00294F3D" w:rsidRPr="00180522">
        <w:rPr>
          <w:lang w:val="en-GB"/>
        </w:rPr>
        <w:t>, Shanghai, China, 1 April 2019.</w:t>
      </w:r>
    </w:p>
    <w:p w14:paraId="6AAEE034" w14:textId="7FA4DF13" w:rsidR="00630820" w:rsidRPr="00180522" w:rsidRDefault="007706CC" w:rsidP="00C95497">
      <w:pPr>
        <w:numPr>
          <w:ilvl w:val="0"/>
          <w:numId w:val="58"/>
        </w:numPr>
        <w:rPr>
          <w:rFonts w:eastAsiaTheme="majorEastAsia"/>
          <w:lang w:val="en-GB"/>
        </w:rPr>
      </w:pPr>
      <w:hyperlink r:id="rId119" w:history="1">
        <w:r w:rsidR="00D30DEC" w:rsidRPr="00180522">
          <w:rPr>
            <w:rStyle w:val="Hyperlink"/>
            <w:rFonts w:eastAsiaTheme="majorEastAsia"/>
            <w:lang w:val="en-GB"/>
          </w:rPr>
          <w:t>ITU</w:t>
        </w:r>
        <w:r w:rsidR="005A6B40" w:rsidRPr="00180522">
          <w:rPr>
            <w:rStyle w:val="Hyperlink"/>
            <w:rFonts w:eastAsiaTheme="majorEastAsia"/>
            <w:lang w:val="en-GB"/>
          </w:rPr>
          <w:t>-</w:t>
        </w:r>
        <w:r w:rsidR="00D30DEC" w:rsidRPr="00180522">
          <w:rPr>
            <w:rStyle w:val="Hyperlink"/>
            <w:rFonts w:eastAsiaTheme="majorEastAsia"/>
            <w:lang w:val="en-GB"/>
          </w:rPr>
          <w:t xml:space="preserve">UNECE </w:t>
        </w:r>
        <w:r w:rsidR="00630820" w:rsidRPr="00180522">
          <w:rPr>
            <w:rStyle w:val="Hyperlink"/>
            <w:rFonts w:eastAsiaTheme="majorEastAsia"/>
            <w:lang w:val="en-GB"/>
          </w:rPr>
          <w:t>Symposium on the Future Networked Car</w:t>
        </w:r>
      </w:hyperlink>
      <w:r w:rsidR="005A6B40" w:rsidRPr="00180522">
        <w:rPr>
          <w:rFonts w:eastAsiaTheme="majorEastAsia"/>
          <w:lang w:val="en-GB"/>
        </w:rPr>
        <w:t xml:space="preserve">, </w:t>
      </w:r>
      <w:r w:rsidR="00630820" w:rsidRPr="00180522">
        <w:rPr>
          <w:rFonts w:eastAsiaTheme="majorEastAsia"/>
          <w:lang w:val="en-GB"/>
        </w:rPr>
        <w:t>7 March 2019, Geneva, Switzerland</w:t>
      </w:r>
    </w:p>
    <w:p w14:paraId="2DF21659" w14:textId="730ED1B0" w:rsidR="00C36096" w:rsidRPr="00180522" w:rsidRDefault="007706CC" w:rsidP="00C95497">
      <w:pPr>
        <w:numPr>
          <w:ilvl w:val="0"/>
          <w:numId w:val="58"/>
        </w:numPr>
        <w:rPr>
          <w:rFonts w:eastAsiaTheme="majorEastAsia"/>
          <w:lang w:val="en-GB"/>
        </w:rPr>
      </w:pPr>
      <w:hyperlink r:id="rId120" w:history="1">
        <w:r w:rsidR="00C36096" w:rsidRPr="00180522">
          <w:rPr>
            <w:rStyle w:val="Hyperlink"/>
            <w:lang w:val="en-GB"/>
          </w:rPr>
          <w:t xml:space="preserve">ITU-NGMN Conference </w:t>
        </w:r>
        <w:r w:rsidR="005A6B40" w:rsidRPr="00180522">
          <w:rPr>
            <w:rStyle w:val="Hyperlink"/>
            <w:lang w:val="en-GB"/>
          </w:rPr>
          <w:t xml:space="preserve">on </w:t>
        </w:r>
        <w:r w:rsidR="00CA2D85" w:rsidRPr="00180522">
          <w:rPr>
            <w:rStyle w:val="Hyperlink"/>
            <w:lang w:val="en-GB"/>
          </w:rPr>
          <w:t>"</w:t>
        </w:r>
        <w:r w:rsidR="00C36096" w:rsidRPr="00180522">
          <w:rPr>
            <w:rStyle w:val="Hyperlink"/>
            <w:lang w:val="en-GB"/>
          </w:rPr>
          <w:t>Licensing practices in 5G industry segments</w:t>
        </w:r>
        <w:r w:rsidR="00CA2D85" w:rsidRPr="00180522">
          <w:rPr>
            <w:rStyle w:val="Hyperlink"/>
            <w:lang w:val="en-GB"/>
          </w:rPr>
          <w:t>"</w:t>
        </w:r>
      </w:hyperlink>
      <w:r w:rsidR="00C36096" w:rsidRPr="00180522">
        <w:rPr>
          <w:lang w:val="en-GB"/>
        </w:rPr>
        <w:t>, Geneva, Switzerland, 29-30 January 2019.</w:t>
      </w:r>
    </w:p>
    <w:p w14:paraId="505701A5" w14:textId="1A8F3B76" w:rsidR="00D30DEC" w:rsidRPr="00180522" w:rsidRDefault="007706CC" w:rsidP="00C95497">
      <w:pPr>
        <w:numPr>
          <w:ilvl w:val="0"/>
          <w:numId w:val="58"/>
        </w:numPr>
        <w:rPr>
          <w:rFonts w:eastAsiaTheme="majorEastAsia"/>
          <w:lang w:val="en-GB"/>
        </w:rPr>
      </w:pPr>
      <w:hyperlink r:id="rId121" w:history="1">
        <w:r w:rsidR="00D30DEC" w:rsidRPr="00180522">
          <w:rPr>
            <w:rStyle w:val="Hyperlink"/>
            <w:rFonts w:eastAsiaTheme="majorEastAsia"/>
            <w:lang w:val="en-GB"/>
          </w:rPr>
          <w:t>ITU</w:t>
        </w:r>
        <w:r w:rsidR="005A6B40" w:rsidRPr="00180522">
          <w:rPr>
            <w:rStyle w:val="Hyperlink"/>
            <w:rFonts w:eastAsiaTheme="majorEastAsia"/>
            <w:lang w:val="en-GB"/>
          </w:rPr>
          <w:t>-</w:t>
        </w:r>
        <w:r w:rsidR="00D30DEC" w:rsidRPr="00180522">
          <w:rPr>
            <w:rStyle w:val="Hyperlink"/>
            <w:rFonts w:eastAsiaTheme="majorEastAsia"/>
            <w:lang w:val="en-GB"/>
          </w:rPr>
          <w:t>TTC Workshop on the Future of Vehicular Multimedia</w:t>
        </w:r>
      </w:hyperlink>
      <w:r w:rsidR="00D30DEC" w:rsidRPr="00180522">
        <w:rPr>
          <w:rFonts w:eastAsiaTheme="majorEastAsia"/>
          <w:lang w:val="en-GB"/>
        </w:rPr>
        <w:t>, Tokyo, Japan, 23 January 2019</w:t>
      </w:r>
      <w:r w:rsidR="00470641" w:rsidRPr="00180522">
        <w:rPr>
          <w:rFonts w:eastAsiaTheme="majorEastAsia"/>
          <w:lang w:val="en-GB"/>
        </w:rPr>
        <w:t>.</w:t>
      </w:r>
    </w:p>
    <w:p w14:paraId="5CA91CBC" w14:textId="1540F3D1" w:rsidR="00D30DEC" w:rsidRPr="00180522" w:rsidRDefault="007706CC" w:rsidP="00C95497">
      <w:pPr>
        <w:numPr>
          <w:ilvl w:val="0"/>
          <w:numId w:val="58"/>
        </w:numPr>
        <w:rPr>
          <w:rFonts w:eastAsiaTheme="majorEastAsia"/>
          <w:lang w:val="en-GB"/>
        </w:rPr>
      </w:pPr>
      <w:hyperlink r:id="rId122" w:history="1">
        <w:r w:rsidR="000C2F70" w:rsidRPr="00180522">
          <w:rPr>
            <w:rStyle w:val="Hyperlink"/>
            <w:lang w:val="en-GB"/>
          </w:rPr>
          <w:t>ITU</w:t>
        </w:r>
        <w:r w:rsidR="005A6B40" w:rsidRPr="00180522">
          <w:rPr>
            <w:rStyle w:val="Hyperlink"/>
            <w:lang w:val="en-GB"/>
          </w:rPr>
          <w:t>-</w:t>
        </w:r>
        <w:r w:rsidR="000C2F70" w:rsidRPr="00180522">
          <w:rPr>
            <w:rStyle w:val="Hyperlink"/>
            <w:lang w:val="en-GB"/>
          </w:rPr>
          <w:t xml:space="preserve">WHO Workshop on </w:t>
        </w:r>
        <w:r w:rsidR="00CA2D85" w:rsidRPr="00180522">
          <w:rPr>
            <w:rStyle w:val="Hyperlink"/>
            <w:lang w:val="en-GB"/>
          </w:rPr>
          <w:t>"</w:t>
        </w:r>
        <w:r w:rsidR="000C2F70" w:rsidRPr="00180522">
          <w:rPr>
            <w:rStyle w:val="Hyperlink"/>
            <w:lang w:val="en-GB"/>
          </w:rPr>
          <w:t>Artificial Intelligence for Health</w:t>
        </w:r>
        <w:r w:rsidR="00CA2D85" w:rsidRPr="00180522">
          <w:rPr>
            <w:rStyle w:val="Hyperlink"/>
            <w:lang w:val="en-GB"/>
          </w:rPr>
          <w:t>"</w:t>
        </w:r>
      </w:hyperlink>
      <w:r w:rsidR="000C2F70" w:rsidRPr="00180522">
        <w:rPr>
          <w:lang w:val="en-GB"/>
        </w:rPr>
        <w:t>, Lausanne, Switzerland, 22 January 2019.</w:t>
      </w:r>
    </w:p>
    <w:p w14:paraId="2EC1EE98" w14:textId="77D65757" w:rsidR="000C2F70" w:rsidRPr="00180522" w:rsidRDefault="007706CC" w:rsidP="00C95497">
      <w:pPr>
        <w:numPr>
          <w:ilvl w:val="0"/>
          <w:numId w:val="58"/>
        </w:numPr>
        <w:rPr>
          <w:rFonts w:eastAsiaTheme="majorEastAsia"/>
          <w:lang w:val="en-GB"/>
        </w:rPr>
      </w:pPr>
      <w:hyperlink r:id="rId123" w:history="1">
        <w:r w:rsidR="0096094E" w:rsidRPr="00180522">
          <w:rPr>
            <w:rStyle w:val="Hyperlink"/>
            <w:lang w:val="en-GB"/>
          </w:rPr>
          <w:t>World Smart City Forum</w:t>
        </w:r>
      </w:hyperlink>
      <w:r w:rsidR="0096094E" w:rsidRPr="00180522">
        <w:rPr>
          <w:lang w:val="en-GB"/>
        </w:rPr>
        <w:t xml:space="preserve">, </w:t>
      </w:r>
      <w:r w:rsidR="0001057B" w:rsidRPr="00180522">
        <w:rPr>
          <w:lang w:val="en-GB"/>
        </w:rPr>
        <w:t>organized by IEC, ISO and ITU</w:t>
      </w:r>
      <w:r w:rsidR="001B31AB" w:rsidRPr="00180522">
        <w:rPr>
          <w:lang w:val="en-GB"/>
        </w:rPr>
        <w:t xml:space="preserve"> in </w:t>
      </w:r>
      <w:r w:rsidR="0096094E" w:rsidRPr="00180522">
        <w:rPr>
          <w:lang w:val="en-GB"/>
        </w:rPr>
        <w:t>Santa Fe, Argentina, 29 November 2018.</w:t>
      </w:r>
    </w:p>
    <w:p w14:paraId="37E9F22C" w14:textId="4777EF4A" w:rsidR="00160A54" w:rsidRPr="00180522" w:rsidRDefault="007706CC" w:rsidP="00C95497">
      <w:pPr>
        <w:numPr>
          <w:ilvl w:val="0"/>
          <w:numId w:val="58"/>
        </w:numPr>
        <w:rPr>
          <w:rFonts w:eastAsiaTheme="majorEastAsia"/>
          <w:lang w:val="en-GB"/>
        </w:rPr>
      </w:pPr>
      <w:hyperlink r:id="rId124" w:history="1">
        <w:r w:rsidR="00160A54" w:rsidRPr="00180522">
          <w:rPr>
            <w:rStyle w:val="Hyperlink"/>
            <w:lang w:val="en-GB"/>
          </w:rPr>
          <w:t>ITU</w:t>
        </w:r>
        <w:r w:rsidR="001B31AB" w:rsidRPr="00180522">
          <w:rPr>
            <w:rStyle w:val="Hyperlink"/>
            <w:lang w:val="en-GB"/>
          </w:rPr>
          <w:t>-</w:t>
        </w:r>
        <w:r w:rsidR="00160A54" w:rsidRPr="00180522">
          <w:rPr>
            <w:rStyle w:val="Hyperlink"/>
            <w:lang w:val="en-GB"/>
          </w:rPr>
          <w:t xml:space="preserve">SAE Workshop on </w:t>
        </w:r>
        <w:r w:rsidR="00CA2D85" w:rsidRPr="00180522">
          <w:rPr>
            <w:rStyle w:val="Hyperlink"/>
            <w:lang w:val="en-GB"/>
          </w:rPr>
          <w:t>"</w:t>
        </w:r>
        <w:r w:rsidR="00160A54" w:rsidRPr="00180522">
          <w:rPr>
            <w:rStyle w:val="Hyperlink"/>
            <w:lang w:val="en-GB"/>
          </w:rPr>
          <w:t>How communications will change vehicles and transport</w:t>
        </w:r>
        <w:r w:rsidR="00CA2D85" w:rsidRPr="00180522">
          <w:rPr>
            <w:rStyle w:val="Hyperlink"/>
            <w:lang w:val="en-GB"/>
          </w:rPr>
          <w:t>"</w:t>
        </w:r>
      </w:hyperlink>
      <w:r w:rsidR="00160A54" w:rsidRPr="00180522">
        <w:rPr>
          <w:lang w:val="en-GB"/>
        </w:rPr>
        <w:t>, Detroit, U</w:t>
      </w:r>
      <w:r w:rsidR="003D4F6B" w:rsidRPr="00180522">
        <w:rPr>
          <w:lang w:val="en-GB"/>
        </w:rPr>
        <w:t>.S.</w:t>
      </w:r>
      <w:r w:rsidR="00160A54" w:rsidRPr="00180522">
        <w:rPr>
          <w:lang w:val="en-GB"/>
        </w:rPr>
        <w:t>, 8-9 October 2018.</w:t>
      </w:r>
    </w:p>
    <w:p w14:paraId="2674C748" w14:textId="582C24C4" w:rsidR="00934302" w:rsidRPr="00180522" w:rsidRDefault="00934302" w:rsidP="009E5FFA">
      <w:pPr>
        <w:rPr>
          <w:color w:val="000000"/>
          <w:szCs w:val="24"/>
          <w:lang w:val="en-GB"/>
        </w:rPr>
      </w:pPr>
      <w:r w:rsidRPr="00180522">
        <w:rPr>
          <w:color w:val="000000"/>
          <w:szCs w:val="24"/>
          <w:lang w:val="en-GB"/>
        </w:rPr>
        <w:t xml:space="preserve">TSB </w:t>
      </w:r>
      <w:r w:rsidR="00E100E1" w:rsidRPr="00180522">
        <w:rPr>
          <w:color w:val="000000"/>
          <w:szCs w:val="24"/>
          <w:lang w:val="en-GB"/>
        </w:rPr>
        <w:t>continues to increase its engagement with the activities of other standards bodies, including</w:t>
      </w:r>
      <w:r w:rsidRPr="00180522">
        <w:rPr>
          <w:color w:val="000000"/>
          <w:szCs w:val="24"/>
          <w:lang w:val="en-GB"/>
        </w:rPr>
        <w:t>:</w:t>
      </w:r>
    </w:p>
    <w:p w14:paraId="0D5D78F4" w14:textId="11874F3D" w:rsidR="00D977B5" w:rsidRPr="00180522" w:rsidRDefault="00D977B5" w:rsidP="00D977B5">
      <w:pPr>
        <w:rPr>
          <w:szCs w:val="24"/>
          <w:lang w:val="en-GB"/>
        </w:rPr>
      </w:pPr>
      <w:r w:rsidRPr="00180522">
        <w:rPr>
          <w:b/>
          <w:bCs/>
          <w:szCs w:val="24"/>
          <w:lang w:val="en-GB"/>
        </w:rPr>
        <w:lastRenderedPageBreak/>
        <w:t>CEN</w:t>
      </w:r>
      <w:r w:rsidRPr="00180522">
        <w:rPr>
          <w:szCs w:val="24"/>
          <w:lang w:val="en-GB"/>
        </w:rPr>
        <w:t>-</w:t>
      </w:r>
      <w:r w:rsidRPr="00180522">
        <w:rPr>
          <w:b/>
          <w:bCs/>
          <w:szCs w:val="24"/>
          <w:lang w:val="en-GB"/>
        </w:rPr>
        <w:t>CENELEC:</w:t>
      </w:r>
      <w:r w:rsidRPr="00180522">
        <w:rPr>
          <w:bCs/>
          <w:szCs w:val="24"/>
          <w:lang w:val="en-GB"/>
        </w:rPr>
        <w:t xml:space="preserve"> </w:t>
      </w:r>
      <w:r w:rsidRPr="00180522">
        <w:rPr>
          <w:szCs w:val="24"/>
          <w:lang w:val="en-GB"/>
        </w:rPr>
        <w:t>TSB participate</w:t>
      </w:r>
      <w:r w:rsidR="001B31AB" w:rsidRPr="00180522">
        <w:rPr>
          <w:szCs w:val="24"/>
          <w:lang w:val="en-GB"/>
        </w:rPr>
        <w:t>d</w:t>
      </w:r>
      <w:r w:rsidRPr="00180522">
        <w:rPr>
          <w:szCs w:val="24"/>
          <w:lang w:val="en-GB"/>
        </w:rPr>
        <w:t xml:space="preserve"> in </w:t>
      </w:r>
      <w:r w:rsidR="001B31AB" w:rsidRPr="00180522">
        <w:rPr>
          <w:szCs w:val="24"/>
          <w:lang w:val="en-GB"/>
        </w:rPr>
        <w:t xml:space="preserve">the </w:t>
      </w:r>
      <w:r w:rsidRPr="00180522">
        <w:rPr>
          <w:szCs w:val="24"/>
          <w:lang w:val="en-GB"/>
        </w:rPr>
        <w:t>CEN</w:t>
      </w:r>
      <w:r w:rsidR="001B31AB" w:rsidRPr="00180522">
        <w:rPr>
          <w:szCs w:val="24"/>
          <w:lang w:val="en-GB"/>
        </w:rPr>
        <w:t>-</w:t>
      </w:r>
      <w:r w:rsidRPr="00180522">
        <w:rPr>
          <w:szCs w:val="24"/>
          <w:lang w:val="en-GB"/>
        </w:rPr>
        <w:t xml:space="preserve">CENELEC Annual Meeting in Bucharest, Romania, 5-7 June 2018. </w:t>
      </w:r>
    </w:p>
    <w:p w14:paraId="541E5BAA" w14:textId="7F02D62E" w:rsidR="00D977B5" w:rsidRPr="00180522" w:rsidRDefault="00D977B5" w:rsidP="00D977B5">
      <w:pPr>
        <w:rPr>
          <w:szCs w:val="24"/>
          <w:lang w:val="en-GB"/>
        </w:rPr>
      </w:pPr>
      <w:r w:rsidRPr="00180522">
        <w:rPr>
          <w:b/>
          <w:bCs/>
          <w:szCs w:val="24"/>
          <w:lang w:val="en-GB"/>
        </w:rPr>
        <w:t>Pan American Standards Commission (COPANT):</w:t>
      </w:r>
      <w:r w:rsidRPr="00180522">
        <w:rPr>
          <w:szCs w:val="24"/>
          <w:lang w:val="en-GB"/>
        </w:rPr>
        <w:t xml:space="preserve"> TSB participated in COPANT</w:t>
      </w:r>
      <w:r w:rsidR="00CA2D85" w:rsidRPr="00180522">
        <w:rPr>
          <w:szCs w:val="24"/>
          <w:lang w:val="en-GB"/>
        </w:rPr>
        <w:t>'</w:t>
      </w:r>
      <w:r w:rsidRPr="00180522">
        <w:rPr>
          <w:szCs w:val="24"/>
          <w:lang w:val="en-GB"/>
        </w:rPr>
        <w:t xml:space="preserve">s Annual General Assembly in Cartegena, Colombia, </w:t>
      </w:r>
      <w:r w:rsidR="001B31AB" w:rsidRPr="00180522">
        <w:rPr>
          <w:szCs w:val="24"/>
          <w:lang w:val="en-GB"/>
        </w:rPr>
        <w:t>5-8</w:t>
      </w:r>
      <w:r w:rsidRPr="00180522">
        <w:rPr>
          <w:szCs w:val="24"/>
          <w:lang w:val="en-GB"/>
        </w:rPr>
        <w:t xml:space="preserve"> May 2019. </w:t>
      </w:r>
    </w:p>
    <w:p w14:paraId="2BAF6BAA" w14:textId="4D220090" w:rsidR="00D977B5" w:rsidRPr="00180522" w:rsidRDefault="00D977B5" w:rsidP="00D977B5">
      <w:pPr>
        <w:rPr>
          <w:lang w:val="en-GB"/>
        </w:rPr>
      </w:pPr>
      <w:r w:rsidRPr="00180522">
        <w:rPr>
          <w:b/>
          <w:bCs/>
          <w:szCs w:val="24"/>
          <w:lang w:val="en-GB"/>
        </w:rPr>
        <w:t>Pacific Area Standards Congress (PASC)</w:t>
      </w:r>
      <w:r w:rsidRPr="00180522">
        <w:rPr>
          <w:szCs w:val="24"/>
          <w:lang w:val="en-GB"/>
        </w:rPr>
        <w:t xml:space="preserve">: </w:t>
      </w:r>
      <w:r w:rsidR="001B31AB" w:rsidRPr="00180522">
        <w:rPr>
          <w:szCs w:val="24"/>
          <w:lang w:val="en-GB"/>
        </w:rPr>
        <w:t xml:space="preserve">TSB </w:t>
      </w:r>
      <w:r w:rsidRPr="00180522">
        <w:rPr>
          <w:lang w:val="en-GB"/>
        </w:rPr>
        <w:t>participated in the PASC Annual General Meeting in Welli</w:t>
      </w:r>
      <w:r w:rsidR="001B31AB" w:rsidRPr="00180522">
        <w:rPr>
          <w:lang w:val="en-GB"/>
        </w:rPr>
        <w:t>n</w:t>
      </w:r>
      <w:r w:rsidRPr="00180522">
        <w:rPr>
          <w:lang w:val="en-GB"/>
        </w:rPr>
        <w:t>gton, New Zealand, 8</w:t>
      </w:r>
      <w:r w:rsidR="001B31AB" w:rsidRPr="00180522">
        <w:rPr>
          <w:lang w:val="en-GB"/>
        </w:rPr>
        <w:t>-</w:t>
      </w:r>
      <w:r w:rsidRPr="00180522">
        <w:rPr>
          <w:lang w:val="en-GB"/>
        </w:rPr>
        <w:t xml:space="preserve">12 April 2019. </w:t>
      </w:r>
    </w:p>
    <w:p w14:paraId="4AC2F8C6" w14:textId="638CFB2D" w:rsidR="00D977B5" w:rsidRPr="00180522" w:rsidRDefault="00D977B5" w:rsidP="00D977B5">
      <w:pPr>
        <w:rPr>
          <w:color w:val="000000"/>
          <w:szCs w:val="24"/>
          <w:lang w:val="en-GB"/>
        </w:rPr>
      </w:pPr>
      <w:r w:rsidRPr="00180522">
        <w:rPr>
          <w:b/>
          <w:bCs/>
          <w:szCs w:val="24"/>
          <w:lang w:val="en-GB"/>
        </w:rPr>
        <w:t>African Organization for Standardization (ARSO):</w:t>
      </w:r>
      <w:r w:rsidRPr="00180522">
        <w:rPr>
          <w:szCs w:val="24"/>
          <w:lang w:val="en-GB"/>
        </w:rPr>
        <w:t xml:space="preserve"> TSB participated in the ARSO General Assembly </w:t>
      </w:r>
      <w:r w:rsidR="001B31AB" w:rsidRPr="00180522">
        <w:rPr>
          <w:szCs w:val="24"/>
          <w:lang w:val="en-GB"/>
        </w:rPr>
        <w:t xml:space="preserve">in Nairobi, Kenya, 17-19 June 2019, where ITU and ARSO signed a </w:t>
      </w:r>
      <w:r w:rsidRPr="00180522">
        <w:rPr>
          <w:szCs w:val="24"/>
          <w:lang w:val="en-GB"/>
        </w:rPr>
        <w:t xml:space="preserve">Cooperation Agreement </w:t>
      </w:r>
      <w:r w:rsidR="001B31AB" w:rsidRPr="00180522">
        <w:rPr>
          <w:szCs w:val="24"/>
          <w:lang w:val="en-GB"/>
        </w:rPr>
        <w:t>(see section 6.4)</w:t>
      </w:r>
      <w:r w:rsidRPr="00180522">
        <w:rPr>
          <w:szCs w:val="24"/>
          <w:lang w:val="en-GB"/>
        </w:rPr>
        <w:t>. ITU</w:t>
      </w:r>
      <w:r w:rsidR="001B31AB" w:rsidRPr="00180522">
        <w:rPr>
          <w:szCs w:val="24"/>
          <w:lang w:val="en-GB"/>
        </w:rPr>
        <w:t>’s</w:t>
      </w:r>
      <w:r w:rsidRPr="00180522">
        <w:rPr>
          <w:szCs w:val="24"/>
          <w:lang w:val="en-GB"/>
        </w:rPr>
        <w:t xml:space="preserve"> Secretary</w:t>
      </w:r>
      <w:r w:rsidR="001B31AB" w:rsidRPr="00180522">
        <w:rPr>
          <w:szCs w:val="24"/>
          <w:lang w:val="en-GB"/>
        </w:rPr>
        <w:t>-</w:t>
      </w:r>
      <w:r w:rsidRPr="00180522">
        <w:rPr>
          <w:szCs w:val="24"/>
          <w:lang w:val="en-GB"/>
        </w:rPr>
        <w:t>General</w:t>
      </w:r>
      <w:r w:rsidR="001B31AB" w:rsidRPr="00180522">
        <w:rPr>
          <w:szCs w:val="24"/>
          <w:lang w:val="en-GB"/>
        </w:rPr>
        <w:t xml:space="preserve"> and the senior management of BR and </w:t>
      </w:r>
      <w:r w:rsidRPr="00180522">
        <w:rPr>
          <w:szCs w:val="24"/>
          <w:lang w:val="en-GB"/>
        </w:rPr>
        <w:t xml:space="preserve">TSB </w:t>
      </w:r>
      <w:r w:rsidRPr="00180522">
        <w:rPr>
          <w:color w:val="000000"/>
          <w:szCs w:val="24"/>
          <w:lang w:val="en-GB"/>
        </w:rPr>
        <w:t xml:space="preserve">welcomed </w:t>
      </w:r>
      <w:r w:rsidR="001B31AB" w:rsidRPr="00180522">
        <w:rPr>
          <w:color w:val="000000"/>
          <w:szCs w:val="24"/>
          <w:lang w:val="en-GB"/>
        </w:rPr>
        <w:t xml:space="preserve">the </w:t>
      </w:r>
      <w:r w:rsidRPr="00180522">
        <w:rPr>
          <w:color w:val="000000"/>
          <w:szCs w:val="24"/>
          <w:lang w:val="en-GB"/>
        </w:rPr>
        <w:t>ARSO Secretary</w:t>
      </w:r>
      <w:r w:rsidR="001B31AB" w:rsidRPr="00180522">
        <w:rPr>
          <w:color w:val="000000"/>
          <w:szCs w:val="24"/>
          <w:lang w:val="en-GB"/>
        </w:rPr>
        <w:t>-</w:t>
      </w:r>
      <w:r w:rsidRPr="00180522">
        <w:rPr>
          <w:color w:val="000000"/>
          <w:szCs w:val="24"/>
          <w:lang w:val="en-GB"/>
        </w:rPr>
        <w:t xml:space="preserve">General </w:t>
      </w:r>
      <w:r w:rsidR="001B31AB" w:rsidRPr="00180522">
        <w:rPr>
          <w:color w:val="000000"/>
          <w:szCs w:val="24"/>
          <w:lang w:val="en-GB"/>
        </w:rPr>
        <w:t xml:space="preserve">for an </w:t>
      </w:r>
      <w:r w:rsidRPr="00180522">
        <w:rPr>
          <w:color w:val="000000"/>
          <w:szCs w:val="24"/>
          <w:lang w:val="en-GB"/>
        </w:rPr>
        <w:t>official visit to ITU on 4 July 2019.</w:t>
      </w:r>
    </w:p>
    <w:p w14:paraId="24CF1FE9" w14:textId="2A068F9B" w:rsidR="006944F8" w:rsidRPr="00180522" w:rsidRDefault="00D64AF8" w:rsidP="006944F8">
      <w:pPr>
        <w:pStyle w:val="Heading1"/>
      </w:pPr>
      <w:bookmarkStart w:id="101" w:name="_Toc416161356"/>
      <w:bookmarkStart w:id="102" w:name="_Toc438553979"/>
      <w:bookmarkStart w:id="103" w:name="_Toc453929098"/>
      <w:bookmarkStart w:id="104" w:name="_Toc453932969"/>
      <w:bookmarkStart w:id="105" w:name="_Toc454295875"/>
      <w:bookmarkStart w:id="106" w:name="_Toc480527846"/>
      <w:bookmarkStart w:id="107" w:name="_Toc18509756"/>
      <w:r w:rsidRPr="00180522">
        <w:rPr>
          <w:rFonts w:eastAsiaTheme="minorEastAsia"/>
        </w:rPr>
        <w:t>7</w:t>
      </w:r>
      <w:r w:rsidR="006944F8" w:rsidRPr="00180522">
        <w:rPr>
          <w:rFonts w:eastAsiaTheme="minorEastAsia"/>
        </w:rPr>
        <w:tab/>
      </w:r>
      <w:r w:rsidR="006944F8" w:rsidRPr="00180522">
        <w:t>Bridging the standardization gap</w:t>
      </w:r>
      <w:bookmarkStart w:id="108" w:name="_Toc328209623"/>
      <w:bookmarkStart w:id="109" w:name="_Toc337476742"/>
      <w:bookmarkStart w:id="110" w:name="_Toc416161362"/>
      <w:bookmarkStart w:id="111" w:name="_Toc438553985"/>
      <w:bookmarkStart w:id="112" w:name="_Toc453929107"/>
      <w:bookmarkStart w:id="113" w:name="_Toc453932978"/>
      <w:bookmarkStart w:id="114" w:name="_Toc454295884"/>
      <w:bookmarkEnd w:id="101"/>
      <w:bookmarkEnd w:id="102"/>
      <w:bookmarkEnd w:id="103"/>
      <w:bookmarkEnd w:id="104"/>
      <w:bookmarkEnd w:id="105"/>
      <w:bookmarkEnd w:id="106"/>
      <w:bookmarkEnd w:id="107"/>
    </w:p>
    <w:p w14:paraId="3907E1CC" w14:textId="08F54049" w:rsidR="006944F8" w:rsidRPr="00180522" w:rsidRDefault="006944F8" w:rsidP="006944F8">
      <w:pPr>
        <w:rPr>
          <w:lang w:val="en-GB"/>
        </w:rPr>
      </w:pPr>
      <w:r w:rsidRPr="00180522">
        <w:rPr>
          <w:lang w:val="en-GB"/>
        </w:rPr>
        <w:t>ITU</w:t>
      </w:r>
      <w:r w:rsidR="00CA2D85" w:rsidRPr="00180522">
        <w:rPr>
          <w:lang w:val="en-GB"/>
        </w:rPr>
        <w:t>'</w:t>
      </w:r>
      <w:r w:rsidRPr="00180522">
        <w:rPr>
          <w:lang w:val="en-GB"/>
        </w:rPr>
        <w:t>s Bridging the Standardization Gap (BSG) programme improves the capacity of developing countries to participate in the development and implementation of international ICT standards.</w:t>
      </w:r>
    </w:p>
    <w:p w14:paraId="7E6E12C4" w14:textId="77777777" w:rsidR="006944F8" w:rsidRPr="00180522" w:rsidRDefault="006944F8" w:rsidP="006944F8">
      <w:pPr>
        <w:rPr>
          <w:lang w:val="en-GB"/>
        </w:rPr>
      </w:pPr>
      <w:r w:rsidRPr="00180522">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5FD2EA3A" w14:textId="1351FD09" w:rsidR="006944F8" w:rsidRPr="00180522" w:rsidRDefault="006944F8" w:rsidP="009E5FFA">
      <w:pPr>
        <w:rPr>
          <w:lang w:val="en-GB"/>
        </w:rPr>
      </w:pPr>
      <w:r w:rsidRPr="00180522">
        <w:rPr>
          <w:lang w:val="en-GB"/>
        </w:rPr>
        <w:t xml:space="preserve">The revamped BSG Programme is structured around </w:t>
      </w:r>
      <w:r w:rsidR="00C95497" w:rsidRPr="00180522">
        <w:rPr>
          <w:lang w:val="en-GB"/>
        </w:rPr>
        <w:t>five</w:t>
      </w:r>
      <w:r w:rsidRPr="00180522">
        <w:rPr>
          <w:lang w:val="en-GB"/>
        </w:rPr>
        <w:t xml:space="preserve"> pillars</w:t>
      </w:r>
      <w:r w:rsidR="000F10CE" w:rsidRPr="00180522">
        <w:rPr>
          <w:lang w:val="en-GB"/>
        </w:rPr>
        <w:t xml:space="preserve">, responding to </w:t>
      </w:r>
      <w:r w:rsidRPr="00180522">
        <w:rPr>
          <w:lang w:val="en-GB"/>
        </w:rPr>
        <w:t xml:space="preserve">WTSA Resolution 44. The </w:t>
      </w:r>
      <w:r w:rsidR="00C95497" w:rsidRPr="00180522">
        <w:rPr>
          <w:lang w:val="en-GB"/>
        </w:rPr>
        <w:t>five</w:t>
      </w:r>
      <w:r w:rsidRPr="00180522">
        <w:rPr>
          <w:lang w:val="en-GB"/>
        </w:rPr>
        <w:t xml:space="preserve"> p</w:t>
      </w:r>
      <w:r w:rsidR="005E533F" w:rsidRPr="00180522">
        <w:rPr>
          <w:lang w:val="en-GB"/>
        </w:rPr>
        <w:t>illars of the BSG programme are</w:t>
      </w:r>
      <w:r w:rsidRPr="00180522">
        <w:rPr>
          <w:lang w:val="en-GB"/>
        </w:rPr>
        <w:t xml:space="preserve">: Engagement, </w:t>
      </w:r>
      <w:r w:rsidR="00E95E52" w:rsidRPr="00180522">
        <w:rPr>
          <w:lang w:val="en-GB"/>
        </w:rPr>
        <w:t>k</w:t>
      </w:r>
      <w:r w:rsidRPr="00180522">
        <w:rPr>
          <w:lang w:val="en-GB"/>
        </w:rPr>
        <w:t>now-how, community, awareness, and partnering:</w:t>
      </w:r>
    </w:p>
    <w:p w14:paraId="3970AB2E" w14:textId="65533C64" w:rsidR="006944F8" w:rsidRPr="00180522" w:rsidRDefault="006944F8" w:rsidP="00416693">
      <w:pPr>
        <w:numPr>
          <w:ilvl w:val="0"/>
          <w:numId w:val="103"/>
        </w:numPr>
        <w:rPr>
          <w:lang w:val="en-GB"/>
        </w:rPr>
      </w:pPr>
      <w:r w:rsidRPr="00180522">
        <w:rPr>
          <w:b/>
          <w:bCs/>
          <w:lang w:val="en-GB"/>
        </w:rPr>
        <w:t>Engagement</w:t>
      </w:r>
      <w:r w:rsidRPr="00180522">
        <w:rPr>
          <w:lang w:val="en-GB"/>
        </w:rPr>
        <w:t xml:space="preserve"> is about facilitating participation in standards development. This includes fellowship and mentorship programmes and tools for remote participation.</w:t>
      </w:r>
    </w:p>
    <w:p w14:paraId="3263E412" w14:textId="5ED8D7EB" w:rsidR="006944F8" w:rsidRPr="00180522" w:rsidRDefault="006944F8" w:rsidP="00416693">
      <w:pPr>
        <w:numPr>
          <w:ilvl w:val="0"/>
          <w:numId w:val="103"/>
        </w:numPr>
        <w:rPr>
          <w:lang w:val="en-GB"/>
        </w:rPr>
      </w:pPr>
      <w:r w:rsidRPr="00180522">
        <w:rPr>
          <w:b/>
          <w:bCs/>
          <w:lang w:val="en-GB"/>
        </w:rPr>
        <w:t>Know-how</w:t>
      </w:r>
      <w:r w:rsidRPr="00180522">
        <w:rPr>
          <w:lang w:val="en-GB"/>
        </w:rPr>
        <w:t xml:space="preserve"> covers the development of skills and capabilities for standards-making. This includes standards-making effectiveness sessions, video </w:t>
      </w:r>
      <w:r w:rsidR="00E95E52" w:rsidRPr="00180522">
        <w:rPr>
          <w:lang w:val="en-GB"/>
        </w:rPr>
        <w:t xml:space="preserve">tutorials </w:t>
      </w:r>
      <w:r w:rsidRPr="00180522">
        <w:rPr>
          <w:lang w:val="en-GB"/>
        </w:rPr>
        <w:t>and e-learning courses.</w:t>
      </w:r>
    </w:p>
    <w:p w14:paraId="3D3150A5" w14:textId="0531E112" w:rsidR="006944F8" w:rsidRPr="00180522" w:rsidRDefault="006944F8" w:rsidP="00416693">
      <w:pPr>
        <w:numPr>
          <w:ilvl w:val="0"/>
          <w:numId w:val="103"/>
        </w:numPr>
        <w:rPr>
          <w:lang w:val="en-GB"/>
        </w:rPr>
      </w:pPr>
      <w:r w:rsidRPr="00180522">
        <w:rPr>
          <w:b/>
          <w:bCs/>
          <w:lang w:val="en-GB"/>
        </w:rPr>
        <w:t>Community</w:t>
      </w:r>
      <w:r w:rsidRPr="00180522">
        <w:rPr>
          <w:lang w:val="en-GB"/>
        </w:rPr>
        <w:t xml:space="preserve"> </w:t>
      </w:r>
      <w:r w:rsidR="00E95E52" w:rsidRPr="00180522">
        <w:rPr>
          <w:lang w:val="en-GB"/>
        </w:rPr>
        <w:t xml:space="preserve">focused on </w:t>
      </w:r>
      <w:r w:rsidRPr="00180522">
        <w:rPr>
          <w:lang w:val="en-GB"/>
        </w:rPr>
        <w:t>empowerment</w:t>
      </w:r>
      <w:r w:rsidR="00E95E52" w:rsidRPr="00180522">
        <w:rPr>
          <w:lang w:val="en-GB"/>
        </w:rPr>
        <w:t xml:space="preserve"> </w:t>
      </w:r>
      <w:r w:rsidRPr="00180522">
        <w:rPr>
          <w:lang w:val="en-GB"/>
        </w:rPr>
        <w:t xml:space="preserve">at regional and national levels. </w:t>
      </w:r>
      <w:r w:rsidR="00E95E52" w:rsidRPr="00180522">
        <w:rPr>
          <w:lang w:val="en-GB"/>
        </w:rPr>
        <w:t xml:space="preserve">Regional Groups within ITU-T Study Groups are a prime example, </w:t>
      </w:r>
      <w:r w:rsidRPr="00180522">
        <w:rPr>
          <w:lang w:val="en-GB"/>
        </w:rPr>
        <w:t>ensur</w:t>
      </w:r>
      <w:r w:rsidR="00E95E52" w:rsidRPr="00180522">
        <w:rPr>
          <w:lang w:val="en-GB"/>
        </w:rPr>
        <w:t>ing</w:t>
      </w:r>
      <w:r w:rsidRPr="00180522">
        <w:rPr>
          <w:lang w:val="en-GB"/>
        </w:rPr>
        <w:t xml:space="preserve"> that standards-making is inclusive of the needs of all regions.</w:t>
      </w:r>
    </w:p>
    <w:p w14:paraId="27EF9612" w14:textId="17D862F5" w:rsidR="006944F8" w:rsidRPr="00180522" w:rsidRDefault="006944F8" w:rsidP="00416693">
      <w:pPr>
        <w:numPr>
          <w:ilvl w:val="0"/>
          <w:numId w:val="103"/>
        </w:numPr>
        <w:rPr>
          <w:lang w:val="en-GB"/>
        </w:rPr>
      </w:pPr>
      <w:r w:rsidRPr="00180522">
        <w:rPr>
          <w:b/>
          <w:bCs/>
          <w:lang w:val="en-GB"/>
        </w:rPr>
        <w:t>Awareness</w:t>
      </w:r>
      <w:r w:rsidRPr="00180522">
        <w:rPr>
          <w:lang w:val="en-GB"/>
        </w:rPr>
        <w:t xml:space="preserve"> covers information sharing, </w:t>
      </w:r>
      <w:r w:rsidR="00E95E52" w:rsidRPr="00180522">
        <w:rPr>
          <w:lang w:val="en-GB"/>
        </w:rPr>
        <w:t xml:space="preserve">using </w:t>
      </w:r>
      <w:r w:rsidRPr="00180522">
        <w:rPr>
          <w:lang w:val="en-GB"/>
        </w:rPr>
        <w:t>ITU-T publications on a wide range of topics a</w:t>
      </w:r>
      <w:r w:rsidR="00E95E52" w:rsidRPr="00180522">
        <w:rPr>
          <w:lang w:val="en-GB"/>
        </w:rPr>
        <w:t>s well as</w:t>
      </w:r>
      <w:r w:rsidRPr="00180522">
        <w:rPr>
          <w:lang w:val="en-GB"/>
        </w:rPr>
        <w:t xml:space="preserve"> Regional and Inter-</w:t>
      </w:r>
      <w:r w:rsidR="00E95E52" w:rsidRPr="00180522">
        <w:rPr>
          <w:lang w:val="en-GB"/>
        </w:rPr>
        <w:t>R</w:t>
      </w:r>
      <w:r w:rsidRPr="00180522">
        <w:rPr>
          <w:lang w:val="en-GB"/>
        </w:rPr>
        <w:t>egional standardization forums.</w:t>
      </w:r>
    </w:p>
    <w:p w14:paraId="2D5CF8FF" w14:textId="77777777" w:rsidR="006944F8" w:rsidRPr="00180522" w:rsidRDefault="006944F8" w:rsidP="00416693">
      <w:pPr>
        <w:numPr>
          <w:ilvl w:val="0"/>
          <w:numId w:val="103"/>
        </w:numPr>
        <w:rPr>
          <w:lang w:val="en-GB"/>
        </w:rPr>
      </w:pPr>
      <w:r w:rsidRPr="00180522">
        <w:rPr>
          <w:b/>
          <w:bCs/>
          <w:lang w:val="en-GB"/>
        </w:rPr>
        <w:t>Partnering</w:t>
      </w:r>
      <w:r w:rsidRPr="00180522">
        <w:rPr>
          <w:lang w:val="en-GB"/>
        </w:rPr>
        <w:t xml:space="preserve"> is about mobilizing resources and fostering collaboration.</w:t>
      </w:r>
    </w:p>
    <w:p w14:paraId="62C91AE9" w14:textId="65777AC2" w:rsidR="006944F8" w:rsidRPr="00180522" w:rsidRDefault="006944F8" w:rsidP="006944F8">
      <w:pPr>
        <w:keepNext/>
        <w:jc w:val="center"/>
        <w:rPr>
          <w:highlight w:val="yellow"/>
          <w:lang w:val="en-GB"/>
        </w:rPr>
      </w:pPr>
      <w:r w:rsidRPr="00180522">
        <w:rPr>
          <w:noProof/>
          <w:lang w:val="en-GB"/>
        </w:rPr>
        <w:drawing>
          <wp:inline distT="0" distB="0" distL="0" distR="0" wp14:anchorId="4B63B8EA" wp14:editId="16A0CCBE">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125"/>
                    <a:stretch>
                      <a:fillRect/>
                    </a:stretch>
                  </pic:blipFill>
                  <pic:spPr>
                    <a:xfrm>
                      <a:off x="0" y="0"/>
                      <a:ext cx="3686432" cy="2188759"/>
                    </a:xfrm>
                    <a:prstGeom prst="rect">
                      <a:avLst/>
                    </a:prstGeom>
                  </pic:spPr>
                </pic:pic>
              </a:graphicData>
            </a:graphic>
          </wp:inline>
        </w:drawing>
      </w:r>
    </w:p>
    <w:p w14:paraId="581A5966" w14:textId="77777777" w:rsidR="006944F8" w:rsidRPr="00180522" w:rsidRDefault="006944F8" w:rsidP="00C1421E">
      <w:pPr>
        <w:pStyle w:val="Caption"/>
        <w:rPr>
          <w:lang w:val="en-GB"/>
        </w:rPr>
      </w:pPr>
      <w:r w:rsidRPr="00180522">
        <w:rPr>
          <w:lang w:val="en-GB"/>
        </w:rPr>
        <w:t xml:space="preserve">Figure </w:t>
      </w:r>
      <w:r w:rsidRPr="00180522">
        <w:rPr>
          <w:lang w:val="en-GB"/>
        </w:rPr>
        <w:fldChar w:fldCharType="begin"/>
      </w:r>
      <w:r w:rsidRPr="00180522">
        <w:rPr>
          <w:lang w:val="en-GB"/>
        </w:rPr>
        <w:instrText xml:space="preserve"> SEQ Figure \* ARABIC </w:instrText>
      </w:r>
      <w:r w:rsidRPr="00180522">
        <w:rPr>
          <w:lang w:val="en-GB"/>
        </w:rPr>
        <w:fldChar w:fldCharType="separate"/>
      </w:r>
      <w:r w:rsidRPr="00180522">
        <w:rPr>
          <w:lang w:val="en-GB"/>
        </w:rPr>
        <w:t>1</w:t>
      </w:r>
      <w:r w:rsidRPr="00180522">
        <w:rPr>
          <w:lang w:val="en-GB"/>
        </w:rPr>
        <w:fldChar w:fldCharType="end"/>
      </w:r>
      <w:r w:rsidRPr="00180522">
        <w:rPr>
          <w:lang w:val="en-GB"/>
        </w:rPr>
        <w:t xml:space="preserve"> - Five pillars of the BSG Programme</w:t>
      </w:r>
    </w:p>
    <w:p w14:paraId="05E48875" w14:textId="635912CA" w:rsidR="006944F8" w:rsidRPr="00180522" w:rsidRDefault="00D64AF8" w:rsidP="006944F8">
      <w:pPr>
        <w:pStyle w:val="Heading2"/>
      </w:pPr>
      <w:bookmarkStart w:id="115" w:name="_Toc462664261"/>
      <w:bookmarkStart w:id="116" w:name="_Toc480527847"/>
      <w:bookmarkStart w:id="117" w:name="_Toc18509757"/>
      <w:r w:rsidRPr="00180522">
        <w:lastRenderedPageBreak/>
        <w:t>7</w:t>
      </w:r>
      <w:r w:rsidR="006944F8" w:rsidRPr="00180522">
        <w:t>.1</w:t>
      </w:r>
      <w:r w:rsidR="006944F8" w:rsidRPr="00180522">
        <w:tab/>
      </w:r>
      <w:bookmarkEnd w:id="115"/>
      <w:r w:rsidR="006944F8" w:rsidRPr="00180522">
        <w:t>BSG hands-on training sessions</w:t>
      </w:r>
      <w:bookmarkEnd w:id="116"/>
      <w:bookmarkEnd w:id="117"/>
    </w:p>
    <w:p w14:paraId="2B53A149" w14:textId="40E6B4BC" w:rsidR="006944F8" w:rsidRPr="00180522" w:rsidRDefault="006944F8" w:rsidP="009E5FFA">
      <w:pPr>
        <w:rPr>
          <w:lang w:val="en-GB"/>
        </w:rPr>
      </w:pPr>
      <w:r w:rsidRPr="00180522">
        <w:rPr>
          <w:lang w:val="en-GB"/>
        </w:rPr>
        <w:t xml:space="preserve">ITU-T has introduced the new </w:t>
      </w:r>
      <w:r w:rsidR="00CA2D85" w:rsidRPr="00180522">
        <w:rPr>
          <w:lang w:val="en-GB"/>
        </w:rPr>
        <w:t>'</w:t>
      </w:r>
      <w:r w:rsidRPr="00180522">
        <w:rPr>
          <w:lang w:val="en-GB"/>
        </w:rPr>
        <w:t>BSG Hands-On Study Group effectiveness training</w:t>
      </w:r>
      <w:r w:rsidR="00CA2D85" w:rsidRPr="00180522">
        <w:rPr>
          <w:lang w:val="en-GB"/>
        </w:rPr>
        <w:t>'</w:t>
      </w:r>
      <w:r w:rsidRPr="00180522">
        <w:rPr>
          <w:lang w:val="en-GB"/>
        </w:rPr>
        <w:t xml:space="preserve"> </w:t>
      </w:r>
      <w:r w:rsidR="00E95E52" w:rsidRPr="00180522">
        <w:rPr>
          <w:lang w:val="en-GB"/>
        </w:rPr>
        <w:t xml:space="preserve">in response to WTSA </w:t>
      </w:r>
      <w:r w:rsidRPr="00180522">
        <w:rPr>
          <w:lang w:val="en-GB"/>
        </w:rPr>
        <w:t>Resolution 44</w:t>
      </w:r>
      <w:r w:rsidR="00E95E52" w:rsidRPr="00180522">
        <w:rPr>
          <w:lang w:val="en-GB"/>
        </w:rPr>
        <w:t xml:space="preserve">. </w:t>
      </w:r>
      <w:r w:rsidRPr="00180522">
        <w:rPr>
          <w:lang w:val="en-GB"/>
        </w:rPr>
        <w:t>The training focuses on the development of practical skills to maximize the effectiveness of developing countries</w:t>
      </w:r>
      <w:r w:rsidR="00CA2D85" w:rsidRPr="00180522">
        <w:rPr>
          <w:lang w:val="en-GB"/>
        </w:rPr>
        <w:t>'</w:t>
      </w:r>
      <w:r w:rsidRPr="00180522">
        <w:rPr>
          <w:lang w:val="en-GB"/>
        </w:rPr>
        <w:t xml:space="preserve"> participation in the ITU-T standardization process, covering topics including s</w:t>
      </w:r>
      <w:r w:rsidR="00317510" w:rsidRPr="00180522">
        <w:rPr>
          <w:lang w:val="en-GB"/>
        </w:rPr>
        <w:t>trategies for participation in Study G</w:t>
      </w:r>
      <w:r w:rsidRPr="00180522">
        <w:rPr>
          <w:lang w:val="en-GB"/>
        </w:rPr>
        <w:t>roups, drafting contributions to meetings, presenting proposals, collaborative working methods and building consensus.</w:t>
      </w:r>
    </w:p>
    <w:p w14:paraId="7C114033" w14:textId="3DBB40BB" w:rsidR="006944F8" w:rsidRPr="00180522" w:rsidRDefault="00D64AF8" w:rsidP="006944F8">
      <w:pPr>
        <w:pStyle w:val="Heading2"/>
      </w:pPr>
      <w:bookmarkStart w:id="118" w:name="_Toc480527848"/>
      <w:bookmarkStart w:id="119" w:name="_Toc18509758"/>
      <w:r w:rsidRPr="00180522">
        <w:t>7</w:t>
      </w:r>
      <w:r w:rsidR="006944F8" w:rsidRPr="00180522">
        <w:t>.2</w:t>
      </w:r>
      <w:r w:rsidR="006944F8" w:rsidRPr="00180522">
        <w:tab/>
        <w:t>Regional Groups</w:t>
      </w:r>
      <w:bookmarkEnd w:id="118"/>
      <w:bookmarkEnd w:id="119"/>
    </w:p>
    <w:p w14:paraId="3CD8E255" w14:textId="727A3EAF" w:rsidR="006944F8" w:rsidRPr="00180522" w:rsidRDefault="006944F8" w:rsidP="002013A1">
      <w:pPr>
        <w:rPr>
          <w:szCs w:val="24"/>
          <w:lang w:val="en-GB"/>
        </w:rPr>
      </w:pPr>
      <w:bookmarkStart w:id="120" w:name="_Toc480527849"/>
      <w:r w:rsidRPr="00180522">
        <w:rPr>
          <w:lang w:val="en-GB"/>
        </w:rPr>
        <w:t>Regional Groups within ITU-T Study Groups have proven effective mechanisms to coordinate regional contributions to ITU and increase the number and quality of technical contributions from developing countries.</w:t>
      </w:r>
      <w:r w:rsidR="007D4449" w:rsidRPr="00180522">
        <w:rPr>
          <w:lang w:val="en-GB"/>
        </w:rPr>
        <w:t xml:space="preserve"> More than 500 participants attended </w:t>
      </w:r>
      <w:r w:rsidR="00A703AD" w:rsidRPr="00180522">
        <w:rPr>
          <w:lang w:val="en-GB"/>
        </w:rPr>
        <w:t xml:space="preserve">the </w:t>
      </w:r>
      <w:r w:rsidR="004C59EB" w:rsidRPr="00180522">
        <w:rPr>
          <w:lang w:val="en-GB"/>
        </w:rPr>
        <w:t>18</w:t>
      </w:r>
      <w:r w:rsidR="007D4449" w:rsidRPr="00180522">
        <w:rPr>
          <w:szCs w:val="24"/>
          <w:lang w:val="en-GB"/>
        </w:rPr>
        <w:t xml:space="preserve"> Regional Group meeting</w:t>
      </w:r>
      <w:r w:rsidR="00A703AD" w:rsidRPr="00180522">
        <w:rPr>
          <w:szCs w:val="24"/>
          <w:lang w:val="en-GB"/>
        </w:rPr>
        <w:t>s held</w:t>
      </w:r>
      <w:r w:rsidR="007D4449" w:rsidRPr="00180522">
        <w:rPr>
          <w:szCs w:val="24"/>
          <w:lang w:val="en-GB"/>
        </w:rPr>
        <w:t xml:space="preserve"> since October 2018:</w:t>
      </w:r>
    </w:p>
    <w:p w14:paraId="3D7FACC3" w14:textId="56C3BE0D" w:rsidR="006944F8" w:rsidRPr="00180522" w:rsidRDefault="004C59EB" w:rsidP="00C95497">
      <w:pPr>
        <w:numPr>
          <w:ilvl w:val="0"/>
          <w:numId w:val="60"/>
        </w:numPr>
        <w:rPr>
          <w:lang w:val="en-GB"/>
        </w:rPr>
      </w:pPr>
      <w:r w:rsidRPr="00180522">
        <w:rPr>
          <w:lang w:val="en-GB"/>
        </w:rPr>
        <w:t>Six</w:t>
      </w:r>
      <w:r w:rsidR="006944F8" w:rsidRPr="00180522">
        <w:rPr>
          <w:lang w:val="en-GB"/>
        </w:rPr>
        <w:t xml:space="preserve"> in Africa (Study Groups 2, 3, 5, 12, 13, </w:t>
      </w:r>
      <w:r w:rsidR="005F7DA6" w:rsidRPr="00180522">
        <w:rPr>
          <w:lang w:val="en-GB"/>
        </w:rPr>
        <w:t xml:space="preserve">17 </w:t>
      </w:r>
      <w:r w:rsidR="006944F8" w:rsidRPr="00180522">
        <w:rPr>
          <w:lang w:val="en-GB"/>
        </w:rPr>
        <w:t>and 20)</w:t>
      </w:r>
    </w:p>
    <w:p w14:paraId="7764616A" w14:textId="2E5EE9F1" w:rsidR="00C62EEB" w:rsidRPr="00180522" w:rsidRDefault="00337FC8" w:rsidP="00C95497">
      <w:pPr>
        <w:numPr>
          <w:ilvl w:val="0"/>
          <w:numId w:val="65"/>
        </w:numPr>
        <w:rPr>
          <w:lang w:val="en-GB"/>
        </w:rPr>
      </w:pPr>
      <w:r w:rsidRPr="00180522">
        <w:rPr>
          <w:lang w:val="en-GB"/>
        </w:rPr>
        <w:t>SG2</w:t>
      </w:r>
      <w:r w:rsidR="00765D16" w:rsidRPr="00180522">
        <w:rPr>
          <w:lang w:val="en-GB"/>
        </w:rPr>
        <w:t>-RG</w:t>
      </w:r>
      <w:r w:rsidR="00F25424" w:rsidRPr="00180522">
        <w:rPr>
          <w:lang w:val="en-GB"/>
        </w:rPr>
        <w:t>AFR</w:t>
      </w:r>
      <w:r w:rsidRPr="00180522">
        <w:rPr>
          <w:lang w:val="en-GB"/>
        </w:rPr>
        <w:t xml:space="preserve">: </w:t>
      </w:r>
      <w:r w:rsidR="00C62EEB" w:rsidRPr="00180522">
        <w:rPr>
          <w:lang w:val="en-GB"/>
        </w:rPr>
        <w:t>Tunis, Tunisia, 26</w:t>
      </w:r>
      <w:r w:rsidR="00A703AD" w:rsidRPr="00180522">
        <w:rPr>
          <w:lang w:val="en-GB"/>
        </w:rPr>
        <w:t>-</w:t>
      </w:r>
      <w:r w:rsidR="00C62EEB" w:rsidRPr="00180522">
        <w:rPr>
          <w:lang w:val="en-GB"/>
        </w:rPr>
        <w:t>27 April 2018</w:t>
      </w:r>
      <w:r w:rsidR="008F4E44" w:rsidRPr="00180522">
        <w:rPr>
          <w:lang w:val="en-GB"/>
        </w:rPr>
        <w:t>: 23</w:t>
      </w:r>
      <w:r w:rsidR="00C957E4" w:rsidRPr="00180522">
        <w:rPr>
          <w:lang w:val="en-GB"/>
        </w:rPr>
        <w:t xml:space="preserve"> participants.</w:t>
      </w:r>
    </w:p>
    <w:p w14:paraId="428F58F6" w14:textId="27865958" w:rsidR="00C62EEB" w:rsidRPr="00180522" w:rsidRDefault="00977BFB" w:rsidP="00C95497">
      <w:pPr>
        <w:numPr>
          <w:ilvl w:val="0"/>
          <w:numId w:val="65"/>
        </w:numPr>
        <w:rPr>
          <w:rStyle w:val="Strong"/>
          <w:b w:val="0"/>
          <w:bCs w:val="0"/>
          <w:szCs w:val="24"/>
          <w:lang w:val="en-GB"/>
        </w:rPr>
      </w:pPr>
      <w:r w:rsidRPr="00180522">
        <w:rPr>
          <w:rStyle w:val="Strong"/>
          <w:b w:val="0"/>
          <w:szCs w:val="24"/>
          <w:lang w:val="en-GB"/>
        </w:rPr>
        <w:t>SG2</w:t>
      </w:r>
      <w:r w:rsidR="00F25424" w:rsidRPr="00180522">
        <w:rPr>
          <w:rStyle w:val="Strong"/>
          <w:b w:val="0"/>
          <w:szCs w:val="24"/>
          <w:lang w:val="en-GB"/>
        </w:rPr>
        <w:t>-RGAFR</w:t>
      </w:r>
      <w:r w:rsidRPr="00180522">
        <w:rPr>
          <w:rStyle w:val="Strong"/>
          <w:b w:val="0"/>
          <w:szCs w:val="24"/>
          <w:lang w:val="en-GB"/>
        </w:rPr>
        <w:t xml:space="preserve">: </w:t>
      </w:r>
      <w:r w:rsidR="00337FC8" w:rsidRPr="00180522">
        <w:rPr>
          <w:rStyle w:val="Strong"/>
          <w:b w:val="0"/>
          <w:szCs w:val="24"/>
          <w:lang w:val="en-GB"/>
        </w:rPr>
        <w:t xml:space="preserve">Cairo, Egypt, 4-6 December </w:t>
      </w:r>
      <w:r w:rsidRPr="00180522">
        <w:rPr>
          <w:rStyle w:val="Strong"/>
          <w:b w:val="0"/>
          <w:szCs w:val="24"/>
          <w:lang w:val="en-GB"/>
        </w:rPr>
        <w:t>2018</w:t>
      </w:r>
      <w:r w:rsidR="008F4E44" w:rsidRPr="00180522">
        <w:rPr>
          <w:rStyle w:val="Strong"/>
          <w:b w:val="0"/>
          <w:szCs w:val="24"/>
          <w:lang w:val="en-GB"/>
        </w:rPr>
        <w:t xml:space="preserve">: </w:t>
      </w:r>
      <w:r w:rsidR="008F4E44" w:rsidRPr="00180522">
        <w:rPr>
          <w:lang w:val="en-GB"/>
        </w:rPr>
        <w:t>38 participants.</w:t>
      </w:r>
    </w:p>
    <w:p w14:paraId="78B55269" w14:textId="6444C87F" w:rsidR="00977BFB" w:rsidRPr="00180522" w:rsidRDefault="00977BFB" w:rsidP="00C95497">
      <w:pPr>
        <w:numPr>
          <w:ilvl w:val="0"/>
          <w:numId w:val="65"/>
        </w:numPr>
        <w:rPr>
          <w:lang w:val="en-GB"/>
        </w:rPr>
      </w:pPr>
      <w:r w:rsidRPr="00180522">
        <w:rPr>
          <w:rStyle w:val="Strong"/>
          <w:b w:val="0"/>
          <w:szCs w:val="24"/>
          <w:lang w:val="en-GB"/>
        </w:rPr>
        <w:t>SG3</w:t>
      </w:r>
      <w:r w:rsidR="00F25424" w:rsidRPr="00180522">
        <w:rPr>
          <w:rStyle w:val="Strong"/>
          <w:b w:val="0"/>
          <w:szCs w:val="24"/>
          <w:lang w:val="en-GB"/>
        </w:rPr>
        <w:t>-RGAFR</w:t>
      </w:r>
      <w:r w:rsidRPr="00180522">
        <w:rPr>
          <w:rStyle w:val="Strong"/>
          <w:b w:val="0"/>
          <w:szCs w:val="24"/>
          <w:lang w:val="en-GB"/>
        </w:rPr>
        <w:t xml:space="preserve">: </w:t>
      </w:r>
      <w:r w:rsidRPr="00180522">
        <w:rPr>
          <w:bCs/>
          <w:lang w:val="en-GB"/>
        </w:rPr>
        <w:t>Antananarivo</w:t>
      </w:r>
      <w:r w:rsidR="00A703AD" w:rsidRPr="00180522">
        <w:rPr>
          <w:bCs/>
          <w:lang w:val="en-GB"/>
        </w:rPr>
        <w:t xml:space="preserve">, </w:t>
      </w:r>
      <w:r w:rsidRPr="00180522">
        <w:rPr>
          <w:bCs/>
          <w:lang w:val="en-GB"/>
        </w:rPr>
        <w:t>Madagascar</w:t>
      </w:r>
      <w:r w:rsidR="00A703AD" w:rsidRPr="00180522">
        <w:rPr>
          <w:bCs/>
          <w:lang w:val="en-GB"/>
        </w:rPr>
        <w:t>,</w:t>
      </w:r>
      <w:r w:rsidR="00337FC8" w:rsidRPr="00180522">
        <w:rPr>
          <w:bCs/>
          <w:lang w:val="en-GB"/>
        </w:rPr>
        <w:t xml:space="preserve"> 18</w:t>
      </w:r>
      <w:r w:rsidR="00A703AD" w:rsidRPr="00180522">
        <w:rPr>
          <w:bCs/>
          <w:lang w:val="en-GB"/>
        </w:rPr>
        <w:t>-</w:t>
      </w:r>
      <w:r w:rsidR="00337FC8" w:rsidRPr="00180522">
        <w:rPr>
          <w:bCs/>
          <w:lang w:val="en-GB"/>
        </w:rPr>
        <w:t xml:space="preserve">22 February </w:t>
      </w:r>
      <w:r w:rsidR="004C56AD" w:rsidRPr="00180522">
        <w:rPr>
          <w:bCs/>
          <w:lang w:val="en-GB"/>
        </w:rPr>
        <w:t xml:space="preserve">2019: </w:t>
      </w:r>
      <w:r w:rsidR="00E512E1" w:rsidRPr="00180522">
        <w:rPr>
          <w:bCs/>
          <w:lang w:val="en-GB"/>
        </w:rPr>
        <w:t xml:space="preserve">53 </w:t>
      </w:r>
      <w:r w:rsidR="004C56AD" w:rsidRPr="00180522">
        <w:rPr>
          <w:bCs/>
          <w:lang w:val="en-GB"/>
        </w:rPr>
        <w:t>participants.</w:t>
      </w:r>
    </w:p>
    <w:p w14:paraId="07AFC4F7" w14:textId="22593E15" w:rsidR="001043CE" w:rsidRPr="00180522" w:rsidRDefault="00B73200" w:rsidP="00C95497">
      <w:pPr>
        <w:numPr>
          <w:ilvl w:val="0"/>
          <w:numId w:val="65"/>
        </w:numPr>
        <w:rPr>
          <w:lang w:val="en-GB"/>
        </w:rPr>
      </w:pPr>
      <w:r w:rsidRPr="00180522">
        <w:rPr>
          <w:lang w:val="en-GB"/>
        </w:rPr>
        <w:t>SG12</w:t>
      </w:r>
      <w:r w:rsidR="00F25424" w:rsidRPr="00180522">
        <w:rPr>
          <w:rStyle w:val="Strong"/>
          <w:b w:val="0"/>
          <w:szCs w:val="24"/>
          <w:lang w:val="en-GB"/>
        </w:rPr>
        <w:t>-RGAFR</w:t>
      </w:r>
      <w:r w:rsidRPr="00180522">
        <w:rPr>
          <w:lang w:val="en-GB"/>
        </w:rPr>
        <w:t xml:space="preserve">: </w:t>
      </w:r>
      <w:r w:rsidRPr="00180522">
        <w:rPr>
          <w:bCs/>
          <w:lang w:val="en-GB"/>
        </w:rPr>
        <w:t>Kigali, Rwanda, 7-8 March 2019</w:t>
      </w:r>
      <w:r w:rsidR="00BB2441" w:rsidRPr="00180522">
        <w:rPr>
          <w:bCs/>
          <w:lang w:val="en-GB"/>
        </w:rPr>
        <w:t>: 40 participants.</w:t>
      </w:r>
    </w:p>
    <w:p w14:paraId="0B8C4C4E" w14:textId="6E9EC1E8" w:rsidR="00B73200" w:rsidRPr="00180522" w:rsidRDefault="00D979D8" w:rsidP="00C95497">
      <w:pPr>
        <w:numPr>
          <w:ilvl w:val="0"/>
          <w:numId w:val="65"/>
        </w:numPr>
        <w:rPr>
          <w:lang w:val="en-GB"/>
        </w:rPr>
      </w:pPr>
      <w:r w:rsidRPr="00180522">
        <w:rPr>
          <w:bCs/>
          <w:lang w:val="en-GB"/>
        </w:rPr>
        <w:t>SG13</w:t>
      </w:r>
      <w:r w:rsidR="00F25424" w:rsidRPr="00180522">
        <w:rPr>
          <w:rStyle w:val="Strong"/>
          <w:b w:val="0"/>
          <w:szCs w:val="24"/>
          <w:lang w:val="en-GB"/>
        </w:rPr>
        <w:t>-RGAFR</w:t>
      </w:r>
      <w:r w:rsidR="00337FC8" w:rsidRPr="00180522">
        <w:rPr>
          <w:bCs/>
          <w:lang w:val="en-GB"/>
        </w:rPr>
        <w:t xml:space="preserve">: </w:t>
      </w:r>
      <w:r w:rsidR="00A703AD" w:rsidRPr="00180522">
        <w:rPr>
          <w:bCs/>
          <w:lang w:val="en-GB"/>
        </w:rPr>
        <w:t xml:space="preserve">Abuja, Nigeria, </w:t>
      </w:r>
      <w:r w:rsidRPr="00180522">
        <w:rPr>
          <w:lang w:val="en-GB"/>
        </w:rPr>
        <w:t>5-6 February 20</w:t>
      </w:r>
      <w:r w:rsidR="00A703AD" w:rsidRPr="00180522">
        <w:rPr>
          <w:lang w:val="en-GB"/>
        </w:rPr>
        <w:t>19</w:t>
      </w:r>
      <w:r w:rsidR="00F82873" w:rsidRPr="00180522">
        <w:rPr>
          <w:lang w:val="en-GB"/>
        </w:rPr>
        <w:t>: 39 participants.</w:t>
      </w:r>
    </w:p>
    <w:p w14:paraId="668BF370" w14:textId="2428BB0E" w:rsidR="00D979D8" w:rsidRPr="00180522" w:rsidRDefault="00C80914" w:rsidP="00C95497">
      <w:pPr>
        <w:numPr>
          <w:ilvl w:val="0"/>
          <w:numId w:val="65"/>
        </w:numPr>
        <w:rPr>
          <w:lang w:val="en-GB"/>
        </w:rPr>
      </w:pPr>
      <w:r w:rsidRPr="00180522">
        <w:rPr>
          <w:bCs/>
          <w:lang w:val="en-GB"/>
        </w:rPr>
        <w:t>SG17</w:t>
      </w:r>
      <w:r w:rsidR="00F25424" w:rsidRPr="00180522">
        <w:rPr>
          <w:rStyle w:val="Strong"/>
          <w:b w:val="0"/>
          <w:szCs w:val="24"/>
          <w:lang w:val="en-GB"/>
        </w:rPr>
        <w:t>-RGAFR</w:t>
      </w:r>
      <w:r w:rsidRPr="00180522">
        <w:rPr>
          <w:bCs/>
          <w:lang w:val="en-GB"/>
        </w:rPr>
        <w:t>: Tunis, Tunisia, 2-3 April 2019</w:t>
      </w:r>
      <w:r w:rsidR="00B01E21" w:rsidRPr="00180522">
        <w:rPr>
          <w:bCs/>
          <w:lang w:val="en-GB"/>
        </w:rPr>
        <w:t>: 22 participants.</w:t>
      </w:r>
    </w:p>
    <w:p w14:paraId="6613847D" w14:textId="4F8DE442" w:rsidR="006944F8" w:rsidRPr="00180522" w:rsidRDefault="005F7DA6" w:rsidP="00C95497">
      <w:pPr>
        <w:numPr>
          <w:ilvl w:val="0"/>
          <w:numId w:val="61"/>
        </w:numPr>
        <w:rPr>
          <w:lang w:val="en-GB"/>
        </w:rPr>
      </w:pPr>
      <w:r w:rsidRPr="00180522">
        <w:rPr>
          <w:lang w:val="en-GB"/>
        </w:rPr>
        <w:t>Three</w:t>
      </w:r>
      <w:r w:rsidR="006944F8" w:rsidRPr="00180522">
        <w:rPr>
          <w:lang w:val="en-GB"/>
        </w:rPr>
        <w:t xml:space="preserve"> for the Americas (Study Groups </w:t>
      </w:r>
      <w:r w:rsidRPr="00180522">
        <w:rPr>
          <w:lang w:val="en-GB"/>
        </w:rPr>
        <w:t>2, 3</w:t>
      </w:r>
      <w:r w:rsidR="006944F8" w:rsidRPr="00180522">
        <w:rPr>
          <w:lang w:val="en-GB"/>
        </w:rPr>
        <w:t xml:space="preserve"> and </w:t>
      </w:r>
      <w:r w:rsidRPr="00180522">
        <w:rPr>
          <w:lang w:val="en-GB"/>
        </w:rPr>
        <w:t>5</w:t>
      </w:r>
      <w:r w:rsidR="006944F8" w:rsidRPr="00180522">
        <w:rPr>
          <w:lang w:val="en-GB"/>
        </w:rPr>
        <w:t>)</w:t>
      </w:r>
    </w:p>
    <w:p w14:paraId="08536E04" w14:textId="5BE50792" w:rsidR="005D4C64" w:rsidRPr="00180522" w:rsidRDefault="005D4C64" w:rsidP="00C95497">
      <w:pPr>
        <w:numPr>
          <w:ilvl w:val="1"/>
          <w:numId w:val="62"/>
        </w:numPr>
        <w:rPr>
          <w:lang w:val="en-GB"/>
        </w:rPr>
      </w:pPr>
      <w:r w:rsidRPr="00180522">
        <w:rPr>
          <w:lang w:val="en-GB"/>
        </w:rPr>
        <w:t>SG2</w:t>
      </w:r>
      <w:r w:rsidR="00F25424" w:rsidRPr="00180522">
        <w:rPr>
          <w:lang w:val="en-GB"/>
        </w:rPr>
        <w:t>-RGAMR</w:t>
      </w:r>
      <w:r w:rsidRPr="00180522">
        <w:rPr>
          <w:lang w:val="en-GB"/>
        </w:rPr>
        <w:t xml:space="preserve">: </w:t>
      </w:r>
      <w:r w:rsidR="00F869C6" w:rsidRPr="00180522">
        <w:rPr>
          <w:bCs/>
          <w:lang w:val="en-GB"/>
        </w:rPr>
        <w:t xml:space="preserve">Managua, </w:t>
      </w:r>
      <w:r w:rsidRPr="00180522">
        <w:rPr>
          <w:bCs/>
          <w:lang w:val="en-GB"/>
        </w:rPr>
        <w:t>Nicaragua, 28-29 March 2019</w:t>
      </w:r>
      <w:r w:rsidR="00F869C6" w:rsidRPr="00180522">
        <w:rPr>
          <w:bCs/>
          <w:lang w:val="en-GB"/>
        </w:rPr>
        <w:t xml:space="preserve">: </w:t>
      </w:r>
      <w:r w:rsidR="006B5F3A" w:rsidRPr="00180522">
        <w:rPr>
          <w:bCs/>
          <w:lang w:val="en-GB"/>
        </w:rPr>
        <w:t>17 participants.</w:t>
      </w:r>
    </w:p>
    <w:p w14:paraId="3A414F37" w14:textId="362230B4" w:rsidR="005D4C64" w:rsidRPr="00180522" w:rsidRDefault="005D4C64" w:rsidP="00C95497">
      <w:pPr>
        <w:numPr>
          <w:ilvl w:val="1"/>
          <w:numId w:val="62"/>
        </w:numPr>
        <w:rPr>
          <w:lang w:val="en-GB"/>
        </w:rPr>
      </w:pPr>
      <w:r w:rsidRPr="00180522">
        <w:rPr>
          <w:lang w:val="en-GB"/>
        </w:rPr>
        <w:t>SG3</w:t>
      </w:r>
      <w:r w:rsidR="00F25424" w:rsidRPr="00180522">
        <w:rPr>
          <w:lang w:val="en-GB"/>
        </w:rPr>
        <w:t>-RGLAC</w:t>
      </w:r>
      <w:r w:rsidRPr="00180522">
        <w:rPr>
          <w:lang w:val="en-GB"/>
        </w:rPr>
        <w:t xml:space="preserve">: </w:t>
      </w:r>
      <w:r w:rsidR="00F869C6" w:rsidRPr="00180522">
        <w:rPr>
          <w:bCs/>
          <w:lang w:val="en-GB"/>
        </w:rPr>
        <w:t>Managua</w:t>
      </w:r>
      <w:r w:rsidR="00A703AD" w:rsidRPr="00180522">
        <w:rPr>
          <w:bCs/>
          <w:lang w:val="en-GB"/>
        </w:rPr>
        <w:t xml:space="preserve">, </w:t>
      </w:r>
      <w:r w:rsidR="00F869C6" w:rsidRPr="00180522">
        <w:rPr>
          <w:bCs/>
          <w:lang w:val="en-GB"/>
        </w:rPr>
        <w:t>Nicaragua</w:t>
      </w:r>
      <w:r w:rsidR="00A703AD" w:rsidRPr="00180522">
        <w:rPr>
          <w:bCs/>
          <w:lang w:val="en-GB"/>
        </w:rPr>
        <w:t xml:space="preserve">, </w:t>
      </w:r>
      <w:r w:rsidR="00F869C6" w:rsidRPr="00180522">
        <w:rPr>
          <w:bCs/>
          <w:lang w:val="en-GB"/>
        </w:rPr>
        <w:t>25</w:t>
      </w:r>
      <w:r w:rsidR="00A703AD" w:rsidRPr="00180522">
        <w:rPr>
          <w:bCs/>
          <w:lang w:val="en-GB"/>
        </w:rPr>
        <w:t>-</w:t>
      </w:r>
      <w:r w:rsidR="00F869C6" w:rsidRPr="00180522">
        <w:rPr>
          <w:bCs/>
          <w:lang w:val="en-GB"/>
        </w:rPr>
        <w:t xml:space="preserve">29 February </w:t>
      </w:r>
      <w:r w:rsidRPr="00180522">
        <w:rPr>
          <w:bCs/>
          <w:lang w:val="en-GB"/>
        </w:rPr>
        <w:t>2019</w:t>
      </w:r>
      <w:r w:rsidR="006B5F3A" w:rsidRPr="00180522">
        <w:rPr>
          <w:bCs/>
          <w:lang w:val="en-GB"/>
        </w:rPr>
        <w:t>: 24 participants.</w:t>
      </w:r>
    </w:p>
    <w:p w14:paraId="73903695" w14:textId="429A7185" w:rsidR="005D4C64" w:rsidRPr="00180522" w:rsidRDefault="005D4C64" w:rsidP="00C95497">
      <w:pPr>
        <w:numPr>
          <w:ilvl w:val="1"/>
          <w:numId w:val="62"/>
        </w:numPr>
        <w:rPr>
          <w:lang w:val="en-GB"/>
        </w:rPr>
      </w:pPr>
      <w:r w:rsidRPr="00180522">
        <w:rPr>
          <w:lang w:val="en-GB"/>
        </w:rPr>
        <w:t>SG5</w:t>
      </w:r>
      <w:r w:rsidR="00F25424" w:rsidRPr="00180522">
        <w:rPr>
          <w:lang w:val="en-GB"/>
        </w:rPr>
        <w:t>-LATAM</w:t>
      </w:r>
      <w:r w:rsidRPr="00180522">
        <w:rPr>
          <w:lang w:val="en-GB"/>
        </w:rPr>
        <w:t xml:space="preserve">: </w:t>
      </w:r>
      <w:r w:rsidR="00900B56" w:rsidRPr="00180522">
        <w:rPr>
          <w:rStyle w:val="Strong"/>
          <w:b w:val="0"/>
          <w:szCs w:val="24"/>
          <w:lang w:val="en-GB"/>
        </w:rPr>
        <w:t xml:space="preserve">Bogota, </w:t>
      </w:r>
      <w:r w:rsidR="00A703AD" w:rsidRPr="00180522">
        <w:rPr>
          <w:rStyle w:val="Strong"/>
          <w:b w:val="0"/>
          <w:szCs w:val="24"/>
          <w:lang w:val="en-GB"/>
        </w:rPr>
        <w:t xml:space="preserve">Colombia, </w:t>
      </w:r>
      <w:r w:rsidR="00900B56" w:rsidRPr="00180522">
        <w:rPr>
          <w:rStyle w:val="Strong"/>
          <w:b w:val="0"/>
          <w:szCs w:val="24"/>
          <w:lang w:val="en-GB"/>
        </w:rPr>
        <w:t xml:space="preserve">24 October </w:t>
      </w:r>
      <w:r w:rsidRPr="00180522">
        <w:rPr>
          <w:rStyle w:val="Strong"/>
          <w:b w:val="0"/>
          <w:szCs w:val="24"/>
          <w:lang w:val="en-GB"/>
        </w:rPr>
        <w:t>2018</w:t>
      </w:r>
      <w:r w:rsidR="005858C6" w:rsidRPr="00180522">
        <w:rPr>
          <w:rStyle w:val="Strong"/>
          <w:b w:val="0"/>
          <w:szCs w:val="24"/>
          <w:lang w:val="en-GB"/>
        </w:rPr>
        <w:t>: 24 participants.</w:t>
      </w:r>
    </w:p>
    <w:p w14:paraId="15CE8C79" w14:textId="58B3361E" w:rsidR="006944F8" w:rsidRPr="00180522" w:rsidRDefault="005F7DA6" w:rsidP="00C95497">
      <w:pPr>
        <w:numPr>
          <w:ilvl w:val="0"/>
          <w:numId w:val="61"/>
        </w:numPr>
        <w:rPr>
          <w:lang w:val="en-GB"/>
        </w:rPr>
      </w:pPr>
      <w:r w:rsidRPr="00180522">
        <w:rPr>
          <w:lang w:val="en-GB"/>
        </w:rPr>
        <w:t>Five</w:t>
      </w:r>
      <w:r w:rsidR="006944F8" w:rsidRPr="00180522">
        <w:rPr>
          <w:lang w:val="en-GB"/>
        </w:rPr>
        <w:t xml:space="preserve"> for the Arab States (Study Groups 2, </w:t>
      </w:r>
      <w:r w:rsidRPr="00180522">
        <w:rPr>
          <w:lang w:val="en-GB"/>
        </w:rPr>
        <w:t xml:space="preserve">3, </w:t>
      </w:r>
      <w:r w:rsidR="006944F8" w:rsidRPr="00180522">
        <w:rPr>
          <w:lang w:val="en-GB"/>
        </w:rPr>
        <w:t xml:space="preserve">5 </w:t>
      </w:r>
      <w:r w:rsidRPr="00180522">
        <w:rPr>
          <w:lang w:val="en-GB"/>
        </w:rPr>
        <w:t>and 17</w:t>
      </w:r>
      <w:r w:rsidR="006944F8" w:rsidRPr="00180522">
        <w:rPr>
          <w:lang w:val="en-GB"/>
        </w:rPr>
        <w:t>)</w:t>
      </w:r>
    </w:p>
    <w:p w14:paraId="55ABBE94" w14:textId="3CD755FB" w:rsidR="00F54089" w:rsidRPr="00180522" w:rsidRDefault="00F54089" w:rsidP="00C95497">
      <w:pPr>
        <w:numPr>
          <w:ilvl w:val="0"/>
          <w:numId w:val="64"/>
        </w:numPr>
        <w:rPr>
          <w:lang w:val="en-GB"/>
        </w:rPr>
      </w:pPr>
      <w:r w:rsidRPr="00180522">
        <w:rPr>
          <w:lang w:val="en-GB"/>
        </w:rPr>
        <w:t>SG2</w:t>
      </w:r>
      <w:r w:rsidR="00611AFD" w:rsidRPr="00180522">
        <w:rPr>
          <w:lang w:val="en-GB"/>
        </w:rPr>
        <w:t>-RGARB</w:t>
      </w:r>
      <w:r w:rsidRPr="00180522">
        <w:rPr>
          <w:lang w:val="en-GB"/>
        </w:rPr>
        <w:t>: Cairo, Egypt, 4-6 December 2018</w:t>
      </w:r>
      <w:r w:rsidR="007B01BA" w:rsidRPr="00180522">
        <w:rPr>
          <w:lang w:val="en-GB"/>
        </w:rPr>
        <w:t>: 26 participants.</w:t>
      </w:r>
    </w:p>
    <w:p w14:paraId="1994796A" w14:textId="2FAD7509" w:rsidR="00F54089" w:rsidRPr="00180522" w:rsidRDefault="0059207D" w:rsidP="00C95497">
      <w:pPr>
        <w:numPr>
          <w:ilvl w:val="0"/>
          <w:numId w:val="64"/>
        </w:numPr>
        <w:rPr>
          <w:lang w:val="en-GB"/>
        </w:rPr>
      </w:pPr>
      <w:r w:rsidRPr="00180522">
        <w:rPr>
          <w:lang w:val="en-GB"/>
        </w:rPr>
        <w:t>SG3</w:t>
      </w:r>
      <w:r w:rsidR="00611AFD" w:rsidRPr="00180522">
        <w:rPr>
          <w:lang w:val="en-GB"/>
        </w:rPr>
        <w:t>-RGARB</w:t>
      </w:r>
      <w:r w:rsidRPr="00180522">
        <w:rPr>
          <w:lang w:val="en-GB"/>
        </w:rPr>
        <w:t xml:space="preserve">: </w:t>
      </w:r>
      <w:r w:rsidR="00900B56" w:rsidRPr="00180522">
        <w:rPr>
          <w:lang w:val="en-GB"/>
        </w:rPr>
        <w:t>Kuwait City</w:t>
      </w:r>
      <w:r w:rsidR="00A703AD" w:rsidRPr="00180522">
        <w:rPr>
          <w:lang w:val="en-GB"/>
        </w:rPr>
        <w:t xml:space="preserve">, </w:t>
      </w:r>
      <w:r w:rsidR="00900B56" w:rsidRPr="00180522">
        <w:rPr>
          <w:lang w:val="en-GB"/>
        </w:rPr>
        <w:t>Kuwait</w:t>
      </w:r>
      <w:r w:rsidR="00A703AD" w:rsidRPr="00180522">
        <w:rPr>
          <w:lang w:val="en-GB"/>
        </w:rPr>
        <w:t>,</w:t>
      </w:r>
      <w:r w:rsidR="00900B56" w:rsidRPr="00180522">
        <w:rPr>
          <w:lang w:val="en-GB"/>
        </w:rPr>
        <w:t xml:space="preserve"> 19</w:t>
      </w:r>
      <w:r w:rsidR="00A703AD" w:rsidRPr="00180522">
        <w:rPr>
          <w:lang w:val="en-GB"/>
        </w:rPr>
        <w:t>-</w:t>
      </w:r>
      <w:r w:rsidR="00900B56" w:rsidRPr="00180522">
        <w:rPr>
          <w:lang w:val="en-GB"/>
        </w:rPr>
        <w:t xml:space="preserve">20 December </w:t>
      </w:r>
      <w:r w:rsidRPr="00180522">
        <w:rPr>
          <w:lang w:val="en-GB"/>
        </w:rPr>
        <w:t>2018</w:t>
      </w:r>
      <w:r w:rsidR="004D7AB4" w:rsidRPr="00180522">
        <w:rPr>
          <w:lang w:val="en-GB"/>
        </w:rPr>
        <w:t>: 36 participants.</w:t>
      </w:r>
    </w:p>
    <w:p w14:paraId="5627BC6B" w14:textId="3A36E90F" w:rsidR="0059207D" w:rsidRPr="00180522" w:rsidRDefault="00BF030E" w:rsidP="00C95497">
      <w:pPr>
        <w:numPr>
          <w:ilvl w:val="0"/>
          <w:numId w:val="64"/>
        </w:numPr>
        <w:rPr>
          <w:rStyle w:val="Strong"/>
          <w:b w:val="0"/>
          <w:bCs w:val="0"/>
          <w:szCs w:val="24"/>
          <w:lang w:val="en-GB"/>
        </w:rPr>
      </w:pPr>
      <w:r w:rsidRPr="00180522">
        <w:rPr>
          <w:lang w:val="en-GB"/>
        </w:rPr>
        <w:t>SG5</w:t>
      </w:r>
      <w:r w:rsidR="00611AFD" w:rsidRPr="00180522">
        <w:rPr>
          <w:lang w:val="en-GB"/>
        </w:rPr>
        <w:t>-RGARB</w:t>
      </w:r>
      <w:r w:rsidRPr="00180522">
        <w:rPr>
          <w:lang w:val="en-GB"/>
        </w:rPr>
        <w:t xml:space="preserve">: </w:t>
      </w:r>
      <w:r w:rsidR="00900B56" w:rsidRPr="00180522">
        <w:rPr>
          <w:rStyle w:val="Strong"/>
          <w:b w:val="0"/>
          <w:szCs w:val="24"/>
          <w:lang w:val="en-GB"/>
        </w:rPr>
        <w:t xml:space="preserve">Kuwait city, </w:t>
      </w:r>
      <w:r w:rsidRPr="00180522">
        <w:rPr>
          <w:rStyle w:val="Strong"/>
          <w:b w:val="0"/>
          <w:szCs w:val="24"/>
          <w:lang w:val="en-GB"/>
        </w:rPr>
        <w:t>Kuwait, 18 December 2018</w:t>
      </w:r>
      <w:r w:rsidR="004D7AB4" w:rsidRPr="00180522">
        <w:rPr>
          <w:rStyle w:val="Strong"/>
          <w:b w:val="0"/>
          <w:szCs w:val="24"/>
          <w:lang w:val="en-GB"/>
        </w:rPr>
        <w:t>: 26 participants.</w:t>
      </w:r>
    </w:p>
    <w:p w14:paraId="21B3C919" w14:textId="41F98DCD" w:rsidR="00FC5599" w:rsidRPr="00180522" w:rsidRDefault="00FC5599" w:rsidP="00C95497">
      <w:pPr>
        <w:numPr>
          <w:ilvl w:val="0"/>
          <w:numId w:val="64"/>
        </w:numPr>
        <w:rPr>
          <w:lang w:val="en-GB"/>
        </w:rPr>
      </w:pPr>
      <w:r w:rsidRPr="00180522">
        <w:rPr>
          <w:lang w:val="en-GB"/>
        </w:rPr>
        <w:t>SG17</w:t>
      </w:r>
      <w:r w:rsidR="00611AFD" w:rsidRPr="00180522">
        <w:rPr>
          <w:lang w:val="en-GB"/>
        </w:rPr>
        <w:t>-RGARB</w:t>
      </w:r>
      <w:r w:rsidRPr="00180522">
        <w:rPr>
          <w:lang w:val="en-GB"/>
        </w:rPr>
        <w:t>: Tunis, Tunisia, 2-3 April 2019</w:t>
      </w:r>
      <w:r w:rsidR="004D7AB4" w:rsidRPr="00180522">
        <w:rPr>
          <w:lang w:val="en-GB"/>
        </w:rPr>
        <w:t>: 22 participants.</w:t>
      </w:r>
    </w:p>
    <w:p w14:paraId="04F4D49A" w14:textId="55B1DC6B" w:rsidR="00ED0923" w:rsidRPr="00180522" w:rsidRDefault="00ED0923" w:rsidP="00C95497">
      <w:pPr>
        <w:numPr>
          <w:ilvl w:val="0"/>
          <w:numId w:val="64"/>
        </w:numPr>
        <w:rPr>
          <w:b/>
          <w:lang w:val="en-GB"/>
        </w:rPr>
      </w:pPr>
      <w:r w:rsidRPr="00180522">
        <w:rPr>
          <w:lang w:val="en-GB"/>
        </w:rPr>
        <w:t>SG17</w:t>
      </w:r>
      <w:r w:rsidR="00611AFD" w:rsidRPr="00180522">
        <w:rPr>
          <w:lang w:val="en-GB"/>
        </w:rPr>
        <w:t>-RGARB</w:t>
      </w:r>
      <w:r w:rsidRPr="00180522">
        <w:rPr>
          <w:lang w:val="en-GB"/>
        </w:rPr>
        <w:t xml:space="preserve">: </w:t>
      </w:r>
      <w:r w:rsidRPr="00180522">
        <w:rPr>
          <w:rStyle w:val="Strong"/>
          <w:b w:val="0"/>
          <w:szCs w:val="24"/>
          <w:lang w:val="en-GB"/>
        </w:rPr>
        <w:t xml:space="preserve">Kuwait City, </w:t>
      </w:r>
      <w:r w:rsidR="00A703AD" w:rsidRPr="00180522">
        <w:rPr>
          <w:rStyle w:val="Strong"/>
          <w:b w:val="0"/>
          <w:szCs w:val="24"/>
          <w:lang w:val="en-GB"/>
        </w:rPr>
        <w:t xml:space="preserve">Kuwait, </w:t>
      </w:r>
      <w:r w:rsidRPr="00180522">
        <w:rPr>
          <w:rStyle w:val="Strong"/>
          <w:b w:val="0"/>
          <w:szCs w:val="24"/>
          <w:lang w:val="en-GB"/>
        </w:rPr>
        <w:t>25</w:t>
      </w:r>
      <w:r w:rsidR="00900B56" w:rsidRPr="00180522">
        <w:rPr>
          <w:rStyle w:val="Strong"/>
          <w:b w:val="0"/>
          <w:szCs w:val="24"/>
          <w:lang w:val="en-GB"/>
        </w:rPr>
        <w:t xml:space="preserve"> O</w:t>
      </w:r>
      <w:r w:rsidRPr="00180522">
        <w:rPr>
          <w:rStyle w:val="Strong"/>
          <w:b w:val="0"/>
          <w:szCs w:val="24"/>
          <w:lang w:val="en-GB"/>
        </w:rPr>
        <w:t>ctober 2018</w:t>
      </w:r>
      <w:r w:rsidR="004D7AB4" w:rsidRPr="00180522">
        <w:rPr>
          <w:rStyle w:val="Strong"/>
          <w:b w:val="0"/>
          <w:szCs w:val="24"/>
          <w:lang w:val="en-GB"/>
        </w:rPr>
        <w:t>: 18 participants.</w:t>
      </w:r>
    </w:p>
    <w:p w14:paraId="1CE6596D" w14:textId="2C6F9DC8" w:rsidR="006944F8" w:rsidRPr="00180522" w:rsidRDefault="005F7DA6" w:rsidP="00C95497">
      <w:pPr>
        <w:numPr>
          <w:ilvl w:val="0"/>
          <w:numId w:val="61"/>
        </w:numPr>
        <w:rPr>
          <w:lang w:val="en-GB"/>
        </w:rPr>
      </w:pPr>
      <w:r w:rsidRPr="00180522">
        <w:rPr>
          <w:lang w:val="en-GB"/>
        </w:rPr>
        <w:t>Four</w:t>
      </w:r>
      <w:r w:rsidR="006944F8" w:rsidRPr="00180522">
        <w:rPr>
          <w:lang w:val="en-GB"/>
        </w:rPr>
        <w:t xml:space="preserve"> for Eastern Europe, Central Asia and Transcaucasia (Study Groups </w:t>
      </w:r>
      <w:r w:rsidRPr="00180522">
        <w:rPr>
          <w:lang w:val="en-GB"/>
        </w:rPr>
        <w:t xml:space="preserve">3, </w:t>
      </w:r>
      <w:r w:rsidR="006944F8" w:rsidRPr="00180522">
        <w:rPr>
          <w:lang w:val="en-GB"/>
        </w:rPr>
        <w:t>11</w:t>
      </w:r>
      <w:r w:rsidRPr="00180522">
        <w:rPr>
          <w:lang w:val="en-GB"/>
        </w:rPr>
        <w:t>, 13</w:t>
      </w:r>
      <w:r w:rsidR="006944F8" w:rsidRPr="00180522">
        <w:rPr>
          <w:lang w:val="en-GB"/>
        </w:rPr>
        <w:t xml:space="preserve"> and 20).</w:t>
      </w:r>
    </w:p>
    <w:p w14:paraId="7BABF596" w14:textId="406E5F71" w:rsidR="00CD457B" w:rsidRPr="00180522" w:rsidRDefault="001803D3" w:rsidP="00C95497">
      <w:pPr>
        <w:numPr>
          <w:ilvl w:val="0"/>
          <w:numId w:val="66"/>
        </w:numPr>
        <w:rPr>
          <w:lang w:val="en-GB"/>
        </w:rPr>
      </w:pPr>
      <w:r w:rsidRPr="00180522">
        <w:rPr>
          <w:lang w:val="en-GB"/>
        </w:rPr>
        <w:t>SG3</w:t>
      </w:r>
      <w:r w:rsidR="00611AFD" w:rsidRPr="00180522">
        <w:rPr>
          <w:lang w:val="en-GB"/>
        </w:rPr>
        <w:t>-RGEECAT</w:t>
      </w:r>
      <w:r w:rsidRPr="00180522">
        <w:rPr>
          <w:lang w:val="en-GB"/>
        </w:rPr>
        <w:t>: Saint Petersburg</w:t>
      </w:r>
      <w:r w:rsidR="00A703AD" w:rsidRPr="00180522">
        <w:rPr>
          <w:lang w:val="en-GB"/>
        </w:rPr>
        <w:t xml:space="preserve">, </w:t>
      </w:r>
      <w:r w:rsidRPr="00180522">
        <w:rPr>
          <w:lang w:val="en-GB"/>
        </w:rPr>
        <w:t>Russian Federation</w:t>
      </w:r>
      <w:r w:rsidR="00A703AD" w:rsidRPr="00180522">
        <w:rPr>
          <w:lang w:val="en-GB"/>
        </w:rPr>
        <w:t xml:space="preserve">, </w:t>
      </w:r>
      <w:r w:rsidRPr="00180522">
        <w:rPr>
          <w:lang w:val="en-GB"/>
        </w:rPr>
        <w:t>21 May 2019</w:t>
      </w:r>
      <w:r w:rsidR="004A0BAC" w:rsidRPr="00180522">
        <w:rPr>
          <w:lang w:val="en-GB"/>
        </w:rPr>
        <w:t>: 23 participants.</w:t>
      </w:r>
    </w:p>
    <w:p w14:paraId="5D6ED3B2" w14:textId="5342E998" w:rsidR="001803D3" w:rsidRPr="00180522" w:rsidRDefault="001803D3" w:rsidP="00C95497">
      <w:pPr>
        <w:numPr>
          <w:ilvl w:val="0"/>
          <w:numId w:val="66"/>
        </w:numPr>
        <w:rPr>
          <w:lang w:val="en-GB"/>
        </w:rPr>
      </w:pPr>
      <w:r w:rsidRPr="00180522">
        <w:rPr>
          <w:lang w:val="en-GB"/>
        </w:rPr>
        <w:t>SG11</w:t>
      </w:r>
      <w:r w:rsidR="00611AFD" w:rsidRPr="00180522">
        <w:rPr>
          <w:lang w:val="en-GB"/>
        </w:rPr>
        <w:t>-RGEECAT</w:t>
      </w:r>
      <w:r w:rsidRPr="00180522">
        <w:rPr>
          <w:lang w:val="en-GB"/>
        </w:rPr>
        <w:t>: Saint Petersburg</w:t>
      </w:r>
      <w:r w:rsidR="00A703AD" w:rsidRPr="00180522">
        <w:rPr>
          <w:lang w:val="en-GB"/>
        </w:rPr>
        <w:t xml:space="preserve">, </w:t>
      </w:r>
      <w:r w:rsidRPr="00180522">
        <w:rPr>
          <w:lang w:val="en-GB"/>
        </w:rPr>
        <w:t>Russian Federation,</w:t>
      </w:r>
      <w:r w:rsidR="001C37A8" w:rsidRPr="00180522">
        <w:rPr>
          <w:lang w:val="en-GB"/>
        </w:rPr>
        <w:t xml:space="preserve"> </w:t>
      </w:r>
      <w:r w:rsidR="000D066D" w:rsidRPr="00180522">
        <w:rPr>
          <w:lang w:val="en-GB"/>
        </w:rPr>
        <w:t xml:space="preserve">21-22 </w:t>
      </w:r>
      <w:r w:rsidRPr="00180522">
        <w:rPr>
          <w:lang w:val="en-GB"/>
        </w:rPr>
        <w:t>May 2019</w:t>
      </w:r>
      <w:r w:rsidR="004A0BAC" w:rsidRPr="00180522">
        <w:rPr>
          <w:lang w:val="en-GB"/>
        </w:rPr>
        <w:t>: 23 participants.</w:t>
      </w:r>
    </w:p>
    <w:p w14:paraId="66BBCC91" w14:textId="490860CF" w:rsidR="001803D3" w:rsidRPr="00180522" w:rsidRDefault="00246F84" w:rsidP="00C95497">
      <w:pPr>
        <w:numPr>
          <w:ilvl w:val="0"/>
          <w:numId w:val="66"/>
        </w:numPr>
        <w:rPr>
          <w:lang w:val="en-GB"/>
        </w:rPr>
      </w:pPr>
      <w:r w:rsidRPr="00180522">
        <w:rPr>
          <w:lang w:val="en-GB"/>
        </w:rPr>
        <w:t>SG13</w:t>
      </w:r>
      <w:r w:rsidR="00611AFD" w:rsidRPr="00180522">
        <w:rPr>
          <w:lang w:val="en-GB"/>
        </w:rPr>
        <w:t>-RGEECAT</w:t>
      </w:r>
      <w:r w:rsidRPr="00180522">
        <w:rPr>
          <w:lang w:val="en-GB"/>
        </w:rPr>
        <w:t>: Saint Petersburg, Russian Federation</w:t>
      </w:r>
      <w:r w:rsidR="00A703AD" w:rsidRPr="00180522">
        <w:rPr>
          <w:lang w:val="en-GB"/>
        </w:rPr>
        <w:t>, 23 May 2019</w:t>
      </w:r>
      <w:r w:rsidR="001216FB" w:rsidRPr="00180522">
        <w:rPr>
          <w:lang w:val="en-GB"/>
        </w:rPr>
        <w:t xml:space="preserve">: </w:t>
      </w:r>
      <w:r w:rsidR="00713380" w:rsidRPr="00180522">
        <w:rPr>
          <w:lang w:val="en-GB"/>
        </w:rPr>
        <w:t>25</w:t>
      </w:r>
      <w:r w:rsidR="001216FB" w:rsidRPr="00180522">
        <w:rPr>
          <w:lang w:val="en-GB"/>
        </w:rPr>
        <w:t xml:space="preserve"> participants.</w:t>
      </w:r>
    </w:p>
    <w:p w14:paraId="66D5E295" w14:textId="6176B0F3" w:rsidR="00246F84" w:rsidRPr="00180522" w:rsidRDefault="00A84A17" w:rsidP="00C95497">
      <w:pPr>
        <w:numPr>
          <w:ilvl w:val="0"/>
          <w:numId w:val="66"/>
        </w:numPr>
        <w:rPr>
          <w:lang w:val="en-GB"/>
        </w:rPr>
      </w:pPr>
      <w:r w:rsidRPr="00180522">
        <w:rPr>
          <w:lang w:val="en-GB"/>
        </w:rPr>
        <w:t>SG20</w:t>
      </w:r>
      <w:r w:rsidR="00611AFD" w:rsidRPr="00180522">
        <w:rPr>
          <w:lang w:val="en-GB"/>
        </w:rPr>
        <w:t>-RGEECAT</w:t>
      </w:r>
      <w:r w:rsidRPr="00180522">
        <w:rPr>
          <w:lang w:val="en-GB"/>
        </w:rPr>
        <w:t xml:space="preserve">: </w:t>
      </w:r>
      <w:r w:rsidR="00A703AD" w:rsidRPr="00180522">
        <w:rPr>
          <w:lang w:val="en-GB"/>
        </w:rPr>
        <w:t xml:space="preserve">Minsk, Belarus, </w:t>
      </w:r>
      <w:r w:rsidRPr="00180522">
        <w:rPr>
          <w:lang w:val="en-GB"/>
        </w:rPr>
        <w:t>26-28 Fe</w:t>
      </w:r>
      <w:r w:rsidR="000D066D" w:rsidRPr="00180522">
        <w:rPr>
          <w:lang w:val="en-GB"/>
        </w:rPr>
        <w:t xml:space="preserve">bruary </w:t>
      </w:r>
      <w:r w:rsidRPr="00180522">
        <w:rPr>
          <w:lang w:val="en-GB"/>
        </w:rPr>
        <w:t>2019</w:t>
      </w:r>
      <w:r w:rsidR="00142F3D" w:rsidRPr="00180522">
        <w:rPr>
          <w:lang w:val="en-GB"/>
        </w:rPr>
        <w:t>: 30 participants.</w:t>
      </w:r>
    </w:p>
    <w:p w14:paraId="4C016292" w14:textId="5F8AC5C2" w:rsidR="006944F8" w:rsidRPr="00180522" w:rsidRDefault="00D64AF8" w:rsidP="006944F8">
      <w:pPr>
        <w:pStyle w:val="Heading2"/>
      </w:pPr>
      <w:bookmarkStart w:id="121" w:name="_Toc18509759"/>
      <w:r w:rsidRPr="00180522">
        <w:t>7</w:t>
      </w:r>
      <w:r w:rsidR="006944F8" w:rsidRPr="00180522">
        <w:t>.3</w:t>
      </w:r>
      <w:r w:rsidR="006944F8" w:rsidRPr="00180522">
        <w:tab/>
      </w:r>
      <w:r w:rsidRPr="00180522">
        <w:t xml:space="preserve">Regional </w:t>
      </w:r>
      <w:r w:rsidR="006944F8" w:rsidRPr="00180522">
        <w:t>Standardization Forums</w:t>
      </w:r>
      <w:bookmarkEnd w:id="120"/>
      <w:bookmarkEnd w:id="121"/>
    </w:p>
    <w:p w14:paraId="6C2F48D0" w14:textId="216F4C9F" w:rsidR="006944F8" w:rsidRPr="00180522" w:rsidRDefault="006944F8" w:rsidP="006944F8">
      <w:pPr>
        <w:rPr>
          <w:lang w:val="en-GB"/>
        </w:rPr>
      </w:pPr>
      <w:r w:rsidRPr="00180522">
        <w:rPr>
          <w:lang w:val="en-GB"/>
        </w:rPr>
        <w:t xml:space="preserve">Regional Standardization Forums </w:t>
      </w:r>
      <w:r w:rsidR="00A74E8B" w:rsidRPr="00180522">
        <w:rPr>
          <w:lang w:val="en-GB"/>
        </w:rPr>
        <w:t xml:space="preserve">(RSFs) </w:t>
      </w:r>
      <w:r w:rsidRPr="00180522">
        <w:rPr>
          <w:lang w:val="en-GB"/>
        </w:rPr>
        <w:t xml:space="preserve">provide tutorials on ITU-T working methods as well as more technically-oriented themes such as human exposure to </w:t>
      </w:r>
      <w:r w:rsidR="00E738E0" w:rsidRPr="00180522">
        <w:rPr>
          <w:lang w:val="en-GB"/>
        </w:rPr>
        <w:t>electromagnetic fields</w:t>
      </w:r>
      <w:r w:rsidRPr="00180522">
        <w:rPr>
          <w:lang w:val="en-GB"/>
        </w:rPr>
        <w:t xml:space="preserve">, quality of </w:t>
      </w:r>
      <w:r w:rsidRPr="00180522">
        <w:rPr>
          <w:lang w:val="en-GB"/>
        </w:rPr>
        <w:lastRenderedPageBreak/>
        <w:t>service, smart water management, international mobile roaming, mobile financial services, digital identity, big data, and security and trust.</w:t>
      </w:r>
    </w:p>
    <w:p w14:paraId="696FDA3E" w14:textId="7E30EA46" w:rsidR="00A74E8B" w:rsidRPr="00180522" w:rsidRDefault="006944F8" w:rsidP="00410E97">
      <w:pPr>
        <w:spacing w:after="120"/>
        <w:rPr>
          <w:lang w:val="en-GB"/>
        </w:rPr>
      </w:pPr>
      <w:r w:rsidRPr="00180522">
        <w:rPr>
          <w:lang w:val="en-GB"/>
        </w:rPr>
        <w:t>R</w:t>
      </w:r>
      <w:r w:rsidR="00A74E8B" w:rsidRPr="00180522">
        <w:rPr>
          <w:lang w:val="en-GB"/>
        </w:rPr>
        <w:t xml:space="preserve">SFs are being held in conjunction with meetings Regional Groups to improve the alignment of RSF discussions and the </w:t>
      </w:r>
      <w:r w:rsidRPr="00180522">
        <w:rPr>
          <w:lang w:val="en-GB"/>
        </w:rPr>
        <w:t xml:space="preserve">priorities of ITU-T </w:t>
      </w:r>
      <w:r w:rsidR="00A74E8B" w:rsidRPr="00180522">
        <w:rPr>
          <w:lang w:val="en-GB"/>
        </w:rPr>
        <w:t>S</w:t>
      </w:r>
      <w:r w:rsidRPr="00180522">
        <w:rPr>
          <w:lang w:val="en-GB"/>
        </w:rPr>
        <w:t xml:space="preserve">tudy </w:t>
      </w:r>
      <w:r w:rsidR="00A74E8B" w:rsidRPr="00180522">
        <w:rPr>
          <w:lang w:val="en-GB"/>
        </w:rPr>
        <w:t>G</w:t>
      </w:r>
      <w:r w:rsidRPr="00180522">
        <w:rPr>
          <w:lang w:val="en-GB"/>
        </w:rPr>
        <w:t xml:space="preserve">roups, </w:t>
      </w:r>
      <w:r w:rsidR="00A74E8B" w:rsidRPr="00180522">
        <w:rPr>
          <w:lang w:val="en-GB"/>
        </w:rPr>
        <w:t xml:space="preserve">being </w:t>
      </w:r>
      <w:r w:rsidRPr="00180522">
        <w:rPr>
          <w:lang w:val="en-GB"/>
        </w:rPr>
        <w:t xml:space="preserve">held in coordination with </w:t>
      </w:r>
      <w:r w:rsidR="00A74E8B" w:rsidRPr="00180522">
        <w:rPr>
          <w:lang w:val="en-GB"/>
        </w:rPr>
        <w:t>R</w:t>
      </w:r>
      <w:r w:rsidRPr="00180522">
        <w:rPr>
          <w:lang w:val="en-GB"/>
        </w:rPr>
        <w:t>egional</w:t>
      </w:r>
      <w:r w:rsidR="00A74E8B" w:rsidRPr="00180522">
        <w:rPr>
          <w:lang w:val="en-GB"/>
        </w:rPr>
        <w:t xml:space="preserve"> G</w:t>
      </w:r>
      <w:r w:rsidRPr="00180522">
        <w:rPr>
          <w:lang w:val="en-GB"/>
        </w:rPr>
        <w:t xml:space="preserve">roups. RSFs are also raising awareness of our standards activities through the participation of key decision makers (Prime </w:t>
      </w:r>
      <w:r w:rsidR="00A74E8B" w:rsidRPr="00180522">
        <w:rPr>
          <w:lang w:val="en-GB"/>
        </w:rPr>
        <w:t>M</w:t>
      </w:r>
      <w:r w:rsidRPr="00180522">
        <w:rPr>
          <w:lang w:val="en-GB"/>
        </w:rPr>
        <w:t xml:space="preserve">inisters, Ministers, </w:t>
      </w:r>
      <w:r w:rsidR="00A74E8B" w:rsidRPr="00180522">
        <w:rPr>
          <w:lang w:val="en-GB"/>
        </w:rPr>
        <w:t>H</w:t>
      </w:r>
      <w:r w:rsidRPr="00180522">
        <w:rPr>
          <w:lang w:val="en-GB"/>
        </w:rPr>
        <w:t>ead</w:t>
      </w:r>
      <w:r w:rsidR="00A74E8B" w:rsidRPr="00180522">
        <w:rPr>
          <w:lang w:val="en-GB"/>
        </w:rPr>
        <w:t>s</w:t>
      </w:r>
      <w:r w:rsidRPr="00180522">
        <w:rPr>
          <w:lang w:val="en-GB"/>
        </w:rPr>
        <w:t xml:space="preserve"> of Regulators, C</w:t>
      </w:r>
      <w:r w:rsidR="00A74E8B" w:rsidRPr="00180522">
        <w:rPr>
          <w:lang w:val="en-GB"/>
        </w:rPr>
        <w:t>E</w:t>
      </w:r>
      <w:r w:rsidRPr="00180522">
        <w:rPr>
          <w:lang w:val="en-GB"/>
        </w:rPr>
        <w:t>Os</w:t>
      </w:r>
      <w:r w:rsidR="00A74E8B" w:rsidRPr="00180522">
        <w:rPr>
          <w:lang w:val="en-GB"/>
        </w:rPr>
        <w:t>,</w:t>
      </w:r>
      <w:r w:rsidRPr="00180522">
        <w:rPr>
          <w:lang w:val="en-GB"/>
        </w:rPr>
        <w:t xml:space="preserve"> etc</w:t>
      </w:r>
      <w:r w:rsidR="00A74E8B" w:rsidRPr="00180522">
        <w:rPr>
          <w:lang w:val="en-GB"/>
        </w:rPr>
        <w:t>.)</w:t>
      </w:r>
      <w:r w:rsidR="00B34CEA" w:rsidRPr="00180522">
        <w:rPr>
          <w:lang w:val="en-GB"/>
        </w:rPr>
        <w:t>.</w:t>
      </w:r>
    </w:p>
    <w:p w14:paraId="2242F2AC" w14:textId="7D24B16C" w:rsidR="00644206" w:rsidRPr="00180522" w:rsidRDefault="006944F8" w:rsidP="008A2F29">
      <w:pPr>
        <w:spacing w:after="120"/>
        <w:rPr>
          <w:lang w:val="en-GB"/>
        </w:rPr>
      </w:pPr>
      <w:r w:rsidRPr="00180522">
        <w:rPr>
          <w:lang w:val="en-GB"/>
        </w:rPr>
        <w:t xml:space="preserve">The </w:t>
      </w:r>
      <w:hyperlink r:id="rId126" w:history="1">
        <w:r w:rsidR="00644206" w:rsidRPr="00180522">
          <w:rPr>
            <w:bCs/>
            <w:color w:val="0000FF"/>
            <w:u w:val="single"/>
            <w:lang w:val="en-GB"/>
          </w:rPr>
          <w:t>ITU Regional Standardization Forum on Emerging Economic, Regulatory and Policy Trends in a Fast-Changing Digital World</w:t>
        </w:r>
      </w:hyperlink>
      <w:r w:rsidR="00644206" w:rsidRPr="00180522">
        <w:rPr>
          <w:lang w:val="en-GB"/>
        </w:rPr>
        <w:t xml:space="preserve"> </w:t>
      </w:r>
      <w:r w:rsidR="00E738E0" w:rsidRPr="00180522">
        <w:rPr>
          <w:lang w:val="en-GB"/>
        </w:rPr>
        <w:t xml:space="preserve">was held in </w:t>
      </w:r>
      <w:r w:rsidR="00644206" w:rsidRPr="00180522">
        <w:rPr>
          <w:lang w:val="en-GB"/>
        </w:rPr>
        <w:t>Kuwait City, Kuwait, 17 December 2018.</w:t>
      </w:r>
    </w:p>
    <w:p w14:paraId="65E0F8BE" w14:textId="63D9EFEE" w:rsidR="006944F8" w:rsidRPr="00180522" w:rsidRDefault="00D64AF8" w:rsidP="0033393D">
      <w:pPr>
        <w:pStyle w:val="Heading2"/>
      </w:pPr>
      <w:bookmarkStart w:id="122" w:name="_Toc475354525"/>
      <w:bookmarkStart w:id="123" w:name="_Toc480527850"/>
      <w:bookmarkStart w:id="124" w:name="_Toc18509760"/>
      <w:r w:rsidRPr="00180522">
        <w:t>7</w:t>
      </w:r>
      <w:r w:rsidR="006944F8" w:rsidRPr="00180522">
        <w:t>.4</w:t>
      </w:r>
      <w:r w:rsidR="006944F8" w:rsidRPr="00180522">
        <w:tab/>
      </w:r>
      <w:bookmarkStart w:id="125" w:name="_Toc475354527"/>
      <w:bookmarkStart w:id="126" w:name="_Toc480527852"/>
      <w:bookmarkEnd w:id="122"/>
      <w:bookmarkEnd w:id="123"/>
      <w:r w:rsidR="006944F8" w:rsidRPr="00180522">
        <w:t>National Standardization Secretariats</w:t>
      </w:r>
      <w:bookmarkEnd w:id="124"/>
    </w:p>
    <w:p w14:paraId="382E70EC" w14:textId="7EF52342" w:rsidR="006944F8" w:rsidRPr="00180522" w:rsidRDefault="006944F8" w:rsidP="008A2F29">
      <w:pPr>
        <w:keepNext/>
        <w:keepLines/>
        <w:rPr>
          <w:lang w:val="en-GB"/>
        </w:rPr>
      </w:pPr>
      <w:r w:rsidRPr="00180522">
        <w:rPr>
          <w:lang w:val="en-GB"/>
        </w:rPr>
        <w:t xml:space="preserve">ITU-T </w:t>
      </w:r>
      <w:r w:rsidR="000C01CD" w:rsidRPr="00180522">
        <w:rPr>
          <w:lang w:val="en-GB"/>
        </w:rPr>
        <w:t>has</w:t>
      </w:r>
      <w:r w:rsidRPr="00180522">
        <w:rPr>
          <w:lang w:val="en-GB"/>
        </w:rPr>
        <w:t xml:space="preserve"> finali</w:t>
      </w:r>
      <w:r w:rsidR="000C01CD" w:rsidRPr="00180522">
        <w:rPr>
          <w:lang w:val="en-GB"/>
        </w:rPr>
        <w:t>zed</w:t>
      </w:r>
      <w:r w:rsidRPr="00180522">
        <w:rPr>
          <w:lang w:val="en-GB"/>
        </w:rPr>
        <w:t xml:space="preserve"> </w:t>
      </w:r>
      <w:hyperlink r:id="rId127" w:history="1">
        <w:r w:rsidRPr="00180522">
          <w:rPr>
            <w:rStyle w:val="Hyperlink"/>
            <w:lang w:val="en-GB"/>
          </w:rPr>
          <w:t xml:space="preserve">new Guidelines for </w:t>
        </w:r>
        <w:r w:rsidR="00A74E8B" w:rsidRPr="00180522">
          <w:rPr>
            <w:rStyle w:val="Hyperlink"/>
            <w:lang w:val="en-GB"/>
          </w:rPr>
          <w:t>National Standardization Secretariats (</w:t>
        </w:r>
        <w:r w:rsidRPr="00180522">
          <w:rPr>
            <w:rStyle w:val="Hyperlink"/>
            <w:lang w:val="en-GB"/>
          </w:rPr>
          <w:t>NSS</w:t>
        </w:r>
        <w:r w:rsidR="00A74E8B" w:rsidRPr="00180522">
          <w:rPr>
            <w:rStyle w:val="Hyperlink"/>
            <w:lang w:val="en-GB"/>
          </w:rPr>
          <w:t>)</w:t>
        </w:r>
      </w:hyperlink>
      <w:r w:rsidR="00A74E8B" w:rsidRPr="00180522">
        <w:rPr>
          <w:lang w:val="en-GB"/>
        </w:rPr>
        <w:t>,</w:t>
      </w:r>
      <w:r w:rsidRPr="00180522">
        <w:rPr>
          <w:lang w:val="en-GB"/>
        </w:rPr>
        <w:t xml:space="preserve"> taking in</w:t>
      </w:r>
      <w:r w:rsidR="007D74A5" w:rsidRPr="00180522">
        <w:rPr>
          <w:lang w:val="en-GB"/>
        </w:rPr>
        <w:t>to</w:t>
      </w:r>
      <w:r w:rsidRPr="00180522">
        <w:rPr>
          <w:lang w:val="en-GB"/>
        </w:rPr>
        <w:t xml:space="preserve"> account the Membership feedback on the </w:t>
      </w:r>
      <w:r w:rsidR="000C01CD" w:rsidRPr="00180522">
        <w:rPr>
          <w:lang w:val="en-GB"/>
        </w:rPr>
        <w:t>Guidelines</w:t>
      </w:r>
      <w:r w:rsidR="007D74A5" w:rsidRPr="00180522">
        <w:rPr>
          <w:lang w:val="en-GB"/>
        </w:rPr>
        <w:t xml:space="preserve"> first </w:t>
      </w:r>
      <w:r w:rsidRPr="00180522">
        <w:rPr>
          <w:lang w:val="en-GB"/>
        </w:rPr>
        <w:t>published in 2014. The new Guid</w:t>
      </w:r>
      <w:r w:rsidR="007D74A5" w:rsidRPr="00180522">
        <w:rPr>
          <w:lang w:val="en-GB"/>
        </w:rPr>
        <w:t>e</w:t>
      </w:r>
      <w:r w:rsidRPr="00180522">
        <w:rPr>
          <w:lang w:val="en-GB"/>
        </w:rPr>
        <w:t xml:space="preserve">lines set out a number of options for developing national procedures and processes </w:t>
      </w:r>
      <w:r w:rsidR="00A74E8B" w:rsidRPr="00180522">
        <w:rPr>
          <w:lang w:val="en-GB"/>
        </w:rPr>
        <w:t xml:space="preserve">to support </w:t>
      </w:r>
      <w:r w:rsidRPr="00180522">
        <w:rPr>
          <w:lang w:val="en-GB"/>
        </w:rPr>
        <w:t>effective participati</w:t>
      </w:r>
      <w:r w:rsidR="00A74E8B" w:rsidRPr="00180522">
        <w:rPr>
          <w:lang w:val="en-GB"/>
        </w:rPr>
        <w:t>on</w:t>
      </w:r>
      <w:r w:rsidRPr="00180522">
        <w:rPr>
          <w:lang w:val="en-GB"/>
        </w:rPr>
        <w:t xml:space="preserve"> in the ITU-T</w:t>
      </w:r>
      <w:r w:rsidR="00A74E8B" w:rsidRPr="00180522">
        <w:rPr>
          <w:lang w:val="en-GB"/>
        </w:rPr>
        <w:t xml:space="preserve"> standards-development process</w:t>
      </w:r>
      <w:r w:rsidRPr="00180522">
        <w:rPr>
          <w:lang w:val="en-GB"/>
        </w:rPr>
        <w:t>.</w:t>
      </w:r>
      <w:r w:rsidR="004B6D09" w:rsidRPr="00180522">
        <w:rPr>
          <w:lang w:val="en-GB"/>
        </w:rPr>
        <w:t xml:space="preserve"> </w:t>
      </w:r>
      <w:r w:rsidRPr="00180522">
        <w:rPr>
          <w:lang w:val="en-GB"/>
        </w:rPr>
        <w:t>A</w:t>
      </w:r>
      <w:r w:rsidR="00A74E8B" w:rsidRPr="00180522">
        <w:rPr>
          <w:lang w:val="en-GB"/>
        </w:rPr>
        <w:t xml:space="preserve">n NSS, </w:t>
      </w:r>
      <w:r w:rsidRPr="00180522">
        <w:rPr>
          <w:lang w:val="en-GB"/>
        </w:rPr>
        <w:t>as described in this document</w:t>
      </w:r>
      <w:r w:rsidR="00A74E8B" w:rsidRPr="00180522">
        <w:rPr>
          <w:lang w:val="en-GB"/>
        </w:rPr>
        <w:t xml:space="preserve">, </w:t>
      </w:r>
      <w:r w:rsidRPr="00180522">
        <w:rPr>
          <w:lang w:val="en-GB"/>
        </w:rPr>
        <w:t>is the full set of arrangements by which participation in and contributions to ITU-T are coordinated within a country</w:t>
      </w:r>
      <w:r w:rsidR="00342279" w:rsidRPr="00180522">
        <w:rPr>
          <w:lang w:val="en-GB"/>
        </w:rPr>
        <w:t xml:space="preserve">. </w:t>
      </w:r>
    </w:p>
    <w:p w14:paraId="68AEEC85" w14:textId="3BC906F0" w:rsidR="006944F8" w:rsidRPr="00180522" w:rsidRDefault="006944F8" w:rsidP="009E5FFA">
      <w:pPr>
        <w:rPr>
          <w:lang w:val="en-GB"/>
        </w:rPr>
      </w:pPr>
      <w:r w:rsidRPr="00180522">
        <w:rPr>
          <w:lang w:val="en-GB"/>
        </w:rPr>
        <w:t>An extensive set of functions that a</w:t>
      </w:r>
      <w:r w:rsidR="00342279" w:rsidRPr="00180522">
        <w:rPr>
          <w:lang w:val="en-GB"/>
        </w:rPr>
        <w:t>n NSS</w:t>
      </w:r>
      <w:r w:rsidRPr="00180522">
        <w:rPr>
          <w:lang w:val="en-GB"/>
        </w:rPr>
        <w:t xml:space="preserve"> could perform are presented</w:t>
      </w:r>
      <w:r w:rsidR="00342279" w:rsidRPr="00180522">
        <w:rPr>
          <w:lang w:val="en-GB"/>
        </w:rPr>
        <w:t>,</w:t>
      </w:r>
      <w:r w:rsidRPr="00180522">
        <w:rPr>
          <w:lang w:val="en-GB"/>
        </w:rPr>
        <w:t xml:space="preserve"> </w:t>
      </w:r>
      <w:r w:rsidR="00342279" w:rsidRPr="00180522">
        <w:rPr>
          <w:lang w:val="en-GB"/>
        </w:rPr>
        <w:t xml:space="preserve">enabling a country to </w:t>
      </w:r>
      <w:r w:rsidRPr="00180522">
        <w:rPr>
          <w:lang w:val="en-GB"/>
        </w:rPr>
        <w:t>select functions and organizational arrangements in a modular fashion</w:t>
      </w:r>
      <w:r w:rsidR="00342279" w:rsidRPr="00180522">
        <w:rPr>
          <w:lang w:val="en-GB"/>
        </w:rPr>
        <w:t xml:space="preserve">, </w:t>
      </w:r>
      <w:r w:rsidRPr="00180522">
        <w:rPr>
          <w:lang w:val="en-GB"/>
        </w:rPr>
        <w:t>considering factors such as its telecommunication standardization policies</w:t>
      </w:r>
      <w:r w:rsidR="00342279" w:rsidRPr="00180522">
        <w:rPr>
          <w:lang w:val="en-GB"/>
        </w:rPr>
        <w:t>;</w:t>
      </w:r>
      <w:r w:rsidRPr="00180522">
        <w:rPr>
          <w:lang w:val="en-GB"/>
        </w:rPr>
        <w:t xml:space="preserve"> the number and type of organizations with an interest in telecommunication standardization in the country (e.g. number of service providers, equipment manufacturers and academic </w:t>
      </w:r>
      <w:r w:rsidR="00342279" w:rsidRPr="00180522">
        <w:rPr>
          <w:lang w:val="en-GB"/>
        </w:rPr>
        <w:t xml:space="preserve">and research </w:t>
      </w:r>
      <w:r w:rsidRPr="00180522">
        <w:rPr>
          <w:lang w:val="en-GB"/>
        </w:rPr>
        <w:t>institutes)</w:t>
      </w:r>
      <w:r w:rsidR="00342279" w:rsidRPr="00180522">
        <w:rPr>
          <w:lang w:val="en-GB"/>
        </w:rPr>
        <w:t>;</w:t>
      </w:r>
      <w:r w:rsidRPr="00180522">
        <w:rPr>
          <w:lang w:val="en-GB"/>
        </w:rPr>
        <w:t xml:space="preserve"> and the level of participation in ITU-T Study Groups (e.g. whether as an initiator of work items, active contributor or observer in</w:t>
      </w:r>
      <w:r w:rsidR="007D74A5" w:rsidRPr="00180522">
        <w:rPr>
          <w:lang w:val="en-GB"/>
        </w:rPr>
        <w:t xml:space="preserve"> </w:t>
      </w:r>
      <w:r w:rsidRPr="00180522">
        <w:rPr>
          <w:lang w:val="en-GB"/>
        </w:rPr>
        <w:t xml:space="preserve">one or more </w:t>
      </w:r>
      <w:r w:rsidR="00342279" w:rsidRPr="00180522">
        <w:rPr>
          <w:lang w:val="en-GB"/>
        </w:rPr>
        <w:t xml:space="preserve">ITU-T </w:t>
      </w:r>
      <w:r w:rsidRPr="00180522">
        <w:rPr>
          <w:lang w:val="en-GB"/>
        </w:rPr>
        <w:t>Study Groups).</w:t>
      </w:r>
    </w:p>
    <w:p w14:paraId="19B4928B" w14:textId="2A1C0313" w:rsidR="006944F8" w:rsidRPr="00180522" w:rsidRDefault="00D64AF8" w:rsidP="006944F8">
      <w:pPr>
        <w:pStyle w:val="Heading2"/>
        <w:keepNext w:val="0"/>
        <w:keepLines w:val="0"/>
      </w:pPr>
      <w:bookmarkStart w:id="127" w:name="_Toc18509761"/>
      <w:r w:rsidRPr="00180522">
        <w:t>7</w:t>
      </w:r>
      <w:r w:rsidR="006944F8" w:rsidRPr="00180522">
        <w:t>.5</w:t>
      </w:r>
      <w:r w:rsidR="006944F8" w:rsidRPr="00180522">
        <w:tab/>
        <w:t>e-Learning courses</w:t>
      </w:r>
      <w:bookmarkEnd w:id="125"/>
      <w:bookmarkEnd w:id="126"/>
      <w:bookmarkEnd w:id="127"/>
    </w:p>
    <w:p w14:paraId="37E9736F" w14:textId="632F237E" w:rsidR="00C95497" w:rsidRPr="00180522" w:rsidRDefault="00342279" w:rsidP="001C37A8">
      <w:pPr>
        <w:rPr>
          <w:lang w:val="en-GB"/>
        </w:rPr>
      </w:pPr>
      <w:r w:rsidRPr="00180522">
        <w:rPr>
          <w:rFonts w:eastAsia="SimSun"/>
          <w:lang w:val="en-GB"/>
        </w:rPr>
        <w:t>O</w:t>
      </w:r>
      <w:r w:rsidR="006944F8" w:rsidRPr="00180522">
        <w:rPr>
          <w:rFonts w:eastAsia="SimSun"/>
          <w:lang w:val="en-GB"/>
        </w:rPr>
        <w:t xml:space="preserve">ne of the </w:t>
      </w:r>
      <w:r w:rsidRPr="00180522">
        <w:rPr>
          <w:rFonts w:eastAsia="SimSun"/>
          <w:lang w:val="en-GB"/>
        </w:rPr>
        <w:t xml:space="preserve">BSG </w:t>
      </w:r>
      <w:r w:rsidR="006944F8" w:rsidRPr="00180522">
        <w:rPr>
          <w:rFonts w:eastAsia="SimSun"/>
          <w:lang w:val="en-GB"/>
        </w:rPr>
        <w:t xml:space="preserve">measures adopted under </w:t>
      </w:r>
      <w:r w:rsidRPr="00180522">
        <w:rPr>
          <w:rFonts w:eastAsia="SimSun"/>
          <w:lang w:val="en-GB"/>
        </w:rPr>
        <w:t xml:space="preserve">WTSA </w:t>
      </w:r>
      <w:r w:rsidR="006944F8" w:rsidRPr="00180522">
        <w:rPr>
          <w:rFonts w:eastAsia="SimSun"/>
          <w:lang w:val="en-GB"/>
        </w:rPr>
        <w:t xml:space="preserve">Resolution 44 </w:t>
      </w:r>
      <w:r w:rsidR="004B6D09" w:rsidRPr="00180522">
        <w:rPr>
          <w:rFonts w:eastAsia="SimSun"/>
          <w:lang w:val="en-GB"/>
        </w:rPr>
        <w:t xml:space="preserve">calls for the exploration of </w:t>
      </w:r>
      <w:r w:rsidR="006944F8" w:rsidRPr="00180522">
        <w:rPr>
          <w:rFonts w:eastAsia="SimSun"/>
          <w:lang w:val="en-GB"/>
        </w:rPr>
        <w:t>e-learning channels for training on ITU-T Recommendations.</w:t>
      </w:r>
      <w:r w:rsidR="004B6D09" w:rsidRPr="00180522">
        <w:rPr>
          <w:rFonts w:eastAsia="SimSun"/>
          <w:lang w:val="en-GB"/>
        </w:rPr>
        <w:t xml:space="preserve"> </w:t>
      </w:r>
      <w:r w:rsidR="00C95497" w:rsidRPr="00180522">
        <w:rPr>
          <w:rFonts w:eastAsia="SimSun"/>
          <w:lang w:val="en-GB"/>
        </w:rPr>
        <w:t xml:space="preserve">These </w:t>
      </w:r>
      <w:r w:rsidR="004B6D09" w:rsidRPr="00180522">
        <w:rPr>
          <w:rFonts w:eastAsia="SimSun"/>
          <w:lang w:val="en-GB"/>
        </w:rPr>
        <w:t xml:space="preserve">training </w:t>
      </w:r>
      <w:r w:rsidR="00C95497" w:rsidRPr="00180522">
        <w:rPr>
          <w:rFonts w:eastAsia="SimSun"/>
          <w:lang w:val="en-GB"/>
        </w:rPr>
        <w:t>courses are available on the ITU Academy website at</w:t>
      </w:r>
      <w:r w:rsidR="00C95497" w:rsidRPr="00180522">
        <w:rPr>
          <w:lang w:val="en-GB"/>
        </w:rPr>
        <w:t xml:space="preserve"> </w:t>
      </w:r>
      <w:hyperlink r:id="rId128" w:history="1">
        <w:r w:rsidR="00C95497" w:rsidRPr="00180522">
          <w:rPr>
            <w:rStyle w:val="Hyperlink"/>
            <w:rFonts w:cstheme="majorBidi"/>
            <w:szCs w:val="24"/>
            <w:lang w:val="en-GB"/>
          </w:rPr>
          <w:t>http://academy.itu.int</w:t>
        </w:r>
      </w:hyperlink>
      <w:r w:rsidR="00C95497" w:rsidRPr="00180522">
        <w:rPr>
          <w:lang w:val="en-GB"/>
        </w:rPr>
        <w:t>.</w:t>
      </w:r>
    </w:p>
    <w:p w14:paraId="2B12F9DD" w14:textId="6CF84FB8" w:rsidR="004B6D09" w:rsidRPr="00180522" w:rsidRDefault="004B6D09" w:rsidP="004B6D09">
      <w:pPr>
        <w:rPr>
          <w:rFonts w:eastAsia="SimSun"/>
          <w:lang w:val="en-GB"/>
        </w:rPr>
      </w:pPr>
      <w:r w:rsidRPr="00180522">
        <w:rPr>
          <w:rFonts w:eastAsia="SimSun"/>
          <w:lang w:val="en-GB"/>
        </w:rPr>
        <w:t xml:space="preserve">The most recent addition to the ITU Academia platform trains developers of systems compliant with ITU-T F.921 “Audio-based indoor and outdoor network navigation system for persons with vision impairment”. The course was developed by </w:t>
      </w:r>
      <w:proofErr w:type="spellStart"/>
      <w:r w:rsidRPr="00180522">
        <w:rPr>
          <w:rFonts w:eastAsia="SimSun"/>
          <w:lang w:val="en-GB"/>
        </w:rPr>
        <w:t>Wayfindr</w:t>
      </w:r>
      <w:proofErr w:type="spellEnd"/>
      <w:r w:rsidRPr="00180522">
        <w:rPr>
          <w:rFonts w:eastAsia="SimSun"/>
          <w:lang w:val="en-GB"/>
        </w:rPr>
        <w:t>, in collaboration with TSB and BDT.</w:t>
      </w:r>
    </w:p>
    <w:p w14:paraId="721089DF" w14:textId="68446F92" w:rsidR="006944F8" w:rsidRPr="00180522" w:rsidRDefault="00D64AF8" w:rsidP="006944F8">
      <w:pPr>
        <w:pStyle w:val="Heading2"/>
      </w:pPr>
      <w:bookmarkStart w:id="128" w:name="_Toc475354528"/>
      <w:bookmarkStart w:id="129" w:name="_Toc480527853"/>
      <w:bookmarkStart w:id="130" w:name="_Toc18509762"/>
      <w:r w:rsidRPr="00180522">
        <w:t>7</w:t>
      </w:r>
      <w:r w:rsidR="006944F8" w:rsidRPr="00180522">
        <w:t>.6</w:t>
      </w:r>
      <w:r w:rsidR="006944F8" w:rsidRPr="00180522">
        <w:tab/>
        <w:t>Study Group Mentoring Programme</w:t>
      </w:r>
      <w:bookmarkEnd w:id="128"/>
      <w:bookmarkEnd w:id="129"/>
      <w:bookmarkEnd w:id="130"/>
    </w:p>
    <w:p w14:paraId="7F861396" w14:textId="77777777" w:rsidR="006944F8" w:rsidRPr="00180522" w:rsidRDefault="006944F8" w:rsidP="002013A1">
      <w:pPr>
        <w:rPr>
          <w:lang w:val="en-GB"/>
        </w:rPr>
      </w:pPr>
      <w:r w:rsidRPr="00180522">
        <w:rPr>
          <w:lang w:val="en-GB"/>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55AA7121" w14:textId="24791E24" w:rsidR="006944F8" w:rsidRPr="00180522" w:rsidRDefault="00D64AF8" w:rsidP="006944F8">
      <w:pPr>
        <w:pStyle w:val="Heading2"/>
      </w:pPr>
      <w:bookmarkStart w:id="131" w:name="_Toc480527855"/>
      <w:bookmarkStart w:id="132" w:name="_Toc18509763"/>
      <w:r w:rsidRPr="00180522">
        <w:t>7</w:t>
      </w:r>
      <w:r w:rsidR="006944F8" w:rsidRPr="00180522">
        <w:t>.7</w:t>
      </w:r>
      <w:r w:rsidR="006944F8" w:rsidRPr="00180522">
        <w:tab/>
        <w:t>Technical Papers</w:t>
      </w:r>
      <w:bookmarkEnd w:id="131"/>
      <w:bookmarkEnd w:id="132"/>
    </w:p>
    <w:p w14:paraId="06C2E0C6" w14:textId="372EF11B" w:rsidR="006944F8" w:rsidRPr="00180522" w:rsidRDefault="006944F8" w:rsidP="006944F8">
      <w:pPr>
        <w:rPr>
          <w:lang w:val="en-GB"/>
        </w:rPr>
      </w:pPr>
      <w:r w:rsidRPr="00180522">
        <w:rPr>
          <w:lang w:val="en-GB"/>
        </w:rPr>
        <w:t>A series of technical reports and papers produced provide additional information for developing countries on best practices in implementing ITU-T Recommendations. See</w:t>
      </w:r>
      <w:r w:rsidR="00B72A2A" w:rsidRPr="00180522">
        <w:rPr>
          <w:lang w:val="en-GB"/>
        </w:rPr>
        <w:t xml:space="preserve"> the</w:t>
      </w:r>
      <w:r w:rsidRPr="00180522">
        <w:rPr>
          <w:lang w:val="en-GB"/>
        </w:rPr>
        <w:t xml:space="preserve"> technical reports and papers </w:t>
      </w:r>
      <w:hyperlink r:id="rId129" w:history="1">
        <w:r w:rsidRPr="00180522">
          <w:rPr>
            <w:rStyle w:val="Hyperlink"/>
            <w:rFonts w:asciiTheme="majorBidi" w:hAnsiTheme="majorBidi" w:cstheme="majorBidi"/>
            <w:lang w:val="en-GB"/>
          </w:rPr>
          <w:t>web page</w:t>
        </w:r>
      </w:hyperlink>
      <w:r w:rsidRPr="00180522">
        <w:rPr>
          <w:lang w:val="en-GB"/>
        </w:rPr>
        <w:t>.</w:t>
      </w:r>
    </w:p>
    <w:p w14:paraId="7D35C0FA" w14:textId="55860658" w:rsidR="006944F8" w:rsidRPr="00180522" w:rsidRDefault="00D64AF8" w:rsidP="006944F8">
      <w:pPr>
        <w:pStyle w:val="Heading2"/>
      </w:pPr>
      <w:bookmarkStart w:id="133" w:name="_Toc480527856"/>
      <w:bookmarkStart w:id="134" w:name="_Toc18509764"/>
      <w:r w:rsidRPr="00180522">
        <w:t>7</w:t>
      </w:r>
      <w:r w:rsidR="006944F8" w:rsidRPr="00180522">
        <w:t>.8</w:t>
      </w:r>
      <w:r w:rsidR="006944F8" w:rsidRPr="00180522">
        <w:tab/>
        <w:t>Fellowships</w:t>
      </w:r>
      <w:bookmarkEnd w:id="133"/>
      <w:bookmarkEnd w:id="134"/>
    </w:p>
    <w:p w14:paraId="123927BE" w14:textId="1C914EB0" w:rsidR="006944F8" w:rsidRPr="00180522" w:rsidRDefault="006944F8" w:rsidP="00BA096E">
      <w:pPr>
        <w:spacing w:after="120"/>
        <w:rPr>
          <w:lang w:val="en-GB"/>
        </w:rPr>
      </w:pPr>
      <w:bookmarkStart w:id="135" w:name="_Toc462664265"/>
      <w:bookmarkStart w:id="136" w:name="_Toc462665590"/>
      <w:bookmarkStart w:id="137" w:name="_Toc462669176"/>
      <w:r w:rsidRPr="00180522">
        <w:rPr>
          <w:lang w:val="en-GB"/>
        </w:rPr>
        <w:t xml:space="preserve">The table below shows the fellowships awarded during the period from </w:t>
      </w:r>
      <w:r w:rsidR="00083CD9" w:rsidRPr="00180522">
        <w:rPr>
          <w:lang w:val="en-GB"/>
        </w:rPr>
        <w:t xml:space="preserve">October </w:t>
      </w:r>
      <w:r w:rsidRPr="00180522">
        <w:rPr>
          <w:lang w:val="en-GB"/>
        </w:rPr>
        <w:t xml:space="preserve">2018 until </w:t>
      </w:r>
      <w:r w:rsidR="00083CD9" w:rsidRPr="00180522">
        <w:rPr>
          <w:lang w:val="en-GB"/>
        </w:rPr>
        <w:t>July 2019</w:t>
      </w:r>
      <w:r w:rsidRPr="00180522">
        <w:rPr>
          <w:lang w:val="en-GB"/>
        </w:rPr>
        <w:t xml:space="preserve">. </w:t>
      </w:r>
      <w:r w:rsidR="00083CD9" w:rsidRPr="00180522">
        <w:rPr>
          <w:lang w:val="en-GB"/>
        </w:rPr>
        <w:t xml:space="preserve">252 </w:t>
      </w:r>
      <w:r w:rsidRPr="00180522">
        <w:rPr>
          <w:lang w:val="en-GB"/>
        </w:rPr>
        <w:t xml:space="preserve">fellowships were requested and </w:t>
      </w:r>
      <w:r w:rsidR="00083CD9" w:rsidRPr="00180522">
        <w:rPr>
          <w:lang w:val="en-GB"/>
        </w:rPr>
        <w:t xml:space="preserve">205 </w:t>
      </w:r>
      <w:r w:rsidRPr="00180522">
        <w:rPr>
          <w:lang w:val="en-GB"/>
        </w:rPr>
        <w:t xml:space="preserve">fellowships were awarded. Of the </w:t>
      </w:r>
      <w:r w:rsidR="00083CD9" w:rsidRPr="00180522">
        <w:rPr>
          <w:lang w:val="en-GB"/>
        </w:rPr>
        <w:t xml:space="preserve">205 </w:t>
      </w:r>
      <w:r w:rsidRPr="00180522">
        <w:rPr>
          <w:lang w:val="en-GB"/>
        </w:rPr>
        <w:t xml:space="preserve">fellowships awarded, </w:t>
      </w:r>
      <w:r w:rsidR="00083CD9" w:rsidRPr="00180522">
        <w:rPr>
          <w:lang w:val="en-GB"/>
        </w:rPr>
        <w:t xml:space="preserve">155 </w:t>
      </w:r>
      <w:r w:rsidRPr="00180522">
        <w:rPr>
          <w:lang w:val="en-GB"/>
        </w:rPr>
        <w:t xml:space="preserve">fellowships were used and </w:t>
      </w:r>
      <w:r w:rsidR="00083CD9" w:rsidRPr="00180522">
        <w:rPr>
          <w:lang w:val="en-GB"/>
        </w:rPr>
        <w:t xml:space="preserve">50 </w:t>
      </w:r>
      <w:r w:rsidRPr="00180522">
        <w:rPr>
          <w:lang w:val="en-GB"/>
        </w:rPr>
        <w:t>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6944F8" w:rsidRPr="00180522" w14:paraId="350E5586" w14:textId="77777777" w:rsidTr="007339CE">
        <w:trPr>
          <w:cantSplit/>
          <w:tblHeader/>
        </w:trPr>
        <w:tc>
          <w:tcPr>
            <w:tcW w:w="3828" w:type="dxa"/>
            <w:vMerge w:val="restart"/>
            <w:shd w:val="clear" w:color="auto" w:fill="B8CCE4" w:themeFill="accent1" w:themeFillTint="66"/>
            <w:vAlign w:val="center"/>
          </w:tcPr>
          <w:p w14:paraId="35B64D4F" w14:textId="77777777" w:rsidR="006944F8" w:rsidRPr="00180522" w:rsidRDefault="006944F8" w:rsidP="00C1421E">
            <w:pPr>
              <w:pStyle w:val="Tablehead"/>
              <w:rPr>
                <w:lang w:val="en-GB"/>
              </w:rPr>
            </w:pPr>
            <w:r w:rsidRPr="00180522">
              <w:rPr>
                <w:lang w:val="en-GB"/>
              </w:rPr>
              <w:lastRenderedPageBreak/>
              <w:t>Meeting</w:t>
            </w:r>
          </w:p>
        </w:tc>
        <w:tc>
          <w:tcPr>
            <w:tcW w:w="3260" w:type="dxa"/>
            <w:gridSpan w:val="2"/>
            <w:shd w:val="clear" w:color="auto" w:fill="B8CCE4" w:themeFill="accent1" w:themeFillTint="66"/>
            <w:vAlign w:val="center"/>
          </w:tcPr>
          <w:p w14:paraId="2DC0ACC3" w14:textId="77777777" w:rsidR="006944F8" w:rsidRPr="00180522" w:rsidRDefault="006944F8" w:rsidP="00C1421E">
            <w:pPr>
              <w:pStyle w:val="Tablehead"/>
              <w:rPr>
                <w:lang w:val="en-GB"/>
              </w:rPr>
            </w:pPr>
            <w:r w:rsidRPr="00180522">
              <w:rPr>
                <w:lang w:val="en-GB"/>
              </w:rPr>
              <w:t>Fellows</w:t>
            </w:r>
          </w:p>
        </w:tc>
        <w:tc>
          <w:tcPr>
            <w:tcW w:w="2551" w:type="dxa"/>
            <w:vMerge w:val="restart"/>
            <w:shd w:val="clear" w:color="auto" w:fill="B8CCE4" w:themeFill="accent1" w:themeFillTint="66"/>
            <w:vAlign w:val="center"/>
          </w:tcPr>
          <w:p w14:paraId="53B07F3E" w14:textId="77777777" w:rsidR="006944F8" w:rsidRPr="00180522" w:rsidRDefault="006944F8" w:rsidP="00C1421E">
            <w:pPr>
              <w:pStyle w:val="Tablehead"/>
              <w:rPr>
                <w:lang w:val="en-GB"/>
              </w:rPr>
            </w:pPr>
            <w:r w:rsidRPr="00180522">
              <w:rPr>
                <w:lang w:val="en-GB"/>
              </w:rPr>
              <w:t>Total</w:t>
            </w:r>
          </w:p>
        </w:tc>
      </w:tr>
      <w:tr w:rsidR="006944F8" w:rsidRPr="00180522" w14:paraId="0D2401B7" w14:textId="77777777" w:rsidTr="007339CE">
        <w:trPr>
          <w:cantSplit/>
          <w:tblHeader/>
        </w:trPr>
        <w:tc>
          <w:tcPr>
            <w:tcW w:w="3828" w:type="dxa"/>
            <w:vMerge/>
            <w:shd w:val="clear" w:color="auto" w:fill="B8CCE4" w:themeFill="accent1" w:themeFillTint="66"/>
            <w:vAlign w:val="center"/>
          </w:tcPr>
          <w:p w14:paraId="01F3D405" w14:textId="77777777" w:rsidR="006944F8" w:rsidRPr="00180522" w:rsidRDefault="006944F8" w:rsidP="00C1421E">
            <w:pPr>
              <w:pStyle w:val="Tablehead"/>
              <w:rPr>
                <w:highlight w:val="yellow"/>
                <w:lang w:val="en-GB"/>
              </w:rPr>
            </w:pPr>
          </w:p>
        </w:tc>
        <w:tc>
          <w:tcPr>
            <w:tcW w:w="1701" w:type="dxa"/>
            <w:shd w:val="clear" w:color="auto" w:fill="B8CCE4" w:themeFill="accent1" w:themeFillTint="66"/>
            <w:vAlign w:val="center"/>
          </w:tcPr>
          <w:p w14:paraId="02196B3C" w14:textId="77777777" w:rsidR="006944F8" w:rsidRPr="00180522" w:rsidRDefault="006944F8" w:rsidP="00C1421E">
            <w:pPr>
              <w:pStyle w:val="Tablehead"/>
              <w:rPr>
                <w:lang w:val="en-GB"/>
              </w:rPr>
            </w:pPr>
            <w:r w:rsidRPr="00180522">
              <w:rPr>
                <w:lang w:val="en-GB"/>
              </w:rPr>
              <w:t>Female</w:t>
            </w:r>
          </w:p>
        </w:tc>
        <w:tc>
          <w:tcPr>
            <w:tcW w:w="1559" w:type="dxa"/>
            <w:shd w:val="clear" w:color="auto" w:fill="B8CCE4" w:themeFill="accent1" w:themeFillTint="66"/>
            <w:vAlign w:val="center"/>
          </w:tcPr>
          <w:p w14:paraId="24337EBE" w14:textId="77777777" w:rsidR="006944F8" w:rsidRPr="00180522" w:rsidRDefault="006944F8" w:rsidP="00C1421E">
            <w:pPr>
              <w:pStyle w:val="Tablehead"/>
              <w:rPr>
                <w:lang w:val="en-GB"/>
              </w:rPr>
            </w:pPr>
            <w:r w:rsidRPr="00180522">
              <w:rPr>
                <w:lang w:val="en-GB"/>
              </w:rPr>
              <w:t>Male</w:t>
            </w:r>
          </w:p>
        </w:tc>
        <w:tc>
          <w:tcPr>
            <w:tcW w:w="2551" w:type="dxa"/>
            <w:vMerge/>
            <w:shd w:val="clear" w:color="auto" w:fill="B8CCE4" w:themeFill="accent1" w:themeFillTint="66"/>
            <w:vAlign w:val="center"/>
          </w:tcPr>
          <w:p w14:paraId="6692145C" w14:textId="77777777" w:rsidR="006944F8" w:rsidRPr="00180522" w:rsidRDefault="006944F8" w:rsidP="00C1421E">
            <w:pPr>
              <w:pStyle w:val="Tablehead"/>
              <w:rPr>
                <w:highlight w:val="yellow"/>
                <w:lang w:val="en-GB"/>
              </w:rPr>
            </w:pPr>
          </w:p>
        </w:tc>
      </w:tr>
      <w:tr w:rsidR="00083CD9" w:rsidRPr="00180522" w14:paraId="088BE528" w14:textId="77777777" w:rsidTr="007339CE">
        <w:tc>
          <w:tcPr>
            <w:tcW w:w="3828" w:type="dxa"/>
          </w:tcPr>
          <w:p w14:paraId="3E8B29AF" w14:textId="31D2996A" w:rsidR="00083CD9" w:rsidRPr="00180522" w:rsidRDefault="00083CD9" w:rsidP="00C1421E">
            <w:pPr>
              <w:pStyle w:val="TableText0"/>
              <w:rPr>
                <w:i/>
                <w:iCs/>
                <w:highlight w:val="yellow"/>
                <w:lang w:val="en-GB"/>
              </w:rPr>
            </w:pPr>
            <w:r w:rsidRPr="00180522">
              <w:rPr>
                <w:lang w:val="en-GB"/>
              </w:rPr>
              <w:t xml:space="preserve">ITU-T </w:t>
            </w:r>
            <w:r w:rsidR="00E738E0" w:rsidRPr="00180522">
              <w:rPr>
                <w:lang w:val="en-GB"/>
              </w:rPr>
              <w:t>SG</w:t>
            </w:r>
            <w:r w:rsidRPr="00180522">
              <w:rPr>
                <w:lang w:val="en-GB"/>
              </w:rPr>
              <w:t>15</w:t>
            </w:r>
            <w:r w:rsidR="00E738E0" w:rsidRPr="00180522">
              <w:rPr>
                <w:lang w:val="en-GB"/>
              </w:rPr>
              <w:t>,</w:t>
            </w:r>
            <w:r w:rsidR="00E738E0" w:rsidRPr="00180522">
              <w:rPr>
                <w:i/>
                <w:iCs/>
                <w:lang w:val="en-GB"/>
              </w:rPr>
              <w:t xml:space="preserve"> </w:t>
            </w:r>
            <w:r w:rsidRPr="00180522">
              <w:rPr>
                <w:iCs/>
                <w:lang w:val="en-GB"/>
              </w:rPr>
              <w:t>Geneva, 8</w:t>
            </w:r>
            <w:r w:rsidR="00E738E0" w:rsidRPr="00180522">
              <w:rPr>
                <w:iCs/>
                <w:lang w:val="en-GB"/>
              </w:rPr>
              <w:t>-</w:t>
            </w:r>
            <w:r w:rsidRPr="00180522">
              <w:rPr>
                <w:iCs/>
                <w:lang w:val="en-GB"/>
              </w:rPr>
              <w:t>19 October 2018</w:t>
            </w:r>
          </w:p>
        </w:tc>
        <w:tc>
          <w:tcPr>
            <w:tcW w:w="1701" w:type="dxa"/>
          </w:tcPr>
          <w:p w14:paraId="7BCAFE2E" w14:textId="591735A0" w:rsidR="00083CD9" w:rsidRPr="00180522" w:rsidRDefault="00083CD9" w:rsidP="00C1421E">
            <w:pPr>
              <w:pStyle w:val="TableText0"/>
              <w:jc w:val="center"/>
              <w:rPr>
                <w:highlight w:val="yellow"/>
                <w:lang w:val="en-GB"/>
              </w:rPr>
            </w:pPr>
            <w:r w:rsidRPr="00180522">
              <w:rPr>
                <w:lang w:val="en-GB"/>
              </w:rPr>
              <w:t>0</w:t>
            </w:r>
          </w:p>
        </w:tc>
        <w:tc>
          <w:tcPr>
            <w:tcW w:w="1559" w:type="dxa"/>
          </w:tcPr>
          <w:p w14:paraId="35862239" w14:textId="77544C06" w:rsidR="00083CD9" w:rsidRPr="00180522" w:rsidRDefault="00083CD9" w:rsidP="00C1421E">
            <w:pPr>
              <w:pStyle w:val="TableText0"/>
              <w:jc w:val="center"/>
              <w:rPr>
                <w:highlight w:val="yellow"/>
                <w:lang w:val="en-GB"/>
              </w:rPr>
            </w:pPr>
            <w:r w:rsidRPr="00180522">
              <w:rPr>
                <w:lang w:val="en-GB"/>
              </w:rPr>
              <w:t xml:space="preserve">7 </w:t>
            </w:r>
            <w:r w:rsidR="00E738E0" w:rsidRPr="00180522">
              <w:rPr>
                <w:lang w:val="en-GB"/>
              </w:rPr>
              <w:t>(</w:t>
            </w:r>
            <w:r w:rsidRPr="00180522">
              <w:rPr>
                <w:lang w:val="en-GB"/>
              </w:rPr>
              <w:t>2 cancelled</w:t>
            </w:r>
            <w:r w:rsidR="00E738E0" w:rsidRPr="00180522">
              <w:rPr>
                <w:lang w:val="en-GB"/>
              </w:rPr>
              <w:t>)</w:t>
            </w:r>
          </w:p>
        </w:tc>
        <w:tc>
          <w:tcPr>
            <w:tcW w:w="2551" w:type="dxa"/>
          </w:tcPr>
          <w:p w14:paraId="75DBB3C1" w14:textId="036F4E4D" w:rsidR="00083CD9" w:rsidRPr="00180522" w:rsidRDefault="00083CD9" w:rsidP="00C1421E">
            <w:pPr>
              <w:pStyle w:val="TableText0"/>
              <w:rPr>
                <w:highlight w:val="yellow"/>
                <w:lang w:val="en-GB"/>
              </w:rPr>
            </w:pPr>
            <w:r w:rsidRPr="00180522">
              <w:rPr>
                <w:lang w:val="en-GB"/>
              </w:rPr>
              <w:t>9 fellowships awarded</w:t>
            </w:r>
            <w:r w:rsidR="00E738E0" w:rsidRPr="00180522">
              <w:rPr>
                <w:lang w:val="en-GB"/>
              </w:rPr>
              <w:t>,</w:t>
            </w:r>
            <w:r w:rsidRPr="00180522">
              <w:rPr>
                <w:lang w:val="en-GB"/>
              </w:rPr>
              <w:br/>
              <w:t>7 participants</w:t>
            </w:r>
          </w:p>
        </w:tc>
      </w:tr>
      <w:tr w:rsidR="00083CD9" w:rsidRPr="00180522" w14:paraId="46E396AF" w14:textId="77777777" w:rsidTr="007339CE">
        <w:tc>
          <w:tcPr>
            <w:tcW w:w="3828" w:type="dxa"/>
          </w:tcPr>
          <w:p w14:paraId="4743E01D" w14:textId="403315EC" w:rsidR="00083CD9" w:rsidRPr="00180522" w:rsidRDefault="00083CD9" w:rsidP="00C1421E">
            <w:pPr>
              <w:pStyle w:val="TableText0"/>
              <w:rPr>
                <w:highlight w:val="yellow"/>
                <w:lang w:val="en-GB"/>
              </w:rPr>
            </w:pPr>
            <w:r w:rsidRPr="00180522">
              <w:rPr>
                <w:lang w:val="en-GB"/>
              </w:rPr>
              <w:t>ITU-T S</w:t>
            </w:r>
            <w:r w:rsidR="00E738E0" w:rsidRPr="00180522">
              <w:rPr>
                <w:lang w:val="en-GB"/>
              </w:rPr>
              <w:t>G</w:t>
            </w:r>
            <w:r w:rsidRPr="00180522">
              <w:rPr>
                <w:lang w:val="en-GB"/>
              </w:rPr>
              <w:t>17RG-ARB</w:t>
            </w:r>
            <w:r w:rsidR="00E738E0" w:rsidRPr="00180522">
              <w:rPr>
                <w:lang w:val="en-GB"/>
              </w:rPr>
              <w:t xml:space="preserve">, </w:t>
            </w:r>
            <w:r w:rsidRPr="00180522">
              <w:rPr>
                <w:iCs/>
                <w:lang w:val="en-GB"/>
              </w:rPr>
              <w:t>Kuwait City, Kuwait</w:t>
            </w:r>
            <w:r w:rsidR="00E738E0" w:rsidRPr="00180522">
              <w:rPr>
                <w:iCs/>
                <w:lang w:val="en-GB"/>
              </w:rPr>
              <w:t xml:space="preserve">, </w:t>
            </w:r>
            <w:r w:rsidRPr="00180522">
              <w:rPr>
                <w:iCs/>
                <w:lang w:val="en-GB"/>
              </w:rPr>
              <w:t>25 October 2018</w:t>
            </w:r>
          </w:p>
        </w:tc>
        <w:tc>
          <w:tcPr>
            <w:tcW w:w="1701" w:type="dxa"/>
          </w:tcPr>
          <w:p w14:paraId="11F997FF" w14:textId="3DFEC98E" w:rsidR="00083CD9" w:rsidRPr="00180522" w:rsidRDefault="00083CD9" w:rsidP="00C1421E">
            <w:pPr>
              <w:pStyle w:val="TableText0"/>
              <w:jc w:val="center"/>
              <w:rPr>
                <w:highlight w:val="yellow"/>
                <w:lang w:val="en-GB"/>
              </w:rPr>
            </w:pPr>
            <w:r w:rsidRPr="00180522">
              <w:rPr>
                <w:lang w:val="en-GB"/>
              </w:rPr>
              <w:t>0</w:t>
            </w:r>
          </w:p>
        </w:tc>
        <w:tc>
          <w:tcPr>
            <w:tcW w:w="1559" w:type="dxa"/>
          </w:tcPr>
          <w:p w14:paraId="2F48D4D9" w14:textId="728726F2" w:rsidR="00083CD9" w:rsidRPr="00180522" w:rsidRDefault="00083CD9" w:rsidP="00C1421E">
            <w:pPr>
              <w:pStyle w:val="TableText0"/>
              <w:jc w:val="center"/>
              <w:rPr>
                <w:highlight w:val="yellow"/>
                <w:lang w:val="en-GB"/>
              </w:rPr>
            </w:pPr>
            <w:r w:rsidRPr="00180522">
              <w:rPr>
                <w:lang w:val="en-GB"/>
              </w:rPr>
              <w:t>2</w:t>
            </w:r>
          </w:p>
        </w:tc>
        <w:tc>
          <w:tcPr>
            <w:tcW w:w="2551" w:type="dxa"/>
          </w:tcPr>
          <w:p w14:paraId="181A600D" w14:textId="4A2F33E1" w:rsidR="00083CD9" w:rsidRPr="00180522" w:rsidRDefault="00083CD9" w:rsidP="00C1421E">
            <w:pPr>
              <w:pStyle w:val="TableText0"/>
              <w:rPr>
                <w:highlight w:val="yellow"/>
                <w:lang w:val="en-GB"/>
              </w:rPr>
            </w:pPr>
            <w:r w:rsidRPr="00180522">
              <w:rPr>
                <w:lang w:val="en-GB"/>
              </w:rPr>
              <w:t>2 fellowships awarded, 2 participants</w:t>
            </w:r>
          </w:p>
        </w:tc>
      </w:tr>
      <w:tr w:rsidR="00083CD9" w:rsidRPr="00180522" w14:paraId="209D9782" w14:textId="77777777" w:rsidTr="007339CE">
        <w:tc>
          <w:tcPr>
            <w:tcW w:w="3828" w:type="dxa"/>
          </w:tcPr>
          <w:p w14:paraId="07D15E54" w14:textId="2F5D63D1" w:rsidR="00083CD9" w:rsidRPr="00180522" w:rsidRDefault="00083CD9" w:rsidP="00C1421E">
            <w:pPr>
              <w:pStyle w:val="TableText0"/>
              <w:rPr>
                <w:highlight w:val="yellow"/>
                <w:lang w:val="en-GB"/>
              </w:rPr>
            </w:pPr>
            <w:r w:rsidRPr="00180522">
              <w:rPr>
                <w:lang w:val="en-GB"/>
              </w:rPr>
              <w:t xml:space="preserve">ITU-T </w:t>
            </w:r>
            <w:r w:rsidR="00E738E0" w:rsidRPr="00180522">
              <w:rPr>
                <w:lang w:val="en-GB"/>
              </w:rPr>
              <w:t>SG</w:t>
            </w:r>
            <w:r w:rsidRPr="00180522">
              <w:rPr>
                <w:lang w:val="en-GB"/>
              </w:rPr>
              <w:t>9</w:t>
            </w:r>
            <w:r w:rsidR="00E738E0" w:rsidRPr="00180522">
              <w:rPr>
                <w:lang w:val="en-GB"/>
              </w:rPr>
              <w:t xml:space="preserve">, </w:t>
            </w:r>
            <w:r w:rsidRPr="00180522">
              <w:rPr>
                <w:lang w:val="en-GB"/>
              </w:rPr>
              <w:t>Bogota, Colombia, 21</w:t>
            </w:r>
            <w:r w:rsidR="00E738E0" w:rsidRPr="00180522">
              <w:rPr>
                <w:lang w:val="en-GB"/>
              </w:rPr>
              <w:t>-</w:t>
            </w:r>
            <w:r w:rsidRPr="00180522">
              <w:rPr>
                <w:lang w:val="en-GB"/>
              </w:rPr>
              <w:t>28 November 2018</w:t>
            </w:r>
          </w:p>
        </w:tc>
        <w:tc>
          <w:tcPr>
            <w:tcW w:w="1701" w:type="dxa"/>
          </w:tcPr>
          <w:p w14:paraId="061C6E7F" w14:textId="31FCCF96" w:rsidR="00083CD9" w:rsidRPr="00180522" w:rsidRDefault="00083CD9" w:rsidP="00C1421E">
            <w:pPr>
              <w:pStyle w:val="TableText0"/>
              <w:jc w:val="center"/>
              <w:rPr>
                <w:highlight w:val="yellow"/>
                <w:lang w:val="en-GB"/>
              </w:rPr>
            </w:pPr>
            <w:r w:rsidRPr="00180522">
              <w:rPr>
                <w:lang w:val="en-GB"/>
              </w:rPr>
              <w:t>0</w:t>
            </w:r>
          </w:p>
        </w:tc>
        <w:tc>
          <w:tcPr>
            <w:tcW w:w="1559" w:type="dxa"/>
          </w:tcPr>
          <w:p w14:paraId="0BC7B789" w14:textId="2CCB14C1" w:rsidR="00083CD9" w:rsidRPr="00180522" w:rsidRDefault="00083CD9" w:rsidP="00C1421E">
            <w:pPr>
              <w:pStyle w:val="TableText0"/>
              <w:jc w:val="center"/>
              <w:rPr>
                <w:highlight w:val="yellow"/>
                <w:lang w:val="en-GB"/>
              </w:rPr>
            </w:pPr>
            <w:r w:rsidRPr="00180522">
              <w:rPr>
                <w:lang w:val="en-GB"/>
              </w:rPr>
              <w:t xml:space="preserve">1 </w:t>
            </w:r>
            <w:r w:rsidR="00E738E0" w:rsidRPr="00180522">
              <w:rPr>
                <w:lang w:val="en-GB"/>
              </w:rPr>
              <w:t>(</w:t>
            </w:r>
            <w:r w:rsidRPr="00180522">
              <w:rPr>
                <w:lang w:val="en-GB"/>
              </w:rPr>
              <w:t>2 cancelled</w:t>
            </w:r>
            <w:r w:rsidR="00E738E0" w:rsidRPr="00180522">
              <w:rPr>
                <w:lang w:val="en-GB"/>
              </w:rPr>
              <w:t>)</w:t>
            </w:r>
          </w:p>
        </w:tc>
        <w:tc>
          <w:tcPr>
            <w:tcW w:w="2551" w:type="dxa"/>
          </w:tcPr>
          <w:p w14:paraId="07D8BB7E" w14:textId="3CE00805" w:rsidR="00083CD9" w:rsidRPr="00180522" w:rsidRDefault="00083CD9" w:rsidP="00C1421E">
            <w:pPr>
              <w:pStyle w:val="TableText0"/>
              <w:rPr>
                <w:highlight w:val="yellow"/>
                <w:lang w:val="en-GB"/>
              </w:rPr>
            </w:pPr>
            <w:r w:rsidRPr="00180522">
              <w:rPr>
                <w:lang w:val="en-GB"/>
              </w:rPr>
              <w:t>3 fellowships awarded, 1 participant</w:t>
            </w:r>
          </w:p>
        </w:tc>
      </w:tr>
      <w:tr w:rsidR="00083CD9" w:rsidRPr="00180522" w14:paraId="7D476F46" w14:textId="77777777" w:rsidTr="007339CE">
        <w:tc>
          <w:tcPr>
            <w:tcW w:w="3828" w:type="dxa"/>
          </w:tcPr>
          <w:p w14:paraId="6D03D05C" w14:textId="581B7383" w:rsidR="00083CD9" w:rsidRPr="00180522" w:rsidRDefault="00083CD9" w:rsidP="00C1421E">
            <w:pPr>
              <w:pStyle w:val="TableText0"/>
              <w:rPr>
                <w:i/>
                <w:iCs/>
                <w:highlight w:val="yellow"/>
                <w:lang w:val="en-GB"/>
              </w:rPr>
            </w:pPr>
            <w:r w:rsidRPr="00180522">
              <w:rPr>
                <w:lang w:val="en-GB"/>
              </w:rPr>
              <w:t xml:space="preserve">ITU-T </w:t>
            </w:r>
            <w:r w:rsidR="00E738E0" w:rsidRPr="00180522">
              <w:rPr>
                <w:lang w:val="en-GB"/>
              </w:rPr>
              <w:t>SG</w:t>
            </w:r>
            <w:r w:rsidRPr="00180522">
              <w:rPr>
                <w:lang w:val="en-GB"/>
              </w:rPr>
              <w:t>12</w:t>
            </w:r>
            <w:r w:rsidR="00E738E0" w:rsidRPr="00180522">
              <w:rPr>
                <w:lang w:val="en-GB"/>
              </w:rPr>
              <w:t>,</w:t>
            </w:r>
            <w:r w:rsidR="00E738E0" w:rsidRPr="00180522">
              <w:rPr>
                <w:i/>
                <w:iCs/>
                <w:lang w:val="en-GB"/>
              </w:rPr>
              <w:t xml:space="preserve"> </w:t>
            </w:r>
            <w:r w:rsidRPr="00180522">
              <w:rPr>
                <w:iCs/>
                <w:lang w:val="en-GB"/>
              </w:rPr>
              <w:t>Geneva, 27 November to 6 December 2018</w:t>
            </w:r>
          </w:p>
        </w:tc>
        <w:tc>
          <w:tcPr>
            <w:tcW w:w="1701" w:type="dxa"/>
          </w:tcPr>
          <w:p w14:paraId="465D458B" w14:textId="6FB4054B" w:rsidR="00083CD9" w:rsidRPr="00180522" w:rsidRDefault="00083CD9" w:rsidP="00C1421E">
            <w:pPr>
              <w:pStyle w:val="TableText0"/>
              <w:jc w:val="center"/>
              <w:rPr>
                <w:highlight w:val="yellow"/>
                <w:lang w:val="en-GB"/>
              </w:rPr>
            </w:pPr>
            <w:r w:rsidRPr="00180522">
              <w:rPr>
                <w:lang w:val="en-GB"/>
              </w:rPr>
              <w:t>1</w:t>
            </w:r>
          </w:p>
        </w:tc>
        <w:tc>
          <w:tcPr>
            <w:tcW w:w="1559" w:type="dxa"/>
          </w:tcPr>
          <w:p w14:paraId="0341C389" w14:textId="683C12B8" w:rsidR="00083CD9" w:rsidRPr="00180522" w:rsidRDefault="00083CD9" w:rsidP="00C1421E">
            <w:pPr>
              <w:pStyle w:val="TableText0"/>
              <w:jc w:val="center"/>
              <w:rPr>
                <w:highlight w:val="yellow"/>
                <w:lang w:val="en-GB"/>
              </w:rPr>
            </w:pPr>
            <w:r w:rsidRPr="00180522">
              <w:rPr>
                <w:lang w:val="en-GB"/>
              </w:rPr>
              <w:t>8</w:t>
            </w:r>
          </w:p>
        </w:tc>
        <w:tc>
          <w:tcPr>
            <w:tcW w:w="2551" w:type="dxa"/>
          </w:tcPr>
          <w:p w14:paraId="0CF710AD" w14:textId="7C41BA54" w:rsidR="00083CD9" w:rsidRPr="00180522" w:rsidRDefault="00083CD9" w:rsidP="00C1421E">
            <w:pPr>
              <w:pStyle w:val="TableText0"/>
              <w:rPr>
                <w:highlight w:val="yellow"/>
                <w:lang w:val="en-GB"/>
              </w:rPr>
            </w:pPr>
            <w:r w:rsidRPr="00180522">
              <w:rPr>
                <w:lang w:val="en-GB"/>
              </w:rPr>
              <w:t>9 fellowships awarded, 9 participants</w:t>
            </w:r>
          </w:p>
        </w:tc>
      </w:tr>
      <w:tr w:rsidR="00083CD9" w:rsidRPr="00180522" w14:paraId="3330FEE0" w14:textId="77777777" w:rsidTr="007339CE">
        <w:tc>
          <w:tcPr>
            <w:tcW w:w="3828" w:type="dxa"/>
          </w:tcPr>
          <w:p w14:paraId="2CCDC777" w14:textId="057834F5" w:rsidR="00083CD9" w:rsidRPr="00180522" w:rsidRDefault="00083CD9" w:rsidP="00C1421E">
            <w:pPr>
              <w:pStyle w:val="TableText0"/>
              <w:rPr>
                <w:i/>
                <w:iCs/>
                <w:highlight w:val="yellow"/>
                <w:lang w:val="en-GB"/>
              </w:rPr>
            </w:pPr>
            <w:r w:rsidRPr="00180522">
              <w:rPr>
                <w:lang w:val="en-GB"/>
              </w:rPr>
              <w:t xml:space="preserve">ITU-T </w:t>
            </w:r>
            <w:r w:rsidR="00E738E0" w:rsidRPr="00180522">
              <w:rPr>
                <w:lang w:val="en-GB"/>
              </w:rPr>
              <w:t>SG20</w:t>
            </w:r>
            <w:r w:rsidR="00E738E0" w:rsidRPr="00180522">
              <w:rPr>
                <w:i/>
                <w:iCs/>
                <w:lang w:val="en-GB"/>
              </w:rPr>
              <w:t xml:space="preserve">, </w:t>
            </w:r>
            <w:r w:rsidRPr="00180522">
              <w:rPr>
                <w:iCs/>
                <w:lang w:val="en-GB"/>
              </w:rPr>
              <w:t>Wuxi, China, 3 - 13 December 2018</w:t>
            </w:r>
          </w:p>
        </w:tc>
        <w:tc>
          <w:tcPr>
            <w:tcW w:w="1701" w:type="dxa"/>
          </w:tcPr>
          <w:p w14:paraId="6D69DCD8" w14:textId="32CBAA48" w:rsidR="00083CD9" w:rsidRPr="00180522" w:rsidRDefault="00083CD9" w:rsidP="00C1421E">
            <w:pPr>
              <w:pStyle w:val="TableText0"/>
              <w:jc w:val="center"/>
              <w:rPr>
                <w:highlight w:val="yellow"/>
                <w:lang w:val="en-GB"/>
              </w:rPr>
            </w:pPr>
            <w:r w:rsidRPr="00180522">
              <w:rPr>
                <w:lang w:val="en-GB"/>
              </w:rPr>
              <w:t>1</w:t>
            </w:r>
          </w:p>
        </w:tc>
        <w:tc>
          <w:tcPr>
            <w:tcW w:w="1559" w:type="dxa"/>
          </w:tcPr>
          <w:p w14:paraId="114A48A7" w14:textId="6F945080" w:rsidR="00083CD9" w:rsidRPr="00180522" w:rsidRDefault="00083CD9" w:rsidP="00C1421E">
            <w:pPr>
              <w:pStyle w:val="TableText0"/>
              <w:jc w:val="center"/>
              <w:rPr>
                <w:highlight w:val="yellow"/>
                <w:lang w:val="en-GB"/>
              </w:rPr>
            </w:pPr>
            <w:r w:rsidRPr="00180522">
              <w:rPr>
                <w:lang w:val="en-GB"/>
              </w:rPr>
              <w:t>4</w:t>
            </w:r>
            <w:r w:rsidR="00E738E0" w:rsidRPr="00180522">
              <w:rPr>
                <w:lang w:val="en-GB"/>
              </w:rPr>
              <w:t xml:space="preserve"> (</w:t>
            </w:r>
            <w:r w:rsidRPr="00180522">
              <w:rPr>
                <w:lang w:val="en-GB"/>
              </w:rPr>
              <w:t>3 cancelled</w:t>
            </w:r>
            <w:r w:rsidR="00E738E0" w:rsidRPr="00180522">
              <w:rPr>
                <w:lang w:val="en-GB"/>
              </w:rPr>
              <w:t>)</w:t>
            </w:r>
          </w:p>
        </w:tc>
        <w:tc>
          <w:tcPr>
            <w:tcW w:w="2551" w:type="dxa"/>
          </w:tcPr>
          <w:p w14:paraId="69D1DDA5" w14:textId="2300F3E6" w:rsidR="00083CD9" w:rsidRPr="00180522" w:rsidRDefault="00083CD9" w:rsidP="00C1421E">
            <w:pPr>
              <w:pStyle w:val="TableText0"/>
              <w:rPr>
                <w:highlight w:val="yellow"/>
                <w:lang w:val="en-GB"/>
              </w:rPr>
            </w:pPr>
            <w:r w:rsidRPr="00180522">
              <w:rPr>
                <w:lang w:val="en-GB"/>
              </w:rPr>
              <w:t>8 fellowships awarded, 5 participants</w:t>
            </w:r>
          </w:p>
        </w:tc>
      </w:tr>
      <w:tr w:rsidR="00083CD9" w:rsidRPr="00180522" w14:paraId="406E1AE8" w14:textId="77777777" w:rsidTr="007339CE">
        <w:tc>
          <w:tcPr>
            <w:tcW w:w="3828" w:type="dxa"/>
          </w:tcPr>
          <w:p w14:paraId="5616B91A" w14:textId="4BFA4F8D" w:rsidR="00083CD9" w:rsidRPr="00180522" w:rsidRDefault="00083CD9" w:rsidP="00C1421E">
            <w:pPr>
              <w:pStyle w:val="TableText0"/>
              <w:rPr>
                <w:highlight w:val="yellow"/>
                <w:lang w:val="en-GB"/>
              </w:rPr>
            </w:pPr>
            <w:r w:rsidRPr="00180522">
              <w:rPr>
                <w:lang w:val="en-GB"/>
              </w:rPr>
              <w:t xml:space="preserve">ITU-T </w:t>
            </w:r>
            <w:r w:rsidR="00E738E0" w:rsidRPr="00180522">
              <w:rPr>
                <w:lang w:val="en-GB"/>
              </w:rPr>
              <w:t>SG</w:t>
            </w:r>
            <w:r w:rsidRPr="00180522">
              <w:rPr>
                <w:lang w:val="en-GB"/>
              </w:rPr>
              <w:t>2RG-ARB and SG2RG-AFR</w:t>
            </w:r>
            <w:r w:rsidR="00E738E0" w:rsidRPr="00180522">
              <w:rPr>
                <w:lang w:val="en-GB"/>
              </w:rPr>
              <w:t>,</w:t>
            </w:r>
            <w:r w:rsidR="006025E0" w:rsidRPr="00180522">
              <w:rPr>
                <w:iCs/>
                <w:lang w:val="en-GB"/>
              </w:rPr>
              <w:t xml:space="preserve"> </w:t>
            </w:r>
            <w:r w:rsidRPr="00180522">
              <w:rPr>
                <w:iCs/>
                <w:lang w:val="en-GB"/>
              </w:rPr>
              <w:t>Cairo, Egypt 4-6 December 2018</w:t>
            </w:r>
          </w:p>
        </w:tc>
        <w:tc>
          <w:tcPr>
            <w:tcW w:w="1701" w:type="dxa"/>
          </w:tcPr>
          <w:p w14:paraId="40C806B8" w14:textId="5CCABDCC" w:rsidR="00083CD9" w:rsidRPr="00180522" w:rsidRDefault="00083CD9" w:rsidP="00C1421E">
            <w:pPr>
              <w:pStyle w:val="TableText0"/>
              <w:jc w:val="center"/>
              <w:rPr>
                <w:highlight w:val="yellow"/>
                <w:lang w:val="en-GB"/>
              </w:rPr>
            </w:pPr>
            <w:r w:rsidRPr="00180522">
              <w:rPr>
                <w:lang w:val="en-GB"/>
              </w:rPr>
              <w:t xml:space="preserve">3 </w:t>
            </w:r>
            <w:r w:rsidR="00E738E0" w:rsidRPr="00180522">
              <w:rPr>
                <w:lang w:val="en-GB"/>
              </w:rPr>
              <w:t>(</w:t>
            </w:r>
            <w:r w:rsidRPr="00180522">
              <w:rPr>
                <w:lang w:val="en-GB"/>
              </w:rPr>
              <w:t>2 cancelled</w:t>
            </w:r>
            <w:r w:rsidR="00E738E0" w:rsidRPr="00180522">
              <w:rPr>
                <w:lang w:val="en-GB"/>
              </w:rPr>
              <w:t>)</w:t>
            </w:r>
          </w:p>
        </w:tc>
        <w:tc>
          <w:tcPr>
            <w:tcW w:w="1559" w:type="dxa"/>
          </w:tcPr>
          <w:p w14:paraId="54B68660" w14:textId="68E01253" w:rsidR="00083CD9" w:rsidRPr="00180522" w:rsidRDefault="00083CD9" w:rsidP="00C1421E">
            <w:pPr>
              <w:pStyle w:val="TableText0"/>
              <w:jc w:val="center"/>
              <w:rPr>
                <w:highlight w:val="yellow"/>
                <w:lang w:val="en-GB"/>
              </w:rPr>
            </w:pPr>
            <w:r w:rsidRPr="00180522">
              <w:rPr>
                <w:lang w:val="en-GB"/>
              </w:rPr>
              <w:t xml:space="preserve">7 </w:t>
            </w:r>
            <w:r w:rsidR="00E738E0" w:rsidRPr="00180522">
              <w:rPr>
                <w:lang w:val="en-GB"/>
              </w:rPr>
              <w:t>(</w:t>
            </w:r>
            <w:r w:rsidRPr="00180522">
              <w:rPr>
                <w:lang w:val="en-GB"/>
              </w:rPr>
              <w:t>3 cancelled</w:t>
            </w:r>
            <w:r w:rsidR="00E738E0" w:rsidRPr="00180522">
              <w:rPr>
                <w:lang w:val="en-GB"/>
              </w:rPr>
              <w:t>)</w:t>
            </w:r>
          </w:p>
        </w:tc>
        <w:tc>
          <w:tcPr>
            <w:tcW w:w="2551" w:type="dxa"/>
          </w:tcPr>
          <w:p w14:paraId="794E004A" w14:textId="5312179E" w:rsidR="00083CD9" w:rsidRPr="00180522" w:rsidRDefault="00083CD9" w:rsidP="00C1421E">
            <w:pPr>
              <w:pStyle w:val="TableText0"/>
              <w:rPr>
                <w:highlight w:val="yellow"/>
                <w:lang w:val="en-GB"/>
              </w:rPr>
            </w:pPr>
            <w:r w:rsidRPr="00180522">
              <w:rPr>
                <w:lang w:val="en-GB"/>
              </w:rPr>
              <w:t>15 fellowships awarded, 10 participants</w:t>
            </w:r>
          </w:p>
        </w:tc>
      </w:tr>
      <w:tr w:rsidR="00083CD9" w:rsidRPr="00180522" w14:paraId="47BF792A" w14:textId="77777777" w:rsidTr="007339CE">
        <w:tc>
          <w:tcPr>
            <w:tcW w:w="3828" w:type="dxa"/>
          </w:tcPr>
          <w:p w14:paraId="3D2F66B6" w14:textId="69E8EC7E" w:rsidR="00083CD9" w:rsidRPr="00180522" w:rsidRDefault="00083CD9" w:rsidP="00C1421E">
            <w:pPr>
              <w:pStyle w:val="TableText0"/>
              <w:rPr>
                <w:highlight w:val="yellow"/>
                <w:lang w:val="en-GB"/>
              </w:rPr>
            </w:pPr>
            <w:r w:rsidRPr="00180522">
              <w:rPr>
                <w:lang w:val="en-GB"/>
              </w:rPr>
              <w:t>TSAG</w:t>
            </w:r>
            <w:r w:rsidR="00E738E0" w:rsidRPr="00180522">
              <w:rPr>
                <w:lang w:val="en-GB"/>
              </w:rPr>
              <w:t xml:space="preserve">, </w:t>
            </w:r>
            <w:r w:rsidRPr="00180522">
              <w:rPr>
                <w:iCs/>
                <w:lang w:val="en-GB"/>
              </w:rPr>
              <w:t>Geneva</w:t>
            </w:r>
            <w:r w:rsidR="00E738E0" w:rsidRPr="00180522">
              <w:rPr>
                <w:iCs/>
                <w:lang w:val="en-GB"/>
              </w:rPr>
              <w:t xml:space="preserve">, </w:t>
            </w:r>
            <w:r w:rsidRPr="00180522">
              <w:rPr>
                <w:iCs/>
                <w:lang w:val="en-GB"/>
              </w:rPr>
              <w:t>10-14 December 2018</w:t>
            </w:r>
          </w:p>
        </w:tc>
        <w:tc>
          <w:tcPr>
            <w:tcW w:w="1701" w:type="dxa"/>
          </w:tcPr>
          <w:p w14:paraId="5E8427F6" w14:textId="67E0DA1F" w:rsidR="00083CD9" w:rsidRPr="00180522" w:rsidRDefault="00083CD9" w:rsidP="00C1421E">
            <w:pPr>
              <w:pStyle w:val="TableText0"/>
              <w:jc w:val="center"/>
              <w:rPr>
                <w:highlight w:val="yellow"/>
                <w:lang w:val="en-GB"/>
              </w:rPr>
            </w:pPr>
            <w:r w:rsidRPr="00180522">
              <w:rPr>
                <w:lang w:val="en-GB"/>
              </w:rPr>
              <w:t>1</w:t>
            </w:r>
          </w:p>
        </w:tc>
        <w:tc>
          <w:tcPr>
            <w:tcW w:w="1559" w:type="dxa"/>
          </w:tcPr>
          <w:p w14:paraId="0EFDEC06" w14:textId="5F9B7BE9" w:rsidR="00083CD9" w:rsidRPr="00180522" w:rsidRDefault="00083CD9">
            <w:pPr>
              <w:pStyle w:val="TableText0"/>
              <w:jc w:val="center"/>
              <w:rPr>
                <w:highlight w:val="yellow"/>
                <w:lang w:val="en-GB"/>
              </w:rPr>
            </w:pPr>
            <w:r w:rsidRPr="00180522">
              <w:rPr>
                <w:lang w:val="en-GB"/>
              </w:rPr>
              <w:t>7</w:t>
            </w:r>
            <w:r w:rsidR="00E738E0" w:rsidRPr="00180522">
              <w:rPr>
                <w:lang w:val="en-GB"/>
              </w:rPr>
              <w:t xml:space="preserve"> (</w:t>
            </w:r>
            <w:r w:rsidRPr="00180522">
              <w:rPr>
                <w:lang w:val="en-GB"/>
              </w:rPr>
              <w:t>1 cancelled</w:t>
            </w:r>
            <w:r w:rsidR="00E738E0" w:rsidRPr="00180522">
              <w:rPr>
                <w:lang w:val="en-GB"/>
              </w:rPr>
              <w:t>)</w:t>
            </w:r>
          </w:p>
        </w:tc>
        <w:tc>
          <w:tcPr>
            <w:tcW w:w="2551" w:type="dxa"/>
          </w:tcPr>
          <w:p w14:paraId="0A0FB753" w14:textId="0956EE14" w:rsidR="00083CD9" w:rsidRPr="00180522" w:rsidRDefault="00083CD9" w:rsidP="00C1421E">
            <w:pPr>
              <w:pStyle w:val="TableText0"/>
              <w:rPr>
                <w:lang w:val="en-GB"/>
              </w:rPr>
            </w:pPr>
            <w:r w:rsidRPr="00180522">
              <w:rPr>
                <w:lang w:val="en-GB"/>
              </w:rPr>
              <w:t>8 fellowships awarded</w:t>
            </w:r>
            <w:r w:rsidR="00E738E0" w:rsidRPr="00180522">
              <w:rPr>
                <w:lang w:val="en-GB"/>
              </w:rPr>
              <w:t>,</w:t>
            </w:r>
          </w:p>
          <w:p w14:paraId="3E546BFC" w14:textId="772C30B0" w:rsidR="00083CD9" w:rsidRPr="00180522" w:rsidRDefault="00083CD9" w:rsidP="00C1421E">
            <w:pPr>
              <w:pStyle w:val="TableText0"/>
              <w:rPr>
                <w:highlight w:val="yellow"/>
                <w:lang w:val="en-GB"/>
              </w:rPr>
            </w:pPr>
            <w:r w:rsidRPr="00180522">
              <w:rPr>
                <w:lang w:val="en-GB"/>
              </w:rPr>
              <w:t>7 participants</w:t>
            </w:r>
          </w:p>
        </w:tc>
      </w:tr>
      <w:tr w:rsidR="00083CD9" w:rsidRPr="00180522" w14:paraId="1C206707" w14:textId="77777777" w:rsidTr="007339CE">
        <w:tc>
          <w:tcPr>
            <w:tcW w:w="3828" w:type="dxa"/>
          </w:tcPr>
          <w:p w14:paraId="3630B27E" w14:textId="73D0BA22" w:rsidR="00083CD9" w:rsidRPr="00180522" w:rsidRDefault="00083CD9" w:rsidP="00C1421E">
            <w:pPr>
              <w:pStyle w:val="TableText0"/>
              <w:rPr>
                <w:highlight w:val="yellow"/>
                <w:lang w:val="en-GB"/>
              </w:rPr>
            </w:pPr>
            <w:r w:rsidRPr="00180522">
              <w:rPr>
                <w:lang w:val="en-GB"/>
              </w:rPr>
              <w:t xml:space="preserve">ITU-T </w:t>
            </w:r>
            <w:r w:rsidR="00E738E0" w:rsidRPr="00180522">
              <w:rPr>
                <w:lang w:val="en-GB"/>
              </w:rPr>
              <w:t>SG</w:t>
            </w:r>
            <w:r w:rsidRPr="00180522">
              <w:rPr>
                <w:lang w:val="en-GB"/>
              </w:rPr>
              <w:t xml:space="preserve">3RG-ARB and </w:t>
            </w:r>
            <w:r w:rsidR="00E738E0" w:rsidRPr="00180522">
              <w:rPr>
                <w:lang w:val="en-GB"/>
              </w:rPr>
              <w:t>SG</w:t>
            </w:r>
            <w:r w:rsidRPr="00180522">
              <w:rPr>
                <w:lang w:val="en-GB"/>
              </w:rPr>
              <w:t>5RG-ARB</w:t>
            </w:r>
            <w:r w:rsidR="00E738E0" w:rsidRPr="00180522">
              <w:rPr>
                <w:lang w:val="en-GB"/>
              </w:rPr>
              <w:t>,</w:t>
            </w:r>
            <w:r w:rsidR="006025E0" w:rsidRPr="00180522">
              <w:rPr>
                <w:iCs/>
                <w:lang w:val="en-GB"/>
              </w:rPr>
              <w:t xml:space="preserve"> </w:t>
            </w:r>
            <w:r w:rsidRPr="00180522">
              <w:rPr>
                <w:iCs/>
                <w:lang w:val="en-GB"/>
              </w:rPr>
              <w:t>Kuwait City, Kuwait 18-20 December 2018</w:t>
            </w:r>
          </w:p>
        </w:tc>
        <w:tc>
          <w:tcPr>
            <w:tcW w:w="1701" w:type="dxa"/>
          </w:tcPr>
          <w:p w14:paraId="053C4AB8" w14:textId="734FB132" w:rsidR="00083CD9" w:rsidRPr="00180522" w:rsidRDefault="00083CD9" w:rsidP="00C1421E">
            <w:pPr>
              <w:pStyle w:val="TableText0"/>
              <w:jc w:val="center"/>
              <w:rPr>
                <w:highlight w:val="yellow"/>
                <w:lang w:val="en-GB"/>
              </w:rPr>
            </w:pPr>
            <w:r w:rsidRPr="00180522">
              <w:rPr>
                <w:lang w:val="en-GB"/>
              </w:rPr>
              <w:t>0</w:t>
            </w:r>
          </w:p>
        </w:tc>
        <w:tc>
          <w:tcPr>
            <w:tcW w:w="1559" w:type="dxa"/>
          </w:tcPr>
          <w:p w14:paraId="750B1822" w14:textId="2981A0F7" w:rsidR="00083CD9" w:rsidRPr="00180522" w:rsidRDefault="00083CD9" w:rsidP="00C1421E">
            <w:pPr>
              <w:pStyle w:val="TableText0"/>
              <w:jc w:val="center"/>
              <w:rPr>
                <w:highlight w:val="yellow"/>
                <w:lang w:val="en-GB"/>
              </w:rPr>
            </w:pPr>
            <w:r w:rsidRPr="00180522">
              <w:rPr>
                <w:lang w:val="en-GB"/>
              </w:rPr>
              <w:t xml:space="preserve">2 </w:t>
            </w:r>
            <w:r w:rsidR="00E738E0" w:rsidRPr="00180522">
              <w:rPr>
                <w:lang w:val="en-GB"/>
              </w:rPr>
              <w:t>(</w:t>
            </w:r>
            <w:r w:rsidRPr="00180522">
              <w:rPr>
                <w:lang w:val="en-GB"/>
              </w:rPr>
              <w:t>1 cancelled</w:t>
            </w:r>
            <w:r w:rsidR="00E738E0" w:rsidRPr="00180522">
              <w:rPr>
                <w:lang w:val="en-GB"/>
              </w:rPr>
              <w:t>)</w:t>
            </w:r>
          </w:p>
        </w:tc>
        <w:tc>
          <w:tcPr>
            <w:tcW w:w="2551" w:type="dxa"/>
          </w:tcPr>
          <w:p w14:paraId="68661F01" w14:textId="4F3D5CC8" w:rsidR="00083CD9" w:rsidRPr="00180522" w:rsidRDefault="00083CD9" w:rsidP="00C1421E">
            <w:pPr>
              <w:pStyle w:val="TableText0"/>
              <w:rPr>
                <w:lang w:val="en-GB"/>
              </w:rPr>
            </w:pPr>
            <w:r w:rsidRPr="00180522">
              <w:rPr>
                <w:lang w:val="en-GB"/>
              </w:rPr>
              <w:t>3 fellowships awarded</w:t>
            </w:r>
            <w:r w:rsidR="00E738E0" w:rsidRPr="00180522">
              <w:rPr>
                <w:lang w:val="en-GB"/>
              </w:rPr>
              <w:t>,</w:t>
            </w:r>
          </w:p>
          <w:p w14:paraId="45A9BF65" w14:textId="1171676A" w:rsidR="00083CD9" w:rsidRPr="00180522" w:rsidRDefault="00083CD9" w:rsidP="00C1421E">
            <w:pPr>
              <w:pStyle w:val="TableText0"/>
              <w:rPr>
                <w:highlight w:val="yellow"/>
                <w:lang w:val="en-GB"/>
              </w:rPr>
            </w:pPr>
            <w:r w:rsidRPr="00180522">
              <w:rPr>
                <w:lang w:val="en-GB"/>
              </w:rPr>
              <w:t>2 participants</w:t>
            </w:r>
          </w:p>
        </w:tc>
      </w:tr>
      <w:tr w:rsidR="00083CD9" w:rsidRPr="00180522" w14:paraId="7A367E52" w14:textId="77777777" w:rsidTr="007339CE">
        <w:tc>
          <w:tcPr>
            <w:tcW w:w="3828" w:type="dxa"/>
          </w:tcPr>
          <w:p w14:paraId="6E8F14DC" w14:textId="761CD075" w:rsidR="00083CD9" w:rsidRPr="00180522" w:rsidRDefault="00083CD9" w:rsidP="00C1421E">
            <w:pPr>
              <w:pStyle w:val="TableText0"/>
              <w:rPr>
                <w:highlight w:val="yellow"/>
                <w:lang w:val="en-GB"/>
              </w:rPr>
            </w:pPr>
            <w:r w:rsidRPr="00180522">
              <w:rPr>
                <w:lang w:val="en-GB"/>
              </w:rPr>
              <w:t xml:space="preserve">ITU-T </w:t>
            </w:r>
            <w:r w:rsidR="00E738E0" w:rsidRPr="00180522">
              <w:rPr>
                <w:lang w:val="en-GB"/>
              </w:rPr>
              <w:t>SG</w:t>
            </w:r>
            <w:r w:rsidRPr="00180522">
              <w:rPr>
                <w:lang w:val="en-GB"/>
              </w:rPr>
              <w:t>17</w:t>
            </w:r>
            <w:r w:rsidR="00E738E0" w:rsidRPr="00180522">
              <w:rPr>
                <w:lang w:val="en-GB"/>
              </w:rPr>
              <w:t xml:space="preserve">, </w:t>
            </w:r>
            <w:r w:rsidRPr="00180522">
              <w:rPr>
                <w:lang w:val="en-GB"/>
              </w:rPr>
              <w:t>Geneva, 22</w:t>
            </w:r>
            <w:r w:rsidR="00E738E0" w:rsidRPr="00180522">
              <w:rPr>
                <w:lang w:val="en-GB"/>
              </w:rPr>
              <w:t>-</w:t>
            </w:r>
            <w:r w:rsidRPr="00180522">
              <w:rPr>
                <w:lang w:val="en-GB"/>
              </w:rPr>
              <w:t>30 January 2019</w:t>
            </w:r>
          </w:p>
        </w:tc>
        <w:tc>
          <w:tcPr>
            <w:tcW w:w="1701" w:type="dxa"/>
          </w:tcPr>
          <w:p w14:paraId="02201E3B" w14:textId="19A0A481" w:rsidR="00083CD9" w:rsidRPr="00180522" w:rsidRDefault="00083CD9" w:rsidP="00C1421E">
            <w:pPr>
              <w:pStyle w:val="TableText0"/>
              <w:jc w:val="center"/>
              <w:rPr>
                <w:highlight w:val="yellow"/>
                <w:lang w:val="en-GB"/>
              </w:rPr>
            </w:pPr>
            <w:r w:rsidRPr="00180522">
              <w:rPr>
                <w:lang w:val="en-GB"/>
              </w:rPr>
              <w:t>1</w:t>
            </w:r>
          </w:p>
        </w:tc>
        <w:tc>
          <w:tcPr>
            <w:tcW w:w="1559" w:type="dxa"/>
          </w:tcPr>
          <w:p w14:paraId="25347CE6" w14:textId="4A760F57" w:rsidR="00083CD9" w:rsidRPr="00180522" w:rsidRDefault="00083CD9" w:rsidP="00C1421E">
            <w:pPr>
              <w:pStyle w:val="TableText0"/>
              <w:jc w:val="center"/>
              <w:rPr>
                <w:highlight w:val="yellow"/>
                <w:lang w:val="en-GB"/>
              </w:rPr>
            </w:pPr>
            <w:r w:rsidRPr="00180522">
              <w:rPr>
                <w:lang w:val="en-GB"/>
              </w:rPr>
              <w:t>6</w:t>
            </w:r>
            <w:r w:rsidR="00E738E0" w:rsidRPr="00180522">
              <w:rPr>
                <w:lang w:val="en-GB"/>
              </w:rPr>
              <w:t xml:space="preserve"> (</w:t>
            </w:r>
            <w:r w:rsidRPr="00180522">
              <w:rPr>
                <w:lang w:val="en-GB"/>
              </w:rPr>
              <w:t>2 cancelled</w:t>
            </w:r>
            <w:r w:rsidR="00E738E0" w:rsidRPr="00180522">
              <w:rPr>
                <w:lang w:val="en-GB"/>
              </w:rPr>
              <w:t>)</w:t>
            </w:r>
          </w:p>
        </w:tc>
        <w:tc>
          <w:tcPr>
            <w:tcW w:w="2551" w:type="dxa"/>
          </w:tcPr>
          <w:p w14:paraId="4A47111B" w14:textId="1C257B3E" w:rsidR="00083CD9" w:rsidRPr="00180522" w:rsidRDefault="00083CD9" w:rsidP="00C1421E">
            <w:pPr>
              <w:pStyle w:val="TableText0"/>
              <w:rPr>
                <w:lang w:val="en-GB"/>
              </w:rPr>
            </w:pPr>
            <w:r w:rsidRPr="00180522">
              <w:rPr>
                <w:lang w:val="en-GB"/>
              </w:rPr>
              <w:t>9 fellowships awarded</w:t>
            </w:r>
            <w:r w:rsidR="00E738E0" w:rsidRPr="00180522">
              <w:rPr>
                <w:lang w:val="en-GB"/>
              </w:rPr>
              <w:t>,</w:t>
            </w:r>
          </w:p>
          <w:p w14:paraId="69A857A0" w14:textId="11669483" w:rsidR="00083CD9" w:rsidRPr="00180522" w:rsidRDefault="00083CD9" w:rsidP="00C1421E">
            <w:pPr>
              <w:pStyle w:val="TableText0"/>
              <w:rPr>
                <w:highlight w:val="yellow"/>
                <w:lang w:val="en-GB"/>
              </w:rPr>
            </w:pPr>
            <w:r w:rsidRPr="00180522">
              <w:rPr>
                <w:lang w:val="en-GB"/>
              </w:rPr>
              <w:t>7 participants</w:t>
            </w:r>
          </w:p>
        </w:tc>
      </w:tr>
      <w:tr w:rsidR="00083CD9" w:rsidRPr="00180522" w14:paraId="51D99D36" w14:textId="77777777" w:rsidTr="007339CE">
        <w:tc>
          <w:tcPr>
            <w:tcW w:w="3828" w:type="dxa"/>
          </w:tcPr>
          <w:p w14:paraId="7EE6AF17" w14:textId="7A2EC400" w:rsidR="00083CD9" w:rsidRPr="00180522" w:rsidRDefault="00083CD9" w:rsidP="00C1421E">
            <w:pPr>
              <w:pStyle w:val="TableText0"/>
              <w:rPr>
                <w:highlight w:val="yellow"/>
                <w:lang w:val="en-GB"/>
              </w:rPr>
            </w:pPr>
            <w:r w:rsidRPr="00180522">
              <w:rPr>
                <w:lang w:val="en-GB"/>
              </w:rPr>
              <w:t xml:space="preserve">ITU-T </w:t>
            </w:r>
            <w:r w:rsidR="00E738E0" w:rsidRPr="00180522">
              <w:rPr>
                <w:lang w:val="en-GB"/>
              </w:rPr>
              <w:t>SG</w:t>
            </w:r>
            <w:r w:rsidRPr="00180522">
              <w:rPr>
                <w:lang w:val="en-GB"/>
              </w:rPr>
              <w:t>3RG-AFR</w:t>
            </w:r>
            <w:r w:rsidR="00E738E0" w:rsidRPr="00180522">
              <w:rPr>
                <w:lang w:val="en-GB"/>
              </w:rPr>
              <w:t>,</w:t>
            </w:r>
            <w:r w:rsidR="006025E0" w:rsidRPr="00180522">
              <w:rPr>
                <w:lang w:val="en-GB"/>
              </w:rPr>
              <w:t xml:space="preserve"> </w:t>
            </w:r>
            <w:r w:rsidRPr="00180522">
              <w:rPr>
                <w:lang w:val="en-GB"/>
              </w:rPr>
              <w:t>Antananarivo, Madagascar, 18</w:t>
            </w:r>
            <w:r w:rsidR="006025E0" w:rsidRPr="00180522">
              <w:rPr>
                <w:lang w:val="en-GB"/>
              </w:rPr>
              <w:t>-</w:t>
            </w:r>
            <w:r w:rsidRPr="00180522">
              <w:rPr>
                <w:lang w:val="en-GB"/>
              </w:rPr>
              <w:t>22 February 2019</w:t>
            </w:r>
          </w:p>
        </w:tc>
        <w:tc>
          <w:tcPr>
            <w:tcW w:w="1701" w:type="dxa"/>
          </w:tcPr>
          <w:p w14:paraId="72D8070E" w14:textId="6F22346D" w:rsidR="00083CD9" w:rsidRPr="00180522" w:rsidRDefault="00083CD9" w:rsidP="00C1421E">
            <w:pPr>
              <w:pStyle w:val="TableText0"/>
              <w:jc w:val="center"/>
              <w:rPr>
                <w:highlight w:val="yellow"/>
                <w:lang w:val="en-GB"/>
              </w:rPr>
            </w:pPr>
            <w:r w:rsidRPr="00180522">
              <w:rPr>
                <w:lang w:val="en-GB"/>
              </w:rPr>
              <w:t xml:space="preserve">4 </w:t>
            </w:r>
            <w:r w:rsidR="00E738E0" w:rsidRPr="00180522">
              <w:rPr>
                <w:lang w:val="en-GB"/>
              </w:rPr>
              <w:t>(</w:t>
            </w:r>
            <w:r w:rsidRPr="00180522">
              <w:rPr>
                <w:lang w:val="en-GB"/>
              </w:rPr>
              <w:t>2 cancelled</w:t>
            </w:r>
            <w:r w:rsidR="00E738E0" w:rsidRPr="00180522">
              <w:rPr>
                <w:lang w:val="en-GB"/>
              </w:rPr>
              <w:t>)</w:t>
            </w:r>
          </w:p>
        </w:tc>
        <w:tc>
          <w:tcPr>
            <w:tcW w:w="1559" w:type="dxa"/>
          </w:tcPr>
          <w:p w14:paraId="64938E1C" w14:textId="19DEEB31" w:rsidR="00083CD9" w:rsidRPr="00180522" w:rsidRDefault="00083CD9" w:rsidP="00C1421E">
            <w:pPr>
              <w:pStyle w:val="TableText0"/>
              <w:jc w:val="center"/>
              <w:rPr>
                <w:highlight w:val="yellow"/>
                <w:lang w:val="en-GB"/>
              </w:rPr>
            </w:pPr>
            <w:r w:rsidRPr="00180522">
              <w:rPr>
                <w:lang w:val="en-GB"/>
              </w:rPr>
              <w:t>10</w:t>
            </w:r>
            <w:r w:rsidR="00E738E0" w:rsidRPr="00180522">
              <w:rPr>
                <w:lang w:val="en-GB"/>
              </w:rPr>
              <w:t xml:space="preserve"> (</w:t>
            </w:r>
            <w:r w:rsidRPr="00180522">
              <w:rPr>
                <w:lang w:val="en-GB"/>
              </w:rPr>
              <w:t>3 cancelled</w:t>
            </w:r>
            <w:r w:rsidR="00E738E0" w:rsidRPr="00180522">
              <w:rPr>
                <w:lang w:val="en-GB"/>
              </w:rPr>
              <w:t>)</w:t>
            </w:r>
          </w:p>
        </w:tc>
        <w:tc>
          <w:tcPr>
            <w:tcW w:w="2551" w:type="dxa"/>
          </w:tcPr>
          <w:p w14:paraId="0A2F4A2E" w14:textId="744552D7" w:rsidR="00083CD9" w:rsidRPr="00180522" w:rsidRDefault="00083CD9" w:rsidP="00C1421E">
            <w:pPr>
              <w:pStyle w:val="TableText0"/>
              <w:rPr>
                <w:lang w:val="en-GB"/>
              </w:rPr>
            </w:pPr>
            <w:r w:rsidRPr="00180522">
              <w:rPr>
                <w:lang w:val="en-GB"/>
              </w:rPr>
              <w:t>19 fellowships awarded</w:t>
            </w:r>
            <w:r w:rsidR="00E738E0" w:rsidRPr="00180522">
              <w:rPr>
                <w:lang w:val="en-GB"/>
              </w:rPr>
              <w:t>,</w:t>
            </w:r>
          </w:p>
          <w:p w14:paraId="0BBFA2EA" w14:textId="19F4BDBA" w:rsidR="00083CD9" w:rsidRPr="00180522" w:rsidRDefault="00083CD9" w:rsidP="00C1421E">
            <w:pPr>
              <w:pStyle w:val="TableText0"/>
              <w:rPr>
                <w:highlight w:val="yellow"/>
                <w:lang w:val="en-GB"/>
              </w:rPr>
            </w:pPr>
            <w:r w:rsidRPr="00180522">
              <w:rPr>
                <w:lang w:val="en-GB"/>
              </w:rPr>
              <w:t>14 participants</w:t>
            </w:r>
          </w:p>
        </w:tc>
      </w:tr>
      <w:tr w:rsidR="00083CD9" w:rsidRPr="00180522" w14:paraId="2D9A9538" w14:textId="77777777" w:rsidTr="007339CE">
        <w:tc>
          <w:tcPr>
            <w:tcW w:w="3828" w:type="dxa"/>
          </w:tcPr>
          <w:p w14:paraId="4D63A93A" w14:textId="777540CD" w:rsidR="00083CD9" w:rsidRPr="00180522" w:rsidRDefault="00083CD9" w:rsidP="00C1421E">
            <w:pPr>
              <w:pStyle w:val="TableText0"/>
              <w:rPr>
                <w:highlight w:val="yellow"/>
                <w:lang w:val="en-GB"/>
              </w:rPr>
            </w:pPr>
            <w:r w:rsidRPr="00180522">
              <w:rPr>
                <w:lang w:val="en-GB"/>
              </w:rPr>
              <w:t>ITU-T S</w:t>
            </w:r>
            <w:r w:rsidR="006025E0" w:rsidRPr="00180522">
              <w:rPr>
                <w:lang w:val="en-GB"/>
              </w:rPr>
              <w:t>G</w:t>
            </w:r>
            <w:r w:rsidRPr="00180522">
              <w:rPr>
                <w:lang w:val="en-GB"/>
              </w:rPr>
              <w:t>2</w:t>
            </w:r>
            <w:r w:rsidR="006025E0" w:rsidRPr="00180522">
              <w:rPr>
                <w:lang w:val="en-GB"/>
              </w:rPr>
              <w:t xml:space="preserve">, </w:t>
            </w:r>
            <w:r w:rsidRPr="00180522">
              <w:rPr>
                <w:lang w:val="en-GB"/>
              </w:rPr>
              <w:t>Geneva, 19</w:t>
            </w:r>
            <w:r w:rsidR="006025E0" w:rsidRPr="00180522">
              <w:rPr>
                <w:lang w:val="en-GB"/>
              </w:rPr>
              <w:t>-</w:t>
            </w:r>
            <w:r w:rsidRPr="00180522">
              <w:rPr>
                <w:lang w:val="en-GB"/>
              </w:rPr>
              <w:t>28 February 2019</w:t>
            </w:r>
          </w:p>
        </w:tc>
        <w:tc>
          <w:tcPr>
            <w:tcW w:w="1701" w:type="dxa"/>
          </w:tcPr>
          <w:p w14:paraId="035FFC80" w14:textId="3FCED2FF" w:rsidR="00083CD9" w:rsidRPr="00180522" w:rsidRDefault="00083CD9" w:rsidP="00C1421E">
            <w:pPr>
              <w:pStyle w:val="TableText0"/>
              <w:jc w:val="center"/>
              <w:rPr>
                <w:highlight w:val="yellow"/>
                <w:lang w:val="en-GB"/>
              </w:rPr>
            </w:pPr>
            <w:r w:rsidRPr="00180522">
              <w:rPr>
                <w:lang w:val="en-GB"/>
              </w:rPr>
              <w:t>0</w:t>
            </w:r>
          </w:p>
        </w:tc>
        <w:tc>
          <w:tcPr>
            <w:tcW w:w="1559" w:type="dxa"/>
          </w:tcPr>
          <w:p w14:paraId="14667998" w14:textId="6843FEF8" w:rsidR="00083CD9" w:rsidRPr="00180522" w:rsidRDefault="00083CD9" w:rsidP="00C1421E">
            <w:pPr>
              <w:pStyle w:val="TableText0"/>
              <w:jc w:val="center"/>
              <w:rPr>
                <w:highlight w:val="yellow"/>
                <w:lang w:val="en-GB"/>
              </w:rPr>
            </w:pPr>
            <w:r w:rsidRPr="00180522">
              <w:rPr>
                <w:lang w:val="en-GB"/>
              </w:rPr>
              <w:t xml:space="preserve">8 </w:t>
            </w:r>
            <w:r w:rsidR="00E738E0" w:rsidRPr="00180522">
              <w:rPr>
                <w:lang w:val="en-GB"/>
              </w:rPr>
              <w:t>(</w:t>
            </w:r>
            <w:r w:rsidRPr="00180522">
              <w:rPr>
                <w:lang w:val="en-GB"/>
              </w:rPr>
              <w:t>2 cancelled</w:t>
            </w:r>
            <w:r w:rsidR="00E738E0" w:rsidRPr="00180522">
              <w:rPr>
                <w:lang w:val="en-GB"/>
              </w:rPr>
              <w:t>)</w:t>
            </w:r>
          </w:p>
        </w:tc>
        <w:tc>
          <w:tcPr>
            <w:tcW w:w="2551" w:type="dxa"/>
          </w:tcPr>
          <w:p w14:paraId="07D23F02" w14:textId="7656069E" w:rsidR="00083CD9" w:rsidRPr="00180522" w:rsidRDefault="00083CD9" w:rsidP="00C1421E">
            <w:pPr>
              <w:pStyle w:val="TableText0"/>
              <w:rPr>
                <w:lang w:val="en-GB"/>
              </w:rPr>
            </w:pPr>
            <w:r w:rsidRPr="00180522">
              <w:rPr>
                <w:lang w:val="en-GB"/>
              </w:rPr>
              <w:t>10 fellowships awarded</w:t>
            </w:r>
            <w:r w:rsidR="00E738E0" w:rsidRPr="00180522">
              <w:rPr>
                <w:lang w:val="en-GB"/>
              </w:rPr>
              <w:t>,</w:t>
            </w:r>
          </w:p>
          <w:p w14:paraId="3A536D73" w14:textId="6EE615CF" w:rsidR="00083CD9" w:rsidRPr="00180522" w:rsidRDefault="00083CD9" w:rsidP="00C1421E">
            <w:pPr>
              <w:pStyle w:val="TableText0"/>
              <w:rPr>
                <w:highlight w:val="yellow"/>
                <w:lang w:val="en-GB"/>
              </w:rPr>
            </w:pPr>
            <w:r w:rsidRPr="00180522">
              <w:rPr>
                <w:lang w:val="en-GB"/>
              </w:rPr>
              <w:t>8 participants</w:t>
            </w:r>
          </w:p>
        </w:tc>
      </w:tr>
      <w:tr w:rsidR="00083CD9" w:rsidRPr="00180522" w14:paraId="0D8FC3D0" w14:textId="77777777" w:rsidTr="007339CE">
        <w:tc>
          <w:tcPr>
            <w:tcW w:w="3828" w:type="dxa"/>
          </w:tcPr>
          <w:p w14:paraId="5040E1AF" w14:textId="09AFE48D" w:rsidR="00083CD9" w:rsidRPr="00180522" w:rsidRDefault="00083CD9" w:rsidP="00C1421E">
            <w:pPr>
              <w:pStyle w:val="TableText0"/>
              <w:rPr>
                <w:highlight w:val="yellow"/>
                <w:lang w:val="en-GB"/>
              </w:rPr>
            </w:pPr>
            <w:r w:rsidRPr="00180522">
              <w:rPr>
                <w:lang w:val="en-GB"/>
              </w:rPr>
              <w:t xml:space="preserve">ITU-T </w:t>
            </w:r>
            <w:r w:rsidR="006025E0" w:rsidRPr="00180522">
              <w:rPr>
                <w:lang w:val="en-GB"/>
              </w:rPr>
              <w:t>SG</w:t>
            </w:r>
            <w:r w:rsidRPr="00180522">
              <w:rPr>
                <w:lang w:val="en-GB"/>
              </w:rPr>
              <w:t>20RG-EECAT</w:t>
            </w:r>
            <w:r w:rsidR="006025E0" w:rsidRPr="00180522">
              <w:rPr>
                <w:lang w:val="en-GB"/>
              </w:rPr>
              <w:t xml:space="preserve">, </w:t>
            </w:r>
            <w:r w:rsidRPr="00180522">
              <w:rPr>
                <w:lang w:val="en-GB"/>
              </w:rPr>
              <w:t>Minsk, Belarus, 26</w:t>
            </w:r>
            <w:r w:rsidR="006025E0" w:rsidRPr="00180522">
              <w:rPr>
                <w:lang w:val="en-GB"/>
              </w:rPr>
              <w:t>-</w:t>
            </w:r>
            <w:r w:rsidRPr="00180522">
              <w:rPr>
                <w:lang w:val="en-GB"/>
              </w:rPr>
              <w:t>28 February 2019</w:t>
            </w:r>
          </w:p>
        </w:tc>
        <w:tc>
          <w:tcPr>
            <w:tcW w:w="1701" w:type="dxa"/>
          </w:tcPr>
          <w:p w14:paraId="641EE46B" w14:textId="70DE369F" w:rsidR="00083CD9" w:rsidRPr="00180522" w:rsidRDefault="00083CD9" w:rsidP="00C1421E">
            <w:pPr>
              <w:pStyle w:val="TableText0"/>
              <w:jc w:val="center"/>
              <w:rPr>
                <w:highlight w:val="yellow"/>
                <w:lang w:val="en-GB"/>
              </w:rPr>
            </w:pPr>
            <w:r w:rsidRPr="00180522">
              <w:rPr>
                <w:lang w:val="en-GB"/>
              </w:rPr>
              <w:t>1</w:t>
            </w:r>
          </w:p>
        </w:tc>
        <w:tc>
          <w:tcPr>
            <w:tcW w:w="1559" w:type="dxa"/>
          </w:tcPr>
          <w:p w14:paraId="102DC1A7" w14:textId="3BDF9AEA" w:rsidR="00083CD9" w:rsidRPr="00180522" w:rsidRDefault="00083CD9" w:rsidP="00C1421E">
            <w:pPr>
              <w:pStyle w:val="TableText0"/>
              <w:jc w:val="center"/>
              <w:rPr>
                <w:highlight w:val="yellow"/>
                <w:lang w:val="en-GB"/>
              </w:rPr>
            </w:pPr>
            <w:r w:rsidRPr="00180522">
              <w:rPr>
                <w:lang w:val="en-GB"/>
              </w:rPr>
              <w:t xml:space="preserve">0 </w:t>
            </w:r>
            <w:r w:rsidR="00E738E0" w:rsidRPr="00180522">
              <w:rPr>
                <w:lang w:val="en-GB"/>
              </w:rPr>
              <w:t>(</w:t>
            </w:r>
            <w:r w:rsidRPr="00180522">
              <w:rPr>
                <w:lang w:val="en-GB"/>
              </w:rPr>
              <w:t>1 cancelled</w:t>
            </w:r>
            <w:r w:rsidR="00E738E0" w:rsidRPr="00180522">
              <w:rPr>
                <w:lang w:val="en-GB"/>
              </w:rPr>
              <w:t>)</w:t>
            </w:r>
          </w:p>
        </w:tc>
        <w:tc>
          <w:tcPr>
            <w:tcW w:w="2551" w:type="dxa"/>
          </w:tcPr>
          <w:p w14:paraId="639740E5" w14:textId="4A2EBF16" w:rsidR="00083CD9" w:rsidRPr="00180522" w:rsidRDefault="00083CD9" w:rsidP="00C1421E">
            <w:pPr>
              <w:pStyle w:val="TableText0"/>
              <w:rPr>
                <w:lang w:val="en-GB"/>
              </w:rPr>
            </w:pPr>
            <w:r w:rsidRPr="00180522">
              <w:rPr>
                <w:lang w:val="en-GB"/>
              </w:rPr>
              <w:t>2 fellowships awarded</w:t>
            </w:r>
            <w:r w:rsidR="00E738E0" w:rsidRPr="00180522">
              <w:rPr>
                <w:lang w:val="en-GB"/>
              </w:rPr>
              <w:t>,</w:t>
            </w:r>
          </w:p>
          <w:p w14:paraId="466AE2E8" w14:textId="436796D5" w:rsidR="00083CD9" w:rsidRPr="00180522" w:rsidRDefault="00083CD9" w:rsidP="00C1421E">
            <w:pPr>
              <w:pStyle w:val="TableText0"/>
              <w:rPr>
                <w:highlight w:val="yellow"/>
                <w:lang w:val="en-GB"/>
              </w:rPr>
            </w:pPr>
            <w:r w:rsidRPr="00180522">
              <w:rPr>
                <w:lang w:val="en-GB"/>
              </w:rPr>
              <w:t>1 participant</w:t>
            </w:r>
          </w:p>
        </w:tc>
      </w:tr>
      <w:tr w:rsidR="00083CD9" w:rsidRPr="00180522" w14:paraId="2E3A5F48" w14:textId="77777777" w:rsidTr="007339CE">
        <w:tc>
          <w:tcPr>
            <w:tcW w:w="3828" w:type="dxa"/>
          </w:tcPr>
          <w:p w14:paraId="0CA819B6" w14:textId="731241F0" w:rsidR="00083CD9" w:rsidRPr="00180522" w:rsidRDefault="00083CD9" w:rsidP="00C1421E">
            <w:pPr>
              <w:pStyle w:val="TableText0"/>
              <w:rPr>
                <w:highlight w:val="yellow"/>
                <w:lang w:val="en-GB"/>
              </w:rPr>
            </w:pPr>
            <w:r w:rsidRPr="00180522">
              <w:rPr>
                <w:lang w:val="en-GB"/>
              </w:rPr>
              <w:t>ITU-T S</w:t>
            </w:r>
            <w:r w:rsidR="006025E0" w:rsidRPr="00180522">
              <w:rPr>
                <w:lang w:val="en-GB"/>
              </w:rPr>
              <w:t>G</w:t>
            </w:r>
            <w:r w:rsidRPr="00180522">
              <w:rPr>
                <w:lang w:val="en-GB"/>
              </w:rPr>
              <w:t>12RG-AFR</w:t>
            </w:r>
            <w:r w:rsidR="006025E0" w:rsidRPr="00180522">
              <w:rPr>
                <w:lang w:val="en-GB"/>
              </w:rPr>
              <w:t xml:space="preserve">, </w:t>
            </w:r>
            <w:r w:rsidRPr="00180522">
              <w:rPr>
                <w:lang w:val="en-GB"/>
              </w:rPr>
              <w:t>Kigali, Rwanda, 7</w:t>
            </w:r>
            <w:r w:rsidR="006025E0" w:rsidRPr="00180522">
              <w:rPr>
                <w:lang w:val="en-GB"/>
              </w:rPr>
              <w:t>-</w:t>
            </w:r>
            <w:r w:rsidRPr="00180522">
              <w:rPr>
                <w:lang w:val="en-GB"/>
              </w:rPr>
              <w:t>8 March 2019</w:t>
            </w:r>
          </w:p>
        </w:tc>
        <w:tc>
          <w:tcPr>
            <w:tcW w:w="1701" w:type="dxa"/>
          </w:tcPr>
          <w:p w14:paraId="27EF06BA" w14:textId="71CE78D5" w:rsidR="00083CD9" w:rsidRPr="00180522" w:rsidRDefault="00083CD9" w:rsidP="00C1421E">
            <w:pPr>
              <w:pStyle w:val="TableText0"/>
              <w:jc w:val="center"/>
              <w:rPr>
                <w:highlight w:val="yellow"/>
                <w:lang w:val="en-GB"/>
              </w:rPr>
            </w:pPr>
            <w:r w:rsidRPr="00180522">
              <w:rPr>
                <w:lang w:val="en-GB"/>
              </w:rPr>
              <w:t>3</w:t>
            </w:r>
          </w:p>
        </w:tc>
        <w:tc>
          <w:tcPr>
            <w:tcW w:w="1559" w:type="dxa"/>
          </w:tcPr>
          <w:p w14:paraId="17E1DC79" w14:textId="0FD0D576" w:rsidR="00083CD9" w:rsidRPr="00180522" w:rsidRDefault="00083CD9" w:rsidP="00C1421E">
            <w:pPr>
              <w:pStyle w:val="TableText0"/>
              <w:jc w:val="center"/>
              <w:rPr>
                <w:highlight w:val="yellow"/>
                <w:lang w:val="en-GB"/>
              </w:rPr>
            </w:pPr>
            <w:r w:rsidRPr="00180522">
              <w:rPr>
                <w:lang w:val="en-GB"/>
              </w:rPr>
              <w:t xml:space="preserve">11 </w:t>
            </w:r>
            <w:r w:rsidR="00E738E0" w:rsidRPr="00180522">
              <w:rPr>
                <w:lang w:val="en-GB"/>
              </w:rPr>
              <w:t>(</w:t>
            </w:r>
            <w:r w:rsidRPr="00180522">
              <w:rPr>
                <w:lang w:val="en-GB"/>
              </w:rPr>
              <w:t>1 cancelled</w:t>
            </w:r>
            <w:r w:rsidR="00E738E0" w:rsidRPr="00180522">
              <w:rPr>
                <w:lang w:val="en-GB"/>
              </w:rPr>
              <w:t>)</w:t>
            </w:r>
          </w:p>
        </w:tc>
        <w:tc>
          <w:tcPr>
            <w:tcW w:w="2551" w:type="dxa"/>
          </w:tcPr>
          <w:p w14:paraId="761C2788" w14:textId="4F1A1654" w:rsidR="00083CD9" w:rsidRPr="00180522" w:rsidRDefault="00083CD9" w:rsidP="00C1421E">
            <w:pPr>
              <w:pStyle w:val="TableText0"/>
              <w:rPr>
                <w:lang w:val="en-GB"/>
              </w:rPr>
            </w:pPr>
            <w:r w:rsidRPr="00180522">
              <w:rPr>
                <w:lang w:val="en-GB"/>
              </w:rPr>
              <w:t>15 fellowships awarded</w:t>
            </w:r>
            <w:r w:rsidR="00E738E0" w:rsidRPr="00180522">
              <w:rPr>
                <w:lang w:val="en-GB"/>
              </w:rPr>
              <w:t>,</w:t>
            </w:r>
          </w:p>
          <w:p w14:paraId="4ED3CBB3" w14:textId="1764A3FC" w:rsidR="00083CD9" w:rsidRPr="00180522" w:rsidRDefault="00083CD9" w:rsidP="00C1421E">
            <w:pPr>
              <w:pStyle w:val="TableText0"/>
              <w:rPr>
                <w:highlight w:val="yellow"/>
                <w:lang w:val="en-GB"/>
              </w:rPr>
            </w:pPr>
            <w:r w:rsidRPr="00180522">
              <w:rPr>
                <w:lang w:val="en-GB"/>
              </w:rPr>
              <w:t>14 participants</w:t>
            </w:r>
          </w:p>
        </w:tc>
      </w:tr>
      <w:tr w:rsidR="00083CD9" w:rsidRPr="00180522" w14:paraId="431C229E" w14:textId="77777777" w:rsidTr="007339CE">
        <w:tc>
          <w:tcPr>
            <w:tcW w:w="3828" w:type="dxa"/>
          </w:tcPr>
          <w:p w14:paraId="15EFAB17" w14:textId="180CA503" w:rsidR="00083CD9" w:rsidRPr="00180522" w:rsidRDefault="00083CD9" w:rsidP="00C1421E">
            <w:pPr>
              <w:pStyle w:val="TableText0"/>
              <w:rPr>
                <w:highlight w:val="yellow"/>
                <w:lang w:val="en-GB"/>
              </w:rPr>
            </w:pPr>
            <w:r w:rsidRPr="00180522">
              <w:rPr>
                <w:lang w:val="en-GB"/>
              </w:rPr>
              <w:t xml:space="preserve">ITU-T </w:t>
            </w:r>
            <w:r w:rsidR="006025E0" w:rsidRPr="00180522">
              <w:rPr>
                <w:lang w:val="en-GB"/>
              </w:rPr>
              <w:t>SG</w:t>
            </w:r>
            <w:r w:rsidRPr="00180522">
              <w:rPr>
                <w:lang w:val="en-GB"/>
              </w:rPr>
              <w:t>13</w:t>
            </w:r>
            <w:r w:rsidR="006025E0" w:rsidRPr="00180522">
              <w:rPr>
                <w:lang w:val="en-GB"/>
              </w:rPr>
              <w:t xml:space="preserve">, </w:t>
            </w:r>
            <w:r w:rsidRPr="00180522">
              <w:rPr>
                <w:lang w:val="en-GB"/>
              </w:rPr>
              <w:t>Victoria Falls, Zimbabwe, 4</w:t>
            </w:r>
            <w:r w:rsidR="006025E0" w:rsidRPr="00180522">
              <w:rPr>
                <w:lang w:val="en-GB"/>
              </w:rPr>
              <w:t>-</w:t>
            </w:r>
            <w:r w:rsidRPr="00180522">
              <w:rPr>
                <w:lang w:val="en-GB"/>
              </w:rPr>
              <w:t>14 March 2019</w:t>
            </w:r>
          </w:p>
        </w:tc>
        <w:tc>
          <w:tcPr>
            <w:tcW w:w="1701" w:type="dxa"/>
          </w:tcPr>
          <w:p w14:paraId="26833B8B" w14:textId="38231ADD" w:rsidR="00083CD9" w:rsidRPr="00180522" w:rsidRDefault="00083CD9" w:rsidP="00C1421E">
            <w:pPr>
              <w:pStyle w:val="TableText0"/>
              <w:jc w:val="center"/>
              <w:rPr>
                <w:highlight w:val="yellow"/>
                <w:lang w:val="en-GB"/>
              </w:rPr>
            </w:pPr>
            <w:r w:rsidRPr="00180522">
              <w:rPr>
                <w:lang w:val="en-GB"/>
              </w:rPr>
              <w:t xml:space="preserve">0 </w:t>
            </w:r>
            <w:r w:rsidR="00E738E0" w:rsidRPr="00180522">
              <w:rPr>
                <w:lang w:val="en-GB"/>
              </w:rPr>
              <w:t>(</w:t>
            </w:r>
            <w:r w:rsidRPr="00180522">
              <w:rPr>
                <w:lang w:val="en-GB"/>
              </w:rPr>
              <w:t>1 cancelled</w:t>
            </w:r>
            <w:r w:rsidR="00E738E0" w:rsidRPr="00180522">
              <w:rPr>
                <w:lang w:val="en-GB"/>
              </w:rPr>
              <w:t>)</w:t>
            </w:r>
          </w:p>
        </w:tc>
        <w:tc>
          <w:tcPr>
            <w:tcW w:w="1559" w:type="dxa"/>
          </w:tcPr>
          <w:p w14:paraId="13900117" w14:textId="47E2AB9D" w:rsidR="00083CD9" w:rsidRPr="00180522" w:rsidRDefault="00083CD9" w:rsidP="00C1421E">
            <w:pPr>
              <w:pStyle w:val="TableText0"/>
              <w:jc w:val="center"/>
              <w:rPr>
                <w:highlight w:val="yellow"/>
                <w:lang w:val="en-GB"/>
              </w:rPr>
            </w:pPr>
            <w:r w:rsidRPr="00180522">
              <w:rPr>
                <w:lang w:val="en-GB"/>
              </w:rPr>
              <w:t>3</w:t>
            </w:r>
          </w:p>
        </w:tc>
        <w:tc>
          <w:tcPr>
            <w:tcW w:w="2551" w:type="dxa"/>
          </w:tcPr>
          <w:p w14:paraId="5DDE917B" w14:textId="4A4EE39F" w:rsidR="00083CD9" w:rsidRPr="00180522" w:rsidRDefault="00083CD9" w:rsidP="00C1421E">
            <w:pPr>
              <w:pStyle w:val="TableText0"/>
              <w:rPr>
                <w:lang w:val="en-GB"/>
              </w:rPr>
            </w:pPr>
            <w:r w:rsidRPr="00180522">
              <w:rPr>
                <w:lang w:val="en-GB"/>
              </w:rPr>
              <w:t>4 fellowships awarded</w:t>
            </w:r>
            <w:r w:rsidR="00E738E0" w:rsidRPr="00180522">
              <w:rPr>
                <w:lang w:val="en-GB"/>
              </w:rPr>
              <w:t>,</w:t>
            </w:r>
          </w:p>
          <w:p w14:paraId="16868EAC" w14:textId="61A4D28F" w:rsidR="00083CD9" w:rsidRPr="00180522" w:rsidRDefault="00083CD9" w:rsidP="00C1421E">
            <w:pPr>
              <w:pStyle w:val="TableText0"/>
              <w:rPr>
                <w:highlight w:val="yellow"/>
                <w:lang w:val="en-GB"/>
              </w:rPr>
            </w:pPr>
            <w:r w:rsidRPr="00180522">
              <w:rPr>
                <w:lang w:val="en-GB"/>
              </w:rPr>
              <w:t>3 participants</w:t>
            </w:r>
          </w:p>
        </w:tc>
      </w:tr>
      <w:tr w:rsidR="00083CD9" w:rsidRPr="00180522" w14:paraId="759CD8E1" w14:textId="77777777" w:rsidTr="007339CE">
        <w:tc>
          <w:tcPr>
            <w:tcW w:w="3828" w:type="dxa"/>
          </w:tcPr>
          <w:p w14:paraId="1FAD048B" w14:textId="09BAE751" w:rsidR="00083CD9" w:rsidRPr="00180522" w:rsidRDefault="00083CD9" w:rsidP="00C1421E">
            <w:pPr>
              <w:pStyle w:val="TableText0"/>
              <w:rPr>
                <w:highlight w:val="yellow"/>
                <w:lang w:val="en-GB"/>
              </w:rPr>
            </w:pPr>
            <w:r w:rsidRPr="00180522">
              <w:rPr>
                <w:lang w:val="en-GB"/>
              </w:rPr>
              <w:t xml:space="preserve">ITU-T </w:t>
            </w:r>
            <w:r w:rsidR="006025E0" w:rsidRPr="00180522">
              <w:rPr>
                <w:lang w:val="en-GB"/>
              </w:rPr>
              <w:t>SG</w:t>
            </w:r>
            <w:r w:rsidRPr="00180522">
              <w:rPr>
                <w:lang w:val="en-GB"/>
              </w:rPr>
              <w:t>11</w:t>
            </w:r>
            <w:r w:rsidR="006025E0" w:rsidRPr="00180522">
              <w:rPr>
                <w:lang w:val="en-GB"/>
              </w:rPr>
              <w:t xml:space="preserve">, </w:t>
            </w:r>
            <w:r w:rsidRPr="00180522">
              <w:rPr>
                <w:lang w:val="en-GB"/>
              </w:rPr>
              <w:t>Geneva, 6</w:t>
            </w:r>
            <w:r w:rsidR="006025E0" w:rsidRPr="00180522">
              <w:rPr>
                <w:lang w:val="en-GB"/>
              </w:rPr>
              <w:t>-</w:t>
            </w:r>
            <w:r w:rsidRPr="00180522">
              <w:rPr>
                <w:lang w:val="en-GB"/>
              </w:rPr>
              <w:t>15 March 2019</w:t>
            </w:r>
          </w:p>
        </w:tc>
        <w:tc>
          <w:tcPr>
            <w:tcW w:w="1701" w:type="dxa"/>
          </w:tcPr>
          <w:p w14:paraId="4B941D04" w14:textId="09E5A92A" w:rsidR="00083CD9" w:rsidRPr="00180522" w:rsidRDefault="00083CD9" w:rsidP="00C1421E">
            <w:pPr>
              <w:pStyle w:val="TableText0"/>
              <w:jc w:val="center"/>
              <w:rPr>
                <w:highlight w:val="yellow"/>
                <w:lang w:val="en-GB"/>
              </w:rPr>
            </w:pPr>
            <w:r w:rsidRPr="00180522">
              <w:rPr>
                <w:lang w:val="en-GB"/>
              </w:rPr>
              <w:t>0</w:t>
            </w:r>
          </w:p>
        </w:tc>
        <w:tc>
          <w:tcPr>
            <w:tcW w:w="1559" w:type="dxa"/>
          </w:tcPr>
          <w:p w14:paraId="0C29F81A" w14:textId="6248C220" w:rsidR="00083CD9" w:rsidRPr="00180522" w:rsidRDefault="00083CD9" w:rsidP="00C1421E">
            <w:pPr>
              <w:pStyle w:val="TableText0"/>
              <w:jc w:val="center"/>
              <w:rPr>
                <w:highlight w:val="yellow"/>
                <w:lang w:val="en-GB"/>
              </w:rPr>
            </w:pPr>
            <w:r w:rsidRPr="00180522">
              <w:rPr>
                <w:lang w:val="en-GB"/>
              </w:rPr>
              <w:t xml:space="preserve">4 </w:t>
            </w:r>
            <w:r w:rsidR="00E738E0" w:rsidRPr="00180522">
              <w:rPr>
                <w:lang w:val="en-GB"/>
              </w:rPr>
              <w:t>(</w:t>
            </w:r>
            <w:r w:rsidRPr="00180522">
              <w:rPr>
                <w:lang w:val="en-GB"/>
              </w:rPr>
              <w:t>3 cancelled</w:t>
            </w:r>
            <w:r w:rsidR="00E738E0" w:rsidRPr="00180522">
              <w:rPr>
                <w:lang w:val="en-GB"/>
              </w:rPr>
              <w:t>)</w:t>
            </w:r>
          </w:p>
        </w:tc>
        <w:tc>
          <w:tcPr>
            <w:tcW w:w="2551" w:type="dxa"/>
          </w:tcPr>
          <w:p w14:paraId="2B9DC332" w14:textId="31CE21EA" w:rsidR="00083CD9" w:rsidRPr="00180522" w:rsidRDefault="00083CD9" w:rsidP="00C1421E">
            <w:pPr>
              <w:pStyle w:val="TableText0"/>
              <w:rPr>
                <w:lang w:val="en-GB"/>
              </w:rPr>
            </w:pPr>
            <w:r w:rsidRPr="00180522">
              <w:rPr>
                <w:lang w:val="en-GB"/>
              </w:rPr>
              <w:t>7 fellowships awarded</w:t>
            </w:r>
            <w:r w:rsidR="00E738E0" w:rsidRPr="00180522">
              <w:rPr>
                <w:lang w:val="en-GB"/>
              </w:rPr>
              <w:t>,</w:t>
            </w:r>
          </w:p>
          <w:p w14:paraId="411FA229" w14:textId="172BF4D9" w:rsidR="00083CD9" w:rsidRPr="00180522" w:rsidRDefault="00083CD9" w:rsidP="00C1421E">
            <w:pPr>
              <w:pStyle w:val="TableText0"/>
              <w:rPr>
                <w:highlight w:val="yellow"/>
                <w:lang w:val="en-GB"/>
              </w:rPr>
            </w:pPr>
            <w:r w:rsidRPr="00180522">
              <w:rPr>
                <w:lang w:val="en-GB"/>
              </w:rPr>
              <w:t>4 participants</w:t>
            </w:r>
          </w:p>
        </w:tc>
      </w:tr>
      <w:tr w:rsidR="00083CD9" w:rsidRPr="00180522" w14:paraId="1CDB9F37" w14:textId="77777777" w:rsidTr="007339CE">
        <w:tc>
          <w:tcPr>
            <w:tcW w:w="3828" w:type="dxa"/>
          </w:tcPr>
          <w:p w14:paraId="5581F495" w14:textId="485F6DB8" w:rsidR="00083CD9" w:rsidRPr="00180522" w:rsidRDefault="00083CD9" w:rsidP="00C1421E">
            <w:pPr>
              <w:pStyle w:val="TableText0"/>
              <w:rPr>
                <w:highlight w:val="yellow"/>
                <w:lang w:val="en-GB"/>
              </w:rPr>
            </w:pPr>
            <w:r w:rsidRPr="00180522">
              <w:rPr>
                <w:lang w:val="en-GB"/>
              </w:rPr>
              <w:t xml:space="preserve">ITU-T </w:t>
            </w:r>
            <w:r w:rsidR="006025E0" w:rsidRPr="00180522">
              <w:rPr>
                <w:lang w:val="en-GB"/>
              </w:rPr>
              <w:t>SG</w:t>
            </w:r>
            <w:r w:rsidRPr="00180522">
              <w:rPr>
                <w:lang w:val="en-GB"/>
              </w:rPr>
              <w:t>16</w:t>
            </w:r>
            <w:r w:rsidR="006025E0" w:rsidRPr="00180522">
              <w:rPr>
                <w:lang w:val="en-GB"/>
              </w:rPr>
              <w:t xml:space="preserve">, </w:t>
            </w:r>
            <w:r w:rsidRPr="00180522">
              <w:rPr>
                <w:lang w:val="en-GB"/>
              </w:rPr>
              <w:t>Geneva, 6</w:t>
            </w:r>
            <w:r w:rsidR="006025E0" w:rsidRPr="00180522">
              <w:rPr>
                <w:lang w:val="en-GB"/>
              </w:rPr>
              <w:t>-</w:t>
            </w:r>
            <w:r w:rsidRPr="00180522">
              <w:rPr>
                <w:lang w:val="en-GB"/>
              </w:rPr>
              <w:t>15 March 2019</w:t>
            </w:r>
          </w:p>
        </w:tc>
        <w:tc>
          <w:tcPr>
            <w:tcW w:w="1701" w:type="dxa"/>
          </w:tcPr>
          <w:p w14:paraId="7590E166" w14:textId="10011366" w:rsidR="00083CD9" w:rsidRPr="00180522" w:rsidRDefault="00083CD9" w:rsidP="00C1421E">
            <w:pPr>
              <w:pStyle w:val="TableText0"/>
              <w:jc w:val="center"/>
              <w:rPr>
                <w:highlight w:val="yellow"/>
                <w:lang w:val="en-GB"/>
              </w:rPr>
            </w:pPr>
            <w:r w:rsidRPr="00180522">
              <w:rPr>
                <w:lang w:val="en-GB"/>
              </w:rPr>
              <w:t xml:space="preserve">2 </w:t>
            </w:r>
            <w:r w:rsidR="00E738E0" w:rsidRPr="00180522">
              <w:rPr>
                <w:lang w:val="en-GB"/>
              </w:rPr>
              <w:t>(</w:t>
            </w:r>
            <w:r w:rsidRPr="00180522">
              <w:rPr>
                <w:lang w:val="en-GB"/>
              </w:rPr>
              <w:t>1 cancelled</w:t>
            </w:r>
            <w:r w:rsidR="00E738E0" w:rsidRPr="00180522">
              <w:rPr>
                <w:lang w:val="en-GB"/>
              </w:rPr>
              <w:t>)</w:t>
            </w:r>
          </w:p>
        </w:tc>
        <w:tc>
          <w:tcPr>
            <w:tcW w:w="1559" w:type="dxa"/>
          </w:tcPr>
          <w:p w14:paraId="52240E20" w14:textId="0BD876E7" w:rsidR="00083CD9" w:rsidRPr="00180522" w:rsidRDefault="00083CD9" w:rsidP="00C1421E">
            <w:pPr>
              <w:pStyle w:val="TableText0"/>
              <w:jc w:val="center"/>
              <w:rPr>
                <w:highlight w:val="yellow"/>
                <w:lang w:val="en-GB"/>
              </w:rPr>
            </w:pPr>
            <w:r w:rsidRPr="00180522">
              <w:rPr>
                <w:lang w:val="en-GB"/>
              </w:rPr>
              <w:t>3</w:t>
            </w:r>
          </w:p>
        </w:tc>
        <w:tc>
          <w:tcPr>
            <w:tcW w:w="2551" w:type="dxa"/>
          </w:tcPr>
          <w:p w14:paraId="0A56437A" w14:textId="3F78D0A8" w:rsidR="00083CD9" w:rsidRPr="00180522" w:rsidRDefault="00083CD9" w:rsidP="00C1421E">
            <w:pPr>
              <w:pStyle w:val="TableText0"/>
              <w:rPr>
                <w:lang w:val="en-GB"/>
              </w:rPr>
            </w:pPr>
            <w:r w:rsidRPr="00180522">
              <w:rPr>
                <w:lang w:val="en-GB"/>
              </w:rPr>
              <w:t>6 fellowships awarded</w:t>
            </w:r>
            <w:r w:rsidR="00E738E0" w:rsidRPr="00180522">
              <w:rPr>
                <w:lang w:val="en-GB"/>
              </w:rPr>
              <w:t>,</w:t>
            </w:r>
          </w:p>
          <w:p w14:paraId="4C3EB612" w14:textId="67112745" w:rsidR="00083CD9" w:rsidRPr="00180522" w:rsidRDefault="00083CD9" w:rsidP="00C1421E">
            <w:pPr>
              <w:pStyle w:val="TableText0"/>
              <w:rPr>
                <w:highlight w:val="yellow"/>
                <w:lang w:val="en-GB"/>
              </w:rPr>
            </w:pPr>
            <w:r w:rsidRPr="00180522">
              <w:rPr>
                <w:lang w:val="en-GB"/>
              </w:rPr>
              <w:t>5 participants</w:t>
            </w:r>
          </w:p>
        </w:tc>
      </w:tr>
      <w:tr w:rsidR="00083CD9" w:rsidRPr="00180522" w14:paraId="4FB31FFF" w14:textId="77777777" w:rsidTr="007339CE">
        <w:tc>
          <w:tcPr>
            <w:tcW w:w="3828" w:type="dxa"/>
          </w:tcPr>
          <w:p w14:paraId="56D1EF44" w14:textId="7B868FE4" w:rsidR="00083CD9" w:rsidRPr="00180522" w:rsidRDefault="00083CD9" w:rsidP="00C1421E">
            <w:pPr>
              <w:pStyle w:val="TableText0"/>
              <w:rPr>
                <w:highlight w:val="yellow"/>
                <w:lang w:val="en-GB"/>
              </w:rPr>
            </w:pPr>
            <w:r w:rsidRPr="00180522">
              <w:rPr>
                <w:lang w:val="en-GB"/>
              </w:rPr>
              <w:t>ITU-T S</w:t>
            </w:r>
            <w:r w:rsidR="006025E0" w:rsidRPr="00180522">
              <w:rPr>
                <w:lang w:val="en-GB"/>
              </w:rPr>
              <w:t>G</w:t>
            </w:r>
            <w:r w:rsidRPr="00180522">
              <w:rPr>
                <w:lang w:val="en-GB"/>
              </w:rPr>
              <w:t>2RG-AMR</w:t>
            </w:r>
            <w:r w:rsidR="001C37A8" w:rsidRPr="00180522">
              <w:rPr>
                <w:lang w:val="en-GB"/>
              </w:rPr>
              <w:t xml:space="preserve"> </w:t>
            </w:r>
            <w:r w:rsidRPr="00180522">
              <w:rPr>
                <w:lang w:val="en-GB"/>
              </w:rPr>
              <w:t>and SG3RG-LAC</w:t>
            </w:r>
            <w:r w:rsidR="006025E0" w:rsidRPr="00180522">
              <w:rPr>
                <w:lang w:val="en-GB"/>
              </w:rPr>
              <w:t xml:space="preserve">, </w:t>
            </w:r>
            <w:r w:rsidRPr="00180522">
              <w:rPr>
                <w:lang w:val="en-GB"/>
              </w:rPr>
              <w:t>Managua, Nicaragua, 28</w:t>
            </w:r>
            <w:r w:rsidR="006025E0" w:rsidRPr="00180522">
              <w:rPr>
                <w:lang w:val="en-GB"/>
              </w:rPr>
              <w:t>-</w:t>
            </w:r>
            <w:r w:rsidRPr="00180522">
              <w:rPr>
                <w:lang w:val="en-GB"/>
              </w:rPr>
              <w:t>29 March 2019</w:t>
            </w:r>
          </w:p>
        </w:tc>
        <w:tc>
          <w:tcPr>
            <w:tcW w:w="1701" w:type="dxa"/>
          </w:tcPr>
          <w:p w14:paraId="4ED4D4ED" w14:textId="29F1E281" w:rsidR="00083CD9" w:rsidRPr="00180522" w:rsidRDefault="00083CD9" w:rsidP="00C1421E">
            <w:pPr>
              <w:pStyle w:val="TableText0"/>
              <w:jc w:val="center"/>
              <w:rPr>
                <w:highlight w:val="yellow"/>
                <w:lang w:val="en-GB"/>
              </w:rPr>
            </w:pPr>
            <w:r w:rsidRPr="00180522">
              <w:rPr>
                <w:lang w:val="en-GB"/>
              </w:rPr>
              <w:t>1</w:t>
            </w:r>
          </w:p>
        </w:tc>
        <w:tc>
          <w:tcPr>
            <w:tcW w:w="1559" w:type="dxa"/>
          </w:tcPr>
          <w:p w14:paraId="55F95E0A" w14:textId="3F8B4315" w:rsidR="00083CD9" w:rsidRPr="00180522" w:rsidRDefault="00083CD9" w:rsidP="00C1421E">
            <w:pPr>
              <w:pStyle w:val="TableText0"/>
              <w:jc w:val="center"/>
              <w:rPr>
                <w:highlight w:val="yellow"/>
                <w:lang w:val="en-GB"/>
              </w:rPr>
            </w:pPr>
            <w:r w:rsidRPr="00180522">
              <w:rPr>
                <w:lang w:val="en-GB"/>
              </w:rPr>
              <w:t>2</w:t>
            </w:r>
          </w:p>
        </w:tc>
        <w:tc>
          <w:tcPr>
            <w:tcW w:w="2551" w:type="dxa"/>
          </w:tcPr>
          <w:p w14:paraId="5C995CC3" w14:textId="2A5D472A" w:rsidR="00083CD9" w:rsidRPr="00180522" w:rsidRDefault="00083CD9" w:rsidP="00C1421E">
            <w:pPr>
              <w:pStyle w:val="TableText0"/>
              <w:rPr>
                <w:lang w:val="en-GB"/>
              </w:rPr>
            </w:pPr>
            <w:r w:rsidRPr="00180522">
              <w:rPr>
                <w:lang w:val="en-GB"/>
              </w:rPr>
              <w:t>3 fellowships awarded</w:t>
            </w:r>
            <w:r w:rsidR="00E738E0" w:rsidRPr="00180522">
              <w:rPr>
                <w:lang w:val="en-GB"/>
              </w:rPr>
              <w:t>,</w:t>
            </w:r>
          </w:p>
          <w:p w14:paraId="5A998C95" w14:textId="39653137" w:rsidR="00083CD9" w:rsidRPr="00180522" w:rsidRDefault="00083CD9" w:rsidP="00C1421E">
            <w:pPr>
              <w:pStyle w:val="TableText0"/>
              <w:rPr>
                <w:highlight w:val="yellow"/>
                <w:lang w:val="en-GB"/>
              </w:rPr>
            </w:pPr>
            <w:r w:rsidRPr="00180522">
              <w:rPr>
                <w:lang w:val="en-GB"/>
              </w:rPr>
              <w:t>3 participants</w:t>
            </w:r>
          </w:p>
        </w:tc>
      </w:tr>
      <w:tr w:rsidR="00083CD9" w:rsidRPr="00180522" w14:paraId="00CC9FE2" w14:textId="77777777" w:rsidTr="007339CE">
        <w:tc>
          <w:tcPr>
            <w:tcW w:w="3828" w:type="dxa"/>
          </w:tcPr>
          <w:p w14:paraId="5F4B5C98" w14:textId="5256D22B" w:rsidR="00083CD9" w:rsidRPr="00180522" w:rsidRDefault="00083CD9" w:rsidP="00C1421E">
            <w:pPr>
              <w:pStyle w:val="TableText0"/>
              <w:rPr>
                <w:highlight w:val="yellow"/>
                <w:lang w:val="en-GB"/>
              </w:rPr>
            </w:pPr>
            <w:r w:rsidRPr="00180522">
              <w:rPr>
                <w:lang w:val="en-GB"/>
              </w:rPr>
              <w:t xml:space="preserve">ITU-T </w:t>
            </w:r>
            <w:r w:rsidR="006025E0" w:rsidRPr="00180522">
              <w:rPr>
                <w:lang w:val="en-GB"/>
              </w:rPr>
              <w:t>SG</w:t>
            </w:r>
            <w:r w:rsidRPr="00180522">
              <w:rPr>
                <w:lang w:val="en-GB"/>
              </w:rPr>
              <w:t>17RG-AFR</w:t>
            </w:r>
            <w:r w:rsidR="001C37A8" w:rsidRPr="00180522">
              <w:rPr>
                <w:lang w:val="en-GB"/>
              </w:rPr>
              <w:t xml:space="preserve"> </w:t>
            </w:r>
            <w:r w:rsidRPr="00180522">
              <w:rPr>
                <w:lang w:val="en-GB"/>
              </w:rPr>
              <w:t>and SG17RG-ARB</w:t>
            </w:r>
            <w:r w:rsidR="006025E0" w:rsidRPr="00180522">
              <w:rPr>
                <w:lang w:val="en-GB"/>
              </w:rPr>
              <w:t xml:space="preserve">, </w:t>
            </w:r>
            <w:r w:rsidRPr="00180522">
              <w:rPr>
                <w:lang w:val="en-GB"/>
              </w:rPr>
              <w:t>Tunis, Tunisia, 2</w:t>
            </w:r>
            <w:r w:rsidR="006025E0" w:rsidRPr="00180522">
              <w:rPr>
                <w:lang w:val="en-GB"/>
              </w:rPr>
              <w:t>-</w:t>
            </w:r>
            <w:r w:rsidRPr="00180522">
              <w:rPr>
                <w:lang w:val="en-GB"/>
              </w:rPr>
              <w:t>3 April 2019</w:t>
            </w:r>
          </w:p>
        </w:tc>
        <w:tc>
          <w:tcPr>
            <w:tcW w:w="1701" w:type="dxa"/>
          </w:tcPr>
          <w:p w14:paraId="692C1CF1" w14:textId="67C98FFD" w:rsidR="00083CD9" w:rsidRPr="00180522" w:rsidRDefault="00083CD9" w:rsidP="00C1421E">
            <w:pPr>
              <w:pStyle w:val="TableText0"/>
              <w:jc w:val="center"/>
              <w:rPr>
                <w:highlight w:val="yellow"/>
                <w:lang w:val="en-GB"/>
              </w:rPr>
            </w:pPr>
            <w:r w:rsidRPr="00180522">
              <w:rPr>
                <w:lang w:val="en-GB"/>
              </w:rPr>
              <w:t xml:space="preserve">1 </w:t>
            </w:r>
            <w:r w:rsidR="00E738E0" w:rsidRPr="00180522">
              <w:rPr>
                <w:lang w:val="en-GB"/>
              </w:rPr>
              <w:t>(</w:t>
            </w:r>
            <w:r w:rsidRPr="00180522">
              <w:rPr>
                <w:lang w:val="en-GB"/>
              </w:rPr>
              <w:t>1 cancelled</w:t>
            </w:r>
            <w:r w:rsidR="00E738E0" w:rsidRPr="00180522">
              <w:rPr>
                <w:lang w:val="en-GB"/>
              </w:rPr>
              <w:t>)</w:t>
            </w:r>
          </w:p>
        </w:tc>
        <w:tc>
          <w:tcPr>
            <w:tcW w:w="1559" w:type="dxa"/>
          </w:tcPr>
          <w:p w14:paraId="5C5F2EB4" w14:textId="3AA5CAFB" w:rsidR="00083CD9" w:rsidRPr="00180522" w:rsidRDefault="00083CD9" w:rsidP="00C1421E">
            <w:pPr>
              <w:pStyle w:val="TableText0"/>
              <w:jc w:val="center"/>
              <w:rPr>
                <w:highlight w:val="yellow"/>
                <w:lang w:val="en-GB"/>
              </w:rPr>
            </w:pPr>
            <w:r w:rsidRPr="00180522">
              <w:rPr>
                <w:lang w:val="en-GB"/>
              </w:rPr>
              <w:t xml:space="preserve">4 </w:t>
            </w:r>
            <w:r w:rsidR="00E738E0" w:rsidRPr="00180522">
              <w:rPr>
                <w:lang w:val="en-GB"/>
              </w:rPr>
              <w:t>(</w:t>
            </w:r>
            <w:r w:rsidRPr="00180522">
              <w:rPr>
                <w:lang w:val="en-GB"/>
              </w:rPr>
              <w:t>4 cancelled</w:t>
            </w:r>
            <w:r w:rsidR="00E738E0" w:rsidRPr="00180522">
              <w:rPr>
                <w:lang w:val="en-GB"/>
              </w:rPr>
              <w:t>)</w:t>
            </w:r>
          </w:p>
        </w:tc>
        <w:tc>
          <w:tcPr>
            <w:tcW w:w="2551" w:type="dxa"/>
          </w:tcPr>
          <w:p w14:paraId="14851345" w14:textId="08EE7982" w:rsidR="00083CD9" w:rsidRPr="00180522" w:rsidRDefault="00083CD9" w:rsidP="00C1421E">
            <w:pPr>
              <w:pStyle w:val="TableText0"/>
              <w:rPr>
                <w:lang w:val="en-GB"/>
              </w:rPr>
            </w:pPr>
            <w:r w:rsidRPr="00180522">
              <w:rPr>
                <w:lang w:val="en-GB"/>
              </w:rPr>
              <w:t>10 fellowships awarded</w:t>
            </w:r>
            <w:r w:rsidR="00E738E0" w:rsidRPr="00180522">
              <w:rPr>
                <w:lang w:val="en-GB"/>
              </w:rPr>
              <w:t>,</w:t>
            </w:r>
          </w:p>
          <w:p w14:paraId="4A8F9179" w14:textId="20FABE75" w:rsidR="00083CD9" w:rsidRPr="00180522" w:rsidRDefault="00083CD9" w:rsidP="00C1421E">
            <w:pPr>
              <w:pStyle w:val="TableText0"/>
              <w:rPr>
                <w:highlight w:val="yellow"/>
                <w:lang w:val="en-GB"/>
              </w:rPr>
            </w:pPr>
            <w:r w:rsidRPr="00180522">
              <w:rPr>
                <w:lang w:val="en-GB"/>
              </w:rPr>
              <w:t>5 participants</w:t>
            </w:r>
          </w:p>
        </w:tc>
      </w:tr>
      <w:tr w:rsidR="00083CD9" w:rsidRPr="00180522" w14:paraId="3D33ABFD" w14:textId="77777777" w:rsidTr="007339CE">
        <w:tc>
          <w:tcPr>
            <w:tcW w:w="3828" w:type="dxa"/>
          </w:tcPr>
          <w:p w14:paraId="59550B53" w14:textId="2160781B" w:rsidR="00083CD9" w:rsidRPr="00180522" w:rsidRDefault="00083CD9" w:rsidP="00C1421E">
            <w:pPr>
              <w:pStyle w:val="TableText0"/>
              <w:rPr>
                <w:highlight w:val="yellow"/>
                <w:lang w:val="en-GB"/>
              </w:rPr>
            </w:pPr>
            <w:r w:rsidRPr="00180522">
              <w:rPr>
                <w:lang w:val="en-GB"/>
              </w:rPr>
              <w:t xml:space="preserve">ITU-T </w:t>
            </w:r>
            <w:r w:rsidR="006025E0" w:rsidRPr="00180522">
              <w:rPr>
                <w:lang w:val="en-GB"/>
              </w:rPr>
              <w:t xml:space="preserve">SG20, </w:t>
            </w:r>
            <w:r w:rsidRPr="00180522">
              <w:rPr>
                <w:lang w:val="en-GB"/>
              </w:rPr>
              <w:t>Geneva, 9</w:t>
            </w:r>
            <w:r w:rsidR="006025E0" w:rsidRPr="00180522">
              <w:rPr>
                <w:lang w:val="en-GB"/>
              </w:rPr>
              <w:t>-</w:t>
            </w:r>
            <w:r w:rsidRPr="00180522">
              <w:rPr>
                <w:lang w:val="en-GB"/>
              </w:rPr>
              <w:t>18 April 2019</w:t>
            </w:r>
          </w:p>
        </w:tc>
        <w:tc>
          <w:tcPr>
            <w:tcW w:w="1701" w:type="dxa"/>
          </w:tcPr>
          <w:p w14:paraId="2EA04459" w14:textId="4F557B4D" w:rsidR="00083CD9" w:rsidRPr="00180522" w:rsidRDefault="00083CD9" w:rsidP="00C1421E">
            <w:pPr>
              <w:pStyle w:val="TableText0"/>
              <w:jc w:val="center"/>
              <w:rPr>
                <w:highlight w:val="yellow"/>
                <w:lang w:val="en-GB"/>
              </w:rPr>
            </w:pPr>
            <w:r w:rsidRPr="00180522">
              <w:rPr>
                <w:lang w:val="en-GB"/>
              </w:rPr>
              <w:t>2</w:t>
            </w:r>
          </w:p>
        </w:tc>
        <w:tc>
          <w:tcPr>
            <w:tcW w:w="1559" w:type="dxa"/>
          </w:tcPr>
          <w:p w14:paraId="556AD1F6" w14:textId="0CEC641A" w:rsidR="00083CD9" w:rsidRPr="00180522" w:rsidRDefault="00083CD9" w:rsidP="00C1421E">
            <w:pPr>
              <w:pStyle w:val="TableText0"/>
              <w:jc w:val="center"/>
              <w:rPr>
                <w:highlight w:val="yellow"/>
                <w:lang w:val="en-GB"/>
              </w:rPr>
            </w:pPr>
            <w:r w:rsidRPr="00180522">
              <w:rPr>
                <w:lang w:val="en-GB"/>
              </w:rPr>
              <w:t xml:space="preserve">3 </w:t>
            </w:r>
            <w:r w:rsidR="00E738E0" w:rsidRPr="00180522">
              <w:rPr>
                <w:lang w:val="en-GB"/>
              </w:rPr>
              <w:t>(</w:t>
            </w:r>
            <w:r w:rsidRPr="00180522">
              <w:rPr>
                <w:lang w:val="en-GB"/>
              </w:rPr>
              <w:t>3 cancelled</w:t>
            </w:r>
            <w:r w:rsidR="00E738E0" w:rsidRPr="00180522">
              <w:rPr>
                <w:lang w:val="en-GB"/>
              </w:rPr>
              <w:t>)</w:t>
            </w:r>
          </w:p>
        </w:tc>
        <w:tc>
          <w:tcPr>
            <w:tcW w:w="2551" w:type="dxa"/>
          </w:tcPr>
          <w:p w14:paraId="45FEBEE6" w14:textId="1DED6AE5" w:rsidR="00083CD9" w:rsidRPr="00180522" w:rsidRDefault="00083CD9" w:rsidP="00C1421E">
            <w:pPr>
              <w:pStyle w:val="TableText0"/>
              <w:rPr>
                <w:lang w:val="en-GB"/>
              </w:rPr>
            </w:pPr>
            <w:r w:rsidRPr="00180522">
              <w:rPr>
                <w:lang w:val="en-GB"/>
              </w:rPr>
              <w:t>8 fellowships awarded</w:t>
            </w:r>
            <w:r w:rsidR="00E738E0" w:rsidRPr="00180522">
              <w:rPr>
                <w:lang w:val="en-GB"/>
              </w:rPr>
              <w:t>,</w:t>
            </w:r>
          </w:p>
          <w:p w14:paraId="7E05BD14" w14:textId="354A2564" w:rsidR="00083CD9" w:rsidRPr="00180522" w:rsidRDefault="00083CD9" w:rsidP="00C1421E">
            <w:pPr>
              <w:pStyle w:val="TableText0"/>
              <w:rPr>
                <w:highlight w:val="yellow"/>
                <w:lang w:val="en-GB"/>
              </w:rPr>
            </w:pPr>
            <w:r w:rsidRPr="00180522">
              <w:rPr>
                <w:lang w:val="en-GB"/>
              </w:rPr>
              <w:t>5 participants</w:t>
            </w:r>
          </w:p>
        </w:tc>
      </w:tr>
      <w:tr w:rsidR="00083CD9" w:rsidRPr="00180522" w14:paraId="2FB74BCC" w14:textId="77777777" w:rsidTr="007339CE">
        <w:tc>
          <w:tcPr>
            <w:tcW w:w="3828" w:type="dxa"/>
          </w:tcPr>
          <w:p w14:paraId="07709AAF" w14:textId="4C208AB3" w:rsidR="00083CD9" w:rsidRPr="00180522" w:rsidRDefault="00083CD9">
            <w:pPr>
              <w:pStyle w:val="TableText0"/>
              <w:rPr>
                <w:highlight w:val="yellow"/>
                <w:lang w:val="en-GB"/>
              </w:rPr>
            </w:pPr>
            <w:r w:rsidRPr="00180522">
              <w:rPr>
                <w:lang w:val="en-GB"/>
              </w:rPr>
              <w:t xml:space="preserve">ITU-T </w:t>
            </w:r>
            <w:r w:rsidR="006025E0" w:rsidRPr="00180522">
              <w:rPr>
                <w:lang w:val="en-GB"/>
              </w:rPr>
              <w:t>SG</w:t>
            </w:r>
            <w:r w:rsidRPr="00180522">
              <w:rPr>
                <w:lang w:val="en-GB"/>
              </w:rPr>
              <w:t>3</w:t>
            </w:r>
            <w:r w:rsidR="006025E0" w:rsidRPr="00180522">
              <w:rPr>
                <w:lang w:val="en-GB"/>
              </w:rPr>
              <w:t xml:space="preserve">, </w:t>
            </w:r>
            <w:r w:rsidRPr="00180522">
              <w:rPr>
                <w:lang w:val="en-GB"/>
              </w:rPr>
              <w:t xml:space="preserve">Geneva, 23 April </w:t>
            </w:r>
            <w:r w:rsidR="006025E0" w:rsidRPr="00180522">
              <w:rPr>
                <w:lang w:val="en-GB"/>
              </w:rPr>
              <w:t xml:space="preserve">- </w:t>
            </w:r>
            <w:r w:rsidRPr="00180522">
              <w:rPr>
                <w:lang w:val="en-GB"/>
              </w:rPr>
              <w:t>2 May 2019</w:t>
            </w:r>
          </w:p>
        </w:tc>
        <w:tc>
          <w:tcPr>
            <w:tcW w:w="1701" w:type="dxa"/>
          </w:tcPr>
          <w:p w14:paraId="05EAD803" w14:textId="1775CC66" w:rsidR="00083CD9" w:rsidRPr="00180522" w:rsidRDefault="00083CD9" w:rsidP="00C1421E">
            <w:pPr>
              <w:pStyle w:val="TableText0"/>
              <w:jc w:val="center"/>
              <w:rPr>
                <w:highlight w:val="yellow"/>
                <w:lang w:val="en-GB"/>
              </w:rPr>
            </w:pPr>
            <w:r w:rsidRPr="00180522">
              <w:rPr>
                <w:lang w:val="en-GB"/>
              </w:rPr>
              <w:t xml:space="preserve">7 </w:t>
            </w:r>
            <w:r w:rsidR="00E738E0" w:rsidRPr="00180522">
              <w:rPr>
                <w:lang w:val="en-GB"/>
              </w:rPr>
              <w:t>(</w:t>
            </w:r>
            <w:r w:rsidRPr="00180522">
              <w:rPr>
                <w:lang w:val="en-GB"/>
              </w:rPr>
              <w:t>2 cancelled</w:t>
            </w:r>
            <w:r w:rsidR="00E738E0" w:rsidRPr="00180522">
              <w:rPr>
                <w:lang w:val="en-GB"/>
              </w:rPr>
              <w:t>)</w:t>
            </w:r>
          </w:p>
        </w:tc>
        <w:tc>
          <w:tcPr>
            <w:tcW w:w="1559" w:type="dxa"/>
          </w:tcPr>
          <w:p w14:paraId="1D6D938E" w14:textId="1D2F1097" w:rsidR="00083CD9" w:rsidRPr="00180522" w:rsidRDefault="00083CD9" w:rsidP="00C1421E">
            <w:pPr>
              <w:pStyle w:val="TableText0"/>
              <w:jc w:val="center"/>
              <w:rPr>
                <w:highlight w:val="yellow"/>
                <w:lang w:val="en-GB"/>
              </w:rPr>
            </w:pPr>
            <w:r w:rsidRPr="00180522">
              <w:rPr>
                <w:lang w:val="en-GB"/>
              </w:rPr>
              <w:t xml:space="preserve">9 </w:t>
            </w:r>
            <w:r w:rsidR="00E738E0" w:rsidRPr="00180522">
              <w:rPr>
                <w:lang w:val="en-GB"/>
              </w:rPr>
              <w:t>(</w:t>
            </w:r>
            <w:r w:rsidRPr="00180522">
              <w:rPr>
                <w:lang w:val="en-GB"/>
              </w:rPr>
              <w:t>2 cancelled</w:t>
            </w:r>
            <w:r w:rsidR="00E738E0" w:rsidRPr="00180522">
              <w:rPr>
                <w:lang w:val="en-GB"/>
              </w:rPr>
              <w:t>)</w:t>
            </w:r>
          </w:p>
        </w:tc>
        <w:tc>
          <w:tcPr>
            <w:tcW w:w="2551" w:type="dxa"/>
          </w:tcPr>
          <w:p w14:paraId="7A93BC23" w14:textId="6EE7A661" w:rsidR="00083CD9" w:rsidRPr="00180522" w:rsidRDefault="00083CD9" w:rsidP="00C1421E">
            <w:pPr>
              <w:pStyle w:val="TableText0"/>
              <w:rPr>
                <w:lang w:val="en-GB"/>
              </w:rPr>
            </w:pPr>
            <w:r w:rsidRPr="00180522">
              <w:rPr>
                <w:lang w:val="en-GB"/>
              </w:rPr>
              <w:t>20 fellowships awarded</w:t>
            </w:r>
            <w:r w:rsidR="00E738E0" w:rsidRPr="00180522">
              <w:rPr>
                <w:lang w:val="en-GB"/>
              </w:rPr>
              <w:t>,</w:t>
            </w:r>
          </w:p>
          <w:p w14:paraId="0FC2655D" w14:textId="162C7914" w:rsidR="00083CD9" w:rsidRPr="00180522" w:rsidRDefault="00083CD9" w:rsidP="00C1421E">
            <w:pPr>
              <w:pStyle w:val="TableText0"/>
              <w:rPr>
                <w:highlight w:val="yellow"/>
                <w:lang w:val="en-GB"/>
              </w:rPr>
            </w:pPr>
            <w:r w:rsidRPr="00180522">
              <w:rPr>
                <w:lang w:val="en-GB"/>
              </w:rPr>
              <w:t>16 participants</w:t>
            </w:r>
          </w:p>
        </w:tc>
      </w:tr>
      <w:tr w:rsidR="00083CD9" w:rsidRPr="00180522" w14:paraId="43F3166E" w14:textId="77777777" w:rsidTr="007339CE">
        <w:tc>
          <w:tcPr>
            <w:tcW w:w="3828" w:type="dxa"/>
          </w:tcPr>
          <w:p w14:paraId="50C47F76" w14:textId="6DC1C0C3" w:rsidR="00083CD9" w:rsidRPr="00180522" w:rsidRDefault="00083CD9" w:rsidP="00C1421E">
            <w:pPr>
              <w:pStyle w:val="TableText0"/>
              <w:rPr>
                <w:highlight w:val="yellow"/>
                <w:lang w:val="en-GB"/>
              </w:rPr>
            </w:pPr>
            <w:r w:rsidRPr="00180522">
              <w:rPr>
                <w:lang w:val="en-GB"/>
              </w:rPr>
              <w:t xml:space="preserve">ITU-T </w:t>
            </w:r>
            <w:r w:rsidR="006025E0" w:rsidRPr="00180522">
              <w:rPr>
                <w:lang w:val="en-GB"/>
              </w:rPr>
              <w:t>SG</w:t>
            </w:r>
            <w:r w:rsidRPr="00180522">
              <w:rPr>
                <w:lang w:val="en-GB"/>
              </w:rPr>
              <w:t>12</w:t>
            </w:r>
            <w:r w:rsidR="006025E0" w:rsidRPr="00180522">
              <w:rPr>
                <w:lang w:val="en-GB"/>
              </w:rPr>
              <w:t xml:space="preserve">, </w:t>
            </w:r>
            <w:r w:rsidRPr="00180522">
              <w:rPr>
                <w:lang w:val="en-GB"/>
              </w:rPr>
              <w:t>Geneva, 7</w:t>
            </w:r>
            <w:r w:rsidR="006025E0" w:rsidRPr="00180522">
              <w:rPr>
                <w:lang w:val="en-GB"/>
              </w:rPr>
              <w:t>-</w:t>
            </w:r>
            <w:r w:rsidRPr="00180522">
              <w:rPr>
                <w:lang w:val="en-GB"/>
              </w:rPr>
              <w:t>16 May 2019</w:t>
            </w:r>
          </w:p>
        </w:tc>
        <w:tc>
          <w:tcPr>
            <w:tcW w:w="1701" w:type="dxa"/>
          </w:tcPr>
          <w:p w14:paraId="1D5AA8DD" w14:textId="53A80DB8" w:rsidR="00083CD9" w:rsidRPr="00180522" w:rsidRDefault="00083CD9" w:rsidP="00C1421E">
            <w:pPr>
              <w:pStyle w:val="TableText0"/>
              <w:jc w:val="center"/>
              <w:rPr>
                <w:highlight w:val="yellow"/>
                <w:lang w:val="en-GB"/>
              </w:rPr>
            </w:pPr>
            <w:r w:rsidRPr="00180522">
              <w:rPr>
                <w:lang w:val="en-GB"/>
              </w:rPr>
              <w:t>0</w:t>
            </w:r>
          </w:p>
        </w:tc>
        <w:tc>
          <w:tcPr>
            <w:tcW w:w="1559" w:type="dxa"/>
          </w:tcPr>
          <w:p w14:paraId="3A0CD557" w14:textId="3D0CE09E" w:rsidR="00083CD9" w:rsidRPr="00180522" w:rsidRDefault="00083CD9" w:rsidP="00C1421E">
            <w:pPr>
              <w:pStyle w:val="TableText0"/>
              <w:jc w:val="center"/>
              <w:rPr>
                <w:highlight w:val="yellow"/>
                <w:lang w:val="en-GB"/>
              </w:rPr>
            </w:pPr>
            <w:r w:rsidRPr="00180522">
              <w:rPr>
                <w:lang w:val="en-GB"/>
              </w:rPr>
              <w:t xml:space="preserve">6 </w:t>
            </w:r>
            <w:r w:rsidR="00E738E0" w:rsidRPr="00180522">
              <w:rPr>
                <w:lang w:val="en-GB"/>
              </w:rPr>
              <w:t>(</w:t>
            </w:r>
            <w:r w:rsidRPr="00180522">
              <w:rPr>
                <w:lang w:val="en-GB"/>
              </w:rPr>
              <w:t>2 cancelled</w:t>
            </w:r>
            <w:r w:rsidR="00E738E0" w:rsidRPr="00180522">
              <w:rPr>
                <w:lang w:val="en-GB"/>
              </w:rPr>
              <w:t>)</w:t>
            </w:r>
          </w:p>
        </w:tc>
        <w:tc>
          <w:tcPr>
            <w:tcW w:w="2551" w:type="dxa"/>
          </w:tcPr>
          <w:p w14:paraId="0A424399" w14:textId="06443224" w:rsidR="00083CD9" w:rsidRPr="00180522" w:rsidRDefault="00083CD9" w:rsidP="00C1421E">
            <w:pPr>
              <w:pStyle w:val="TableText0"/>
              <w:rPr>
                <w:lang w:val="en-GB"/>
              </w:rPr>
            </w:pPr>
            <w:r w:rsidRPr="00180522">
              <w:rPr>
                <w:lang w:val="en-GB"/>
              </w:rPr>
              <w:t>8 fellowships awarded</w:t>
            </w:r>
            <w:r w:rsidR="00E738E0" w:rsidRPr="00180522">
              <w:rPr>
                <w:lang w:val="en-GB"/>
              </w:rPr>
              <w:t>,</w:t>
            </w:r>
          </w:p>
          <w:p w14:paraId="19614725" w14:textId="0E9DCE26" w:rsidR="00083CD9" w:rsidRPr="00180522" w:rsidRDefault="00083CD9" w:rsidP="00C1421E">
            <w:pPr>
              <w:pStyle w:val="TableText0"/>
              <w:rPr>
                <w:highlight w:val="yellow"/>
                <w:lang w:val="en-GB"/>
              </w:rPr>
            </w:pPr>
            <w:r w:rsidRPr="00180522">
              <w:rPr>
                <w:lang w:val="en-GB"/>
              </w:rPr>
              <w:t>6 participants</w:t>
            </w:r>
          </w:p>
        </w:tc>
      </w:tr>
      <w:tr w:rsidR="00083CD9" w:rsidRPr="00180522" w14:paraId="7750D2FE" w14:textId="77777777" w:rsidTr="007339CE">
        <w:tc>
          <w:tcPr>
            <w:tcW w:w="3828" w:type="dxa"/>
          </w:tcPr>
          <w:p w14:paraId="4185AB21" w14:textId="2D27F89B" w:rsidR="00083CD9" w:rsidRPr="00180522" w:rsidRDefault="00083CD9" w:rsidP="00C1421E">
            <w:pPr>
              <w:pStyle w:val="TableText0"/>
              <w:rPr>
                <w:highlight w:val="yellow"/>
                <w:lang w:val="en-GB"/>
              </w:rPr>
            </w:pPr>
            <w:r w:rsidRPr="00180522">
              <w:rPr>
                <w:lang w:val="en-GB"/>
              </w:rPr>
              <w:t xml:space="preserve">ITU-T </w:t>
            </w:r>
            <w:r w:rsidR="006025E0" w:rsidRPr="00180522">
              <w:rPr>
                <w:lang w:val="en-GB"/>
              </w:rPr>
              <w:t>SG</w:t>
            </w:r>
            <w:r w:rsidRPr="00180522">
              <w:rPr>
                <w:lang w:val="en-GB"/>
              </w:rPr>
              <w:t>5</w:t>
            </w:r>
            <w:r w:rsidR="006025E0" w:rsidRPr="00180522">
              <w:rPr>
                <w:lang w:val="en-GB"/>
              </w:rPr>
              <w:t xml:space="preserve">, </w:t>
            </w:r>
            <w:r w:rsidRPr="00180522">
              <w:rPr>
                <w:lang w:val="en-GB"/>
              </w:rPr>
              <w:t>Geneva, 13</w:t>
            </w:r>
            <w:r w:rsidR="006025E0" w:rsidRPr="00180522">
              <w:rPr>
                <w:lang w:val="en-GB"/>
              </w:rPr>
              <w:t>-</w:t>
            </w:r>
            <w:r w:rsidRPr="00180522">
              <w:rPr>
                <w:lang w:val="en-GB"/>
              </w:rPr>
              <w:t>22 May 2019</w:t>
            </w:r>
          </w:p>
        </w:tc>
        <w:tc>
          <w:tcPr>
            <w:tcW w:w="1701" w:type="dxa"/>
          </w:tcPr>
          <w:p w14:paraId="4002F71E" w14:textId="71791BA9" w:rsidR="00083CD9" w:rsidRPr="00180522" w:rsidRDefault="00083CD9" w:rsidP="00C1421E">
            <w:pPr>
              <w:pStyle w:val="TableText0"/>
              <w:jc w:val="center"/>
              <w:rPr>
                <w:highlight w:val="yellow"/>
                <w:lang w:val="en-GB"/>
              </w:rPr>
            </w:pPr>
            <w:r w:rsidRPr="00180522">
              <w:rPr>
                <w:lang w:val="en-GB"/>
              </w:rPr>
              <w:t xml:space="preserve">3 </w:t>
            </w:r>
            <w:r w:rsidR="00E738E0" w:rsidRPr="00180522">
              <w:rPr>
                <w:lang w:val="en-GB"/>
              </w:rPr>
              <w:t>(</w:t>
            </w:r>
            <w:r w:rsidRPr="00180522">
              <w:rPr>
                <w:lang w:val="en-GB"/>
              </w:rPr>
              <w:t>2 cancelled</w:t>
            </w:r>
            <w:r w:rsidR="00E738E0" w:rsidRPr="00180522">
              <w:rPr>
                <w:lang w:val="en-GB"/>
              </w:rPr>
              <w:t>)</w:t>
            </w:r>
          </w:p>
        </w:tc>
        <w:tc>
          <w:tcPr>
            <w:tcW w:w="1559" w:type="dxa"/>
          </w:tcPr>
          <w:p w14:paraId="4CCF037A" w14:textId="4E271BED" w:rsidR="00083CD9" w:rsidRPr="00180522" w:rsidRDefault="00083CD9" w:rsidP="00C1421E">
            <w:pPr>
              <w:pStyle w:val="TableText0"/>
              <w:jc w:val="center"/>
              <w:rPr>
                <w:highlight w:val="yellow"/>
                <w:lang w:val="en-GB"/>
              </w:rPr>
            </w:pPr>
            <w:r w:rsidRPr="00180522">
              <w:rPr>
                <w:lang w:val="en-GB"/>
              </w:rPr>
              <w:t xml:space="preserve">3 </w:t>
            </w:r>
            <w:r w:rsidR="00E738E0" w:rsidRPr="00180522">
              <w:rPr>
                <w:lang w:val="en-GB"/>
              </w:rPr>
              <w:t>(</w:t>
            </w:r>
            <w:r w:rsidRPr="00180522">
              <w:rPr>
                <w:lang w:val="en-GB"/>
              </w:rPr>
              <w:t>1 cancelled</w:t>
            </w:r>
            <w:r w:rsidR="00E738E0" w:rsidRPr="00180522">
              <w:rPr>
                <w:lang w:val="en-GB"/>
              </w:rPr>
              <w:t>)</w:t>
            </w:r>
          </w:p>
        </w:tc>
        <w:tc>
          <w:tcPr>
            <w:tcW w:w="2551" w:type="dxa"/>
          </w:tcPr>
          <w:p w14:paraId="0DBFEC9F" w14:textId="4CD746AD" w:rsidR="00083CD9" w:rsidRPr="00180522" w:rsidRDefault="00083CD9" w:rsidP="00C1421E">
            <w:pPr>
              <w:pStyle w:val="TableText0"/>
              <w:rPr>
                <w:lang w:val="en-GB"/>
              </w:rPr>
            </w:pPr>
            <w:r w:rsidRPr="00180522">
              <w:rPr>
                <w:lang w:val="en-GB"/>
              </w:rPr>
              <w:t>9 fellowships awarded</w:t>
            </w:r>
            <w:r w:rsidR="00E738E0" w:rsidRPr="00180522">
              <w:rPr>
                <w:lang w:val="en-GB"/>
              </w:rPr>
              <w:t>,</w:t>
            </w:r>
          </w:p>
          <w:p w14:paraId="3CC54765" w14:textId="4F24D31F" w:rsidR="00083CD9" w:rsidRPr="00180522" w:rsidRDefault="00083CD9" w:rsidP="00C1421E">
            <w:pPr>
              <w:pStyle w:val="TableText0"/>
              <w:rPr>
                <w:highlight w:val="yellow"/>
                <w:lang w:val="en-GB"/>
              </w:rPr>
            </w:pPr>
            <w:r w:rsidRPr="00180522">
              <w:rPr>
                <w:lang w:val="en-GB"/>
              </w:rPr>
              <w:lastRenderedPageBreak/>
              <w:t>6 participants</w:t>
            </w:r>
          </w:p>
        </w:tc>
      </w:tr>
      <w:tr w:rsidR="00083CD9" w:rsidRPr="00180522" w14:paraId="28C92D60" w14:textId="77777777" w:rsidTr="007339CE">
        <w:tc>
          <w:tcPr>
            <w:tcW w:w="3828" w:type="dxa"/>
          </w:tcPr>
          <w:p w14:paraId="4C07CDC4" w14:textId="45DD147D" w:rsidR="00083CD9" w:rsidRPr="00180522" w:rsidRDefault="00083CD9" w:rsidP="00C1421E">
            <w:pPr>
              <w:pStyle w:val="TableText0"/>
              <w:rPr>
                <w:highlight w:val="yellow"/>
                <w:lang w:val="en-GB"/>
              </w:rPr>
            </w:pPr>
            <w:r w:rsidRPr="00180522">
              <w:rPr>
                <w:lang w:val="en-GB"/>
              </w:rPr>
              <w:lastRenderedPageBreak/>
              <w:t xml:space="preserve">ITU-T </w:t>
            </w:r>
            <w:r w:rsidR="006025E0" w:rsidRPr="00180522">
              <w:rPr>
                <w:lang w:val="en-GB"/>
              </w:rPr>
              <w:t>SG</w:t>
            </w:r>
            <w:r w:rsidRPr="00180522">
              <w:rPr>
                <w:lang w:val="en-GB"/>
              </w:rPr>
              <w:t>3RG-EECAT, SG11RG-EECAT and SG13RG-ECCAT,</w:t>
            </w:r>
            <w:r w:rsidR="006025E0" w:rsidRPr="00180522">
              <w:rPr>
                <w:lang w:val="en-GB"/>
              </w:rPr>
              <w:t xml:space="preserve"> </w:t>
            </w:r>
            <w:r w:rsidRPr="00180522">
              <w:rPr>
                <w:lang w:val="en-GB"/>
              </w:rPr>
              <w:t>Saint-Petersburg, Russia, 21</w:t>
            </w:r>
            <w:r w:rsidR="006025E0" w:rsidRPr="00180522">
              <w:rPr>
                <w:lang w:val="en-GB"/>
              </w:rPr>
              <w:t>-</w:t>
            </w:r>
            <w:r w:rsidRPr="00180522">
              <w:rPr>
                <w:lang w:val="en-GB"/>
              </w:rPr>
              <w:t>23 May 2019</w:t>
            </w:r>
          </w:p>
        </w:tc>
        <w:tc>
          <w:tcPr>
            <w:tcW w:w="1701" w:type="dxa"/>
          </w:tcPr>
          <w:p w14:paraId="626DA60D" w14:textId="7677B2F4" w:rsidR="00083CD9" w:rsidRPr="00180522" w:rsidRDefault="00083CD9" w:rsidP="00C1421E">
            <w:pPr>
              <w:pStyle w:val="TableText0"/>
              <w:jc w:val="center"/>
              <w:rPr>
                <w:highlight w:val="yellow"/>
                <w:lang w:val="en-GB"/>
              </w:rPr>
            </w:pPr>
            <w:r w:rsidRPr="00180522">
              <w:rPr>
                <w:lang w:val="en-GB"/>
              </w:rPr>
              <w:t>2</w:t>
            </w:r>
          </w:p>
        </w:tc>
        <w:tc>
          <w:tcPr>
            <w:tcW w:w="1559" w:type="dxa"/>
          </w:tcPr>
          <w:p w14:paraId="2388365D" w14:textId="69192350" w:rsidR="00083CD9" w:rsidRPr="00180522" w:rsidRDefault="00083CD9" w:rsidP="00C1421E">
            <w:pPr>
              <w:pStyle w:val="TableText0"/>
              <w:jc w:val="center"/>
              <w:rPr>
                <w:highlight w:val="yellow"/>
                <w:lang w:val="en-GB"/>
              </w:rPr>
            </w:pPr>
            <w:r w:rsidRPr="00180522">
              <w:rPr>
                <w:lang w:val="en-GB"/>
              </w:rPr>
              <w:t>1</w:t>
            </w:r>
          </w:p>
        </w:tc>
        <w:tc>
          <w:tcPr>
            <w:tcW w:w="2551" w:type="dxa"/>
          </w:tcPr>
          <w:p w14:paraId="1C582C0B" w14:textId="638D1833" w:rsidR="00083CD9" w:rsidRPr="00180522" w:rsidRDefault="00083CD9" w:rsidP="00C1421E">
            <w:pPr>
              <w:pStyle w:val="TableText0"/>
              <w:rPr>
                <w:lang w:val="en-GB"/>
              </w:rPr>
            </w:pPr>
            <w:r w:rsidRPr="00180522">
              <w:rPr>
                <w:lang w:val="en-GB"/>
              </w:rPr>
              <w:t>3 fellowships awarded</w:t>
            </w:r>
            <w:r w:rsidR="00E738E0" w:rsidRPr="00180522">
              <w:rPr>
                <w:lang w:val="en-GB"/>
              </w:rPr>
              <w:t>,</w:t>
            </w:r>
          </w:p>
          <w:p w14:paraId="3B9A4801" w14:textId="3A01A74E" w:rsidR="00083CD9" w:rsidRPr="00180522" w:rsidRDefault="00083CD9" w:rsidP="00C1421E">
            <w:pPr>
              <w:pStyle w:val="TableText0"/>
              <w:rPr>
                <w:highlight w:val="yellow"/>
                <w:lang w:val="en-GB"/>
              </w:rPr>
            </w:pPr>
            <w:r w:rsidRPr="00180522">
              <w:rPr>
                <w:lang w:val="en-GB"/>
              </w:rPr>
              <w:t>3 participants</w:t>
            </w:r>
          </w:p>
        </w:tc>
      </w:tr>
      <w:tr w:rsidR="00083CD9" w:rsidRPr="00180522" w14:paraId="7E29ADB3" w14:textId="77777777" w:rsidTr="007339CE">
        <w:tc>
          <w:tcPr>
            <w:tcW w:w="3828" w:type="dxa"/>
          </w:tcPr>
          <w:p w14:paraId="58FBBBE6" w14:textId="1731C400" w:rsidR="00083CD9" w:rsidRPr="00180522" w:rsidRDefault="00083CD9" w:rsidP="00C1421E">
            <w:pPr>
              <w:pStyle w:val="TableText0"/>
              <w:rPr>
                <w:highlight w:val="yellow"/>
                <w:lang w:val="en-GB"/>
              </w:rPr>
            </w:pPr>
            <w:r w:rsidRPr="00180522">
              <w:rPr>
                <w:lang w:val="en-GB"/>
              </w:rPr>
              <w:t xml:space="preserve">ITU-T </w:t>
            </w:r>
            <w:r w:rsidR="006025E0" w:rsidRPr="00180522">
              <w:rPr>
                <w:lang w:val="en-GB"/>
              </w:rPr>
              <w:t>SG</w:t>
            </w:r>
            <w:r w:rsidRPr="00180522">
              <w:rPr>
                <w:lang w:val="en-GB"/>
              </w:rPr>
              <w:t>9</w:t>
            </w:r>
            <w:r w:rsidR="006025E0" w:rsidRPr="00180522">
              <w:rPr>
                <w:lang w:val="en-GB"/>
              </w:rPr>
              <w:t xml:space="preserve">, </w:t>
            </w:r>
            <w:r w:rsidRPr="00180522">
              <w:rPr>
                <w:lang w:val="en-GB"/>
              </w:rPr>
              <w:t>Geneva, 6</w:t>
            </w:r>
            <w:r w:rsidR="006025E0" w:rsidRPr="00180522">
              <w:rPr>
                <w:lang w:val="en-GB"/>
              </w:rPr>
              <w:t>-</w:t>
            </w:r>
            <w:r w:rsidRPr="00180522">
              <w:rPr>
                <w:lang w:val="en-GB"/>
              </w:rPr>
              <w:t>13 June 2019</w:t>
            </w:r>
          </w:p>
        </w:tc>
        <w:tc>
          <w:tcPr>
            <w:tcW w:w="1701" w:type="dxa"/>
          </w:tcPr>
          <w:p w14:paraId="4C64494F" w14:textId="5BB8B8DD" w:rsidR="00083CD9" w:rsidRPr="00180522" w:rsidRDefault="00083CD9" w:rsidP="00C1421E">
            <w:pPr>
              <w:pStyle w:val="TableText0"/>
              <w:jc w:val="center"/>
              <w:rPr>
                <w:highlight w:val="yellow"/>
                <w:lang w:val="en-GB"/>
              </w:rPr>
            </w:pPr>
            <w:r w:rsidRPr="00180522">
              <w:rPr>
                <w:lang w:val="en-GB"/>
              </w:rPr>
              <w:t>1</w:t>
            </w:r>
          </w:p>
        </w:tc>
        <w:tc>
          <w:tcPr>
            <w:tcW w:w="1559" w:type="dxa"/>
          </w:tcPr>
          <w:p w14:paraId="3E5D44F9" w14:textId="6B38F6AF" w:rsidR="00083CD9" w:rsidRPr="00180522" w:rsidRDefault="00083CD9" w:rsidP="00C1421E">
            <w:pPr>
              <w:pStyle w:val="TableText0"/>
              <w:jc w:val="center"/>
              <w:rPr>
                <w:highlight w:val="yellow"/>
                <w:lang w:val="en-GB"/>
              </w:rPr>
            </w:pPr>
            <w:r w:rsidRPr="00180522">
              <w:rPr>
                <w:lang w:val="en-GB"/>
              </w:rPr>
              <w:t xml:space="preserve">5 </w:t>
            </w:r>
            <w:r w:rsidR="00E738E0" w:rsidRPr="00180522">
              <w:rPr>
                <w:lang w:val="en-GB"/>
              </w:rPr>
              <w:t>(</w:t>
            </w:r>
            <w:r w:rsidRPr="00180522">
              <w:rPr>
                <w:lang w:val="en-GB"/>
              </w:rPr>
              <w:t>3 cancelled</w:t>
            </w:r>
            <w:r w:rsidR="00E738E0" w:rsidRPr="00180522">
              <w:rPr>
                <w:lang w:val="en-GB"/>
              </w:rPr>
              <w:t>)</w:t>
            </w:r>
          </w:p>
        </w:tc>
        <w:tc>
          <w:tcPr>
            <w:tcW w:w="2551" w:type="dxa"/>
          </w:tcPr>
          <w:p w14:paraId="04647B62" w14:textId="43E01D23" w:rsidR="00083CD9" w:rsidRPr="00180522" w:rsidRDefault="00083CD9" w:rsidP="00C1421E">
            <w:pPr>
              <w:pStyle w:val="TableText0"/>
              <w:rPr>
                <w:lang w:val="en-GB"/>
              </w:rPr>
            </w:pPr>
            <w:r w:rsidRPr="00180522">
              <w:rPr>
                <w:lang w:val="en-GB"/>
              </w:rPr>
              <w:t>9 fellowships awarded</w:t>
            </w:r>
            <w:r w:rsidR="00E738E0" w:rsidRPr="00180522">
              <w:rPr>
                <w:lang w:val="en-GB"/>
              </w:rPr>
              <w:t>,</w:t>
            </w:r>
          </w:p>
          <w:p w14:paraId="1B2BE62B" w14:textId="2CADC417" w:rsidR="00083CD9" w:rsidRPr="00180522" w:rsidRDefault="00083CD9" w:rsidP="00C1421E">
            <w:pPr>
              <w:pStyle w:val="TableText0"/>
              <w:rPr>
                <w:highlight w:val="yellow"/>
                <w:lang w:val="en-GB"/>
              </w:rPr>
            </w:pPr>
            <w:r w:rsidRPr="00180522">
              <w:rPr>
                <w:lang w:val="en-GB"/>
              </w:rPr>
              <w:t>6 participants</w:t>
            </w:r>
          </w:p>
        </w:tc>
      </w:tr>
      <w:tr w:rsidR="00083CD9" w:rsidRPr="00180522" w14:paraId="492AC064" w14:textId="77777777" w:rsidTr="007339CE">
        <w:tc>
          <w:tcPr>
            <w:tcW w:w="3828" w:type="dxa"/>
          </w:tcPr>
          <w:p w14:paraId="24056369" w14:textId="5AFC9118" w:rsidR="00083CD9" w:rsidRPr="00180522" w:rsidRDefault="00083CD9">
            <w:pPr>
              <w:pStyle w:val="TableText0"/>
              <w:rPr>
                <w:highlight w:val="yellow"/>
                <w:lang w:val="en-GB"/>
              </w:rPr>
            </w:pPr>
            <w:r w:rsidRPr="00180522">
              <w:rPr>
                <w:lang w:val="en-GB"/>
              </w:rPr>
              <w:t xml:space="preserve">ITU-T </w:t>
            </w:r>
            <w:r w:rsidR="006025E0" w:rsidRPr="00180522">
              <w:rPr>
                <w:lang w:val="en-GB"/>
              </w:rPr>
              <w:t>SG</w:t>
            </w:r>
            <w:r w:rsidRPr="00180522">
              <w:rPr>
                <w:lang w:val="en-GB"/>
              </w:rPr>
              <w:t>15, 1</w:t>
            </w:r>
            <w:r w:rsidR="006025E0" w:rsidRPr="00180522">
              <w:rPr>
                <w:lang w:val="en-GB"/>
              </w:rPr>
              <w:t>-</w:t>
            </w:r>
            <w:r w:rsidRPr="00180522">
              <w:rPr>
                <w:lang w:val="en-GB"/>
              </w:rPr>
              <w:t>12 July 2019</w:t>
            </w:r>
          </w:p>
        </w:tc>
        <w:tc>
          <w:tcPr>
            <w:tcW w:w="1701" w:type="dxa"/>
          </w:tcPr>
          <w:p w14:paraId="7DC37CB8" w14:textId="719D35DD" w:rsidR="00083CD9" w:rsidRPr="00180522" w:rsidRDefault="00083CD9" w:rsidP="00C1421E">
            <w:pPr>
              <w:pStyle w:val="TableText0"/>
              <w:jc w:val="center"/>
              <w:rPr>
                <w:highlight w:val="yellow"/>
                <w:lang w:val="en-GB"/>
              </w:rPr>
            </w:pPr>
            <w:r w:rsidRPr="00180522">
              <w:rPr>
                <w:lang w:val="en-GB"/>
              </w:rPr>
              <w:t>0</w:t>
            </w:r>
          </w:p>
        </w:tc>
        <w:tc>
          <w:tcPr>
            <w:tcW w:w="1559" w:type="dxa"/>
          </w:tcPr>
          <w:p w14:paraId="4F94AD48" w14:textId="37284D48" w:rsidR="00083CD9" w:rsidRPr="00180522" w:rsidRDefault="00083CD9" w:rsidP="00C1421E">
            <w:pPr>
              <w:pStyle w:val="TableText0"/>
              <w:jc w:val="center"/>
              <w:rPr>
                <w:highlight w:val="yellow"/>
                <w:lang w:val="en-GB"/>
              </w:rPr>
            </w:pPr>
            <w:r w:rsidRPr="00180522">
              <w:rPr>
                <w:lang w:val="en-GB"/>
              </w:rPr>
              <w:t>6</w:t>
            </w:r>
          </w:p>
        </w:tc>
        <w:tc>
          <w:tcPr>
            <w:tcW w:w="2551" w:type="dxa"/>
          </w:tcPr>
          <w:p w14:paraId="63279FC4" w14:textId="79B01F6D" w:rsidR="00083CD9" w:rsidRPr="00180522" w:rsidRDefault="00083CD9" w:rsidP="00C1421E">
            <w:pPr>
              <w:pStyle w:val="TableText0"/>
              <w:rPr>
                <w:lang w:val="en-GB"/>
              </w:rPr>
            </w:pPr>
            <w:r w:rsidRPr="00180522">
              <w:rPr>
                <w:lang w:val="en-GB"/>
              </w:rPr>
              <w:t>6 fellowships awarded</w:t>
            </w:r>
            <w:r w:rsidR="00E738E0" w:rsidRPr="00180522">
              <w:rPr>
                <w:lang w:val="en-GB"/>
              </w:rPr>
              <w:t>,</w:t>
            </w:r>
          </w:p>
          <w:p w14:paraId="15C8888A" w14:textId="64A097BE" w:rsidR="00083CD9" w:rsidRPr="00180522" w:rsidRDefault="00083CD9" w:rsidP="00C1421E">
            <w:pPr>
              <w:pStyle w:val="TableText0"/>
              <w:rPr>
                <w:highlight w:val="yellow"/>
                <w:lang w:val="en-GB"/>
              </w:rPr>
            </w:pPr>
            <w:r w:rsidRPr="00180522">
              <w:rPr>
                <w:lang w:val="en-GB"/>
              </w:rPr>
              <w:t>6 participants</w:t>
            </w:r>
          </w:p>
        </w:tc>
      </w:tr>
    </w:tbl>
    <w:p w14:paraId="35A9B2AD" w14:textId="7EB4B975" w:rsidR="006944F8" w:rsidRPr="00180522" w:rsidRDefault="00D64AF8" w:rsidP="00EF080A">
      <w:pPr>
        <w:pStyle w:val="Heading2"/>
      </w:pPr>
      <w:bookmarkStart w:id="138" w:name="_Toc18509765"/>
      <w:bookmarkStart w:id="139" w:name="_Toc480527858"/>
      <w:r w:rsidRPr="00180522">
        <w:t>7</w:t>
      </w:r>
      <w:r w:rsidR="006944F8" w:rsidRPr="00180522">
        <w:t>.9</w:t>
      </w:r>
      <w:r w:rsidR="006944F8" w:rsidRPr="00180522">
        <w:tab/>
      </w:r>
      <w:r w:rsidR="00EF080A" w:rsidRPr="00180522">
        <w:t>Questionnaires for</w:t>
      </w:r>
      <w:r w:rsidR="006944F8" w:rsidRPr="00180522">
        <w:t xml:space="preserve"> </w:t>
      </w:r>
      <w:r w:rsidR="00B72A2A" w:rsidRPr="00180522">
        <w:t>d</w:t>
      </w:r>
      <w:r w:rsidR="006944F8" w:rsidRPr="00180522">
        <w:t xml:space="preserve">eveloping </w:t>
      </w:r>
      <w:r w:rsidR="00B72A2A" w:rsidRPr="00180522">
        <w:t>c</w:t>
      </w:r>
      <w:r w:rsidR="006944F8" w:rsidRPr="00180522">
        <w:t>ountries</w:t>
      </w:r>
      <w:bookmarkEnd w:id="138"/>
    </w:p>
    <w:p w14:paraId="2F621C25" w14:textId="2657372A" w:rsidR="00564FEE" w:rsidRPr="00180522" w:rsidRDefault="00EF080A" w:rsidP="0033393D">
      <w:pPr>
        <w:rPr>
          <w:szCs w:val="22"/>
          <w:lang w:val="en-GB"/>
        </w:rPr>
      </w:pPr>
      <w:r w:rsidRPr="00180522">
        <w:rPr>
          <w:szCs w:val="22"/>
          <w:lang w:val="en-GB"/>
        </w:rPr>
        <w:t>Two questionnaires on</w:t>
      </w:r>
      <w:r w:rsidRPr="00180522">
        <w:rPr>
          <w:i/>
          <w:iCs/>
          <w:szCs w:val="22"/>
          <w:lang w:val="en-GB"/>
        </w:rPr>
        <w:t xml:space="preserve"> </w:t>
      </w:r>
      <w:r w:rsidR="00CA2D85" w:rsidRPr="00180522">
        <w:rPr>
          <w:szCs w:val="22"/>
          <w:lang w:val="en-GB"/>
        </w:rPr>
        <w:t>"</w:t>
      </w:r>
      <w:r w:rsidRPr="00180522">
        <w:rPr>
          <w:szCs w:val="22"/>
          <w:lang w:val="en-GB"/>
        </w:rPr>
        <w:t>Big Data Adoption in Developing Countries</w:t>
      </w:r>
      <w:r w:rsidR="00CA2D85" w:rsidRPr="00180522">
        <w:rPr>
          <w:szCs w:val="22"/>
          <w:lang w:val="en-GB"/>
        </w:rPr>
        <w:t>"</w:t>
      </w:r>
      <w:r w:rsidRPr="00180522">
        <w:rPr>
          <w:szCs w:val="22"/>
          <w:lang w:val="en-GB"/>
        </w:rPr>
        <w:t xml:space="preserve"> and </w:t>
      </w:r>
      <w:r w:rsidR="00B72A2A" w:rsidRPr="00180522">
        <w:rPr>
          <w:szCs w:val="22"/>
          <w:lang w:val="en-GB"/>
        </w:rPr>
        <w:t xml:space="preserve">the </w:t>
      </w:r>
      <w:r w:rsidR="00CA2D85" w:rsidRPr="00180522">
        <w:rPr>
          <w:szCs w:val="22"/>
          <w:lang w:val="en-GB"/>
        </w:rPr>
        <w:t>"</w:t>
      </w:r>
      <w:r w:rsidRPr="00180522">
        <w:rPr>
          <w:szCs w:val="22"/>
          <w:lang w:val="en-GB"/>
        </w:rPr>
        <w:t>Use of ITU-T Recommendations by Developing Countries</w:t>
      </w:r>
      <w:r w:rsidR="00CA2D85" w:rsidRPr="00180522">
        <w:rPr>
          <w:szCs w:val="22"/>
          <w:lang w:val="en-GB"/>
        </w:rPr>
        <w:t>"</w:t>
      </w:r>
      <w:r w:rsidRPr="00180522">
        <w:rPr>
          <w:b/>
          <w:bCs/>
          <w:szCs w:val="22"/>
          <w:lang w:val="en-GB"/>
        </w:rPr>
        <w:t xml:space="preserve"> </w:t>
      </w:r>
      <w:r w:rsidRPr="00180522">
        <w:rPr>
          <w:szCs w:val="22"/>
          <w:lang w:val="en-GB"/>
        </w:rPr>
        <w:t xml:space="preserve">were </w:t>
      </w:r>
      <w:r w:rsidR="00B72A2A" w:rsidRPr="00180522">
        <w:rPr>
          <w:szCs w:val="22"/>
          <w:lang w:val="en-GB"/>
        </w:rPr>
        <w:t xml:space="preserve">distributed in </w:t>
      </w:r>
      <w:r w:rsidRPr="00180522">
        <w:rPr>
          <w:szCs w:val="22"/>
          <w:lang w:val="en-GB"/>
        </w:rPr>
        <w:t xml:space="preserve">July 2018. </w:t>
      </w:r>
      <w:r w:rsidR="00181523" w:rsidRPr="00180522">
        <w:rPr>
          <w:szCs w:val="22"/>
          <w:lang w:val="en-GB"/>
        </w:rPr>
        <w:t>The deadline for replies was extended until 31 August 2019.</w:t>
      </w:r>
    </w:p>
    <w:p w14:paraId="31A95224" w14:textId="7AEC10E2" w:rsidR="00564FEE" w:rsidRPr="00180522" w:rsidRDefault="00B72A2A" w:rsidP="009E5FFA">
      <w:pPr>
        <w:rPr>
          <w:szCs w:val="22"/>
          <w:lang w:val="en-GB"/>
        </w:rPr>
      </w:pPr>
      <w:r w:rsidRPr="00180522">
        <w:rPr>
          <w:szCs w:val="22"/>
          <w:lang w:val="en-GB"/>
        </w:rPr>
        <w:t>R</w:t>
      </w:r>
      <w:r w:rsidR="00EF080A" w:rsidRPr="00180522">
        <w:rPr>
          <w:szCs w:val="22"/>
          <w:lang w:val="en-GB"/>
        </w:rPr>
        <w:t xml:space="preserve">esponses </w:t>
      </w:r>
      <w:r w:rsidRPr="00180522">
        <w:rPr>
          <w:szCs w:val="22"/>
          <w:lang w:val="en-GB"/>
        </w:rPr>
        <w:t xml:space="preserve">to the first questionnaire </w:t>
      </w:r>
      <w:r w:rsidR="00EF080A" w:rsidRPr="00180522">
        <w:rPr>
          <w:szCs w:val="22"/>
          <w:lang w:val="en-GB"/>
        </w:rPr>
        <w:t xml:space="preserve">will </w:t>
      </w:r>
      <w:r w:rsidRPr="00180522">
        <w:rPr>
          <w:szCs w:val="22"/>
          <w:lang w:val="en-GB"/>
        </w:rPr>
        <w:t>in</w:t>
      </w:r>
      <w:r w:rsidR="00EF080A" w:rsidRPr="00180522">
        <w:rPr>
          <w:szCs w:val="22"/>
          <w:lang w:val="en-GB"/>
        </w:rPr>
        <w:t xml:space="preserve">form </w:t>
      </w:r>
      <w:r w:rsidRPr="00180522">
        <w:rPr>
          <w:szCs w:val="22"/>
          <w:lang w:val="en-GB"/>
        </w:rPr>
        <w:t xml:space="preserve">the </w:t>
      </w:r>
      <w:r w:rsidR="00EF080A" w:rsidRPr="00180522">
        <w:rPr>
          <w:szCs w:val="22"/>
          <w:lang w:val="en-GB"/>
        </w:rPr>
        <w:t xml:space="preserve">development of </w:t>
      </w:r>
      <w:r w:rsidR="009C4D1A" w:rsidRPr="00180522">
        <w:rPr>
          <w:szCs w:val="22"/>
          <w:lang w:val="en-GB"/>
        </w:rPr>
        <w:t>a</w:t>
      </w:r>
      <w:r w:rsidR="00EF080A" w:rsidRPr="00180522">
        <w:rPr>
          <w:szCs w:val="22"/>
          <w:lang w:val="en-GB"/>
        </w:rPr>
        <w:t xml:space="preserve"> new Supplement on </w:t>
      </w:r>
      <w:r w:rsidR="00CA2D85" w:rsidRPr="00180522">
        <w:rPr>
          <w:szCs w:val="22"/>
          <w:lang w:val="en-GB"/>
        </w:rPr>
        <w:t>"</w:t>
      </w:r>
      <w:r w:rsidR="00EF080A" w:rsidRPr="00180522">
        <w:rPr>
          <w:szCs w:val="22"/>
          <w:lang w:val="en-GB"/>
        </w:rPr>
        <w:t>Big Data Adoption in Developing Countries</w:t>
      </w:r>
      <w:r w:rsidR="00CA2D85" w:rsidRPr="00180522">
        <w:rPr>
          <w:szCs w:val="22"/>
          <w:lang w:val="en-GB"/>
        </w:rPr>
        <w:t>"</w:t>
      </w:r>
      <w:r w:rsidR="00EF080A" w:rsidRPr="00180522">
        <w:rPr>
          <w:szCs w:val="22"/>
          <w:lang w:val="en-GB"/>
        </w:rPr>
        <w:t xml:space="preserve">. </w:t>
      </w:r>
      <w:r w:rsidR="00564FEE" w:rsidRPr="00180522">
        <w:rPr>
          <w:iCs/>
          <w:szCs w:val="22"/>
          <w:lang w:val="en-GB"/>
        </w:rPr>
        <w:t xml:space="preserve">The questionnaire is </w:t>
      </w:r>
      <w:r w:rsidR="00564FEE" w:rsidRPr="00180522">
        <w:rPr>
          <w:szCs w:val="22"/>
          <w:lang w:val="en-GB"/>
        </w:rPr>
        <w:t>collecting data on the main opportunities, requirements, use cases and challenges relevant to Big Data adoption in developing countries. Its objective is to identify issues that could be addressed by ITU-T Recommendations or related guidelines.</w:t>
      </w:r>
    </w:p>
    <w:p w14:paraId="5C417010" w14:textId="4245D9B5" w:rsidR="006944F8" w:rsidRPr="00180522" w:rsidRDefault="00B72A2A" w:rsidP="0033393D">
      <w:pPr>
        <w:rPr>
          <w:szCs w:val="22"/>
          <w:lang w:val="en-GB"/>
        </w:rPr>
      </w:pPr>
      <w:r w:rsidRPr="00180522">
        <w:rPr>
          <w:szCs w:val="22"/>
          <w:lang w:val="en-GB"/>
        </w:rPr>
        <w:t>R</w:t>
      </w:r>
      <w:r w:rsidR="00EF080A" w:rsidRPr="00180522">
        <w:rPr>
          <w:szCs w:val="22"/>
          <w:lang w:val="en-GB"/>
        </w:rPr>
        <w:t>esponses to the second questionnaire will</w:t>
      </w:r>
      <w:r w:rsidR="00564FEE" w:rsidRPr="00180522">
        <w:rPr>
          <w:szCs w:val="22"/>
          <w:lang w:val="en-GB"/>
        </w:rPr>
        <w:t xml:space="preserve"> support the </w:t>
      </w:r>
      <w:r w:rsidR="00EF080A" w:rsidRPr="00180522">
        <w:rPr>
          <w:szCs w:val="22"/>
          <w:lang w:val="en-GB"/>
        </w:rPr>
        <w:t>promotion of ITU-T Recommendations in developing countries</w:t>
      </w:r>
      <w:r w:rsidR="00564FEE" w:rsidRPr="00180522">
        <w:rPr>
          <w:szCs w:val="22"/>
          <w:lang w:val="en-GB"/>
        </w:rPr>
        <w:t xml:space="preserve">, </w:t>
      </w:r>
      <w:r w:rsidR="00EF080A" w:rsidRPr="00180522">
        <w:rPr>
          <w:szCs w:val="22"/>
          <w:lang w:val="en-GB"/>
        </w:rPr>
        <w:t>contribut</w:t>
      </w:r>
      <w:r w:rsidR="00564FEE" w:rsidRPr="00180522">
        <w:rPr>
          <w:szCs w:val="22"/>
          <w:lang w:val="en-GB"/>
        </w:rPr>
        <w:t xml:space="preserve">ing to the BSG programme. </w:t>
      </w:r>
      <w:r w:rsidR="006944F8" w:rsidRPr="00180522">
        <w:rPr>
          <w:szCs w:val="22"/>
          <w:lang w:val="en-GB"/>
        </w:rPr>
        <w:t xml:space="preserve">The questionnaire </w:t>
      </w:r>
      <w:r w:rsidR="00564FEE" w:rsidRPr="00180522">
        <w:rPr>
          <w:szCs w:val="22"/>
          <w:lang w:val="en-GB"/>
        </w:rPr>
        <w:t xml:space="preserve">is </w:t>
      </w:r>
      <w:r w:rsidR="006944F8" w:rsidRPr="00180522">
        <w:rPr>
          <w:szCs w:val="22"/>
          <w:lang w:val="en-GB"/>
        </w:rPr>
        <w:t>collect</w:t>
      </w:r>
      <w:r w:rsidR="00564FEE" w:rsidRPr="00180522">
        <w:rPr>
          <w:szCs w:val="22"/>
          <w:lang w:val="en-GB"/>
        </w:rPr>
        <w:t>ing</w:t>
      </w:r>
      <w:r w:rsidR="006944F8" w:rsidRPr="00180522">
        <w:rPr>
          <w:szCs w:val="22"/>
          <w:lang w:val="en-GB"/>
        </w:rPr>
        <w:t xml:space="preserve"> information</w:t>
      </w:r>
      <w:r w:rsidR="00564FEE" w:rsidRPr="00180522">
        <w:rPr>
          <w:szCs w:val="22"/>
          <w:lang w:val="en-GB"/>
        </w:rPr>
        <w:t xml:space="preserve"> on </w:t>
      </w:r>
      <w:r w:rsidR="006944F8" w:rsidRPr="00180522">
        <w:rPr>
          <w:szCs w:val="22"/>
          <w:lang w:val="en-GB"/>
        </w:rPr>
        <w:t xml:space="preserve">how developing countries use ITU-T Recommendations </w:t>
      </w:r>
      <w:r w:rsidR="00564FEE" w:rsidRPr="00180522">
        <w:rPr>
          <w:szCs w:val="22"/>
          <w:lang w:val="en-GB"/>
        </w:rPr>
        <w:t>and standards developed b</w:t>
      </w:r>
      <w:r w:rsidR="00E46F6D" w:rsidRPr="00180522">
        <w:rPr>
          <w:szCs w:val="22"/>
          <w:lang w:val="en-GB"/>
        </w:rPr>
        <w:t>y other standards bodies.</w:t>
      </w:r>
    </w:p>
    <w:p w14:paraId="3895E01E" w14:textId="77777777" w:rsidR="000245ED" w:rsidRPr="00180522" w:rsidRDefault="000245ED" w:rsidP="000245ED">
      <w:pPr>
        <w:pStyle w:val="Heading2"/>
      </w:pPr>
      <w:bookmarkStart w:id="140" w:name="_Toc18509766"/>
      <w:r w:rsidRPr="00180522">
        <w:t>7.10</w:t>
      </w:r>
      <w:r w:rsidRPr="00180522">
        <w:tab/>
        <w:t>World Telecommunication and Information Society Day</w:t>
      </w:r>
      <w:bookmarkEnd w:id="140"/>
    </w:p>
    <w:p w14:paraId="2E627E2A" w14:textId="09E561B5" w:rsidR="000245ED" w:rsidRPr="00180522" w:rsidRDefault="000245ED" w:rsidP="000245ED">
      <w:pPr>
        <w:spacing w:after="120"/>
        <w:rPr>
          <w:szCs w:val="24"/>
          <w:lang w:val="en-GB"/>
        </w:rPr>
      </w:pPr>
      <w:r w:rsidRPr="00180522">
        <w:rPr>
          <w:szCs w:val="24"/>
          <w:lang w:val="en-GB"/>
        </w:rPr>
        <w:t xml:space="preserve">ITU celebrated the 50th </w:t>
      </w:r>
      <w:r w:rsidR="006025E0" w:rsidRPr="00180522">
        <w:rPr>
          <w:szCs w:val="24"/>
          <w:lang w:val="en-GB"/>
        </w:rPr>
        <w:t>a</w:t>
      </w:r>
      <w:r w:rsidRPr="00180522">
        <w:rPr>
          <w:szCs w:val="24"/>
          <w:lang w:val="en-GB"/>
        </w:rPr>
        <w:t xml:space="preserve">nniversary of </w:t>
      </w:r>
      <w:hyperlink r:id="rId130" w:history="1">
        <w:r w:rsidRPr="00180522">
          <w:rPr>
            <w:rStyle w:val="Hyperlink"/>
            <w:szCs w:val="24"/>
            <w:lang w:val="en-GB"/>
          </w:rPr>
          <w:t>World Telecommunication and Information Society Day (WTISD)</w:t>
        </w:r>
      </w:hyperlink>
      <w:r w:rsidRPr="00180522">
        <w:rPr>
          <w:szCs w:val="24"/>
          <w:lang w:val="en-GB"/>
        </w:rPr>
        <w:t xml:space="preserve"> at ITU headquarters in Geneva</w:t>
      </w:r>
      <w:r w:rsidR="00F30C83" w:rsidRPr="00180522">
        <w:rPr>
          <w:szCs w:val="24"/>
          <w:lang w:val="en-GB"/>
        </w:rPr>
        <w:t xml:space="preserve"> on </w:t>
      </w:r>
      <w:r w:rsidRPr="00180522">
        <w:rPr>
          <w:szCs w:val="24"/>
          <w:lang w:val="en-GB"/>
        </w:rPr>
        <w:t>17 May 2019</w:t>
      </w:r>
      <w:r w:rsidR="006025E0" w:rsidRPr="00180522">
        <w:rPr>
          <w:szCs w:val="24"/>
          <w:lang w:val="en-GB"/>
        </w:rPr>
        <w:t>. The theme for WTISD 2019 was "Bridging the standardization gap".</w:t>
      </w:r>
      <w:r w:rsidR="0079375E" w:rsidRPr="00180522">
        <w:rPr>
          <w:szCs w:val="24"/>
          <w:lang w:val="en-GB"/>
        </w:rPr>
        <w:t xml:space="preserve"> </w:t>
      </w:r>
      <w:r w:rsidR="006025E0" w:rsidRPr="00180522">
        <w:rPr>
          <w:szCs w:val="24"/>
          <w:lang w:val="en-GB"/>
        </w:rPr>
        <w:t xml:space="preserve">WTISD celebrations featured a </w:t>
      </w:r>
      <w:r w:rsidRPr="00180522">
        <w:rPr>
          <w:szCs w:val="24"/>
          <w:lang w:val="en-GB"/>
        </w:rPr>
        <w:t xml:space="preserve">panel discussion </w:t>
      </w:r>
      <w:r w:rsidR="005D27CA" w:rsidRPr="00180522">
        <w:rPr>
          <w:szCs w:val="24"/>
          <w:lang w:val="en-GB"/>
        </w:rPr>
        <w:t>on the importance of inclusive international standards for digital health, digital financial inclusion, and smart cities and communities.</w:t>
      </w:r>
      <w:r w:rsidR="0079375E" w:rsidRPr="00180522">
        <w:rPr>
          <w:szCs w:val="24"/>
          <w:lang w:val="en-GB"/>
        </w:rPr>
        <w:t xml:space="preserve"> </w:t>
      </w:r>
      <w:r w:rsidRPr="00180522">
        <w:rPr>
          <w:szCs w:val="24"/>
          <w:lang w:val="en-GB"/>
        </w:rPr>
        <w:t>Six award</w:t>
      </w:r>
      <w:r w:rsidR="003D4F6B" w:rsidRPr="00180522">
        <w:rPr>
          <w:szCs w:val="24"/>
          <w:lang w:val="en-GB"/>
        </w:rPr>
        <w:t xml:space="preserve"> winners, in the following categories, were honoured</w:t>
      </w:r>
      <w:r w:rsidRPr="00180522">
        <w:rPr>
          <w:szCs w:val="24"/>
          <w:lang w:val="en-GB"/>
        </w:rPr>
        <w:t xml:space="preserve"> for their </w:t>
      </w:r>
      <w:r w:rsidR="006278C2" w:rsidRPr="00180522">
        <w:rPr>
          <w:szCs w:val="24"/>
          <w:lang w:val="en-GB"/>
        </w:rPr>
        <w:t xml:space="preserve">significant contributions to ITU’s </w:t>
      </w:r>
      <w:r w:rsidRPr="00180522">
        <w:rPr>
          <w:szCs w:val="24"/>
          <w:lang w:val="en-GB"/>
        </w:rPr>
        <w:t>work to bridge the standardization gap</w:t>
      </w:r>
      <w:r w:rsidR="003D4F6B" w:rsidRPr="00180522">
        <w:rPr>
          <w:szCs w:val="24"/>
          <w:lang w:val="en-GB"/>
        </w:rPr>
        <w:t xml:space="preserve">. </w:t>
      </w:r>
      <w:r w:rsidR="0079375E" w:rsidRPr="00180522">
        <w:rPr>
          <w:szCs w:val="24"/>
          <w:lang w:val="en-GB"/>
        </w:rPr>
        <w:t xml:space="preserve">See relevant </w:t>
      </w:r>
      <w:hyperlink r:id="rId131" w:history="1">
        <w:r w:rsidR="0079375E" w:rsidRPr="00180522">
          <w:rPr>
            <w:rStyle w:val="Hyperlink"/>
            <w:szCs w:val="24"/>
            <w:lang w:val="en-GB"/>
          </w:rPr>
          <w:t>ITU News story</w:t>
        </w:r>
      </w:hyperlink>
      <w:r w:rsidR="0079375E" w:rsidRPr="00180522">
        <w:rPr>
          <w:szCs w:val="24"/>
          <w:lang w:val="en-GB"/>
        </w:rPr>
        <w:t xml:space="preserve">. </w:t>
      </w:r>
    </w:p>
    <w:p w14:paraId="138EE974" w14:textId="4662EC84" w:rsidR="000245ED" w:rsidRPr="00180522" w:rsidRDefault="000245ED" w:rsidP="000245ED">
      <w:pPr>
        <w:spacing w:after="120"/>
        <w:rPr>
          <w:szCs w:val="24"/>
          <w:lang w:val="en-GB"/>
        </w:rPr>
      </w:pPr>
      <w:r w:rsidRPr="00180522">
        <w:rPr>
          <w:b/>
          <w:szCs w:val="24"/>
          <w:lang w:val="en-GB"/>
        </w:rPr>
        <w:t>Awareness:</w:t>
      </w:r>
      <w:r w:rsidRPr="00180522">
        <w:rPr>
          <w:szCs w:val="24"/>
          <w:lang w:val="en-GB"/>
        </w:rPr>
        <w:t xml:space="preserve"> </w:t>
      </w:r>
      <w:r w:rsidR="003D4F6B" w:rsidRPr="00180522">
        <w:rPr>
          <w:szCs w:val="24"/>
          <w:lang w:val="en-GB"/>
        </w:rPr>
        <w:t xml:space="preserve">The Asia-Pacific </w:t>
      </w:r>
      <w:proofErr w:type="spellStart"/>
      <w:r w:rsidR="003D4F6B" w:rsidRPr="00180522">
        <w:rPr>
          <w:szCs w:val="24"/>
          <w:lang w:val="en-GB"/>
        </w:rPr>
        <w:t>Telecommunity</w:t>
      </w:r>
      <w:proofErr w:type="spellEnd"/>
      <w:r w:rsidR="003D4F6B" w:rsidRPr="00180522">
        <w:rPr>
          <w:szCs w:val="24"/>
          <w:lang w:val="en-GB"/>
        </w:rPr>
        <w:t xml:space="preserve"> Wireless Group was r</w:t>
      </w:r>
      <w:r w:rsidRPr="00180522">
        <w:rPr>
          <w:szCs w:val="24"/>
          <w:lang w:val="en-GB"/>
        </w:rPr>
        <w:t>ecogniz</w:t>
      </w:r>
      <w:r w:rsidR="003D4F6B" w:rsidRPr="00180522">
        <w:rPr>
          <w:szCs w:val="24"/>
          <w:lang w:val="en-GB"/>
        </w:rPr>
        <w:t>ed for its</w:t>
      </w:r>
      <w:r w:rsidRPr="00180522">
        <w:rPr>
          <w:szCs w:val="24"/>
          <w:lang w:val="en-GB"/>
        </w:rPr>
        <w:t xml:space="preserve"> outstanding efforts to raise awareness of the importance of international standardization. </w:t>
      </w:r>
    </w:p>
    <w:p w14:paraId="6C9EB299" w14:textId="6AA00002" w:rsidR="000245ED" w:rsidRPr="00180522" w:rsidRDefault="000245ED" w:rsidP="000245ED">
      <w:pPr>
        <w:spacing w:after="120"/>
        <w:rPr>
          <w:szCs w:val="24"/>
          <w:lang w:val="en-GB"/>
        </w:rPr>
      </w:pPr>
      <w:r w:rsidRPr="00180522">
        <w:rPr>
          <w:b/>
          <w:szCs w:val="24"/>
          <w:lang w:val="en-GB"/>
        </w:rPr>
        <w:t>Know-how:</w:t>
      </w:r>
      <w:r w:rsidRPr="00180522">
        <w:rPr>
          <w:szCs w:val="24"/>
          <w:lang w:val="en-GB"/>
        </w:rPr>
        <w:t xml:space="preserve"> </w:t>
      </w:r>
      <w:r w:rsidR="003D4F6B" w:rsidRPr="00180522">
        <w:rPr>
          <w:szCs w:val="24"/>
          <w:lang w:val="en-GB"/>
        </w:rPr>
        <w:t xml:space="preserve">Lwando Bbuku, Zambia Information &amp; Communications Technology Authority, Co-chairman of ITU-T SGRG-AFR, was recognized for his significant </w:t>
      </w:r>
      <w:r w:rsidRPr="00180522">
        <w:rPr>
          <w:szCs w:val="24"/>
          <w:lang w:val="en-GB"/>
        </w:rPr>
        <w:t xml:space="preserve">accomplishments </w:t>
      </w:r>
      <w:r w:rsidR="003D4F6B" w:rsidRPr="00180522">
        <w:rPr>
          <w:szCs w:val="24"/>
          <w:lang w:val="en-GB"/>
        </w:rPr>
        <w:t xml:space="preserve">in </w:t>
      </w:r>
      <w:r w:rsidRPr="00180522">
        <w:rPr>
          <w:szCs w:val="24"/>
          <w:lang w:val="en-GB"/>
        </w:rPr>
        <w:t>increasing</w:t>
      </w:r>
      <w:r w:rsidR="003D4F6B" w:rsidRPr="00180522">
        <w:rPr>
          <w:szCs w:val="24"/>
          <w:lang w:val="en-GB"/>
        </w:rPr>
        <w:t xml:space="preserve"> his </w:t>
      </w:r>
      <w:r w:rsidRPr="00180522">
        <w:rPr>
          <w:szCs w:val="24"/>
          <w:lang w:val="en-GB"/>
        </w:rPr>
        <w:t xml:space="preserve">expertise in international standards development. </w:t>
      </w:r>
    </w:p>
    <w:p w14:paraId="1F367EE9" w14:textId="3FE198A7" w:rsidR="000245ED" w:rsidRPr="00180522" w:rsidRDefault="000245ED" w:rsidP="000245ED">
      <w:pPr>
        <w:spacing w:after="120"/>
        <w:rPr>
          <w:szCs w:val="24"/>
          <w:lang w:val="en-GB"/>
        </w:rPr>
      </w:pPr>
      <w:r w:rsidRPr="00180522">
        <w:rPr>
          <w:b/>
          <w:szCs w:val="24"/>
          <w:lang w:val="en-GB"/>
        </w:rPr>
        <w:t>Community:</w:t>
      </w:r>
      <w:r w:rsidRPr="00180522">
        <w:rPr>
          <w:szCs w:val="24"/>
          <w:lang w:val="en-GB"/>
        </w:rPr>
        <w:t xml:space="preserve"> </w:t>
      </w:r>
      <w:r w:rsidR="003D4F6B" w:rsidRPr="00180522">
        <w:rPr>
          <w:szCs w:val="24"/>
          <w:lang w:val="en-GB"/>
        </w:rPr>
        <w:t xml:space="preserve">Tunisia and the U.S. were recognized for their recent </w:t>
      </w:r>
      <w:r w:rsidRPr="00180522">
        <w:rPr>
          <w:szCs w:val="24"/>
          <w:lang w:val="en-GB"/>
        </w:rPr>
        <w:t xml:space="preserve">hosting </w:t>
      </w:r>
      <w:r w:rsidR="003D4F6B" w:rsidRPr="00180522">
        <w:rPr>
          <w:szCs w:val="24"/>
          <w:lang w:val="en-GB"/>
        </w:rPr>
        <w:t xml:space="preserve">of </w:t>
      </w:r>
      <w:r w:rsidRPr="00180522">
        <w:rPr>
          <w:szCs w:val="24"/>
          <w:lang w:val="en-GB"/>
        </w:rPr>
        <w:t xml:space="preserve">considerable numbers of the ITU meetings that bring together the international standardization community. </w:t>
      </w:r>
    </w:p>
    <w:p w14:paraId="08AF76B5" w14:textId="7113EADE" w:rsidR="000245ED" w:rsidRPr="00180522" w:rsidRDefault="000245ED" w:rsidP="000245ED">
      <w:pPr>
        <w:spacing w:after="120"/>
        <w:rPr>
          <w:szCs w:val="24"/>
          <w:lang w:val="en-GB"/>
        </w:rPr>
      </w:pPr>
      <w:r w:rsidRPr="00180522">
        <w:rPr>
          <w:b/>
          <w:szCs w:val="24"/>
          <w:lang w:val="en-GB"/>
        </w:rPr>
        <w:t>Engagement:</w:t>
      </w:r>
      <w:r w:rsidRPr="00180522">
        <w:rPr>
          <w:szCs w:val="24"/>
          <w:lang w:val="en-GB"/>
        </w:rPr>
        <w:t xml:space="preserve"> </w:t>
      </w:r>
      <w:r w:rsidR="003D4F6B" w:rsidRPr="00180522">
        <w:rPr>
          <w:szCs w:val="24"/>
          <w:lang w:val="en-GB"/>
        </w:rPr>
        <w:t xml:space="preserve">China was recognized for </w:t>
      </w:r>
      <w:r w:rsidRPr="00180522">
        <w:rPr>
          <w:szCs w:val="24"/>
          <w:lang w:val="en-GB"/>
        </w:rPr>
        <w:t xml:space="preserve">increasing </w:t>
      </w:r>
      <w:r w:rsidR="003D4F6B" w:rsidRPr="00180522">
        <w:rPr>
          <w:szCs w:val="24"/>
          <w:lang w:val="en-GB"/>
        </w:rPr>
        <w:t>its</w:t>
      </w:r>
      <w:r w:rsidRPr="00180522">
        <w:rPr>
          <w:szCs w:val="24"/>
          <w:lang w:val="en-GB"/>
        </w:rPr>
        <w:t xml:space="preserve"> participation in ITU standardization work. </w:t>
      </w:r>
    </w:p>
    <w:p w14:paraId="0CBDD2CB" w14:textId="543502FC" w:rsidR="000245ED" w:rsidRPr="00180522" w:rsidRDefault="000245ED" w:rsidP="000245ED">
      <w:pPr>
        <w:spacing w:after="120"/>
        <w:rPr>
          <w:szCs w:val="24"/>
          <w:lang w:val="en-GB"/>
        </w:rPr>
      </w:pPr>
      <w:r w:rsidRPr="00180522">
        <w:rPr>
          <w:b/>
          <w:szCs w:val="24"/>
          <w:lang w:val="en-GB"/>
        </w:rPr>
        <w:t>Partnering:</w:t>
      </w:r>
      <w:r w:rsidRPr="00180522">
        <w:rPr>
          <w:szCs w:val="24"/>
          <w:lang w:val="en-GB"/>
        </w:rPr>
        <w:t xml:space="preserve"> </w:t>
      </w:r>
      <w:r w:rsidR="003D4F6B" w:rsidRPr="00180522">
        <w:rPr>
          <w:szCs w:val="24"/>
          <w:lang w:val="en-GB"/>
        </w:rPr>
        <w:t xml:space="preserve">Korea was recognized for its consistent </w:t>
      </w:r>
      <w:r w:rsidRPr="00180522">
        <w:rPr>
          <w:szCs w:val="24"/>
          <w:lang w:val="en-GB"/>
        </w:rPr>
        <w:t>financial and in-kind support for ITU</w:t>
      </w:r>
      <w:r w:rsidR="00CA2D85" w:rsidRPr="00180522">
        <w:rPr>
          <w:szCs w:val="24"/>
          <w:lang w:val="en-GB"/>
        </w:rPr>
        <w:t>'</w:t>
      </w:r>
      <w:r w:rsidRPr="00180522">
        <w:rPr>
          <w:szCs w:val="24"/>
          <w:lang w:val="en-GB"/>
        </w:rPr>
        <w:t xml:space="preserve">s Bridging the Standardization Gap programme. </w:t>
      </w:r>
    </w:p>
    <w:p w14:paraId="5574FC17" w14:textId="5402C48E" w:rsidR="006944F8" w:rsidRPr="00180522" w:rsidRDefault="00D64AF8" w:rsidP="006944F8">
      <w:pPr>
        <w:pStyle w:val="Heading1"/>
      </w:pPr>
      <w:bookmarkStart w:id="141" w:name="_Toc18509767"/>
      <w:r w:rsidRPr="00180522">
        <w:lastRenderedPageBreak/>
        <w:t>8</w:t>
      </w:r>
      <w:r w:rsidR="006944F8" w:rsidRPr="00180522">
        <w:tab/>
        <w:t>Membership</w:t>
      </w:r>
      <w:bookmarkEnd w:id="108"/>
      <w:bookmarkEnd w:id="109"/>
      <w:bookmarkEnd w:id="110"/>
      <w:bookmarkEnd w:id="111"/>
      <w:bookmarkEnd w:id="112"/>
      <w:bookmarkEnd w:id="113"/>
      <w:bookmarkEnd w:id="114"/>
      <w:bookmarkEnd w:id="135"/>
      <w:bookmarkEnd w:id="136"/>
      <w:bookmarkEnd w:id="137"/>
      <w:bookmarkEnd w:id="139"/>
      <w:bookmarkEnd w:id="141"/>
    </w:p>
    <w:p w14:paraId="03F7D5E0" w14:textId="4AC7FCEC" w:rsidR="006944F8" w:rsidRPr="00180522" w:rsidRDefault="00D64AF8" w:rsidP="00C1421E">
      <w:pPr>
        <w:pStyle w:val="Heading2"/>
      </w:pPr>
      <w:bookmarkStart w:id="142" w:name="_Toc462664266"/>
      <w:bookmarkStart w:id="143" w:name="_Toc480527859"/>
      <w:bookmarkStart w:id="144" w:name="_Toc18509768"/>
      <w:r w:rsidRPr="00180522">
        <w:t>8</w:t>
      </w:r>
      <w:r w:rsidR="006944F8" w:rsidRPr="00180522">
        <w:t>.1</w:t>
      </w:r>
      <w:r w:rsidR="006944F8" w:rsidRPr="00180522">
        <w:tab/>
        <w:t>Evolution of ITU-T membership</w:t>
      </w:r>
      <w:bookmarkEnd w:id="142"/>
      <w:bookmarkEnd w:id="143"/>
      <w:bookmarkEnd w:id="144"/>
    </w:p>
    <w:p w14:paraId="0CA880F2" w14:textId="77F5EB26" w:rsidR="00044D72" w:rsidRPr="00180522" w:rsidRDefault="00044D72" w:rsidP="00044D72">
      <w:pPr>
        <w:rPr>
          <w:rFonts w:eastAsia="Calibri"/>
          <w:szCs w:val="24"/>
          <w:lang w:val="en-GB"/>
        </w:rPr>
      </w:pPr>
      <w:r w:rsidRPr="00180522">
        <w:rPr>
          <w:rFonts w:eastAsia="Calibri"/>
          <w:szCs w:val="24"/>
          <w:lang w:val="en-GB"/>
        </w:rPr>
        <w:t xml:space="preserve">ITU-T membership </w:t>
      </w:r>
      <w:r w:rsidR="00293B8F" w:rsidRPr="00180522">
        <w:rPr>
          <w:rFonts w:eastAsia="Calibri"/>
          <w:szCs w:val="24"/>
          <w:lang w:val="en-GB"/>
        </w:rPr>
        <w:t xml:space="preserve">has </w:t>
      </w:r>
      <w:r w:rsidRPr="00180522">
        <w:rPr>
          <w:rFonts w:eastAsia="Calibri"/>
          <w:szCs w:val="24"/>
          <w:lang w:val="en-GB"/>
        </w:rPr>
        <w:t>maintained strong growth</w:t>
      </w:r>
      <w:r w:rsidR="00293B8F" w:rsidRPr="00180522">
        <w:rPr>
          <w:rFonts w:eastAsia="Calibri"/>
          <w:szCs w:val="24"/>
          <w:lang w:val="en-GB"/>
        </w:rPr>
        <w:t xml:space="preserve"> in 2019</w:t>
      </w:r>
      <w:r w:rsidR="00A4200D" w:rsidRPr="00180522">
        <w:rPr>
          <w:rFonts w:eastAsia="Calibri"/>
          <w:szCs w:val="24"/>
          <w:lang w:val="en-GB"/>
        </w:rPr>
        <w:t>, achieving a net increase of 22</w:t>
      </w:r>
      <w:r w:rsidRPr="00180522">
        <w:rPr>
          <w:rFonts w:eastAsia="Calibri"/>
          <w:szCs w:val="24"/>
          <w:lang w:val="en-GB"/>
        </w:rPr>
        <w:t xml:space="preserve"> memberships since December 2018 (not including A</w:t>
      </w:r>
      <w:r w:rsidR="00911C3F" w:rsidRPr="00180522">
        <w:rPr>
          <w:rFonts w:eastAsia="Calibri"/>
          <w:szCs w:val="24"/>
          <w:lang w:val="en-GB"/>
        </w:rPr>
        <w:t>cademia). During this period, 14 Sector Members and 26</w:t>
      </w:r>
      <w:r w:rsidRPr="00180522">
        <w:rPr>
          <w:rFonts w:eastAsia="Calibri"/>
          <w:szCs w:val="24"/>
          <w:lang w:val="en-GB"/>
        </w:rPr>
        <w:t xml:space="preserve"> Associates joined ITU-T</w:t>
      </w:r>
      <w:r w:rsidR="00293B8F" w:rsidRPr="00180522">
        <w:rPr>
          <w:rFonts w:eastAsia="Calibri"/>
          <w:szCs w:val="24"/>
          <w:lang w:val="en-GB"/>
        </w:rPr>
        <w:t>,</w:t>
      </w:r>
      <w:r w:rsidR="00911C3F" w:rsidRPr="00180522">
        <w:rPr>
          <w:rFonts w:eastAsia="Calibri"/>
          <w:szCs w:val="24"/>
          <w:lang w:val="en-GB"/>
        </w:rPr>
        <w:t xml:space="preserve"> amounting to a total of 40 new members. In addition, 16</w:t>
      </w:r>
      <w:r w:rsidRPr="00180522">
        <w:rPr>
          <w:rFonts w:eastAsia="Calibri"/>
          <w:szCs w:val="24"/>
          <w:lang w:val="en-GB"/>
        </w:rPr>
        <w:t xml:space="preserve"> new Academia members joined</w:t>
      </w:r>
      <w:r w:rsidR="00293B8F" w:rsidRPr="00180522">
        <w:rPr>
          <w:rFonts w:eastAsia="Calibri"/>
          <w:szCs w:val="24"/>
          <w:lang w:val="en-GB"/>
        </w:rPr>
        <w:t>,</w:t>
      </w:r>
      <w:r w:rsidRPr="00180522">
        <w:rPr>
          <w:rFonts w:eastAsia="Calibri"/>
          <w:szCs w:val="24"/>
          <w:lang w:val="en-GB"/>
        </w:rPr>
        <w:t xml:space="preserve"> leading to a net increase of </w:t>
      </w:r>
      <w:r w:rsidR="00911C3F" w:rsidRPr="00180522">
        <w:rPr>
          <w:rFonts w:eastAsia="Calibri"/>
          <w:szCs w:val="24"/>
          <w:lang w:val="en-GB"/>
        </w:rPr>
        <w:t>four</w:t>
      </w:r>
      <w:r w:rsidR="00293B8F" w:rsidRPr="00180522">
        <w:rPr>
          <w:rFonts w:eastAsia="Calibri"/>
          <w:szCs w:val="24"/>
          <w:lang w:val="en-GB"/>
        </w:rPr>
        <w:t xml:space="preserve"> Academia memberships</w:t>
      </w:r>
      <w:r w:rsidRPr="00180522">
        <w:rPr>
          <w:rFonts w:eastAsia="Calibri"/>
          <w:szCs w:val="24"/>
          <w:lang w:val="en-GB"/>
        </w:rPr>
        <w:t>.</w:t>
      </w:r>
    </w:p>
    <w:p w14:paraId="66C60313" w14:textId="7435D173" w:rsidR="00293B8F" w:rsidRPr="00180522" w:rsidRDefault="00044D72" w:rsidP="00044D72">
      <w:pPr>
        <w:rPr>
          <w:rFonts w:eastAsia="Calibri"/>
          <w:szCs w:val="24"/>
          <w:lang w:val="en-GB"/>
        </w:rPr>
      </w:pPr>
      <w:r w:rsidRPr="00180522">
        <w:rPr>
          <w:rFonts w:eastAsia="Calibri"/>
          <w:szCs w:val="24"/>
          <w:lang w:val="en-GB" w:eastAsia="ja-JP"/>
        </w:rPr>
        <w:t xml:space="preserve">New </w:t>
      </w:r>
      <w:r w:rsidR="00293B8F" w:rsidRPr="00180522">
        <w:rPr>
          <w:rFonts w:eastAsia="Calibri"/>
          <w:szCs w:val="24"/>
          <w:lang w:val="en-GB" w:eastAsia="ja-JP"/>
        </w:rPr>
        <w:t xml:space="preserve">ITU-T </w:t>
      </w:r>
      <w:r w:rsidRPr="00180522">
        <w:rPr>
          <w:rFonts w:eastAsia="Calibri"/>
          <w:szCs w:val="24"/>
          <w:lang w:val="en-GB" w:eastAsia="ja-JP"/>
        </w:rPr>
        <w:t>member</w:t>
      </w:r>
      <w:r w:rsidR="00293B8F" w:rsidRPr="00180522">
        <w:rPr>
          <w:rFonts w:eastAsia="Calibri"/>
          <w:szCs w:val="24"/>
          <w:lang w:val="en-GB" w:eastAsia="ja-JP"/>
        </w:rPr>
        <w:t>s</w:t>
      </w:r>
      <w:r w:rsidRPr="00180522">
        <w:rPr>
          <w:rFonts w:eastAsia="Calibri"/>
          <w:szCs w:val="24"/>
          <w:lang w:val="en-GB" w:eastAsia="ja-JP"/>
        </w:rPr>
        <w:t xml:space="preserve"> include companies in </w:t>
      </w:r>
      <w:r w:rsidRPr="00180522">
        <w:rPr>
          <w:rFonts w:eastAsia="Calibri"/>
          <w:szCs w:val="24"/>
          <w:lang w:val="en-GB"/>
        </w:rPr>
        <w:t>energy and utilities, shipping and logistics, mobile payments,</w:t>
      </w:r>
      <w:r w:rsidR="00293B8F" w:rsidRPr="00180522">
        <w:rPr>
          <w:rFonts w:eastAsia="Calibri"/>
          <w:szCs w:val="24"/>
          <w:lang w:val="en-GB"/>
        </w:rPr>
        <w:t xml:space="preserve"> over-the-top applications</w:t>
      </w:r>
      <w:r w:rsidRPr="00180522">
        <w:rPr>
          <w:rFonts w:eastAsia="Calibri"/>
          <w:szCs w:val="24"/>
          <w:lang w:val="en-GB"/>
        </w:rPr>
        <w:t>, automotive, IoT/M2M connectivity, distributed ledger technologies, quantum communications, cybersecurity, AI</w:t>
      </w:r>
      <w:r w:rsidR="00293B8F" w:rsidRPr="00180522">
        <w:rPr>
          <w:rFonts w:eastAsia="Calibri"/>
          <w:szCs w:val="24"/>
          <w:lang w:val="en-GB"/>
        </w:rPr>
        <w:t>,</w:t>
      </w:r>
      <w:r w:rsidRPr="00180522">
        <w:rPr>
          <w:rFonts w:eastAsia="Calibri"/>
          <w:szCs w:val="24"/>
          <w:lang w:val="en-GB"/>
        </w:rPr>
        <w:t xml:space="preserve"> and </w:t>
      </w:r>
      <w:r w:rsidR="00293B8F" w:rsidRPr="00180522">
        <w:rPr>
          <w:rFonts w:eastAsia="Calibri"/>
          <w:szCs w:val="24"/>
          <w:lang w:val="en-GB"/>
        </w:rPr>
        <w:t>quality of service and experience.</w:t>
      </w:r>
    </w:p>
    <w:p w14:paraId="60CD28CE" w14:textId="5B192FF2" w:rsidR="0084775E" w:rsidRPr="00180522" w:rsidRDefault="00044D72" w:rsidP="00044D72">
      <w:pPr>
        <w:spacing w:after="120"/>
        <w:rPr>
          <w:rFonts w:eastAsia="SimSun"/>
          <w:szCs w:val="24"/>
          <w:highlight w:val="yellow"/>
          <w:lang w:val="en-GB" w:eastAsia="ja-JP"/>
        </w:rPr>
      </w:pPr>
      <w:r w:rsidRPr="00180522">
        <w:rPr>
          <w:rFonts w:eastAsia="Calibri"/>
          <w:szCs w:val="24"/>
          <w:lang w:val="en-GB" w:eastAsia="ja-JP"/>
        </w:rPr>
        <w:t xml:space="preserve">Targeted membership outreach, campaigns and events – executed in collaboration </w:t>
      </w:r>
      <w:r w:rsidR="00293B8F" w:rsidRPr="00180522">
        <w:rPr>
          <w:rFonts w:eastAsia="Calibri"/>
          <w:szCs w:val="24"/>
          <w:lang w:val="en-GB" w:eastAsia="ja-JP"/>
        </w:rPr>
        <w:t xml:space="preserve">by </w:t>
      </w:r>
      <w:r w:rsidRPr="00180522">
        <w:rPr>
          <w:rFonts w:eastAsia="Calibri"/>
          <w:szCs w:val="24"/>
          <w:lang w:val="en-GB" w:eastAsia="ja-JP"/>
        </w:rPr>
        <w:t>TSB</w:t>
      </w:r>
      <w:r w:rsidR="00CA2D85" w:rsidRPr="00180522">
        <w:rPr>
          <w:rFonts w:eastAsia="Calibri"/>
          <w:szCs w:val="24"/>
          <w:lang w:val="en-GB" w:eastAsia="ja-JP"/>
        </w:rPr>
        <w:t>'</w:t>
      </w:r>
      <w:r w:rsidRPr="00180522">
        <w:rPr>
          <w:rFonts w:eastAsia="Calibri"/>
          <w:szCs w:val="24"/>
          <w:lang w:val="en-GB" w:eastAsia="ja-JP"/>
        </w:rPr>
        <w:t>s Strategic Engagement Division and Study Groups</w:t>
      </w:r>
      <w:r w:rsidR="00293B8F" w:rsidRPr="00180522">
        <w:rPr>
          <w:rFonts w:eastAsia="Calibri"/>
          <w:szCs w:val="24"/>
          <w:lang w:val="en-GB" w:eastAsia="ja-JP"/>
        </w:rPr>
        <w:t xml:space="preserve"> Department </w:t>
      </w:r>
      <w:r w:rsidRPr="00180522">
        <w:rPr>
          <w:rFonts w:eastAsia="Calibri"/>
          <w:szCs w:val="24"/>
          <w:lang w:val="en-GB" w:eastAsia="ja-JP"/>
        </w:rPr>
        <w:t>– continue to show great promise in attracting and recruiting new ITU-T members. TSB continues to put an increased emphasis on tailored outreach to membership prospects while also enhancing the level of account management to ITU-T</w:t>
      </w:r>
      <w:r w:rsidR="00CA2D85" w:rsidRPr="00180522">
        <w:rPr>
          <w:rFonts w:eastAsia="Calibri"/>
          <w:szCs w:val="24"/>
          <w:lang w:val="en-GB" w:eastAsia="ja-JP"/>
        </w:rPr>
        <w:t>'</w:t>
      </w:r>
      <w:r w:rsidRPr="00180522">
        <w:rPr>
          <w:rFonts w:eastAsia="Calibri"/>
          <w:szCs w:val="24"/>
          <w:lang w:val="en-GB" w:eastAsia="ja-JP"/>
        </w:rPr>
        <w:t>s existing membership.</w:t>
      </w:r>
    </w:p>
    <w:p w14:paraId="76EFE028" w14:textId="70513EE9" w:rsidR="005E08E7" w:rsidRPr="00180522" w:rsidRDefault="005E08E7" w:rsidP="007339CE">
      <w:pPr>
        <w:pStyle w:val="Index2"/>
        <w:rPr>
          <w:rFonts w:eastAsia="Calibri"/>
          <w:lang w:val="en-GB"/>
        </w:rPr>
      </w:pPr>
      <w:r w:rsidRPr="00180522">
        <w:rPr>
          <w:rFonts w:eastAsia="Calibri"/>
          <w:lang w:val="en-GB"/>
        </w:rPr>
        <w:t xml:space="preserve">New Sector Members </w:t>
      </w:r>
      <w:r w:rsidR="00293B8F" w:rsidRPr="00180522">
        <w:rPr>
          <w:rFonts w:eastAsia="Calibri"/>
          <w:lang w:val="en-GB"/>
        </w:rPr>
        <w:t xml:space="preserve">in </w:t>
      </w:r>
      <w:r w:rsidRPr="00180522">
        <w:rPr>
          <w:rFonts w:eastAsia="Calibri"/>
          <w:lang w:val="en-GB"/>
        </w:rPr>
        <w:t>2019:</w:t>
      </w:r>
    </w:p>
    <w:p w14:paraId="6B7744F5" w14:textId="5C5D4418" w:rsidR="005E08E7" w:rsidRPr="00180522" w:rsidRDefault="00044D72" w:rsidP="005E08E7">
      <w:pPr>
        <w:spacing w:after="120"/>
        <w:rPr>
          <w:rFonts w:eastAsia="Calibri"/>
          <w:szCs w:val="24"/>
          <w:lang w:val="en-GB" w:eastAsia="ja-JP"/>
        </w:rPr>
      </w:pPr>
      <w:r w:rsidRPr="00180522">
        <w:rPr>
          <w:rFonts w:eastAsia="Calibri"/>
          <w:szCs w:val="24"/>
          <w:lang w:val="en-GB" w:eastAsia="ja-JP"/>
        </w:rPr>
        <w:t>Bangladesh Communication Satellite Company Limited (BCSCL)</w:t>
      </w:r>
      <w:r w:rsidR="00293B8F" w:rsidRPr="00180522">
        <w:rPr>
          <w:rFonts w:eastAsia="Calibri"/>
          <w:szCs w:val="24"/>
          <w:lang w:val="en-GB" w:eastAsia="ja-JP"/>
        </w:rPr>
        <w:t>;</w:t>
      </w:r>
      <w:r w:rsidRPr="00180522">
        <w:rPr>
          <w:rFonts w:eastAsia="Calibri"/>
          <w:szCs w:val="24"/>
          <w:lang w:val="en-GB" w:eastAsia="ja-JP"/>
        </w:rPr>
        <w:t xml:space="preserve"> Beijing Baidu Netcom Science Technology Co., Ltd.</w:t>
      </w:r>
      <w:r w:rsidR="00293B8F" w:rsidRPr="00180522">
        <w:rPr>
          <w:rFonts w:eastAsia="Calibri"/>
          <w:szCs w:val="24"/>
          <w:lang w:val="en-GB" w:eastAsia="ja-JP"/>
        </w:rPr>
        <w:t>;</w:t>
      </w:r>
      <w:r w:rsidRPr="00180522">
        <w:rPr>
          <w:rFonts w:eastAsia="Calibri"/>
          <w:szCs w:val="24"/>
          <w:lang w:val="en-GB" w:eastAsia="ja-JP"/>
        </w:rPr>
        <w:t xml:space="preserve"> CAS Quantum Network Co. Ltd.</w:t>
      </w:r>
      <w:r w:rsidR="00293B8F"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QuantumCTek</w:t>
      </w:r>
      <w:proofErr w:type="spellEnd"/>
      <w:r w:rsidRPr="00180522">
        <w:rPr>
          <w:rFonts w:eastAsia="Calibri"/>
          <w:szCs w:val="24"/>
          <w:lang w:val="en-GB" w:eastAsia="ja-JP"/>
        </w:rPr>
        <w:t xml:space="preserve"> Co., Ltd.</w:t>
      </w:r>
      <w:r w:rsidR="00293B8F" w:rsidRPr="00180522">
        <w:rPr>
          <w:rFonts w:eastAsia="Calibri"/>
          <w:szCs w:val="24"/>
          <w:lang w:val="en-GB" w:eastAsia="ja-JP"/>
        </w:rPr>
        <w:t>;</w:t>
      </w:r>
      <w:r w:rsidRPr="00180522">
        <w:rPr>
          <w:rFonts w:eastAsia="Calibri"/>
          <w:szCs w:val="24"/>
          <w:lang w:val="en-GB" w:eastAsia="ja-JP"/>
        </w:rPr>
        <w:t xml:space="preserve"> Credit Pilot PLC</w:t>
      </w:r>
      <w:r w:rsidR="00293B8F" w:rsidRPr="00180522">
        <w:rPr>
          <w:rFonts w:eastAsia="Calibri"/>
          <w:szCs w:val="24"/>
          <w:lang w:val="en-GB" w:eastAsia="ja-JP"/>
        </w:rPr>
        <w:t>;</w:t>
      </w:r>
      <w:r w:rsidR="001C37A8" w:rsidRPr="00180522">
        <w:rPr>
          <w:rFonts w:eastAsia="Calibri"/>
          <w:szCs w:val="24"/>
          <w:lang w:val="en-GB" w:eastAsia="ja-JP"/>
        </w:rPr>
        <w:t xml:space="preserve"> </w:t>
      </w:r>
      <w:r w:rsidRPr="00180522">
        <w:rPr>
          <w:rFonts w:eastAsia="Calibri"/>
          <w:szCs w:val="24"/>
          <w:lang w:val="en-GB" w:eastAsia="ja-JP"/>
        </w:rPr>
        <w:t>Volkswagen AG</w:t>
      </w:r>
      <w:r w:rsidR="00293B8F"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Subah</w:t>
      </w:r>
      <w:proofErr w:type="spellEnd"/>
      <w:r w:rsidRPr="00180522">
        <w:rPr>
          <w:rFonts w:eastAsia="Calibri"/>
          <w:szCs w:val="24"/>
          <w:lang w:val="en-GB" w:eastAsia="ja-JP"/>
        </w:rPr>
        <w:t xml:space="preserve"> </w:t>
      </w:r>
      <w:proofErr w:type="spellStart"/>
      <w:r w:rsidRPr="00180522">
        <w:rPr>
          <w:rFonts w:eastAsia="Calibri"/>
          <w:szCs w:val="24"/>
          <w:lang w:val="en-GB" w:eastAsia="ja-JP"/>
        </w:rPr>
        <w:t>Infosolutions</w:t>
      </w:r>
      <w:proofErr w:type="spellEnd"/>
      <w:r w:rsidRPr="00180522">
        <w:rPr>
          <w:rFonts w:eastAsia="Calibri"/>
          <w:szCs w:val="24"/>
          <w:lang w:val="en-GB" w:eastAsia="ja-JP"/>
        </w:rPr>
        <w:t xml:space="preserve"> Ghana Limited</w:t>
      </w:r>
      <w:r w:rsidR="00293B8F" w:rsidRPr="00180522">
        <w:rPr>
          <w:rFonts w:eastAsia="Calibri"/>
          <w:szCs w:val="24"/>
          <w:lang w:val="en-GB" w:eastAsia="ja-JP"/>
        </w:rPr>
        <w:t>;</w:t>
      </w:r>
      <w:r w:rsidRPr="00180522">
        <w:rPr>
          <w:rFonts w:eastAsia="Calibri"/>
          <w:szCs w:val="24"/>
          <w:lang w:val="en-GB" w:eastAsia="ja-JP"/>
        </w:rPr>
        <w:t xml:space="preserve"> Reliance </w:t>
      </w:r>
      <w:proofErr w:type="spellStart"/>
      <w:r w:rsidRPr="00180522">
        <w:rPr>
          <w:rFonts w:eastAsia="Calibri"/>
          <w:szCs w:val="24"/>
          <w:lang w:val="en-GB" w:eastAsia="ja-JP"/>
        </w:rPr>
        <w:t>Jio</w:t>
      </w:r>
      <w:proofErr w:type="spellEnd"/>
      <w:r w:rsidRPr="00180522">
        <w:rPr>
          <w:rFonts w:eastAsia="Calibri"/>
          <w:szCs w:val="24"/>
          <w:lang w:val="en-GB" w:eastAsia="ja-JP"/>
        </w:rPr>
        <w:t xml:space="preserve"> </w:t>
      </w:r>
      <w:proofErr w:type="spellStart"/>
      <w:r w:rsidRPr="00180522">
        <w:rPr>
          <w:rFonts w:eastAsia="Calibri"/>
          <w:szCs w:val="24"/>
          <w:lang w:val="en-GB" w:eastAsia="ja-JP"/>
        </w:rPr>
        <w:t>Infocomm</w:t>
      </w:r>
      <w:proofErr w:type="spellEnd"/>
      <w:r w:rsidRPr="00180522">
        <w:rPr>
          <w:rFonts w:eastAsia="Calibri"/>
          <w:szCs w:val="24"/>
          <w:lang w:val="en-GB" w:eastAsia="ja-JP"/>
        </w:rPr>
        <w:t xml:space="preserve"> Limited</w:t>
      </w:r>
      <w:r w:rsidR="00293B8F" w:rsidRPr="00180522">
        <w:rPr>
          <w:rFonts w:eastAsia="Calibri"/>
          <w:szCs w:val="24"/>
          <w:lang w:val="en-GB" w:eastAsia="ja-JP"/>
        </w:rPr>
        <w:t>;</w:t>
      </w:r>
      <w:r w:rsidRPr="00180522">
        <w:rPr>
          <w:rFonts w:eastAsia="Calibri"/>
          <w:szCs w:val="24"/>
          <w:lang w:val="en-GB" w:eastAsia="ja-JP"/>
        </w:rPr>
        <w:t xml:space="preserve"> LG </w:t>
      </w:r>
      <w:proofErr w:type="spellStart"/>
      <w:r w:rsidRPr="00180522">
        <w:rPr>
          <w:rFonts w:eastAsia="Calibri"/>
          <w:szCs w:val="24"/>
          <w:lang w:val="en-GB" w:eastAsia="ja-JP"/>
        </w:rPr>
        <w:t>Uplus</w:t>
      </w:r>
      <w:proofErr w:type="spellEnd"/>
      <w:r w:rsidR="00293B8F"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Infinera</w:t>
      </w:r>
      <w:proofErr w:type="spellEnd"/>
      <w:r w:rsidRPr="00180522">
        <w:rPr>
          <w:rFonts w:eastAsia="Calibri"/>
          <w:szCs w:val="24"/>
          <w:lang w:val="en-GB" w:eastAsia="ja-JP"/>
        </w:rPr>
        <w:t xml:space="preserve"> Corporation</w:t>
      </w:r>
      <w:r w:rsidR="00293B8F" w:rsidRPr="00180522">
        <w:rPr>
          <w:rFonts w:eastAsia="Calibri"/>
          <w:szCs w:val="24"/>
          <w:lang w:val="en-GB" w:eastAsia="ja-JP"/>
        </w:rPr>
        <w:t>;</w:t>
      </w:r>
      <w:r w:rsidRPr="00180522">
        <w:rPr>
          <w:rFonts w:eastAsia="Calibri"/>
          <w:szCs w:val="24"/>
          <w:lang w:val="en-GB" w:eastAsia="ja-JP"/>
        </w:rPr>
        <w:t xml:space="preserve"> ITRI International Inc.</w:t>
      </w:r>
      <w:r w:rsidR="00293B8F" w:rsidRPr="00180522">
        <w:rPr>
          <w:rFonts w:eastAsia="Calibri"/>
          <w:szCs w:val="24"/>
          <w:lang w:val="en-GB" w:eastAsia="ja-JP"/>
        </w:rPr>
        <w:t xml:space="preserve">; </w:t>
      </w:r>
      <w:r w:rsidRPr="00180522">
        <w:rPr>
          <w:rFonts w:eastAsia="Calibri"/>
          <w:szCs w:val="24"/>
          <w:lang w:val="en-GB" w:eastAsia="ja-JP"/>
        </w:rPr>
        <w:t>Plantronics, Inc</w:t>
      </w:r>
      <w:r w:rsidR="005E08E7" w:rsidRPr="00180522">
        <w:rPr>
          <w:rFonts w:eastAsia="Calibri"/>
          <w:szCs w:val="24"/>
          <w:lang w:val="en-GB" w:eastAsia="ja-JP"/>
        </w:rPr>
        <w:t>.</w:t>
      </w:r>
      <w:r w:rsidR="00911C3F" w:rsidRPr="00180522">
        <w:rPr>
          <w:rFonts w:eastAsia="Calibri"/>
          <w:szCs w:val="24"/>
          <w:lang w:val="en-GB" w:eastAsia="ja-JP"/>
        </w:rPr>
        <w:t>; XPRIZE Foundation Inc.; and ADA Innovation Lab, Ltd..</w:t>
      </w:r>
    </w:p>
    <w:p w14:paraId="0327500B" w14:textId="010A349C" w:rsidR="005E08E7" w:rsidRPr="00180522" w:rsidRDefault="005E08E7" w:rsidP="007339CE">
      <w:pPr>
        <w:pStyle w:val="Index2"/>
        <w:rPr>
          <w:rFonts w:eastAsia="Calibri"/>
          <w:lang w:val="en-GB"/>
        </w:rPr>
      </w:pPr>
      <w:r w:rsidRPr="00180522">
        <w:rPr>
          <w:rFonts w:eastAsia="Calibri"/>
          <w:lang w:val="en-GB"/>
        </w:rPr>
        <w:t xml:space="preserve">New Associates </w:t>
      </w:r>
      <w:r w:rsidR="00293B8F" w:rsidRPr="00180522">
        <w:rPr>
          <w:rFonts w:eastAsia="Calibri"/>
          <w:lang w:val="en-GB"/>
        </w:rPr>
        <w:t xml:space="preserve">in </w:t>
      </w:r>
      <w:r w:rsidRPr="00180522">
        <w:rPr>
          <w:rFonts w:eastAsia="Calibri"/>
          <w:lang w:val="en-GB"/>
        </w:rPr>
        <w:t>2019:</w:t>
      </w:r>
    </w:p>
    <w:p w14:paraId="581FF4FA" w14:textId="5A9D7385" w:rsidR="00412E28" w:rsidRPr="00180522" w:rsidRDefault="00044D72" w:rsidP="00044D72">
      <w:pPr>
        <w:rPr>
          <w:rFonts w:eastAsia="Calibri"/>
          <w:szCs w:val="24"/>
          <w:lang w:val="en-GB" w:eastAsia="ja-JP"/>
        </w:rPr>
      </w:pPr>
      <w:r w:rsidRPr="00180522">
        <w:rPr>
          <w:rFonts w:eastAsia="Calibri"/>
          <w:szCs w:val="24"/>
          <w:lang w:val="en-GB" w:eastAsia="ja-JP"/>
        </w:rPr>
        <w:t>Maersk Line A/S (SG2)</w:t>
      </w:r>
      <w:r w:rsidR="00293B8F"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Vattenfall</w:t>
      </w:r>
      <w:proofErr w:type="spellEnd"/>
      <w:r w:rsidRPr="00180522">
        <w:rPr>
          <w:rFonts w:eastAsia="Calibri"/>
          <w:szCs w:val="24"/>
          <w:lang w:val="en-GB" w:eastAsia="ja-JP"/>
        </w:rPr>
        <w:t xml:space="preserve"> </w:t>
      </w:r>
      <w:proofErr w:type="spellStart"/>
      <w:r w:rsidRPr="00180522">
        <w:rPr>
          <w:rFonts w:eastAsia="Calibri"/>
          <w:szCs w:val="24"/>
          <w:lang w:val="en-GB" w:eastAsia="ja-JP"/>
        </w:rPr>
        <w:t>Vindkraft</w:t>
      </w:r>
      <w:proofErr w:type="spellEnd"/>
      <w:r w:rsidRPr="00180522">
        <w:rPr>
          <w:rFonts w:eastAsia="Calibri"/>
          <w:szCs w:val="24"/>
          <w:lang w:val="en-GB" w:eastAsia="ja-JP"/>
        </w:rPr>
        <w:t xml:space="preserve"> A/S (SG2)</w:t>
      </w:r>
      <w:r w:rsidR="00293B8F"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Clementvale</w:t>
      </w:r>
      <w:proofErr w:type="spellEnd"/>
      <w:r w:rsidRPr="00180522">
        <w:rPr>
          <w:rFonts w:eastAsia="Calibri"/>
          <w:szCs w:val="24"/>
          <w:lang w:val="en-GB" w:eastAsia="ja-JP"/>
        </w:rPr>
        <w:t xml:space="preserve"> Baltic OÜ (SG2)</w:t>
      </w:r>
      <w:r w:rsidR="00293B8F" w:rsidRPr="00180522">
        <w:rPr>
          <w:rFonts w:eastAsia="Calibri"/>
          <w:szCs w:val="24"/>
          <w:lang w:val="en-GB" w:eastAsia="ja-JP"/>
        </w:rPr>
        <w:t>;</w:t>
      </w:r>
      <w:r w:rsidRPr="00180522">
        <w:rPr>
          <w:rFonts w:eastAsia="Calibri"/>
          <w:szCs w:val="24"/>
          <w:lang w:val="en-GB" w:eastAsia="ja-JP"/>
        </w:rPr>
        <w:t xml:space="preserve"> Bouygues Telecom (SG2)</w:t>
      </w:r>
      <w:r w:rsidR="00293B8F"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Athalos</w:t>
      </w:r>
      <w:proofErr w:type="spellEnd"/>
      <w:r w:rsidRPr="00180522">
        <w:rPr>
          <w:rFonts w:eastAsia="Calibri"/>
          <w:szCs w:val="24"/>
          <w:lang w:val="en-GB" w:eastAsia="ja-JP"/>
        </w:rPr>
        <w:t xml:space="preserve"> PRS-Telecom (SG2)</w:t>
      </w:r>
      <w:r w:rsidR="00293B8F" w:rsidRPr="00180522">
        <w:rPr>
          <w:rFonts w:eastAsia="Calibri"/>
          <w:szCs w:val="24"/>
          <w:lang w:val="en-GB" w:eastAsia="ja-JP"/>
        </w:rPr>
        <w:t>;</w:t>
      </w:r>
      <w:r w:rsidRPr="00180522">
        <w:rPr>
          <w:rFonts w:eastAsia="Calibri"/>
          <w:szCs w:val="24"/>
          <w:lang w:val="en-GB" w:eastAsia="ja-JP"/>
        </w:rPr>
        <w:t xml:space="preserve"> Tele2 IoT (SG2)</w:t>
      </w:r>
      <w:r w:rsidR="00293B8F"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Phonegroup</w:t>
      </w:r>
      <w:proofErr w:type="spellEnd"/>
      <w:r w:rsidRPr="00180522">
        <w:rPr>
          <w:rFonts w:eastAsia="Calibri"/>
          <w:szCs w:val="24"/>
          <w:lang w:val="en-GB" w:eastAsia="ja-JP"/>
        </w:rPr>
        <w:t xml:space="preserve"> SA (SG2)</w:t>
      </w:r>
      <w:r w:rsidR="00293B8F" w:rsidRPr="00180522">
        <w:rPr>
          <w:rFonts w:eastAsia="Calibri"/>
          <w:szCs w:val="24"/>
          <w:lang w:val="en-GB" w:eastAsia="ja-JP"/>
        </w:rPr>
        <w:t>;</w:t>
      </w:r>
      <w:r w:rsidRPr="00180522">
        <w:rPr>
          <w:rFonts w:eastAsia="Calibri"/>
          <w:szCs w:val="24"/>
          <w:lang w:val="en-GB" w:eastAsia="ja-JP"/>
        </w:rPr>
        <w:t xml:space="preserve"> Dense Air (SG2)</w:t>
      </w:r>
      <w:r w:rsidR="00293B8F" w:rsidRPr="00180522">
        <w:rPr>
          <w:rFonts w:eastAsia="Calibri"/>
          <w:szCs w:val="24"/>
          <w:lang w:val="en-GB" w:eastAsia="ja-JP"/>
        </w:rPr>
        <w:t>;</w:t>
      </w:r>
      <w:r w:rsidRPr="00180522">
        <w:rPr>
          <w:rFonts w:eastAsia="Calibri"/>
          <w:szCs w:val="24"/>
          <w:lang w:val="en-GB" w:eastAsia="ja-JP"/>
        </w:rPr>
        <w:t xml:space="preserve"> </w:t>
      </w:r>
      <w:proofErr w:type="spellStart"/>
      <w:r w:rsidR="00DC55F1" w:rsidRPr="00180522">
        <w:rPr>
          <w:rFonts w:eastAsia="Calibri"/>
          <w:szCs w:val="24"/>
          <w:lang w:val="en-GB" w:eastAsia="ja-JP"/>
        </w:rPr>
        <w:t>Arkessa</w:t>
      </w:r>
      <w:proofErr w:type="spellEnd"/>
      <w:r w:rsidR="00DC55F1" w:rsidRPr="00180522">
        <w:rPr>
          <w:rFonts w:eastAsia="Calibri"/>
          <w:szCs w:val="24"/>
          <w:lang w:val="en-GB" w:eastAsia="ja-JP"/>
        </w:rPr>
        <w:t xml:space="preserve">, Ltd. (SG2); </w:t>
      </w:r>
      <w:proofErr w:type="spellStart"/>
      <w:r w:rsidRPr="00180522">
        <w:rPr>
          <w:rFonts w:eastAsia="Calibri"/>
          <w:szCs w:val="24"/>
          <w:lang w:val="en-GB" w:eastAsia="ja-JP"/>
        </w:rPr>
        <w:t>MovieLabs</w:t>
      </w:r>
      <w:proofErr w:type="spellEnd"/>
      <w:r w:rsidRPr="00180522">
        <w:rPr>
          <w:rFonts w:eastAsia="Calibri"/>
          <w:szCs w:val="24"/>
          <w:lang w:val="en-GB" w:eastAsia="ja-JP"/>
        </w:rPr>
        <w:t xml:space="preserve"> (SG9)</w:t>
      </w:r>
      <w:r w:rsidR="00293B8F"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Synamedia</w:t>
      </w:r>
      <w:proofErr w:type="spellEnd"/>
      <w:r w:rsidRPr="00180522">
        <w:rPr>
          <w:rFonts w:eastAsia="Calibri"/>
          <w:szCs w:val="24"/>
          <w:lang w:val="en-GB" w:eastAsia="ja-JP"/>
        </w:rPr>
        <w:t xml:space="preserve"> (SG9)</w:t>
      </w:r>
      <w:r w:rsidR="00293B8F" w:rsidRPr="00180522">
        <w:rPr>
          <w:rFonts w:eastAsia="Calibri"/>
          <w:szCs w:val="24"/>
          <w:lang w:val="en-GB" w:eastAsia="ja-JP"/>
        </w:rPr>
        <w:t>;</w:t>
      </w:r>
      <w:r w:rsidRPr="00180522">
        <w:rPr>
          <w:rFonts w:eastAsia="Calibri"/>
          <w:szCs w:val="24"/>
          <w:lang w:val="en-GB" w:eastAsia="ja-JP"/>
        </w:rPr>
        <w:t xml:space="preserve"> OpenSignal</w:t>
      </w:r>
      <w:r w:rsidR="00DC55F1" w:rsidRPr="00180522">
        <w:rPr>
          <w:rFonts w:eastAsia="Calibri"/>
          <w:szCs w:val="24"/>
          <w:lang w:val="en-GB" w:eastAsia="ja-JP"/>
        </w:rPr>
        <w:t>, Lt</w:t>
      </w:r>
      <w:r w:rsidRPr="00180522">
        <w:rPr>
          <w:rFonts w:eastAsia="Calibri"/>
          <w:szCs w:val="24"/>
          <w:lang w:val="en-GB" w:eastAsia="ja-JP"/>
        </w:rPr>
        <w:t>d</w:t>
      </w:r>
      <w:r w:rsidR="00DC55F1" w:rsidRPr="00180522">
        <w:rPr>
          <w:rFonts w:eastAsia="Calibri"/>
          <w:szCs w:val="24"/>
          <w:lang w:val="en-GB" w:eastAsia="ja-JP"/>
        </w:rPr>
        <w:t>.</w:t>
      </w:r>
      <w:r w:rsidRPr="00180522">
        <w:rPr>
          <w:rFonts w:eastAsia="Calibri"/>
          <w:szCs w:val="24"/>
          <w:lang w:val="en-GB" w:eastAsia="ja-JP"/>
        </w:rPr>
        <w:t xml:space="preserve"> (SG12)</w:t>
      </w:r>
      <w:r w:rsidR="00293B8F" w:rsidRPr="00180522">
        <w:rPr>
          <w:rFonts w:eastAsia="Calibri"/>
          <w:szCs w:val="24"/>
          <w:lang w:val="en-GB" w:eastAsia="ja-JP"/>
        </w:rPr>
        <w:t>;</w:t>
      </w:r>
      <w:r w:rsidRPr="00180522">
        <w:rPr>
          <w:rFonts w:eastAsia="Calibri"/>
          <w:szCs w:val="24"/>
          <w:lang w:val="en-GB" w:eastAsia="ja-JP"/>
        </w:rPr>
        <w:t xml:space="preserve"> Continental Automotive Systems Inc.</w:t>
      </w:r>
      <w:r w:rsidR="00293B8F" w:rsidRPr="00180522">
        <w:rPr>
          <w:rFonts w:eastAsia="Calibri"/>
          <w:szCs w:val="24"/>
          <w:lang w:val="en-GB" w:eastAsia="ja-JP"/>
        </w:rPr>
        <w:t xml:space="preserve"> </w:t>
      </w:r>
      <w:r w:rsidRPr="00180522">
        <w:rPr>
          <w:rFonts w:eastAsia="Calibri"/>
          <w:szCs w:val="24"/>
          <w:lang w:val="en-GB" w:eastAsia="ja-JP"/>
        </w:rPr>
        <w:t>(SG12)</w:t>
      </w:r>
      <w:r w:rsidR="00293B8F" w:rsidRPr="00180522">
        <w:rPr>
          <w:rFonts w:eastAsia="Calibri"/>
          <w:szCs w:val="24"/>
          <w:lang w:val="en-GB" w:eastAsia="ja-JP"/>
        </w:rPr>
        <w:t>;</w:t>
      </w:r>
      <w:r w:rsidRPr="00180522">
        <w:rPr>
          <w:rFonts w:eastAsia="Calibri"/>
          <w:szCs w:val="24"/>
          <w:lang w:val="en-GB"/>
        </w:rPr>
        <w:t xml:space="preserve"> </w:t>
      </w:r>
      <w:r w:rsidRPr="00180522">
        <w:rPr>
          <w:rFonts w:eastAsia="Calibri"/>
          <w:szCs w:val="24"/>
          <w:lang w:val="en-GB" w:eastAsia="ja-JP"/>
        </w:rPr>
        <w:t xml:space="preserve">Hyundai </w:t>
      </w:r>
      <w:proofErr w:type="spellStart"/>
      <w:r w:rsidRPr="00180522">
        <w:rPr>
          <w:rFonts w:eastAsia="Calibri"/>
          <w:szCs w:val="24"/>
          <w:lang w:val="en-GB" w:eastAsia="ja-JP"/>
        </w:rPr>
        <w:t>Mobis</w:t>
      </w:r>
      <w:proofErr w:type="spellEnd"/>
      <w:r w:rsidRPr="00180522">
        <w:rPr>
          <w:rFonts w:eastAsia="Calibri"/>
          <w:szCs w:val="24"/>
          <w:lang w:val="en-GB" w:eastAsia="ja-JP"/>
        </w:rPr>
        <w:t xml:space="preserve"> Co., Ltd (SG12)</w:t>
      </w:r>
      <w:r w:rsidR="00293B8F" w:rsidRPr="00180522">
        <w:rPr>
          <w:rFonts w:eastAsia="Calibri"/>
          <w:szCs w:val="24"/>
          <w:lang w:val="en-GB" w:eastAsia="ja-JP"/>
        </w:rPr>
        <w:t>;</w:t>
      </w:r>
      <w:r w:rsidRPr="00180522">
        <w:rPr>
          <w:rFonts w:eastAsia="Calibri"/>
          <w:szCs w:val="24"/>
          <w:lang w:val="en-GB" w:eastAsia="ja-JP"/>
        </w:rPr>
        <w:t xml:space="preserve"> CEZ </w:t>
      </w:r>
      <w:proofErr w:type="spellStart"/>
      <w:r w:rsidRPr="00180522">
        <w:rPr>
          <w:rFonts w:eastAsia="Calibri"/>
          <w:szCs w:val="24"/>
          <w:lang w:val="en-GB" w:eastAsia="ja-JP"/>
        </w:rPr>
        <w:t>Distribuce</w:t>
      </w:r>
      <w:proofErr w:type="spellEnd"/>
      <w:r w:rsidRPr="00180522">
        <w:rPr>
          <w:rFonts w:eastAsia="Calibri"/>
          <w:szCs w:val="24"/>
          <w:lang w:val="en-GB" w:eastAsia="ja-JP"/>
        </w:rPr>
        <w:t xml:space="preserve">, </w:t>
      </w:r>
      <w:proofErr w:type="spellStart"/>
      <w:r w:rsidRPr="00180522">
        <w:rPr>
          <w:rFonts w:eastAsia="Calibri"/>
          <w:szCs w:val="24"/>
          <w:lang w:val="en-GB" w:eastAsia="ja-JP"/>
        </w:rPr>
        <w:t>a.s</w:t>
      </w:r>
      <w:proofErr w:type="spellEnd"/>
      <w:r w:rsidRPr="00180522">
        <w:rPr>
          <w:rFonts w:eastAsia="Calibri"/>
          <w:szCs w:val="24"/>
          <w:lang w:val="en-GB" w:eastAsia="ja-JP"/>
        </w:rPr>
        <w:t>.</w:t>
      </w:r>
      <w:r w:rsidR="00293B8F" w:rsidRPr="00180522">
        <w:rPr>
          <w:rFonts w:eastAsia="Calibri"/>
          <w:szCs w:val="24"/>
          <w:lang w:val="en-GB" w:eastAsia="ja-JP"/>
        </w:rPr>
        <w:t xml:space="preserve"> </w:t>
      </w:r>
      <w:r w:rsidRPr="00180522">
        <w:rPr>
          <w:rFonts w:eastAsia="Calibri"/>
          <w:szCs w:val="24"/>
          <w:lang w:val="en-GB" w:eastAsia="ja-JP"/>
        </w:rPr>
        <w:t>(SG15)</w:t>
      </w:r>
      <w:r w:rsidR="00293B8F" w:rsidRPr="00180522">
        <w:rPr>
          <w:rFonts w:eastAsia="Calibri"/>
          <w:szCs w:val="24"/>
          <w:lang w:val="en-GB" w:eastAsia="ja-JP"/>
        </w:rPr>
        <w:t>;</w:t>
      </w:r>
      <w:r w:rsidRPr="00180522">
        <w:rPr>
          <w:rFonts w:eastAsia="Calibri"/>
          <w:szCs w:val="24"/>
          <w:lang w:val="en-GB" w:eastAsia="ja-JP"/>
        </w:rPr>
        <w:t xml:space="preserve"> Signify/Philips Lighting B.V.</w:t>
      </w:r>
      <w:r w:rsidR="00A47A10" w:rsidRPr="00180522">
        <w:rPr>
          <w:rFonts w:eastAsia="Calibri"/>
          <w:szCs w:val="24"/>
          <w:lang w:val="en-GB" w:eastAsia="ja-JP"/>
        </w:rPr>
        <w:t xml:space="preserve"> </w:t>
      </w:r>
      <w:r w:rsidRPr="00180522">
        <w:rPr>
          <w:rFonts w:eastAsia="Calibri"/>
          <w:szCs w:val="24"/>
          <w:lang w:val="en-GB" w:eastAsia="ja-JP"/>
        </w:rPr>
        <w:t>(SG15)</w:t>
      </w:r>
      <w:r w:rsidR="00A47A10" w:rsidRPr="00180522">
        <w:rPr>
          <w:rFonts w:eastAsia="Calibri"/>
          <w:szCs w:val="24"/>
          <w:lang w:val="en-GB" w:eastAsia="ja-JP"/>
        </w:rPr>
        <w:t>;</w:t>
      </w:r>
      <w:r w:rsidRPr="00180522">
        <w:rPr>
          <w:rFonts w:eastAsia="Calibri"/>
          <w:szCs w:val="24"/>
          <w:lang w:val="en-GB" w:eastAsia="ja-JP"/>
        </w:rPr>
        <w:t xml:space="preserve"> u-</w:t>
      </w:r>
      <w:proofErr w:type="spellStart"/>
      <w:r w:rsidRPr="00180522">
        <w:rPr>
          <w:rFonts w:eastAsia="Calibri"/>
          <w:szCs w:val="24"/>
          <w:lang w:val="en-GB" w:eastAsia="ja-JP"/>
        </w:rPr>
        <w:t>blox</w:t>
      </w:r>
      <w:proofErr w:type="spellEnd"/>
      <w:r w:rsidRPr="00180522">
        <w:rPr>
          <w:rFonts w:eastAsia="Calibri"/>
          <w:szCs w:val="24"/>
          <w:lang w:val="en-GB" w:eastAsia="ja-JP"/>
        </w:rPr>
        <w:t xml:space="preserve"> AG (SG15)</w:t>
      </w:r>
      <w:r w:rsidR="00A47A10" w:rsidRPr="00180522">
        <w:rPr>
          <w:rFonts w:eastAsia="Calibri"/>
          <w:szCs w:val="24"/>
          <w:lang w:val="en-GB" w:eastAsia="ja-JP"/>
        </w:rPr>
        <w:t>;</w:t>
      </w:r>
      <w:r w:rsidRPr="00180522">
        <w:rPr>
          <w:rFonts w:eastAsia="Calibri"/>
          <w:szCs w:val="24"/>
          <w:lang w:val="en-GB" w:eastAsia="ja-JP"/>
        </w:rPr>
        <w:t xml:space="preserve"> IBM (SG15)</w:t>
      </w:r>
      <w:r w:rsidR="00A47A10"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Tibit</w:t>
      </w:r>
      <w:proofErr w:type="spellEnd"/>
      <w:r w:rsidRPr="00180522">
        <w:rPr>
          <w:rFonts w:eastAsia="Calibri"/>
          <w:szCs w:val="24"/>
          <w:lang w:val="en-GB" w:eastAsia="ja-JP"/>
        </w:rPr>
        <w:t xml:space="preserve"> Communications (SG15)</w:t>
      </w:r>
      <w:r w:rsidR="00A47A10" w:rsidRPr="00180522">
        <w:rPr>
          <w:rFonts w:eastAsia="Calibri"/>
          <w:szCs w:val="24"/>
          <w:lang w:val="en-GB" w:eastAsia="ja-JP"/>
        </w:rPr>
        <w:t>;</w:t>
      </w:r>
      <w:r w:rsidRPr="00180522">
        <w:rPr>
          <w:rFonts w:eastAsia="Calibri"/>
          <w:szCs w:val="24"/>
          <w:lang w:val="en-GB" w:eastAsia="ja-JP"/>
        </w:rPr>
        <w:t xml:space="preserve"> </w:t>
      </w:r>
      <w:r w:rsidR="00DC55F1" w:rsidRPr="00180522">
        <w:rPr>
          <w:rFonts w:eastAsia="Calibri"/>
          <w:szCs w:val="24"/>
          <w:lang w:val="en-GB" w:eastAsia="ja-JP"/>
        </w:rPr>
        <w:t xml:space="preserve">Xilinx Inc. (SG15); </w:t>
      </w:r>
      <w:proofErr w:type="spellStart"/>
      <w:r w:rsidRPr="00180522">
        <w:rPr>
          <w:rFonts w:eastAsia="Calibri"/>
          <w:szCs w:val="24"/>
          <w:lang w:val="en-GB" w:eastAsia="ja-JP"/>
        </w:rPr>
        <w:t>VisionVera</w:t>
      </w:r>
      <w:proofErr w:type="spellEnd"/>
      <w:r w:rsidRPr="00180522">
        <w:rPr>
          <w:rFonts w:eastAsia="Calibri"/>
          <w:szCs w:val="24"/>
          <w:lang w:val="en-GB" w:eastAsia="ja-JP"/>
        </w:rPr>
        <w:t xml:space="preserve"> Information Technology Co.</w:t>
      </w:r>
      <w:r w:rsidR="00DC55F1" w:rsidRPr="00180522">
        <w:rPr>
          <w:rFonts w:eastAsia="Calibri"/>
          <w:szCs w:val="24"/>
          <w:lang w:val="en-GB" w:eastAsia="ja-JP"/>
        </w:rPr>
        <w:t>,</w:t>
      </w:r>
      <w:r w:rsidRPr="00180522">
        <w:rPr>
          <w:rFonts w:eastAsia="Calibri"/>
          <w:szCs w:val="24"/>
          <w:lang w:val="en-GB" w:eastAsia="ja-JP"/>
        </w:rPr>
        <w:t xml:space="preserve"> Ltd. (SG16)</w:t>
      </w:r>
      <w:r w:rsidR="00A47A10" w:rsidRPr="00180522">
        <w:rPr>
          <w:rFonts w:eastAsia="Calibri"/>
          <w:szCs w:val="24"/>
          <w:lang w:val="en-GB" w:eastAsia="ja-JP"/>
        </w:rPr>
        <w:t>;</w:t>
      </w:r>
      <w:r w:rsidRPr="00180522">
        <w:rPr>
          <w:rFonts w:eastAsia="Calibri"/>
          <w:szCs w:val="24"/>
          <w:lang w:val="en-GB" w:eastAsia="ja-JP"/>
        </w:rPr>
        <w:t xml:space="preserve"> </w:t>
      </w:r>
      <w:proofErr w:type="spellStart"/>
      <w:r w:rsidRPr="00180522">
        <w:rPr>
          <w:rFonts w:eastAsia="Calibri"/>
          <w:szCs w:val="24"/>
          <w:lang w:val="en-GB" w:eastAsia="ja-JP"/>
        </w:rPr>
        <w:t>Fondation</w:t>
      </w:r>
      <w:proofErr w:type="spellEnd"/>
      <w:r w:rsidRPr="00180522">
        <w:rPr>
          <w:rFonts w:eastAsia="Calibri"/>
          <w:szCs w:val="24"/>
          <w:lang w:val="en-GB" w:eastAsia="ja-JP"/>
        </w:rPr>
        <w:t xml:space="preserve"> </w:t>
      </w:r>
      <w:proofErr w:type="spellStart"/>
      <w:r w:rsidRPr="00180522">
        <w:rPr>
          <w:rFonts w:eastAsia="Calibri"/>
          <w:szCs w:val="24"/>
          <w:lang w:val="en-GB" w:eastAsia="ja-JP"/>
        </w:rPr>
        <w:t>Botnar</w:t>
      </w:r>
      <w:proofErr w:type="spellEnd"/>
      <w:r w:rsidRPr="00180522">
        <w:rPr>
          <w:rFonts w:eastAsia="Calibri"/>
          <w:szCs w:val="24"/>
          <w:lang w:val="en-GB" w:eastAsia="ja-JP"/>
        </w:rPr>
        <w:t xml:space="preserve"> (SG16)</w:t>
      </w:r>
      <w:r w:rsidR="00A47A10" w:rsidRPr="00180522">
        <w:rPr>
          <w:rFonts w:eastAsia="Calibri"/>
          <w:szCs w:val="24"/>
          <w:lang w:val="en-GB" w:eastAsia="ja-JP"/>
        </w:rPr>
        <w:t>;</w:t>
      </w:r>
      <w:r w:rsidRPr="00180522">
        <w:rPr>
          <w:rFonts w:eastAsia="Calibri"/>
          <w:szCs w:val="24"/>
          <w:lang w:val="en-GB" w:eastAsia="ja-JP"/>
        </w:rPr>
        <w:t xml:space="preserve"> Cambridge Quantum Computing (SG17)</w:t>
      </w:r>
      <w:r w:rsidR="00A47A10" w:rsidRPr="00180522">
        <w:rPr>
          <w:rFonts w:eastAsia="Calibri"/>
          <w:szCs w:val="24"/>
          <w:lang w:val="en-GB" w:eastAsia="ja-JP"/>
        </w:rPr>
        <w:t>;</w:t>
      </w:r>
      <w:r w:rsidRPr="00180522">
        <w:rPr>
          <w:rFonts w:eastAsia="Calibri"/>
          <w:szCs w:val="24"/>
          <w:lang w:val="en-GB" w:eastAsia="ja-JP"/>
        </w:rPr>
        <w:t xml:space="preserve"> Capital City Service Limited (SG17)</w:t>
      </w:r>
      <w:r w:rsidR="00A47A10" w:rsidRPr="00180522">
        <w:rPr>
          <w:rFonts w:eastAsia="Calibri"/>
          <w:szCs w:val="24"/>
          <w:lang w:val="en-GB" w:eastAsia="ja-JP"/>
        </w:rPr>
        <w:t>;</w:t>
      </w:r>
      <w:r w:rsidRPr="00180522">
        <w:rPr>
          <w:rFonts w:eastAsia="Calibri"/>
          <w:szCs w:val="24"/>
          <w:lang w:val="en-GB"/>
        </w:rPr>
        <w:t xml:space="preserve"> </w:t>
      </w:r>
      <w:r w:rsidRPr="00180522">
        <w:rPr>
          <w:rFonts w:eastAsia="Calibri"/>
          <w:szCs w:val="24"/>
          <w:lang w:val="en-GB" w:eastAsia="ja-JP"/>
        </w:rPr>
        <w:t>FORTINET Inc. (SG17)</w:t>
      </w:r>
      <w:r w:rsidR="00A47A10" w:rsidRPr="00180522">
        <w:rPr>
          <w:rFonts w:eastAsia="Calibri"/>
          <w:szCs w:val="24"/>
          <w:lang w:val="en-GB" w:eastAsia="ja-JP"/>
        </w:rPr>
        <w:t>;</w:t>
      </w:r>
      <w:r w:rsidRPr="00180522">
        <w:rPr>
          <w:rFonts w:eastAsia="Calibri"/>
          <w:szCs w:val="24"/>
          <w:lang w:val="en-GB" w:eastAsia="ja-JP"/>
        </w:rPr>
        <w:t xml:space="preserve"> </w:t>
      </w:r>
      <w:r w:rsidR="00A47A10" w:rsidRPr="00180522">
        <w:rPr>
          <w:rFonts w:eastAsia="Calibri"/>
          <w:szCs w:val="24"/>
          <w:lang w:val="en-GB" w:eastAsia="ja-JP"/>
        </w:rPr>
        <w:t xml:space="preserve">and </w:t>
      </w:r>
      <w:r w:rsidRPr="00180522">
        <w:rPr>
          <w:rFonts w:eastAsia="Calibri"/>
          <w:szCs w:val="24"/>
          <w:lang w:val="en-GB" w:eastAsia="ja-JP"/>
        </w:rPr>
        <w:t>System Engineering Research Institute (SG20).</w:t>
      </w:r>
    </w:p>
    <w:p w14:paraId="0A8CF2E5" w14:textId="6565A3AF" w:rsidR="00044D72" w:rsidRPr="00180522" w:rsidRDefault="00044D72" w:rsidP="007339CE">
      <w:pPr>
        <w:pStyle w:val="Index2"/>
        <w:rPr>
          <w:rFonts w:eastAsia="Calibri"/>
          <w:lang w:val="en-GB"/>
        </w:rPr>
      </w:pPr>
      <w:r w:rsidRPr="00180522">
        <w:rPr>
          <w:rFonts w:eastAsia="Calibri"/>
          <w:lang w:val="en-GB"/>
        </w:rPr>
        <w:t xml:space="preserve">New Academia </w:t>
      </w:r>
      <w:r w:rsidR="00A47A10" w:rsidRPr="00180522">
        <w:rPr>
          <w:rFonts w:eastAsia="Calibri"/>
          <w:lang w:val="en-GB"/>
        </w:rPr>
        <w:t xml:space="preserve">in </w:t>
      </w:r>
      <w:r w:rsidRPr="00180522">
        <w:rPr>
          <w:rFonts w:eastAsia="Calibri"/>
          <w:lang w:val="en-GB"/>
        </w:rPr>
        <w:t>2019:</w:t>
      </w:r>
    </w:p>
    <w:p w14:paraId="7A39BC06" w14:textId="3AC14BE3" w:rsidR="00044D72" w:rsidRPr="00180522" w:rsidRDefault="00044D72" w:rsidP="00911C3F">
      <w:pPr>
        <w:keepNext/>
        <w:keepLines/>
        <w:rPr>
          <w:szCs w:val="24"/>
          <w:highlight w:val="yellow"/>
          <w:lang w:val="en-GB" w:eastAsia="ja-JP"/>
        </w:rPr>
      </w:pPr>
      <w:r w:rsidRPr="00180522">
        <w:rPr>
          <w:rFonts w:eastAsia="Calibri"/>
          <w:szCs w:val="24"/>
          <w:lang w:val="en-GB" w:eastAsia="ja-JP"/>
        </w:rPr>
        <w:t>Universidad</w:t>
      </w:r>
      <w:r w:rsidRPr="00180522">
        <w:rPr>
          <w:szCs w:val="24"/>
          <w:lang w:val="en-GB" w:eastAsia="ja-JP"/>
        </w:rPr>
        <w:t xml:space="preserve"> Nacional del </w:t>
      </w:r>
      <w:proofErr w:type="spellStart"/>
      <w:r w:rsidRPr="00180522">
        <w:rPr>
          <w:szCs w:val="24"/>
          <w:lang w:val="en-GB" w:eastAsia="ja-JP"/>
        </w:rPr>
        <w:t>Litoral</w:t>
      </w:r>
      <w:proofErr w:type="spellEnd"/>
      <w:r w:rsidR="00A47A10" w:rsidRPr="00180522">
        <w:rPr>
          <w:szCs w:val="24"/>
          <w:lang w:val="en-GB" w:eastAsia="ja-JP"/>
        </w:rPr>
        <w:t>;</w:t>
      </w:r>
      <w:r w:rsidRPr="00180522">
        <w:rPr>
          <w:szCs w:val="24"/>
          <w:lang w:val="en-GB" w:eastAsia="ja-JP"/>
        </w:rPr>
        <w:t xml:space="preserve"> Hong Kong Applied Science and Technology Research Institute</w:t>
      </w:r>
      <w:r w:rsidR="00A47A10" w:rsidRPr="00180522">
        <w:rPr>
          <w:szCs w:val="24"/>
          <w:lang w:val="en-GB" w:eastAsia="ja-JP"/>
        </w:rPr>
        <w:t>;</w:t>
      </w:r>
      <w:r w:rsidRPr="00180522">
        <w:rPr>
          <w:szCs w:val="24"/>
          <w:lang w:val="en-GB" w:eastAsia="ja-JP"/>
        </w:rPr>
        <w:t xml:space="preserve"> </w:t>
      </w:r>
      <w:proofErr w:type="spellStart"/>
      <w:r w:rsidRPr="00180522">
        <w:rPr>
          <w:szCs w:val="24"/>
          <w:lang w:val="en-GB" w:eastAsia="ja-JP"/>
        </w:rPr>
        <w:t>Institut</w:t>
      </w:r>
      <w:proofErr w:type="spellEnd"/>
      <w:r w:rsidRPr="00180522">
        <w:rPr>
          <w:szCs w:val="24"/>
          <w:lang w:val="en-GB" w:eastAsia="ja-JP"/>
        </w:rPr>
        <w:t xml:space="preserve"> </w:t>
      </w:r>
      <w:proofErr w:type="spellStart"/>
      <w:r w:rsidRPr="00180522">
        <w:rPr>
          <w:szCs w:val="24"/>
          <w:lang w:val="en-GB" w:eastAsia="ja-JP"/>
        </w:rPr>
        <w:t>Scientifique</w:t>
      </w:r>
      <w:proofErr w:type="spellEnd"/>
      <w:r w:rsidRPr="00180522">
        <w:rPr>
          <w:szCs w:val="24"/>
          <w:lang w:val="en-GB" w:eastAsia="ja-JP"/>
        </w:rPr>
        <w:t xml:space="preserve"> </w:t>
      </w:r>
      <w:proofErr w:type="spellStart"/>
      <w:r w:rsidRPr="00180522">
        <w:rPr>
          <w:szCs w:val="24"/>
          <w:lang w:val="en-GB" w:eastAsia="ja-JP"/>
        </w:rPr>
        <w:t>Européen</w:t>
      </w:r>
      <w:proofErr w:type="spellEnd"/>
      <w:r w:rsidR="00A47A10" w:rsidRPr="00180522">
        <w:rPr>
          <w:szCs w:val="24"/>
          <w:lang w:val="en-GB" w:eastAsia="ja-JP"/>
        </w:rPr>
        <w:t>;</w:t>
      </w:r>
      <w:r w:rsidRPr="00180522">
        <w:rPr>
          <w:szCs w:val="24"/>
          <w:lang w:val="en-GB" w:eastAsia="ja-JP"/>
        </w:rPr>
        <w:t xml:space="preserve"> </w:t>
      </w:r>
      <w:proofErr w:type="spellStart"/>
      <w:r w:rsidRPr="00180522">
        <w:rPr>
          <w:szCs w:val="24"/>
          <w:lang w:val="en-GB" w:eastAsia="ja-JP"/>
        </w:rPr>
        <w:t>Ilmenau</w:t>
      </w:r>
      <w:proofErr w:type="spellEnd"/>
      <w:r w:rsidRPr="00180522">
        <w:rPr>
          <w:szCs w:val="24"/>
          <w:lang w:val="en-GB" w:eastAsia="ja-JP"/>
        </w:rPr>
        <w:t xml:space="preserve"> University of Technology</w:t>
      </w:r>
      <w:r w:rsidR="00A47A10" w:rsidRPr="00180522">
        <w:rPr>
          <w:szCs w:val="24"/>
          <w:lang w:val="en-GB" w:eastAsia="ja-JP"/>
        </w:rPr>
        <w:t>;</w:t>
      </w:r>
      <w:r w:rsidRPr="00180522">
        <w:rPr>
          <w:szCs w:val="24"/>
          <w:lang w:val="en-GB" w:eastAsia="ja-JP"/>
        </w:rPr>
        <w:t xml:space="preserve"> Centre for Development of Telematics</w:t>
      </w:r>
      <w:r w:rsidR="00A47A10" w:rsidRPr="00180522">
        <w:rPr>
          <w:szCs w:val="24"/>
          <w:lang w:val="en-GB" w:eastAsia="ja-JP"/>
        </w:rPr>
        <w:t>;</w:t>
      </w:r>
      <w:r w:rsidRPr="00180522">
        <w:rPr>
          <w:szCs w:val="24"/>
          <w:lang w:val="en-GB" w:eastAsia="ja-JP"/>
        </w:rPr>
        <w:t xml:space="preserve"> </w:t>
      </w:r>
      <w:proofErr w:type="spellStart"/>
      <w:r w:rsidRPr="00180522">
        <w:rPr>
          <w:szCs w:val="24"/>
          <w:lang w:val="en-GB" w:eastAsia="ja-JP"/>
        </w:rPr>
        <w:t>Amirkabir</w:t>
      </w:r>
      <w:proofErr w:type="spellEnd"/>
      <w:r w:rsidRPr="00180522">
        <w:rPr>
          <w:szCs w:val="24"/>
          <w:lang w:val="en-GB" w:eastAsia="ja-JP"/>
        </w:rPr>
        <w:t xml:space="preserve"> University of Technology</w:t>
      </w:r>
      <w:r w:rsidR="00A47A10" w:rsidRPr="00180522">
        <w:rPr>
          <w:szCs w:val="24"/>
          <w:lang w:val="en-GB" w:eastAsia="ja-JP"/>
        </w:rPr>
        <w:t>;</w:t>
      </w:r>
      <w:r w:rsidRPr="00180522">
        <w:rPr>
          <w:szCs w:val="24"/>
          <w:lang w:val="en-GB" w:eastAsia="ja-JP"/>
        </w:rPr>
        <w:t xml:space="preserve"> </w:t>
      </w:r>
      <w:proofErr w:type="spellStart"/>
      <w:r w:rsidRPr="00180522">
        <w:rPr>
          <w:szCs w:val="24"/>
          <w:lang w:val="en-GB" w:eastAsia="ja-JP"/>
        </w:rPr>
        <w:t>Tarbiat</w:t>
      </w:r>
      <w:proofErr w:type="spellEnd"/>
      <w:r w:rsidRPr="00180522">
        <w:rPr>
          <w:szCs w:val="24"/>
          <w:lang w:val="en-GB" w:eastAsia="ja-JP"/>
        </w:rPr>
        <w:t xml:space="preserve"> </w:t>
      </w:r>
      <w:proofErr w:type="spellStart"/>
      <w:r w:rsidRPr="00180522">
        <w:rPr>
          <w:szCs w:val="24"/>
          <w:lang w:val="en-GB" w:eastAsia="ja-JP"/>
        </w:rPr>
        <w:t>Modares</w:t>
      </w:r>
      <w:proofErr w:type="spellEnd"/>
      <w:r w:rsidRPr="00180522">
        <w:rPr>
          <w:szCs w:val="24"/>
          <w:lang w:val="en-GB" w:eastAsia="ja-JP"/>
        </w:rPr>
        <w:t xml:space="preserve"> University</w:t>
      </w:r>
      <w:r w:rsidR="00A47A10" w:rsidRPr="00180522">
        <w:rPr>
          <w:szCs w:val="24"/>
          <w:lang w:val="en-GB" w:eastAsia="ja-JP"/>
        </w:rPr>
        <w:t>;</w:t>
      </w:r>
      <w:r w:rsidRPr="00180522">
        <w:rPr>
          <w:szCs w:val="24"/>
          <w:lang w:val="en-GB" w:eastAsia="ja-JP"/>
        </w:rPr>
        <w:t xml:space="preserve"> University of Tehran</w:t>
      </w:r>
      <w:r w:rsidR="00A47A10" w:rsidRPr="00180522">
        <w:rPr>
          <w:szCs w:val="24"/>
          <w:lang w:val="en-GB" w:eastAsia="ja-JP"/>
        </w:rPr>
        <w:t>;</w:t>
      </w:r>
      <w:r w:rsidRPr="00180522">
        <w:rPr>
          <w:szCs w:val="24"/>
          <w:lang w:val="en-GB" w:eastAsia="ja-JP"/>
        </w:rPr>
        <w:t xml:space="preserve"> Tokyo Institute of Technology</w:t>
      </w:r>
      <w:r w:rsidR="00A47A10" w:rsidRPr="00180522">
        <w:rPr>
          <w:szCs w:val="24"/>
          <w:lang w:val="en-GB" w:eastAsia="ja-JP"/>
        </w:rPr>
        <w:t>;</w:t>
      </w:r>
      <w:r w:rsidRPr="00180522">
        <w:rPr>
          <w:szCs w:val="24"/>
          <w:lang w:val="en-GB" w:eastAsia="ja-JP"/>
        </w:rPr>
        <w:t xml:space="preserve"> Arab States Research and Education Network</w:t>
      </w:r>
      <w:r w:rsidR="00A47A10" w:rsidRPr="00180522">
        <w:rPr>
          <w:szCs w:val="24"/>
          <w:lang w:val="en-GB" w:eastAsia="ja-JP"/>
        </w:rPr>
        <w:t>;</w:t>
      </w:r>
      <w:r w:rsidRPr="00180522">
        <w:rPr>
          <w:szCs w:val="24"/>
          <w:lang w:val="en-GB" w:eastAsia="ja-JP"/>
        </w:rPr>
        <w:t xml:space="preserve"> Smart Quantum Communication ITRC</w:t>
      </w:r>
      <w:r w:rsidR="00A47A10" w:rsidRPr="00180522">
        <w:rPr>
          <w:szCs w:val="24"/>
          <w:lang w:val="en-GB" w:eastAsia="ja-JP"/>
        </w:rPr>
        <w:t xml:space="preserve">, </w:t>
      </w:r>
      <w:r w:rsidRPr="00180522">
        <w:rPr>
          <w:szCs w:val="24"/>
          <w:lang w:val="en-GB" w:eastAsia="ja-JP"/>
        </w:rPr>
        <w:t>Korea University</w:t>
      </w:r>
      <w:r w:rsidR="00A47A10" w:rsidRPr="00180522">
        <w:rPr>
          <w:szCs w:val="24"/>
          <w:lang w:val="en-GB" w:eastAsia="ja-JP"/>
        </w:rPr>
        <w:t>;</w:t>
      </w:r>
      <w:r w:rsidRPr="00180522">
        <w:rPr>
          <w:szCs w:val="24"/>
          <w:lang w:val="en-GB" w:eastAsia="ja-JP"/>
        </w:rPr>
        <w:t xml:space="preserve"> Hamad Bin </w:t>
      </w:r>
      <w:proofErr w:type="spellStart"/>
      <w:r w:rsidRPr="00180522">
        <w:rPr>
          <w:szCs w:val="24"/>
          <w:lang w:val="en-GB" w:eastAsia="ja-JP"/>
        </w:rPr>
        <w:t>Khalifa</w:t>
      </w:r>
      <w:proofErr w:type="spellEnd"/>
      <w:r w:rsidRPr="00180522">
        <w:rPr>
          <w:szCs w:val="24"/>
          <w:lang w:val="en-GB" w:eastAsia="ja-JP"/>
        </w:rPr>
        <w:t xml:space="preserve"> University</w:t>
      </w:r>
      <w:r w:rsidR="00A47A10" w:rsidRPr="00180522">
        <w:rPr>
          <w:szCs w:val="24"/>
          <w:lang w:val="en-GB" w:eastAsia="ja-JP"/>
        </w:rPr>
        <w:t>;</w:t>
      </w:r>
      <w:r w:rsidRPr="00180522">
        <w:rPr>
          <w:szCs w:val="24"/>
          <w:lang w:val="en-GB" w:eastAsia="ja-JP"/>
        </w:rPr>
        <w:t xml:space="preserve"> University of Dodoma</w:t>
      </w:r>
      <w:r w:rsidR="00A47A10" w:rsidRPr="00180522">
        <w:rPr>
          <w:szCs w:val="24"/>
          <w:lang w:val="en-GB" w:eastAsia="ja-JP"/>
        </w:rPr>
        <w:t xml:space="preserve">; </w:t>
      </w:r>
      <w:r w:rsidR="00911C3F" w:rsidRPr="00180522">
        <w:rPr>
          <w:szCs w:val="24"/>
          <w:lang w:val="en-GB" w:eastAsia="ja-JP"/>
        </w:rPr>
        <w:t xml:space="preserve">University of Bristol; Universidad </w:t>
      </w:r>
      <w:proofErr w:type="spellStart"/>
      <w:r w:rsidR="00911C3F" w:rsidRPr="00180522">
        <w:rPr>
          <w:szCs w:val="24"/>
          <w:lang w:val="en-GB" w:eastAsia="ja-JP"/>
        </w:rPr>
        <w:t>Técnica</w:t>
      </w:r>
      <w:proofErr w:type="spellEnd"/>
      <w:r w:rsidR="00911C3F" w:rsidRPr="00180522">
        <w:rPr>
          <w:szCs w:val="24"/>
          <w:lang w:val="en-GB" w:eastAsia="ja-JP"/>
        </w:rPr>
        <w:t xml:space="preserve"> del </w:t>
      </w:r>
      <w:proofErr w:type="spellStart"/>
      <w:r w:rsidR="00911C3F" w:rsidRPr="00180522">
        <w:rPr>
          <w:szCs w:val="24"/>
          <w:lang w:val="en-GB" w:eastAsia="ja-JP"/>
        </w:rPr>
        <w:t>Norte</w:t>
      </w:r>
      <w:proofErr w:type="spellEnd"/>
      <w:r w:rsidR="00911C3F" w:rsidRPr="00180522">
        <w:rPr>
          <w:szCs w:val="24"/>
          <w:lang w:val="en-GB" w:eastAsia="ja-JP"/>
        </w:rPr>
        <w:t>; and Shinshu University.</w:t>
      </w:r>
    </w:p>
    <w:p w14:paraId="4B6A87D4" w14:textId="17CFCC89" w:rsidR="00412E28" w:rsidRPr="00180522" w:rsidRDefault="005E08E7" w:rsidP="00C1421E">
      <w:pPr>
        <w:pStyle w:val="Headingb"/>
      </w:pPr>
      <w:r w:rsidRPr="00180522">
        <w:t>Total ITU-T Sector Members, Associates and Academia (31 December 2006 – 31 July 2019):</w:t>
      </w:r>
    </w:p>
    <w:p w14:paraId="61548468" w14:textId="24891A4F" w:rsidR="001C37A8" w:rsidRPr="00180522" w:rsidRDefault="001C37A8" w:rsidP="001C37A8">
      <w:pPr>
        <w:rPr>
          <w:highlight w:val="yellow"/>
          <w:lang w:val="en-GB" w:eastAsia="en-US"/>
        </w:rPr>
      </w:pPr>
      <w:r w:rsidRPr="00180522">
        <w:rPr>
          <w:lang w:val="en-GB" w:eastAsia="en-US"/>
        </w:rPr>
        <w:t xml:space="preserve">The following table and figure illustrate the evolution of the ITU-T membership from 31 December 2006 to 31 July 2019 (noting that the Academia </w:t>
      </w:r>
      <w:r w:rsidR="00A47A10" w:rsidRPr="00180522">
        <w:rPr>
          <w:lang w:val="en-GB" w:eastAsia="en-US"/>
        </w:rPr>
        <w:t xml:space="preserve">membership </w:t>
      </w:r>
      <w:r w:rsidRPr="00180522">
        <w:rPr>
          <w:lang w:val="en-GB" w:eastAsia="en-US"/>
        </w:rPr>
        <w:t xml:space="preserve">category </w:t>
      </w:r>
      <w:r w:rsidR="00A47A10" w:rsidRPr="00180522">
        <w:rPr>
          <w:lang w:val="en-GB" w:eastAsia="en-US"/>
        </w:rPr>
        <w:t xml:space="preserve">opened </w:t>
      </w:r>
      <w:r w:rsidRPr="00180522">
        <w:rPr>
          <w:lang w:val="en-GB" w:eastAsia="en-US"/>
        </w:rPr>
        <w:t>in 2011).</w:t>
      </w:r>
    </w:p>
    <w:p w14:paraId="5BA34C54" w14:textId="77777777" w:rsidR="00CF4005" w:rsidRPr="00180522" w:rsidRDefault="00CF4005" w:rsidP="00CF4005">
      <w:pPr>
        <w:keepNext/>
        <w:keepLines/>
        <w:spacing w:after="120"/>
        <w:jc w:val="center"/>
        <w:rPr>
          <w:b/>
          <w:lang w:val="en-GB"/>
        </w:rPr>
      </w:pPr>
      <w:r w:rsidRPr="00180522">
        <w:rPr>
          <w:b/>
          <w:lang w:val="en-GB"/>
        </w:rPr>
        <w:t>Table 1: Evolution of ITU-T membership from 31 December 2006 to 31 August 2019</w:t>
      </w:r>
    </w:p>
    <w:p w14:paraId="22B40D68" w14:textId="77777777" w:rsidR="00CF4005" w:rsidRPr="00180522" w:rsidRDefault="00CF4005" w:rsidP="00CF4005">
      <w:pPr>
        <w:jc w:val="center"/>
        <w:rPr>
          <w:highlight w:val="yellow"/>
          <w:lang w:val="en-GB"/>
        </w:rPr>
      </w:pPr>
    </w:p>
    <w:tbl>
      <w:tblPr>
        <w:tblW w:w="9781" w:type="dxa"/>
        <w:jc w:val="center"/>
        <w:tblCellMar>
          <w:left w:w="0" w:type="dxa"/>
          <w:right w:w="0" w:type="dxa"/>
        </w:tblCellMar>
        <w:tblLook w:val="04A0" w:firstRow="1" w:lastRow="0" w:firstColumn="1" w:lastColumn="0" w:noHBand="0" w:noVBand="1"/>
      </w:tblPr>
      <w:tblGrid>
        <w:gridCol w:w="1274"/>
        <w:gridCol w:w="617"/>
        <w:gridCol w:w="516"/>
        <w:gridCol w:w="627"/>
        <w:gridCol w:w="628"/>
        <w:gridCol w:w="628"/>
        <w:gridCol w:w="628"/>
        <w:gridCol w:w="628"/>
        <w:gridCol w:w="628"/>
        <w:gridCol w:w="628"/>
        <w:gridCol w:w="628"/>
        <w:gridCol w:w="628"/>
        <w:gridCol w:w="628"/>
        <w:gridCol w:w="498"/>
        <w:gridCol w:w="597"/>
      </w:tblGrid>
      <w:tr w:rsidR="00CF4005" w:rsidRPr="00180522" w14:paraId="2BAB467F" w14:textId="77777777" w:rsidTr="00CF4005">
        <w:trPr>
          <w:tblHeader/>
          <w:jc w:val="center"/>
        </w:trPr>
        <w:tc>
          <w:tcPr>
            <w:tcW w:w="1274" w:type="dxa"/>
            <w:tcBorders>
              <w:top w:val="nil"/>
              <w:left w:val="nil"/>
              <w:bottom w:val="single" w:sz="12" w:space="0" w:color="auto"/>
              <w:right w:val="single" w:sz="12" w:space="0" w:color="auto"/>
            </w:tcBorders>
            <w:tcMar>
              <w:top w:w="0" w:type="dxa"/>
              <w:left w:w="108" w:type="dxa"/>
              <w:bottom w:w="0" w:type="dxa"/>
              <w:right w:w="108" w:type="dxa"/>
            </w:tcMar>
            <w:hideMark/>
          </w:tcPr>
          <w:p w14:paraId="70730EEB" w14:textId="77777777" w:rsidR="00CF4005" w:rsidRPr="00180522" w:rsidRDefault="00CF4005">
            <w:pPr>
              <w:rPr>
                <w:highlight w:val="yellow"/>
                <w:lang w:val="en-GB"/>
              </w:rPr>
            </w:pPr>
          </w:p>
        </w:tc>
        <w:tc>
          <w:tcPr>
            <w:tcW w:w="61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91039CC"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2006</w:t>
            </w:r>
          </w:p>
        </w:tc>
        <w:tc>
          <w:tcPr>
            <w:tcW w:w="516" w:type="dxa"/>
            <w:tcBorders>
              <w:top w:val="single" w:sz="12" w:space="0" w:color="auto"/>
              <w:left w:val="nil"/>
              <w:bottom w:val="single" w:sz="12" w:space="0" w:color="auto"/>
              <w:right w:val="single" w:sz="8" w:space="0" w:color="auto"/>
            </w:tcBorders>
            <w:hideMark/>
          </w:tcPr>
          <w:p w14:paraId="4E85F44A"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2007</w:t>
            </w:r>
          </w:p>
        </w:tc>
        <w:tc>
          <w:tcPr>
            <w:tcW w:w="62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3F9A908"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2008</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D64BD6"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2009</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27FF80"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2010</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481922A"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2011</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9D125BC"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2012</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A153EC"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2013</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1D482B"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2014</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56685BF"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2015</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925A7FB"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2016</w:t>
            </w:r>
          </w:p>
        </w:tc>
        <w:tc>
          <w:tcPr>
            <w:tcW w:w="6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64AA3FD8"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2017</w:t>
            </w:r>
          </w:p>
        </w:tc>
        <w:tc>
          <w:tcPr>
            <w:tcW w:w="498" w:type="dxa"/>
            <w:tcBorders>
              <w:top w:val="single" w:sz="12" w:space="0" w:color="auto"/>
              <w:left w:val="nil"/>
              <w:bottom w:val="single" w:sz="12" w:space="0" w:color="auto"/>
              <w:right w:val="single" w:sz="12" w:space="0" w:color="auto"/>
            </w:tcBorders>
            <w:hideMark/>
          </w:tcPr>
          <w:p w14:paraId="72601E61"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2018</w:t>
            </w:r>
          </w:p>
        </w:tc>
        <w:tc>
          <w:tcPr>
            <w:tcW w:w="597" w:type="dxa"/>
            <w:tcBorders>
              <w:top w:val="single" w:sz="12" w:space="0" w:color="auto"/>
              <w:left w:val="nil"/>
              <w:bottom w:val="single" w:sz="12" w:space="0" w:color="auto"/>
              <w:right w:val="single" w:sz="12" w:space="0" w:color="auto"/>
            </w:tcBorders>
            <w:hideMark/>
          </w:tcPr>
          <w:p w14:paraId="6C7A5211" w14:textId="77777777" w:rsidR="00CF4005" w:rsidRPr="00180522" w:rsidRDefault="00CF4005">
            <w:pPr>
              <w:keepNext/>
              <w:spacing w:before="80" w:after="80" w:line="256" w:lineRule="auto"/>
              <w:jc w:val="center"/>
              <w:rPr>
                <w:rFonts w:eastAsia="Calibri"/>
                <w:b/>
                <w:bCs/>
                <w:sz w:val="20"/>
                <w:lang w:val="en-GB"/>
              </w:rPr>
            </w:pPr>
            <w:r w:rsidRPr="00180522">
              <w:rPr>
                <w:rFonts w:eastAsia="Calibri"/>
                <w:b/>
                <w:bCs/>
                <w:sz w:val="20"/>
                <w:lang w:val="en-GB"/>
              </w:rPr>
              <w:t>2019</w:t>
            </w:r>
          </w:p>
        </w:tc>
      </w:tr>
      <w:tr w:rsidR="00CF4005" w:rsidRPr="00180522" w14:paraId="25B98100" w14:textId="77777777" w:rsidTr="00CF4005">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4BC3466" w14:textId="77777777" w:rsidR="00CF4005" w:rsidRPr="00180522" w:rsidRDefault="00CF4005">
            <w:pPr>
              <w:spacing w:before="40" w:after="40" w:line="256" w:lineRule="auto"/>
              <w:rPr>
                <w:rFonts w:eastAsia="Calibri"/>
                <w:sz w:val="20"/>
                <w:lang w:val="en-GB"/>
              </w:rPr>
            </w:pPr>
            <w:r w:rsidRPr="00180522">
              <w:rPr>
                <w:rFonts w:eastAsia="Calibri"/>
                <w:sz w:val="20"/>
                <w:lang w:val="en-GB"/>
              </w:rPr>
              <w:t>Sector Members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23332B16"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344</w:t>
            </w:r>
          </w:p>
        </w:tc>
        <w:tc>
          <w:tcPr>
            <w:tcW w:w="516" w:type="dxa"/>
            <w:tcBorders>
              <w:top w:val="nil"/>
              <w:left w:val="nil"/>
              <w:bottom w:val="single" w:sz="8" w:space="0" w:color="auto"/>
              <w:right w:val="single" w:sz="8" w:space="0" w:color="auto"/>
            </w:tcBorders>
            <w:hideMark/>
          </w:tcPr>
          <w:p w14:paraId="7D08B265"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314</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51B0D0DD"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309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7499803"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294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D5969E2"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273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A3FBED1"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271</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A884F36"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278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A53AB0D"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284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6D5E2CC"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274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66A741E"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267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CF56BBA"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254</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6E32ADB0" w14:textId="77777777" w:rsidR="00CF4005" w:rsidRPr="00180522" w:rsidRDefault="00CF4005">
            <w:pPr>
              <w:spacing w:before="40" w:after="40" w:line="256" w:lineRule="auto"/>
              <w:rPr>
                <w:rFonts w:eastAsia="Calibri"/>
                <w:sz w:val="20"/>
                <w:lang w:val="en-GB"/>
              </w:rPr>
            </w:pPr>
            <w:r w:rsidRPr="00180522">
              <w:rPr>
                <w:rFonts w:eastAsia="Calibri"/>
                <w:sz w:val="20"/>
                <w:lang w:val="en-GB"/>
              </w:rPr>
              <w:t>258</w:t>
            </w:r>
          </w:p>
        </w:tc>
        <w:tc>
          <w:tcPr>
            <w:tcW w:w="498" w:type="dxa"/>
            <w:tcBorders>
              <w:top w:val="nil"/>
              <w:left w:val="nil"/>
              <w:bottom w:val="single" w:sz="8" w:space="0" w:color="auto"/>
              <w:right w:val="single" w:sz="12" w:space="0" w:color="auto"/>
            </w:tcBorders>
            <w:hideMark/>
          </w:tcPr>
          <w:p w14:paraId="293E212A" w14:textId="77777777" w:rsidR="00CF4005" w:rsidRPr="00180522" w:rsidRDefault="00CF4005">
            <w:pPr>
              <w:spacing w:before="40" w:after="40" w:line="256" w:lineRule="auto"/>
              <w:rPr>
                <w:rFonts w:eastAsia="Calibri"/>
                <w:sz w:val="20"/>
                <w:lang w:val="en-GB"/>
              </w:rPr>
            </w:pPr>
            <w:r w:rsidRPr="00180522">
              <w:rPr>
                <w:rFonts w:eastAsia="Calibri"/>
                <w:sz w:val="20"/>
                <w:lang w:val="en-GB"/>
              </w:rPr>
              <w:t xml:space="preserve">  261</w:t>
            </w:r>
          </w:p>
        </w:tc>
        <w:tc>
          <w:tcPr>
            <w:tcW w:w="597" w:type="dxa"/>
            <w:tcBorders>
              <w:top w:val="nil"/>
              <w:left w:val="nil"/>
              <w:bottom w:val="single" w:sz="8" w:space="0" w:color="auto"/>
              <w:right w:val="single" w:sz="12" w:space="0" w:color="auto"/>
            </w:tcBorders>
            <w:hideMark/>
          </w:tcPr>
          <w:p w14:paraId="4F8B1535"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267</w:t>
            </w:r>
          </w:p>
        </w:tc>
      </w:tr>
      <w:tr w:rsidR="00CF4005" w:rsidRPr="00180522" w14:paraId="33AF6258" w14:textId="77777777" w:rsidTr="00CF4005">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896A24F" w14:textId="77777777" w:rsidR="00CF4005" w:rsidRPr="00180522" w:rsidRDefault="00CF4005">
            <w:pPr>
              <w:spacing w:before="40" w:after="40" w:line="256" w:lineRule="auto"/>
              <w:rPr>
                <w:rFonts w:eastAsia="Calibri"/>
                <w:sz w:val="20"/>
                <w:lang w:val="en-GB"/>
              </w:rPr>
            </w:pPr>
            <w:r w:rsidRPr="00180522">
              <w:rPr>
                <w:rFonts w:eastAsia="Calibri"/>
                <w:sz w:val="20"/>
                <w:lang w:val="en-GB"/>
              </w:rPr>
              <w:t>Associates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25DD8B37"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112</w:t>
            </w:r>
          </w:p>
        </w:tc>
        <w:tc>
          <w:tcPr>
            <w:tcW w:w="516" w:type="dxa"/>
            <w:tcBorders>
              <w:top w:val="nil"/>
              <w:left w:val="nil"/>
              <w:bottom w:val="single" w:sz="8" w:space="0" w:color="auto"/>
              <w:right w:val="single" w:sz="8" w:space="0" w:color="auto"/>
            </w:tcBorders>
            <w:hideMark/>
          </w:tcPr>
          <w:p w14:paraId="3F3280A4"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116</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0F7DEE3F"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D29921E"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128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ED781AE"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C96E8EB"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4727130"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144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56D14E7"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139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4C7D349"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1016A8B"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E6113DC"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130</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6D43D60E"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139</w:t>
            </w:r>
          </w:p>
        </w:tc>
        <w:tc>
          <w:tcPr>
            <w:tcW w:w="498" w:type="dxa"/>
            <w:tcBorders>
              <w:top w:val="nil"/>
              <w:left w:val="nil"/>
              <w:bottom w:val="single" w:sz="8" w:space="0" w:color="auto"/>
              <w:right w:val="single" w:sz="12" w:space="0" w:color="auto"/>
            </w:tcBorders>
            <w:hideMark/>
          </w:tcPr>
          <w:p w14:paraId="5E77D018" w14:textId="77777777" w:rsidR="00CF4005" w:rsidRPr="00180522" w:rsidRDefault="00CF4005">
            <w:pPr>
              <w:spacing w:before="40" w:after="40" w:line="256" w:lineRule="auto"/>
              <w:rPr>
                <w:rFonts w:eastAsia="Calibri"/>
                <w:sz w:val="20"/>
                <w:lang w:val="en-GB"/>
              </w:rPr>
            </w:pPr>
            <w:r w:rsidRPr="00180522">
              <w:rPr>
                <w:rFonts w:eastAsia="Calibri"/>
                <w:sz w:val="20"/>
                <w:lang w:val="en-GB"/>
              </w:rPr>
              <w:t xml:space="preserve">  162</w:t>
            </w:r>
          </w:p>
        </w:tc>
        <w:tc>
          <w:tcPr>
            <w:tcW w:w="597" w:type="dxa"/>
            <w:tcBorders>
              <w:top w:val="nil"/>
              <w:left w:val="nil"/>
              <w:bottom w:val="single" w:sz="8" w:space="0" w:color="auto"/>
              <w:right w:val="single" w:sz="12" w:space="0" w:color="auto"/>
            </w:tcBorders>
            <w:hideMark/>
          </w:tcPr>
          <w:p w14:paraId="3577100C"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178</w:t>
            </w:r>
          </w:p>
        </w:tc>
      </w:tr>
      <w:tr w:rsidR="00CF4005" w:rsidRPr="00180522" w14:paraId="0669751E" w14:textId="77777777" w:rsidTr="00CF4005">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A5C9678" w14:textId="77777777" w:rsidR="00CF4005" w:rsidRPr="00180522" w:rsidRDefault="00CF4005">
            <w:pPr>
              <w:spacing w:before="40" w:after="40" w:line="256" w:lineRule="auto"/>
              <w:rPr>
                <w:rFonts w:eastAsia="Calibri"/>
                <w:sz w:val="20"/>
                <w:lang w:val="en-GB"/>
              </w:rPr>
            </w:pPr>
            <w:r w:rsidRPr="00180522">
              <w:rPr>
                <w:rFonts w:eastAsia="Calibri"/>
                <w:sz w:val="20"/>
                <w:lang w:val="en-GB"/>
              </w:rPr>
              <w:lastRenderedPageBreak/>
              <w:t>Academia</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7D0564E3"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noBreakHyphen/>
            </w:r>
          </w:p>
        </w:tc>
        <w:tc>
          <w:tcPr>
            <w:tcW w:w="516" w:type="dxa"/>
            <w:tcBorders>
              <w:top w:val="nil"/>
              <w:left w:val="nil"/>
              <w:bottom w:val="single" w:sz="8" w:space="0" w:color="auto"/>
              <w:right w:val="single" w:sz="8" w:space="0" w:color="auto"/>
            </w:tcBorders>
            <w:hideMark/>
          </w:tcPr>
          <w:p w14:paraId="52FC5CDD"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368362A0"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96B73E2"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A49842F"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160EC2B"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E511972"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849EC80"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45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702CC49"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86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163C192"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B05C897"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107</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07ED3ECC"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125</w:t>
            </w:r>
          </w:p>
        </w:tc>
        <w:tc>
          <w:tcPr>
            <w:tcW w:w="498" w:type="dxa"/>
            <w:tcBorders>
              <w:top w:val="nil"/>
              <w:left w:val="nil"/>
              <w:bottom w:val="single" w:sz="8" w:space="0" w:color="auto"/>
              <w:right w:val="single" w:sz="12" w:space="0" w:color="auto"/>
            </w:tcBorders>
            <w:hideMark/>
          </w:tcPr>
          <w:p w14:paraId="338EC7D7"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155</w:t>
            </w:r>
          </w:p>
        </w:tc>
        <w:tc>
          <w:tcPr>
            <w:tcW w:w="597" w:type="dxa"/>
            <w:tcBorders>
              <w:top w:val="nil"/>
              <w:left w:val="nil"/>
              <w:bottom w:val="single" w:sz="8" w:space="0" w:color="auto"/>
              <w:right w:val="single" w:sz="12" w:space="0" w:color="auto"/>
            </w:tcBorders>
            <w:hideMark/>
          </w:tcPr>
          <w:p w14:paraId="079551A2"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159</w:t>
            </w:r>
          </w:p>
        </w:tc>
      </w:tr>
      <w:tr w:rsidR="00CF4005" w:rsidRPr="00180522" w14:paraId="63583101" w14:textId="77777777" w:rsidTr="00CF4005">
        <w:trPr>
          <w:jc w:val="center"/>
        </w:trPr>
        <w:tc>
          <w:tcPr>
            <w:tcW w:w="127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6BEBB65" w14:textId="77777777" w:rsidR="00CF4005" w:rsidRPr="00180522" w:rsidRDefault="00CF4005">
            <w:pPr>
              <w:spacing w:before="40" w:after="40" w:line="256" w:lineRule="auto"/>
              <w:rPr>
                <w:rFonts w:eastAsia="Calibri"/>
                <w:sz w:val="20"/>
                <w:lang w:val="en-GB"/>
              </w:rPr>
            </w:pPr>
            <w:r w:rsidRPr="00180522">
              <w:rPr>
                <w:rFonts w:eastAsia="Calibri"/>
                <w:sz w:val="20"/>
                <w:lang w:val="en-GB"/>
              </w:rPr>
              <w:t xml:space="preserve">TOTAL </w:t>
            </w:r>
          </w:p>
        </w:tc>
        <w:tc>
          <w:tcPr>
            <w:tcW w:w="617" w:type="dxa"/>
            <w:tcBorders>
              <w:top w:val="nil"/>
              <w:left w:val="nil"/>
              <w:bottom w:val="single" w:sz="12" w:space="0" w:color="auto"/>
              <w:right w:val="single" w:sz="8" w:space="0" w:color="auto"/>
            </w:tcBorders>
            <w:tcMar>
              <w:top w:w="0" w:type="dxa"/>
              <w:left w:w="108" w:type="dxa"/>
              <w:bottom w:w="0" w:type="dxa"/>
              <w:right w:w="108" w:type="dxa"/>
            </w:tcMar>
            <w:hideMark/>
          </w:tcPr>
          <w:p w14:paraId="2E27CDB6"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456</w:t>
            </w:r>
          </w:p>
        </w:tc>
        <w:tc>
          <w:tcPr>
            <w:tcW w:w="516" w:type="dxa"/>
            <w:tcBorders>
              <w:top w:val="nil"/>
              <w:left w:val="nil"/>
              <w:bottom w:val="single" w:sz="12" w:space="0" w:color="auto"/>
              <w:right w:val="single" w:sz="8" w:space="0" w:color="auto"/>
            </w:tcBorders>
            <w:hideMark/>
          </w:tcPr>
          <w:p w14:paraId="480B858D"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430</w:t>
            </w:r>
          </w:p>
        </w:tc>
        <w:tc>
          <w:tcPr>
            <w:tcW w:w="627" w:type="dxa"/>
            <w:tcBorders>
              <w:top w:val="nil"/>
              <w:left w:val="nil"/>
              <w:bottom w:val="single" w:sz="12" w:space="0" w:color="auto"/>
              <w:right w:val="single" w:sz="8" w:space="0" w:color="auto"/>
            </w:tcBorders>
            <w:tcMar>
              <w:top w:w="0" w:type="dxa"/>
              <w:left w:w="108" w:type="dxa"/>
              <w:bottom w:w="0" w:type="dxa"/>
              <w:right w:w="108" w:type="dxa"/>
            </w:tcMar>
            <w:hideMark/>
          </w:tcPr>
          <w:p w14:paraId="7D0F422B"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443</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D6A648E"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422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05A07C06"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398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78C29CE3"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432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D099ED5"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458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51F40A5"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468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2AFFF008"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494</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37A82093"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510</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7F66DAF" w14:textId="77777777" w:rsidR="00CF4005" w:rsidRPr="00180522" w:rsidRDefault="00CF4005">
            <w:pPr>
              <w:spacing w:before="40" w:after="40" w:line="256" w:lineRule="auto"/>
              <w:rPr>
                <w:rFonts w:eastAsia="Calibri"/>
                <w:sz w:val="20"/>
                <w:lang w:val="en-GB"/>
              </w:rPr>
            </w:pPr>
            <w:r w:rsidRPr="00180522">
              <w:rPr>
                <w:rFonts w:eastAsia="Calibri"/>
                <w:sz w:val="20"/>
                <w:lang w:val="en-GB"/>
              </w:rPr>
              <w:t>491</w:t>
            </w:r>
          </w:p>
        </w:tc>
        <w:tc>
          <w:tcPr>
            <w:tcW w:w="628" w:type="dxa"/>
            <w:tcBorders>
              <w:top w:val="nil"/>
              <w:left w:val="nil"/>
              <w:bottom w:val="single" w:sz="12" w:space="0" w:color="auto"/>
              <w:right w:val="single" w:sz="12" w:space="0" w:color="auto"/>
            </w:tcBorders>
            <w:tcMar>
              <w:top w:w="0" w:type="dxa"/>
              <w:left w:w="108" w:type="dxa"/>
              <w:bottom w:w="0" w:type="dxa"/>
              <w:right w:w="108" w:type="dxa"/>
            </w:tcMar>
            <w:hideMark/>
          </w:tcPr>
          <w:p w14:paraId="53DABAF3"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522</w:t>
            </w:r>
          </w:p>
        </w:tc>
        <w:tc>
          <w:tcPr>
            <w:tcW w:w="498" w:type="dxa"/>
            <w:tcBorders>
              <w:top w:val="nil"/>
              <w:left w:val="nil"/>
              <w:bottom w:val="single" w:sz="12" w:space="0" w:color="auto"/>
              <w:right w:val="single" w:sz="12" w:space="0" w:color="auto"/>
            </w:tcBorders>
            <w:hideMark/>
          </w:tcPr>
          <w:p w14:paraId="0942D718"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578</w:t>
            </w:r>
          </w:p>
        </w:tc>
        <w:tc>
          <w:tcPr>
            <w:tcW w:w="597" w:type="dxa"/>
            <w:tcBorders>
              <w:top w:val="nil"/>
              <w:left w:val="nil"/>
              <w:bottom w:val="single" w:sz="12" w:space="0" w:color="auto"/>
              <w:right w:val="single" w:sz="12" w:space="0" w:color="auto"/>
            </w:tcBorders>
            <w:hideMark/>
          </w:tcPr>
          <w:p w14:paraId="64426CE3" w14:textId="77777777" w:rsidR="00CF4005" w:rsidRPr="00180522" w:rsidRDefault="00CF4005">
            <w:pPr>
              <w:spacing w:before="40" w:after="40" w:line="256" w:lineRule="auto"/>
              <w:jc w:val="center"/>
              <w:rPr>
                <w:rFonts w:eastAsia="Calibri"/>
                <w:sz w:val="20"/>
                <w:lang w:val="en-GB"/>
              </w:rPr>
            </w:pPr>
            <w:r w:rsidRPr="00180522">
              <w:rPr>
                <w:rFonts w:eastAsia="Calibri"/>
                <w:sz w:val="20"/>
                <w:lang w:val="en-GB"/>
              </w:rPr>
              <w:t>604</w:t>
            </w:r>
          </w:p>
        </w:tc>
      </w:tr>
    </w:tbl>
    <w:p w14:paraId="495CECD2" w14:textId="77777777" w:rsidR="00CF4005" w:rsidRPr="00180522" w:rsidRDefault="00CF4005" w:rsidP="00CF4005">
      <w:pPr>
        <w:jc w:val="center"/>
        <w:rPr>
          <w:rFonts w:eastAsia="MS Mincho"/>
          <w:b/>
          <w:bCs/>
          <w:szCs w:val="24"/>
          <w:lang w:val="en-GB"/>
        </w:rPr>
      </w:pPr>
    </w:p>
    <w:p w14:paraId="0CF61EFE" w14:textId="77777777" w:rsidR="00CF4005" w:rsidRPr="00180522" w:rsidRDefault="00CF4005" w:rsidP="00CF4005">
      <w:pPr>
        <w:jc w:val="center"/>
        <w:rPr>
          <w:rFonts w:eastAsia="MS Mincho"/>
          <w:b/>
          <w:bCs/>
          <w:szCs w:val="24"/>
          <w:lang w:val="en-GB"/>
        </w:rPr>
      </w:pPr>
      <w:r w:rsidRPr="00180522">
        <w:rPr>
          <w:rFonts w:eastAsia="MS Mincho"/>
          <w:b/>
          <w:bCs/>
          <w:szCs w:val="24"/>
          <w:lang w:val="en-GB"/>
        </w:rPr>
        <w:t>Figure 3 – Evolution of ITU-T membership from 31 December 2006 to 31 August 2019</w:t>
      </w:r>
    </w:p>
    <w:p w14:paraId="590F9C90" w14:textId="77777777" w:rsidR="00CF4005" w:rsidRPr="00180522" w:rsidRDefault="00CF4005" w:rsidP="00CF4005">
      <w:pPr>
        <w:tabs>
          <w:tab w:val="left" w:pos="1005"/>
        </w:tabs>
        <w:rPr>
          <w:rFonts w:eastAsia="MS Mincho"/>
          <w:szCs w:val="24"/>
          <w:lang w:val="en-GB"/>
        </w:rPr>
      </w:pPr>
    </w:p>
    <w:p w14:paraId="46F6132F" w14:textId="711AE194" w:rsidR="00CF4005" w:rsidRPr="00180522" w:rsidRDefault="00CF4005" w:rsidP="00CF4005">
      <w:pPr>
        <w:jc w:val="center"/>
        <w:rPr>
          <w:highlight w:val="yellow"/>
          <w:lang w:val="en-GB"/>
        </w:rPr>
      </w:pPr>
      <w:r w:rsidRPr="00180522">
        <w:rPr>
          <w:noProof/>
          <w:lang w:val="en-GB"/>
        </w:rPr>
        <w:drawing>
          <wp:inline distT="0" distB="0" distL="0" distR="0" wp14:anchorId="3CD53D73" wp14:editId="2AC560AF">
            <wp:extent cx="5534025" cy="32289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694AC7DD" w14:textId="77777777" w:rsidR="00CF4005" w:rsidRPr="00180522" w:rsidRDefault="00CF4005" w:rsidP="00CF4005">
      <w:pPr>
        <w:keepNext/>
        <w:keepLines/>
        <w:spacing w:after="120"/>
        <w:ind w:left="567"/>
        <w:rPr>
          <w:sz w:val="18"/>
          <w:lang w:val="en-GB"/>
        </w:rPr>
      </w:pPr>
      <w:r w:rsidRPr="00180522">
        <w:rPr>
          <w:sz w:val="18"/>
          <w:lang w:val="en-GB"/>
        </w:rPr>
        <w:t>NOTE – The Academia category was created in 2011.</w:t>
      </w:r>
    </w:p>
    <w:p w14:paraId="6A9851FD" w14:textId="1CF41AF8" w:rsidR="00412E28" w:rsidRPr="00180522" w:rsidRDefault="00D64AF8" w:rsidP="00C1421E">
      <w:pPr>
        <w:pStyle w:val="Heading2"/>
      </w:pPr>
      <w:bookmarkStart w:id="145" w:name="_Toc18509769"/>
      <w:r w:rsidRPr="00180522">
        <w:t>8</w:t>
      </w:r>
      <w:r w:rsidR="002F0E38" w:rsidRPr="00180522">
        <w:t>.2</w:t>
      </w:r>
      <w:r w:rsidRPr="00180522">
        <w:tab/>
        <w:t>Implementation of SME Pilot Project</w:t>
      </w:r>
      <w:bookmarkEnd w:id="145"/>
    </w:p>
    <w:p w14:paraId="086EAC08" w14:textId="6850997D" w:rsidR="00564FEE" w:rsidRPr="00180522" w:rsidRDefault="00044D72" w:rsidP="001A5609">
      <w:pPr>
        <w:rPr>
          <w:highlight w:val="yellow"/>
          <w:lang w:val="en-GB"/>
        </w:rPr>
      </w:pPr>
      <w:r w:rsidRPr="00180522">
        <w:rPr>
          <w:lang w:val="en-GB"/>
        </w:rPr>
        <w:t xml:space="preserve">ITU-T Study Groups 5, 11, 16 and 20 have implemented a pilot project to increase the engagement of SMEs in the work of ITU. </w:t>
      </w:r>
      <w:r w:rsidR="00A47A10" w:rsidRPr="00180522">
        <w:rPr>
          <w:lang w:val="en-GB"/>
        </w:rPr>
        <w:t xml:space="preserve">The participation of </w:t>
      </w:r>
      <w:r w:rsidRPr="00180522">
        <w:rPr>
          <w:lang w:val="en-GB"/>
        </w:rPr>
        <w:t xml:space="preserve">16 SMEs </w:t>
      </w:r>
      <w:r w:rsidR="00A47A10" w:rsidRPr="00180522">
        <w:rPr>
          <w:lang w:val="en-GB"/>
        </w:rPr>
        <w:t xml:space="preserve">in ITU-T </w:t>
      </w:r>
      <w:r w:rsidRPr="00180522">
        <w:rPr>
          <w:lang w:val="en-GB"/>
        </w:rPr>
        <w:t>ha</w:t>
      </w:r>
      <w:r w:rsidR="00A47A10" w:rsidRPr="00180522">
        <w:rPr>
          <w:lang w:val="en-GB"/>
        </w:rPr>
        <w:t xml:space="preserve">s </w:t>
      </w:r>
      <w:r w:rsidRPr="00180522">
        <w:rPr>
          <w:lang w:val="en-GB"/>
        </w:rPr>
        <w:t xml:space="preserve">been approved by </w:t>
      </w:r>
      <w:r w:rsidR="00A47A10" w:rsidRPr="00180522">
        <w:rPr>
          <w:lang w:val="en-GB"/>
        </w:rPr>
        <w:t xml:space="preserve">their </w:t>
      </w:r>
      <w:r w:rsidRPr="00180522">
        <w:rPr>
          <w:lang w:val="en-GB"/>
        </w:rPr>
        <w:t xml:space="preserve">relevant administrations </w:t>
      </w:r>
      <w:r w:rsidR="00A47A10" w:rsidRPr="00180522">
        <w:rPr>
          <w:lang w:val="en-GB"/>
        </w:rPr>
        <w:t xml:space="preserve">as part of </w:t>
      </w:r>
      <w:r w:rsidRPr="00180522">
        <w:rPr>
          <w:lang w:val="en-GB"/>
        </w:rPr>
        <w:t>the pilot</w:t>
      </w:r>
      <w:r w:rsidR="00A47A10" w:rsidRPr="00180522">
        <w:rPr>
          <w:lang w:val="en-GB"/>
        </w:rPr>
        <w:t xml:space="preserve"> project</w:t>
      </w:r>
      <w:r w:rsidRPr="00180522">
        <w:rPr>
          <w:lang w:val="en-GB"/>
        </w:rPr>
        <w:t>.</w:t>
      </w:r>
    </w:p>
    <w:p w14:paraId="4A86D9BE" w14:textId="020E0BC6" w:rsidR="00715DA1" w:rsidRPr="00180522" w:rsidRDefault="00A47A10" w:rsidP="001A5609">
      <w:pPr>
        <w:rPr>
          <w:lang w:val="en-GB"/>
        </w:rPr>
      </w:pPr>
      <w:r w:rsidRPr="00180522">
        <w:rPr>
          <w:lang w:val="en-GB"/>
        </w:rPr>
        <w:t>Examples of work underway as a result of this pilot project include</w:t>
      </w:r>
      <w:r w:rsidR="00715DA1" w:rsidRPr="00180522">
        <w:rPr>
          <w:lang w:val="en-GB"/>
        </w:rPr>
        <w:t>:</w:t>
      </w:r>
    </w:p>
    <w:p w14:paraId="4A9F6F37" w14:textId="759AD81D" w:rsidR="00691998" w:rsidRPr="00180522" w:rsidRDefault="00715DA1" w:rsidP="007339CE">
      <w:pPr>
        <w:numPr>
          <w:ilvl w:val="0"/>
          <w:numId w:val="56"/>
        </w:numPr>
        <w:rPr>
          <w:lang w:val="en-GB"/>
        </w:rPr>
      </w:pPr>
      <w:r w:rsidRPr="00180522">
        <w:rPr>
          <w:lang w:val="en-GB"/>
        </w:rPr>
        <w:t xml:space="preserve">In </w:t>
      </w:r>
      <w:r w:rsidR="00A47A10" w:rsidRPr="00180522">
        <w:rPr>
          <w:lang w:val="en-GB"/>
        </w:rPr>
        <w:t xml:space="preserve">ITU-T </w:t>
      </w:r>
      <w:r w:rsidR="00CA2D85" w:rsidRPr="00180522">
        <w:rPr>
          <w:lang w:val="en-GB"/>
        </w:rPr>
        <w:t>SG5</w:t>
      </w:r>
      <w:r w:rsidR="00A47A10" w:rsidRPr="00180522">
        <w:rPr>
          <w:lang w:val="en-GB"/>
        </w:rPr>
        <w:t>,</w:t>
      </w:r>
      <w:r w:rsidR="00CA2D85" w:rsidRPr="00180522">
        <w:rPr>
          <w:lang w:val="en-GB"/>
        </w:rPr>
        <w:t xml:space="preserve"> </w:t>
      </w:r>
      <w:proofErr w:type="spellStart"/>
      <w:r w:rsidR="00691998" w:rsidRPr="00180522">
        <w:rPr>
          <w:lang w:val="en-GB"/>
        </w:rPr>
        <w:t>WaveControl</w:t>
      </w:r>
      <w:proofErr w:type="spellEnd"/>
      <w:r w:rsidR="00691998" w:rsidRPr="00180522">
        <w:rPr>
          <w:lang w:val="en-GB"/>
        </w:rPr>
        <w:t xml:space="preserve"> (Spain) is leading the development of </w:t>
      </w:r>
      <w:r w:rsidR="00A47A10" w:rsidRPr="00180522">
        <w:rPr>
          <w:lang w:val="en-GB"/>
        </w:rPr>
        <w:t xml:space="preserve">the </w:t>
      </w:r>
      <w:r w:rsidR="00E512E1" w:rsidRPr="00180522">
        <w:rPr>
          <w:lang w:val="en-GB"/>
        </w:rPr>
        <w:t xml:space="preserve">work item </w:t>
      </w:r>
      <w:proofErr w:type="spellStart"/>
      <w:r w:rsidR="00691998" w:rsidRPr="00180522">
        <w:rPr>
          <w:lang w:val="en-GB"/>
        </w:rPr>
        <w:t>K.workers</w:t>
      </w:r>
      <w:proofErr w:type="spellEnd"/>
      <w:r w:rsidR="00691998" w:rsidRPr="00180522">
        <w:rPr>
          <w:lang w:val="en-GB"/>
        </w:rPr>
        <w:t xml:space="preserve"> on </w:t>
      </w:r>
      <w:r w:rsidR="00CA2D85" w:rsidRPr="00180522">
        <w:rPr>
          <w:lang w:val="en-GB"/>
        </w:rPr>
        <w:t>"</w:t>
      </w:r>
      <w:r w:rsidR="00691998" w:rsidRPr="00180522">
        <w:rPr>
          <w:lang w:val="en-GB"/>
        </w:rPr>
        <w:t xml:space="preserve">Assessment and management of compliance with RF EMF exposure limits for workers at </w:t>
      </w:r>
      <w:proofErr w:type="spellStart"/>
      <w:r w:rsidR="00691998" w:rsidRPr="00180522">
        <w:rPr>
          <w:lang w:val="en-GB"/>
        </w:rPr>
        <w:t>radiocommunication</w:t>
      </w:r>
      <w:proofErr w:type="spellEnd"/>
      <w:r w:rsidR="00691998" w:rsidRPr="00180522">
        <w:rPr>
          <w:lang w:val="en-GB"/>
        </w:rPr>
        <w:t xml:space="preserve"> sites and facilities</w:t>
      </w:r>
      <w:r w:rsidR="00CA2D85" w:rsidRPr="00180522">
        <w:rPr>
          <w:lang w:val="en-GB"/>
        </w:rPr>
        <w:t>"</w:t>
      </w:r>
      <w:r w:rsidR="00A47A10" w:rsidRPr="00180522">
        <w:rPr>
          <w:lang w:val="en-GB"/>
        </w:rPr>
        <w:t>;</w:t>
      </w:r>
      <w:r w:rsidR="00691998" w:rsidRPr="00180522">
        <w:rPr>
          <w:lang w:val="en-GB"/>
        </w:rPr>
        <w:t xml:space="preserve"> and MJRD Assessment Inc. (Canada) is leading the development of </w:t>
      </w:r>
      <w:r w:rsidR="00A47A10" w:rsidRPr="00180522">
        <w:rPr>
          <w:lang w:val="en-GB"/>
        </w:rPr>
        <w:t xml:space="preserve">the </w:t>
      </w:r>
      <w:r w:rsidR="00E512E1" w:rsidRPr="00180522">
        <w:rPr>
          <w:lang w:val="en-GB"/>
        </w:rPr>
        <w:t xml:space="preserve">work item </w:t>
      </w:r>
      <w:r w:rsidR="00691998" w:rsidRPr="00180522">
        <w:rPr>
          <w:lang w:val="en-GB"/>
        </w:rPr>
        <w:t xml:space="preserve">L.SP_OB on </w:t>
      </w:r>
      <w:r w:rsidR="00CA2D85" w:rsidRPr="00180522">
        <w:rPr>
          <w:lang w:val="en-GB"/>
        </w:rPr>
        <w:t>"</w:t>
      </w:r>
      <w:r w:rsidR="00691998" w:rsidRPr="00180522">
        <w:rPr>
          <w:lang w:val="en-GB"/>
        </w:rPr>
        <w:t>A methodology for improving, assessing and scoring the sustainability performance of office buildings</w:t>
      </w:r>
      <w:r w:rsidR="00CA2D85" w:rsidRPr="00180522">
        <w:rPr>
          <w:lang w:val="en-GB"/>
        </w:rPr>
        <w:t>"</w:t>
      </w:r>
      <w:r w:rsidR="00691998" w:rsidRPr="00180522">
        <w:rPr>
          <w:lang w:val="en-GB"/>
        </w:rPr>
        <w:t>.</w:t>
      </w:r>
    </w:p>
    <w:p w14:paraId="7E57F0D5" w14:textId="2D45344C" w:rsidR="005E08E7" w:rsidRPr="00180522" w:rsidRDefault="005E08E7" w:rsidP="007339CE">
      <w:pPr>
        <w:numPr>
          <w:ilvl w:val="0"/>
          <w:numId w:val="56"/>
        </w:numPr>
        <w:rPr>
          <w:lang w:val="en-GB"/>
        </w:rPr>
      </w:pPr>
      <w:r w:rsidRPr="00180522">
        <w:rPr>
          <w:lang w:val="en-GB"/>
        </w:rPr>
        <w:t xml:space="preserve">In ITU-T </w:t>
      </w:r>
      <w:r w:rsidR="00A47A10" w:rsidRPr="00180522">
        <w:rPr>
          <w:lang w:val="en-GB"/>
        </w:rPr>
        <w:t>SG</w:t>
      </w:r>
      <w:r w:rsidRPr="00180522">
        <w:rPr>
          <w:lang w:val="en-GB"/>
        </w:rPr>
        <w:t xml:space="preserve">11, </w:t>
      </w:r>
      <w:proofErr w:type="spellStart"/>
      <w:r w:rsidRPr="00180522">
        <w:rPr>
          <w:lang w:val="en-GB"/>
        </w:rPr>
        <w:t>Vaulto</w:t>
      </w:r>
      <w:proofErr w:type="spellEnd"/>
      <w:r w:rsidRPr="00180522">
        <w:rPr>
          <w:lang w:val="en-GB"/>
        </w:rPr>
        <w:t xml:space="preserve"> Technologies (Israel) contributed a </w:t>
      </w:r>
      <w:r w:rsidR="00A47A10" w:rsidRPr="00180522">
        <w:rPr>
          <w:lang w:val="en-GB"/>
        </w:rPr>
        <w:t>T</w:t>
      </w:r>
      <w:r w:rsidRPr="00180522">
        <w:rPr>
          <w:lang w:val="en-GB"/>
        </w:rPr>
        <w:t xml:space="preserve">echnical </w:t>
      </w:r>
      <w:r w:rsidR="00A47A10" w:rsidRPr="00180522">
        <w:rPr>
          <w:lang w:val="en-GB"/>
        </w:rPr>
        <w:t>R</w:t>
      </w:r>
      <w:r w:rsidRPr="00180522">
        <w:rPr>
          <w:lang w:val="en-GB"/>
        </w:rPr>
        <w:t xml:space="preserve">eport on the abuse of SS7 </w:t>
      </w:r>
      <w:r w:rsidR="00A47A10" w:rsidRPr="00180522">
        <w:rPr>
          <w:lang w:val="en-GB"/>
        </w:rPr>
        <w:t xml:space="preserve">security </w:t>
      </w:r>
      <w:r w:rsidRPr="00180522">
        <w:rPr>
          <w:lang w:val="en-GB"/>
        </w:rPr>
        <w:t xml:space="preserve">vulnerabilities to commit financial fraud. </w:t>
      </w:r>
      <w:proofErr w:type="spellStart"/>
      <w:r w:rsidRPr="00180522">
        <w:rPr>
          <w:lang w:val="en-GB"/>
        </w:rPr>
        <w:t>Vaulto</w:t>
      </w:r>
      <w:proofErr w:type="spellEnd"/>
      <w:r w:rsidRPr="00180522">
        <w:rPr>
          <w:lang w:val="en-GB"/>
        </w:rPr>
        <w:t xml:space="preserve"> Technologies</w:t>
      </w:r>
      <w:r w:rsidR="00CA2D85" w:rsidRPr="00180522">
        <w:rPr>
          <w:lang w:val="en-GB"/>
        </w:rPr>
        <w:t>'</w:t>
      </w:r>
      <w:r w:rsidRPr="00180522">
        <w:rPr>
          <w:lang w:val="en-GB"/>
        </w:rPr>
        <w:t xml:space="preserve"> work in ITU-T S</w:t>
      </w:r>
      <w:r w:rsidR="00A47A10" w:rsidRPr="00180522">
        <w:rPr>
          <w:lang w:val="en-GB"/>
        </w:rPr>
        <w:t>G</w:t>
      </w:r>
      <w:r w:rsidRPr="00180522">
        <w:rPr>
          <w:lang w:val="en-GB"/>
        </w:rPr>
        <w:t xml:space="preserve">11 </w:t>
      </w:r>
      <w:r w:rsidR="00A47A10" w:rsidRPr="00180522">
        <w:rPr>
          <w:lang w:val="en-GB"/>
        </w:rPr>
        <w:t xml:space="preserve">has led to the establishment of a </w:t>
      </w:r>
      <w:r w:rsidRPr="00180522">
        <w:rPr>
          <w:lang w:val="en-GB"/>
        </w:rPr>
        <w:t xml:space="preserve">new work item </w:t>
      </w:r>
      <w:r w:rsidR="00A47A10" w:rsidRPr="00180522">
        <w:rPr>
          <w:lang w:val="en-GB"/>
        </w:rPr>
        <w:t>to assist network operators an financial institutions in addressing SS7 security vulnerabilities</w:t>
      </w:r>
      <w:r w:rsidRPr="00180522">
        <w:rPr>
          <w:lang w:val="en-GB"/>
        </w:rPr>
        <w:t>.</w:t>
      </w:r>
    </w:p>
    <w:p w14:paraId="2DD254DF" w14:textId="52F40533" w:rsidR="00CA2D85" w:rsidRPr="00180522" w:rsidRDefault="00CA2D85" w:rsidP="007339CE">
      <w:pPr>
        <w:numPr>
          <w:ilvl w:val="0"/>
          <w:numId w:val="56"/>
        </w:numPr>
        <w:rPr>
          <w:lang w:val="en-GB"/>
        </w:rPr>
      </w:pPr>
      <w:r w:rsidRPr="00180522">
        <w:rPr>
          <w:lang w:val="en-GB"/>
        </w:rPr>
        <w:t xml:space="preserve">In ITU-T SG16, </w:t>
      </w:r>
      <w:proofErr w:type="spellStart"/>
      <w:r w:rsidRPr="00180522">
        <w:rPr>
          <w:lang w:val="en-GB"/>
        </w:rPr>
        <w:t>Wayfindr</w:t>
      </w:r>
      <w:proofErr w:type="spellEnd"/>
      <w:r w:rsidRPr="00180522">
        <w:rPr>
          <w:lang w:val="en-GB"/>
        </w:rPr>
        <w:t xml:space="preserve"> (UK) contributed the material that became ITU-T F.921 and FSTP-CONF-F921 on indoor and outdoor network navigation for persons with visual </w:t>
      </w:r>
      <w:r w:rsidR="00715DA1" w:rsidRPr="00180522">
        <w:rPr>
          <w:lang w:val="en-GB"/>
        </w:rPr>
        <w:t>impairments.</w:t>
      </w:r>
    </w:p>
    <w:p w14:paraId="7581C266" w14:textId="76785B34" w:rsidR="005E08E7" w:rsidRPr="00180522" w:rsidRDefault="00044D72" w:rsidP="005E08E7">
      <w:pPr>
        <w:rPr>
          <w:lang w:val="en-GB"/>
        </w:rPr>
      </w:pPr>
      <w:r w:rsidRPr="00180522">
        <w:rPr>
          <w:lang w:val="en-GB"/>
        </w:rPr>
        <w:t>A number of SMEs currently participating in this pilot project have expressed a strong interest in applying for Associate status under the reduced fee structure contained in Resolution 209 (Dubai, 2018)</w:t>
      </w:r>
      <w:r w:rsidR="00BE7E0A" w:rsidRPr="00180522">
        <w:rPr>
          <w:lang w:val="en-GB"/>
        </w:rPr>
        <w:t xml:space="preserve">, </w:t>
      </w:r>
      <w:r w:rsidRPr="00180522">
        <w:rPr>
          <w:lang w:val="en-GB"/>
        </w:rPr>
        <w:t>which will come into effect on 31 January 2020</w:t>
      </w:r>
      <w:r w:rsidR="005E08E7" w:rsidRPr="00180522">
        <w:rPr>
          <w:lang w:val="en-GB"/>
        </w:rPr>
        <w:t>.</w:t>
      </w:r>
    </w:p>
    <w:p w14:paraId="388FD5E3" w14:textId="5D5EC839" w:rsidR="00FB7CDF" w:rsidRPr="00180522" w:rsidRDefault="00FB7CDF" w:rsidP="009E5FFA">
      <w:pPr>
        <w:pStyle w:val="Heading1"/>
      </w:pPr>
      <w:bookmarkStart w:id="146" w:name="_Toc18509770"/>
      <w:bookmarkStart w:id="147" w:name="_Toc438553987"/>
      <w:bookmarkStart w:id="148" w:name="_Toc453929111"/>
      <w:bookmarkStart w:id="149" w:name="_Toc453932982"/>
      <w:bookmarkStart w:id="150" w:name="_Toc454295888"/>
      <w:bookmarkStart w:id="151" w:name="_Toc462664268"/>
      <w:bookmarkStart w:id="152" w:name="_Toc480527861"/>
      <w:r w:rsidRPr="00180522">
        <w:lastRenderedPageBreak/>
        <w:t>9</w:t>
      </w:r>
      <w:r w:rsidRPr="00180522">
        <w:tab/>
        <w:t>Gender</w:t>
      </w:r>
      <w:bookmarkEnd w:id="146"/>
    </w:p>
    <w:p w14:paraId="1CBEDC34" w14:textId="3D56F7A1" w:rsidR="006944F8" w:rsidRPr="00180522" w:rsidRDefault="006816D0" w:rsidP="002013A1">
      <w:pPr>
        <w:rPr>
          <w:lang w:val="en-GB"/>
        </w:rPr>
      </w:pPr>
      <w:r w:rsidRPr="00180522">
        <w:rPr>
          <w:lang w:val="en-GB"/>
        </w:rPr>
        <w:t xml:space="preserve">In alignment with </w:t>
      </w:r>
      <w:r w:rsidRPr="00180522">
        <w:rPr>
          <w:rFonts w:eastAsia="SimSun"/>
          <w:szCs w:val="24"/>
          <w:lang w:val="en-GB"/>
        </w:rPr>
        <w:t xml:space="preserve">ITU-T Resolution 55 (Rev. </w:t>
      </w:r>
      <w:proofErr w:type="spellStart"/>
      <w:r w:rsidRPr="00180522">
        <w:rPr>
          <w:rFonts w:eastAsia="SimSun"/>
          <w:szCs w:val="24"/>
          <w:lang w:val="en-GB"/>
        </w:rPr>
        <w:t>Hammamet</w:t>
      </w:r>
      <w:proofErr w:type="spellEnd"/>
      <w:r w:rsidR="00834621" w:rsidRPr="00180522">
        <w:rPr>
          <w:rFonts w:eastAsia="SimSun"/>
          <w:szCs w:val="24"/>
          <w:lang w:val="en-GB"/>
        </w:rPr>
        <w:t>, 2016</w:t>
      </w:r>
      <w:r w:rsidRPr="00180522">
        <w:rPr>
          <w:rFonts w:eastAsia="SimSun"/>
          <w:szCs w:val="24"/>
          <w:lang w:val="en-GB"/>
        </w:rPr>
        <w:t xml:space="preserve">), </w:t>
      </w:r>
      <w:r w:rsidR="006944F8" w:rsidRPr="00180522">
        <w:rPr>
          <w:lang w:val="en-GB"/>
        </w:rPr>
        <w:t xml:space="preserve">TSB continues </w:t>
      </w:r>
      <w:r w:rsidRPr="00180522">
        <w:rPr>
          <w:lang w:val="en-GB"/>
        </w:rPr>
        <w:t xml:space="preserve">to undertake actions to improve gender equality in TSB and ITU-T. </w:t>
      </w:r>
      <w:r w:rsidR="00BE7E0A" w:rsidRPr="00180522">
        <w:rPr>
          <w:rFonts w:eastAsia="SimSun"/>
          <w:szCs w:val="24"/>
          <w:lang w:val="en-GB"/>
        </w:rPr>
        <w:t>60</w:t>
      </w:r>
      <w:r w:rsidRPr="00180522">
        <w:rPr>
          <w:rFonts w:eastAsia="SimSun"/>
          <w:szCs w:val="24"/>
          <w:lang w:val="en-GB"/>
        </w:rPr>
        <w:t xml:space="preserve"> per cent of </w:t>
      </w:r>
      <w:r w:rsidR="004B6D09" w:rsidRPr="00180522">
        <w:rPr>
          <w:rFonts w:eastAsia="SimSun"/>
          <w:szCs w:val="24"/>
          <w:lang w:val="en-GB"/>
        </w:rPr>
        <w:t xml:space="preserve">all </w:t>
      </w:r>
      <w:r w:rsidR="00BE7E0A" w:rsidRPr="00180522">
        <w:rPr>
          <w:rFonts w:eastAsia="SimSun"/>
          <w:szCs w:val="24"/>
          <w:lang w:val="en-GB"/>
        </w:rPr>
        <w:t xml:space="preserve">TSB </w:t>
      </w:r>
      <w:r w:rsidRPr="00180522">
        <w:rPr>
          <w:rFonts w:eastAsia="SimSun"/>
          <w:szCs w:val="24"/>
          <w:lang w:val="en-GB"/>
        </w:rPr>
        <w:t>promotion</w:t>
      </w:r>
      <w:r w:rsidR="00BE7E0A" w:rsidRPr="00180522">
        <w:rPr>
          <w:rFonts w:eastAsia="SimSun"/>
          <w:szCs w:val="24"/>
          <w:lang w:val="en-GB"/>
        </w:rPr>
        <w:t>s over the last two years were awarded</w:t>
      </w:r>
      <w:r w:rsidRPr="00180522">
        <w:rPr>
          <w:rFonts w:eastAsia="SimSun"/>
          <w:szCs w:val="24"/>
          <w:lang w:val="en-GB"/>
        </w:rPr>
        <w:t xml:space="preserve"> </w:t>
      </w:r>
      <w:r w:rsidR="00BE7E0A" w:rsidRPr="00180522">
        <w:rPr>
          <w:rFonts w:eastAsia="SimSun"/>
          <w:szCs w:val="24"/>
          <w:lang w:val="en-GB"/>
        </w:rPr>
        <w:t>to women in the Professional category of staff</w:t>
      </w:r>
      <w:r w:rsidRPr="00180522">
        <w:rPr>
          <w:lang w:val="en-GB"/>
        </w:rPr>
        <w:t xml:space="preserve">. </w:t>
      </w:r>
      <w:r w:rsidRPr="00180522">
        <w:rPr>
          <w:rFonts w:eastAsia="SimSun"/>
          <w:szCs w:val="24"/>
          <w:lang w:val="en-GB"/>
        </w:rPr>
        <w:t xml:space="preserve">TSB has endorsed the </w:t>
      </w:r>
      <w:r w:rsidR="00CA2D85" w:rsidRPr="00180522">
        <w:rPr>
          <w:rFonts w:eastAsia="SimSun"/>
          <w:szCs w:val="24"/>
          <w:lang w:val="en-GB"/>
        </w:rPr>
        <w:t>"</w:t>
      </w:r>
      <w:r w:rsidRPr="00180522">
        <w:rPr>
          <w:rFonts w:eastAsia="SimSun"/>
          <w:szCs w:val="24"/>
          <w:lang w:val="en-GB"/>
        </w:rPr>
        <w:t>Gender Responsive Standards</w:t>
      </w:r>
      <w:r w:rsidR="00CA2D85" w:rsidRPr="00180522">
        <w:rPr>
          <w:rFonts w:eastAsia="SimSun"/>
          <w:szCs w:val="24"/>
          <w:lang w:val="en-GB"/>
        </w:rPr>
        <w:t>"</w:t>
      </w:r>
      <w:r w:rsidRPr="00180522">
        <w:rPr>
          <w:rFonts w:eastAsia="SimSun"/>
          <w:szCs w:val="24"/>
          <w:lang w:val="en-GB"/>
        </w:rPr>
        <w:t xml:space="preserve"> initiative by UNECE</w:t>
      </w:r>
      <w:r w:rsidR="00BE7E0A" w:rsidRPr="00180522">
        <w:rPr>
          <w:rFonts w:eastAsia="SimSun"/>
          <w:szCs w:val="24"/>
          <w:lang w:val="en-GB"/>
        </w:rPr>
        <w:t xml:space="preserve"> which aims </w:t>
      </w:r>
      <w:r w:rsidRPr="00180522">
        <w:rPr>
          <w:rFonts w:eastAsia="SimSun"/>
          <w:szCs w:val="24"/>
          <w:lang w:val="en-GB"/>
        </w:rPr>
        <w:t>to improve gender balance in standards development and ensure that the content and impact</w:t>
      </w:r>
      <w:r w:rsidR="00BE7E0A" w:rsidRPr="00180522">
        <w:rPr>
          <w:rFonts w:eastAsia="SimSun"/>
          <w:szCs w:val="24"/>
          <w:lang w:val="en-GB"/>
        </w:rPr>
        <w:t>s</w:t>
      </w:r>
      <w:r w:rsidRPr="00180522">
        <w:rPr>
          <w:rFonts w:eastAsia="SimSun"/>
          <w:szCs w:val="24"/>
          <w:lang w:val="en-GB"/>
        </w:rPr>
        <w:t xml:space="preserve"> of standards are gender responsive.</w:t>
      </w:r>
      <w:r w:rsidR="00BE7E0A" w:rsidRPr="00180522">
        <w:rPr>
          <w:lang w:val="en-GB"/>
        </w:rPr>
        <w:t xml:space="preserve"> </w:t>
      </w:r>
      <w:r w:rsidR="006944F8" w:rsidRPr="00180522">
        <w:rPr>
          <w:lang w:val="en-GB"/>
        </w:rPr>
        <w:t>Diversity of staff, gender equality and the empowerment of women continue to be among TSB</w:t>
      </w:r>
      <w:r w:rsidR="00CA2D85" w:rsidRPr="00180522">
        <w:rPr>
          <w:lang w:val="en-GB"/>
        </w:rPr>
        <w:t>'</w:t>
      </w:r>
      <w:r w:rsidR="006944F8" w:rsidRPr="00180522">
        <w:rPr>
          <w:lang w:val="en-GB"/>
        </w:rPr>
        <w:t>s priorities.</w:t>
      </w:r>
    </w:p>
    <w:p w14:paraId="6112790D" w14:textId="3F6E2F50" w:rsidR="006944F8" w:rsidRPr="00180522" w:rsidRDefault="002F0E38" w:rsidP="006944F8">
      <w:pPr>
        <w:pStyle w:val="Heading1"/>
      </w:pPr>
      <w:bookmarkStart w:id="153" w:name="_Toc18509771"/>
      <w:r w:rsidRPr="00180522">
        <w:t>10</w:t>
      </w:r>
      <w:r w:rsidR="006944F8" w:rsidRPr="00180522">
        <w:tab/>
        <w:t>Academia</w:t>
      </w:r>
      <w:bookmarkEnd w:id="147"/>
      <w:bookmarkEnd w:id="148"/>
      <w:bookmarkEnd w:id="149"/>
      <w:bookmarkEnd w:id="150"/>
      <w:bookmarkEnd w:id="151"/>
      <w:bookmarkEnd w:id="152"/>
      <w:bookmarkEnd w:id="153"/>
    </w:p>
    <w:p w14:paraId="1CBAD07A" w14:textId="2FCC07B1" w:rsidR="006944F8" w:rsidRPr="00180522" w:rsidRDefault="002F0E38" w:rsidP="00C1421E">
      <w:pPr>
        <w:pStyle w:val="Heading2"/>
      </w:pPr>
      <w:bookmarkStart w:id="154" w:name="_Toc18509772"/>
      <w:r w:rsidRPr="00180522">
        <w:t>10</w:t>
      </w:r>
      <w:r w:rsidR="006944F8" w:rsidRPr="00180522">
        <w:t>.1</w:t>
      </w:r>
      <w:r w:rsidR="006944F8" w:rsidRPr="00180522">
        <w:tab/>
        <w:t>ITU Kaleidoscope academic conferences</w:t>
      </w:r>
      <w:bookmarkEnd w:id="154"/>
    </w:p>
    <w:p w14:paraId="45DC8940" w14:textId="77777777" w:rsidR="006944F8" w:rsidRPr="00180522" w:rsidRDefault="006944F8" w:rsidP="001C37A8">
      <w:pPr>
        <w:rPr>
          <w:lang w:val="en-GB"/>
        </w:rPr>
      </w:pPr>
      <w:r w:rsidRPr="00180522">
        <w:rPr>
          <w:lang w:val="en-GB"/>
        </w:rPr>
        <w:t>The ITU Kaleidoscope series of peer-reviewed academic conferences – technically co-sponsored by the IEEE Communications Society – calls for original research on ICT innovation and related demands on international standardization.</w:t>
      </w:r>
    </w:p>
    <w:p w14:paraId="270DDBC4" w14:textId="1078619F" w:rsidR="006944F8" w:rsidRPr="00180522" w:rsidRDefault="006944F8" w:rsidP="001C37A8">
      <w:pPr>
        <w:rPr>
          <w:lang w:val="en-GB"/>
        </w:rPr>
      </w:pPr>
      <w:r w:rsidRPr="00180522">
        <w:rPr>
          <w:lang w:val="en-GB"/>
        </w:rPr>
        <w:t xml:space="preserve">The 10th edition of Kaleidoscope, </w:t>
      </w:r>
      <w:hyperlink r:id="rId133" w:history="1">
        <w:r w:rsidRPr="00180522">
          <w:rPr>
            <w:rStyle w:val="Hyperlink"/>
            <w:lang w:val="en-GB"/>
          </w:rPr>
          <w:t>Kaleidos</w:t>
        </w:r>
        <w:r w:rsidR="00F35A9A" w:rsidRPr="00180522">
          <w:rPr>
            <w:rStyle w:val="Hyperlink"/>
            <w:lang w:val="en-GB"/>
          </w:rPr>
          <w:t>c</w:t>
        </w:r>
        <w:r w:rsidRPr="00180522">
          <w:rPr>
            <w:rStyle w:val="Hyperlink"/>
            <w:lang w:val="en-GB"/>
          </w:rPr>
          <w:t>ope 2018: Machine Learning for a 5G future</w:t>
        </w:r>
      </w:hyperlink>
      <w:r w:rsidRPr="00180522">
        <w:rPr>
          <w:lang w:val="en-GB"/>
        </w:rPr>
        <w:t>, w</w:t>
      </w:r>
      <w:r w:rsidR="00895B87" w:rsidRPr="00180522">
        <w:rPr>
          <w:lang w:val="en-GB"/>
        </w:rPr>
        <w:t>as</w:t>
      </w:r>
      <w:r w:rsidRPr="00180522">
        <w:rPr>
          <w:lang w:val="en-GB"/>
        </w:rPr>
        <w:t xml:space="preserve"> </w:t>
      </w:r>
      <w:r w:rsidR="00564FEE" w:rsidRPr="00180522">
        <w:rPr>
          <w:lang w:val="en-GB"/>
        </w:rPr>
        <w:t xml:space="preserve">held in Santa Fe, Argentina, 26-28 November 2018, </w:t>
      </w:r>
      <w:r w:rsidRPr="00180522">
        <w:rPr>
          <w:lang w:val="en-GB"/>
        </w:rPr>
        <w:t xml:space="preserve">hosted by Universidad </w:t>
      </w:r>
      <w:proofErr w:type="spellStart"/>
      <w:r w:rsidRPr="00180522">
        <w:rPr>
          <w:lang w:val="en-GB"/>
        </w:rPr>
        <w:t>Tecnológica</w:t>
      </w:r>
      <w:proofErr w:type="spellEnd"/>
      <w:r w:rsidRPr="00180522">
        <w:rPr>
          <w:lang w:val="en-GB"/>
        </w:rPr>
        <w:t xml:space="preserve"> Nacional.</w:t>
      </w:r>
      <w:r w:rsidR="00E512E1" w:rsidRPr="00180522">
        <w:rPr>
          <w:lang w:val="en-GB"/>
        </w:rPr>
        <w:t xml:space="preserve"> The winning paper, authored by researchers at Japan’s National Institute of Information and Communications Technology, highlighted Machine Learning’s potential to support automated network slicing. See relevant </w:t>
      </w:r>
      <w:hyperlink r:id="rId134" w:history="1">
        <w:r w:rsidR="00E512E1" w:rsidRPr="00180522">
          <w:rPr>
            <w:rStyle w:val="Hyperlink"/>
            <w:lang w:val="en-GB"/>
          </w:rPr>
          <w:t>ITU News story</w:t>
        </w:r>
      </w:hyperlink>
      <w:r w:rsidR="00E512E1" w:rsidRPr="00180522">
        <w:rPr>
          <w:lang w:val="en-GB"/>
        </w:rPr>
        <w:t xml:space="preserve">. </w:t>
      </w:r>
      <w:r w:rsidRPr="00180522">
        <w:rPr>
          <w:lang w:val="en-GB"/>
        </w:rPr>
        <w:t>Authors of outstanding Kaleidoscope 2018 papers w</w:t>
      </w:r>
      <w:r w:rsidR="00895B87" w:rsidRPr="00180522">
        <w:rPr>
          <w:lang w:val="en-GB"/>
        </w:rPr>
        <w:t>ere</w:t>
      </w:r>
      <w:r w:rsidRPr="00180522">
        <w:rPr>
          <w:lang w:val="en-GB"/>
        </w:rPr>
        <w:t xml:space="preserve"> invited to contribute to the work of the </w:t>
      </w:r>
      <w:hyperlink r:id="rId135" w:history="1">
        <w:r w:rsidRPr="00180522">
          <w:rPr>
            <w:rStyle w:val="Hyperlink"/>
            <w:lang w:val="en-GB"/>
          </w:rPr>
          <w:t>ITU-T Focus Group on Machine Learning for Future Networks including 5G</w:t>
        </w:r>
      </w:hyperlink>
      <w:r w:rsidRPr="00180522">
        <w:rPr>
          <w:lang w:val="en-GB"/>
        </w:rPr>
        <w:t>.</w:t>
      </w:r>
    </w:p>
    <w:p w14:paraId="66E3CA40" w14:textId="3530C842" w:rsidR="00895B87" w:rsidRPr="00180522" w:rsidRDefault="00895B87" w:rsidP="001C37A8">
      <w:pPr>
        <w:rPr>
          <w:lang w:val="en-GB"/>
        </w:rPr>
      </w:pPr>
      <w:r w:rsidRPr="00180522">
        <w:rPr>
          <w:lang w:val="en-GB"/>
        </w:rPr>
        <w:t>The 11th</w:t>
      </w:r>
      <w:r w:rsidR="00BE7E0A" w:rsidRPr="00180522">
        <w:rPr>
          <w:lang w:val="en-GB"/>
        </w:rPr>
        <w:t xml:space="preserve"> edition of Kaleidoscope,</w:t>
      </w:r>
      <w:r w:rsidRPr="00180522">
        <w:rPr>
          <w:lang w:val="en-GB"/>
        </w:rPr>
        <w:t xml:space="preserve"> </w:t>
      </w:r>
      <w:hyperlink r:id="rId136" w:history="1">
        <w:r w:rsidRPr="00180522">
          <w:rPr>
            <w:rStyle w:val="Hyperlink"/>
            <w:lang w:val="en-GB"/>
          </w:rPr>
          <w:t>Kaleidoscope 2019: ICT for Health: Networks, standards and innovation</w:t>
        </w:r>
      </w:hyperlink>
      <w:r w:rsidRPr="00180522">
        <w:rPr>
          <w:lang w:val="en-GB"/>
        </w:rPr>
        <w:t xml:space="preserve">, </w:t>
      </w:r>
      <w:r w:rsidR="00BE7E0A" w:rsidRPr="00180522">
        <w:rPr>
          <w:lang w:val="en-GB"/>
        </w:rPr>
        <w:t>organized by ITU in</w:t>
      </w:r>
      <w:r w:rsidR="00F35A9A" w:rsidRPr="00180522">
        <w:rPr>
          <w:lang w:val="en-GB"/>
        </w:rPr>
        <w:t xml:space="preserve"> collaboration with</w:t>
      </w:r>
      <w:r w:rsidR="00BE7E0A" w:rsidRPr="00180522">
        <w:rPr>
          <w:lang w:val="en-GB"/>
        </w:rPr>
        <w:t xml:space="preserve"> WHO</w:t>
      </w:r>
      <w:r w:rsidR="00F35A9A" w:rsidRPr="00180522">
        <w:rPr>
          <w:lang w:val="en-GB"/>
        </w:rPr>
        <w:t xml:space="preserve">, will </w:t>
      </w:r>
      <w:r w:rsidR="00BE7E0A" w:rsidRPr="00180522">
        <w:rPr>
          <w:lang w:val="en-GB"/>
        </w:rPr>
        <w:t xml:space="preserve">be held in Atlanta, U.S., </w:t>
      </w:r>
      <w:r w:rsidR="00F35A9A" w:rsidRPr="00180522">
        <w:rPr>
          <w:lang w:val="en-GB"/>
        </w:rPr>
        <w:t>4-6 December 2019</w:t>
      </w:r>
      <w:r w:rsidR="00BE7E0A" w:rsidRPr="00180522">
        <w:rPr>
          <w:lang w:val="en-GB"/>
        </w:rPr>
        <w:t xml:space="preserve">, </w:t>
      </w:r>
      <w:r w:rsidR="00F35A9A" w:rsidRPr="00180522">
        <w:rPr>
          <w:lang w:val="en-GB"/>
        </w:rPr>
        <w:t xml:space="preserve">hosted by </w:t>
      </w:r>
      <w:r w:rsidR="00BE7E0A" w:rsidRPr="00180522">
        <w:rPr>
          <w:lang w:val="en-GB"/>
        </w:rPr>
        <w:t xml:space="preserve">ITU Academia member, the </w:t>
      </w:r>
      <w:r w:rsidR="00F35A9A" w:rsidRPr="00180522">
        <w:rPr>
          <w:lang w:val="en-GB"/>
        </w:rPr>
        <w:t>Georgia Institute of Technology.</w:t>
      </w:r>
      <w:r w:rsidR="00C535A5" w:rsidRPr="00180522">
        <w:rPr>
          <w:lang w:val="en-GB"/>
        </w:rPr>
        <w:t xml:space="preserve"> IEEE, IEEE </w:t>
      </w:r>
      <w:proofErr w:type="spellStart"/>
      <w:r w:rsidR="00C535A5" w:rsidRPr="00180522">
        <w:rPr>
          <w:lang w:val="en-GB"/>
        </w:rPr>
        <w:t>ComSoc</w:t>
      </w:r>
      <w:proofErr w:type="spellEnd"/>
      <w:r w:rsidR="00F35A9A" w:rsidRPr="00180522">
        <w:rPr>
          <w:lang w:val="en-GB"/>
        </w:rPr>
        <w:t xml:space="preserve"> </w:t>
      </w:r>
      <w:r w:rsidR="00C535A5" w:rsidRPr="00180522">
        <w:rPr>
          <w:lang w:val="en-GB"/>
        </w:rPr>
        <w:t xml:space="preserve">and The Lancet Digital Health </w:t>
      </w:r>
      <w:r w:rsidR="00BE7E0A" w:rsidRPr="00180522">
        <w:rPr>
          <w:lang w:val="en-GB"/>
        </w:rPr>
        <w:t xml:space="preserve">are </w:t>
      </w:r>
      <w:r w:rsidR="00F35A9A" w:rsidRPr="00180522">
        <w:rPr>
          <w:lang w:val="en-GB"/>
        </w:rPr>
        <w:t>technical co-sponsors</w:t>
      </w:r>
      <w:r w:rsidR="00BE7E0A" w:rsidRPr="00180522">
        <w:rPr>
          <w:lang w:val="en-GB"/>
        </w:rPr>
        <w:t xml:space="preserve"> </w:t>
      </w:r>
      <w:r w:rsidR="00CB6CB5" w:rsidRPr="00180522">
        <w:rPr>
          <w:lang w:val="en-GB"/>
        </w:rPr>
        <w:t xml:space="preserve">of </w:t>
      </w:r>
      <w:r w:rsidR="00BE7E0A" w:rsidRPr="00180522">
        <w:rPr>
          <w:lang w:val="en-GB"/>
        </w:rPr>
        <w:t>Kaleidoscope 2019</w:t>
      </w:r>
      <w:r w:rsidR="00CB6CB5" w:rsidRPr="00180522">
        <w:rPr>
          <w:lang w:val="en-GB"/>
        </w:rPr>
        <w:t xml:space="preserve">. </w:t>
      </w:r>
      <w:hyperlink r:id="rId137" w:history="1">
        <w:r w:rsidR="00CB6CB5" w:rsidRPr="00180522">
          <w:rPr>
            <w:rStyle w:val="Hyperlink"/>
            <w:lang w:val="en-GB"/>
          </w:rPr>
          <w:t>The Lancet Digital Health</w:t>
        </w:r>
      </w:hyperlink>
      <w:r w:rsidR="00BE7E0A" w:rsidRPr="00180522">
        <w:rPr>
          <w:lang w:val="en-GB"/>
        </w:rPr>
        <w:t xml:space="preserve"> may</w:t>
      </w:r>
      <w:r w:rsidR="00F35A9A" w:rsidRPr="00180522">
        <w:rPr>
          <w:lang w:val="en-GB"/>
        </w:rPr>
        <w:t xml:space="preserve"> publish selected papers presented at Kaleidoscope.</w:t>
      </w:r>
      <w:r w:rsidR="005C0984" w:rsidRPr="00180522">
        <w:rPr>
          <w:lang w:val="en-GB"/>
        </w:rPr>
        <w:t xml:space="preserve"> See relevant </w:t>
      </w:r>
      <w:hyperlink r:id="rId138" w:history="1">
        <w:r w:rsidR="005C0984" w:rsidRPr="00180522">
          <w:rPr>
            <w:rStyle w:val="Hyperlink"/>
            <w:lang w:val="en-GB"/>
          </w:rPr>
          <w:t>ITU News story</w:t>
        </w:r>
      </w:hyperlink>
      <w:r w:rsidR="005C0984" w:rsidRPr="00180522">
        <w:rPr>
          <w:lang w:val="en-GB"/>
        </w:rPr>
        <w:t xml:space="preserve">. </w:t>
      </w:r>
    </w:p>
    <w:p w14:paraId="59B4AFB0" w14:textId="4926AF3F" w:rsidR="006944F8" w:rsidRPr="00180522" w:rsidRDefault="006944F8" w:rsidP="00C1421E">
      <w:pPr>
        <w:pStyle w:val="Heading2"/>
      </w:pPr>
      <w:bookmarkStart w:id="155" w:name="_Toc18509773"/>
      <w:r w:rsidRPr="00180522">
        <w:t>1</w:t>
      </w:r>
      <w:r w:rsidR="002F0E38" w:rsidRPr="00180522">
        <w:t>0</w:t>
      </w:r>
      <w:r w:rsidRPr="00180522">
        <w:t>.2</w:t>
      </w:r>
      <w:r w:rsidRPr="00180522">
        <w:tab/>
        <w:t>ITU Journal: ICT Discoveries</w:t>
      </w:r>
      <w:bookmarkEnd w:id="155"/>
    </w:p>
    <w:p w14:paraId="684112F8" w14:textId="07EFC9C2" w:rsidR="00F35A9A" w:rsidRPr="00180522" w:rsidRDefault="00F35A9A" w:rsidP="001C37A8">
      <w:pPr>
        <w:rPr>
          <w:lang w:val="en-GB"/>
        </w:rPr>
      </w:pPr>
      <w:r w:rsidRPr="00180522">
        <w:rPr>
          <w:lang w:val="en-GB"/>
        </w:rPr>
        <w:t xml:space="preserve">In December 2018, a special issue </w:t>
      </w:r>
      <w:r w:rsidR="00BE7E0A" w:rsidRPr="00180522">
        <w:rPr>
          <w:lang w:val="en-GB"/>
        </w:rPr>
        <w:t xml:space="preserve">of the ITU Journal </w:t>
      </w:r>
      <w:r w:rsidRPr="00180522">
        <w:rPr>
          <w:lang w:val="en-GB"/>
        </w:rPr>
        <w:t xml:space="preserve">dedicated to the theme </w:t>
      </w:r>
      <w:r w:rsidR="00CA2D85" w:rsidRPr="00180522">
        <w:rPr>
          <w:lang w:val="en-GB"/>
        </w:rPr>
        <w:t>"</w:t>
      </w:r>
      <w:hyperlink r:id="rId139" w:history="1">
        <w:r w:rsidRPr="00180522">
          <w:rPr>
            <w:rStyle w:val="Hyperlink"/>
            <w:lang w:val="en-GB"/>
          </w:rPr>
          <w:t>Data for Good</w:t>
        </w:r>
      </w:hyperlink>
      <w:r w:rsidR="00CA2D85" w:rsidRPr="00180522">
        <w:rPr>
          <w:lang w:val="en-GB"/>
        </w:rPr>
        <w:t>"</w:t>
      </w:r>
      <w:r w:rsidR="00BE7E0A" w:rsidRPr="00180522">
        <w:rPr>
          <w:lang w:val="en-GB"/>
        </w:rPr>
        <w:t xml:space="preserve"> published </w:t>
      </w:r>
      <w:r w:rsidRPr="00180522">
        <w:rPr>
          <w:lang w:val="en-GB"/>
        </w:rPr>
        <w:t>original academic papers investigating the technical, business and policy challenges underlying effective data management and analysis.</w:t>
      </w:r>
      <w:r w:rsidR="005C0984" w:rsidRPr="00180522">
        <w:rPr>
          <w:lang w:val="en-GB"/>
        </w:rPr>
        <w:t xml:space="preserve"> See relevant </w:t>
      </w:r>
      <w:hyperlink r:id="rId140" w:history="1">
        <w:r w:rsidR="005C0984" w:rsidRPr="00180522">
          <w:rPr>
            <w:rStyle w:val="Hyperlink"/>
            <w:lang w:val="en-GB"/>
          </w:rPr>
          <w:t>ITU News story</w:t>
        </w:r>
      </w:hyperlink>
      <w:r w:rsidR="005C0984" w:rsidRPr="00180522">
        <w:rPr>
          <w:lang w:val="en-GB"/>
        </w:rPr>
        <w:t xml:space="preserve">. </w:t>
      </w:r>
    </w:p>
    <w:p w14:paraId="2381ADB4" w14:textId="62120CA1" w:rsidR="00F35A9A" w:rsidRPr="00180522" w:rsidRDefault="00F35A9A" w:rsidP="001C37A8">
      <w:pPr>
        <w:rPr>
          <w:lang w:val="en-GB"/>
        </w:rPr>
      </w:pPr>
      <w:r w:rsidRPr="00180522">
        <w:rPr>
          <w:lang w:val="en-GB"/>
        </w:rPr>
        <w:t xml:space="preserve">In February 2019, </w:t>
      </w:r>
      <w:r w:rsidR="00BE7E0A" w:rsidRPr="00180522">
        <w:rPr>
          <w:lang w:val="en-GB"/>
        </w:rPr>
        <w:t xml:space="preserve">ITU issued a Call for Papers for a </w:t>
      </w:r>
      <w:r w:rsidRPr="00180522">
        <w:rPr>
          <w:lang w:val="en-GB"/>
        </w:rPr>
        <w:t>new special issue o</w:t>
      </w:r>
      <w:r w:rsidR="00BE7E0A" w:rsidRPr="00180522">
        <w:rPr>
          <w:lang w:val="en-GB"/>
        </w:rPr>
        <w:t>n</w:t>
      </w:r>
      <w:r w:rsidRPr="00180522">
        <w:rPr>
          <w:lang w:val="en-GB"/>
        </w:rPr>
        <w:t xml:space="preserve"> </w:t>
      </w:r>
      <w:r w:rsidR="00CA2D85" w:rsidRPr="00180522">
        <w:rPr>
          <w:lang w:val="en-GB"/>
        </w:rPr>
        <w:t>"</w:t>
      </w:r>
      <w:proofErr w:type="spellStart"/>
      <w:r w:rsidR="007064AE" w:rsidRPr="00180522">
        <w:rPr>
          <w:rStyle w:val="Hyperlink"/>
          <w:lang w:val="en-GB"/>
        </w:rPr>
        <w:fldChar w:fldCharType="begin"/>
      </w:r>
      <w:r w:rsidR="007064AE" w:rsidRPr="00180522">
        <w:rPr>
          <w:rStyle w:val="Hyperlink"/>
          <w:lang w:val="en-GB"/>
        </w:rPr>
        <w:instrText xml:space="preserve"> HYPERLINK "https://www.itu.int/en/journal/2019/001/Pages/default.aspx" </w:instrText>
      </w:r>
      <w:r w:rsidR="007064AE" w:rsidRPr="00180522">
        <w:rPr>
          <w:rStyle w:val="Hyperlink"/>
          <w:lang w:val="en-GB"/>
        </w:rPr>
        <w:fldChar w:fldCharType="separate"/>
      </w:r>
      <w:r w:rsidRPr="00180522">
        <w:rPr>
          <w:rStyle w:val="Hyperlink"/>
          <w:lang w:val="en-GB"/>
        </w:rPr>
        <w:t>Propagatiom</w:t>
      </w:r>
      <w:proofErr w:type="spellEnd"/>
      <w:r w:rsidRPr="00180522">
        <w:rPr>
          <w:rStyle w:val="Hyperlink"/>
          <w:lang w:val="en-GB"/>
        </w:rPr>
        <w:t xml:space="preserve"> modelling for advanced future radio systems – Challenges for a congested radio spectrum</w:t>
      </w:r>
      <w:r w:rsidR="007064AE" w:rsidRPr="00180522">
        <w:rPr>
          <w:rStyle w:val="Hyperlink"/>
          <w:lang w:val="en-GB"/>
        </w:rPr>
        <w:fldChar w:fldCharType="end"/>
      </w:r>
      <w:r w:rsidR="00CA2D85" w:rsidRPr="00180522">
        <w:rPr>
          <w:lang w:val="en-GB"/>
        </w:rPr>
        <w:t>"</w:t>
      </w:r>
      <w:r w:rsidRPr="00180522">
        <w:rPr>
          <w:lang w:val="en-GB"/>
        </w:rPr>
        <w:t>. This issue is due to be published in December 2019.</w:t>
      </w:r>
      <w:r w:rsidR="005C0984" w:rsidRPr="00180522">
        <w:rPr>
          <w:lang w:val="en-GB"/>
        </w:rPr>
        <w:t xml:space="preserve"> See relevant </w:t>
      </w:r>
      <w:hyperlink r:id="rId141" w:history="1">
        <w:r w:rsidR="005C0984" w:rsidRPr="00180522">
          <w:rPr>
            <w:rStyle w:val="Hyperlink"/>
            <w:lang w:val="en-GB"/>
          </w:rPr>
          <w:t>ITU News story</w:t>
        </w:r>
      </w:hyperlink>
      <w:r w:rsidR="005C0984" w:rsidRPr="00180522">
        <w:rPr>
          <w:lang w:val="en-GB"/>
        </w:rPr>
        <w:t xml:space="preserve">. </w:t>
      </w:r>
    </w:p>
    <w:p w14:paraId="40F1A4AA" w14:textId="0E484548" w:rsidR="00F35A9A" w:rsidRPr="00180522" w:rsidRDefault="008077A1" w:rsidP="001C37A8">
      <w:pPr>
        <w:rPr>
          <w:lang w:val="en-GB"/>
        </w:rPr>
      </w:pPr>
      <w:r w:rsidRPr="00180522">
        <w:rPr>
          <w:lang w:val="en-GB"/>
        </w:rPr>
        <w:t xml:space="preserve">In </w:t>
      </w:r>
      <w:r w:rsidR="00F35A9A" w:rsidRPr="00180522">
        <w:rPr>
          <w:lang w:val="en-GB"/>
        </w:rPr>
        <w:t xml:space="preserve">July 2019, </w:t>
      </w:r>
      <w:r w:rsidRPr="00180522">
        <w:rPr>
          <w:lang w:val="en-GB"/>
        </w:rPr>
        <w:t>ITU issued a Call for Papers</w:t>
      </w:r>
      <w:r w:rsidR="00F35A9A" w:rsidRPr="00180522">
        <w:rPr>
          <w:lang w:val="en-GB"/>
        </w:rPr>
        <w:t xml:space="preserve"> for a </w:t>
      </w:r>
      <w:r w:rsidR="00E567D9" w:rsidRPr="00180522">
        <w:rPr>
          <w:lang w:val="en-GB"/>
        </w:rPr>
        <w:t>new</w:t>
      </w:r>
      <w:r w:rsidR="00F35A9A" w:rsidRPr="00180522">
        <w:rPr>
          <w:lang w:val="en-GB"/>
        </w:rPr>
        <w:t xml:space="preserve"> special issue on </w:t>
      </w:r>
      <w:r w:rsidR="00CA2D85" w:rsidRPr="00180522">
        <w:rPr>
          <w:lang w:val="en-GB"/>
        </w:rPr>
        <w:t>"</w:t>
      </w:r>
      <w:hyperlink r:id="rId142" w:history="1">
        <w:r w:rsidR="00F35A9A" w:rsidRPr="00180522">
          <w:rPr>
            <w:rStyle w:val="Hyperlink"/>
            <w:lang w:val="en-GB"/>
          </w:rPr>
          <w:t>The future of video and immersive media</w:t>
        </w:r>
      </w:hyperlink>
      <w:r w:rsidR="00CA2D85" w:rsidRPr="00180522">
        <w:rPr>
          <w:lang w:val="en-GB"/>
        </w:rPr>
        <w:t>"</w:t>
      </w:r>
      <w:r w:rsidRPr="00180522">
        <w:rPr>
          <w:lang w:val="en-GB"/>
        </w:rPr>
        <w:t xml:space="preserve">. The issue is inviting </w:t>
      </w:r>
      <w:r w:rsidR="00F35A9A" w:rsidRPr="00180522">
        <w:rPr>
          <w:lang w:val="en-GB"/>
        </w:rPr>
        <w:t xml:space="preserve">submissions </w:t>
      </w:r>
      <w:r w:rsidRPr="00180522">
        <w:rPr>
          <w:lang w:val="en-GB"/>
        </w:rPr>
        <w:t xml:space="preserve">until </w:t>
      </w:r>
      <w:r w:rsidR="00F35A9A" w:rsidRPr="00180522">
        <w:rPr>
          <w:lang w:val="en-GB"/>
        </w:rPr>
        <w:t>11 November 20</w:t>
      </w:r>
      <w:r w:rsidRPr="00180522">
        <w:rPr>
          <w:lang w:val="en-GB"/>
        </w:rPr>
        <w:t>19</w:t>
      </w:r>
      <w:r w:rsidR="00F35A9A" w:rsidRPr="00180522">
        <w:rPr>
          <w:lang w:val="en-GB"/>
        </w:rPr>
        <w:t xml:space="preserve">. </w:t>
      </w:r>
      <w:r w:rsidR="005C0984" w:rsidRPr="00180522">
        <w:rPr>
          <w:lang w:val="en-GB"/>
        </w:rPr>
        <w:t xml:space="preserve">See relevant </w:t>
      </w:r>
      <w:hyperlink r:id="rId143" w:history="1">
        <w:r w:rsidR="005C0984" w:rsidRPr="00180522">
          <w:rPr>
            <w:rStyle w:val="Hyperlink"/>
            <w:lang w:val="en-GB"/>
          </w:rPr>
          <w:t>ITU News story</w:t>
        </w:r>
      </w:hyperlink>
      <w:r w:rsidR="005C0984" w:rsidRPr="00180522">
        <w:rPr>
          <w:lang w:val="en-GB"/>
        </w:rPr>
        <w:t xml:space="preserve">. </w:t>
      </w:r>
    </w:p>
    <w:p w14:paraId="1146D22C" w14:textId="46475FE8" w:rsidR="00F35A9A" w:rsidRPr="00180522" w:rsidRDefault="008077A1" w:rsidP="001C37A8">
      <w:pPr>
        <w:rPr>
          <w:lang w:val="en-GB"/>
        </w:rPr>
      </w:pPr>
      <w:r w:rsidRPr="00180522">
        <w:rPr>
          <w:lang w:val="en-GB"/>
        </w:rPr>
        <w:t>The new PP Resolution 207 (Dubai, 2018) highlights ITU membership’s support for the ITU Journal.</w:t>
      </w:r>
      <w:r w:rsidR="005C0984" w:rsidRPr="00180522">
        <w:rPr>
          <w:lang w:val="en-GB"/>
        </w:rPr>
        <w:t xml:space="preserve"> </w:t>
      </w:r>
      <w:r w:rsidR="00F35A9A" w:rsidRPr="00180522">
        <w:rPr>
          <w:lang w:val="en-GB"/>
        </w:rPr>
        <w:t xml:space="preserve">The ITU Journal </w:t>
      </w:r>
      <w:r w:rsidR="005C0984" w:rsidRPr="00180522">
        <w:rPr>
          <w:lang w:val="en-GB"/>
        </w:rPr>
        <w:t xml:space="preserve">has </w:t>
      </w:r>
      <w:r w:rsidR="00F35A9A" w:rsidRPr="00180522">
        <w:rPr>
          <w:lang w:val="en-GB"/>
        </w:rPr>
        <w:t>also embarked on a new expansion effort,</w:t>
      </w:r>
      <w:r w:rsidRPr="00180522">
        <w:rPr>
          <w:lang w:val="en-GB"/>
        </w:rPr>
        <w:t xml:space="preserve"> an effort that began with</w:t>
      </w:r>
      <w:r w:rsidR="00F35A9A" w:rsidRPr="00180522">
        <w:rPr>
          <w:lang w:val="en-GB"/>
        </w:rPr>
        <w:t xml:space="preserve"> </w:t>
      </w:r>
      <w:r w:rsidRPr="00180522">
        <w:rPr>
          <w:lang w:val="en-GB"/>
        </w:rPr>
        <w:t>ITU</w:t>
      </w:r>
      <w:r w:rsidR="00F35A9A" w:rsidRPr="00180522">
        <w:rPr>
          <w:lang w:val="en-GB"/>
        </w:rPr>
        <w:t xml:space="preserve"> signing a co-publishing agreement with Tsinghua Univers</w:t>
      </w:r>
      <w:r w:rsidR="006C1CAD" w:rsidRPr="00180522">
        <w:rPr>
          <w:lang w:val="en-GB"/>
        </w:rPr>
        <w:t>ity Press in January 2019.</w:t>
      </w:r>
    </w:p>
    <w:p w14:paraId="05484A99" w14:textId="57DAD0A3" w:rsidR="006944F8" w:rsidRPr="00180522" w:rsidRDefault="006944F8" w:rsidP="00C1421E">
      <w:pPr>
        <w:pStyle w:val="Heading2"/>
      </w:pPr>
      <w:bookmarkStart w:id="156" w:name="_Toc18509774"/>
      <w:r w:rsidRPr="00180522">
        <w:t>1</w:t>
      </w:r>
      <w:r w:rsidR="002F0E38" w:rsidRPr="00180522">
        <w:t>0</w:t>
      </w:r>
      <w:r w:rsidRPr="00180522">
        <w:t>.3</w:t>
      </w:r>
      <w:r w:rsidRPr="00180522">
        <w:tab/>
        <w:t>World Standards Cooperation and Academia</w:t>
      </w:r>
      <w:bookmarkEnd w:id="156"/>
    </w:p>
    <w:p w14:paraId="41628F1F" w14:textId="2E1C5843" w:rsidR="006944F8" w:rsidRPr="00180522" w:rsidRDefault="006944F8" w:rsidP="001C37A8">
      <w:pPr>
        <w:rPr>
          <w:lang w:val="en-GB"/>
        </w:rPr>
      </w:pPr>
      <w:r w:rsidRPr="00180522">
        <w:rPr>
          <w:lang w:val="en-GB"/>
        </w:rPr>
        <w:t>IEC, ISO and</w:t>
      </w:r>
      <w:r w:rsidR="008D184E" w:rsidRPr="00180522">
        <w:rPr>
          <w:lang w:val="en-GB"/>
        </w:rPr>
        <w:t xml:space="preserve"> ITU </w:t>
      </w:r>
      <w:r w:rsidRPr="00180522">
        <w:rPr>
          <w:lang w:val="en-GB"/>
        </w:rPr>
        <w:t xml:space="preserve">organize </w:t>
      </w:r>
      <w:r w:rsidR="008077A1" w:rsidRPr="00180522">
        <w:rPr>
          <w:lang w:val="en-GB"/>
        </w:rPr>
        <w:t xml:space="preserve">academic events under the banner of the </w:t>
      </w:r>
      <w:r w:rsidRPr="00180522">
        <w:rPr>
          <w:lang w:val="en-GB"/>
        </w:rPr>
        <w:t>World Standards Cooperation</w:t>
      </w:r>
      <w:r w:rsidR="008077A1" w:rsidRPr="00180522">
        <w:rPr>
          <w:lang w:val="en-GB"/>
        </w:rPr>
        <w:t xml:space="preserve"> to </w:t>
      </w:r>
      <w:r w:rsidRPr="00180522">
        <w:rPr>
          <w:lang w:val="en-GB"/>
        </w:rPr>
        <w:t xml:space="preserve">discuss the role </w:t>
      </w:r>
      <w:r w:rsidR="008077A1" w:rsidRPr="00180522">
        <w:rPr>
          <w:lang w:val="en-GB"/>
        </w:rPr>
        <w:t xml:space="preserve">played by </w:t>
      </w:r>
      <w:r w:rsidRPr="00180522">
        <w:rPr>
          <w:lang w:val="en-GB"/>
        </w:rPr>
        <w:t>academia in the standards-development process.</w:t>
      </w:r>
    </w:p>
    <w:p w14:paraId="7D19734C" w14:textId="7DE2D75C" w:rsidR="006944F8" w:rsidRPr="00180522" w:rsidRDefault="006944F8" w:rsidP="001C37A8">
      <w:pPr>
        <w:rPr>
          <w:lang w:val="en-GB"/>
        </w:rPr>
      </w:pPr>
      <w:r w:rsidRPr="00180522">
        <w:rPr>
          <w:lang w:val="en-GB"/>
        </w:rPr>
        <w:t>WSC Academic Day</w:t>
      </w:r>
      <w:r w:rsidR="008077A1" w:rsidRPr="00180522">
        <w:rPr>
          <w:lang w:val="en-GB"/>
        </w:rPr>
        <w:t>s</w:t>
      </w:r>
      <w:r w:rsidRPr="00180522">
        <w:rPr>
          <w:lang w:val="en-GB"/>
        </w:rPr>
        <w:t xml:space="preserve"> took place in China (2011), Indonesia (2012), France (2013), Canada (2014), Korea (2015), Germany (2016), </w:t>
      </w:r>
      <w:r w:rsidR="008D184E" w:rsidRPr="00180522">
        <w:rPr>
          <w:lang w:val="en-GB"/>
        </w:rPr>
        <w:t xml:space="preserve">the </w:t>
      </w:r>
      <w:r w:rsidRPr="00180522">
        <w:rPr>
          <w:lang w:val="en-GB"/>
        </w:rPr>
        <w:t>U</w:t>
      </w:r>
      <w:r w:rsidR="003D4F6B" w:rsidRPr="00180522">
        <w:rPr>
          <w:lang w:val="en-GB"/>
        </w:rPr>
        <w:t>.S.</w:t>
      </w:r>
      <w:r w:rsidRPr="00180522">
        <w:rPr>
          <w:lang w:val="en-GB"/>
        </w:rPr>
        <w:t xml:space="preserve"> (2017)</w:t>
      </w:r>
      <w:r w:rsidR="00F35A9A" w:rsidRPr="00180522">
        <w:rPr>
          <w:lang w:val="en-GB"/>
        </w:rPr>
        <w:t xml:space="preserve"> and Indonesia (2018)</w:t>
      </w:r>
      <w:r w:rsidR="008D184E" w:rsidRPr="00180522">
        <w:rPr>
          <w:lang w:val="en-GB"/>
        </w:rPr>
        <w:t>. These events are held</w:t>
      </w:r>
      <w:r w:rsidRPr="00180522">
        <w:rPr>
          <w:lang w:val="en-GB"/>
        </w:rPr>
        <w:t xml:space="preserve"> in </w:t>
      </w:r>
      <w:r w:rsidRPr="00180522">
        <w:rPr>
          <w:lang w:val="en-GB"/>
        </w:rPr>
        <w:lastRenderedPageBreak/>
        <w:t>conjunction with the annual International Cooperation for Education about Standardization (ICES) conferences.</w:t>
      </w:r>
    </w:p>
    <w:p w14:paraId="2BA7DD1F" w14:textId="12EBA1BE" w:rsidR="00F35A9A" w:rsidRPr="00180522" w:rsidRDefault="00F35A9A" w:rsidP="001C37A8">
      <w:pPr>
        <w:rPr>
          <w:rFonts w:eastAsia="Arial"/>
          <w:highlight w:val="yellow"/>
          <w:lang w:val="en-GB"/>
        </w:rPr>
      </w:pPr>
      <w:r w:rsidRPr="00180522">
        <w:rPr>
          <w:lang w:val="en-GB"/>
        </w:rPr>
        <w:t xml:space="preserve">WSC Academic Day 2019 will take place </w:t>
      </w:r>
      <w:r w:rsidR="008077A1" w:rsidRPr="00180522">
        <w:rPr>
          <w:lang w:val="en-GB"/>
        </w:rPr>
        <w:t>in Belgrade, Serbia,</w:t>
      </w:r>
      <w:r w:rsidRPr="00180522">
        <w:rPr>
          <w:lang w:val="en-GB"/>
        </w:rPr>
        <w:t xml:space="preserve"> 11 October 2019, hosted by the University of Belgrade. The central theme </w:t>
      </w:r>
      <w:r w:rsidR="008077A1" w:rsidRPr="00180522">
        <w:rPr>
          <w:lang w:val="en-GB"/>
        </w:rPr>
        <w:t xml:space="preserve">of WSC </w:t>
      </w:r>
      <w:r w:rsidRPr="00180522">
        <w:rPr>
          <w:lang w:val="en-GB"/>
        </w:rPr>
        <w:t xml:space="preserve">Academic Day </w:t>
      </w:r>
      <w:r w:rsidR="008077A1" w:rsidRPr="00180522">
        <w:rPr>
          <w:lang w:val="en-GB"/>
        </w:rPr>
        <w:t xml:space="preserve">2019 will be </w:t>
      </w:r>
      <w:r w:rsidRPr="00180522">
        <w:rPr>
          <w:lang w:val="en-GB"/>
        </w:rPr>
        <w:t>the economic, social and environmental benefits of International Standards.</w:t>
      </w:r>
    </w:p>
    <w:p w14:paraId="5FD8F3B0" w14:textId="21782E0F" w:rsidR="006944F8" w:rsidRPr="00180522" w:rsidRDefault="002F0E38" w:rsidP="006944F8">
      <w:pPr>
        <w:pStyle w:val="Heading1"/>
      </w:pPr>
      <w:bookmarkStart w:id="157" w:name="_Toc462664274"/>
      <w:bookmarkStart w:id="158" w:name="_Toc480527863"/>
      <w:bookmarkStart w:id="159" w:name="_Toc18509775"/>
      <w:bookmarkStart w:id="160" w:name="_Toc453929120"/>
      <w:bookmarkStart w:id="161" w:name="_Toc453932991"/>
      <w:bookmarkStart w:id="162" w:name="_Toc454295897"/>
      <w:bookmarkStart w:id="163" w:name="_Toc387390042"/>
      <w:bookmarkStart w:id="164" w:name="_Toc416161372"/>
      <w:bookmarkStart w:id="165" w:name="_Toc438553998"/>
      <w:r w:rsidRPr="00180522">
        <w:t>11</w:t>
      </w:r>
      <w:r w:rsidR="006944F8" w:rsidRPr="00180522">
        <w:tab/>
        <w:t>Publications</w:t>
      </w:r>
      <w:bookmarkEnd w:id="157"/>
      <w:bookmarkEnd w:id="158"/>
      <w:bookmarkEnd w:id="159"/>
    </w:p>
    <w:p w14:paraId="21098919" w14:textId="6BD6908F" w:rsidR="006944F8" w:rsidRPr="00180522" w:rsidRDefault="006944F8" w:rsidP="002013A1">
      <w:pPr>
        <w:rPr>
          <w:lang w:val="en-GB"/>
        </w:rPr>
      </w:pPr>
      <w:r w:rsidRPr="00180522">
        <w:rPr>
          <w:lang w:val="en-GB"/>
        </w:rPr>
        <w:t xml:space="preserve">Over </w:t>
      </w:r>
      <w:r w:rsidR="00AC4C00" w:rsidRPr="00180522">
        <w:rPr>
          <w:lang w:val="en-GB"/>
        </w:rPr>
        <w:t>1</w:t>
      </w:r>
      <w:r w:rsidR="001F724D" w:rsidRPr="00180522">
        <w:rPr>
          <w:lang w:val="en-GB"/>
        </w:rPr>
        <w:t>4</w:t>
      </w:r>
      <w:r w:rsidR="008D184E" w:rsidRPr="00180522">
        <w:rPr>
          <w:lang w:val="en-GB"/>
        </w:rPr>
        <w:t>,</w:t>
      </w:r>
      <w:r w:rsidR="001F724D" w:rsidRPr="00180522">
        <w:rPr>
          <w:lang w:val="en-GB"/>
        </w:rPr>
        <w:t>0</w:t>
      </w:r>
      <w:r w:rsidRPr="00180522">
        <w:rPr>
          <w:lang w:val="en-GB"/>
        </w:rPr>
        <w:t xml:space="preserve">00 pages of ITU-T Recommendations and Supplements were published between </w:t>
      </w:r>
      <w:r w:rsidR="00AC4C00" w:rsidRPr="00180522">
        <w:rPr>
          <w:lang w:val="en-GB"/>
        </w:rPr>
        <w:t xml:space="preserve">October 2018 and July </w:t>
      </w:r>
      <w:r w:rsidRPr="00180522">
        <w:rPr>
          <w:lang w:val="en-GB"/>
        </w:rPr>
        <w:t>201</w:t>
      </w:r>
      <w:r w:rsidR="00AC4C00" w:rsidRPr="00180522">
        <w:rPr>
          <w:lang w:val="en-GB"/>
        </w:rPr>
        <w:t>9</w:t>
      </w:r>
      <w:r w:rsidRPr="00180522">
        <w:rPr>
          <w:lang w:val="en-GB"/>
        </w:rPr>
        <w:t xml:space="preserve">. Figure 4 illustrates the number of Recommendations (including Supplements) published per year </w:t>
      </w:r>
      <w:r w:rsidR="004C0A18" w:rsidRPr="00180522">
        <w:rPr>
          <w:lang w:val="en-GB"/>
        </w:rPr>
        <w:t>since 201</w:t>
      </w:r>
      <w:r w:rsidR="009A4E2D" w:rsidRPr="00180522">
        <w:rPr>
          <w:lang w:val="en-GB"/>
        </w:rPr>
        <w:t>6</w:t>
      </w:r>
      <w:r w:rsidR="0021319C" w:rsidRPr="00180522">
        <w:rPr>
          <w:lang w:val="en-GB"/>
        </w:rPr>
        <w:t xml:space="preserve">, </w:t>
      </w:r>
      <w:r w:rsidR="00345610" w:rsidRPr="00180522">
        <w:rPr>
          <w:lang w:val="en-GB"/>
        </w:rPr>
        <w:t>not</w:t>
      </w:r>
      <w:r w:rsidR="0021319C" w:rsidRPr="00180522">
        <w:rPr>
          <w:lang w:val="en-GB"/>
        </w:rPr>
        <w:t>ing</w:t>
      </w:r>
      <w:r w:rsidR="00345610" w:rsidRPr="00180522">
        <w:rPr>
          <w:lang w:val="en-GB"/>
        </w:rPr>
        <w:t xml:space="preserve"> that 201</w:t>
      </w:r>
      <w:r w:rsidR="00AC4C00" w:rsidRPr="00180522">
        <w:rPr>
          <w:lang w:val="en-GB"/>
        </w:rPr>
        <w:t>9</w:t>
      </w:r>
      <w:r w:rsidR="00345610" w:rsidRPr="00180522">
        <w:rPr>
          <w:lang w:val="en-GB"/>
        </w:rPr>
        <w:t xml:space="preserve"> </w:t>
      </w:r>
      <w:r w:rsidR="009A4E2D" w:rsidRPr="00180522">
        <w:rPr>
          <w:lang w:val="en-GB"/>
        </w:rPr>
        <w:t xml:space="preserve">covers only until </w:t>
      </w:r>
      <w:r w:rsidR="001F724D" w:rsidRPr="00180522">
        <w:rPr>
          <w:lang w:val="en-GB"/>
        </w:rPr>
        <w:t>August</w:t>
      </w:r>
      <w:r w:rsidRPr="00180522">
        <w:rPr>
          <w:lang w:val="en-GB"/>
        </w:rPr>
        <w:t>.</w:t>
      </w:r>
    </w:p>
    <w:p w14:paraId="05DD359D" w14:textId="11AAC9A7" w:rsidR="006944F8" w:rsidRPr="00180522" w:rsidRDefault="006944F8" w:rsidP="002013A1">
      <w:pPr>
        <w:rPr>
          <w:lang w:val="en-GB"/>
        </w:rPr>
      </w:pPr>
      <w:r w:rsidRPr="00180522">
        <w:rPr>
          <w:lang w:val="en-GB"/>
        </w:rPr>
        <w:t xml:space="preserve">All major revisions of ITU-T Recommendations are now also being </w:t>
      </w:r>
      <w:r w:rsidR="00AC4C00" w:rsidRPr="00180522">
        <w:rPr>
          <w:lang w:val="en-GB"/>
        </w:rPr>
        <w:t xml:space="preserve">converted to </w:t>
      </w:r>
      <w:r w:rsidRPr="00180522">
        <w:rPr>
          <w:lang w:val="en-GB"/>
        </w:rPr>
        <w:t xml:space="preserve">the reflowable ePub format, </w:t>
      </w:r>
      <w:r w:rsidR="00AC4C00" w:rsidRPr="00180522">
        <w:rPr>
          <w:lang w:val="en-GB"/>
        </w:rPr>
        <w:t xml:space="preserve">and will soon be published for free download </w:t>
      </w:r>
      <w:r w:rsidRPr="00180522">
        <w:rPr>
          <w:lang w:val="en-GB"/>
        </w:rPr>
        <w:t xml:space="preserve">alongside the usual PDF format. The ePub format allows users to read the Recommendations on devices of different screen sizes, and </w:t>
      </w:r>
      <w:r w:rsidR="008D184E" w:rsidRPr="00180522">
        <w:rPr>
          <w:lang w:val="en-GB"/>
        </w:rPr>
        <w:t xml:space="preserve">also </w:t>
      </w:r>
      <w:r w:rsidRPr="00180522">
        <w:rPr>
          <w:lang w:val="en-GB"/>
        </w:rPr>
        <w:t xml:space="preserve">to </w:t>
      </w:r>
      <w:r w:rsidR="008D184E" w:rsidRPr="00180522">
        <w:rPr>
          <w:lang w:val="en-GB"/>
        </w:rPr>
        <w:t xml:space="preserve">apply functions such as </w:t>
      </w:r>
      <w:r w:rsidRPr="00180522">
        <w:rPr>
          <w:lang w:val="en-GB"/>
        </w:rPr>
        <w:t>bookmark</w:t>
      </w:r>
      <w:r w:rsidR="008D184E" w:rsidRPr="00180522">
        <w:rPr>
          <w:lang w:val="en-GB"/>
        </w:rPr>
        <w:t>s</w:t>
      </w:r>
      <w:r w:rsidRPr="00180522">
        <w:rPr>
          <w:lang w:val="en-GB"/>
        </w:rPr>
        <w:t>, notes and highlight</w:t>
      </w:r>
      <w:r w:rsidR="008D184E" w:rsidRPr="00180522">
        <w:rPr>
          <w:lang w:val="en-GB"/>
        </w:rPr>
        <w:t>s</w:t>
      </w:r>
      <w:r w:rsidRPr="00180522">
        <w:rPr>
          <w:lang w:val="en-GB"/>
        </w:rPr>
        <w:t xml:space="preserve">. </w:t>
      </w:r>
    </w:p>
    <w:p w14:paraId="125E7DFD" w14:textId="58691955" w:rsidR="006944F8" w:rsidRPr="00180522" w:rsidRDefault="006944F8" w:rsidP="002013A1">
      <w:pPr>
        <w:rPr>
          <w:lang w:val="en-GB"/>
        </w:rPr>
      </w:pPr>
      <w:r w:rsidRPr="00180522">
        <w:rPr>
          <w:lang w:val="en-GB"/>
        </w:rPr>
        <w:t xml:space="preserve">The ITU product </w:t>
      </w:r>
      <w:r w:rsidR="00CA2D85" w:rsidRPr="00180522">
        <w:rPr>
          <w:lang w:val="en-GB"/>
        </w:rPr>
        <w:t>"</w:t>
      </w:r>
      <w:r w:rsidRPr="00180522">
        <w:rPr>
          <w:lang w:val="en-GB"/>
        </w:rPr>
        <w:t>ITU-T Recommendations and selected Handbooks</w:t>
      </w:r>
      <w:r w:rsidR="00CA2D85" w:rsidRPr="00180522">
        <w:rPr>
          <w:lang w:val="en-GB"/>
        </w:rPr>
        <w:t>"</w:t>
      </w:r>
      <w:r w:rsidRPr="00180522">
        <w:rPr>
          <w:lang w:val="en-GB"/>
        </w:rPr>
        <w:t xml:space="preserve"> continues to be distributed on a quarterly basis as a USB key. This product represents a tool of great value to standards developers and implementers as a consolidated archive of the over 4</w:t>
      </w:r>
      <w:r w:rsidR="008D184E" w:rsidRPr="00180522">
        <w:rPr>
          <w:lang w:val="en-GB"/>
        </w:rPr>
        <w:t>,</w:t>
      </w:r>
      <w:r w:rsidRPr="00180522">
        <w:rPr>
          <w:lang w:val="en-GB"/>
        </w:rPr>
        <w:t>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14:paraId="44D397D8" w14:textId="6006BF5E" w:rsidR="009673A2" w:rsidRPr="00180522" w:rsidRDefault="001F724D" w:rsidP="009673A2">
      <w:pPr>
        <w:jc w:val="center"/>
        <w:rPr>
          <w:lang w:val="en-GB"/>
        </w:rPr>
      </w:pPr>
      <w:r w:rsidRPr="00180522">
        <w:rPr>
          <w:lang w:val="en-GB" w:eastAsia="en-GB"/>
        </w:rPr>
        <w:t xml:space="preserve"> </w:t>
      </w:r>
      <w:r w:rsidRPr="00180522">
        <w:rPr>
          <w:noProof/>
          <w:lang w:val="en-GB"/>
        </w:rPr>
        <w:drawing>
          <wp:inline distT="0" distB="0" distL="0" distR="0" wp14:anchorId="2ED386C9" wp14:editId="1CC4B2E5">
            <wp:extent cx="4572000" cy="2743200"/>
            <wp:effectExtent l="0" t="0" r="0" b="0"/>
            <wp:docPr id="6" name="Picture 6" descr="cid:image003.png@01D56254.1E0D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56254.1E0D9840"/>
                    <pic:cNvPicPr>
                      <a:picLocks noChangeAspect="1" noChangeArrowheads="1"/>
                    </pic:cNvPicPr>
                  </pic:nvPicPr>
                  <pic:blipFill>
                    <a:blip r:embed="rId144" r:link="rId14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003E41E" w14:textId="3047179A" w:rsidR="006944F8" w:rsidRPr="00180522" w:rsidRDefault="006944F8" w:rsidP="007339CE">
      <w:pPr>
        <w:pStyle w:val="Title"/>
        <w:rPr>
          <w:rFonts w:ascii="Times New Roman" w:eastAsia="Times New Roman" w:hAnsi="Times New Roman"/>
          <w:bCs w:val="0"/>
          <w:sz w:val="24"/>
          <w:szCs w:val="20"/>
          <w:lang w:val="en-GB"/>
        </w:rPr>
      </w:pPr>
      <w:bookmarkStart w:id="166" w:name="_Toc16780647"/>
      <w:bookmarkStart w:id="167" w:name="_Toc18509776"/>
      <w:r w:rsidRPr="00180522">
        <w:rPr>
          <w:rFonts w:ascii="Times New Roman" w:eastAsia="Times New Roman" w:hAnsi="Times New Roman"/>
          <w:bCs w:val="0"/>
          <w:sz w:val="24"/>
          <w:szCs w:val="20"/>
          <w:lang w:val="en-GB"/>
        </w:rPr>
        <w:t xml:space="preserve">Figure </w:t>
      </w:r>
      <w:r w:rsidR="00C1421E" w:rsidRPr="00180522">
        <w:rPr>
          <w:rFonts w:ascii="Times New Roman" w:eastAsia="Times New Roman" w:hAnsi="Times New Roman"/>
          <w:bCs w:val="0"/>
          <w:sz w:val="24"/>
          <w:szCs w:val="20"/>
          <w:lang w:val="en-GB"/>
        </w:rPr>
        <w:fldChar w:fldCharType="begin"/>
      </w:r>
      <w:r w:rsidR="00C1421E" w:rsidRPr="00180522">
        <w:rPr>
          <w:rFonts w:ascii="Times New Roman" w:eastAsia="Times New Roman" w:hAnsi="Times New Roman"/>
          <w:bCs w:val="0"/>
          <w:sz w:val="24"/>
          <w:szCs w:val="20"/>
          <w:lang w:val="en-GB"/>
        </w:rPr>
        <w:instrText xml:space="preserve"> SEQ Figure \* ARABIC </w:instrText>
      </w:r>
      <w:r w:rsidR="00C1421E" w:rsidRPr="00180522">
        <w:rPr>
          <w:rFonts w:ascii="Times New Roman" w:eastAsia="Times New Roman" w:hAnsi="Times New Roman"/>
          <w:bCs w:val="0"/>
          <w:sz w:val="24"/>
          <w:szCs w:val="20"/>
          <w:lang w:val="en-GB"/>
        </w:rPr>
        <w:fldChar w:fldCharType="separate"/>
      </w:r>
      <w:r w:rsidR="00C1421E" w:rsidRPr="00180522">
        <w:rPr>
          <w:rFonts w:ascii="Times New Roman" w:eastAsia="Times New Roman" w:hAnsi="Times New Roman"/>
          <w:bCs w:val="0"/>
          <w:sz w:val="24"/>
          <w:szCs w:val="20"/>
          <w:lang w:val="en-GB"/>
        </w:rPr>
        <w:t>4</w:t>
      </w:r>
      <w:r w:rsidR="00C1421E" w:rsidRPr="00180522">
        <w:rPr>
          <w:rFonts w:ascii="Times New Roman" w:eastAsia="Times New Roman" w:hAnsi="Times New Roman"/>
          <w:bCs w:val="0"/>
          <w:sz w:val="24"/>
          <w:szCs w:val="20"/>
          <w:lang w:val="en-GB"/>
        </w:rPr>
        <w:fldChar w:fldCharType="end"/>
      </w:r>
      <w:r w:rsidRPr="00180522">
        <w:rPr>
          <w:rFonts w:ascii="Times New Roman" w:eastAsia="Times New Roman" w:hAnsi="Times New Roman"/>
          <w:bCs w:val="0"/>
          <w:sz w:val="24"/>
          <w:szCs w:val="20"/>
          <w:lang w:val="en-GB"/>
        </w:rPr>
        <w:t xml:space="preserve"> – Number of Recommendations, amendments and Supplements </w:t>
      </w:r>
      <w:r w:rsidRPr="00180522">
        <w:rPr>
          <w:rFonts w:ascii="Times New Roman" w:eastAsia="Times New Roman" w:hAnsi="Times New Roman"/>
          <w:bCs w:val="0"/>
          <w:sz w:val="24"/>
          <w:szCs w:val="20"/>
          <w:lang w:val="en-GB"/>
        </w:rPr>
        <w:br/>
        <w:t>published per year since 201</w:t>
      </w:r>
      <w:r w:rsidR="009A4E2D" w:rsidRPr="00180522">
        <w:rPr>
          <w:rFonts w:ascii="Times New Roman" w:eastAsia="Times New Roman" w:hAnsi="Times New Roman"/>
          <w:bCs w:val="0"/>
          <w:sz w:val="24"/>
          <w:szCs w:val="20"/>
          <w:lang w:val="en-GB"/>
        </w:rPr>
        <w:t>6</w:t>
      </w:r>
      <w:bookmarkEnd w:id="166"/>
      <w:bookmarkEnd w:id="167"/>
    </w:p>
    <w:p w14:paraId="605353D9" w14:textId="064E727D" w:rsidR="006944F8" w:rsidRPr="00180522" w:rsidRDefault="006944F8" w:rsidP="006944F8">
      <w:pPr>
        <w:pStyle w:val="Heading1"/>
      </w:pPr>
      <w:bookmarkStart w:id="168" w:name="_Toc462664275"/>
      <w:bookmarkStart w:id="169" w:name="_Toc480527864"/>
      <w:bookmarkStart w:id="170" w:name="_Toc18509777"/>
      <w:r w:rsidRPr="00180522">
        <w:t>1</w:t>
      </w:r>
      <w:r w:rsidR="002F0E38" w:rsidRPr="00180522">
        <w:t>2</w:t>
      </w:r>
      <w:r w:rsidRPr="00180522">
        <w:tab/>
      </w:r>
      <w:bookmarkStart w:id="171" w:name="_Toc480527865"/>
      <w:bookmarkStart w:id="172" w:name="_Toc505235939"/>
      <w:bookmarkEnd w:id="160"/>
      <w:bookmarkEnd w:id="161"/>
      <w:bookmarkEnd w:id="162"/>
      <w:bookmarkEnd w:id="163"/>
      <w:bookmarkEnd w:id="164"/>
      <w:bookmarkEnd w:id="165"/>
      <w:bookmarkEnd w:id="168"/>
      <w:bookmarkEnd w:id="169"/>
      <w:r w:rsidRPr="00180522">
        <w:t>Media and promotion</w:t>
      </w:r>
      <w:bookmarkEnd w:id="170"/>
      <w:bookmarkEnd w:id="171"/>
      <w:bookmarkEnd w:id="172"/>
    </w:p>
    <w:p w14:paraId="2B0A2FA8" w14:textId="509D3D4A" w:rsidR="004E6F00" w:rsidRPr="00180522" w:rsidRDefault="006944F8" w:rsidP="001C37A8">
      <w:pPr>
        <w:rPr>
          <w:lang w:val="en-GB"/>
        </w:rPr>
      </w:pPr>
      <w:r w:rsidRPr="00180522">
        <w:rPr>
          <w:lang w:val="en-GB"/>
        </w:rPr>
        <w:t>TSB maintains a consistent output of original ITU-T news content, coupled with a coordinated social media strategy led by the ITU General Secretar</w:t>
      </w:r>
      <w:r w:rsidR="00084C58" w:rsidRPr="00180522">
        <w:rPr>
          <w:lang w:val="en-GB"/>
        </w:rPr>
        <w:t>iat.</w:t>
      </w:r>
    </w:p>
    <w:p w14:paraId="657F0167" w14:textId="6BBF5427" w:rsidR="004E6F00" w:rsidRPr="00180522" w:rsidRDefault="004258B1" w:rsidP="001C37A8">
      <w:pPr>
        <w:rPr>
          <w:lang w:val="en-GB"/>
        </w:rPr>
      </w:pPr>
      <w:r w:rsidRPr="00180522">
        <w:rPr>
          <w:lang w:val="en-GB"/>
        </w:rPr>
        <w:t>TSB produces the most communications of any sector and these communications feature among the most popular ITU content each year.</w:t>
      </w:r>
      <w:r w:rsidR="004E6F00" w:rsidRPr="00180522">
        <w:rPr>
          <w:lang w:val="en-GB"/>
        </w:rPr>
        <w:t xml:space="preserve"> </w:t>
      </w:r>
      <w:r w:rsidR="006944F8" w:rsidRPr="00180522">
        <w:rPr>
          <w:lang w:val="en-GB"/>
        </w:rPr>
        <w:t xml:space="preserve">ITU-T news is published on the new </w:t>
      </w:r>
      <w:hyperlink r:id="rId146" w:history="1">
        <w:r w:rsidR="006944F8" w:rsidRPr="00180522">
          <w:rPr>
            <w:rStyle w:val="Hyperlink"/>
            <w:lang w:val="en-GB"/>
          </w:rPr>
          <w:t>ITU News platform</w:t>
        </w:r>
      </w:hyperlink>
      <w:r w:rsidR="001D7B96" w:rsidRPr="00180522">
        <w:rPr>
          <w:lang w:val="en-GB"/>
        </w:rPr>
        <w:t xml:space="preserve">, a </w:t>
      </w:r>
      <w:r w:rsidRPr="00180522">
        <w:rPr>
          <w:lang w:val="en-GB"/>
        </w:rPr>
        <w:t xml:space="preserve">mobile-optimized platform </w:t>
      </w:r>
      <w:r w:rsidR="001D7B96" w:rsidRPr="00180522">
        <w:rPr>
          <w:lang w:val="en-GB"/>
        </w:rPr>
        <w:t xml:space="preserve">which </w:t>
      </w:r>
      <w:r w:rsidRPr="00180522">
        <w:rPr>
          <w:lang w:val="en-GB"/>
        </w:rPr>
        <w:t xml:space="preserve">supports the incorporation of multimedia and improves search-engine results and sharing. A new </w:t>
      </w:r>
      <w:hyperlink r:id="rId147" w:history="1">
        <w:r w:rsidR="00CA2D85" w:rsidRPr="00180522">
          <w:rPr>
            <w:rStyle w:val="Hyperlink"/>
            <w:lang w:val="en-GB"/>
          </w:rPr>
          <w:t>'</w:t>
        </w:r>
        <w:r w:rsidRPr="00180522">
          <w:rPr>
            <w:rStyle w:val="Hyperlink"/>
            <w:lang w:val="en-GB"/>
          </w:rPr>
          <w:t>Standards</w:t>
        </w:r>
        <w:r w:rsidR="00CA2D85" w:rsidRPr="00180522">
          <w:rPr>
            <w:rStyle w:val="Hyperlink"/>
            <w:lang w:val="en-GB"/>
          </w:rPr>
          <w:t>'</w:t>
        </w:r>
        <w:r w:rsidRPr="00180522">
          <w:rPr>
            <w:rStyle w:val="Hyperlink"/>
            <w:lang w:val="en-GB"/>
          </w:rPr>
          <w:t xml:space="preserve"> category of ITU News</w:t>
        </w:r>
      </w:hyperlink>
      <w:r w:rsidRPr="00180522">
        <w:rPr>
          <w:lang w:val="en-GB"/>
        </w:rPr>
        <w:t xml:space="preserve"> focuses </w:t>
      </w:r>
      <w:r w:rsidR="00BE3030" w:rsidRPr="00180522">
        <w:rPr>
          <w:lang w:val="en-GB"/>
        </w:rPr>
        <w:t>on the work of ITU-R and ITU-T.</w:t>
      </w:r>
    </w:p>
    <w:p w14:paraId="77C49CE5" w14:textId="0099AB51" w:rsidR="006944F8" w:rsidRPr="00180522" w:rsidRDefault="004E6F00" w:rsidP="001C37A8">
      <w:pPr>
        <w:rPr>
          <w:lang w:val="en-GB"/>
        </w:rPr>
      </w:pPr>
      <w:r w:rsidRPr="00180522">
        <w:rPr>
          <w:lang w:val="en-GB"/>
        </w:rPr>
        <w:lastRenderedPageBreak/>
        <w:t xml:space="preserve">TSB communications are systematically distributed using a variety of social media channels including Twitter, Facebook, LinkedIn, Weibo and YouTube. </w:t>
      </w:r>
      <w:r w:rsidR="00F053CB" w:rsidRPr="00180522">
        <w:rPr>
          <w:lang w:val="en-GB"/>
        </w:rPr>
        <w:t xml:space="preserve">Infographics, animations and video form part of coordinated packages of TSB communications. </w:t>
      </w:r>
    </w:p>
    <w:p w14:paraId="4CC40111" w14:textId="77777777" w:rsidR="006944F8" w:rsidRPr="00180522" w:rsidRDefault="006944F8" w:rsidP="001C37A8">
      <w:pPr>
        <w:rPr>
          <w:lang w:val="en-GB"/>
        </w:rPr>
      </w:pPr>
      <w:r w:rsidRPr="00180522">
        <w:rPr>
          <w:lang w:val="en-GB"/>
        </w:rPr>
        <w:t>High-priority ITU-T news topics include:</w:t>
      </w:r>
    </w:p>
    <w:p w14:paraId="49B61ACC" w14:textId="6152DEFA" w:rsidR="00150C92" w:rsidRPr="00180522" w:rsidRDefault="006944F8" w:rsidP="00150C92">
      <w:pPr>
        <w:numPr>
          <w:ilvl w:val="0"/>
          <w:numId w:val="34"/>
        </w:numPr>
        <w:rPr>
          <w:lang w:val="en-GB"/>
        </w:rPr>
      </w:pPr>
      <w:r w:rsidRPr="00180522">
        <w:rPr>
          <w:lang w:val="en-GB"/>
        </w:rPr>
        <w:t>Transport and access</w:t>
      </w:r>
      <w:r w:rsidR="001D7B96" w:rsidRPr="00180522">
        <w:rPr>
          <w:lang w:val="en-GB"/>
        </w:rPr>
        <w:t>,</w:t>
      </w:r>
      <w:r w:rsidRPr="00180522">
        <w:rPr>
          <w:lang w:val="en-GB"/>
        </w:rPr>
        <w:t xml:space="preserve"> video coding</w:t>
      </w:r>
      <w:r w:rsidR="001D7B96" w:rsidRPr="00180522">
        <w:rPr>
          <w:lang w:val="en-GB"/>
        </w:rPr>
        <w:t xml:space="preserve">, </w:t>
      </w:r>
      <w:r w:rsidRPr="00180522">
        <w:rPr>
          <w:lang w:val="en-GB"/>
        </w:rPr>
        <w:t>and performance, QoS and QoE are of great interest to ITU-T</w:t>
      </w:r>
      <w:r w:rsidR="00CA2D85" w:rsidRPr="00180522">
        <w:rPr>
          <w:lang w:val="en-GB"/>
        </w:rPr>
        <w:t>'</w:t>
      </w:r>
      <w:r w:rsidRPr="00180522">
        <w:rPr>
          <w:lang w:val="en-GB"/>
        </w:rPr>
        <w:t>s audience. The success of related ITU-T news can be attributed to ITU</w:t>
      </w:r>
      <w:r w:rsidR="00CA2D85" w:rsidRPr="00180522">
        <w:rPr>
          <w:lang w:val="en-GB"/>
        </w:rPr>
        <w:t>'</w:t>
      </w:r>
      <w:r w:rsidRPr="00180522">
        <w:rPr>
          <w:lang w:val="en-GB"/>
        </w:rPr>
        <w:t>s leadership and credibility in these fields.</w:t>
      </w:r>
    </w:p>
    <w:p w14:paraId="6C08B6D3" w14:textId="43410353" w:rsidR="00150C92" w:rsidRPr="00180522" w:rsidRDefault="006653E5" w:rsidP="00150C92">
      <w:pPr>
        <w:numPr>
          <w:ilvl w:val="0"/>
          <w:numId w:val="34"/>
        </w:numPr>
        <w:rPr>
          <w:lang w:val="en-GB"/>
        </w:rPr>
      </w:pPr>
      <w:r w:rsidRPr="00180522">
        <w:rPr>
          <w:lang w:val="en-GB"/>
        </w:rPr>
        <w:t>5G, trust, IoT and smart c</w:t>
      </w:r>
      <w:r w:rsidR="006944F8" w:rsidRPr="00180522">
        <w:rPr>
          <w:lang w:val="en-GB"/>
        </w:rPr>
        <w:t xml:space="preserve">ities are effective </w:t>
      </w:r>
      <w:r w:rsidR="00CA2D85" w:rsidRPr="00180522">
        <w:rPr>
          <w:lang w:val="en-GB"/>
        </w:rPr>
        <w:t>'</w:t>
      </w:r>
      <w:r w:rsidR="006944F8" w:rsidRPr="00180522">
        <w:rPr>
          <w:lang w:val="en-GB"/>
        </w:rPr>
        <w:t>headline</w:t>
      </w:r>
      <w:r w:rsidR="00CA2D85" w:rsidRPr="00180522">
        <w:rPr>
          <w:lang w:val="en-GB"/>
        </w:rPr>
        <w:t>'</w:t>
      </w:r>
      <w:r w:rsidR="006944F8" w:rsidRPr="00180522">
        <w:rPr>
          <w:lang w:val="en-GB"/>
        </w:rPr>
        <w:t xml:space="preserve"> topics, helping ITU-T news to highlight how I</w:t>
      </w:r>
      <w:r w:rsidR="00E81BEB" w:rsidRPr="00180522">
        <w:rPr>
          <w:lang w:val="en-GB"/>
        </w:rPr>
        <w:t>TU standards support ICT users.</w:t>
      </w:r>
    </w:p>
    <w:p w14:paraId="19D46D32" w14:textId="30294D36" w:rsidR="006944F8" w:rsidRPr="00180522" w:rsidRDefault="00CA2D85" w:rsidP="00150C92">
      <w:pPr>
        <w:numPr>
          <w:ilvl w:val="0"/>
          <w:numId w:val="34"/>
        </w:numPr>
        <w:rPr>
          <w:lang w:val="en-GB"/>
        </w:rPr>
      </w:pPr>
      <w:r w:rsidRPr="00180522">
        <w:rPr>
          <w:lang w:val="en-GB"/>
        </w:rPr>
        <w:t>'</w:t>
      </w:r>
      <w:r w:rsidR="00AF6AAA" w:rsidRPr="00180522">
        <w:rPr>
          <w:lang w:val="en-GB"/>
        </w:rPr>
        <w:t>Emerging trends</w:t>
      </w:r>
      <w:r w:rsidRPr="00180522">
        <w:rPr>
          <w:lang w:val="en-GB"/>
        </w:rPr>
        <w:t>'</w:t>
      </w:r>
      <w:r w:rsidR="006653E5" w:rsidRPr="00180522">
        <w:rPr>
          <w:lang w:val="en-GB"/>
        </w:rPr>
        <w:t xml:space="preserve"> such as AI, ITS, </w:t>
      </w:r>
      <w:proofErr w:type="spellStart"/>
      <w:r w:rsidR="006653E5" w:rsidRPr="00180522">
        <w:rPr>
          <w:lang w:val="en-GB"/>
        </w:rPr>
        <w:t>b</w:t>
      </w:r>
      <w:r w:rsidR="00AF6AAA" w:rsidRPr="00180522">
        <w:rPr>
          <w:lang w:val="en-GB"/>
        </w:rPr>
        <w:t>lockchain</w:t>
      </w:r>
      <w:proofErr w:type="spellEnd"/>
      <w:r w:rsidR="00AF6AAA" w:rsidRPr="00180522">
        <w:rPr>
          <w:lang w:val="en-GB"/>
        </w:rPr>
        <w:t xml:space="preserve">, DFS and quantum </w:t>
      </w:r>
      <w:r w:rsidR="0021319C" w:rsidRPr="00180522">
        <w:rPr>
          <w:lang w:val="en-GB"/>
        </w:rPr>
        <w:t xml:space="preserve">information technologies </w:t>
      </w:r>
      <w:r w:rsidR="00150C92" w:rsidRPr="00180522">
        <w:rPr>
          <w:lang w:val="en-GB"/>
        </w:rPr>
        <w:t xml:space="preserve">are also proving </w:t>
      </w:r>
      <w:r w:rsidR="00AF6AAA" w:rsidRPr="00180522">
        <w:rPr>
          <w:lang w:val="en-GB"/>
        </w:rPr>
        <w:t>popular with ITU-T</w:t>
      </w:r>
      <w:r w:rsidRPr="00180522">
        <w:rPr>
          <w:lang w:val="en-GB"/>
        </w:rPr>
        <w:t>'</w:t>
      </w:r>
      <w:r w:rsidR="00AF6AAA" w:rsidRPr="00180522">
        <w:rPr>
          <w:lang w:val="en-GB"/>
        </w:rPr>
        <w:t>s audience</w:t>
      </w:r>
      <w:r w:rsidR="006944F8" w:rsidRPr="00180522">
        <w:rPr>
          <w:lang w:val="en-GB"/>
        </w:rPr>
        <w:t>.</w:t>
      </w:r>
    </w:p>
    <w:p w14:paraId="63791F6A" w14:textId="0E4999CA" w:rsidR="006944F8" w:rsidRPr="00180522" w:rsidRDefault="002F0E38" w:rsidP="00C1421E">
      <w:pPr>
        <w:pStyle w:val="Heading1"/>
      </w:pPr>
      <w:bookmarkStart w:id="173" w:name="_Toc416161374"/>
      <w:bookmarkStart w:id="174" w:name="_Toc438553999"/>
      <w:bookmarkStart w:id="175" w:name="_Toc453929121"/>
      <w:bookmarkStart w:id="176" w:name="_Toc453932992"/>
      <w:bookmarkStart w:id="177" w:name="_Toc454295898"/>
      <w:bookmarkStart w:id="178" w:name="_Toc462664276"/>
      <w:bookmarkStart w:id="179" w:name="_Toc480527868"/>
      <w:bookmarkStart w:id="180" w:name="_Ref16697318"/>
      <w:bookmarkStart w:id="181" w:name="_Toc18509778"/>
      <w:r w:rsidRPr="00180522">
        <w:t>13</w:t>
      </w:r>
      <w:r w:rsidR="006944F8" w:rsidRPr="00180522">
        <w:tab/>
        <w:t>Services and tools</w:t>
      </w:r>
      <w:bookmarkEnd w:id="173"/>
      <w:bookmarkEnd w:id="174"/>
      <w:bookmarkEnd w:id="175"/>
      <w:bookmarkEnd w:id="176"/>
      <w:bookmarkEnd w:id="177"/>
      <w:bookmarkEnd w:id="178"/>
      <w:bookmarkEnd w:id="179"/>
      <w:bookmarkEnd w:id="180"/>
      <w:bookmarkEnd w:id="181"/>
    </w:p>
    <w:p w14:paraId="38B721F7" w14:textId="56D9D3AF" w:rsidR="006944F8" w:rsidRPr="00180522" w:rsidRDefault="006944F8" w:rsidP="002013A1">
      <w:pPr>
        <w:rPr>
          <w:lang w:val="en-GB"/>
        </w:rPr>
      </w:pPr>
      <w:r w:rsidRPr="00180522">
        <w:rPr>
          <w:lang w:val="en-GB"/>
        </w:rPr>
        <w:t>Electronic working methods offer crucial support to members engaged in ITU</w:t>
      </w:r>
      <w:r w:rsidR="008D184E" w:rsidRPr="00180522">
        <w:rPr>
          <w:lang w:val="en-GB"/>
        </w:rPr>
        <w:t>-T</w:t>
      </w:r>
      <w:r w:rsidRPr="00180522">
        <w:rPr>
          <w:lang w:val="en-GB"/>
        </w:rPr>
        <w:t xml:space="preserve"> standardization work. </w:t>
      </w:r>
      <w:r w:rsidR="008D184E" w:rsidRPr="00180522">
        <w:rPr>
          <w:lang w:val="en-GB"/>
        </w:rPr>
        <w:t xml:space="preserve">TSB </w:t>
      </w:r>
      <w:r w:rsidRPr="00180522">
        <w:rPr>
          <w:lang w:val="en-GB"/>
        </w:rPr>
        <w:t>continues to develop new applications and services to maintain and expand ITU</w:t>
      </w:r>
      <w:r w:rsidR="008D184E" w:rsidRPr="00180522">
        <w:rPr>
          <w:lang w:val="en-GB"/>
        </w:rPr>
        <w:t>-T</w:t>
      </w:r>
      <w:r w:rsidR="00CA2D85" w:rsidRPr="00180522">
        <w:rPr>
          <w:lang w:val="en-GB"/>
        </w:rPr>
        <w:t>'</w:t>
      </w:r>
      <w:r w:rsidRPr="00180522">
        <w:rPr>
          <w:lang w:val="en-GB"/>
        </w:rPr>
        <w:t>s advanced electronic working environment.</w:t>
      </w:r>
    </w:p>
    <w:p w14:paraId="649ECF41" w14:textId="1988CE44" w:rsidR="006944F8" w:rsidRPr="00180522" w:rsidRDefault="002F0E38" w:rsidP="006944F8">
      <w:pPr>
        <w:pStyle w:val="Heading2"/>
      </w:pPr>
      <w:bookmarkStart w:id="182" w:name="_Toc312148142"/>
      <w:bookmarkStart w:id="183" w:name="_Toc462664277"/>
      <w:bookmarkStart w:id="184" w:name="_Toc480527869"/>
      <w:bookmarkStart w:id="185" w:name="_Toc18509779"/>
      <w:r w:rsidRPr="00180522">
        <w:t>13</w:t>
      </w:r>
      <w:r w:rsidR="006944F8" w:rsidRPr="00180522">
        <w:t>.1</w:t>
      </w:r>
      <w:r w:rsidR="006944F8" w:rsidRPr="00180522">
        <w:tab/>
        <w:t xml:space="preserve">ITU-T </w:t>
      </w:r>
      <w:r w:rsidR="001C37A8" w:rsidRPr="00180522">
        <w:t>databases</w:t>
      </w:r>
      <w:bookmarkEnd w:id="182"/>
      <w:bookmarkEnd w:id="183"/>
      <w:bookmarkEnd w:id="184"/>
      <w:bookmarkEnd w:id="185"/>
    </w:p>
    <w:p w14:paraId="3B81D83D" w14:textId="46111F5E" w:rsidR="006944F8" w:rsidRPr="00180522" w:rsidRDefault="006944F8" w:rsidP="002013A1">
      <w:pPr>
        <w:rPr>
          <w:lang w:val="en-GB"/>
        </w:rPr>
      </w:pPr>
      <w:r w:rsidRPr="00180522">
        <w:rPr>
          <w:lang w:val="en-GB"/>
        </w:rPr>
        <w:t>To serve ITU-T delegates and secretariat staff, the following databases are available online:</w:t>
      </w:r>
    </w:p>
    <w:p w14:paraId="7F517E03"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48" w:history="1">
        <w:r w:rsidR="006944F8" w:rsidRPr="00180522">
          <w:rPr>
            <w:rStyle w:val="Hyperlink"/>
            <w:rFonts w:asciiTheme="majorBidi" w:eastAsia="SimSun" w:hAnsiTheme="majorBidi" w:cstheme="majorBidi"/>
            <w:lang w:val="en-GB"/>
          </w:rPr>
          <w:t>ITU-T Work Programme</w:t>
        </w:r>
      </w:hyperlink>
    </w:p>
    <w:p w14:paraId="745C41D5"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49" w:history="1">
        <w:r w:rsidR="006944F8" w:rsidRPr="00180522">
          <w:rPr>
            <w:rStyle w:val="Hyperlink"/>
            <w:rFonts w:asciiTheme="majorBidi" w:eastAsia="SimSun" w:hAnsiTheme="majorBidi" w:cstheme="majorBidi"/>
            <w:lang w:val="en-GB"/>
          </w:rPr>
          <w:t>ITU-T A.4, A.5 and A.6 recognized organizations</w:t>
        </w:r>
      </w:hyperlink>
    </w:p>
    <w:p w14:paraId="12567541"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50" w:history="1">
        <w:r w:rsidR="006944F8" w:rsidRPr="00180522">
          <w:rPr>
            <w:rStyle w:val="Hyperlink"/>
            <w:rFonts w:asciiTheme="majorBidi" w:hAnsiTheme="majorBidi" w:cstheme="majorBidi"/>
            <w:lang w:val="en-GB"/>
          </w:rPr>
          <w:t>ITU-T AAP</w:t>
        </w:r>
      </w:hyperlink>
      <w:r w:rsidR="006944F8" w:rsidRPr="00180522">
        <w:rPr>
          <w:lang w:val="en-GB"/>
        </w:rPr>
        <w:t xml:space="preserve"> &amp; </w:t>
      </w:r>
      <w:hyperlink r:id="rId151" w:history="1">
        <w:r w:rsidR="006944F8" w:rsidRPr="00180522">
          <w:rPr>
            <w:rStyle w:val="Hyperlink"/>
            <w:rFonts w:asciiTheme="majorBidi" w:hAnsiTheme="majorBidi" w:cstheme="majorBidi"/>
            <w:lang w:val="en-GB"/>
          </w:rPr>
          <w:t>TAP</w:t>
        </w:r>
      </w:hyperlink>
    </w:p>
    <w:p w14:paraId="19DCEF3F"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52" w:history="1">
        <w:r w:rsidR="006944F8" w:rsidRPr="00180522">
          <w:rPr>
            <w:rStyle w:val="Hyperlink"/>
            <w:rFonts w:asciiTheme="majorBidi" w:eastAsia="SimSun" w:hAnsiTheme="majorBidi" w:cstheme="majorBidi"/>
            <w:lang w:val="en-GB"/>
          </w:rPr>
          <w:t>ITU-T Recommendations</w:t>
        </w:r>
      </w:hyperlink>
    </w:p>
    <w:p w14:paraId="4BD2F2F1"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53" w:history="1">
        <w:r w:rsidR="006944F8" w:rsidRPr="00180522">
          <w:rPr>
            <w:rStyle w:val="Hyperlink"/>
            <w:rFonts w:asciiTheme="majorBidi" w:eastAsia="SimSun" w:hAnsiTheme="majorBidi" w:cstheme="majorBidi"/>
            <w:lang w:val="en-GB"/>
          </w:rPr>
          <w:t>ITU-T Liaison Statements</w:t>
        </w:r>
      </w:hyperlink>
    </w:p>
    <w:p w14:paraId="76BEE416"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54" w:history="1">
        <w:r w:rsidR="006944F8" w:rsidRPr="00180522">
          <w:rPr>
            <w:rStyle w:val="Hyperlink"/>
            <w:rFonts w:asciiTheme="majorBidi" w:eastAsia="SimSun" w:hAnsiTheme="majorBidi" w:cstheme="majorBidi"/>
            <w:lang w:val="en-GB"/>
          </w:rPr>
          <w:t>ITU-T Patents and Software Copyrights</w:t>
        </w:r>
      </w:hyperlink>
    </w:p>
    <w:p w14:paraId="14410659"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55" w:history="1">
        <w:r w:rsidR="006944F8" w:rsidRPr="00180522">
          <w:rPr>
            <w:rStyle w:val="Hyperlink"/>
            <w:rFonts w:asciiTheme="majorBidi" w:eastAsia="SimSun" w:hAnsiTheme="majorBidi" w:cstheme="majorBidi"/>
            <w:lang w:val="en-GB"/>
          </w:rPr>
          <w:t>ITU Product Conformity Database</w:t>
        </w:r>
      </w:hyperlink>
    </w:p>
    <w:p w14:paraId="1D9D3C9B"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56" w:history="1">
        <w:r w:rsidR="006944F8" w:rsidRPr="00180522">
          <w:rPr>
            <w:rStyle w:val="Hyperlink"/>
            <w:rFonts w:asciiTheme="majorBidi" w:eastAsia="SimSun" w:hAnsiTheme="majorBidi" w:cstheme="majorBidi"/>
            <w:lang w:val="en-GB"/>
          </w:rPr>
          <w:t>ITU-T Formal descriptions and Object identifiers</w:t>
        </w:r>
      </w:hyperlink>
    </w:p>
    <w:p w14:paraId="342AC998"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57" w:history="1">
        <w:r w:rsidR="006944F8" w:rsidRPr="00180522">
          <w:rPr>
            <w:rStyle w:val="Hyperlink"/>
            <w:rFonts w:asciiTheme="majorBidi" w:eastAsia="SimSun" w:hAnsiTheme="majorBidi" w:cstheme="majorBidi"/>
            <w:lang w:val="en-GB"/>
          </w:rPr>
          <w:t>ITU-T Test Signals</w:t>
        </w:r>
      </w:hyperlink>
    </w:p>
    <w:p w14:paraId="6884AA67" w14:textId="77777777"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58" w:history="1">
        <w:r w:rsidR="006944F8" w:rsidRPr="00180522">
          <w:rPr>
            <w:rStyle w:val="Hyperlink"/>
            <w:rFonts w:asciiTheme="majorBidi" w:eastAsia="SimSun" w:hAnsiTheme="majorBidi" w:cstheme="majorBidi"/>
            <w:lang w:val="en-GB"/>
          </w:rPr>
          <w:t>ITU-T Terms &amp; Definitions</w:t>
        </w:r>
      </w:hyperlink>
    </w:p>
    <w:p w14:paraId="50026380" w14:textId="77777777" w:rsidR="004872B7" w:rsidRPr="00180522" w:rsidRDefault="007706CC" w:rsidP="002013A1">
      <w:pPr>
        <w:numPr>
          <w:ilvl w:val="0"/>
          <w:numId w:val="15"/>
        </w:numPr>
        <w:tabs>
          <w:tab w:val="clear" w:pos="794"/>
          <w:tab w:val="clear" w:pos="1191"/>
          <w:tab w:val="clear" w:pos="1588"/>
          <w:tab w:val="clear" w:pos="1985"/>
        </w:tabs>
        <w:spacing w:before="0"/>
        <w:rPr>
          <w:lang w:val="en-GB"/>
        </w:rPr>
      </w:pPr>
      <w:hyperlink r:id="rId159" w:history="1">
        <w:r w:rsidR="006944F8" w:rsidRPr="00180522">
          <w:rPr>
            <w:rStyle w:val="Hyperlink"/>
            <w:rFonts w:asciiTheme="majorBidi" w:eastAsia="SimSun" w:hAnsiTheme="majorBidi" w:cstheme="majorBidi"/>
            <w:lang w:val="en-GB"/>
          </w:rPr>
          <w:t>International Numbering Resources</w:t>
        </w:r>
      </w:hyperlink>
      <w:r w:rsidR="00DD288D" w:rsidRPr="00180522">
        <w:rPr>
          <w:lang w:val="en-GB"/>
        </w:rPr>
        <w:t xml:space="preserve"> (See section 13</w:t>
      </w:r>
      <w:r w:rsidR="006944F8" w:rsidRPr="00180522">
        <w:rPr>
          <w:lang w:val="en-GB"/>
        </w:rPr>
        <w:t>.6 for more details)</w:t>
      </w:r>
    </w:p>
    <w:p w14:paraId="01899100" w14:textId="3B11D5FC" w:rsidR="001C37A8" w:rsidRPr="00180522" w:rsidRDefault="007706CC" w:rsidP="002013A1">
      <w:pPr>
        <w:numPr>
          <w:ilvl w:val="0"/>
          <w:numId w:val="15"/>
        </w:numPr>
        <w:tabs>
          <w:tab w:val="clear" w:pos="794"/>
          <w:tab w:val="clear" w:pos="1191"/>
          <w:tab w:val="clear" w:pos="1588"/>
          <w:tab w:val="clear" w:pos="1985"/>
        </w:tabs>
        <w:spacing w:before="0"/>
        <w:rPr>
          <w:lang w:val="en-GB"/>
        </w:rPr>
      </w:pPr>
      <w:hyperlink r:id="rId160" w:anchor="?topic=0.131&amp;workgroup=1&amp;searchValue=&amp;page=1&amp;sort=Revelance" w:history="1">
        <w:r w:rsidR="001C37A8" w:rsidRPr="00180522">
          <w:rPr>
            <w:rStyle w:val="Hyperlink"/>
            <w:bCs/>
            <w:lang w:val="en-GB"/>
          </w:rPr>
          <w:t>ITS Communication Standards database</w:t>
        </w:r>
      </w:hyperlink>
      <w:r w:rsidR="001C37A8" w:rsidRPr="00180522">
        <w:rPr>
          <w:lang w:val="en-GB"/>
        </w:rPr>
        <w:t xml:space="preserve"> (from CITS)</w:t>
      </w:r>
    </w:p>
    <w:p w14:paraId="448A179F" w14:textId="2A93C216" w:rsidR="006944F8" w:rsidRPr="00180522" w:rsidRDefault="007706CC" w:rsidP="002013A1">
      <w:pPr>
        <w:numPr>
          <w:ilvl w:val="0"/>
          <w:numId w:val="15"/>
        </w:numPr>
        <w:tabs>
          <w:tab w:val="clear" w:pos="794"/>
          <w:tab w:val="clear" w:pos="1191"/>
          <w:tab w:val="clear" w:pos="1588"/>
          <w:tab w:val="clear" w:pos="1985"/>
        </w:tabs>
        <w:spacing w:before="0"/>
        <w:rPr>
          <w:lang w:val="en-GB"/>
        </w:rPr>
      </w:pPr>
      <w:hyperlink r:id="rId161" w:history="1">
        <w:r w:rsidR="004872B7" w:rsidRPr="00180522">
          <w:rPr>
            <w:rStyle w:val="Hyperlink"/>
            <w:lang w:val="en-GB"/>
          </w:rPr>
          <w:t>ICT standards landscape</w:t>
        </w:r>
      </w:hyperlink>
      <w:r w:rsidR="004872B7" w:rsidRPr="00180522">
        <w:rPr>
          <w:lang w:val="en-GB"/>
        </w:rPr>
        <w:t xml:space="preserve"> (from SG17)</w:t>
      </w:r>
    </w:p>
    <w:p w14:paraId="00B8FF50" w14:textId="77D7EC73" w:rsidR="006944F8" w:rsidRPr="00180522" w:rsidRDefault="002F0E38" w:rsidP="006944F8">
      <w:pPr>
        <w:pStyle w:val="Heading2"/>
      </w:pPr>
      <w:bookmarkStart w:id="186" w:name="_Toc18509780"/>
      <w:r w:rsidRPr="00180522">
        <w:t>13</w:t>
      </w:r>
      <w:r w:rsidR="006944F8" w:rsidRPr="00180522">
        <w:t>.2</w:t>
      </w:r>
      <w:r w:rsidR="006944F8" w:rsidRPr="00180522">
        <w:tab/>
        <w:t>ITU-T MyWorkspace</w:t>
      </w:r>
      <w:bookmarkEnd w:id="186"/>
    </w:p>
    <w:p w14:paraId="4B9BF6CC" w14:textId="4FA0A913" w:rsidR="00E04195" w:rsidRPr="00180522" w:rsidRDefault="00E04195" w:rsidP="00E04195">
      <w:pPr>
        <w:rPr>
          <w:szCs w:val="24"/>
          <w:lang w:val="en-GB"/>
        </w:rPr>
      </w:pPr>
      <w:r w:rsidRPr="00180522">
        <w:rPr>
          <w:szCs w:val="24"/>
          <w:lang w:val="en-GB"/>
        </w:rPr>
        <w:t>MyWorkspace is a set of mobile-friendly tools and services to facilitate the work of ITU-T experts</w:t>
      </w:r>
      <w:r w:rsidR="0021319C" w:rsidRPr="00180522">
        <w:rPr>
          <w:szCs w:val="24"/>
          <w:lang w:val="en-GB"/>
        </w:rPr>
        <w:t>. MyWorkspace responds to</w:t>
      </w:r>
      <w:r w:rsidRPr="00180522">
        <w:rPr>
          <w:szCs w:val="24"/>
          <w:lang w:val="en-GB"/>
        </w:rPr>
        <w:t xml:space="preserve"> WTSA Resolution 32 on strengthening electronic working methods. The f</w:t>
      </w:r>
      <w:r w:rsidRPr="00180522">
        <w:rPr>
          <w:lang w:val="en-GB"/>
        </w:rPr>
        <w:t>irst version was released in 2017</w:t>
      </w:r>
      <w:r w:rsidR="0021319C" w:rsidRPr="00180522">
        <w:rPr>
          <w:lang w:val="en-GB"/>
        </w:rPr>
        <w:t xml:space="preserve"> and has since welcomed </w:t>
      </w:r>
      <w:r w:rsidRPr="00180522">
        <w:rPr>
          <w:lang w:val="en-GB"/>
        </w:rPr>
        <w:t>1</w:t>
      </w:r>
      <w:r w:rsidR="0021319C" w:rsidRPr="00180522">
        <w:rPr>
          <w:lang w:val="en-GB"/>
        </w:rPr>
        <w:t>,</w:t>
      </w:r>
      <w:r w:rsidRPr="00180522">
        <w:rPr>
          <w:lang w:val="en-GB"/>
        </w:rPr>
        <w:t xml:space="preserve">600 </w:t>
      </w:r>
      <w:r w:rsidR="0021319C" w:rsidRPr="00180522">
        <w:rPr>
          <w:lang w:val="en-GB"/>
        </w:rPr>
        <w:t>users. T</w:t>
      </w:r>
      <w:r w:rsidRPr="00180522">
        <w:rPr>
          <w:lang w:val="en-GB"/>
        </w:rPr>
        <w:t xml:space="preserve">he site </w:t>
      </w:r>
      <w:r w:rsidR="0021319C" w:rsidRPr="00180522">
        <w:rPr>
          <w:lang w:val="en-GB"/>
        </w:rPr>
        <w:t xml:space="preserve">receives visits from </w:t>
      </w:r>
      <w:r w:rsidRPr="00180522">
        <w:rPr>
          <w:lang w:val="en-GB"/>
        </w:rPr>
        <w:t xml:space="preserve">an average of 500 </w:t>
      </w:r>
      <w:r w:rsidR="0021319C" w:rsidRPr="00180522">
        <w:rPr>
          <w:lang w:val="en-GB"/>
        </w:rPr>
        <w:t xml:space="preserve">users </w:t>
      </w:r>
      <w:r w:rsidRPr="00180522">
        <w:rPr>
          <w:lang w:val="en-GB"/>
        </w:rPr>
        <w:t>per month.</w:t>
      </w:r>
    </w:p>
    <w:p w14:paraId="3957D257" w14:textId="582E7437" w:rsidR="00E04195" w:rsidRPr="00180522" w:rsidRDefault="00E04195" w:rsidP="00E04195">
      <w:pPr>
        <w:rPr>
          <w:lang w:val="en-GB"/>
        </w:rPr>
      </w:pPr>
      <w:r w:rsidRPr="00180522">
        <w:rPr>
          <w:lang w:val="en-GB"/>
        </w:rPr>
        <w:t xml:space="preserve">The </w:t>
      </w:r>
      <w:r w:rsidR="0021319C" w:rsidRPr="00180522">
        <w:rPr>
          <w:lang w:val="en-GB"/>
        </w:rPr>
        <w:t>lates</w:t>
      </w:r>
      <w:r w:rsidR="00CB6CB5" w:rsidRPr="00180522">
        <w:rPr>
          <w:lang w:val="en-GB"/>
        </w:rPr>
        <w:t>t</w:t>
      </w:r>
      <w:r w:rsidR="0021319C" w:rsidRPr="00180522">
        <w:rPr>
          <w:lang w:val="en-GB"/>
        </w:rPr>
        <w:t xml:space="preserve"> </w:t>
      </w:r>
      <w:r w:rsidRPr="00180522">
        <w:rPr>
          <w:lang w:val="en-GB"/>
        </w:rPr>
        <w:t>version</w:t>
      </w:r>
      <w:r w:rsidR="0021319C" w:rsidRPr="00180522">
        <w:rPr>
          <w:lang w:val="en-GB"/>
        </w:rPr>
        <w:t>, version</w:t>
      </w:r>
      <w:r w:rsidRPr="00180522">
        <w:rPr>
          <w:lang w:val="en-GB"/>
        </w:rPr>
        <w:t xml:space="preserve"> 3.0</w:t>
      </w:r>
      <w:r w:rsidR="0021319C" w:rsidRPr="00180522">
        <w:rPr>
          <w:lang w:val="en-GB"/>
        </w:rPr>
        <w:t>,</w:t>
      </w:r>
      <w:r w:rsidRPr="00180522">
        <w:rPr>
          <w:lang w:val="en-GB"/>
        </w:rPr>
        <w:t xml:space="preserve"> was released in </w:t>
      </w:r>
      <w:r w:rsidR="0021319C" w:rsidRPr="00180522">
        <w:rPr>
          <w:lang w:val="en-GB"/>
        </w:rPr>
        <w:t xml:space="preserve">the </w:t>
      </w:r>
      <w:r w:rsidRPr="00180522">
        <w:rPr>
          <w:lang w:val="en-GB"/>
        </w:rPr>
        <w:t>second quarter of 2019</w:t>
      </w:r>
      <w:r w:rsidR="0021319C" w:rsidRPr="00180522">
        <w:rPr>
          <w:lang w:val="en-GB"/>
        </w:rPr>
        <w:t xml:space="preserve">. Version 3.0 includes </w:t>
      </w:r>
      <w:r w:rsidRPr="00180522">
        <w:rPr>
          <w:lang w:val="en-GB"/>
        </w:rPr>
        <w:t>enhance</w:t>
      </w:r>
      <w:r w:rsidR="0021319C" w:rsidRPr="00180522">
        <w:rPr>
          <w:lang w:val="en-GB"/>
        </w:rPr>
        <w:t xml:space="preserve">s the </w:t>
      </w:r>
      <w:r w:rsidRPr="00180522">
        <w:rPr>
          <w:lang w:val="en-GB"/>
        </w:rPr>
        <w:t xml:space="preserve">user interface </w:t>
      </w:r>
      <w:r w:rsidR="0021319C" w:rsidRPr="00180522">
        <w:rPr>
          <w:lang w:val="en-GB"/>
        </w:rPr>
        <w:t xml:space="preserve">and includes a </w:t>
      </w:r>
      <w:r w:rsidRPr="00180522">
        <w:rPr>
          <w:lang w:val="en-GB"/>
        </w:rPr>
        <w:t>new section for ITU-T events. My</w:t>
      </w:r>
      <w:r w:rsidR="0021319C" w:rsidRPr="00180522">
        <w:rPr>
          <w:lang w:val="en-GB"/>
        </w:rPr>
        <w:t>W</w:t>
      </w:r>
      <w:r w:rsidRPr="00180522">
        <w:rPr>
          <w:lang w:val="en-GB"/>
        </w:rPr>
        <w:t xml:space="preserve">orkspace is accessible through a responsive website and new mobile application (Android &amp; </w:t>
      </w:r>
      <w:r w:rsidR="0021319C" w:rsidRPr="00180522">
        <w:rPr>
          <w:lang w:val="en-GB"/>
        </w:rPr>
        <w:t>i</w:t>
      </w:r>
      <w:r w:rsidRPr="00180522">
        <w:rPr>
          <w:lang w:val="en-GB"/>
        </w:rPr>
        <w:t>OS)</w:t>
      </w:r>
      <w:r w:rsidR="0021319C" w:rsidRPr="00180522">
        <w:rPr>
          <w:lang w:val="en-GB"/>
        </w:rPr>
        <w:t xml:space="preserve">. Secure access to MyWorkspace is enabled through ITU </w:t>
      </w:r>
      <w:r w:rsidR="00DE1505" w:rsidRPr="00180522">
        <w:rPr>
          <w:lang w:val="en-GB"/>
        </w:rPr>
        <w:t>User A</w:t>
      </w:r>
      <w:r w:rsidR="0021319C" w:rsidRPr="00180522">
        <w:rPr>
          <w:lang w:val="en-GB"/>
        </w:rPr>
        <w:t xml:space="preserve">ccount </w:t>
      </w:r>
      <w:r w:rsidR="00DE1505" w:rsidRPr="00180522">
        <w:rPr>
          <w:lang w:val="en-GB"/>
        </w:rPr>
        <w:t xml:space="preserve">(TIES) </w:t>
      </w:r>
      <w:r w:rsidR="0021319C" w:rsidRPr="00180522">
        <w:rPr>
          <w:lang w:val="en-GB"/>
        </w:rPr>
        <w:t>credentials.</w:t>
      </w:r>
    </w:p>
    <w:p w14:paraId="792D3276" w14:textId="15145CC3" w:rsidR="00E04195" w:rsidRPr="00180522" w:rsidRDefault="00E04195" w:rsidP="00E04195">
      <w:pPr>
        <w:rPr>
          <w:lang w:val="en-GB"/>
        </w:rPr>
      </w:pPr>
      <w:r w:rsidRPr="00180522">
        <w:rPr>
          <w:lang w:val="en-GB"/>
        </w:rPr>
        <w:t>The following services are available from the platform:</w:t>
      </w:r>
    </w:p>
    <w:p w14:paraId="55F5D76C" w14:textId="053DE3F7" w:rsidR="00E04195" w:rsidRPr="00180522" w:rsidRDefault="00E04195" w:rsidP="001C37A8">
      <w:pPr>
        <w:numPr>
          <w:ilvl w:val="0"/>
          <w:numId w:val="34"/>
        </w:numPr>
        <w:rPr>
          <w:lang w:val="en-GB"/>
        </w:rPr>
      </w:pPr>
      <w:r w:rsidRPr="00180522">
        <w:rPr>
          <w:lang w:val="en-GB"/>
        </w:rPr>
        <w:t>ITU-T experts directory</w:t>
      </w:r>
    </w:p>
    <w:p w14:paraId="53561C21" w14:textId="325F3267" w:rsidR="00E04195" w:rsidRPr="00180522" w:rsidRDefault="00E04195" w:rsidP="001C37A8">
      <w:pPr>
        <w:numPr>
          <w:ilvl w:val="0"/>
          <w:numId w:val="34"/>
        </w:numPr>
        <w:rPr>
          <w:lang w:val="en-GB"/>
        </w:rPr>
      </w:pPr>
      <w:r w:rsidRPr="00180522">
        <w:rPr>
          <w:lang w:val="en-GB"/>
        </w:rPr>
        <w:t>Chat service for real-time communication</w:t>
      </w:r>
    </w:p>
    <w:p w14:paraId="29820C49" w14:textId="091D71B0" w:rsidR="00E04195" w:rsidRPr="00180522" w:rsidRDefault="00E04195" w:rsidP="001C37A8">
      <w:pPr>
        <w:numPr>
          <w:ilvl w:val="0"/>
          <w:numId w:val="34"/>
        </w:numPr>
        <w:rPr>
          <w:lang w:val="en-GB"/>
        </w:rPr>
      </w:pPr>
      <w:r w:rsidRPr="00180522">
        <w:rPr>
          <w:lang w:val="en-GB"/>
        </w:rPr>
        <w:t xml:space="preserve">Meeting documents with </w:t>
      </w:r>
      <w:r w:rsidR="0021319C" w:rsidRPr="00180522">
        <w:rPr>
          <w:lang w:val="en-GB"/>
        </w:rPr>
        <w:t xml:space="preserve">the </w:t>
      </w:r>
      <w:r w:rsidRPr="00180522">
        <w:rPr>
          <w:lang w:val="en-GB"/>
        </w:rPr>
        <w:t>option to bookmark favourites</w:t>
      </w:r>
    </w:p>
    <w:p w14:paraId="7D1E0E61" w14:textId="499F1F5D" w:rsidR="00E04195" w:rsidRPr="00180522" w:rsidRDefault="00E04195" w:rsidP="001C37A8">
      <w:pPr>
        <w:numPr>
          <w:ilvl w:val="0"/>
          <w:numId w:val="34"/>
        </w:numPr>
        <w:rPr>
          <w:lang w:val="en-GB"/>
        </w:rPr>
      </w:pPr>
      <w:r w:rsidRPr="00180522">
        <w:rPr>
          <w:lang w:val="en-GB"/>
        </w:rPr>
        <w:lastRenderedPageBreak/>
        <w:t>Mailing list subscriptions</w:t>
      </w:r>
    </w:p>
    <w:p w14:paraId="051A927B" w14:textId="57EF77A1" w:rsidR="00E04195" w:rsidRPr="00180522" w:rsidRDefault="00E04195" w:rsidP="001C37A8">
      <w:pPr>
        <w:numPr>
          <w:ilvl w:val="0"/>
          <w:numId w:val="34"/>
        </w:numPr>
        <w:rPr>
          <w:lang w:val="en-GB"/>
        </w:rPr>
      </w:pPr>
      <w:r w:rsidRPr="00180522">
        <w:rPr>
          <w:lang w:val="en-GB"/>
        </w:rPr>
        <w:t xml:space="preserve">Calendar </w:t>
      </w:r>
      <w:r w:rsidR="0021319C" w:rsidRPr="00180522">
        <w:rPr>
          <w:lang w:val="en-GB"/>
        </w:rPr>
        <w:t xml:space="preserve">of </w:t>
      </w:r>
      <w:r w:rsidRPr="00180522">
        <w:rPr>
          <w:lang w:val="en-GB"/>
        </w:rPr>
        <w:t xml:space="preserve">ITU-T events with filters by </w:t>
      </w:r>
      <w:r w:rsidR="0021319C" w:rsidRPr="00180522">
        <w:rPr>
          <w:lang w:val="en-GB"/>
        </w:rPr>
        <w:t xml:space="preserve">working </w:t>
      </w:r>
      <w:r w:rsidRPr="00180522">
        <w:rPr>
          <w:lang w:val="en-GB"/>
        </w:rPr>
        <w:t>group</w:t>
      </w:r>
    </w:p>
    <w:p w14:paraId="67723A3E" w14:textId="18CD4AE9" w:rsidR="00E04195" w:rsidRPr="00180522" w:rsidRDefault="00E04195" w:rsidP="001C37A8">
      <w:pPr>
        <w:numPr>
          <w:ilvl w:val="0"/>
          <w:numId w:val="34"/>
        </w:numPr>
        <w:rPr>
          <w:lang w:val="en-GB"/>
        </w:rPr>
      </w:pPr>
      <w:r w:rsidRPr="00180522">
        <w:rPr>
          <w:lang w:val="en-GB"/>
        </w:rPr>
        <w:t>User profile management (CRM profiles) and additional preferences</w:t>
      </w:r>
    </w:p>
    <w:p w14:paraId="24315A41" w14:textId="1031950A" w:rsidR="00E04195" w:rsidRPr="00180522" w:rsidRDefault="00E04195" w:rsidP="001C37A8">
      <w:pPr>
        <w:numPr>
          <w:ilvl w:val="0"/>
          <w:numId w:val="34"/>
        </w:numPr>
        <w:rPr>
          <w:lang w:val="en-GB"/>
        </w:rPr>
      </w:pPr>
      <w:r w:rsidRPr="00180522">
        <w:rPr>
          <w:lang w:val="en-GB"/>
        </w:rPr>
        <w:t>New applications included in 2019:</w:t>
      </w:r>
    </w:p>
    <w:p w14:paraId="14604183" w14:textId="45685954" w:rsidR="00E04195" w:rsidRPr="00180522" w:rsidRDefault="00E04195" w:rsidP="001C37A8">
      <w:pPr>
        <w:numPr>
          <w:ilvl w:val="0"/>
          <w:numId w:val="35"/>
        </w:numPr>
        <w:rPr>
          <w:lang w:val="en-GB"/>
        </w:rPr>
      </w:pPr>
      <w:r w:rsidRPr="00180522">
        <w:rPr>
          <w:lang w:val="en-GB"/>
        </w:rPr>
        <w:t>Neural</w:t>
      </w:r>
      <w:r w:rsidR="00715DA1" w:rsidRPr="00180522">
        <w:rPr>
          <w:lang w:val="en-GB"/>
        </w:rPr>
        <w:t>-net based</w:t>
      </w:r>
      <w:r w:rsidRPr="00180522">
        <w:rPr>
          <w:lang w:val="en-GB"/>
        </w:rPr>
        <w:t xml:space="preserve"> machine translation prototype for document</w:t>
      </w:r>
      <w:r w:rsidR="008D22B5" w:rsidRPr="00180522">
        <w:rPr>
          <w:lang w:val="en-GB"/>
        </w:rPr>
        <w:t>s</w:t>
      </w:r>
      <w:r w:rsidRPr="00180522">
        <w:rPr>
          <w:lang w:val="en-GB"/>
        </w:rPr>
        <w:t xml:space="preserve"> in the </w:t>
      </w:r>
      <w:r w:rsidR="00715DA1" w:rsidRPr="00180522">
        <w:rPr>
          <w:lang w:val="en-GB"/>
        </w:rPr>
        <w:t>six</w:t>
      </w:r>
      <w:r w:rsidRPr="00180522">
        <w:rPr>
          <w:lang w:val="en-GB"/>
        </w:rPr>
        <w:t xml:space="preserve"> official languages (including formatting)</w:t>
      </w:r>
    </w:p>
    <w:p w14:paraId="4BBE0685" w14:textId="16BF83F2" w:rsidR="00E04195" w:rsidRPr="00180522" w:rsidRDefault="00E04195" w:rsidP="001C37A8">
      <w:pPr>
        <w:numPr>
          <w:ilvl w:val="0"/>
          <w:numId w:val="35"/>
        </w:numPr>
        <w:rPr>
          <w:lang w:val="en-GB"/>
        </w:rPr>
      </w:pPr>
      <w:r w:rsidRPr="00180522">
        <w:rPr>
          <w:lang w:val="en-GB"/>
        </w:rPr>
        <w:t>Remote participation service frequently used by study groups, based on an open</w:t>
      </w:r>
      <w:r w:rsidR="008D22B5" w:rsidRPr="00180522">
        <w:rPr>
          <w:lang w:val="en-GB"/>
        </w:rPr>
        <w:t>-</w:t>
      </w:r>
      <w:r w:rsidRPr="00180522">
        <w:rPr>
          <w:lang w:val="en-GB"/>
        </w:rPr>
        <w:t>source tool</w:t>
      </w:r>
    </w:p>
    <w:p w14:paraId="540D048A" w14:textId="6F2DA9EE" w:rsidR="00E04195" w:rsidRPr="00180522" w:rsidRDefault="00E04195" w:rsidP="001C37A8">
      <w:pPr>
        <w:numPr>
          <w:ilvl w:val="0"/>
          <w:numId w:val="35"/>
        </w:numPr>
        <w:rPr>
          <w:lang w:val="en-GB"/>
        </w:rPr>
      </w:pPr>
      <w:r w:rsidRPr="00180522">
        <w:rPr>
          <w:lang w:val="en-GB"/>
        </w:rPr>
        <w:t>New ITU-T events service, fully integrated with CRM events and registered participants</w:t>
      </w:r>
      <w:r w:rsidR="008D22B5" w:rsidRPr="00180522">
        <w:rPr>
          <w:lang w:val="en-GB"/>
        </w:rPr>
        <w:t xml:space="preserve">, </w:t>
      </w:r>
      <w:r w:rsidRPr="00180522">
        <w:rPr>
          <w:lang w:val="en-GB"/>
        </w:rPr>
        <w:t>includ</w:t>
      </w:r>
      <w:r w:rsidR="008D22B5" w:rsidRPr="00180522">
        <w:rPr>
          <w:lang w:val="en-GB"/>
        </w:rPr>
        <w:t>ing a ‘</w:t>
      </w:r>
      <w:r w:rsidRPr="00180522">
        <w:rPr>
          <w:lang w:val="en-GB"/>
        </w:rPr>
        <w:t>matchmaking</w:t>
      </w:r>
      <w:r w:rsidR="008D22B5" w:rsidRPr="00180522">
        <w:rPr>
          <w:lang w:val="en-GB"/>
        </w:rPr>
        <w:t>’</w:t>
      </w:r>
      <w:r w:rsidRPr="00180522">
        <w:rPr>
          <w:lang w:val="en-GB"/>
        </w:rPr>
        <w:t xml:space="preserve"> feature to </w:t>
      </w:r>
      <w:r w:rsidR="008D22B5" w:rsidRPr="00180522">
        <w:rPr>
          <w:lang w:val="en-GB"/>
        </w:rPr>
        <w:t xml:space="preserve">enhance delegate </w:t>
      </w:r>
      <w:r w:rsidRPr="00180522">
        <w:rPr>
          <w:lang w:val="en-GB"/>
        </w:rPr>
        <w:t>networking.</w:t>
      </w:r>
    </w:p>
    <w:p w14:paraId="1D53CB08" w14:textId="0C34411F" w:rsidR="006944F8" w:rsidRPr="00180522" w:rsidRDefault="002F0E38" w:rsidP="009E5FFA">
      <w:pPr>
        <w:pStyle w:val="Heading2"/>
      </w:pPr>
      <w:bookmarkStart w:id="187" w:name="_Toc18509781"/>
      <w:r w:rsidRPr="00180522">
        <w:t>13</w:t>
      </w:r>
      <w:r w:rsidR="006944F8" w:rsidRPr="00180522">
        <w:t>.3</w:t>
      </w:r>
      <w:r w:rsidR="006944F8" w:rsidRPr="00180522">
        <w:tab/>
        <w:t>ITU</w:t>
      </w:r>
      <w:r w:rsidR="004258B1" w:rsidRPr="00180522">
        <w:t xml:space="preserve"> </w:t>
      </w:r>
      <w:r w:rsidR="001D7B96" w:rsidRPr="00180522">
        <w:t>s</w:t>
      </w:r>
      <w:r w:rsidR="006944F8" w:rsidRPr="00180522">
        <w:t>earch</w:t>
      </w:r>
      <w:r w:rsidR="001D7B96" w:rsidRPr="00180522">
        <w:t xml:space="preserve"> engine</w:t>
      </w:r>
      <w:bookmarkEnd w:id="187"/>
    </w:p>
    <w:p w14:paraId="7CC74ABF" w14:textId="5A32BFF2" w:rsidR="00635E20" w:rsidRPr="00180522" w:rsidRDefault="008D22B5" w:rsidP="002013A1">
      <w:pPr>
        <w:rPr>
          <w:lang w:val="en-GB"/>
        </w:rPr>
      </w:pPr>
      <w:r w:rsidRPr="00180522">
        <w:rPr>
          <w:lang w:val="en-GB"/>
        </w:rPr>
        <w:t>The</w:t>
      </w:r>
      <w:r w:rsidR="00DE1505" w:rsidRPr="00180522">
        <w:rPr>
          <w:lang w:val="en-GB"/>
        </w:rPr>
        <w:t xml:space="preserve"> mobile-friendly</w:t>
      </w:r>
      <w:r w:rsidRPr="00180522">
        <w:rPr>
          <w:lang w:val="en-GB"/>
        </w:rPr>
        <w:t xml:space="preserve"> </w:t>
      </w:r>
      <w:hyperlink r:id="rId162" w:history="1">
        <w:r w:rsidR="00635E20" w:rsidRPr="00180522">
          <w:rPr>
            <w:rStyle w:val="Hyperlink"/>
            <w:lang w:val="en-GB"/>
          </w:rPr>
          <w:t>ITU</w:t>
        </w:r>
        <w:r w:rsidRPr="00180522">
          <w:rPr>
            <w:rStyle w:val="Hyperlink"/>
            <w:lang w:val="en-GB"/>
          </w:rPr>
          <w:t xml:space="preserve"> s</w:t>
        </w:r>
        <w:r w:rsidR="00635E20" w:rsidRPr="00180522">
          <w:rPr>
            <w:rStyle w:val="Hyperlink"/>
            <w:lang w:val="en-GB"/>
          </w:rPr>
          <w:t>earch</w:t>
        </w:r>
        <w:r w:rsidRPr="00180522">
          <w:rPr>
            <w:rStyle w:val="Hyperlink"/>
            <w:lang w:val="en-GB"/>
          </w:rPr>
          <w:t xml:space="preserve"> engine</w:t>
        </w:r>
      </w:hyperlink>
      <w:r w:rsidR="00635E20" w:rsidRPr="00180522">
        <w:rPr>
          <w:lang w:val="en-GB"/>
        </w:rPr>
        <w:t xml:space="preserve"> facilitates access to ITU documents, websites, publications and other resources. </w:t>
      </w:r>
      <w:r w:rsidRPr="00180522">
        <w:rPr>
          <w:lang w:val="en-GB"/>
        </w:rPr>
        <w:t xml:space="preserve">2018 saw the expansion of the tool from ITU-T resources to the resources of all ITU Sectors. An average of 15,000 searches take place each month. </w:t>
      </w:r>
    </w:p>
    <w:p w14:paraId="048B6BDD" w14:textId="749EC6A1" w:rsidR="00635E20" w:rsidRPr="00180522" w:rsidRDefault="00635E20" w:rsidP="002013A1">
      <w:pPr>
        <w:rPr>
          <w:lang w:val="en-GB"/>
        </w:rPr>
      </w:pPr>
      <w:r w:rsidRPr="00180522">
        <w:rPr>
          <w:lang w:val="en-GB"/>
        </w:rPr>
        <w:t xml:space="preserve">The latest version </w:t>
      </w:r>
      <w:r w:rsidR="00DE1505" w:rsidRPr="00180522">
        <w:rPr>
          <w:lang w:val="en-GB"/>
        </w:rPr>
        <w:t xml:space="preserve">of the search engine </w:t>
      </w:r>
      <w:r w:rsidRPr="00180522">
        <w:rPr>
          <w:lang w:val="en-GB"/>
        </w:rPr>
        <w:t>was released in December 2018</w:t>
      </w:r>
      <w:r w:rsidR="00DE1505" w:rsidRPr="00180522">
        <w:rPr>
          <w:lang w:val="en-GB"/>
        </w:rPr>
        <w:t>. This</w:t>
      </w:r>
      <w:r w:rsidRPr="00180522">
        <w:rPr>
          <w:lang w:val="en-GB"/>
        </w:rPr>
        <w:t xml:space="preserve"> </w:t>
      </w:r>
      <w:r w:rsidR="00DE1505" w:rsidRPr="00180522">
        <w:rPr>
          <w:lang w:val="en-GB"/>
        </w:rPr>
        <w:t>latest</w:t>
      </w:r>
      <w:r w:rsidRPr="00180522">
        <w:rPr>
          <w:lang w:val="en-GB"/>
        </w:rPr>
        <w:t xml:space="preserve"> version includes:</w:t>
      </w:r>
    </w:p>
    <w:p w14:paraId="73B5B51B" w14:textId="37BEC89A" w:rsidR="00635E20" w:rsidRPr="00180522" w:rsidRDefault="00635E20" w:rsidP="001C37A8">
      <w:pPr>
        <w:numPr>
          <w:ilvl w:val="0"/>
          <w:numId w:val="36"/>
        </w:numPr>
        <w:rPr>
          <w:lang w:val="en-GB"/>
        </w:rPr>
      </w:pPr>
      <w:r w:rsidRPr="00180522">
        <w:rPr>
          <w:lang w:val="en-GB"/>
        </w:rPr>
        <w:t xml:space="preserve">Filters to narrow searches by Sector, </w:t>
      </w:r>
      <w:r w:rsidR="00DE1505" w:rsidRPr="00180522">
        <w:rPr>
          <w:lang w:val="en-GB"/>
        </w:rPr>
        <w:t>t</w:t>
      </w:r>
      <w:r w:rsidRPr="00180522">
        <w:rPr>
          <w:lang w:val="en-GB"/>
        </w:rPr>
        <w:t xml:space="preserve">ype of document or </w:t>
      </w:r>
      <w:r w:rsidR="00DE1505" w:rsidRPr="00180522">
        <w:rPr>
          <w:lang w:val="en-GB"/>
        </w:rPr>
        <w:t>l</w:t>
      </w:r>
      <w:r w:rsidRPr="00180522">
        <w:rPr>
          <w:lang w:val="en-GB"/>
        </w:rPr>
        <w:t>anguage</w:t>
      </w:r>
    </w:p>
    <w:p w14:paraId="1CF1B303" w14:textId="6E7DBF9B" w:rsidR="00635E20" w:rsidRPr="00180522" w:rsidRDefault="00635E20" w:rsidP="001C37A8">
      <w:pPr>
        <w:numPr>
          <w:ilvl w:val="0"/>
          <w:numId w:val="36"/>
        </w:numPr>
        <w:rPr>
          <w:lang w:val="en-GB"/>
        </w:rPr>
      </w:pPr>
      <w:r w:rsidRPr="00180522">
        <w:rPr>
          <w:lang w:val="en-GB"/>
        </w:rPr>
        <w:t>New collections available:</w:t>
      </w:r>
    </w:p>
    <w:p w14:paraId="7F6D4AA2" w14:textId="610038D9" w:rsidR="00635E20" w:rsidRPr="00180522" w:rsidRDefault="00635E20" w:rsidP="001C37A8">
      <w:pPr>
        <w:numPr>
          <w:ilvl w:val="1"/>
          <w:numId w:val="36"/>
        </w:numPr>
        <w:rPr>
          <w:lang w:val="en-GB"/>
        </w:rPr>
      </w:pPr>
      <w:r w:rsidRPr="00180522">
        <w:rPr>
          <w:lang w:val="en-GB"/>
        </w:rPr>
        <w:t xml:space="preserve">Meeting documents and websites from all </w:t>
      </w:r>
      <w:r w:rsidR="00DE1505" w:rsidRPr="00180522">
        <w:rPr>
          <w:lang w:val="en-GB"/>
        </w:rPr>
        <w:t xml:space="preserve">ITU </w:t>
      </w:r>
      <w:r w:rsidRPr="00180522">
        <w:rPr>
          <w:lang w:val="en-GB"/>
        </w:rPr>
        <w:t>Sectors</w:t>
      </w:r>
    </w:p>
    <w:p w14:paraId="1ED5332C" w14:textId="219FBFCA" w:rsidR="00635E20" w:rsidRPr="00180522" w:rsidRDefault="00635E20" w:rsidP="001C37A8">
      <w:pPr>
        <w:numPr>
          <w:ilvl w:val="1"/>
          <w:numId w:val="36"/>
        </w:numPr>
        <w:rPr>
          <w:lang w:val="en-GB"/>
        </w:rPr>
      </w:pPr>
      <w:r w:rsidRPr="00180522">
        <w:rPr>
          <w:lang w:val="en-GB"/>
        </w:rPr>
        <w:t>Social media (</w:t>
      </w:r>
      <w:r w:rsidR="00DE1505" w:rsidRPr="00180522">
        <w:rPr>
          <w:lang w:val="en-GB"/>
        </w:rPr>
        <w:t xml:space="preserve">ITU </w:t>
      </w:r>
      <w:r w:rsidRPr="00180522">
        <w:rPr>
          <w:lang w:val="en-GB"/>
        </w:rPr>
        <w:t>Facebook</w:t>
      </w:r>
      <w:r w:rsidR="00DE1505" w:rsidRPr="00180522">
        <w:rPr>
          <w:lang w:val="en-GB"/>
        </w:rPr>
        <w:t xml:space="preserve"> and </w:t>
      </w:r>
      <w:r w:rsidRPr="00180522">
        <w:rPr>
          <w:lang w:val="en-GB"/>
        </w:rPr>
        <w:t>Twitter</w:t>
      </w:r>
      <w:r w:rsidR="00DE1505" w:rsidRPr="00180522">
        <w:rPr>
          <w:lang w:val="en-GB"/>
        </w:rPr>
        <w:t xml:space="preserve"> accounts</w:t>
      </w:r>
      <w:r w:rsidRPr="00180522">
        <w:rPr>
          <w:lang w:val="en-GB"/>
        </w:rPr>
        <w:t>) and Multimedia (</w:t>
      </w:r>
      <w:r w:rsidR="00DE1505" w:rsidRPr="00180522">
        <w:rPr>
          <w:lang w:val="en-GB"/>
        </w:rPr>
        <w:t xml:space="preserve">ITU </w:t>
      </w:r>
      <w:r w:rsidRPr="00180522">
        <w:rPr>
          <w:lang w:val="en-GB"/>
        </w:rPr>
        <w:t>Flickr</w:t>
      </w:r>
      <w:r w:rsidR="00DE1505" w:rsidRPr="00180522">
        <w:rPr>
          <w:lang w:val="en-GB"/>
        </w:rPr>
        <w:t xml:space="preserve"> and </w:t>
      </w:r>
      <w:r w:rsidRPr="00180522">
        <w:rPr>
          <w:lang w:val="en-GB"/>
        </w:rPr>
        <w:t>YouTube</w:t>
      </w:r>
      <w:r w:rsidR="00DE1505" w:rsidRPr="00180522">
        <w:rPr>
          <w:lang w:val="en-GB"/>
        </w:rPr>
        <w:t xml:space="preserve"> accounts</w:t>
      </w:r>
      <w:r w:rsidRPr="00180522">
        <w:rPr>
          <w:lang w:val="en-GB"/>
        </w:rPr>
        <w:t>)</w:t>
      </w:r>
    </w:p>
    <w:p w14:paraId="7418DE72" w14:textId="360C0A6D" w:rsidR="00635E20" w:rsidRPr="00180522" w:rsidRDefault="00635E20" w:rsidP="001C37A8">
      <w:pPr>
        <w:numPr>
          <w:ilvl w:val="0"/>
          <w:numId w:val="36"/>
        </w:numPr>
        <w:rPr>
          <w:lang w:val="en-GB"/>
        </w:rPr>
      </w:pPr>
      <w:r w:rsidRPr="00180522">
        <w:rPr>
          <w:lang w:val="en-GB"/>
        </w:rPr>
        <w:t xml:space="preserve">New section </w:t>
      </w:r>
      <w:r w:rsidR="008F380F" w:rsidRPr="00180522">
        <w:rPr>
          <w:lang w:val="en-GB"/>
        </w:rPr>
        <w:t xml:space="preserve">to search </w:t>
      </w:r>
      <w:r w:rsidRPr="00180522">
        <w:rPr>
          <w:lang w:val="en-GB"/>
        </w:rPr>
        <w:t xml:space="preserve">resolutions and decisions of ITU </w:t>
      </w:r>
      <w:r w:rsidR="008F380F" w:rsidRPr="00180522">
        <w:rPr>
          <w:lang w:val="en-GB"/>
        </w:rPr>
        <w:t>governing bodies</w:t>
      </w:r>
      <w:r w:rsidR="008F380F" w:rsidRPr="00180522" w:rsidDel="008F380F">
        <w:rPr>
          <w:lang w:val="en-GB"/>
        </w:rPr>
        <w:t xml:space="preserve"> </w:t>
      </w:r>
    </w:p>
    <w:p w14:paraId="791AB5D8" w14:textId="0BFF8D9F" w:rsidR="00635E20" w:rsidRPr="00180522" w:rsidRDefault="00635E20" w:rsidP="001C37A8">
      <w:pPr>
        <w:numPr>
          <w:ilvl w:val="0"/>
          <w:numId w:val="36"/>
        </w:numPr>
        <w:rPr>
          <w:lang w:val="en-GB"/>
        </w:rPr>
      </w:pPr>
      <w:r w:rsidRPr="00180522">
        <w:rPr>
          <w:lang w:val="en-GB"/>
        </w:rPr>
        <w:t xml:space="preserve">Multilingual search, support any of the </w:t>
      </w:r>
      <w:r w:rsidR="001C37A8" w:rsidRPr="00180522">
        <w:rPr>
          <w:lang w:val="en-GB"/>
        </w:rPr>
        <w:t>six</w:t>
      </w:r>
      <w:r w:rsidRPr="00180522">
        <w:rPr>
          <w:lang w:val="en-GB"/>
        </w:rPr>
        <w:t xml:space="preserve"> official languages</w:t>
      </w:r>
    </w:p>
    <w:p w14:paraId="3099D356" w14:textId="5B4E2DD7" w:rsidR="006944F8" w:rsidRPr="00180522" w:rsidRDefault="002F0E38" w:rsidP="006944F8">
      <w:pPr>
        <w:pStyle w:val="Heading2"/>
      </w:pPr>
      <w:bookmarkStart w:id="188" w:name="_Toc18509782"/>
      <w:r w:rsidRPr="00180522">
        <w:t>13</w:t>
      </w:r>
      <w:r w:rsidR="006944F8" w:rsidRPr="00180522">
        <w:t>.4</w:t>
      </w:r>
      <w:r w:rsidR="006944F8" w:rsidRPr="00180522">
        <w:tab/>
        <w:t>ITU-T services &amp; tools announcements</w:t>
      </w:r>
      <w:bookmarkEnd w:id="188"/>
    </w:p>
    <w:p w14:paraId="184D5ADE" w14:textId="03BDC001" w:rsidR="006944F8" w:rsidRPr="00180522" w:rsidRDefault="00194F77" w:rsidP="0033393D">
      <w:pPr>
        <w:rPr>
          <w:b/>
          <w:bCs/>
          <w:lang w:val="en-GB"/>
        </w:rPr>
      </w:pPr>
      <w:r w:rsidRPr="00180522">
        <w:rPr>
          <w:lang w:val="en-GB"/>
        </w:rPr>
        <w:t xml:space="preserve">A service announcements platform, </w:t>
      </w:r>
      <w:hyperlink r:id="rId163" w:history="1">
        <w:r w:rsidRPr="00180522">
          <w:rPr>
            <w:rStyle w:val="Hyperlink"/>
            <w:rFonts w:asciiTheme="majorBidi" w:hAnsiTheme="majorBidi" w:cstheme="majorBidi"/>
            <w:lang w:val="en-GB"/>
          </w:rPr>
          <w:t>http://tsbtech.itu.int/</w:t>
        </w:r>
      </w:hyperlink>
      <w:r w:rsidRPr="00180522">
        <w:rPr>
          <w:lang w:val="en-GB"/>
        </w:rPr>
        <w:t xml:space="preserve">, keeps </w:t>
      </w:r>
      <w:r w:rsidR="006944F8" w:rsidRPr="00180522">
        <w:rPr>
          <w:lang w:val="en-GB"/>
        </w:rPr>
        <w:t>the ITU-T community</w:t>
      </w:r>
      <w:r w:rsidRPr="00180522">
        <w:rPr>
          <w:lang w:val="en-GB"/>
        </w:rPr>
        <w:t xml:space="preserve"> up to date </w:t>
      </w:r>
      <w:r w:rsidR="006944F8" w:rsidRPr="00180522">
        <w:rPr>
          <w:lang w:val="en-GB"/>
        </w:rPr>
        <w:t xml:space="preserve">with the latest </w:t>
      </w:r>
      <w:r w:rsidR="00DE1505" w:rsidRPr="00180522">
        <w:rPr>
          <w:lang w:val="en-GB"/>
        </w:rPr>
        <w:t xml:space="preserve">enhancements to the </w:t>
      </w:r>
      <w:r w:rsidR="006944F8" w:rsidRPr="00180522">
        <w:rPr>
          <w:lang w:val="en-GB"/>
        </w:rPr>
        <w:t>services and tool</w:t>
      </w:r>
      <w:r w:rsidR="00DE1505" w:rsidRPr="00180522">
        <w:rPr>
          <w:lang w:val="en-GB"/>
        </w:rPr>
        <w:t>s provided to ITU-T members</w:t>
      </w:r>
      <w:r w:rsidRPr="00180522">
        <w:rPr>
          <w:lang w:val="en-GB"/>
        </w:rPr>
        <w:t>.</w:t>
      </w:r>
    </w:p>
    <w:p w14:paraId="6AA3BB35" w14:textId="3E6130E8" w:rsidR="006944F8" w:rsidRPr="00180522" w:rsidRDefault="002F0E38" w:rsidP="006944F8">
      <w:pPr>
        <w:pStyle w:val="Heading2"/>
      </w:pPr>
      <w:bookmarkStart w:id="189" w:name="_Toc480527871"/>
      <w:bookmarkStart w:id="190" w:name="_Toc18509783"/>
      <w:r w:rsidRPr="00180522">
        <w:t>13</w:t>
      </w:r>
      <w:r w:rsidR="006944F8" w:rsidRPr="00180522">
        <w:t>.5</w:t>
      </w:r>
      <w:r w:rsidR="006944F8" w:rsidRPr="00180522">
        <w:tab/>
        <w:t>Document Management System for Rapporteur Groups</w:t>
      </w:r>
      <w:bookmarkEnd w:id="189"/>
      <w:bookmarkEnd w:id="190"/>
    </w:p>
    <w:p w14:paraId="2651C1D0" w14:textId="217B9F9C" w:rsidR="006944F8" w:rsidRPr="00180522" w:rsidRDefault="006944F8" w:rsidP="0033393D">
      <w:pPr>
        <w:rPr>
          <w:lang w:val="en-GB"/>
        </w:rPr>
      </w:pPr>
      <w:r w:rsidRPr="00180522">
        <w:rPr>
          <w:szCs w:val="24"/>
          <w:lang w:val="en-GB"/>
        </w:rPr>
        <w:t>The M</w:t>
      </w:r>
      <w:r w:rsidR="00DE1505" w:rsidRPr="00180522">
        <w:rPr>
          <w:szCs w:val="24"/>
          <w:lang w:val="en-GB"/>
        </w:rPr>
        <w:t>icrosoft</w:t>
      </w:r>
      <w:r w:rsidRPr="00180522">
        <w:rPr>
          <w:szCs w:val="24"/>
          <w:lang w:val="en-GB"/>
        </w:rPr>
        <w:t xml:space="preserve"> SharePoint</w:t>
      </w:r>
      <w:r w:rsidR="00194F77" w:rsidRPr="00180522">
        <w:rPr>
          <w:szCs w:val="24"/>
          <w:lang w:val="en-GB"/>
        </w:rPr>
        <w:t>-</w:t>
      </w:r>
      <w:r w:rsidRPr="00180522">
        <w:rPr>
          <w:szCs w:val="24"/>
          <w:lang w:val="en-GB"/>
        </w:rPr>
        <w:t>based Document Management System for ITU-T Rapporteur Group Meetings (RGM</w:t>
      </w:r>
      <w:r w:rsidR="00194F77" w:rsidRPr="00180522">
        <w:rPr>
          <w:szCs w:val="24"/>
          <w:lang w:val="en-GB"/>
        </w:rPr>
        <w:t>s</w:t>
      </w:r>
      <w:r w:rsidRPr="00180522">
        <w:rPr>
          <w:szCs w:val="24"/>
          <w:lang w:val="en-GB"/>
        </w:rPr>
        <w:t xml:space="preserve">) </w:t>
      </w:r>
      <w:r w:rsidR="00B018B9" w:rsidRPr="00180522">
        <w:rPr>
          <w:szCs w:val="24"/>
          <w:lang w:val="en-GB"/>
        </w:rPr>
        <w:t>has been</w:t>
      </w:r>
      <w:r w:rsidRPr="00180522">
        <w:rPr>
          <w:szCs w:val="24"/>
          <w:lang w:val="en-GB"/>
        </w:rPr>
        <w:t xml:space="preserve"> used</w:t>
      </w:r>
      <w:r w:rsidRPr="00180522">
        <w:rPr>
          <w:lang w:val="en-GB"/>
        </w:rPr>
        <w:t xml:space="preserve"> </w:t>
      </w:r>
      <w:r w:rsidRPr="00180522">
        <w:rPr>
          <w:szCs w:val="24"/>
          <w:lang w:val="en-GB"/>
        </w:rPr>
        <w:t xml:space="preserve">extensively by </w:t>
      </w:r>
      <w:r w:rsidR="00194F77" w:rsidRPr="00180522">
        <w:rPr>
          <w:szCs w:val="24"/>
          <w:lang w:val="en-GB"/>
        </w:rPr>
        <w:t xml:space="preserve">the </w:t>
      </w:r>
      <w:r w:rsidRPr="00180522">
        <w:rPr>
          <w:szCs w:val="24"/>
          <w:lang w:val="en-GB"/>
        </w:rPr>
        <w:t>majority of ITU-T Study Groups</w:t>
      </w:r>
      <w:r w:rsidR="00194F77" w:rsidRPr="00180522">
        <w:rPr>
          <w:szCs w:val="24"/>
          <w:lang w:val="en-GB"/>
        </w:rPr>
        <w:t>,</w:t>
      </w:r>
      <w:r w:rsidRPr="00180522">
        <w:rPr>
          <w:szCs w:val="24"/>
          <w:lang w:val="en-GB"/>
        </w:rPr>
        <w:t xml:space="preserve"> notably Study Groups 2, 3, 9, 11, 13, 15, 16 and TSAG. </w:t>
      </w:r>
      <w:r w:rsidR="00194F77" w:rsidRPr="00180522">
        <w:rPr>
          <w:szCs w:val="24"/>
          <w:lang w:val="en-GB"/>
        </w:rPr>
        <w:t>Feedback from Rapporteurs drives the continuous improvement of t</w:t>
      </w:r>
      <w:r w:rsidRPr="00180522">
        <w:rPr>
          <w:szCs w:val="24"/>
          <w:lang w:val="en-GB"/>
        </w:rPr>
        <w:t>he RGM system</w:t>
      </w:r>
      <w:r w:rsidR="00194F77" w:rsidRPr="00180522">
        <w:rPr>
          <w:szCs w:val="24"/>
          <w:lang w:val="en-GB"/>
        </w:rPr>
        <w:t>.</w:t>
      </w:r>
    </w:p>
    <w:p w14:paraId="29850F12" w14:textId="3AA75837" w:rsidR="006944F8" w:rsidRPr="00180522" w:rsidRDefault="00194F77" w:rsidP="009E5FFA">
      <w:pPr>
        <w:rPr>
          <w:szCs w:val="24"/>
          <w:lang w:val="en-GB"/>
        </w:rPr>
      </w:pPr>
      <w:r w:rsidRPr="00180522">
        <w:rPr>
          <w:szCs w:val="24"/>
          <w:lang w:val="en-GB"/>
        </w:rPr>
        <w:t>C</w:t>
      </w:r>
      <w:r w:rsidR="006944F8" w:rsidRPr="00180522">
        <w:rPr>
          <w:szCs w:val="24"/>
          <w:lang w:val="en-GB"/>
        </w:rPr>
        <w:t xml:space="preserve">urrent and past RGM meetings </w:t>
      </w:r>
      <w:r w:rsidRPr="00180522">
        <w:rPr>
          <w:szCs w:val="24"/>
          <w:lang w:val="en-GB"/>
        </w:rPr>
        <w:t xml:space="preserve">can </w:t>
      </w:r>
      <w:r w:rsidR="006944F8" w:rsidRPr="00180522">
        <w:rPr>
          <w:szCs w:val="24"/>
          <w:lang w:val="en-GB"/>
        </w:rPr>
        <w:t>be accessed</w:t>
      </w:r>
      <w:r w:rsidRPr="00180522">
        <w:rPr>
          <w:szCs w:val="24"/>
          <w:lang w:val="en-GB"/>
        </w:rPr>
        <w:t xml:space="preserve"> at</w:t>
      </w:r>
      <w:r w:rsidR="006944F8" w:rsidRPr="00180522">
        <w:rPr>
          <w:szCs w:val="24"/>
          <w:lang w:val="en-GB"/>
        </w:rPr>
        <w:t xml:space="preserve"> </w:t>
      </w:r>
      <w:hyperlink r:id="rId164" w:history="1">
        <w:r w:rsidR="006944F8" w:rsidRPr="00180522">
          <w:rPr>
            <w:rStyle w:val="Hyperlink"/>
            <w:szCs w:val="24"/>
            <w:lang w:val="en-GB"/>
          </w:rPr>
          <w:t>http://itu.int/go/itu-t/rgm</w:t>
        </w:r>
      </w:hyperlink>
    </w:p>
    <w:p w14:paraId="709FFC74" w14:textId="0B537E1B" w:rsidR="006944F8" w:rsidRPr="00180522" w:rsidRDefault="006944F8" w:rsidP="009E5FFA">
      <w:pPr>
        <w:rPr>
          <w:szCs w:val="24"/>
          <w:lang w:val="en-GB"/>
        </w:rPr>
      </w:pPr>
      <w:r w:rsidRPr="00180522">
        <w:rPr>
          <w:szCs w:val="24"/>
          <w:lang w:val="en-GB"/>
        </w:rPr>
        <w:t xml:space="preserve">A comprehensive support and FAQs page offering RGM tips and best practices is available </w:t>
      </w:r>
      <w:r w:rsidR="00194F77" w:rsidRPr="00180522">
        <w:rPr>
          <w:szCs w:val="24"/>
          <w:lang w:val="en-GB"/>
        </w:rPr>
        <w:t>at</w:t>
      </w:r>
      <w:r w:rsidRPr="00180522">
        <w:rPr>
          <w:szCs w:val="24"/>
          <w:lang w:val="en-GB"/>
        </w:rPr>
        <w:t xml:space="preserve"> </w:t>
      </w:r>
      <w:hyperlink r:id="rId165" w:history="1">
        <w:r w:rsidRPr="00180522">
          <w:rPr>
            <w:rStyle w:val="Hyperlink"/>
            <w:szCs w:val="24"/>
            <w:lang w:val="en-GB"/>
          </w:rPr>
          <w:t>http://itu.int/go/itu-t/rgm-support</w:t>
        </w:r>
      </w:hyperlink>
    </w:p>
    <w:p w14:paraId="44A4E2F4" w14:textId="0C5A63DC" w:rsidR="006944F8" w:rsidRPr="00180522" w:rsidRDefault="006944F8" w:rsidP="009E5FFA">
      <w:pPr>
        <w:rPr>
          <w:szCs w:val="24"/>
          <w:lang w:val="en-GB"/>
        </w:rPr>
      </w:pPr>
      <w:r w:rsidRPr="00180522">
        <w:rPr>
          <w:szCs w:val="24"/>
          <w:lang w:val="en-GB"/>
        </w:rPr>
        <w:t>A detailed online user guide for the RGM System</w:t>
      </w:r>
      <w:r w:rsidR="00194F77" w:rsidRPr="00180522">
        <w:rPr>
          <w:szCs w:val="24"/>
          <w:lang w:val="en-GB"/>
        </w:rPr>
        <w:t xml:space="preserve">, including video tutorials, </w:t>
      </w:r>
      <w:r w:rsidRPr="00180522">
        <w:rPr>
          <w:szCs w:val="24"/>
          <w:lang w:val="en-GB"/>
        </w:rPr>
        <w:t xml:space="preserve">is available at </w:t>
      </w:r>
      <w:hyperlink r:id="rId166" w:history="1">
        <w:r w:rsidRPr="00180522">
          <w:rPr>
            <w:rStyle w:val="Hyperlink"/>
            <w:szCs w:val="24"/>
            <w:lang w:val="en-GB"/>
          </w:rPr>
          <w:t>http://itu.int/go/itu-t/rgm-guide</w:t>
        </w:r>
      </w:hyperlink>
    </w:p>
    <w:p w14:paraId="04A38B61" w14:textId="060AEB44" w:rsidR="006944F8" w:rsidRPr="00180522" w:rsidRDefault="006944F8" w:rsidP="009E5FFA">
      <w:pPr>
        <w:rPr>
          <w:lang w:val="en-GB"/>
        </w:rPr>
      </w:pPr>
      <w:r w:rsidRPr="00180522">
        <w:rPr>
          <w:lang w:val="en-GB"/>
        </w:rPr>
        <w:t xml:space="preserve">The RGM system </w:t>
      </w:r>
      <w:r w:rsidRPr="00180522">
        <w:rPr>
          <w:szCs w:val="24"/>
          <w:lang w:val="en-GB"/>
        </w:rPr>
        <w:t xml:space="preserve">is </w:t>
      </w:r>
      <w:r w:rsidR="00194F77" w:rsidRPr="00180522">
        <w:rPr>
          <w:szCs w:val="24"/>
          <w:lang w:val="en-GB"/>
        </w:rPr>
        <w:t xml:space="preserve">one </w:t>
      </w:r>
      <w:r w:rsidRPr="00180522">
        <w:rPr>
          <w:lang w:val="en-GB"/>
        </w:rPr>
        <w:t>of several services available in the ITU-T SharePoint collaboration sites</w:t>
      </w:r>
      <w:r w:rsidR="00194F77" w:rsidRPr="00180522">
        <w:rPr>
          <w:lang w:val="en-GB"/>
        </w:rPr>
        <w:t>. These sites</w:t>
      </w:r>
      <w:r w:rsidRPr="00180522">
        <w:rPr>
          <w:lang w:val="en-GB"/>
        </w:rPr>
        <w:t xml:space="preserve"> </w:t>
      </w:r>
      <w:r w:rsidR="00194F77" w:rsidRPr="00180522">
        <w:rPr>
          <w:lang w:val="en-GB"/>
        </w:rPr>
        <w:t xml:space="preserve">are </w:t>
      </w:r>
      <w:r w:rsidRPr="00180522">
        <w:rPr>
          <w:lang w:val="en-GB"/>
        </w:rPr>
        <w:t xml:space="preserve">restricted to ITU-T </w:t>
      </w:r>
      <w:r w:rsidR="00DE1505" w:rsidRPr="00180522">
        <w:rPr>
          <w:lang w:val="en-GB"/>
        </w:rPr>
        <w:t>m</w:t>
      </w:r>
      <w:r w:rsidRPr="00180522">
        <w:rPr>
          <w:lang w:val="en-GB"/>
        </w:rPr>
        <w:t xml:space="preserve">embers and </w:t>
      </w:r>
      <w:r w:rsidR="00194F77" w:rsidRPr="00180522">
        <w:rPr>
          <w:lang w:val="en-GB"/>
        </w:rPr>
        <w:t xml:space="preserve">can </w:t>
      </w:r>
      <w:r w:rsidRPr="00180522">
        <w:rPr>
          <w:lang w:val="en-GB"/>
        </w:rPr>
        <w:t xml:space="preserve">be accessed using an ITU User </w:t>
      </w:r>
      <w:r w:rsidR="00DE1505" w:rsidRPr="00180522">
        <w:rPr>
          <w:lang w:val="en-GB"/>
        </w:rPr>
        <w:t xml:space="preserve">Account </w:t>
      </w:r>
      <w:r w:rsidRPr="00180522">
        <w:rPr>
          <w:lang w:val="en-GB"/>
        </w:rPr>
        <w:t>(TIES).</w:t>
      </w:r>
    </w:p>
    <w:p w14:paraId="1126A876" w14:textId="352D3700" w:rsidR="006944F8" w:rsidRPr="00180522" w:rsidRDefault="002F0E38" w:rsidP="006944F8">
      <w:pPr>
        <w:pStyle w:val="Heading2"/>
        <w:rPr>
          <w:highlight w:val="yellow"/>
        </w:rPr>
      </w:pPr>
      <w:bookmarkStart w:id="191" w:name="_Toc480527873"/>
      <w:bookmarkStart w:id="192" w:name="_Toc18509784"/>
      <w:r w:rsidRPr="00180522">
        <w:lastRenderedPageBreak/>
        <w:t>13</w:t>
      </w:r>
      <w:r w:rsidR="006944F8" w:rsidRPr="00180522">
        <w:t>.6</w:t>
      </w:r>
      <w:r w:rsidR="006944F8" w:rsidRPr="00180522">
        <w:tab/>
        <w:t>International Numbering Resources (INRs)</w:t>
      </w:r>
      <w:bookmarkEnd w:id="191"/>
      <w:bookmarkEnd w:id="192"/>
    </w:p>
    <w:p w14:paraId="7DC41C1B" w14:textId="300C913C" w:rsidR="00ED445F" w:rsidRPr="00180522" w:rsidRDefault="00ED445F" w:rsidP="001C37A8">
      <w:pPr>
        <w:rPr>
          <w:lang w:val="en-GB"/>
        </w:rPr>
      </w:pPr>
      <w:r w:rsidRPr="00180522">
        <w:rPr>
          <w:szCs w:val="24"/>
          <w:lang w:val="en-GB"/>
        </w:rPr>
        <w:t>A prototype of a new</w:t>
      </w:r>
      <w:r w:rsidRPr="00180522">
        <w:rPr>
          <w:lang w:val="en-GB"/>
        </w:rPr>
        <w:t xml:space="preserve"> repository of national numbering plans has been developed and is available at: </w:t>
      </w:r>
      <w:hyperlink r:id="rId167" w:history="1">
        <w:r w:rsidRPr="00180522">
          <w:rPr>
            <w:rStyle w:val="Hyperlink"/>
            <w:lang w:val="en-GB"/>
          </w:rPr>
          <w:t>https://www.itu.int/net4/itu-t/nnp</w:t>
        </w:r>
      </w:hyperlink>
      <w:r w:rsidRPr="00180522">
        <w:rPr>
          <w:lang w:val="en-GB"/>
        </w:rPr>
        <w:t xml:space="preserve">. The prototype responds to </w:t>
      </w:r>
      <w:r w:rsidRPr="00180522">
        <w:rPr>
          <w:rFonts w:eastAsia="SimSun"/>
          <w:lang w:val="en-GB"/>
        </w:rPr>
        <w:t>WTSA Resolution 91 (</w:t>
      </w:r>
      <w:proofErr w:type="spellStart"/>
      <w:r w:rsidRPr="00180522">
        <w:rPr>
          <w:rFonts w:eastAsia="SimSun"/>
          <w:lang w:val="en-GB"/>
        </w:rPr>
        <w:t>Hammamet</w:t>
      </w:r>
      <w:proofErr w:type="spellEnd"/>
      <w:r w:rsidRPr="00180522">
        <w:rPr>
          <w:rFonts w:eastAsia="SimSun"/>
          <w:lang w:val="en-GB"/>
        </w:rPr>
        <w:t>, 2016) on "Enhancing access to an electronic repository of information on numbering plans published by the ITU Telecommunication Standardization Sector".</w:t>
      </w:r>
      <w:r w:rsidRPr="00180522">
        <w:rPr>
          <w:lang w:val="en-GB"/>
        </w:rPr>
        <w:t xml:space="preserve"> </w:t>
      </w:r>
      <w:r w:rsidRPr="00180522">
        <w:rPr>
          <w:rFonts w:eastAsia="SimSun"/>
          <w:lang w:val="en-GB"/>
        </w:rPr>
        <w:t xml:space="preserve">Pursuant to the relevant ITU-T Recommendations, Member States are invited to </w:t>
      </w:r>
      <w:r w:rsidRPr="00180522">
        <w:rPr>
          <w:lang w:val="en-GB"/>
        </w:rPr>
        <w:t xml:space="preserve">provide information on the presentation of their national numbering plans and amendments thereto in a timely manner, so as to ensure that the electronic repository remains up to date. </w:t>
      </w:r>
    </w:p>
    <w:p w14:paraId="13196E64" w14:textId="538DB0CA" w:rsidR="006944F8" w:rsidRPr="00180522" w:rsidRDefault="006944F8" w:rsidP="001C37A8">
      <w:pPr>
        <w:rPr>
          <w:lang w:val="en-GB"/>
        </w:rPr>
      </w:pPr>
      <w:r w:rsidRPr="00180522">
        <w:rPr>
          <w:lang w:val="en-GB"/>
        </w:rPr>
        <w:t>ITU assigns about two-dozen types of International Numbering Resources (INRs), either directly or indirectly.</w:t>
      </w:r>
    </w:p>
    <w:p w14:paraId="51ACBCA8" w14:textId="19B425DE" w:rsidR="006944F8" w:rsidRPr="00180522" w:rsidRDefault="006944F8" w:rsidP="009E5FFA">
      <w:pPr>
        <w:rPr>
          <w:lang w:val="en-GB"/>
        </w:rPr>
      </w:pPr>
      <w:r w:rsidRPr="00180522">
        <w:rPr>
          <w:lang w:val="en-GB"/>
        </w:rPr>
        <w:t>Notifications of national numbering/identification plan update</w:t>
      </w:r>
      <w:r w:rsidR="00194F77" w:rsidRPr="00180522">
        <w:rPr>
          <w:lang w:val="en-GB"/>
        </w:rPr>
        <w:t>s</w:t>
      </w:r>
      <w:r w:rsidRPr="00180522">
        <w:rPr>
          <w:lang w:val="en-GB"/>
        </w:rPr>
        <w:t xml:space="preserve"> and assignment</w:t>
      </w:r>
      <w:r w:rsidR="00194F77" w:rsidRPr="00180522">
        <w:rPr>
          <w:lang w:val="en-GB"/>
        </w:rPr>
        <w:t>s</w:t>
      </w:r>
      <w:r w:rsidRPr="00180522">
        <w:rPr>
          <w:lang w:val="en-GB"/>
        </w:rPr>
        <w:t xml:space="preserve"> or reclamation</w:t>
      </w:r>
      <w:r w:rsidR="00194F77" w:rsidRPr="00180522">
        <w:rPr>
          <w:lang w:val="en-GB"/>
        </w:rPr>
        <w:t>s</w:t>
      </w:r>
      <w:r w:rsidRPr="00180522">
        <w:rPr>
          <w:lang w:val="en-GB"/>
        </w:rPr>
        <w:t xml:space="preserve"> of national numbering/identification resources </w:t>
      </w:r>
      <w:r w:rsidR="00194F77" w:rsidRPr="00180522">
        <w:rPr>
          <w:lang w:val="en-GB"/>
        </w:rPr>
        <w:t xml:space="preserve">are </w:t>
      </w:r>
      <w:r w:rsidRPr="00180522">
        <w:rPr>
          <w:lang w:val="en-GB"/>
        </w:rPr>
        <w:t xml:space="preserve">received and published in the </w:t>
      </w:r>
      <w:hyperlink r:id="rId168" w:history="1">
        <w:r w:rsidRPr="00180522">
          <w:rPr>
            <w:rFonts w:asciiTheme="majorBidi" w:hAnsiTheme="majorBidi" w:cstheme="majorBidi"/>
            <w:color w:val="0000FF"/>
            <w:u w:val="single" w:color="0000FF"/>
            <w:lang w:val="en-GB"/>
          </w:rPr>
          <w:t>ITU Operational Bulletin</w:t>
        </w:r>
      </w:hyperlink>
      <w:r w:rsidRPr="00180522">
        <w:rPr>
          <w:lang w:val="en-GB"/>
        </w:rPr>
        <w:t xml:space="preserve">. The ITU Operational Bulletin is published in the six official languages </w:t>
      </w:r>
      <w:r w:rsidR="00194F77" w:rsidRPr="00180522">
        <w:rPr>
          <w:lang w:val="en-GB"/>
        </w:rPr>
        <w:t xml:space="preserve">of the Union </w:t>
      </w:r>
      <w:r w:rsidRPr="00180522">
        <w:rPr>
          <w:lang w:val="en-GB"/>
        </w:rPr>
        <w:t xml:space="preserve">twice a month. Some 20 annexes </w:t>
      </w:r>
      <w:r w:rsidR="005C3985" w:rsidRPr="00180522">
        <w:rPr>
          <w:lang w:val="en-GB"/>
        </w:rPr>
        <w:t xml:space="preserve">are maintained </w:t>
      </w:r>
      <w:r w:rsidRPr="00180522">
        <w:rPr>
          <w:lang w:val="en-GB"/>
        </w:rPr>
        <w:t>on numbers and codes allocated in accordance with the following recommendations:</w:t>
      </w:r>
    </w:p>
    <w:p w14:paraId="6ACE5A10" w14:textId="1B9E08AC" w:rsidR="006944F8" w:rsidRPr="00180522" w:rsidRDefault="006944F8" w:rsidP="001C37A8">
      <w:pPr>
        <w:numPr>
          <w:ilvl w:val="0"/>
          <w:numId w:val="55"/>
        </w:numPr>
        <w:rPr>
          <w:rFonts w:eastAsiaTheme="minorEastAsia"/>
          <w:lang w:val="en-GB"/>
        </w:rPr>
      </w:pPr>
      <w:r w:rsidRPr="00180522">
        <w:rPr>
          <w:rFonts w:eastAsiaTheme="minorEastAsia"/>
          <w:lang w:val="en-GB"/>
        </w:rPr>
        <w:t xml:space="preserve">ITU-T E.164 </w:t>
      </w:r>
      <w:r w:rsidR="00CA2D85" w:rsidRPr="00180522">
        <w:rPr>
          <w:rFonts w:eastAsiaTheme="minorEastAsia"/>
          <w:lang w:val="en-GB"/>
        </w:rPr>
        <w:t>"</w:t>
      </w:r>
      <w:r w:rsidRPr="00180522">
        <w:rPr>
          <w:rFonts w:eastAsiaTheme="minorEastAsia"/>
          <w:lang w:val="en-GB"/>
        </w:rPr>
        <w:t>The international public telecommunication numbering plan</w:t>
      </w:r>
      <w:r w:rsidR="00CA2D85" w:rsidRPr="00180522">
        <w:rPr>
          <w:rFonts w:eastAsiaTheme="minorEastAsia"/>
          <w:lang w:val="en-GB"/>
        </w:rPr>
        <w:t>"</w:t>
      </w:r>
    </w:p>
    <w:p w14:paraId="0961FA46" w14:textId="5972A0C8" w:rsidR="006944F8" w:rsidRPr="00180522" w:rsidRDefault="006944F8" w:rsidP="001C37A8">
      <w:pPr>
        <w:numPr>
          <w:ilvl w:val="0"/>
          <w:numId w:val="55"/>
        </w:numPr>
        <w:rPr>
          <w:rFonts w:eastAsiaTheme="minorEastAsia"/>
          <w:lang w:val="en-GB"/>
        </w:rPr>
      </w:pPr>
      <w:r w:rsidRPr="00180522">
        <w:rPr>
          <w:rFonts w:eastAsiaTheme="minorEastAsia"/>
          <w:lang w:val="en-GB"/>
        </w:rPr>
        <w:t xml:space="preserve">ITU-T E.118 </w:t>
      </w:r>
      <w:r w:rsidR="00CA2D85" w:rsidRPr="00180522">
        <w:rPr>
          <w:rFonts w:eastAsiaTheme="minorEastAsia"/>
          <w:lang w:val="en-GB"/>
        </w:rPr>
        <w:t>"</w:t>
      </w:r>
      <w:r w:rsidRPr="00180522">
        <w:rPr>
          <w:rFonts w:eastAsiaTheme="minorEastAsia"/>
          <w:lang w:val="en-GB"/>
        </w:rPr>
        <w:t>The international telecommunication charge card</w:t>
      </w:r>
      <w:r w:rsidR="00CA2D85" w:rsidRPr="00180522">
        <w:rPr>
          <w:rFonts w:eastAsiaTheme="minorEastAsia"/>
          <w:lang w:val="en-GB"/>
        </w:rPr>
        <w:t>"</w:t>
      </w:r>
    </w:p>
    <w:p w14:paraId="0ECAF69F" w14:textId="5BA67F74" w:rsidR="006944F8" w:rsidRPr="00180522" w:rsidRDefault="006944F8" w:rsidP="001C37A8">
      <w:pPr>
        <w:numPr>
          <w:ilvl w:val="0"/>
          <w:numId w:val="55"/>
        </w:numPr>
        <w:rPr>
          <w:rFonts w:eastAsiaTheme="minorEastAsia"/>
          <w:lang w:val="en-GB"/>
        </w:rPr>
      </w:pPr>
      <w:r w:rsidRPr="00180522">
        <w:rPr>
          <w:rFonts w:eastAsiaTheme="minorEastAsia"/>
          <w:lang w:val="en-GB"/>
        </w:rPr>
        <w:t xml:space="preserve">ITU-T E.212 </w:t>
      </w:r>
      <w:r w:rsidR="00CA2D85" w:rsidRPr="00180522">
        <w:rPr>
          <w:rFonts w:eastAsiaTheme="minorEastAsia"/>
          <w:lang w:val="en-GB"/>
        </w:rPr>
        <w:t>"</w:t>
      </w:r>
      <w:r w:rsidRPr="00180522">
        <w:rPr>
          <w:rFonts w:eastAsiaTheme="minorEastAsia"/>
          <w:lang w:val="en-GB"/>
        </w:rPr>
        <w:t>The international identification plan for public networks and subscriptions</w:t>
      </w:r>
      <w:r w:rsidR="00CA2D85" w:rsidRPr="00180522">
        <w:rPr>
          <w:rFonts w:eastAsiaTheme="minorEastAsia"/>
          <w:lang w:val="en-GB"/>
        </w:rPr>
        <w:t>"</w:t>
      </w:r>
    </w:p>
    <w:p w14:paraId="1B63E52A" w14:textId="6EF9DF20" w:rsidR="006944F8" w:rsidRPr="00180522" w:rsidRDefault="006944F8" w:rsidP="001C37A8">
      <w:pPr>
        <w:numPr>
          <w:ilvl w:val="0"/>
          <w:numId w:val="55"/>
        </w:numPr>
        <w:rPr>
          <w:rFonts w:eastAsiaTheme="minorEastAsia"/>
          <w:lang w:val="en-GB"/>
        </w:rPr>
      </w:pPr>
      <w:r w:rsidRPr="00180522">
        <w:rPr>
          <w:rFonts w:eastAsiaTheme="minorEastAsia"/>
          <w:lang w:val="en-GB"/>
        </w:rPr>
        <w:t xml:space="preserve">ITU-T E.218 </w:t>
      </w:r>
      <w:r w:rsidR="00CA2D85" w:rsidRPr="00180522">
        <w:rPr>
          <w:rFonts w:eastAsiaTheme="minorEastAsia"/>
          <w:lang w:val="en-GB"/>
        </w:rPr>
        <w:t>"</w:t>
      </w:r>
      <w:r w:rsidRPr="00180522">
        <w:rPr>
          <w:rFonts w:eastAsiaTheme="minorEastAsia"/>
          <w:lang w:val="en-GB"/>
        </w:rPr>
        <w:t>Management of the allocation of terrestrial trunk radio Mobile Country Codes</w:t>
      </w:r>
      <w:r w:rsidR="00CA2D85" w:rsidRPr="00180522">
        <w:rPr>
          <w:rFonts w:eastAsiaTheme="minorEastAsia"/>
          <w:lang w:val="en-GB"/>
        </w:rPr>
        <w:t>"</w:t>
      </w:r>
    </w:p>
    <w:p w14:paraId="625B46F6" w14:textId="5E2FF1FD" w:rsidR="006944F8" w:rsidRPr="00180522" w:rsidRDefault="006944F8" w:rsidP="001C37A8">
      <w:pPr>
        <w:numPr>
          <w:ilvl w:val="0"/>
          <w:numId w:val="55"/>
        </w:numPr>
        <w:rPr>
          <w:rFonts w:eastAsiaTheme="minorEastAsia"/>
          <w:lang w:val="en-GB"/>
        </w:rPr>
      </w:pPr>
      <w:r w:rsidRPr="00180522">
        <w:rPr>
          <w:rFonts w:eastAsiaTheme="minorEastAsia"/>
          <w:lang w:val="en-GB"/>
        </w:rPr>
        <w:t xml:space="preserve">ITU-T Q.708 </w:t>
      </w:r>
      <w:r w:rsidR="00CA2D85" w:rsidRPr="00180522">
        <w:rPr>
          <w:rFonts w:eastAsiaTheme="minorEastAsia"/>
          <w:lang w:val="en-GB"/>
        </w:rPr>
        <w:t>"</w:t>
      </w:r>
      <w:r w:rsidRPr="00180522">
        <w:rPr>
          <w:rFonts w:eastAsiaTheme="minorEastAsia"/>
          <w:lang w:val="en-GB"/>
        </w:rPr>
        <w:t>Assignment procedures for international signalling point codes</w:t>
      </w:r>
      <w:r w:rsidR="00CA2D85" w:rsidRPr="00180522">
        <w:rPr>
          <w:rFonts w:eastAsiaTheme="minorEastAsia"/>
          <w:lang w:val="en-GB"/>
        </w:rPr>
        <w:t>"</w:t>
      </w:r>
      <w:r w:rsidRPr="00180522">
        <w:rPr>
          <w:rFonts w:eastAsiaTheme="minorEastAsia"/>
          <w:lang w:val="en-GB"/>
        </w:rPr>
        <w:t>.</w:t>
      </w:r>
    </w:p>
    <w:p w14:paraId="0050D20F" w14:textId="7DE32FA2" w:rsidR="00C22237" w:rsidRPr="00180522" w:rsidRDefault="008F380F" w:rsidP="008569B7">
      <w:pPr>
        <w:rPr>
          <w:lang w:val="en-GB"/>
        </w:rPr>
      </w:pPr>
      <w:r w:rsidRPr="00180522">
        <w:rPr>
          <w:lang w:val="en-GB"/>
        </w:rPr>
        <w:t>ITU-T E.156 "Guidelines for ITU-T action on reported misuse of E.164 number resources"</w:t>
      </w:r>
      <w:r w:rsidR="006944F8" w:rsidRPr="00180522">
        <w:rPr>
          <w:lang w:val="en-GB"/>
        </w:rPr>
        <w:t xml:space="preserve"> is under revision to include new cases of misuse and to investigate more efficient means of combating misuse.</w:t>
      </w:r>
      <w:r w:rsidR="008569B7" w:rsidRPr="00180522">
        <w:rPr>
          <w:lang w:val="en-GB"/>
        </w:rPr>
        <w:t xml:space="preserve"> </w:t>
      </w:r>
    </w:p>
    <w:p w14:paraId="740446F1" w14:textId="0D9273C3" w:rsidR="00C22237" w:rsidRPr="00180522" w:rsidRDefault="008569B7" w:rsidP="008569B7">
      <w:pPr>
        <w:rPr>
          <w:szCs w:val="24"/>
          <w:lang w:val="en-GB"/>
        </w:rPr>
      </w:pPr>
      <w:r w:rsidRPr="00180522">
        <w:rPr>
          <w:szCs w:val="24"/>
          <w:lang w:val="en-GB"/>
        </w:rPr>
        <w:t xml:space="preserve">Following the instruction of WTSA Resolution 20 (Rev. </w:t>
      </w:r>
      <w:proofErr w:type="spellStart"/>
      <w:r w:rsidRPr="00180522">
        <w:rPr>
          <w:szCs w:val="24"/>
          <w:lang w:val="en-GB"/>
        </w:rPr>
        <w:t>Hammamet</w:t>
      </w:r>
      <w:proofErr w:type="spellEnd"/>
      <w:r w:rsidRPr="00180522">
        <w:rPr>
          <w:szCs w:val="24"/>
          <w:lang w:val="en-GB"/>
        </w:rPr>
        <w:t xml:space="preserve">, 2016), the </w:t>
      </w:r>
      <w:r w:rsidR="00CB05D7" w:rsidRPr="00180522">
        <w:rPr>
          <w:szCs w:val="24"/>
          <w:lang w:val="en-GB"/>
        </w:rPr>
        <w:t xml:space="preserve">TSB Director </w:t>
      </w:r>
      <w:r w:rsidRPr="00180522">
        <w:rPr>
          <w:szCs w:val="24"/>
          <w:lang w:val="en-GB"/>
        </w:rPr>
        <w:t>informed ITU Council 2019</w:t>
      </w:r>
      <w:r w:rsidR="00C22237" w:rsidRPr="00180522">
        <w:rPr>
          <w:szCs w:val="24"/>
          <w:lang w:val="en-GB"/>
        </w:rPr>
        <w:t xml:space="preserve"> of recently received reports of numbering resource </w:t>
      </w:r>
      <w:r w:rsidRPr="00180522">
        <w:rPr>
          <w:szCs w:val="24"/>
          <w:lang w:val="en-GB"/>
        </w:rPr>
        <w:t>misuse</w:t>
      </w:r>
      <w:r w:rsidR="00C22237" w:rsidRPr="00180522">
        <w:rPr>
          <w:szCs w:val="24"/>
          <w:lang w:val="en-GB"/>
        </w:rPr>
        <w:t xml:space="preserve">. </w:t>
      </w:r>
      <w:r w:rsidRPr="00180522">
        <w:rPr>
          <w:szCs w:val="24"/>
          <w:lang w:val="en-GB"/>
        </w:rPr>
        <w:t xml:space="preserve">TSB </w:t>
      </w:r>
      <w:r w:rsidR="00CB6CB5" w:rsidRPr="00180522">
        <w:rPr>
          <w:szCs w:val="24"/>
          <w:lang w:val="en-GB"/>
        </w:rPr>
        <w:t>has</w:t>
      </w:r>
      <w:r w:rsidRPr="00180522">
        <w:rPr>
          <w:szCs w:val="24"/>
          <w:lang w:val="en-GB"/>
        </w:rPr>
        <w:t xml:space="preserve"> been </w:t>
      </w:r>
      <w:r w:rsidR="00C22237" w:rsidRPr="00180522">
        <w:rPr>
          <w:szCs w:val="24"/>
          <w:lang w:val="en-GB"/>
        </w:rPr>
        <w:t xml:space="preserve">working </w:t>
      </w:r>
      <w:r w:rsidRPr="00180522">
        <w:rPr>
          <w:szCs w:val="24"/>
          <w:lang w:val="en-GB"/>
        </w:rPr>
        <w:t xml:space="preserve">in close collaboration with </w:t>
      </w:r>
      <w:r w:rsidR="00C22237" w:rsidRPr="00180522">
        <w:rPr>
          <w:szCs w:val="24"/>
          <w:lang w:val="en-GB"/>
        </w:rPr>
        <w:t>the experts of ITU-T SG</w:t>
      </w:r>
      <w:r w:rsidRPr="00180522">
        <w:rPr>
          <w:szCs w:val="24"/>
          <w:lang w:val="en-GB"/>
        </w:rPr>
        <w:t xml:space="preserve">2 in investigating the </w:t>
      </w:r>
      <w:r w:rsidR="00C22237" w:rsidRPr="00180522">
        <w:rPr>
          <w:szCs w:val="24"/>
          <w:lang w:val="en-GB"/>
        </w:rPr>
        <w:t xml:space="preserve">reported </w:t>
      </w:r>
      <w:r w:rsidRPr="00180522">
        <w:rPr>
          <w:szCs w:val="24"/>
          <w:lang w:val="en-GB"/>
        </w:rPr>
        <w:t xml:space="preserve">misuse </w:t>
      </w:r>
      <w:r w:rsidR="00C22237" w:rsidRPr="00180522">
        <w:rPr>
          <w:szCs w:val="24"/>
          <w:lang w:val="en-GB"/>
        </w:rPr>
        <w:t xml:space="preserve">of </w:t>
      </w:r>
      <w:r w:rsidRPr="00180522">
        <w:rPr>
          <w:szCs w:val="24"/>
          <w:lang w:val="en-GB"/>
        </w:rPr>
        <w:t xml:space="preserve">one particular ITU telephone number. </w:t>
      </w:r>
    </w:p>
    <w:p w14:paraId="5D28C3E8" w14:textId="466FBF01" w:rsidR="008569B7" w:rsidRPr="00180522" w:rsidRDefault="008569B7" w:rsidP="008569B7">
      <w:pPr>
        <w:rPr>
          <w:szCs w:val="24"/>
          <w:lang w:val="en-GB"/>
        </w:rPr>
      </w:pPr>
      <w:r w:rsidRPr="00180522">
        <w:rPr>
          <w:szCs w:val="24"/>
          <w:lang w:val="en-GB"/>
        </w:rPr>
        <w:t xml:space="preserve">Member States are encouraged to contribute to the implementation of PP Resolution 190 (Busan, 2014) </w:t>
      </w:r>
      <w:r w:rsidR="00CA2D85" w:rsidRPr="00180522">
        <w:rPr>
          <w:szCs w:val="24"/>
          <w:lang w:val="en-GB"/>
        </w:rPr>
        <w:t>"</w:t>
      </w:r>
      <w:r w:rsidRPr="00180522">
        <w:rPr>
          <w:szCs w:val="24"/>
          <w:lang w:val="en-GB"/>
        </w:rPr>
        <w:t>Countering misappropriation and misuse of international telecommu</w:t>
      </w:r>
      <w:r w:rsidR="00CB05D7" w:rsidRPr="00180522">
        <w:rPr>
          <w:szCs w:val="24"/>
          <w:lang w:val="en-GB"/>
        </w:rPr>
        <w:t>nication numbering resources</w:t>
      </w:r>
      <w:r w:rsidR="00CA2D85" w:rsidRPr="00180522">
        <w:rPr>
          <w:szCs w:val="24"/>
          <w:lang w:val="en-GB"/>
        </w:rPr>
        <w:t>"</w:t>
      </w:r>
      <w:r w:rsidR="00CB05D7" w:rsidRPr="00180522">
        <w:rPr>
          <w:szCs w:val="24"/>
          <w:lang w:val="en-GB"/>
        </w:rPr>
        <w:t xml:space="preserve">, </w:t>
      </w:r>
      <w:r w:rsidRPr="00180522">
        <w:rPr>
          <w:szCs w:val="24"/>
          <w:lang w:val="en-GB"/>
        </w:rPr>
        <w:t>in particular</w:t>
      </w:r>
      <w:r w:rsidR="00C22237" w:rsidRPr="00180522">
        <w:rPr>
          <w:szCs w:val="24"/>
          <w:lang w:val="en-GB"/>
        </w:rPr>
        <w:t xml:space="preserve"> </w:t>
      </w:r>
      <w:r w:rsidR="00CA2D85" w:rsidRPr="00180522">
        <w:rPr>
          <w:szCs w:val="24"/>
          <w:lang w:val="en-GB"/>
        </w:rPr>
        <w:t>"</w:t>
      </w:r>
      <w:r w:rsidRPr="00180522">
        <w:rPr>
          <w:szCs w:val="24"/>
          <w:lang w:val="en-GB"/>
        </w:rPr>
        <w:t>to continue to study ways and means to improve the understanding, identification and resolution of misappropriation and misuse of ITU-T E.164 telephone numbers through activities of ITU-T and ITU-D study groups</w:t>
      </w:r>
      <w:r w:rsidR="00CA2D85" w:rsidRPr="00180522">
        <w:rPr>
          <w:szCs w:val="24"/>
          <w:lang w:val="en-GB"/>
        </w:rPr>
        <w:t>"</w:t>
      </w:r>
      <w:r w:rsidRPr="00180522">
        <w:rPr>
          <w:szCs w:val="24"/>
          <w:lang w:val="en-GB"/>
        </w:rPr>
        <w:t xml:space="preserve"> and </w:t>
      </w:r>
      <w:r w:rsidR="00CA2D85" w:rsidRPr="00180522">
        <w:rPr>
          <w:szCs w:val="24"/>
          <w:lang w:val="en-GB"/>
        </w:rPr>
        <w:t>"</w:t>
      </w:r>
      <w:r w:rsidRPr="00180522">
        <w:rPr>
          <w:szCs w:val="24"/>
          <w:lang w:val="en-GB"/>
        </w:rPr>
        <w:t>develop national legal and regulatory frameworks that are sufficient to ensure best practices in ITU-T E.164 telephone numbering management in order to counter telephone number misappropriation and misuse</w:t>
      </w:r>
      <w:r w:rsidR="00CA2D85" w:rsidRPr="00180522">
        <w:rPr>
          <w:szCs w:val="24"/>
          <w:lang w:val="en-GB"/>
        </w:rPr>
        <w:t>"</w:t>
      </w:r>
      <w:r w:rsidRPr="00180522">
        <w:rPr>
          <w:szCs w:val="24"/>
          <w:lang w:val="en-GB"/>
        </w:rPr>
        <w:t>.</w:t>
      </w:r>
    </w:p>
    <w:p w14:paraId="7FF0806E" w14:textId="77777777" w:rsidR="008569B7" w:rsidRPr="00180522" w:rsidRDefault="008569B7" w:rsidP="001C37A8">
      <w:pPr>
        <w:snapToGrid w:val="0"/>
        <w:rPr>
          <w:szCs w:val="24"/>
          <w:lang w:val="en-GB"/>
        </w:rPr>
      </w:pPr>
      <w:r w:rsidRPr="00180522">
        <w:rPr>
          <w:rFonts w:eastAsia="SimSun"/>
          <w:szCs w:val="24"/>
          <w:lang w:val="en-GB"/>
        </w:rPr>
        <w:t xml:space="preserve">Council 2017 </w:t>
      </w:r>
      <w:r w:rsidRPr="00180522">
        <w:rPr>
          <w:szCs w:val="24"/>
          <w:lang w:val="en-GB"/>
        </w:rPr>
        <w:t>approved the new fee structure for UIFN (Universal International Freephone Number) and IIN (Issuer Identifier Number) by approving new Decision 600 (</w:t>
      </w:r>
      <w:hyperlink r:id="rId169" w:history="1">
        <w:r w:rsidRPr="00180522">
          <w:rPr>
            <w:rStyle w:val="Hyperlink"/>
            <w:szCs w:val="24"/>
            <w:lang w:val="en-GB"/>
          </w:rPr>
          <w:t>C17/133</w:t>
        </w:r>
      </w:hyperlink>
      <w:r w:rsidRPr="00180522">
        <w:rPr>
          <w:szCs w:val="24"/>
          <w:lang w:val="en-GB"/>
        </w:rPr>
        <w:t>) and 601 (</w:t>
      </w:r>
      <w:hyperlink r:id="rId170" w:history="1">
        <w:r w:rsidRPr="00180522">
          <w:rPr>
            <w:rStyle w:val="Hyperlink"/>
            <w:szCs w:val="24"/>
            <w:lang w:val="en-GB"/>
          </w:rPr>
          <w:t>C17/134</w:t>
        </w:r>
      </w:hyperlink>
      <w:r w:rsidRPr="00180522">
        <w:rPr>
          <w:szCs w:val="24"/>
          <w:lang w:val="en-GB"/>
        </w:rPr>
        <w:t>). ITU has been in the process of implementing these Decisions.</w:t>
      </w:r>
    </w:p>
    <w:p w14:paraId="487C0468" w14:textId="0E0074DF" w:rsidR="008569B7" w:rsidRPr="00180522" w:rsidRDefault="008569B7" w:rsidP="001C37A8">
      <w:pPr>
        <w:numPr>
          <w:ilvl w:val="0"/>
          <w:numId w:val="37"/>
        </w:numPr>
        <w:rPr>
          <w:lang w:val="en-GB"/>
        </w:rPr>
      </w:pPr>
      <w:r w:rsidRPr="00180522">
        <w:rPr>
          <w:lang w:val="en-GB"/>
        </w:rPr>
        <w:t>The improved systems went live on 16 January 2018 following the new fee structure approved in Council Decision 600</w:t>
      </w:r>
      <w:r w:rsidRPr="00180522">
        <w:rPr>
          <w:rFonts w:eastAsia="SimSun"/>
          <w:lang w:val="en-GB"/>
        </w:rPr>
        <w:t>.</w:t>
      </w:r>
    </w:p>
    <w:p w14:paraId="58C1DAC7" w14:textId="4DD06203" w:rsidR="008569B7" w:rsidRPr="00180522" w:rsidRDefault="00C22237" w:rsidP="001C37A8">
      <w:pPr>
        <w:numPr>
          <w:ilvl w:val="0"/>
          <w:numId w:val="37"/>
        </w:numPr>
        <w:rPr>
          <w:lang w:val="en-GB"/>
        </w:rPr>
      </w:pPr>
      <w:r w:rsidRPr="00180522">
        <w:rPr>
          <w:lang w:val="en-GB"/>
        </w:rPr>
        <w:t xml:space="preserve">At its </w:t>
      </w:r>
      <w:r w:rsidR="008569B7" w:rsidRPr="00180522">
        <w:rPr>
          <w:lang w:val="en-GB"/>
        </w:rPr>
        <w:t>February 2019</w:t>
      </w:r>
      <w:r w:rsidRPr="00180522">
        <w:rPr>
          <w:lang w:val="en-GB"/>
        </w:rPr>
        <w:t xml:space="preserve"> meeting</w:t>
      </w:r>
      <w:r w:rsidR="008569B7" w:rsidRPr="00180522">
        <w:rPr>
          <w:lang w:val="en-GB"/>
        </w:rPr>
        <w:t xml:space="preserve">, </w:t>
      </w:r>
      <w:r w:rsidRPr="00180522">
        <w:rPr>
          <w:lang w:val="en-GB"/>
        </w:rPr>
        <w:t xml:space="preserve">ITU-T SG2 </w:t>
      </w:r>
      <w:r w:rsidR="008569B7" w:rsidRPr="00180522">
        <w:rPr>
          <w:lang w:val="en-GB"/>
        </w:rPr>
        <w:t xml:space="preserve">approved revisions to ITU-T E.169.1 </w:t>
      </w:r>
      <w:r w:rsidR="00CA2D85" w:rsidRPr="00180522">
        <w:rPr>
          <w:lang w:val="en-GB"/>
        </w:rPr>
        <w:t>"</w:t>
      </w:r>
      <w:r w:rsidR="008569B7" w:rsidRPr="00180522">
        <w:rPr>
          <w:lang w:val="en-GB"/>
        </w:rPr>
        <w:t xml:space="preserve">Application of Recommendation E.164 numbering plan for universal international </w:t>
      </w:r>
      <w:proofErr w:type="spellStart"/>
      <w:r w:rsidR="008569B7" w:rsidRPr="00180522">
        <w:rPr>
          <w:lang w:val="en-GB"/>
        </w:rPr>
        <w:t>freephone</w:t>
      </w:r>
      <w:proofErr w:type="spellEnd"/>
      <w:r w:rsidR="008569B7" w:rsidRPr="00180522">
        <w:rPr>
          <w:lang w:val="en-GB"/>
        </w:rPr>
        <w:t xml:space="preserve"> numbers for international </w:t>
      </w:r>
      <w:proofErr w:type="spellStart"/>
      <w:r w:rsidR="008569B7" w:rsidRPr="00180522">
        <w:rPr>
          <w:lang w:val="en-GB"/>
        </w:rPr>
        <w:t>freephone</w:t>
      </w:r>
      <w:proofErr w:type="spellEnd"/>
      <w:r w:rsidR="008569B7" w:rsidRPr="00180522">
        <w:rPr>
          <w:lang w:val="en-GB"/>
        </w:rPr>
        <w:t xml:space="preserve"> service</w:t>
      </w:r>
      <w:r w:rsidR="00CA2D85" w:rsidRPr="00180522">
        <w:rPr>
          <w:lang w:val="en-GB"/>
        </w:rPr>
        <w:t>"</w:t>
      </w:r>
      <w:r w:rsidR="008569B7" w:rsidRPr="00180522">
        <w:rPr>
          <w:lang w:val="en-GB"/>
        </w:rPr>
        <w:t xml:space="preserve"> and ITU-T E.118 </w:t>
      </w:r>
      <w:r w:rsidR="00CA2D85" w:rsidRPr="00180522">
        <w:rPr>
          <w:lang w:val="en-GB"/>
        </w:rPr>
        <w:t>"</w:t>
      </w:r>
      <w:r w:rsidR="008569B7" w:rsidRPr="00180522">
        <w:rPr>
          <w:lang w:val="en-GB"/>
        </w:rPr>
        <w:t>The international telecommunication charge card</w:t>
      </w:r>
      <w:r w:rsidR="00CA2D85" w:rsidRPr="00180522">
        <w:rPr>
          <w:lang w:val="en-GB"/>
        </w:rPr>
        <w:t>"</w:t>
      </w:r>
      <w:r w:rsidR="008569B7" w:rsidRPr="00180522">
        <w:rPr>
          <w:lang w:val="en-GB"/>
        </w:rPr>
        <w:t xml:space="preserve"> to reflect Council Decision 600 and 601.</w:t>
      </w:r>
    </w:p>
    <w:p w14:paraId="1FF2EBB2" w14:textId="6A7B4FE2" w:rsidR="008569B7" w:rsidRPr="00180522" w:rsidRDefault="008569B7" w:rsidP="001C37A8">
      <w:pPr>
        <w:numPr>
          <w:ilvl w:val="0"/>
          <w:numId w:val="37"/>
        </w:numPr>
        <w:rPr>
          <w:rFonts w:eastAsia="Calibri"/>
          <w:lang w:val="en-GB"/>
        </w:rPr>
      </w:pPr>
      <w:r w:rsidRPr="00180522">
        <w:rPr>
          <w:rFonts w:eastAsia="Calibri"/>
          <w:lang w:val="en-GB"/>
        </w:rPr>
        <w:t>For the UIFN annual maintenance fee for 2018, invoices representing CHF 744</w:t>
      </w:r>
      <w:r w:rsidR="00C22237" w:rsidRPr="00180522">
        <w:rPr>
          <w:rFonts w:eastAsia="Calibri"/>
          <w:lang w:val="en-GB"/>
        </w:rPr>
        <w:t>,</w:t>
      </w:r>
      <w:r w:rsidRPr="00180522">
        <w:rPr>
          <w:rFonts w:eastAsia="Calibri"/>
          <w:lang w:val="en-GB"/>
        </w:rPr>
        <w:t xml:space="preserve">200 were </w:t>
      </w:r>
      <w:r w:rsidR="00C22237" w:rsidRPr="00180522">
        <w:rPr>
          <w:rFonts w:eastAsia="Calibri"/>
          <w:lang w:val="en-GB"/>
        </w:rPr>
        <w:t xml:space="preserve">distributed </w:t>
      </w:r>
      <w:r w:rsidRPr="00180522">
        <w:rPr>
          <w:rFonts w:eastAsia="Calibri"/>
          <w:lang w:val="en-GB"/>
        </w:rPr>
        <w:t xml:space="preserve">in January 2018. Applying the principle of pro rata fee for newly joined Sector </w:t>
      </w:r>
      <w:r w:rsidRPr="00180522">
        <w:rPr>
          <w:rFonts w:eastAsia="Calibri"/>
          <w:lang w:val="en-GB"/>
        </w:rPr>
        <w:lastRenderedPageBreak/>
        <w:t>Members in 2018, the total amount to be paid was CHF 553</w:t>
      </w:r>
      <w:r w:rsidR="00C22237" w:rsidRPr="00180522">
        <w:rPr>
          <w:rFonts w:eastAsia="Calibri"/>
          <w:lang w:val="en-GB"/>
        </w:rPr>
        <w:t>,</w:t>
      </w:r>
      <w:r w:rsidRPr="00180522">
        <w:rPr>
          <w:rFonts w:eastAsia="Calibri"/>
          <w:lang w:val="en-GB"/>
        </w:rPr>
        <w:t>567. As of 10 June 2019, CHF 224</w:t>
      </w:r>
      <w:r w:rsidR="00C22237" w:rsidRPr="00180522">
        <w:rPr>
          <w:rFonts w:eastAsia="Calibri"/>
          <w:lang w:val="en-GB"/>
        </w:rPr>
        <w:t>,</w:t>
      </w:r>
      <w:r w:rsidRPr="00180522">
        <w:rPr>
          <w:rFonts w:eastAsia="Calibri"/>
          <w:lang w:val="en-GB"/>
        </w:rPr>
        <w:t>600 (41</w:t>
      </w:r>
      <w:r w:rsidR="00C22237" w:rsidRPr="00180522">
        <w:rPr>
          <w:rFonts w:eastAsia="Calibri"/>
          <w:lang w:val="en-GB"/>
        </w:rPr>
        <w:t xml:space="preserve"> per cent</w:t>
      </w:r>
      <w:r w:rsidRPr="00180522">
        <w:rPr>
          <w:rFonts w:eastAsia="Calibri"/>
          <w:lang w:val="en-GB"/>
        </w:rPr>
        <w:t>) has been</w:t>
      </w:r>
      <w:r w:rsidR="00C22237" w:rsidRPr="00180522">
        <w:rPr>
          <w:rFonts w:eastAsia="Calibri"/>
          <w:lang w:val="en-GB"/>
        </w:rPr>
        <w:t xml:space="preserve"> received</w:t>
      </w:r>
      <w:r w:rsidRPr="00180522">
        <w:rPr>
          <w:rFonts w:eastAsia="Calibri"/>
          <w:lang w:val="en-GB"/>
        </w:rPr>
        <w:t>. It is important to note, however, that 45 per</w:t>
      </w:r>
      <w:r w:rsidR="00C22237" w:rsidRPr="00180522">
        <w:rPr>
          <w:rFonts w:eastAsia="Calibri"/>
          <w:lang w:val="en-GB"/>
        </w:rPr>
        <w:t xml:space="preserve"> </w:t>
      </w:r>
      <w:r w:rsidRPr="00180522">
        <w:rPr>
          <w:rFonts w:eastAsia="Calibri"/>
          <w:lang w:val="en-GB"/>
        </w:rPr>
        <w:t>cent of the unpaid CHF 328</w:t>
      </w:r>
      <w:r w:rsidR="00C22237" w:rsidRPr="00180522">
        <w:rPr>
          <w:rFonts w:eastAsia="Calibri"/>
          <w:lang w:val="en-GB"/>
        </w:rPr>
        <w:t>,</w:t>
      </w:r>
      <w:r w:rsidRPr="00180522">
        <w:rPr>
          <w:rFonts w:eastAsia="Calibri"/>
          <w:lang w:val="en-GB"/>
        </w:rPr>
        <w:t xml:space="preserve">967 </w:t>
      </w:r>
      <w:r w:rsidR="00682C4B" w:rsidRPr="00180522">
        <w:rPr>
          <w:rFonts w:eastAsia="Calibri"/>
          <w:lang w:val="en-GB"/>
        </w:rPr>
        <w:t>con</w:t>
      </w:r>
      <w:r w:rsidR="000711B0" w:rsidRPr="00180522">
        <w:rPr>
          <w:rFonts w:eastAsia="Calibri"/>
          <w:lang w:val="en-GB"/>
        </w:rPr>
        <w:t xml:space="preserve">cerns only </w:t>
      </w:r>
      <w:r w:rsidR="00C22237" w:rsidRPr="00180522">
        <w:rPr>
          <w:rFonts w:eastAsia="Calibri"/>
          <w:lang w:val="en-GB"/>
        </w:rPr>
        <w:t>two</w:t>
      </w:r>
      <w:r w:rsidRPr="00180522">
        <w:rPr>
          <w:rFonts w:eastAsia="Calibri"/>
          <w:lang w:val="en-GB"/>
        </w:rPr>
        <w:t xml:space="preserve"> UIFN service providers.</w:t>
      </w:r>
    </w:p>
    <w:p w14:paraId="4548D89E" w14:textId="75E1B2AD" w:rsidR="008569B7" w:rsidRPr="00180522" w:rsidRDefault="008569B7" w:rsidP="001C37A8">
      <w:pPr>
        <w:numPr>
          <w:ilvl w:val="0"/>
          <w:numId w:val="37"/>
        </w:numPr>
        <w:rPr>
          <w:rFonts w:eastAsia="Calibri"/>
          <w:lang w:val="en-GB"/>
        </w:rPr>
      </w:pPr>
      <w:r w:rsidRPr="00180522">
        <w:rPr>
          <w:rFonts w:eastAsia="Calibri"/>
          <w:lang w:val="en-GB"/>
        </w:rPr>
        <w:t>The list</w:t>
      </w:r>
      <w:r w:rsidR="000711B0" w:rsidRPr="00180522">
        <w:rPr>
          <w:rFonts w:eastAsia="Calibri"/>
          <w:lang w:val="en-GB"/>
        </w:rPr>
        <w:t>s</w:t>
      </w:r>
      <w:r w:rsidRPr="00180522">
        <w:rPr>
          <w:rFonts w:eastAsia="Calibri"/>
          <w:lang w:val="en-GB"/>
        </w:rPr>
        <w:t xml:space="preserve"> of invoices for </w:t>
      </w:r>
      <w:r w:rsidR="000711B0" w:rsidRPr="00180522">
        <w:rPr>
          <w:rFonts w:eastAsia="Calibri"/>
          <w:lang w:val="en-GB"/>
        </w:rPr>
        <w:t xml:space="preserve">the </w:t>
      </w:r>
      <w:r w:rsidRPr="00180522">
        <w:rPr>
          <w:rFonts w:eastAsia="Calibri"/>
          <w:lang w:val="en-GB"/>
        </w:rPr>
        <w:t>IIN annual maintenance fee</w:t>
      </w:r>
      <w:r w:rsidR="000711B0" w:rsidRPr="00180522">
        <w:rPr>
          <w:rFonts w:eastAsia="Calibri"/>
          <w:lang w:val="en-GB"/>
        </w:rPr>
        <w:t>s</w:t>
      </w:r>
      <w:r w:rsidRPr="00180522">
        <w:rPr>
          <w:rFonts w:eastAsia="Calibri"/>
          <w:lang w:val="en-GB"/>
        </w:rPr>
        <w:t xml:space="preserve"> </w:t>
      </w:r>
      <w:r w:rsidR="000711B0" w:rsidRPr="00180522">
        <w:rPr>
          <w:rFonts w:eastAsia="Calibri"/>
          <w:lang w:val="en-GB"/>
        </w:rPr>
        <w:t xml:space="preserve">of </w:t>
      </w:r>
      <w:r w:rsidRPr="00180522">
        <w:rPr>
          <w:rFonts w:eastAsia="Calibri"/>
          <w:lang w:val="en-GB"/>
        </w:rPr>
        <w:t>2018 and 2019 ha</w:t>
      </w:r>
      <w:r w:rsidR="000711B0" w:rsidRPr="00180522">
        <w:rPr>
          <w:rFonts w:eastAsia="Calibri"/>
          <w:lang w:val="en-GB"/>
        </w:rPr>
        <w:t>ve</w:t>
      </w:r>
      <w:r w:rsidRPr="00180522">
        <w:rPr>
          <w:rFonts w:eastAsia="Calibri"/>
          <w:lang w:val="en-GB"/>
        </w:rPr>
        <w:t xml:space="preserve"> not </w:t>
      </w:r>
      <w:r w:rsidR="000711B0" w:rsidRPr="00180522">
        <w:rPr>
          <w:rFonts w:eastAsia="Calibri"/>
          <w:lang w:val="en-GB"/>
        </w:rPr>
        <w:t xml:space="preserve">yet </w:t>
      </w:r>
      <w:r w:rsidRPr="00180522">
        <w:rPr>
          <w:rFonts w:eastAsia="Calibri"/>
          <w:lang w:val="en-GB"/>
        </w:rPr>
        <w:t xml:space="preserve">been generated as </w:t>
      </w:r>
      <w:r w:rsidR="000711B0" w:rsidRPr="00180522">
        <w:rPr>
          <w:rFonts w:eastAsia="Calibri"/>
          <w:lang w:val="en-GB"/>
        </w:rPr>
        <w:t xml:space="preserve">TSB </w:t>
      </w:r>
      <w:r w:rsidRPr="00180522">
        <w:rPr>
          <w:rFonts w:eastAsia="Calibri"/>
          <w:lang w:val="en-GB"/>
        </w:rPr>
        <w:t xml:space="preserve">continues to seek confirmation of </w:t>
      </w:r>
      <w:r w:rsidR="000711B0" w:rsidRPr="00180522">
        <w:rPr>
          <w:rFonts w:eastAsia="Calibri"/>
          <w:lang w:val="en-GB"/>
        </w:rPr>
        <w:t xml:space="preserve">relevant </w:t>
      </w:r>
      <w:r w:rsidRPr="00180522">
        <w:rPr>
          <w:rFonts w:eastAsia="Calibri"/>
          <w:lang w:val="en-GB"/>
        </w:rPr>
        <w:t>contact</w:t>
      </w:r>
      <w:r w:rsidR="000711B0" w:rsidRPr="00180522">
        <w:rPr>
          <w:rFonts w:eastAsia="Calibri"/>
          <w:lang w:val="en-GB"/>
        </w:rPr>
        <w:t xml:space="preserve"> information from </w:t>
      </w:r>
      <w:r w:rsidRPr="00180522">
        <w:rPr>
          <w:rFonts w:eastAsia="Calibri"/>
          <w:lang w:val="en-GB"/>
        </w:rPr>
        <w:t>national Administrations/regulators or authorized agencies for IIN assignees.</w:t>
      </w:r>
    </w:p>
    <w:p w14:paraId="3670D6F7" w14:textId="1C5CBC16" w:rsidR="008569B7" w:rsidRPr="00180522" w:rsidRDefault="000711B0" w:rsidP="001C37A8">
      <w:pPr>
        <w:snapToGrid w:val="0"/>
        <w:rPr>
          <w:rFonts w:eastAsia="Calibri"/>
          <w:szCs w:val="24"/>
          <w:lang w:val="en-GB"/>
        </w:rPr>
      </w:pPr>
      <w:r w:rsidRPr="00180522">
        <w:rPr>
          <w:rFonts w:eastAsia="Calibri"/>
          <w:szCs w:val="24"/>
          <w:lang w:val="en-GB"/>
        </w:rPr>
        <w:t>Although p</w:t>
      </w:r>
      <w:r w:rsidR="008569B7" w:rsidRPr="00180522">
        <w:rPr>
          <w:rFonts w:eastAsia="Calibri"/>
          <w:szCs w:val="24"/>
          <w:lang w:val="en-GB"/>
        </w:rPr>
        <w:t>rogress is being</w:t>
      </w:r>
      <w:r w:rsidRPr="00180522">
        <w:rPr>
          <w:rFonts w:eastAsia="Calibri"/>
          <w:szCs w:val="24"/>
          <w:lang w:val="en-GB"/>
        </w:rPr>
        <w:t xml:space="preserve"> achieved</w:t>
      </w:r>
      <w:r w:rsidR="008569B7" w:rsidRPr="00180522">
        <w:rPr>
          <w:rFonts w:eastAsia="Calibri"/>
          <w:szCs w:val="24"/>
          <w:lang w:val="en-GB"/>
        </w:rPr>
        <w:t xml:space="preserve"> in implementing Council Decision</w:t>
      </w:r>
      <w:r w:rsidRPr="00180522">
        <w:rPr>
          <w:rFonts w:eastAsia="Calibri"/>
          <w:szCs w:val="24"/>
          <w:lang w:val="en-GB"/>
        </w:rPr>
        <w:t>s</w:t>
      </w:r>
      <w:r w:rsidR="008569B7" w:rsidRPr="00180522">
        <w:rPr>
          <w:rFonts w:eastAsia="Calibri"/>
          <w:szCs w:val="24"/>
          <w:lang w:val="en-GB"/>
        </w:rPr>
        <w:t xml:space="preserve"> 600 and 601</w:t>
      </w:r>
      <w:r w:rsidRPr="00180522">
        <w:rPr>
          <w:rFonts w:eastAsia="Calibri"/>
          <w:szCs w:val="24"/>
          <w:lang w:val="en-GB"/>
        </w:rPr>
        <w:t xml:space="preserve">, further </w:t>
      </w:r>
      <w:r w:rsidR="008569B7" w:rsidRPr="00180522">
        <w:rPr>
          <w:rFonts w:eastAsia="Calibri"/>
          <w:szCs w:val="24"/>
          <w:lang w:val="en-GB"/>
        </w:rPr>
        <w:t xml:space="preserve">assistance from Member States </w:t>
      </w:r>
      <w:r w:rsidRPr="00180522">
        <w:rPr>
          <w:rFonts w:eastAsia="Calibri"/>
          <w:szCs w:val="24"/>
          <w:lang w:val="en-GB"/>
        </w:rPr>
        <w:t xml:space="preserve">is required </w:t>
      </w:r>
      <w:r w:rsidR="00ED445F" w:rsidRPr="00180522">
        <w:rPr>
          <w:rFonts w:eastAsia="Calibri"/>
          <w:szCs w:val="24"/>
          <w:lang w:val="en-GB"/>
        </w:rPr>
        <w:t xml:space="preserve">either </w:t>
      </w:r>
      <w:r w:rsidR="008569B7" w:rsidRPr="00180522">
        <w:rPr>
          <w:rFonts w:eastAsia="Calibri"/>
          <w:szCs w:val="24"/>
          <w:lang w:val="en-GB"/>
        </w:rPr>
        <w:t>to identify the contact information of UIFN service providers and IIN assignees or ensure th</w:t>
      </w:r>
      <w:r w:rsidRPr="00180522">
        <w:rPr>
          <w:rFonts w:eastAsia="Calibri"/>
          <w:szCs w:val="24"/>
          <w:lang w:val="en-GB"/>
        </w:rPr>
        <w:t>at</w:t>
      </w:r>
      <w:r w:rsidR="008569B7" w:rsidRPr="00180522">
        <w:rPr>
          <w:rFonts w:eastAsia="Calibri"/>
          <w:szCs w:val="24"/>
          <w:lang w:val="en-GB"/>
        </w:rPr>
        <w:t xml:space="preserve"> invoices are paid </w:t>
      </w:r>
      <w:r w:rsidR="00ED445F" w:rsidRPr="00180522">
        <w:rPr>
          <w:rFonts w:eastAsia="Calibri"/>
          <w:szCs w:val="24"/>
          <w:lang w:val="en-GB"/>
        </w:rPr>
        <w:t>on</w:t>
      </w:r>
      <w:r w:rsidR="008569B7" w:rsidRPr="00180522">
        <w:rPr>
          <w:rFonts w:eastAsia="Calibri"/>
          <w:szCs w:val="24"/>
          <w:lang w:val="en-GB"/>
        </w:rPr>
        <w:t xml:space="preserve"> time. It was also observed that </w:t>
      </w:r>
      <w:r w:rsidR="008569B7" w:rsidRPr="00180522">
        <w:rPr>
          <w:szCs w:val="24"/>
          <w:lang w:val="en-GB"/>
        </w:rPr>
        <w:t xml:space="preserve">Council Decision 600 encouraged operators to update their list of active UIFNs and return the unused UIFNs to ITU, and </w:t>
      </w:r>
      <w:r w:rsidR="00ED445F" w:rsidRPr="00180522">
        <w:rPr>
          <w:szCs w:val="24"/>
          <w:lang w:val="en-GB"/>
        </w:rPr>
        <w:t xml:space="preserve">that </w:t>
      </w:r>
      <w:r w:rsidR="008569B7" w:rsidRPr="00180522">
        <w:rPr>
          <w:szCs w:val="24"/>
          <w:lang w:val="en-GB"/>
        </w:rPr>
        <w:t xml:space="preserve">Council Decision 601 improves the precision of the IIN records kept in the ITU </w:t>
      </w:r>
      <w:proofErr w:type="spellStart"/>
      <w:r w:rsidR="008569B7" w:rsidRPr="00180522">
        <w:rPr>
          <w:szCs w:val="24"/>
          <w:lang w:val="en-GB"/>
        </w:rPr>
        <w:t>database.The</w:t>
      </w:r>
      <w:proofErr w:type="spellEnd"/>
      <w:r w:rsidR="008569B7" w:rsidRPr="00180522">
        <w:rPr>
          <w:szCs w:val="24"/>
          <w:lang w:val="en-GB"/>
        </w:rPr>
        <w:t xml:space="preserve"> following recommendati</w:t>
      </w:r>
      <w:r w:rsidR="00D20522" w:rsidRPr="00180522">
        <w:rPr>
          <w:szCs w:val="24"/>
          <w:lang w:val="en-GB"/>
        </w:rPr>
        <w:t xml:space="preserve">on was approved by </w:t>
      </w:r>
      <w:r w:rsidRPr="00180522">
        <w:rPr>
          <w:szCs w:val="24"/>
          <w:lang w:val="en-GB"/>
        </w:rPr>
        <w:t xml:space="preserve">ITU </w:t>
      </w:r>
      <w:r w:rsidR="00D20522" w:rsidRPr="00180522">
        <w:rPr>
          <w:szCs w:val="24"/>
          <w:lang w:val="en-GB"/>
        </w:rPr>
        <w:t>Council 2019:</w:t>
      </w:r>
    </w:p>
    <w:p w14:paraId="33889592" w14:textId="483029D0" w:rsidR="00CB05D7" w:rsidRPr="00180522" w:rsidRDefault="008569B7" w:rsidP="00D20522">
      <w:pPr>
        <w:overflowPunct/>
        <w:autoSpaceDE/>
        <w:autoSpaceDN/>
        <w:adjustRightInd/>
        <w:ind w:left="567"/>
        <w:textAlignment w:val="auto"/>
        <w:rPr>
          <w:rFonts w:eastAsia="SimSun"/>
          <w:b/>
          <w:bCs/>
          <w:i/>
          <w:iCs/>
          <w:szCs w:val="24"/>
          <w:lang w:val="en-GB"/>
        </w:rPr>
      </w:pPr>
      <w:r w:rsidRPr="00180522">
        <w:rPr>
          <w:rFonts w:eastAsia="SimSun"/>
          <w:i/>
          <w:szCs w:val="24"/>
          <w:lang w:val="en-GB"/>
        </w:rPr>
        <w:t xml:space="preserve">The list of UIFN service providers in Annex A to Document C19/47 will be marked as </w:t>
      </w:r>
      <w:r w:rsidR="00CA2D85" w:rsidRPr="00180522">
        <w:rPr>
          <w:rFonts w:eastAsia="SimSun"/>
          <w:i/>
          <w:szCs w:val="24"/>
          <w:lang w:val="en-GB"/>
        </w:rPr>
        <w:t>"</w:t>
      </w:r>
      <w:r w:rsidRPr="00180522">
        <w:rPr>
          <w:rFonts w:eastAsia="SimSun"/>
          <w:i/>
          <w:szCs w:val="24"/>
          <w:lang w:val="en-GB"/>
        </w:rPr>
        <w:t>not reachable</w:t>
      </w:r>
      <w:r w:rsidR="00CA2D85" w:rsidRPr="00180522">
        <w:rPr>
          <w:rFonts w:eastAsia="SimSun"/>
          <w:i/>
          <w:szCs w:val="24"/>
          <w:lang w:val="en-GB"/>
        </w:rPr>
        <w:t>"</w:t>
      </w:r>
      <w:r w:rsidRPr="00180522">
        <w:rPr>
          <w:rFonts w:eastAsia="SimSun"/>
          <w:i/>
          <w:szCs w:val="24"/>
          <w:lang w:val="en-GB"/>
        </w:rPr>
        <w:t xml:space="preserv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45C3586" w14:textId="7BDB9FA6" w:rsidR="008569B7" w:rsidRPr="00180522" w:rsidRDefault="008569B7" w:rsidP="00D20522">
      <w:pPr>
        <w:overflowPunct/>
        <w:autoSpaceDE/>
        <w:autoSpaceDN/>
        <w:adjustRightInd/>
        <w:ind w:left="567"/>
        <w:textAlignment w:val="auto"/>
        <w:rPr>
          <w:rFonts w:eastAsia="SimSun"/>
          <w:i/>
          <w:szCs w:val="24"/>
          <w:lang w:val="en-GB"/>
        </w:rPr>
      </w:pPr>
      <w:r w:rsidRPr="00180522">
        <w:rPr>
          <w:i/>
          <w:szCs w:val="24"/>
          <w:lang w:val="en-GB"/>
        </w:rPr>
        <w:t>If the invoices sent to the UIFN service providers in Annex B to Document C19/47 remain unpaid for an extended period, the secretariat will seek assistance from Member States to recover the debt.</w:t>
      </w:r>
    </w:p>
    <w:p w14:paraId="007E2748" w14:textId="77777777" w:rsidR="008569B7" w:rsidRPr="00180522" w:rsidRDefault="008569B7" w:rsidP="00D20522">
      <w:pPr>
        <w:ind w:left="567"/>
        <w:rPr>
          <w:rFonts w:eastAsia="SimSun"/>
          <w:i/>
          <w:lang w:val="en-GB"/>
        </w:rPr>
      </w:pPr>
      <w:r w:rsidRPr="00180522">
        <w:rPr>
          <w:rFonts w:eastAsia="SimSun"/>
          <w:i/>
          <w:lang w:val="en-GB"/>
        </w:rPr>
        <w:t>National Administrations/regulators or</w:t>
      </w:r>
      <w:r w:rsidRPr="00180522">
        <w:rPr>
          <w:i/>
          <w:lang w:val="en-GB"/>
        </w:rPr>
        <w:t xml:space="preserve"> authorized agencies</w:t>
      </w:r>
      <w:r w:rsidRPr="00180522">
        <w:rPr>
          <w:rFonts w:eastAsia="SimSun"/>
          <w:i/>
          <w:lang w:val="en-GB"/>
        </w:rPr>
        <w:t xml:space="preserve"> are encouraged to provide assistance in identifying the up-to-date contact or status of the UIFN service providers (e.g., if they are no longer in business) listed in Annex C to </w:t>
      </w:r>
      <w:r w:rsidRPr="00180522">
        <w:rPr>
          <w:i/>
          <w:lang w:val="en-GB"/>
        </w:rPr>
        <w:t>Document C19/47</w:t>
      </w:r>
      <w:r w:rsidRPr="00180522">
        <w:rPr>
          <w:rFonts w:eastAsia="SimSun"/>
          <w:i/>
          <w:lang w:val="en-GB"/>
        </w:rPr>
        <w:t>.</w:t>
      </w:r>
    </w:p>
    <w:p w14:paraId="02B5A138" w14:textId="33E942C9" w:rsidR="008569B7" w:rsidRPr="00180522" w:rsidRDefault="008569B7" w:rsidP="00D20522">
      <w:pPr>
        <w:ind w:left="567"/>
        <w:rPr>
          <w:rFonts w:eastAsia="SimSun"/>
          <w:i/>
          <w:lang w:val="en-GB"/>
        </w:rPr>
      </w:pPr>
      <w:r w:rsidRPr="00180522">
        <w:rPr>
          <w:rFonts w:eastAsia="SimSun"/>
          <w:i/>
          <w:lang w:val="en-GB"/>
        </w:rPr>
        <w:t xml:space="preserve">The list of IINs for which contact information is pending will be published on ITU website as IINs with the status </w:t>
      </w:r>
      <w:r w:rsidR="00CA2D85" w:rsidRPr="00180522">
        <w:rPr>
          <w:rFonts w:eastAsia="SimSun"/>
          <w:i/>
          <w:lang w:val="en-GB"/>
        </w:rPr>
        <w:t>"</w:t>
      </w:r>
      <w:r w:rsidRPr="00180522">
        <w:rPr>
          <w:rFonts w:eastAsia="SimSun"/>
          <w:i/>
          <w:lang w:val="en-GB"/>
        </w:rPr>
        <w:t>assignee not reachable</w:t>
      </w:r>
      <w:r w:rsidR="00CA2D85" w:rsidRPr="00180522">
        <w:rPr>
          <w:rFonts w:eastAsia="SimSun"/>
          <w:i/>
          <w:lang w:val="en-GB"/>
        </w:rPr>
        <w:t>"</w:t>
      </w:r>
      <w:r w:rsidRPr="00180522">
        <w:rPr>
          <w:rFonts w:eastAsia="SimSun"/>
          <w:i/>
          <w:lang w:val="en-GB"/>
        </w:rPr>
        <w:t xml:space="preserve"> and will be announced in the ITU Operational Bulletin. National Administrations/regulators or authorized agencies are encouraged to provide assistance in identifying their up-to-date status and/or contact information.</w:t>
      </w:r>
    </w:p>
    <w:p w14:paraId="0CF68D55" w14:textId="77777777" w:rsidR="008569B7" w:rsidRPr="00180522" w:rsidRDefault="008569B7" w:rsidP="00D20522">
      <w:pPr>
        <w:ind w:left="567"/>
        <w:rPr>
          <w:rFonts w:eastAsia="SimSun"/>
          <w:i/>
          <w:lang w:val="en-GB"/>
        </w:rPr>
      </w:pPr>
      <w:r w:rsidRPr="00180522">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3460DC46" w14:textId="0CE86F71" w:rsidR="008569B7" w:rsidRPr="00180522" w:rsidRDefault="008569B7" w:rsidP="00D20522">
      <w:pPr>
        <w:snapToGrid w:val="0"/>
        <w:ind w:left="567"/>
        <w:rPr>
          <w:i/>
          <w:lang w:val="en-GB"/>
        </w:rPr>
      </w:pPr>
      <w:r w:rsidRPr="00180522">
        <w:rPr>
          <w:rFonts w:eastAsia="SimSun"/>
          <w:i/>
          <w:iCs/>
          <w:szCs w:val="24"/>
          <w:lang w:val="en-GB"/>
        </w:rPr>
        <w:t xml:space="preserve">UIFN service providers or IIN assignees with the status of </w:t>
      </w:r>
      <w:r w:rsidRPr="00180522">
        <w:rPr>
          <w:rFonts w:eastAsia="SimSun"/>
          <w:i/>
          <w:szCs w:val="24"/>
          <w:lang w:val="en-GB"/>
        </w:rPr>
        <w:t>ADMIN RELATED</w:t>
      </w:r>
      <w:r w:rsidRPr="00180522">
        <w:rPr>
          <w:rFonts w:eastAsia="SimSun"/>
          <w:i/>
          <w:iCs/>
          <w:szCs w:val="24"/>
          <w:lang w:val="en-GB"/>
        </w:rPr>
        <w:t xml:space="preserve"> are not subject to the annual maintenance fee.</w:t>
      </w:r>
    </w:p>
    <w:p w14:paraId="07262E19" w14:textId="5B74D21A" w:rsidR="006944F8" w:rsidRPr="00180522" w:rsidRDefault="002F0E38" w:rsidP="00541269">
      <w:pPr>
        <w:pStyle w:val="Heading2"/>
      </w:pPr>
      <w:bookmarkStart w:id="193" w:name="_Toc462664279"/>
      <w:bookmarkStart w:id="194" w:name="_Toc480527874"/>
      <w:bookmarkStart w:id="195" w:name="_Toc18509785"/>
      <w:r w:rsidRPr="00180522">
        <w:t>13</w:t>
      </w:r>
      <w:r w:rsidR="006944F8" w:rsidRPr="00180522">
        <w:t>.7</w:t>
      </w:r>
      <w:r w:rsidR="006944F8" w:rsidRPr="00180522">
        <w:tab/>
        <w:t>ITU-T SharePoint collaboration sites</w:t>
      </w:r>
      <w:bookmarkEnd w:id="193"/>
      <w:bookmarkEnd w:id="194"/>
      <w:bookmarkEnd w:id="195"/>
    </w:p>
    <w:p w14:paraId="5EC327E2" w14:textId="2100EDE9" w:rsidR="006944F8" w:rsidRPr="00180522" w:rsidRDefault="006944F8" w:rsidP="00541269">
      <w:pPr>
        <w:overflowPunct/>
        <w:autoSpaceDE/>
        <w:autoSpaceDN/>
        <w:adjustRightInd/>
        <w:textAlignment w:val="auto"/>
        <w:rPr>
          <w:lang w:val="en-GB"/>
        </w:rPr>
      </w:pPr>
      <w:r w:rsidRPr="00180522">
        <w:rPr>
          <w:lang w:val="en-GB"/>
        </w:rPr>
        <w:t xml:space="preserve">The ITU-T SharePoint </w:t>
      </w:r>
      <w:r w:rsidR="00541269" w:rsidRPr="00180522">
        <w:rPr>
          <w:lang w:val="en-GB"/>
        </w:rPr>
        <w:t>c</w:t>
      </w:r>
      <w:r w:rsidRPr="00180522">
        <w:rPr>
          <w:lang w:val="en-GB"/>
        </w:rPr>
        <w:t xml:space="preserve">ollaboration sites </w:t>
      </w:r>
      <w:r w:rsidR="00541269" w:rsidRPr="00180522">
        <w:rPr>
          <w:lang w:val="en-GB"/>
        </w:rPr>
        <w:t xml:space="preserve">enable </w:t>
      </w:r>
      <w:r w:rsidRPr="00180522">
        <w:rPr>
          <w:lang w:val="en-GB"/>
        </w:rPr>
        <w:t xml:space="preserve">participants </w:t>
      </w:r>
      <w:r w:rsidR="00541269" w:rsidRPr="00180522">
        <w:rPr>
          <w:lang w:val="en-GB"/>
        </w:rPr>
        <w:t xml:space="preserve">in ITU-T working groups </w:t>
      </w:r>
      <w:r w:rsidRPr="00180522">
        <w:rPr>
          <w:lang w:val="en-GB"/>
        </w:rPr>
        <w:t xml:space="preserve">to conduct online discussions, work on projects, </w:t>
      </w:r>
      <w:r w:rsidR="00541269" w:rsidRPr="00180522">
        <w:rPr>
          <w:lang w:val="en-GB"/>
        </w:rPr>
        <w:t>schedule</w:t>
      </w:r>
      <w:r w:rsidRPr="00180522">
        <w:rPr>
          <w:lang w:val="en-GB"/>
        </w:rPr>
        <w:t xml:space="preserve"> meeting</w:t>
      </w:r>
      <w:r w:rsidR="00541269" w:rsidRPr="00180522">
        <w:rPr>
          <w:lang w:val="en-GB"/>
        </w:rPr>
        <w:t xml:space="preserve">s and </w:t>
      </w:r>
      <w:r w:rsidRPr="00180522">
        <w:rPr>
          <w:lang w:val="en-GB"/>
        </w:rPr>
        <w:t>manage and store documents in a secure shared environment.</w:t>
      </w:r>
    </w:p>
    <w:p w14:paraId="7FDDE8C8" w14:textId="70EA208D" w:rsidR="006944F8" w:rsidRPr="00180522" w:rsidRDefault="006944F8" w:rsidP="006944F8">
      <w:pPr>
        <w:overflowPunct/>
        <w:autoSpaceDE/>
        <w:autoSpaceDN/>
        <w:adjustRightInd/>
        <w:textAlignment w:val="auto"/>
        <w:rPr>
          <w:lang w:val="en-GB"/>
        </w:rPr>
      </w:pPr>
      <w:r w:rsidRPr="00180522">
        <w:rPr>
          <w:lang w:val="en-GB"/>
        </w:rPr>
        <w:t xml:space="preserve">The </w:t>
      </w:r>
      <w:r w:rsidR="00541269" w:rsidRPr="00180522">
        <w:rPr>
          <w:lang w:val="en-GB"/>
        </w:rPr>
        <w:t xml:space="preserve">home of </w:t>
      </w:r>
      <w:r w:rsidRPr="00180522">
        <w:rPr>
          <w:lang w:val="en-GB"/>
        </w:rPr>
        <w:t>ITU-T SharePoint collaboration site</w:t>
      </w:r>
      <w:r w:rsidR="00541269" w:rsidRPr="00180522">
        <w:rPr>
          <w:lang w:val="en-GB"/>
        </w:rPr>
        <w:t>s can</w:t>
      </w:r>
      <w:r w:rsidRPr="00180522">
        <w:rPr>
          <w:lang w:val="en-GB"/>
        </w:rPr>
        <w:t xml:space="preserve"> be accessed </w:t>
      </w:r>
      <w:r w:rsidR="00541269" w:rsidRPr="00180522">
        <w:rPr>
          <w:lang w:val="en-GB"/>
        </w:rPr>
        <w:t>at</w:t>
      </w:r>
      <w:r w:rsidRPr="00180522">
        <w:rPr>
          <w:lang w:val="en-GB"/>
        </w:rPr>
        <w:t xml:space="preserve">: </w:t>
      </w:r>
      <w:hyperlink r:id="rId171" w:history="1">
        <w:r w:rsidRPr="00180522">
          <w:rPr>
            <w:rStyle w:val="Hyperlink"/>
            <w:rFonts w:asciiTheme="majorBidi" w:hAnsiTheme="majorBidi" w:cstheme="majorBidi"/>
            <w:szCs w:val="24"/>
            <w:lang w:val="en-GB"/>
          </w:rPr>
          <w:t>https://extranet.itu.int/sites/ITU-T/</w:t>
        </w:r>
      </w:hyperlink>
      <w:r w:rsidRPr="00180522">
        <w:rPr>
          <w:lang w:val="en-GB"/>
        </w:rPr>
        <w:t>.</w:t>
      </w:r>
    </w:p>
    <w:p w14:paraId="7F383F22" w14:textId="79BF4A3A" w:rsidR="006944F8" w:rsidRPr="00180522" w:rsidRDefault="00541269" w:rsidP="001C37A8">
      <w:pPr>
        <w:rPr>
          <w:lang w:val="en-GB"/>
        </w:rPr>
      </w:pPr>
      <w:r w:rsidRPr="00180522">
        <w:rPr>
          <w:lang w:val="en-GB"/>
        </w:rPr>
        <w:t xml:space="preserve">A selection of </w:t>
      </w:r>
      <w:r w:rsidR="006944F8" w:rsidRPr="00180522">
        <w:rPr>
          <w:lang w:val="en-GB"/>
        </w:rPr>
        <w:t xml:space="preserve">notable </w:t>
      </w:r>
      <w:r w:rsidRPr="00180522">
        <w:rPr>
          <w:lang w:val="en-GB"/>
        </w:rPr>
        <w:t>c</w:t>
      </w:r>
      <w:r w:rsidR="006944F8" w:rsidRPr="00180522">
        <w:rPr>
          <w:lang w:val="en-GB"/>
        </w:rPr>
        <w:t>ollaboration sites</w:t>
      </w:r>
      <w:r w:rsidRPr="00180522">
        <w:rPr>
          <w:lang w:val="en-GB"/>
        </w:rPr>
        <w:t xml:space="preserve"> is found below</w:t>
      </w:r>
      <w:r w:rsidR="006944F8" w:rsidRPr="00180522">
        <w:rPr>
          <w:lang w:val="en-GB"/>
        </w:rPr>
        <w:t>:</w:t>
      </w:r>
    </w:p>
    <w:p w14:paraId="2BDAEC92" w14:textId="77777777" w:rsidR="006944F8" w:rsidRPr="00180522" w:rsidRDefault="006944F8" w:rsidP="001C37A8">
      <w:pPr>
        <w:numPr>
          <w:ilvl w:val="0"/>
          <w:numId w:val="38"/>
        </w:numPr>
        <w:rPr>
          <w:lang w:val="en-GB"/>
        </w:rPr>
      </w:pPr>
      <w:r w:rsidRPr="00180522">
        <w:rPr>
          <w:lang w:val="en-GB"/>
        </w:rPr>
        <w:t>ITU-T Study Groups (Study Period 2017-2020) (</w:t>
      </w:r>
      <w:hyperlink r:id="rId172" w:history="1">
        <w:r w:rsidRPr="00180522">
          <w:rPr>
            <w:rStyle w:val="Hyperlink"/>
            <w:rFonts w:asciiTheme="majorBidi" w:hAnsiTheme="majorBidi" w:cstheme="majorBidi"/>
            <w:lang w:val="en-GB"/>
          </w:rPr>
          <w:t>https://extranet.itu.int/sites/itu-t/studygroups/2017-2020</w:t>
        </w:r>
      </w:hyperlink>
      <w:r w:rsidRPr="00180522">
        <w:rPr>
          <w:lang w:val="en-GB"/>
        </w:rPr>
        <w:t>)</w:t>
      </w:r>
    </w:p>
    <w:p w14:paraId="08B26234" w14:textId="77777777" w:rsidR="006944F8" w:rsidRPr="00180522" w:rsidRDefault="006944F8" w:rsidP="001C37A8">
      <w:pPr>
        <w:numPr>
          <w:ilvl w:val="0"/>
          <w:numId w:val="38"/>
        </w:numPr>
        <w:rPr>
          <w:lang w:val="en-GB"/>
        </w:rPr>
      </w:pPr>
      <w:r w:rsidRPr="00180522">
        <w:rPr>
          <w:lang w:val="en-GB"/>
        </w:rPr>
        <w:t>United for Smart Sustainable Cities (U4SSC) (</w:t>
      </w:r>
      <w:hyperlink r:id="rId173" w:history="1">
        <w:r w:rsidRPr="00180522">
          <w:rPr>
            <w:rStyle w:val="Hyperlink"/>
            <w:rFonts w:asciiTheme="majorBidi" w:hAnsiTheme="majorBidi" w:cstheme="majorBidi"/>
            <w:lang w:val="en-GB"/>
          </w:rPr>
          <w:t>https://extranet.itu.int/sites/itu-t/initiatives/U4SSC/</w:t>
        </w:r>
      </w:hyperlink>
      <w:r w:rsidRPr="00180522">
        <w:rPr>
          <w:lang w:val="en-GB"/>
        </w:rPr>
        <w:t>)</w:t>
      </w:r>
    </w:p>
    <w:p w14:paraId="3E6E0B1B" w14:textId="77777777" w:rsidR="006944F8" w:rsidRPr="00180522" w:rsidRDefault="006944F8" w:rsidP="001C37A8">
      <w:pPr>
        <w:numPr>
          <w:ilvl w:val="0"/>
          <w:numId w:val="38"/>
        </w:numPr>
        <w:rPr>
          <w:lang w:val="en-GB"/>
        </w:rPr>
      </w:pPr>
      <w:r w:rsidRPr="00180522">
        <w:rPr>
          <w:lang w:val="en-GB"/>
        </w:rPr>
        <w:lastRenderedPageBreak/>
        <w:t>Security, Infrastructure and Trust Working Group (SIT WG) (</w:t>
      </w:r>
      <w:hyperlink r:id="rId174" w:history="1">
        <w:r w:rsidRPr="00180522">
          <w:rPr>
            <w:rStyle w:val="Hyperlink"/>
            <w:rFonts w:asciiTheme="majorBidi" w:hAnsiTheme="majorBidi" w:cstheme="majorBidi"/>
            <w:lang w:val="en-GB"/>
          </w:rPr>
          <w:t>https://extranet.itu.int/sites/itu-t/initiatives/sitwg/</w:t>
        </w:r>
      </w:hyperlink>
      <w:r w:rsidRPr="00180522">
        <w:rPr>
          <w:lang w:val="en-GB"/>
        </w:rPr>
        <w:t>)</w:t>
      </w:r>
    </w:p>
    <w:p w14:paraId="1EACD6B7" w14:textId="77777777" w:rsidR="006944F8" w:rsidRPr="00180522" w:rsidRDefault="006944F8" w:rsidP="001C37A8">
      <w:pPr>
        <w:numPr>
          <w:ilvl w:val="0"/>
          <w:numId w:val="38"/>
        </w:numPr>
        <w:rPr>
          <w:lang w:val="en-GB"/>
        </w:rPr>
      </w:pPr>
      <w:r w:rsidRPr="00180522">
        <w:rPr>
          <w:lang w:val="en-GB"/>
        </w:rPr>
        <w:t>FG DPM - ITU-T Focus Group on Data Processing and Management to support IoT and Smart Cities &amp; Communities (</w:t>
      </w:r>
      <w:hyperlink r:id="rId175" w:history="1">
        <w:r w:rsidRPr="00180522">
          <w:rPr>
            <w:rStyle w:val="Hyperlink"/>
            <w:rFonts w:asciiTheme="majorBidi" w:hAnsiTheme="majorBidi" w:cstheme="majorBidi"/>
            <w:lang w:val="en-GB"/>
          </w:rPr>
          <w:t>https://extranet.itu.int/sites/itu-t/focusgroups/dpm/</w:t>
        </w:r>
      </w:hyperlink>
      <w:r w:rsidRPr="00180522">
        <w:rPr>
          <w:lang w:val="en-GB"/>
        </w:rPr>
        <w:t>)</w:t>
      </w:r>
    </w:p>
    <w:p w14:paraId="67B5DE07" w14:textId="77777777" w:rsidR="006944F8" w:rsidRPr="00180522" w:rsidRDefault="006944F8" w:rsidP="001C37A8">
      <w:pPr>
        <w:numPr>
          <w:ilvl w:val="0"/>
          <w:numId w:val="38"/>
        </w:numPr>
        <w:rPr>
          <w:lang w:val="en-GB"/>
        </w:rPr>
      </w:pPr>
      <w:r w:rsidRPr="00180522">
        <w:rPr>
          <w:lang w:val="en-GB"/>
        </w:rPr>
        <w:t>FG DFC - ITU-T Focus Group on Digital Currency including digital fiat currency</w:t>
      </w:r>
      <w:r w:rsidRPr="00180522">
        <w:rPr>
          <w:rFonts w:eastAsia="MS Gothic"/>
          <w:lang w:val="en-GB"/>
        </w:rPr>
        <w:t xml:space="preserve"> (</w:t>
      </w:r>
      <w:hyperlink r:id="rId176" w:history="1">
        <w:r w:rsidRPr="00180522">
          <w:rPr>
            <w:rStyle w:val="Hyperlink"/>
            <w:rFonts w:asciiTheme="majorBidi" w:eastAsia="MS Gothic" w:hAnsiTheme="majorBidi" w:cstheme="majorBidi"/>
            <w:lang w:val="en-GB"/>
          </w:rPr>
          <w:t>https://extranet.itu.int/sites/itu-t/focusgroups/dfc/</w:t>
        </w:r>
      </w:hyperlink>
      <w:r w:rsidRPr="00180522">
        <w:rPr>
          <w:rFonts w:eastAsia="MS Gothic"/>
          <w:lang w:val="en-GB"/>
        </w:rPr>
        <w:t>)</w:t>
      </w:r>
    </w:p>
    <w:p w14:paraId="4713B18C" w14:textId="77777777" w:rsidR="006944F8" w:rsidRPr="00180522" w:rsidRDefault="006944F8" w:rsidP="001C37A8">
      <w:pPr>
        <w:numPr>
          <w:ilvl w:val="0"/>
          <w:numId w:val="38"/>
        </w:numPr>
        <w:rPr>
          <w:lang w:val="en-GB"/>
        </w:rPr>
      </w:pPr>
      <w:r w:rsidRPr="00180522">
        <w:rPr>
          <w:lang w:val="en-GB"/>
        </w:rPr>
        <w:t>FG DLT - ITU-T Focus Group on Application of Distributed Ledger Technology (</w:t>
      </w:r>
      <w:hyperlink r:id="rId177" w:history="1">
        <w:r w:rsidRPr="00180522">
          <w:rPr>
            <w:rStyle w:val="Hyperlink"/>
            <w:rFonts w:asciiTheme="majorBidi" w:hAnsiTheme="majorBidi" w:cstheme="majorBidi"/>
            <w:lang w:val="en-GB"/>
          </w:rPr>
          <w:t>https://extranet.itu.int/sites/itu-t/focusgroups/fgdlt/</w:t>
        </w:r>
      </w:hyperlink>
      <w:r w:rsidRPr="00180522">
        <w:rPr>
          <w:lang w:val="en-GB"/>
        </w:rPr>
        <w:t>)</w:t>
      </w:r>
    </w:p>
    <w:p w14:paraId="598F1D20" w14:textId="77777777" w:rsidR="006944F8" w:rsidRPr="00180522" w:rsidRDefault="006944F8" w:rsidP="001C37A8">
      <w:pPr>
        <w:numPr>
          <w:ilvl w:val="0"/>
          <w:numId w:val="38"/>
        </w:numPr>
        <w:rPr>
          <w:lang w:val="en-GB"/>
        </w:rPr>
      </w:pPr>
      <w:r w:rsidRPr="00180522">
        <w:rPr>
          <w:lang w:val="en-GB"/>
        </w:rPr>
        <w:t>FG ML5G - ITU-T Focus Group on Machine Learning for Future Networks including 5G (</w:t>
      </w:r>
      <w:hyperlink r:id="rId178" w:history="1">
        <w:r w:rsidRPr="00180522">
          <w:rPr>
            <w:rStyle w:val="Hyperlink"/>
            <w:rFonts w:asciiTheme="majorBidi" w:hAnsiTheme="majorBidi" w:cstheme="majorBidi"/>
            <w:lang w:val="en-GB"/>
          </w:rPr>
          <w:t>https://extranet.itu.int/sites/itu-t/focusgroups/ML5G/</w:t>
        </w:r>
      </w:hyperlink>
      <w:r w:rsidRPr="00180522">
        <w:rPr>
          <w:lang w:val="en-GB"/>
        </w:rPr>
        <w:t>)</w:t>
      </w:r>
    </w:p>
    <w:p w14:paraId="625D4996" w14:textId="77777777" w:rsidR="006944F8" w:rsidRPr="00180522" w:rsidRDefault="006944F8" w:rsidP="001C37A8">
      <w:pPr>
        <w:numPr>
          <w:ilvl w:val="0"/>
          <w:numId w:val="38"/>
        </w:numPr>
        <w:rPr>
          <w:lang w:val="en-GB"/>
        </w:rPr>
      </w:pPr>
      <w:r w:rsidRPr="00180522">
        <w:rPr>
          <w:lang w:val="en-GB"/>
        </w:rPr>
        <w:t>FG NET-2030 – ITU-T Focus Group on Technologies for Network 2030 (</w:t>
      </w:r>
      <w:hyperlink r:id="rId179" w:history="1">
        <w:r w:rsidRPr="00180522">
          <w:rPr>
            <w:rStyle w:val="Hyperlink"/>
            <w:rFonts w:asciiTheme="majorBidi" w:hAnsiTheme="majorBidi" w:cstheme="majorBidi"/>
            <w:lang w:val="en-GB"/>
          </w:rPr>
          <w:t>https://extranet.itu.int/sites/itu-t/focusgroups/net-2030/</w:t>
        </w:r>
      </w:hyperlink>
      <w:r w:rsidRPr="00180522">
        <w:rPr>
          <w:lang w:val="en-GB"/>
        </w:rPr>
        <w:t>)</w:t>
      </w:r>
    </w:p>
    <w:p w14:paraId="2FDCEE16" w14:textId="77777777" w:rsidR="006944F8" w:rsidRPr="00180522" w:rsidRDefault="006944F8" w:rsidP="001C37A8">
      <w:pPr>
        <w:numPr>
          <w:ilvl w:val="0"/>
          <w:numId w:val="38"/>
        </w:numPr>
        <w:rPr>
          <w:lang w:val="en-GB"/>
        </w:rPr>
      </w:pPr>
      <w:r w:rsidRPr="00180522">
        <w:rPr>
          <w:lang w:val="en-GB"/>
        </w:rPr>
        <w:t>FG-AI4H - ITU-T Focus Group on Artificial Intelligence for Health (</w:t>
      </w:r>
      <w:hyperlink r:id="rId180" w:history="1">
        <w:r w:rsidRPr="00180522">
          <w:rPr>
            <w:rStyle w:val="Hyperlink"/>
            <w:rFonts w:asciiTheme="majorBidi" w:hAnsiTheme="majorBidi" w:cstheme="majorBidi"/>
            <w:lang w:val="en-GB"/>
          </w:rPr>
          <w:t>https://extranet.itu.int/sites/itu-t/focusgroups/ai4h/</w:t>
        </w:r>
      </w:hyperlink>
      <w:r w:rsidRPr="00180522">
        <w:rPr>
          <w:lang w:val="en-GB"/>
        </w:rPr>
        <w:t>)</w:t>
      </w:r>
    </w:p>
    <w:p w14:paraId="49A69FBA" w14:textId="7289EB1C" w:rsidR="006944F8" w:rsidRPr="00180522" w:rsidRDefault="006944F8" w:rsidP="001C37A8">
      <w:pPr>
        <w:numPr>
          <w:ilvl w:val="0"/>
          <w:numId w:val="38"/>
        </w:numPr>
        <w:rPr>
          <w:lang w:val="en-GB"/>
        </w:rPr>
      </w:pPr>
      <w:r w:rsidRPr="00180522">
        <w:rPr>
          <w:lang w:val="en-GB"/>
        </w:rPr>
        <w:t>FG-VM - ITU-T Focus Group on Vehicular Multimedia</w:t>
      </w:r>
      <w:r w:rsidRPr="00180522">
        <w:rPr>
          <w:lang w:val="en-GB"/>
        </w:rPr>
        <w:br/>
        <w:t>(</w:t>
      </w:r>
      <w:hyperlink r:id="rId181" w:history="1">
        <w:r w:rsidRPr="00180522">
          <w:rPr>
            <w:rStyle w:val="Hyperlink"/>
            <w:rFonts w:asciiTheme="majorBidi" w:hAnsiTheme="majorBidi" w:cstheme="majorBidi"/>
            <w:lang w:val="en-GB"/>
          </w:rPr>
          <w:t>https://extranet.itu.int/sites/itu-t/focusgroups/vm/</w:t>
        </w:r>
      </w:hyperlink>
      <w:r w:rsidRPr="00180522">
        <w:rPr>
          <w:lang w:val="en-GB"/>
        </w:rPr>
        <w:t>)</w:t>
      </w:r>
    </w:p>
    <w:p w14:paraId="300D82B1" w14:textId="0811D8E0" w:rsidR="006F517F" w:rsidRPr="00180522" w:rsidRDefault="006F517F" w:rsidP="001C37A8">
      <w:pPr>
        <w:numPr>
          <w:ilvl w:val="0"/>
          <w:numId w:val="38"/>
        </w:numPr>
        <w:rPr>
          <w:lang w:val="en-GB"/>
        </w:rPr>
      </w:pPr>
      <w:r w:rsidRPr="00180522">
        <w:rPr>
          <w:lang w:val="en-GB"/>
        </w:rPr>
        <w:t>FG-AI4EE - Focus Group on Environmental Efficiency for Artificial Intelligence and other Emerging Technologies</w:t>
      </w:r>
      <w:r w:rsidRPr="00180522">
        <w:rPr>
          <w:lang w:val="en-GB"/>
        </w:rPr>
        <w:br/>
        <w:t>(</w:t>
      </w:r>
      <w:hyperlink r:id="rId182" w:history="1">
        <w:r w:rsidRPr="00180522">
          <w:rPr>
            <w:rStyle w:val="Hyperlink"/>
            <w:rFonts w:asciiTheme="majorBidi" w:hAnsiTheme="majorBidi" w:cstheme="majorBidi"/>
            <w:lang w:val="en-GB"/>
          </w:rPr>
          <w:t>https://extranet.itu.int/sites/itu-t/focusgroups/ai4ee/</w:t>
        </w:r>
      </w:hyperlink>
      <w:r w:rsidRPr="00180522">
        <w:rPr>
          <w:lang w:val="en-GB"/>
        </w:rPr>
        <w:t>)</w:t>
      </w:r>
    </w:p>
    <w:p w14:paraId="184A8554" w14:textId="3DC1C60B" w:rsidR="006944F8" w:rsidRPr="00180522" w:rsidRDefault="006944F8" w:rsidP="002013A1">
      <w:pPr>
        <w:rPr>
          <w:lang w:val="en-GB"/>
        </w:rPr>
      </w:pPr>
      <w:r w:rsidRPr="00180522">
        <w:rPr>
          <w:lang w:val="en-GB"/>
        </w:rPr>
        <w:t>A support site contain</w:t>
      </w:r>
      <w:r w:rsidR="00541269" w:rsidRPr="00180522">
        <w:rPr>
          <w:lang w:val="en-GB"/>
        </w:rPr>
        <w:t>ing</w:t>
      </w:r>
      <w:r w:rsidRPr="00180522">
        <w:rPr>
          <w:lang w:val="en-GB"/>
        </w:rPr>
        <w:t xml:space="preserve"> a knowledge base of FAQs and user guides on the various SharePoint services is available at: </w:t>
      </w:r>
      <w:hyperlink r:id="rId183" w:history="1">
        <w:r w:rsidRPr="00180522">
          <w:rPr>
            <w:rStyle w:val="Hyperlink"/>
            <w:rFonts w:asciiTheme="majorBidi" w:hAnsiTheme="majorBidi" w:cstheme="majorBidi"/>
            <w:szCs w:val="24"/>
            <w:lang w:val="en-GB"/>
          </w:rPr>
          <w:t>https://extranet.itu.int/ITU-T/support/</w:t>
        </w:r>
      </w:hyperlink>
      <w:r w:rsidRPr="00180522">
        <w:rPr>
          <w:lang w:val="en-GB"/>
        </w:rPr>
        <w:t>.</w:t>
      </w:r>
    </w:p>
    <w:p w14:paraId="7DE9AA6C" w14:textId="612AD6F3" w:rsidR="006944F8" w:rsidRPr="00180522" w:rsidRDefault="006944F8" w:rsidP="002013A1">
      <w:pPr>
        <w:rPr>
          <w:lang w:val="en-GB"/>
        </w:rPr>
      </w:pPr>
      <w:r w:rsidRPr="00180522">
        <w:rPr>
          <w:lang w:val="en-GB"/>
        </w:rPr>
        <w:t xml:space="preserve">Most of the collaboration sites are restricted to ITU-T </w:t>
      </w:r>
      <w:r w:rsidR="00541269" w:rsidRPr="00180522">
        <w:rPr>
          <w:lang w:val="en-GB"/>
        </w:rPr>
        <w:t>m</w:t>
      </w:r>
      <w:r w:rsidRPr="00180522">
        <w:rPr>
          <w:lang w:val="en-GB"/>
        </w:rPr>
        <w:t>embers</w:t>
      </w:r>
      <w:r w:rsidR="00541269" w:rsidRPr="00180522">
        <w:rPr>
          <w:lang w:val="en-GB"/>
        </w:rPr>
        <w:t xml:space="preserve">, </w:t>
      </w:r>
      <w:r w:rsidRPr="00180522">
        <w:rPr>
          <w:lang w:val="en-GB"/>
        </w:rPr>
        <w:t xml:space="preserve">accessed using an ITU User </w:t>
      </w:r>
      <w:r w:rsidR="00DE1505" w:rsidRPr="00180522">
        <w:rPr>
          <w:lang w:val="en-GB"/>
        </w:rPr>
        <w:t xml:space="preserve">Account </w:t>
      </w:r>
      <w:r w:rsidRPr="00180522">
        <w:rPr>
          <w:lang w:val="en-GB"/>
        </w:rPr>
        <w:t>(TIES).</w:t>
      </w:r>
      <w:r w:rsidR="00541269" w:rsidRPr="00180522">
        <w:rPr>
          <w:lang w:val="en-GB"/>
        </w:rPr>
        <w:t xml:space="preserve"> Certain</w:t>
      </w:r>
      <w:r w:rsidRPr="00180522">
        <w:rPr>
          <w:lang w:val="en-GB"/>
        </w:rPr>
        <w:t xml:space="preserve"> collaboration sites are open to non-members</w:t>
      </w:r>
      <w:r w:rsidR="00541269" w:rsidRPr="00180522">
        <w:rPr>
          <w:lang w:val="en-GB"/>
        </w:rPr>
        <w:t>,</w:t>
      </w:r>
      <w:r w:rsidRPr="00180522">
        <w:rPr>
          <w:lang w:val="en-GB"/>
        </w:rPr>
        <w:t xml:space="preserve"> </w:t>
      </w:r>
      <w:r w:rsidR="00541269" w:rsidRPr="00180522">
        <w:rPr>
          <w:lang w:val="en-GB"/>
        </w:rPr>
        <w:t xml:space="preserve">accessed </w:t>
      </w:r>
      <w:r w:rsidRPr="00180522">
        <w:rPr>
          <w:lang w:val="en-GB"/>
        </w:rPr>
        <w:t xml:space="preserve">using non-member ITU User </w:t>
      </w:r>
      <w:r w:rsidR="00DE1505" w:rsidRPr="00180522">
        <w:rPr>
          <w:lang w:val="en-GB"/>
        </w:rPr>
        <w:t>A</w:t>
      </w:r>
      <w:r w:rsidRPr="00180522">
        <w:rPr>
          <w:lang w:val="en-GB"/>
        </w:rPr>
        <w:t>ccounts.</w:t>
      </w:r>
    </w:p>
    <w:p w14:paraId="083BF94F" w14:textId="3A92AD41" w:rsidR="006944F8" w:rsidRPr="00180522" w:rsidRDefault="002F0E38" w:rsidP="006944F8">
      <w:pPr>
        <w:pStyle w:val="Heading2"/>
      </w:pPr>
      <w:bookmarkStart w:id="196" w:name="_Toc462664281"/>
      <w:bookmarkStart w:id="197" w:name="_Toc480527876"/>
      <w:bookmarkStart w:id="198" w:name="_Toc18509786"/>
      <w:r w:rsidRPr="00180522">
        <w:t>13</w:t>
      </w:r>
      <w:r w:rsidR="006944F8" w:rsidRPr="00180522">
        <w:t>.8</w:t>
      </w:r>
      <w:r w:rsidR="006944F8" w:rsidRPr="00180522">
        <w:tab/>
        <w:t>Meeting Documents Sync Application</w:t>
      </w:r>
      <w:bookmarkEnd w:id="196"/>
      <w:bookmarkEnd w:id="197"/>
      <w:bookmarkEnd w:id="198"/>
    </w:p>
    <w:p w14:paraId="7FD7F9C7" w14:textId="731CCC1E" w:rsidR="006944F8" w:rsidRPr="00180522" w:rsidRDefault="006944F8" w:rsidP="00541269">
      <w:pPr>
        <w:rPr>
          <w:lang w:val="en-GB"/>
        </w:rPr>
      </w:pPr>
      <w:bookmarkStart w:id="199" w:name="_Toc462664282"/>
      <w:r w:rsidRPr="00180522">
        <w:rPr>
          <w:lang w:val="en-GB"/>
        </w:rPr>
        <w:t xml:space="preserve">This application </w:t>
      </w:r>
      <w:r w:rsidR="00541269" w:rsidRPr="00180522">
        <w:rPr>
          <w:lang w:val="en-GB"/>
        </w:rPr>
        <w:t xml:space="preserve">enables </w:t>
      </w:r>
      <w:r w:rsidRPr="00180522">
        <w:rPr>
          <w:lang w:val="en-GB"/>
        </w:rPr>
        <w:t xml:space="preserve">meeting participants to synchronize documents of </w:t>
      </w:r>
      <w:r w:rsidR="00541269" w:rsidRPr="00180522">
        <w:rPr>
          <w:lang w:val="en-GB"/>
        </w:rPr>
        <w:t xml:space="preserve">ongoing </w:t>
      </w:r>
      <w:r w:rsidRPr="00180522">
        <w:rPr>
          <w:lang w:val="en-GB"/>
        </w:rPr>
        <w:t xml:space="preserve">ITU-T Study Group </w:t>
      </w:r>
      <w:r w:rsidR="00541269" w:rsidRPr="00180522">
        <w:rPr>
          <w:lang w:val="en-GB"/>
        </w:rPr>
        <w:t xml:space="preserve">meetings </w:t>
      </w:r>
      <w:r w:rsidRPr="00180522">
        <w:rPr>
          <w:lang w:val="en-GB"/>
        </w:rPr>
        <w:t>from the ITU server to their local drive. The application is constantly enhanced and updated following feedback and suggestions from users. An improved Windows version and a new Mac version of the sync application for RGM documents are now available.</w:t>
      </w:r>
    </w:p>
    <w:p w14:paraId="1B963C55" w14:textId="723711DD" w:rsidR="006944F8" w:rsidRPr="00180522" w:rsidRDefault="002F0E38" w:rsidP="006944F8">
      <w:pPr>
        <w:pStyle w:val="Heading2"/>
      </w:pPr>
      <w:bookmarkStart w:id="200" w:name="_Toc18509787"/>
      <w:r w:rsidRPr="00180522">
        <w:t>13</w:t>
      </w:r>
      <w:r w:rsidR="006944F8" w:rsidRPr="00180522">
        <w:t>.9</w:t>
      </w:r>
      <w:r w:rsidR="006944F8" w:rsidRPr="00180522">
        <w:tab/>
        <w:t>Electronic meetings</w:t>
      </w:r>
      <w:bookmarkEnd w:id="199"/>
      <w:bookmarkEnd w:id="200"/>
    </w:p>
    <w:p w14:paraId="46FAC529" w14:textId="5CC2896D" w:rsidR="006B5F4A" w:rsidRPr="00180522" w:rsidRDefault="006B5F4A" w:rsidP="002013A1">
      <w:pPr>
        <w:rPr>
          <w:lang w:val="en-GB"/>
        </w:rPr>
      </w:pPr>
      <w:r w:rsidRPr="00180522">
        <w:rPr>
          <w:lang w:val="en-GB"/>
        </w:rPr>
        <w:t xml:space="preserve">TSB continues to improve electronic meeting facilities offered to ITU-T members. </w:t>
      </w:r>
      <w:r w:rsidR="00A5644E" w:rsidRPr="00180522">
        <w:rPr>
          <w:lang w:val="en-GB"/>
        </w:rPr>
        <w:t xml:space="preserve">2019 saw </w:t>
      </w:r>
      <w:r w:rsidRPr="00180522">
        <w:rPr>
          <w:lang w:val="en-GB"/>
        </w:rPr>
        <w:t>the</w:t>
      </w:r>
      <w:r w:rsidR="00A5644E" w:rsidRPr="00180522">
        <w:rPr>
          <w:lang w:val="en-GB"/>
        </w:rPr>
        <w:t xml:space="preserve"> introduction of a </w:t>
      </w:r>
      <w:r w:rsidRPr="00180522">
        <w:rPr>
          <w:lang w:val="en-GB"/>
        </w:rPr>
        <w:t xml:space="preserve">new </w:t>
      </w:r>
      <w:r w:rsidR="00A5644E" w:rsidRPr="00180522">
        <w:rPr>
          <w:lang w:val="en-GB"/>
        </w:rPr>
        <w:t xml:space="preserve">tool for </w:t>
      </w:r>
      <w:r w:rsidRPr="00180522">
        <w:rPr>
          <w:lang w:val="en-GB"/>
        </w:rPr>
        <w:t xml:space="preserve">ITU-T </w:t>
      </w:r>
      <w:r w:rsidR="00A5644E" w:rsidRPr="00180522">
        <w:rPr>
          <w:lang w:val="en-GB"/>
        </w:rPr>
        <w:t>electronic meetings</w:t>
      </w:r>
      <w:r w:rsidRPr="00180522">
        <w:rPr>
          <w:lang w:val="en-GB"/>
        </w:rPr>
        <w:t xml:space="preserve"> </w:t>
      </w:r>
      <w:r w:rsidR="00A5644E" w:rsidRPr="00180522">
        <w:rPr>
          <w:lang w:val="en-GB"/>
        </w:rPr>
        <w:t>with the aim of p</w:t>
      </w:r>
      <w:r w:rsidRPr="00180522">
        <w:rPr>
          <w:lang w:val="en-GB"/>
        </w:rPr>
        <w:t>rovid</w:t>
      </w:r>
      <w:r w:rsidR="00A5644E" w:rsidRPr="00180522">
        <w:rPr>
          <w:lang w:val="en-GB"/>
        </w:rPr>
        <w:t xml:space="preserve">ing </w:t>
      </w:r>
      <w:r w:rsidRPr="00180522">
        <w:rPr>
          <w:lang w:val="en-GB"/>
        </w:rPr>
        <w:t>a consistent, efficient service to</w:t>
      </w:r>
      <w:r w:rsidR="00A5644E" w:rsidRPr="00180522">
        <w:rPr>
          <w:lang w:val="en-GB"/>
        </w:rPr>
        <w:t xml:space="preserve"> the ITU-T community</w:t>
      </w:r>
      <w:r w:rsidRPr="00180522">
        <w:rPr>
          <w:lang w:val="en-GB"/>
        </w:rPr>
        <w:t xml:space="preserve">. This tool is now being used for all </w:t>
      </w:r>
      <w:r w:rsidR="005E2B39" w:rsidRPr="00180522">
        <w:rPr>
          <w:lang w:val="en-GB"/>
        </w:rPr>
        <w:t xml:space="preserve">ITU-T </w:t>
      </w:r>
      <w:r w:rsidRPr="00180522">
        <w:rPr>
          <w:lang w:val="en-GB"/>
        </w:rPr>
        <w:t xml:space="preserve">statutory meetings. Adobe Connect will continue to be used for multilingual sessions. GoToMeeting and Zoom are used for non-statutory, fully online (virtual) and any on-demand ad-hoc meetings. Statistics on </w:t>
      </w:r>
      <w:proofErr w:type="spellStart"/>
      <w:r w:rsidRPr="00180522">
        <w:rPr>
          <w:lang w:val="en-GB"/>
        </w:rPr>
        <w:t>e-meetings</w:t>
      </w:r>
      <w:proofErr w:type="spellEnd"/>
      <w:r w:rsidRPr="00180522">
        <w:rPr>
          <w:lang w:val="en-GB"/>
        </w:rPr>
        <w:t xml:space="preserve"> for the last three years are indicated below.</w:t>
      </w:r>
    </w:p>
    <w:p w14:paraId="2DC5FFBB" w14:textId="54A91894" w:rsidR="006B5F4A" w:rsidRPr="00180522" w:rsidRDefault="006B5F4A" w:rsidP="00541269">
      <w:pPr>
        <w:rPr>
          <w:lang w:val="en-GB"/>
        </w:rPr>
      </w:pPr>
      <w:r w:rsidRPr="00180522">
        <w:rPr>
          <w:noProof/>
          <w:lang w:val="en-GB"/>
        </w:rPr>
        <w:lastRenderedPageBreak/>
        <w:drawing>
          <wp:inline distT="0" distB="0" distL="0" distR="0" wp14:anchorId="2B4AD324" wp14:editId="7F149BC7">
            <wp:extent cx="6105525" cy="2981325"/>
            <wp:effectExtent l="0" t="0" r="9525" b="9525"/>
            <wp:docPr id="1" name="Picture 1" descr="cid:image001.png@01D542EB.CA05E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42EB.CA05E770"/>
                    <pic:cNvPicPr>
                      <a:picLocks noChangeAspect="1" noChangeArrowheads="1"/>
                    </pic:cNvPicPr>
                  </pic:nvPicPr>
                  <pic:blipFill>
                    <a:blip r:embed="rId184" r:link="rId185">
                      <a:extLst>
                        <a:ext uri="{28A0092B-C50C-407E-A947-70E740481C1C}">
                          <a14:useLocalDpi xmlns:a14="http://schemas.microsoft.com/office/drawing/2010/main" val="0"/>
                        </a:ext>
                      </a:extLst>
                    </a:blip>
                    <a:srcRect/>
                    <a:stretch>
                      <a:fillRect/>
                    </a:stretch>
                  </pic:blipFill>
                  <pic:spPr bwMode="auto">
                    <a:xfrm>
                      <a:off x="0" y="0"/>
                      <a:ext cx="6105525" cy="2981325"/>
                    </a:xfrm>
                    <a:prstGeom prst="rect">
                      <a:avLst/>
                    </a:prstGeom>
                    <a:noFill/>
                    <a:ln>
                      <a:noFill/>
                    </a:ln>
                  </pic:spPr>
                </pic:pic>
              </a:graphicData>
            </a:graphic>
          </wp:inline>
        </w:drawing>
      </w:r>
    </w:p>
    <w:p w14:paraId="156690A0" w14:textId="07A0D493" w:rsidR="006944F8" w:rsidRPr="00180522" w:rsidRDefault="006944F8" w:rsidP="001C37A8">
      <w:pPr>
        <w:pStyle w:val="Caption"/>
        <w:rPr>
          <w:lang w:val="en-GB"/>
        </w:rPr>
      </w:pPr>
      <w:r w:rsidRPr="00180522">
        <w:rPr>
          <w:lang w:val="en-GB"/>
        </w:rPr>
        <w:t xml:space="preserve">Figure </w:t>
      </w:r>
      <w:r w:rsidR="001C37A8" w:rsidRPr="00180522">
        <w:rPr>
          <w:lang w:val="en-GB"/>
        </w:rPr>
        <w:fldChar w:fldCharType="begin"/>
      </w:r>
      <w:r w:rsidR="001C37A8" w:rsidRPr="00180522">
        <w:rPr>
          <w:lang w:val="en-GB"/>
        </w:rPr>
        <w:instrText xml:space="preserve"> SEQ Figure \* ARABIC </w:instrText>
      </w:r>
      <w:r w:rsidR="001C37A8" w:rsidRPr="00180522">
        <w:rPr>
          <w:lang w:val="en-GB"/>
        </w:rPr>
        <w:fldChar w:fldCharType="separate"/>
      </w:r>
      <w:r w:rsidR="001C37A8" w:rsidRPr="00180522">
        <w:rPr>
          <w:noProof/>
          <w:lang w:val="en-GB"/>
        </w:rPr>
        <w:t>5</w:t>
      </w:r>
      <w:r w:rsidR="001C37A8" w:rsidRPr="00180522">
        <w:rPr>
          <w:lang w:val="en-GB"/>
        </w:rPr>
        <w:fldChar w:fldCharType="end"/>
      </w:r>
      <w:r w:rsidRPr="00180522">
        <w:rPr>
          <w:lang w:val="en-GB"/>
        </w:rPr>
        <w:t xml:space="preserve"> – Remote participation and </w:t>
      </w:r>
      <w:proofErr w:type="spellStart"/>
      <w:r w:rsidRPr="00180522">
        <w:rPr>
          <w:lang w:val="en-GB"/>
        </w:rPr>
        <w:t>e-meetings</w:t>
      </w:r>
      <w:proofErr w:type="spellEnd"/>
    </w:p>
    <w:p w14:paraId="1AC6FECD" w14:textId="53017263" w:rsidR="006944F8" w:rsidRPr="00180522" w:rsidRDefault="002F0E38" w:rsidP="006944F8">
      <w:pPr>
        <w:pStyle w:val="Heading2"/>
      </w:pPr>
      <w:bookmarkStart w:id="201" w:name="_Toc389154483"/>
      <w:bookmarkStart w:id="202" w:name="_Toc462664285"/>
      <w:bookmarkStart w:id="203" w:name="_Toc480527879"/>
      <w:bookmarkStart w:id="204" w:name="_Toc18509788"/>
      <w:r w:rsidRPr="00180522">
        <w:t>13</w:t>
      </w:r>
      <w:r w:rsidR="006944F8" w:rsidRPr="00180522">
        <w:t>.10</w:t>
      </w:r>
      <w:r w:rsidR="006944F8" w:rsidRPr="00180522">
        <w:tab/>
        <w:t xml:space="preserve">Use in the ITU-T of the </w:t>
      </w:r>
      <w:r w:rsidR="00541269" w:rsidRPr="00180522">
        <w:t xml:space="preserve">official </w:t>
      </w:r>
      <w:r w:rsidR="006944F8" w:rsidRPr="00180522">
        <w:t>languages of the Union on an equal footing</w:t>
      </w:r>
      <w:bookmarkEnd w:id="201"/>
      <w:bookmarkEnd w:id="202"/>
      <w:bookmarkEnd w:id="203"/>
      <w:bookmarkEnd w:id="204"/>
    </w:p>
    <w:p w14:paraId="5F29CC8C" w14:textId="3B4701F8" w:rsidR="006944F8" w:rsidRPr="00180522" w:rsidRDefault="006944F8" w:rsidP="002013A1">
      <w:pPr>
        <w:rPr>
          <w:lang w:val="en-GB"/>
        </w:rPr>
      </w:pPr>
      <w:r w:rsidRPr="00180522">
        <w:rPr>
          <w:lang w:val="en-GB"/>
        </w:rPr>
        <w:t xml:space="preserve">The Standardization Committee for Vocabulary (SCV), composed </w:t>
      </w:r>
      <w:r w:rsidR="00541269" w:rsidRPr="00180522">
        <w:rPr>
          <w:lang w:val="en-GB"/>
        </w:rPr>
        <w:t>of</w:t>
      </w:r>
      <w:r w:rsidRPr="00180522">
        <w:rPr>
          <w:lang w:val="en-GB"/>
        </w:rPr>
        <w:t xml:space="preserve"> ITU-T </w:t>
      </w:r>
      <w:r w:rsidR="00541269" w:rsidRPr="00180522">
        <w:rPr>
          <w:lang w:val="en-GB"/>
        </w:rPr>
        <w:t xml:space="preserve">members </w:t>
      </w:r>
      <w:r w:rsidRPr="00180522">
        <w:rPr>
          <w:lang w:val="en-GB"/>
        </w:rPr>
        <w:t>expert in all the official languages, serves as focal point to ITU-T Study Groups in terminology-related matters</w:t>
      </w:r>
      <w:r w:rsidR="00541269" w:rsidRPr="00180522">
        <w:rPr>
          <w:lang w:val="en-GB"/>
        </w:rPr>
        <w:t xml:space="preserve">. SCV guides the adoption of </w:t>
      </w:r>
      <w:r w:rsidRPr="00180522">
        <w:rPr>
          <w:lang w:val="en-GB"/>
        </w:rPr>
        <w:t>terms and definitions in ITU-T Recommendations in accordance with WTSA Resolution 67.</w:t>
      </w:r>
    </w:p>
    <w:p w14:paraId="6198FB09" w14:textId="60CAE9F4" w:rsidR="006944F8" w:rsidRPr="00180522" w:rsidRDefault="007706CC" w:rsidP="002013A1">
      <w:pPr>
        <w:rPr>
          <w:lang w:val="en-GB"/>
        </w:rPr>
      </w:pPr>
      <w:hyperlink r:id="rId186" w:history="1">
        <w:r w:rsidR="006944F8" w:rsidRPr="00180522">
          <w:rPr>
            <w:rStyle w:val="Hyperlink"/>
            <w:rFonts w:eastAsiaTheme="majorEastAsia"/>
            <w:szCs w:val="24"/>
            <w:lang w:val="en-GB"/>
          </w:rPr>
          <w:t>Council Resolution 1386</w:t>
        </w:r>
      </w:hyperlink>
      <w:r w:rsidR="006944F8" w:rsidRPr="00180522">
        <w:rPr>
          <w:szCs w:val="24"/>
          <w:lang w:val="en-GB"/>
        </w:rPr>
        <w:t xml:space="preserve"> of 26 May 2017 created the ITU Coordination Committee for Terminology (CCT), </w:t>
      </w:r>
      <w:r w:rsidR="00541269" w:rsidRPr="00180522">
        <w:rPr>
          <w:szCs w:val="24"/>
          <w:lang w:val="en-GB"/>
        </w:rPr>
        <w:t xml:space="preserve">which is </w:t>
      </w:r>
      <w:r w:rsidR="006944F8" w:rsidRPr="00180522">
        <w:rPr>
          <w:szCs w:val="24"/>
          <w:lang w:val="en-GB"/>
        </w:rPr>
        <w:t xml:space="preserve">composed </w:t>
      </w:r>
      <w:r w:rsidR="00541269" w:rsidRPr="00180522">
        <w:rPr>
          <w:szCs w:val="24"/>
          <w:lang w:val="en-GB"/>
        </w:rPr>
        <w:t xml:space="preserve">of </w:t>
      </w:r>
      <w:r w:rsidR="006944F8" w:rsidRPr="00180522">
        <w:rPr>
          <w:szCs w:val="24"/>
          <w:lang w:val="en-GB"/>
        </w:rPr>
        <w:t>SCV, the ITU-R Coo</w:t>
      </w:r>
      <w:r w:rsidR="00981FB1" w:rsidRPr="00180522">
        <w:rPr>
          <w:szCs w:val="24"/>
          <w:lang w:val="en-GB"/>
        </w:rPr>
        <w:t>r</w:t>
      </w:r>
      <w:r w:rsidR="006944F8" w:rsidRPr="00180522">
        <w:rPr>
          <w:szCs w:val="24"/>
          <w:lang w:val="en-GB"/>
        </w:rPr>
        <w:t xml:space="preserve">dination Committee for Vocabulary (CCV) and two representatives of ITU-D. SCV met twice in </w:t>
      </w:r>
      <w:r w:rsidR="00CF5A91" w:rsidRPr="00180522">
        <w:rPr>
          <w:szCs w:val="24"/>
          <w:lang w:val="en-GB"/>
        </w:rPr>
        <w:t xml:space="preserve">the reporting period, </w:t>
      </w:r>
      <w:r w:rsidR="006944F8" w:rsidRPr="00180522">
        <w:rPr>
          <w:szCs w:val="24"/>
          <w:lang w:val="en-GB"/>
        </w:rPr>
        <w:t>under the umbrella of CCT</w:t>
      </w:r>
      <w:r w:rsidR="00CF5A91" w:rsidRPr="00180522">
        <w:rPr>
          <w:szCs w:val="24"/>
          <w:lang w:val="en-GB"/>
        </w:rPr>
        <w:t>,</w:t>
      </w:r>
      <w:r w:rsidR="00541269" w:rsidRPr="00180522">
        <w:rPr>
          <w:szCs w:val="24"/>
          <w:lang w:val="en-GB"/>
        </w:rPr>
        <w:t xml:space="preserve"> ensuring</w:t>
      </w:r>
      <w:r w:rsidR="003F36F7" w:rsidRPr="00180522">
        <w:rPr>
          <w:szCs w:val="24"/>
          <w:lang w:val="en-GB"/>
        </w:rPr>
        <w:t xml:space="preserve"> </w:t>
      </w:r>
      <w:r w:rsidR="00541269" w:rsidRPr="00180522">
        <w:rPr>
          <w:szCs w:val="24"/>
          <w:lang w:val="en-GB"/>
        </w:rPr>
        <w:t xml:space="preserve">the </w:t>
      </w:r>
      <w:r w:rsidR="006944F8" w:rsidRPr="00180522">
        <w:rPr>
          <w:szCs w:val="24"/>
          <w:lang w:val="en-GB"/>
        </w:rPr>
        <w:t>harmonization of terminology across the Union.</w:t>
      </w:r>
    </w:p>
    <w:p w14:paraId="44E382DA" w14:textId="528A2AB4" w:rsidR="006944F8" w:rsidRPr="00180522" w:rsidRDefault="006944F8" w:rsidP="002013A1">
      <w:pPr>
        <w:rPr>
          <w:lang w:val="en-GB"/>
        </w:rPr>
      </w:pPr>
      <w:r w:rsidRPr="00180522">
        <w:rPr>
          <w:lang w:val="en-GB"/>
        </w:rPr>
        <w:t>TSB continues to collect all new terms and definitions proposed by ITU-T Study Groups, enter</w:t>
      </w:r>
      <w:r w:rsidR="00541269" w:rsidRPr="00180522">
        <w:rPr>
          <w:lang w:val="en-GB"/>
        </w:rPr>
        <w:t>ing</w:t>
      </w:r>
      <w:r w:rsidRPr="00180522">
        <w:rPr>
          <w:lang w:val="en-GB"/>
        </w:rPr>
        <w:t xml:space="preserve"> them in</w:t>
      </w:r>
      <w:r w:rsidR="00541269" w:rsidRPr="00180522">
        <w:rPr>
          <w:lang w:val="en-GB"/>
        </w:rPr>
        <w:t>to</w:t>
      </w:r>
      <w:r w:rsidRPr="00180522">
        <w:rPr>
          <w:lang w:val="en-GB"/>
        </w:rPr>
        <w:t xml:space="preserve"> the online ITU Terms and Definitions database.</w:t>
      </w:r>
    </w:p>
    <w:p w14:paraId="671FC554" w14:textId="68798DBB" w:rsidR="006944F8" w:rsidRPr="00180522" w:rsidRDefault="006944F8" w:rsidP="002013A1">
      <w:pPr>
        <w:rPr>
          <w:lang w:val="en-GB"/>
        </w:rPr>
      </w:pPr>
      <w:r w:rsidRPr="00180522">
        <w:rPr>
          <w:lang w:val="en-GB"/>
        </w:rPr>
        <w:t xml:space="preserve">As requested by WTSA Resolution 67, TSB continues to translate all Recommendations approved under the </w:t>
      </w:r>
      <w:r w:rsidR="00541269" w:rsidRPr="00180522">
        <w:rPr>
          <w:lang w:val="en-GB"/>
        </w:rPr>
        <w:t>T</w:t>
      </w:r>
      <w:r w:rsidRPr="00180522">
        <w:rPr>
          <w:lang w:val="en-GB"/>
        </w:rPr>
        <w:t xml:space="preserve">raditional </w:t>
      </w:r>
      <w:r w:rsidR="00541269" w:rsidRPr="00180522">
        <w:rPr>
          <w:lang w:val="en-GB"/>
        </w:rPr>
        <w:t>A</w:t>
      </w:r>
      <w:r w:rsidRPr="00180522">
        <w:rPr>
          <w:lang w:val="en-GB"/>
        </w:rPr>
        <w:t xml:space="preserve">pproval </w:t>
      </w:r>
      <w:r w:rsidR="00541269" w:rsidRPr="00180522">
        <w:rPr>
          <w:lang w:val="en-GB"/>
        </w:rPr>
        <w:t>P</w:t>
      </w:r>
      <w:r w:rsidRPr="00180522">
        <w:rPr>
          <w:lang w:val="en-GB"/>
        </w:rPr>
        <w:t>rocess (TAP) as well as all TSAG reports.</w:t>
      </w:r>
    </w:p>
    <w:p w14:paraId="48E20314" w14:textId="74C10D0A" w:rsidR="006944F8" w:rsidRPr="00180522" w:rsidRDefault="006944F8" w:rsidP="002013A1">
      <w:pPr>
        <w:rPr>
          <w:lang w:val="en-GB"/>
        </w:rPr>
      </w:pPr>
      <w:r w:rsidRPr="00180522">
        <w:rPr>
          <w:lang w:val="en-GB"/>
        </w:rPr>
        <w:t xml:space="preserve">TSB also translated, in the reporting period, </w:t>
      </w:r>
      <w:r w:rsidR="00CD044C" w:rsidRPr="00180522">
        <w:rPr>
          <w:lang w:val="en-GB"/>
        </w:rPr>
        <w:t xml:space="preserve">24 </w:t>
      </w:r>
      <w:r w:rsidRPr="00180522">
        <w:rPr>
          <w:lang w:val="en-GB"/>
        </w:rPr>
        <w:t>AAP Recommendations, in accordance with requests received from ITU-T Study Groups and linguistic groups.</w:t>
      </w:r>
    </w:p>
    <w:p w14:paraId="219CEEC2" w14:textId="18C1A274" w:rsidR="006944F8" w:rsidRPr="00180522" w:rsidRDefault="002F0E38" w:rsidP="006944F8">
      <w:pPr>
        <w:pStyle w:val="Heading2"/>
      </w:pPr>
      <w:bookmarkStart w:id="205" w:name="_Toc18509789"/>
      <w:r w:rsidRPr="00180522">
        <w:t>13</w:t>
      </w:r>
      <w:r w:rsidR="006944F8" w:rsidRPr="00180522">
        <w:t>.11</w:t>
      </w:r>
      <w:r w:rsidR="006944F8" w:rsidRPr="00180522">
        <w:tab/>
        <w:t>Workshops and symposia</w:t>
      </w:r>
      <w:bookmarkEnd w:id="205"/>
    </w:p>
    <w:p w14:paraId="1C804FD0" w14:textId="50F37FD3" w:rsidR="006944F8" w:rsidRPr="00180522" w:rsidRDefault="006944F8" w:rsidP="000952E6">
      <w:pPr>
        <w:rPr>
          <w:lang w:val="en-GB"/>
        </w:rPr>
      </w:pPr>
      <w:r w:rsidRPr="00180522">
        <w:rPr>
          <w:lang w:val="en-GB"/>
        </w:rPr>
        <w:t>ITU</w:t>
      </w:r>
      <w:r w:rsidR="007E60A7" w:rsidRPr="00180522">
        <w:rPr>
          <w:lang w:val="en-GB"/>
        </w:rPr>
        <w:t xml:space="preserve"> workshops and symposia</w:t>
      </w:r>
      <w:r w:rsidRPr="00180522">
        <w:rPr>
          <w:lang w:val="en-GB"/>
        </w:rPr>
        <w:t xml:space="preserve"> </w:t>
      </w:r>
      <w:r w:rsidR="007E60A7" w:rsidRPr="00180522">
        <w:rPr>
          <w:lang w:val="en-GB"/>
        </w:rPr>
        <w:t xml:space="preserve">discuss emerging trends in standardization, </w:t>
      </w:r>
      <w:r w:rsidRPr="00180522">
        <w:rPr>
          <w:lang w:val="en-GB"/>
        </w:rPr>
        <w:t xml:space="preserve">increase </w:t>
      </w:r>
      <w:r w:rsidR="007E60A7" w:rsidRPr="00180522">
        <w:rPr>
          <w:lang w:val="en-GB"/>
        </w:rPr>
        <w:t xml:space="preserve">the </w:t>
      </w:r>
      <w:r w:rsidRPr="00180522">
        <w:rPr>
          <w:lang w:val="en-GB"/>
        </w:rPr>
        <w:t xml:space="preserve">visibility </w:t>
      </w:r>
      <w:r w:rsidR="007E60A7" w:rsidRPr="00180522">
        <w:rPr>
          <w:lang w:val="en-GB"/>
        </w:rPr>
        <w:t xml:space="preserve">of ITU-T work, enhance ITU-T collaboration with other bodies, </w:t>
      </w:r>
      <w:r w:rsidR="000952E6" w:rsidRPr="00180522">
        <w:rPr>
          <w:lang w:val="en-GB"/>
        </w:rPr>
        <w:t xml:space="preserve">attract and recruit new ITU-T members, </w:t>
      </w:r>
      <w:r w:rsidR="007E60A7" w:rsidRPr="00180522">
        <w:rPr>
          <w:lang w:val="en-GB"/>
        </w:rPr>
        <w:t>and encourage peer-learning relevant to the development and implementation of international standards.</w:t>
      </w:r>
    </w:p>
    <w:p w14:paraId="01828F0C" w14:textId="5742A99B" w:rsidR="006944F8" w:rsidRPr="00180522" w:rsidRDefault="006944F8" w:rsidP="007E60A7">
      <w:pPr>
        <w:rPr>
          <w:highlight w:val="yellow"/>
          <w:lang w:val="en-GB"/>
        </w:rPr>
      </w:pPr>
      <w:r w:rsidRPr="00180522">
        <w:rPr>
          <w:lang w:val="en-GB"/>
        </w:rPr>
        <w:t>The following ITU workshops</w:t>
      </w:r>
      <w:r w:rsidR="007E60A7" w:rsidRPr="00180522">
        <w:rPr>
          <w:lang w:val="en-GB"/>
        </w:rPr>
        <w:t xml:space="preserve"> and </w:t>
      </w:r>
      <w:r w:rsidRPr="00180522">
        <w:rPr>
          <w:lang w:val="en-GB"/>
        </w:rPr>
        <w:t>symposia</w:t>
      </w:r>
      <w:r w:rsidR="007E60A7" w:rsidRPr="00180522">
        <w:rPr>
          <w:lang w:val="en-GB"/>
        </w:rPr>
        <w:t>, arranged by venue,</w:t>
      </w:r>
      <w:r w:rsidRPr="00180522">
        <w:rPr>
          <w:lang w:val="en-GB"/>
        </w:rPr>
        <w:t xml:space="preserve"> were organized </w:t>
      </w:r>
      <w:r w:rsidR="00403A2F" w:rsidRPr="00180522">
        <w:rPr>
          <w:lang w:val="en-GB"/>
        </w:rPr>
        <w:t xml:space="preserve">by TSB </w:t>
      </w:r>
      <w:r w:rsidRPr="00180522">
        <w:rPr>
          <w:lang w:val="en-GB"/>
        </w:rPr>
        <w:t xml:space="preserve">since </w:t>
      </w:r>
      <w:r w:rsidR="000E605B" w:rsidRPr="00180522">
        <w:rPr>
          <w:lang w:val="en-GB"/>
        </w:rPr>
        <w:t>November</w:t>
      </w:r>
      <w:r w:rsidRPr="00180522">
        <w:rPr>
          <w:lang w:val="en-GB"/>
        </w:rPr>
        <w:t xml:space="preserve"> 2018:</w:t>
      </w:r>
    </w:p>
    <w:p w14:paraId="42851A49" w14:textId="2E1EFE2E" w:rsidR="006944F8" w:rsidRPr="00180522" w:rsidRDefault="00A5644E" w:rsidP="006944F8">
      <w:pPr>
        <w:rPr>
          <w:szCs w:val="24"/>
          <w:lang w:val="en-GB"/>
        </w:rPr>
      </w:pPr>
      <w:r w:rsidRPr="00180522">
        <w:rPr>
          <w:b/>
          <w:bCs/>
          <w:szCs w:val="24"/>
          <w:lang w:val="en-GB"/>
        </w:rPr>
        <w:t xml:space="preserve">ITU Headquarters, </w:t>
      </w:r>
      <w:r w:rsidR="006944F8" w:rsidRPr="00180522">
        <w:rPr>
          <w:b/>
          <w:bCs/>
          <w:szCs w:val="24"/>
          <w:lang w:val="en-GB"/>
        </w:rPr>
        <w:t>Geneva:</w:t>
      </w:r>
    </w:p>
    <w:p w14:paraId="3327C151" w14:textId="20E13609" w:rsidR="0085295A" w:rsidRPr="00180522" w:rsidRDefault="007706CC" w:rsidP="0085295A">
      <w:pPr>
        <w:numPr>
          <w:ilvl w:val="0"/>
          <w:numId w:val="39"/>
        </w:numPr>
        <w:rPr>
          <w:lang w:val="en-GB"/>
        </w:rPr>
      </w:pPr>
      <w:hyperlink r:id="rId187" w:history="1">
        <w:r w:rsidR="0085295A" w:rsidRPr="00180522">
          <w:rPr>
            <w:rStyle w:val="Hyperlink"/>
            <w:lang w:val="en-GB"/>
          </w:rPr>
          <w:t>ITU Workshop on ''Cybersecurity Challenges in Automated Driving"</w:t>
        </w:r>
      </w:hyperlink>
      <w:r w:rsidR="0085295A" w:rsidRPr="00180522">
        <w:rPr>
          <w:lang w:val="en-GB"/>
        </w:rPr>
        <w:t>, 26 August 2019.</w:t>
      </w:r>
    </w:p>
    <w:p w14:paraId="69E83A87" w14:textId="7FCBC22A" w:rsidR="002013A1" w:rsidRPr="00180522" w:rsidRDefault="007706CC" w:rsidP="0085295A">
      <w:pPr>
        <w:numPr>
          <w:ilvl w:val="0"/>
          <w:numId w:val="39"/>
        </w:numPr>
        <w:rPr>
          <w:lang w:val="en-GB"/>
        </w:rPr>
      </w:pPr>
      <w:hyperlink r:id="rId188" w:history="1">
        <w:r w:rsidR="006C5DC0" w:rsidRPr="00180522">
          <w:rPr>
            <w:rStyle w:val="Hyperlink"/>
            <w:lang w:val="en-GB"/>
          </w:rPr>
          <w:t xml:space="preserve">ITU Workshop on </w:t>
        </w:r>
        <w:r w:rsidR="00CA2D85" w:rsidRPr="00180522">
          <w:rPr>
            <w:rStyle w:val="Hyperlink"/>
            <w:lang w:val="en-GB"/>
          </w:rPr>
          <w:t>''</w:t>
        </w:r>
        <w:r w:rsidR="0085295A" w:rsidRPr="00180522">
          <w:rPr>
            <w:rStyle w:val="Hyperlink"/>
            <w:lang w:val="en-GB"/>
          </w:rPr>
          <w:t>Fintech Security</w:t>
        </w:r>
        <w:r w:rsidR="00CA2D85" w:rsidRPr="00180522">
          <w:rPr>
            <w:rStyle w:val="Hyperlink"/>
            <w:lang w:val="en-GB"/>
          </w:rPr>
          <w:t>"</w:t>
        </w:r>
      </w:hyperlink>
      <w:r w:rsidR="006C5DC0" w:rsidRPr="00180522">
        <w:rPr>
          <w:lang w:val="en-GB"/>
        </w:rPr>
        <w:t xml:space="preserve">, </w:t>
      </w:r>
      <w:r w:rsidR="0085295A" w:rsidRPr="00180522">
        <w:rPr>
          <w:lang w:val="en-GB"/>
        </w:rPr>
        <w:t>26 August</w:t>
      </w:r>
      <w:r w:rsidR="006C5DC0" w:rsidRPr="00180522">
        <w:rPr>
          <w:lang w:val="en-GB"/>
        </w:rPr>
        <w:t xml:space="preserve"> 2019.</w:t>
      </w:r>
    </w:p>
    <w:p w14:paraId="2E1034D2" w14:textId="2C77C131" w:rsidR="0085295A" w:rsidRPr="00180522" w:rsidRDefault="007706CC" w:rsidP="001F724D">
      <w:pPr>
        <w:numPr>
          <w:ilvl w:val="0"/>
          <w:numId w:val="39"/>
        </w:numPr>
        <w:rPr>
          <w:lang w:val="en-GB"/>
        </w:rPr>
      </w:pPr>
      <w:hyperlink r:id="rId189" w:history="1">
        <w:r w:rsidR="0085295A" w:rsidRPr="00180522">
          <w:rPr>
            <w:rStyle w:val="Hyperlink"/>
            <w:lang w:val="en-GB"/>
          </w:rPr>
          <w:t>ITU Workshop on ''Distributed Ledger Scalability and Interoperability"</w:t>
        </w:r>
      </w:hyperlink>
      <w:r w:rsidR="0085295A" w:rsidRPr="00180522">
        <w:rPr>
          <w:lang w:val="en-GB"/>
        </w:rPr>
        <w:t>, 2 August 2019.</w:t>
      </w:r>
    </w:p>
    <w:p w14:paraId="67165D20" w14:textId="65673527" w:rsidR="0085295A" w:rsidRPr="00180522" w:rsidRDefault="007706CC" w:rsidP="001F724D">
      <w:pPr>
        <w:numPr>
          <w:ilvl w:val="0"/>
          <w:numId w:val="39"/>
        </w:numPr>
        <w:rPr>
          <w:lang w:val="en-GB"/>
        </w:rPr>
      </w:pPr>
      <w:hyperlink r:id="rId190" w:history="1">
        <w:r w:rsidR="0085295A" w:rsidRPr="00180522">
          <w:rPr>
            <w:rStyle w:val="Hyperlink"/>
            <w:lang w:val="en-GB"/>
          </w:rPr>
          <w:t>ITU Workshop on ''Data Processing and Management for IoT and Smart Cities &amp; Communities"</w:t>
        </w:r>
      </w:hyperlink>
      <w:r w:rsidR="0085295A" w:rsidRPr="00180522">
        <w:rPr>
          <w:lang w:val="en-GB"/>
        </w:rPr>
        <w:t>, 19 July 2019.</w:t>
      </w:r>
    </w:p>
    <w:p w14:paraId="04925F22" w14:textId="46E4CADB" w:rsidR="001C37A8" w:rsidRPr="00180522" w:rsidRDefault="007706CC" w:rsidP="001C37A8">
      <w:pPr>
        <w:numPr>
          <w:ilvl w:val="0"/>
          <w:numId w:val="39"/>
        </w:numPr>
        <w:rPr>
          <w:lang w:val="en-GB"/>
        </w:rPr>
      </w:pPr>
      <w:hyperlink r:id="rId191" w:history="1">
        <w:r w:rsidR="001C37A8" w:rsidRPr="00180522">
          <w:rPr>
            <w:rStyle w:val="Hyperlink"/>
            <w:lang w:val="en-GB"/>
          </w:rPr>
          <w:t>ITU Workshop on "Enhancing human life using e-services"</w:t>
        </w:r>
      </w:hyperlink>
      <w:r w:rsidR="001C37A8" w:rsidRPr="00180522">
        <w:rPr>
          <w:lang w:val="en-GB"/>
        </w:rPr>
        <w:t>, 25 March 2019</w:t>
      </w:r>
    </w:p>
    <w:p w14:paraId="6DC20F5A" w14:textId="351453F1" w:rsidR="00A54E94" w:rsidRPr="00180522" w:rsidRDefault="007706CC" w:rsidP="001C37A8">
      <w:pPr>
        <w:numPr>
          <w:ilvl w:val="0"/>
          <w:numId w:val="39"/>
        </w:numPr>
        <w:rPr>
          <w:lang w:val="en-GB"/>
        </w:rPr>
      </w:pPr>
      <w:hyperlink r:id="rId192" w:history="1">
        <w:r w:rsidR="00A54E94" w:rsidRPr="00180522">
          <w:rPr>
            <w:rStyle w:val="Hyperlink"/>
            <w:lang w:val="en-GB"/>
          </w:rPr>
          <w:t xml:space="preserve">ITU Workshop on </w:t>
        </w:r>
        <w:r w:rsidR="00CA2D85" w:rsidRPr="00180522">
          <w:rPr>
            <w:rStyle w:val="Hyperlink"/>
            <w:lang w:val="en-GB"/>
          </w:rPr>
          <w:t>"</w:t>
        </w:r>
        <w:r w:rsidR="00A54E94" w:rsidRPr="00180522">
          <w:rPr>
            <w:rStyle w:val="Hyperlink"/>
            <w:lang w:val="en-GB"/>
          </w:rPr>
          <w:t>Machine Learning for 5G and beyond</w:t>
        </w:r>
        <w:r w:rsidR="00CA2D85" w:rsidRPr="00180522">
          <w:rPr>
            <w:rStyle w:val="Hyperlink"/>
            <w:lang w:val="en-GB"/>
          </w:rPr>
          <w:t>"</w:t>
        </w:r>
      </w:hyperlink>
      <w:r w:rsidR="00A54E94" w:rsidRPr="00180522">
        <w:rPr>
          <w:lang w:val="en-GB"/>
        </w:rPr>
        <w:t>, 17 June 2019.</w:t>
      </w:r>
    </w:p>
    <w:p w14:paraId="2CE9B7F3" w14:textId="186CB583" w:rsidR="00A54E94" w:rsidRPr="00180522" w:rsidRDefault="007706CC" w:rsidP="001C37A8">
      <w:pPr>
        <w:numPr>
          <w:ilvl w:val="0"/>
          <w:numId w:val="39"/>
        </w:numPr>
        <w:rPr>
          <w:lang w:val="en-GB"/>
        </w:rPr>
      </w:pPr>
      <w:hyperlink r:id="rId193" w:history="1">
        <w:r w:rsidR="00A54E94" w:rsidRPr="00180522">
          <w:rPr>
            <w:rStyle w:val="Hyperlink"/>
            <w:lang w:val="en-GB"/>
          </w:rPr>
          <w:t>ITU Digital Fiat Currency Showcase: Use cases and architecture options</w:t>
        </w:r>
      </w:hyperlink>
      <w:r w:rsidR="00A54E94" w:rsidRPr="00180522">
        <w:rPr>
          <w:lang w:val="en-GB"/>
        </w:rPr>
        <w:t>, 13 June 2019.</w:t>
      </w:r>
    </w:p>
    <w:p w14:paraId="52D74997" w14:textId="664C601F" w:rsidR="00A54E94" w:rsidRPr="00180522" w:rsidRDefault="007706CC" w:rsidP="001C37A8">
      <w:pPr>
        <w:numPr>
          <w:ilvl w:val="0"/>
          <w:numId w:val="39"/>
        </w:numPr>
        <w:rPr>
          <w:lang w:val="en-GB"/>
        </w:rPr>
      </w:pPr>
      <w:hyperlink r:id="rId194" w:history="1">
        <w:r w:rsidR="00A54E94" w:rsidRPr="00180522">
          <w:rPr>
            <w:rStyle w:val="Hyperlink"/>
            <w:lang w:val="en-GB"/>
          </w:rPr>
          <w:t xml:space="preserve">ITU Workshop on </w:t>
        </w:r>
        <w:r w:rsidR="00CA2D85" w:rsidRPr="00180522">
          <w:rPr>
            <w:rStyle w:val="Hyperlink"/>
            <w:lang w:val="en-GB"/>
          </w:rPr>
          <w:t>"</w:t>
        </w:r>
        <w:r w:rsidR="00A54E94" w:rsidRPr="00180522">
          <w:rPr>
            <w:rStyle w:val="Hyperlink"/>
            <w:lang w:val="en-GB"/>
          </w:rPr>
          <w:t>Future of TV for Europe</w:t>
        </w:r>
        <w:r w:rsidR="00CA2D85" w:rsidRPr="00180522">
          <w:rPr>
            <w:rStyle w:val="Hyperlink"/>
            <w:lang w:val="en-GB"/>
          </w:rPr>
          <w:t>"</w:t>
        </w:r>
      </w:hyperlink>
      <w:r w:rsidR="00A54E94" w:rsidRPr="00180522">
        <w:rPr>
          <w:lang w:val="en-GB"/>
        </w:rPr>
        <w:t>, 7 June 2019.</w:t>
      </w:r>
    </w:p>
    <w:p w14:paraId="6FED51C7" w14:textId="5247084D" w:rsidR="00472B84" w:rsidRPr="00180522" w:rsidRDefault="007706CC" w:rsidP="001C37A8">
      <w:pPr>
        <w:numPr>
          <w:ilvl w:val="0"/>
          <w:numId w:val="39"/>
        </w:numPr>
        <w:rPr>
          <w:lang w:val="en-GB"/>
        </w:rPr>
      </w:pPr>
      <w:hyperlink r:id="rId195" w:history="1">
        <w:r w:rsidR="00472B84" w:rsidRPr="00180522">
          <w:rPr>
            <w:rStyle w:val="Hyperlink"/>
            <w:lang w:val="en-GB"/>
          </w:rPr>
          <w:t xml:space="preserve">ITU/WHO Workshop on </w:t>
        </w:r>
        <w:r w:rsidR="00CA2D85" w:rsidRPr="00180522">
          <w:rPr>
            <w:rStyle w:val="Hyperlink"/>
            <w:lang w:val="en-GB"/>
          </w:rPr>
          <w:t>"</w:t>
        </w:r>
        <w:r w:rsidR="00472B84" w:rsidRPr="00180522">
          <w:rPr>
            <w:rStyle w:val="Hyperlink"/>
            <w:lang w:val="en-GB"/>
          </w:rPr>
          <w:t>Artificial Intelligence for Health</w:t>
        </w:r>
        <w:r w:rsidR="00CA2D85" w:rsidRPr="00180522">
          <w:rPr>
            <w:rStyle w:val="Hyperlink"/>
            <w:lang w:val="en-GB"/>
          </w:rPr>
          <w:t>"</w:t>
        </w:r>
        <w:r w:rsidR="00472B84" w:rsidRPr="00180522">
          <w:rPr>
            <w:rStyle w:val="Hyperlink"/>
            <w:lang w:val="en-GB"/>
          </w:rPr>
          <w:t xml:space="preserve">, </w:t>
        </w:r>
      </w:hyperlink>
      <w:r w:rsidR="00472B84" w:rsidRPr="00180522">
        <w:rPr>
          <w:lang w:val="en-GB"/>
        </w:rPr>
        <w:t>29 May 2019</w:t>
      </w:r>
      <w:r w:rsidR="002013A1" w:rsidRPr="00180522">
        <w:rPr>
          <w:lang w:val="en-GB"/>
        </w:rPr>
        <w:t xml:space="preserve"> (within the AI for Good </w:t>
      </w:r>
      <w:r w:rsidR="00A5644E" w:rsidRPr="00180522">
        <w:rPr>
          <w:lang w:val="en-GB"/>
        </w:rPr>
        <w:t xml:space="preserve">Global </w:t>
      </w:r>
      <w:r w:rsidR="002013A1" w:rsidRPr="00180522">
        <w:rPr>
          <w:lang w:val="en-GB"/>
        </w:rPr>
        <w:t>Summit)</w:t>
      </w:r>
      <w:r w:rsidR="00472B84" w:rsidRPr="00180522">
        <w:rPr>
          <w:lang w:val="en-GB"/>
        </w:rPr>
        <w:t>.</w:t>
      </w:r>
    </w:p>
    <w:p w14:paraId="634BF5B7" w14:textId="59B059C1" w:rsidR="00897D8D" w:rsidRPr="00180522" w:rsidRDefault="007706CC" w:rsidP="001C37A8">
      <w:pPr>
        <w:numPr>
          <w:ilvl w:val="0"/>
          <w:numId w:val="39"/>
        </w:numPr>
        <w:rPr>
          <w:lang w:val="en-GB"/>
        </w:rPr>
      </w:pPr>
      <w:hyperlink r:id="rId196" w:history="1">
        <w:r w:rsidR="00897D8D" w:rsidRPr="00180522">
          <w:rPr>
            <w:rStyle w:val="Hyperlink"/>
            <w:lang w:val="en-GB"/>
          </w:rPr>
          <w:t>AI for Good Global Summit</w:t>
        </w:r>
      </w:hyperlink>
      <w:r w:rsidR="00897D8D" w:rsidRPr="00180522">
        <w:rPr>
          <w:lang w:val="en-GB"/>
        </w:rPr>
        <w:t>, 28-31 May 2019.</w:t>
      </w:r>
    </w:p>
    <w:p w14:paraId="5D929C90" w14:textId="16E83F66" w:rsidR="00AC3FB7" w:rsidRPr="00180522" w:rsidRDefault="007706CC" w:rsidP="005769CF">
      <w:pPr>
        <w:numPr>
          <w:ilvl w:val="0"/>
          <w:numId w:val="39"/>
        </w:numPr>
        <w:rPr>
          <w:lang w:val="en-GB"/>
        </w:rPr>
      </w:pPr>
      <w:hyperlink r:id="rId197" w:history="1">
        <w:r w:rsidR="00AC3FB7" w:rsidRPr="00180522">
          <w:rPr>
            <w:rStyle w:val="Hyperlink"/>
            <w:lang w:val="en-GB"/>
          </w:rPr>
          <w:t>ITU Symposium on</w:t>
        </w:r>
        <w:r w:rsidR="005769CF" w:rsidRPr="00180522">
          <w:rPr>
            <w:rStyle w:val="Hyperlink"/>
            <w:lang w:val="en-GB"/>
          </w:rPr>
          <w:t xml:space="preserve"> "</w:t>
        </w:r>
        <w:r w:rsidR="00AC3FB7" w:rsidRPr="00180522">
          <w:rPr>
            <w:rStyle w:val="Hyperlink"/>
            <w:lang w:val="en-GB"/>
          </w:rPr>
          <w:t>ICT, Environment and Climate Change</w:t>
        </w:r>
      </w:hyperlink>
      <w:r w:rsidR="005769CF" w:rsidRPr="00180522">
        <w:rPr>
          <w:rStyle w:val="Hyperlink"/>
          <w:lang w:val="en-GB"/>
        </w:rPr>
        <w:t>"</w:t>
      </w:r>
      <w:r w:rsidR="00AC3FB7" w:rsidRPr="00180522">
        <w:rPr>
          <w:lang w:val="en-GB"/>
        </w:rPr>
        <w:t>, 13 May 2019.</w:t>
      </w:r>
    </w:p>
    <w:p w14:paraId="6D35AC78" w14:textId="6BB36483" w:rsidR="00870112" w:rsidRPr="00180522" w:rsidRDefault="007706CC" w:rsidP="005769CF">
      <w:pPr>
        <w:numPr>
          <w:ilvl w:val="0"/>
          <w:numId w:val="39"/>
        </w:numPr>
        <w:rPr>
          <w:lang w:val="en-GB"/>
        </w:rPr>
      </w:pPr>
      <w:hyperlink r:id="rId198" w:history="1">
        <w:r w:rsidR="00870112" w:rsidRPr="00180522">
          <w:rPr>
            <w:rStyle w:val="Hyperlink"/>
            <w:lang w:val="en-GB"/>
          </w:rPr>
          <w:t xml:space="preserve">Smart Environment Panel on </w:t>
        </w:r>
        <w:r w:rsidR="005769CF" w:rsidRPr="00180522">
          <w:rPr>
            <w:rStyle w:val="Hyperlink"/>
            <w:lang w:val="en-GB"/>
          </w:rPr>
          <w:t>"</w:t>
        </w:r>
        <w:r w:rsidR="00870112" w:rsidRPr="00180522">
          <w:rPr>
            <w:rStyle w:val="Hyperlink"/>
            <w:lang w:val="en-GB"/>
          </w:rPr>
          <w:t>GHG emissions trajectories for the ICT sector</w:t>
        </w:r>
        <w:r w:rsidR="005769CF" w:rsidRPr="00180522">
          <w:rPr>
            <w:rStyle w:val="Hyperlink"/>
            <w:lang w:val="en-GB"/>
          </w:rPr>
          <w:t>"</w:t>
        </w:r>
        <w:r w:rsidR="00870112" w:rsidRPr="00180522">
          <w:rPr>
            <w:rStyle w:val="Hyperlink"/>
            <w:lang w:val="en-GB"/>
          </w:rPr>
          <w:t>,</w:t>
        </w:r>
      </w:hyperlink>
      <w:r w:rsidR="00870112" w:rsidRPr="00180522">
        <w:rPr>
          <w:lang w:val="en-GB"/>
        </w:rPr>
        <w:t xml:space="preserve"> 15 May 2019</w:t>
      </w:r>
    </w:p>
    <w:p w14:paraId="09E9744C" w14:textId="5CADD5F4" w:rsidR="00691998" w:rsidRPr="00180522" w:rsidRDefault="007706CC" w:rsidP="005769CF">
      <w:pPr>
        <w:numPr>
          <w:ilvl w:val="0"/>
          <w:numId w:val="39"/>
        </w:numPr>
        <w:rPr>
          <w:lang w:val="en-GB"/>
        </w:rPr>
      </w:pPr>
      <w:hyperlink r:id="rId199" w:history="1">
        <w:r w:rsidR="00870112" w:rsidRPr="00180522">
          <w:rPr>
            <w:rStyle w:val="Hyperlink"/>
            <w:lang w:val="en-GB"/>
          </w:rPr>
          <w:t xml:space="preserve">Smart Environment Panel on </w:t>
        </w:r>
        <w:r w:rsidR="005769CF" w:rsidRPr="00180522">
          <w:rPr>
            <w:rStyle w:val="Hyperlink"/>
            <w:lang w:val="en-GB"/>
          </w:rPr>
          <w:t>"</w:t>
        </w:r>
        <w:r w:rsidR="00870112" w:rsidRPr="00180522">
          <w:rPr>
            <w:rStyle w:val="Hyperlink"/>
            <w:lang w:val="en-GB"/>
          </w:rPr>
          <w:t>New ITU standards on soft errors that affect telecommunications</w:t>
        </w:r>
      </w:hyperlink>
      <w:r w:rsidR="005769CF" w:rsidRPr="00180522">
        <w:rPr>
          <w:rStyle w:val="Hyperlink"/>
          <w:lang w:val="en-GB"/>
        </w:rPr>
        <w:t>"</w:t>
      </w:r>
      <w:r w:rsidR="00870112" w:rsidRPr="00180522">
        <w:rPr>
          <w:lang w:val="en-GB"/>
        </w:rPr>
        <w:t>, 20 May 2019</w:t>
      </w:r>
    </w:p>
    <w:p w14:paraId="13C64CE6" w14:textId="3CA5F6D3" w:rsidR="00AC3FB7" w:rsidRPr="00180522" w:rsidRDefault="007706CC" w:rsidP="005769CF">
      <w:pPr>
        <w:numPr>
          <w:ilvl w:val="0"/>
          <w:numId w:val="39"/>
        </w:numPr>
        <w:rPr>
          <w:lang w:val="en-GB"/>
        </w:rPr>
      </w:pPr>
      <w:hyperlink r:id="rId200" w:history="1">
        <w:r w:rsidR="00AC3FB7" w:rsidRPr="00180522">
          <w:rPr>
            <w:rStyle w:val="Hyperlink"/>
            <w:lang w:val="en-GB"/>
          </w:rPr>
          <w:t xml:space="preserve">WSIS Forum: </w:t>
        </w:r>
        <w:r w:rsidR="005769CF" w:rsidRPr="00180522">
          <w:rPr>
            <w:rStyle w:val="Hyperlink"/>
            <w:lang w:val="en-GB"/>
          </w:rPr>
          <w:t>"</w:t>
        </w:r>
        <w:r w:rsidR="00AC3FB7" w:rsidRPr="00180522">
          <w:rPr>
            <w:rStyle w:val="Hyperlink"/>
            <w:lang w:val="en-GB"/>
          </w:rPr>
          <w:t>Internet of Things - From idea to reality, making it happen in Africa</w:t>
        </w:r>
      </w:hyperlink>
      <w:r w:rsidR="005769CF" w:rsidRPr="00180522">
        <w:rPr>
          <w:rStyle w:val="Hyperlink"/>
          <w:lang w:val="en-GB"/>
        </w:rPr>
        <w:t>"</w:t>
      </w:r>
      <w:r w:rsidR="00010805" w:rsidRPr="00180522">
        <w:rPr>
          <w:lang w:val="en-GB"/>
        </w:rPr>
        <w:t xml:space="preserve">, </w:t>
      </w:r>
      <w:r w:rsidR="00AC3FB7" w:rsidRPr="00180522">
        <w:rPr>
          <w:lang w:val="en-GB"/>
        </w:rPr>
        <w:t>11 April 2019.</w:t>
      </w:r>
    </w:p>
    <w:p w14:paraId="7CAF81C5" w14:textId="66D4E0CD" w:rsidR="00870112" w:rsidRPr="00180522" w:rsidRDefault="007706CC" w:rsidP="005769CF">
      <w:pPr>
        <w:numPr>
          <w:ilvl w:val="0"/>
          <w:numId w:val="39"/>
        </w:numPr>
        <w:rPr>
          <w:lang w:val="en-GB"/>
        </w:rPr>
      </w:pPr>
      <w:hyperlink r:id="rId201" w:history="1">
        <w:r w:rsidR="00A5644E" w:rsidRPr="00180522">
          <w:rPr>
            <w:rStyle w:val="Hyperlink"/>
            <w:lang w:val="en-GB"/>
          </w:rPr>
          <w:t xml:space="preserve">WSIS Thematic </w:t>
        </w:r>
        <w:r w:rsidR="00870112" w:rsidRPr="00180522">
          <w:rPr>
            <w:rStyle w:val="Hyperlink"/>
            <w:lang w:val="en-GB"/>
          </w:rPr>
          <w:t xml:space="preserve">Workshop on </w:t>
        </w:r>
        <w:r w:rsidR="005769CF" w:rsidRPr="00180522">
          <w:rPr>
            <w:rStyle w:val="Hyperlink"/>
            <w:lang w:val="en-GB"/>
          </w:rPr>
          <w:t>"</w:t>
        </w:r>
        <w:r w:rsidR="00870112" w:rsidRPr="00180522">
          <w:rPr>
            <w:rStyle w:val="Hyperlink"/>
            <w:lang w:val="en-GB"/>
          </w:rPr>
          <w:t>Connecting the Circular model of E-waste Management to the Sustainable Development Goals</w:t>
        </w:r>
      </w:hyperlink>
      <w:r w:rsidR="005769CF" w:rsidRPr="00180522">
        <w:rPr>
          <w:rStyle w:val="Hyperlink"/>
          <w:lang w:val="en-GB"/>
        </w:rPr>
        <w:t>"</w:t>
      </w:r>
      <w:r w:rsidR="00870112" w:rsidRPr="00180522">
        <w:rPr>
          <w:lang w:val="en-GB"/>
        </w:rPr>
        <w:t>, 11 April 2019</w:t>
      </w:r>
    </w:p>
    <w:p w14:paraId="116E154E" w14:textId="0FC113E2" w:rsidR="00870112" w:rsidRPr="00180522" w:rsidRDefault="007706CC" w:rsidP="005769CF">
      <w:pPr>
        <w:numPr>
          <w:ilvl w:val="0"/>
          <w:numId w:val="39"/>
        </w:numPr>
        <w:rPr>
          <w:lang w:val="en-GB"/>
        </w:rPr>
      </w:pPr>
      <w:hyperlink r:id="rId202" w:history="1">
        <w:r w:rsidR="00A5644E" w:rsidRPr="00180522">
          <w:rPr>
            <w:rStyle w:val="Hyperlink"/>
            <w:lang w:val="en-GB"/>
          </w:rPr>
          <w:t xml:space="preserve">WSIS Thematic </w:t>
        </w:r>
        <w:r w:rsidR="00870112" w:rsidRPr="00180522">
          <w:rPr>
            <w:rStyle w:val="Hyperlink"/>
            <w:lang w:val="en-GB"/>
          </w:rPr>
          <w:t xml:space="preserve">Workshop on </w:t>
        </w:r>
        <w:r w:rsidR="005769CF" w:rsidRPr="00180522">
          <w:rPr>
            <w:rStyle w:val="Hyperlink"/>
            <w:lang w:val="en-GB"/>
          </w:rPr>
          <w:t>"</w:t>
        </w:r>
        <w:r w:rsidR="00870112" w:rsidRPr="00180522">
          <w:rPr>
            <w:rStyle w:val="Hyperlink"/>
            <w:lang w:val="en-GB"/>
          </w:rPr>
          <w:t xml:space="preserve">United for Smart Sustainable Cities: </w:t>
        </w:r>
        <w:proofErr w:type="spellStart"/>
        <w:r w:rsidR="00870112" w:rsidRPr="00180522">
          <w:rPr>
            <w:rStyle w:val="Hyperlink"/>
            <w:lang w:val="en-GB"/>
          </w:rPr>
          <w:t>Blockchain</w:t>
        </w:r>
        <w:proofErr w:type="spellEnd"/>
        <w:r w:rsidR="00870112" w:rsidRPr="00180522">
          <w:rPr>
            <w:rStyle w:val="Hyperlink"/>
            <w:lang w:val="en-GB"/>
          </w:rPr>
          <w:t xml:space="preserve"> for Cities</w:t>
        </w:r>
      </w:hyperlink>
      <w:r w:rsidR="005769CF" w:rsidRPr="00180522">
        <w:rPr>
          <w:rStyle w:val="Hyperlink"/>
          <w:lang w:val="en-GB"/>
        </w:rPr>
        <w:t>"</w:t>
      </w:r>
      <w:r w:rsidR="00870112" w:rsidRPr="00180522">
        <w:rPr>
          <w:lang w:val="en-GB"/>
        </w:rPr>
        <w:t>, 11 April 2019</w:t>
      </w:r>
    </w:p>
    <w:p w14:paraId="1827C2A9" w14:textId="73FEB158" w:rsidR="00870112" w:rsidRPr="00180522" w:rsidRDefault="007706CC" w:rsidP="005769CF">
      <w:pPr>
        <w:numPr>
          <w:ilvl w:val="0"/>
          <w:numId w:val="39"/>
        </w:numPr>
        <w:rPr>
          <w:lang w:val="en-GB"/>
        </w:rPr>
      </w:pPr>
      <w:hyperlink r:id="rId203" w:history="1">
        <w:r w:rsidR="00A5644E" w:rsidRPr="00180522">
          <w:rPr>
            <w:rStyle w:val="Hyperlink"/>
            <w:lang w:val="en-GB"/>
          </w:rPr>
          <w:t>WSIS T</w:t>
        </w:r>
        <w:r w:rsidR="00870112" w:rsidRPr="00180522">
          <w:rPr>
            <w:rStyle w:val="Hyperlink"/>
            <w:lang w:val="en-GB"/>
          </w:rPr>
          <w:t xml:space="preserve">hematic Workshop on </w:t>
        </w:r>
        <w:r w:rsidR="005769CF" w:rsidRPr="00180522">
          <w:rPr>
            <w:rStyle w:val="Hyperlink"/>
            <w:lang w:val="en-GB"/>
          </w:rPr>
          <w:t>"</w:t>
        </w:r>
        <w:r w:rsidR="00A5644E" w:rsidRPr="00180522">
          <w:rPr>
            <w:rStyle w:val="Hyperlink"/>
            <w:lang w:val="en-GB"/>
          </w:rPr>
          <w:t>(</w:t>
        </w:r>
        <w:proofErr w:type="spellStart"/>
        <w:r w:rsidR="00870112" w:rsidRPr="00180522">
          <w:rPr>
            <w:rStyle w:val="Hyperlink"/>
            <w:lang w:val="en-GB"/>
          </w:rPr>
          <w:t>En</w:t>
        </w:r>
        <w:proofErr w:type="spellEnd"/>
        <w:r w:rsidR="00A5644E" w:rsidRPr="00180522">
          <w:rPr>
            <w:rStyle w:val="Hyperlink"/>
            <w:lang w:val="en-GB"/>
          </w:rPr>
          <w:t>)g</w:t>
        </w:r>
        <w:r w:rsidR="00870112" w:rsidRPr="00180522">
          <w:rPr>
            <w:rStyle w:val="Hyperlink"/>
            <w:lang w:val="en-GB"/>
          </w:rPr>
          <w:t xml:space="preserve">endering the </w:t>
        </w:r>
        <w:r w:rsidR="00A5644E" w:rsidRPr="00180522">
          <w:rPr>
            <w:rStyle w:val="Hyperlink"/>
            <w:lang w:val="en-GB"/>
          </w:rPr>
          <w:t>S</w:t>
        </w:r>
        <w:r w:rsidR="00870112" w:rsidRPr="00180522">
          <w:rPr>
            <w:rStyle w:val="Hyperlink"/>
            <w:lang w:val="en-GB"/>
          </w:rPr>
          <w:t xml:space="preserve">mart </w:t>
        </w:r>
        <w:r w:rsidR="00A5644E" w:rsidRPr="00180522">
          <w:rPr>
            <w:rStyle w:val="Hyperlink"/>
            <w:lang w:val="en-GB"/>
          </w:rPr>
          <w:t>C</w:t>
        </w:r>
        <w:r w:rsidR="00870112" w:rsidRPr="00180522">
          <w:rPr>
            <w:rStyle w:val="Hyperlink"/>
            <w:lang w:val="en-GB"/>
          </w:rPr>
          <w:t>ity</w:t>
        </w:r>
      </w:hyperlink>
      <w:r w:rsidR="005769CF" w:rsidRPr="00180522">
        <w:rPr>
          <w:rStyle w:val="Hyperlink"/>
          <w:lang w:val="en-GB"/>
        </w:rPr>
        <w:t>"</w:t>
      </w:r>
      <w:r w:rsidR="00870112" w:rsidRPr="00180522">
        <w:rPr>
          <w:lang w:val="en-GB"/>
        </w:rPr>
        <w:t>, 11 April 2019</w:t>
      </w:r>
    </w:p>
    <w:p w14:paraId="0243D50D" w14:textId="186AFF5E" w:rsidR="00657C98" w:rsidRPr="00180522" w:rsidRDefault="007706CC" w:rsidP="001C37A8">
      <w:pPr>
        <w:numPr>
          <w:ilvl w:val="0"/>
          <w:numId w:val="39"/>
        </w:numPr>
        <w:rPr>
          <w:lang w:val="en-GB"/>
        </w:rPr>
      </w:pPr>
      <w:hyperlink r:id="rId204" w:history="1">
        <w:r w:rsidR="00657C98" w:rsidRPr="00180522">
          <w:rPr>
            <w:rStyle w:val="Hyperlink"/>
            <w:lang w:val="en-GB"/>
          </w:rPr>
          <w:t xml:space="preserve">ITU Workshop on </w:t>
        </w:r>
        <w:r w:rsidR="00CA2D85" w:rsidRPr="00180522">
          <w:rPr>
            <w:rStyle w:val="Hyperlink"/>
            <w:lang w:val="en-GB"/>
          </w:rPr>
          <w:t>"</w:t>
        </w:r>
        <w:r w:rsidR="00657C98" w:rsidRPr="00180522">
          <w:rPr>
            <w:rStyle w:val="Hyperlink"/>
            <w:lang w:val="en-GB"/>
          </w:rPr>
          <w:t>Enhancing Human Life Using e-Services</w:t>
        </w:r>
        <w:r w:rsidR="00CA2D85" w:rsidRPr="00180522">
          <w:rPr>
            <w:rStyle w:val="Hyperlink"/>
            <w:lang w:val="en-GB"/>
          </w:rPr>
          <w:t>"</w:t>
        </w:r>
      </w:hyperlink>
      <w:r w:rsidR="00657C98" w:rsidRPr="00180522">
        <w:rPr>
          <w:lang w:val="en-GB"/>
        </w:rPr>
        <w:t>, 25 March 2019.</w:t>
      </w:r>
    </w:p>
    <w:p w14:paraId="3C06094D" w14:textId="6D968B63" w:rsidR="00D37044" w:rsidRPr="00180522" w:rsidRDefault="007706CC" w:rsidP="001C37A8">
      <w:pPr>
        <w:numPr>
          <w:ilvl w:val="0"/>
          <w:numId w:val="39"/>
        </w:numPr>
        <w:rPr>
          <w:lang w:val="en-GB"/>
        </w:rPr>
      </w:pPr>
      <w:hyperlink r:id="rId205" w:history="1">
        <w:r w:rsidR="00D37044" w:rsidRPr="00180522">
          <w:rPr>
            <w:rStyle w:val="Hyperlink"/>
            <w:lang w:val="en-GB"/>
          </w:rPr>
          <w:t xml:space="preserve">ITU Workshop on </w:t>
        </w:r>
        <w:r w:rsidR="00CA2D85" w:rsidRPr="00180522">
          <w:rPr>
            <w:rStyle w:val="Hyperlink"/>
            <w:lang w:val="en-GB"/>
          </w:rPr>
          <w:t>"</w:t>
        </w:r>
        <w:r w:rsidR="00D37044" w:rsidRPr="00180522">
          <w:rPr>
            <w:rStyle w:val="Hyperlink"/>
            <w:lang w:val="en-GB"/>
          </w:rPr>
          <w:t>Benchmarking of Emerging Technologies and Applications. Internet Related Performance Measurements</w:t>
        </w:r>
        <w:r w:rsidR="00CA2D85" w:rsidRPr="00180522">
          <w:rPr>
            <w:rStyle w:val="Hyperlink"/>
            <w:lang w:val="en-GB"/>
          </w:rPr>
          <w:t>"</w:t>
        </w:r>
      </w:hyperlink>
      <w:r w:rsidR="00D37044" w:rsidRPr="00180522">
        <w:rPr>
          <w:lang w:val="en-GB"/>
        </w:rPr>
        <w:t>, 11 March 2019.</w:t>
      </w:r>
    </w:p>
    <w:p w14:paraId="4761B370" w14:textId="68CABD86" w:rsidR="00D37044" w:rsidRPr="00180522" w:rsidRDefault="007706CC" w:rsidP="001C37A8">
      <w:pPr>
        <w:numPr>
          <w:ilvl w:val="0"/>
          <w:numId w:val="39"/>
        </w:numPr>
        <w:rPr>
          <w:lang w:val="en-GB"/>
        </w:rPr>
      </w:pPr>
      <w:hyperlink r:id="rId206" w:history="1">
        <w:r w:rsidR="0046404B" w:rsidRPr="00180522">
          <w:rPr>
            <w:rStyle w:val="Hyperlink"/>
            <w:lang w:val="en-GB"/>
          </w:rPr>
          <w:t>ITU-UNECE Symposium on the F</w:t>
        </w:r>
        <w:r w:rsidR="00D37044" w:rsidRPr="00180522">
          <w:rPr>
            <w:rStyle w:val="Hyperlink"/>
            <w:lang w:val="en-GB"/>
          </w:rPr>
          <w:t>uture Networked Car</w:t>
        </w:r>
      </w:hyperlink>
      <w:r w:rsidR="00D37044" w:rsidRPr="00180522">
        <w:rPr>
          <w:lang w:val="en-GB"/>
        </w:rPr>
        <w:t>, 7 March 2019.</w:t>
      </w:r>
    </w:p>
    <w:p w14:paraId="38A8E6E6" w14:textId="5298612E" w:rsidR="003849B9" w:rsidRPr="00180522" w:rsidRDefault="007706CC" w:rsidP="005769CF">
      <w:pPr>
        <w:numPr>
          <w:ilvl w:val="0"/>
          <w:numId w:val="39"/>
        </w:numPr>
        <w:rPr>
          <w:lang w:val="en-GB"/>
        </w:rPr>
      </w:pPr>
      <w:hyperlink r:id="rId207" w:history="1">
        <w:r w:rsidR="003849B9" w:rsidRPr="00180522">
          <w:rPr>
            <w:rStyle w:val="Hyperlink"/>
            <w:lang w:val="en-GB"/>
          </w:rPr>
          <w:t xml:space="preserve">Joint ITU-NGMN Conference </w:t>
        </w:r>
        <w:r w:rsidR="00A5644E" w:rsidRPr="00180522">
          <w:rPr>
            <w:rStyle w:val="Hyperlink"/>
            <w:lang w:val="en-GB"/>
          </w:rPr>
          <w:t xml:space="preserve">on </w:t>
        </w:r>
        <w:r w:rsidR="005769CF" w:rsidRPr="00180522">
          <w:rPr>
            <w:rStyle w:val="Hyperlink"/>
            <w:lang w:val="en-GB"/>
          </w:rPr>
          <w:t>"</w:t>
        </w:r>
        <w:r w:rsidR="003849B9" w:rsidRPr="00180522">
          <w:rPr>
            <w:rStyle w:val="Hyperlink"/>
            <w:lang w:val="en-GB"/>
          </w:rPr>
          <w:t>Licensing practices in 5G industry segments</w:t>
        </w:r>
      </w:hyperlink>
      <w:r w:rsidR="003849B9" w:rsidRPr="00180522">
        <w:rPr>
          <w:lang w:val="en-GB"/>
        </w:rPr>
        <w:t>, 29-30 January 2019.</w:t>
      </w:r>
    </w:p>
    <w:p w14:paraId="4A26E6C1" w14:textId="15A48DAB" w:rsidR="00E37E02" w:rsidRPr="00180522" w:rsidRDefault="007706CC" w:rsidP="005769CF">
      <w:pPr>
        <w:numPr>
          <w:ilvl w:val="0"/>
          <w:numId w:val="39"/>
        </w:numPr>
        <w:rPr>
          <w:lang w:val="en-GB"/>
        </w:rPr>
      </w:pPr>
      <w:hyperlink r:id="rId208" w:history="1">
        <w:r w:rsidR="00E37E02" w:rsidRPr="00180522">
          <w:rPr>
            <w:rStyle w:val="Hyperlink"/>
            <w:lang w:val="en-GB"/>
          </w:rPr>
          <w:t xml:space="preserve">ITU Workshop on </w:t>
        </w:r>
        <w:r w:rsidR="005769CF" w:rsidRPr="00180522">
          <w:rPr>
            <w:rStyle w:val="Hyperlink"/>
            <w:lang w:val="en-GB"/>
          </w:rPr>
          <w:t>"</w:t>
        </w:r>
        <w:r w:rsidR="00E37E02" w:rsidRPr="00180522">
          <w:rPr>
            <w:rStyle w:val="Hyperlink"/>
            <w:lang w:val="en-GB"/>
          </w:rPr>
          <w:t>Artificial Intelligence, Machine Learning and Security</w:t>
        </w:r>
      </w:hyperlink>
      <w:r w:rsidR="005769CF" w:rsidRPr="00180522">
        <w:rPr>
          <w:rStyle w:val="Hyperlink"/>
          <w:lang w:val="en-GB"/>
        </w:rPr>
        <w:t>"</w:t>
      </w:r>
      <w:r w:rsidR="00E37E02" w:rsidRPr="00180522">
        <w:rPr>
          <w:lang w:val="en-GB"/>
        </w:rPr>
        <w:t>, 21 January 2019.</w:t>
      </w:r>
    </w:p>
    <w:p w14:paraId="20F9FC1C" w14:textId="464396C0" w:rsidR="009F6192" w:rsidRPr="00180522" w:rsidRDefault="007706CC" w:rsidP="005769CF">
      <w:pPr>
        <w:numPr>
          <w:ilvl w:val="0"/>
          <w:numId w:val="39"/>
        </w:numPr>
        <w:rPr>
          <w:lang w:val="en-GB"/>
        </w:rPr>
      </w:pPr>
      <w:hyperlink r:id="rId209" w:history="1">
        <w:r w:rsidR="009F6192" w:rsidRPr="00180522">
          <w:rPr>
            <w:rStyle w:val="Hyperlink"/>
            <w:lang w:val="en-GB"/>
          </w:rPr>
          <w:t xml:space="preserve">ITU Workshop on </w:t>
        </w:r>
        <w:r w:rsidR="005769CF" w:rsidRPr="00180522">
          <w:rPr>
            <w:rStyle w:val="Hyperlink"/>
            <w:lang w:val="en-GB"/>
          </w:rPr>
          <w:t>"</w:t>
        </w:r>
        <w:r w:rsidR="009F6192" w:rsidRPr="00180522">
          <w:rPr>
            <w:rStyle w:val="Hyperlink"/>
            <w:lang w:val="en-GB"/>
          </w:rPr>
          <w:t>Telecommunication Service Quality Regulatory Frameworks and Experience-Driven Networking</w:t>
        </w:r>
      </w:hyperlink>
      <w:r w:rsidR="005769CF" w:rsidRPr="00180522">
        <w:rPr>
          <w:rStyle w:val="Hyperlink"/>
          <w:lang w:val="en-GB"/>
        </w:rPr>
        <w:t>"</w:t>
      </w:r>
      <w:r w:rsidR="009F6192" w:rsidRPr="00180522">
        <w:rPr>
          <w:lang w:val="en-GB"/>
        </w:rPr>
        <w:t>, 26 November 2018.</w:t>
      </w:r>
    </w:p>
    <w:p w14:paraId="3F3A7E43" w14:textId="7C6390F5" w:rsidR="006944F8" w:rsidRPr="00180522" w:rsidRDefault="00A47CEC" w:rsidP="006944F8">
      <w:pPr>
        <w:rPr>
          <w:b/>
          <w:bCs/>
          <w:szCs w:val="24"/>
          <w:lang w:val="en-GB"/>
        </w:rPr>
      </w:pPr>
      <w:r w:rsidRPr="00180522">
        <w:rPr>
          <w:b/>
          <w:bCs/>
          <w:szCs w:val="24"/>
          <w:lang w:val="en-GB"/>
        </w:rPr>
        <w:t xml:space="preserve">Rest of </w:t>
      </w:r>
      <w:r w:rsidR="006944F8" w:rsidRPr="00180522">
        <w:rPr>
          <w:b/>
          <w:bCs/>
          <w:szCs w:val="24"/>
          <w:lang w:val="en-GB"/>
        </w:rPr>
        <w:t>Europe</w:t>
      </w:r>
      <w:r w:rsidRPr="00180522">
        <w:rPr>
          <w:b/>
          <w:bCs/>
          <w:szCs w:val="24"/>
          <w:lang w:val="en-GB"/>
        </w:rPr>
        <w:t xml:space="preserve"> (see above for Geneva)</w:t>
      </w:r>
      <w:r w:rsidR="006944F8" w:rsidRPr="00180522">
        <w:rPr>
          <w:b/>
          <w:bCs/>
          <w:szCs w:val="24"/>
          <w:lang w:val="en-GB"/>
        </w:rPr>
        <w:t>:</w:t>
      </w:r>
    </w:p>
    <w:p w14:paraId="2BFE3FF9" w14:textId="3AD4F362" w:rsidR="00AC3FB7" w:rsidRPr="00180522" w:rsidRDefault="007706CC" w:rsidP="005769CF">
      <w:pPr>
        <w:numPr>
          <w:ilvl w:val="0"/>
          <w:numId w:val="40"/>
        </w:numPr>
        <w:rPr>
          <w:lang w:val="en-GB"/>
        </w:rPr>
      </w:pPr>
      <w:hyperlink r:id="rId210" w:history="1">
        <w:r w:rsidR="00A5644E" w:rsidRPr="00180522">
          <w:rPr>
            <w:rStyle w:val="Hyperlink"/>
            <w:lang w:val="en-GB"/>
          </w:rPr>
          <w:t>ITU</w:t>
        </w:r>
        <w:r w:rsidR="00AC3FB7" w:rsidRPr="00180522">
          <w:rPr>
            <w:rStyle w:val="Hyperlink"/>
            <w:lang w:val="en-GB"/>
          </w:rPr>
          <w:t xml:space="preserve"> Workshop on </w:t>
        </w:r>
        <w:r w:rsidR="005769CF" w:rsidRPr="00180522">
          <w:rPr>
            <w:rStyle w:val="Hyperlink"/>
            <w:lang w:val="en-GB"/>
          </w:rPr>
          <w:t>"</w:t>
        </w:r>
        <w:r w:rsidR="00AC3FB7" w:rsidRPr="00180522">
          <w:rPr>
            <w:rStyle w:val="Hyperlink"/>
            <w:lang w:val="en-GB"/>
          </w:rPr>
          <w:t>Distributed Ledger Technology</w:t>
        </w:r>
      </w:hyperlink>
      <w:r w:rsidR="005769CF" w:rsidRPr="00180522">
        <w:rPr>
          <w:rStyle w:val="Hyperlink"/>
          <w:lang w:val="en-GB"/>
        </w:rPr>
        <w:t>"</w:t>
      </w:r>
      <w:r w:rsidR="00AC3FB7" w:rsidRPr="00180522">
        <w:rPr>
          <w:lang w:val="en-GB"/>
        </w:rPr>
        <w:t>, Madrid, Spain,</w:t>
      </w:r>
      <w:r w:rsidR="00A5644E" w:rsidRPr="00180522">
        <w:rPr>
          <w:lang w:val="en-GB"/>
        </w:rPr>
        <w:t xml:space="preserve"> </w:t>
      </w:r>
      <w:r w:rsidR="00AC3FB7" w:rsidRPr="00180522">
        <w:rPr>
          <w:lang w:val="en-GB"/>
        </w:rPr>
        <w:t>1 April 2019.</w:t>
      </w:r>
    </w:p>
    <w:p w14:paraId="438D06F3" w14:textId="1689CFFE" w:rsidR="00D37044" w:rsidRPr="00180522" w:rsidRDefault="007706CC" w:rsidP="005769CF">
      <w:pPr>
        <w:numPr>
          <w:ilvl w:val="0"/>
          <w:numId w:val="40"/>
        </w:numPr>
        <w:rPr>
          <w:lang w:val="en-GB"/>
        </w:rPr>
      </w:pPr>
      <w:hyperlink r:id="rId211" w:history="1">
        <w:r w:rsidR="00D37044" w:rsidRPr="00180522">
          <w:rPr>
            <w:rStyle w:val="Hyperlink"/>
            <w:lang w:val="en-GB"/>
          </w:rPr>
          <w:t xml:space="preserve">ITU Workshop on </w:t>
        </w:r>
        <w:r w:rsidR="005769CF" w:rsidRPr="00180522">
          <w:rPr>
            <w:rStyle w:val="Hyperlink"/>
            <w:lang w:val="en-GB"/>
          </w:rPr>
          <w:t>"</w:t>
        </w:r>
        <w:r w:rsidR="00D37044" w:rsidRPr="00180522">
          <w:rPr>
            <w:rStyle w:val="Hyperlink"/>
            <w:lang w:val="en-GB"/>
          </w:rPr>
          <w:t>Network 2030</w:t>
        </w:r>
      </w:hyperlink>
      <w:r w:rsidR="005769CF" w:rsidRPr="00180522">
        <w:rPr>
          <w:rStyle w:val="Hyperlink"/>
          <w:lang w:val="en-GB"/>
        </w:rPr>
        <w:t>"</w:t>
      </w:r>
      <w:r w:rsidR="00D37044" w:rsidRPr="00180522">
        <w:rPr>
          <w:lang w:val="en-GB"/>
        </w:rPr>
        <w:t>, London, United Kingdom, 18 February 2019.</w:t>
      </w:r>
    </w:p>
    <w:p w14:paraId="4E8776B5" w14:textId="3FFD1180" w:rsidR="009F6192" w:rsidRPr="00180522" w:rsidRDefault="007706CC" w:rsidP="001C37A8">
      <w:pPr>
        <w:numPr>
          <w:ilvl w:val="0"/>
          <w:numId w:val="40"/>
        </w:numPr>
        <w:rPr>
          <w:lang w:val="en-GB"/>
        </w:rPr>
      </w:pPr>
      <w:hyperlink r:id="rId212" w:history="1">
        <w:r w:rsidR="00E37E02" w:rsidRPr="00180522">
          <w:rPr>
            <w:rStyle w:val="Hyperlink"/>
            <w:lang w:val="en-GB"/>
          </w:rPr>
          <w:t xml:space="preserve">ITU/WHO Workshop on </w:t>
        </w:r>
        <w:r w:rsidR="00CA2D85" w:rsidRPr="00180522">
          <w:rPr>
            <w:rStyle w:val="Hyperlink"/>
            <w:lang w:val="en-GB"/>
          </w:rPr>
          <w:t>"</w:t>
        </w:r>
        <w:r w:rsidR="00E37E02" w:rsidRPr="00180522">
          <w:rPr>
            <w:rStyle w:val="Hyperlink"/>
            <w:lang w:val="en-GB"/>
          </w:rPr>
          <w:t>Artificial Intelligence for Health</w:t>
        </w:r>
        <w:r w:rsidR="00CA2D85" w:rsidRPr="00180522">
          <w:rPr>
            <w:rStyle w:val="Hyperlink"/>
            <w:lang w:val="en-GB"/>
          </w:rPr>
          <w:t>"</w:t>
        </w:r>
      </w:hyperlink>
      <w:r w:rsidR="00E37E02" w:rsidRPr="00180522">
        <w:rPr>
          <w:lang w:val="en-GB"/>
        </w:rPr>
        <w:t>, Lausanne, Switzerland, 22 January 2019.</w:t>
      </w:r>
    </w:p>
    <w:p w14:paraId="5C62ED0D" w14:textId="3AAFFB72" w:rsidR="006944F8" w:rsidRPr="00180522" w:rsidRDefault="007706CC" w:rsidP="001C37A8">
      <w:pPr>
        <w:numPr>
          <w:ilvl w:val="0"/>
          <w:numId w:val="40"/>
        </w:numPr>
        <w:rPr>
          <w:lang w:val="en-GB"/>
        </w:rPr>
      </w:pPr>
      <w:hyperlink r:id="rId213" w:history="1">
        <w:r w:rsidR="009F6192" w:rsidRPr="00180522">
          <w:rPr>
            <w:rStyle w:val="Hyperlink"/>
            <w:lang w:val="en-GB"/>
          </w:rPr>
          <w:t xml:space="preserve">ITU Forum </w:t>
        </w:r>
        <w:r w:rsidR="00CA2D85" w:rsidRPr="00180522">
          <w:rPr>
            <w:rStyle w:val="Hyperlink"/>
            <w:lang w:val="en-GB"/>
          </w:rPr>
          <w:t>"</w:t>
        </w:r>
        <w:r w:rsidR="009F6192" w:rsidRPr="00180522">
          <w:rPr>
            <w:rStyle w:val="Hyperlink"/>
            <w:lang w:val="en-GB"/>
          </w:rPr>
          <w:t>Towards 5G Enabled Gigabit Society</w:t>
        </w:r>
        <w:r w:rsidR="00CA2D85" w:rsidRPr="00180522">
          <w:rPr>
            <w:rStyle w:val="Hyperlink"/>
            <w:lang w:val="en-GB"/>
          </w:rPr>
          <w:t>"</w:t>
        </w:r>
      </w:hyperlink>
      <w:r w:rsidR="009F6192" w:rsidRPr="00180522">
        <w:rPr>
          <w:lang w:val="en-GB"/>
        </w:rPr>
        <w:t>, Athens, Greece, 11-12 October 2018</w:t>
      </w:r>
      <w:r w:rsidR="006944F8" w:rsidRPr="00180522">
        <w:rPr>
          <w:lang w:val="en-GB"/>
        </w:rPr>
        <w:t>.</w:t>
      </w:r>
    </w:p>
    <w:p w14:paraId="5A2CE69C" w14:textId="77777777" w:rsidR="006944F8" w:rsidRPr="00180522" w:rsidRDefault="006944F8" w:rsidP="006944F8">
      <w:pPr>
        <w:rPr>
          <w:b/>
          <w:bCs/>
          <w:szCs w:val="24"/>
          <w:lang w:val="en-GB"/>
        </w:rPr>
      </w:pPr>
      <w:r w:rsidRPr="00180522">
        <w:rPr>
          <w:b/>
          <w:bCs/>
          <w:szCs w:val="24"/>
          <w:lang w:val="en-GB"/>
        </w:rPr>
        <w:t>Africa:</w:t>
      </w:r>
    </w:p>
    <w:p w14:paraId="67A4A46E" w14:textId="675C9516" w:rsidR="0085295A" w:rsidRPr="00180522" w:rsidRDefault="007706CC" w:rsidP="001C37A8">
      <w:pPr>
        <w:numPr>
          <w:ilvl w:val="0"/>
          <w:numId w:val="41"/>
        </w:numPr>
        <w:rPr>
          <w:lang w:val="en-GB"/>
        </w:rPr>
      </w:pPr>
      <w:hyperlink r:id="rId214" w:history="1">
        <w:r w:rsidR="0085295A" w:rsidRPr="00180522">
          <w:rPr>
            <w:rStyle w:val="Hyperlink"/>
            <w:lang w:val="en-GB"/>
          </w:rPr>
          <w:t>ITU Digital African Week</w:t>
        </w:r>
      </w:hyperlink>
      <w:r w:rsidR="0085295A" w:rsidRPr="00180522">
        <w:rPr>
          <w:lang w:val="en-GB"/>
        </w:rPr>
        <w:t>, Abuja, Nigeria, 27-30 August 2019.</w:t>
      </w:r>
    </w:p>
    <w:p w14:paraId="6573D71A" w14:textId="3A54F0BF" w:rsidR="00D37044" w:rsidRPr="00180522" w:rsidRDefault="007706CC" w:rsidP="001C37A8">
      <w:pPr>
        <w:numPr>
          <w:ilvl w:val="0"/>
          <w:numId w:val="41"/>
        </w:numPr>
        <w:rPr>
          <w:lang w:val="en-GB"/>
        </w:rPr>
      </w:pPr>
      <w:hyperlink r:id="rId215" w:history="1">
        <w:r w:rsidR="00D37044" w:rsidRPr="00180522">
          <w:rPr>
            <w:rStyle w:val="Hyperlink"/>
            <w:lang w:val="en-GB"/>
          </w:rPr>
          <w:t xml:space="preserve">ITU Workshop on </w:t>
        </w:r>
        <w:r w:rsidR="00CA2D85" w:rsidRPr="00180522">
          <w:rPr>
            <w:rStyle w:val="Hyperlink"/>
            <w:lang w:val="en-GB"/>
          </w:rPr>
          <w:t>"</w:t>
        </w:r>
        <w:r w:rsidR="00D37044" w:rsidRPr="00180522">
          <w:rPr>
            <w:rStyle w:val="Hyperlink"/>
            <w:lang w:val="en-GB"/>
          </w:rPr>
          <w:t>Network Performance, Quality of Service and Quality of Experience</w:t>
        </w:r>
        <w:r w:rsidR="00CA2D85" w:rsidRPr="00180522">
          <w:rPr>
            <w:rStyle w:val="Hyperlink"/>
            <w:lang w:val="en-GB"/>
          </w:rPr>
          <w:t>"</w:t>
        </w:r>
      </w:hyperlink>
      <w:r w:rsidR="00D37044" w:rsidRPr="00180522">
        <w:rPr>
          <w:lang w:val="en-GB"/>
        </w:rPr>
        <w:t>, Kigali, Rwanda, 4-5 March 2019.</w:t>
      </w:r>
    </w:p>
    <w:p w14:paraId="6D8D1AA4" w14:textId="027306FA" w:rsidR="006944F8" w:rsidRPr="00180522" w:rsidRDefault="007706CC" w:rsidP="005769CF">
      <w:pPr>
        <w:numPr>
          <w:ilvl w:val="0"/>
          <w:numId w:val="41"/>
        </w:numPr>
        <w:rPr>
          <w:lang w:val="en-GB"/>
        </w:rPr>
      </w:pPr>
      <w:hyperlink r:id="rId216" w:history="1">
        <w:r w:rsidR="00F625F3" w:rsidRPr="00180522">
          <w:rPr>
            <w:rStyle w:val="Hyperlink"/>
            <w:lang w:val="en-GB"/>
          </w:rPr>
          <w:t xml:space="preserve">ITU Regional Standardization Forum on </w:t>
        </w:r>
        <w:r w:rsidR="005769CF" w:rsidRPr="00180522">
          <w:rPr>
            <w:rStyle w:val="Hyperlink"/>
            <w:lang w:val="en-GB"/>
          </w:rPr>
          <w:t xml:space="preserve"> "</w:t>
        </w:r>
        <w:r w:rsidR="00F625F3" w:rsidRPr="00180522">
          <w:rPr>
            <w:rStyle w:val="Hyperlink"/>
            <w:lang w:val="en-GB"/>
          </w:rPr>
          <w:t>Emerging Economic, Regulatory and Policy Trends for an Inclusive, Sustainable and Trustworthy Digital World</w:t>
        </w:r>
      </w:hyperlink>
      <w:r w:rsidR="005769CF" w:rsidRPr="00180522">
        <w:rPr>
          <w:rStyle w:val="Hyperlink"/>
          <w:lang w:val="en-GB"/>
        </w:rPr>
        <w:t>"</w:t>
      </w:r>
      <w:r w:rsidR="00F625F3" w:rsidRPr="00180522">
        <w:rPr>
          <w:lang w:val="en-GB"/>
        </w:rPr>
        <w:t>, Antananarivo, Madagascar, 18 February 2019</w:t>
      </w:r>
      <w:r w:rsidR="006944F8" w:rsidRPr="00180522">
        <w:rPr>
          <w:lang w:val="en-GB"/>
        </w:rPr>
        <w:t>.</w:t>
      </w:r>
    </w:p>
    <w:p w14:paraId="594400FC" w14:textId="6A00BAC5" w:rsidR="006944F8" w:rsidRPr="00180522" w:rsidRDefault="006944F8" w:rsidP="006944F8">
      <w:pPr>
        <w:rPr>
          <w:b/>
          <w:bCs/>
          <w:szCs w:val="24"/>
          <w:lang w:val="en-GB"/>
        </w:rPr>
      </w:pPr>
      <w:r w:rsidRPr="00180522">
        <w:rPr>
          <w:b/>
          <w:bCs/>
          <w:szCs w:val="24"/>
          <w:lang w:val="en-GB"/>
        </w:rPr>
        <w:t xml:space="preserve">Asia and </w:t>
      </w:r>
      <w:r w:rsidR="00403A2F" w:rsidRPr="00180522">
        <w:rPr>
          <w:b/>
          <w:bCs/>
          <w:szCs w:val="24"/>
          <w:lang w:val="en-GB"/>
        </w:rPr>
        <w:t xml:space="preserve">the </w:t>
      </w:r>
      <w:r w:rsidRPr="00180522">
        <w:rPr>
          <w:b/>
          <w:bCs/>
          <w:szCs w:val="24"/>
          <w:lang w:val="en-GB"/>
        </w:rPr>
        <w:t>Pacific:</w:t>
      </w:r>
    </w:p>
    <w:p w14:paraId="38CD7D58" w14:textId="77777777" w:rsidR="0085295A" w:rsidRPr="00180522" w:rsidRDefault="007706CC" w:rsidP="0085295A">
      <w:pPr>
        <w:numPr>
          <w:ilvl w:val="0"/>
          <w:numId w:val="42"/>
        </w:numPr>
        <w:rPr>
          <w:lang w:val="en-GB"/>
        </w:rPr>
      </w:pPr>
      <w:hyperlink r:id="rId217" w:history="1">
        <w:r w:rsidR="0085295A" w:rsidRPr="00180522">
          <w:rPr>
            <w:rStyle w:val="Hyperlink"/>
            <w:lang w:val="en-GB"/>
          </w:rPr>
          <w:t>ITU Workshop on ''Telecommunication Service Quality as Enabler of the Digital Economy"</w:t>
        </w:r>
      </w:hyperlink>
      <w:r w:rsidR="0085295A" w:rsidRPr="00180522">
        <w:rPr>
          <w:lang w:val="en-GB"/>
        </w:rPr>
        <w:t>, Singapore, 19-21 August 2019.</w:t>
      </w:r>
    </w:p>
    <w:p w14:paraId="0D03B841" w14:textId="043D9164" w:rsidR="00F01177" w:rsidRPr="00180522" w:rsidRDefault="007706CC" w:rsidP="001C37A8">
      <w:pPr>
        <w:numPr>
          <w:ilvl w:val="0"/>
          <w:numId w:val="42"/>
        </w:numPr>
        <w:rPr>
          <w:lang w:val="en-GB"/>
        </w:rPr>
      </w:pPr>
      <w:hyperlink r:id="rId218" w:history="1">
        <w:r w:rsidR="00F01177" w:rsidRPr="00180522">
          <w:rPr>
            <w:rStyle w:val="Hyperlink"/>
            <w:lang w:val="en-GB"/>
          </w:rPr>
          <w:t>TSB Director</w:t>
        </w:r>
        <w:r w:rsidR="00CA2D85" w:rsidRPr="00180522">
          <w:rPr>
            <w:rStyle w:val="Hyperlink"/>
            <w:lang w:val="en-GB"/>
          </w:rPr>
          <w:t>'</w:t>
        </w:r>
        <w:r w:rsidR="00F01177" w:rsidRPr="00180522">
          <w:rPr>
            <w:rStyle w:val="Hyperlink"/>
            <w:lang w:val="en-GB"/>
          </w:rPr>
          <w:t>s CJK CTO Consultation Meeting</w:t>
        </w:r>
      </w:hyperlink>
      <w:r w:rsidR="00F01177" w:rsidRPr="00180522">
        <w:rPr>
          <w:lang w:val="en-GB"/>
        </w:rPr>
        <w:t>, 16 July 2019, Tokyo, Japan.</w:t>
      </w:r>
    </w:p>
    <w:p w14:paraId="36E64AC7" w14:textId="48CA15E5" w:rsidR="00A54E94" w:rsidRPr="00180522" w:rsidRDefault="007706CC" w:rsidP="001C37A8">
      <w:pPr>
        <w:numPr>
          <w:ilvl w:val="0"/>
          <w:numId w:val="42"/>
        </w:numPr>
        <w:rPr>
          <w:lang w:val="en-GB"/>
        </w:rPr>
      </w:pPr>
      <w:hyperlink r:id="rId219" w:history="1">
        <w:r w:rsidR="00A54E94" w:rsidRPr="00180522">
          <w:rPr>
            <w:rStyle w:val="Hyperlink"/>
            <w:lang w:val="en-GB"/>
          </w:rPr>
          <w:t xml:space="preserve">ITU Workshop on </w:t>
        </w:r>
        <w:r w:rsidR="00CA2D85" w:rsidRPr="00180522">
          <w:rPr>
            <w:rStyle w:val="Hyperlink"/>
            <w:lang w:val="en-GB"/>
          </w:rPr>
          <w:t>"</w:t>
        </w:r>
        <w:r w:rsidR="00A54E94" w:rsidRPr="00180522">
          <w:rPr>
            <w:rStyle w:val="Hyperlink"/>
            <w:lang w:val="en-GB"/>
          </w:rPr>
          <w:t>Quantum Information Technology (QIT) for Networks</w:t>
        </w:r>
        <w:r w:rsidR="00CA2D85" w:rsidRPr="00180522">
          <w:rPr>
            <w:rStyle w:val="Hyperlink"/>
            <w:lang w:val="en-GB"/>
          </w:rPr>
          <w:t>"</w:t>
        </w:r>
      </w:hyperlink>
      <w:r w:rsidR="00A54E94" w:rsidRPr="00180522">
        <w:rPr>
          <w:lang w:val="en-GB"/>
        </w:rPr>
        <w:t>, Shanghai, China, 5-7</w:t>
      </w:r>
      <w:r w:rsidR="00A260FA" w:rsidRPr="00180522">
        <w:rPr>
          <w:lang w:val="en-GB"/>
        </w:rPr>
        <w:t xml:space="preserve"> </w:t>
      </w:r>
      <w:r w:rsidR="00A54E94" w:rsidRPr="00180522">
        <w:rPr>
          <w:lang w:val="en-GB"/>
        </w:rPr>
        <w:t>June 2019.</w:t>
      </w:r>
    </w:p>
    <w:p w14:paraId="107E97CE" w14:textId="770FB496" w:rsidR="00AC3FB7" w:rsidRPr="00180522" w:rsidRDefault="007706CC" w:rsidP="005769CF">
      <w:pPr>
        <w:numPr>
          <w:ilvl w:val="0"/>
          <w:numId w:val="42"/>
        </w:numPr>
        <w:rPr>
          <w:lang w:val="en-GB"/>
        </w:rPr>
      </w:pPr>
      <w:hyperlink r:id="rId220" w:history="1">
        <w:r w:rsidR="005769CF" w:rsidRPr="00180522">
          <w:rPr>
            <w:rStyle w:val="Hyperlink"/>
            <w:lang w:val="en-GB"/>
          </w:rPr>
          <w:t xml:space="preserve">ITU </w:t>
        </w:r>
        <w:r w:rsidR="00AC3FB7" w:rsidRPr="00180522">
          <w:rPr>
            <w:rStyle w:val="Hyperlink"/>
            <w:lang w:val="en-GB"/>
          </w:rPr>
          <w:t xml:space="preserve">Workshop </w:t>
        </w:r>
        <w:r w:rsidR="005769CF" w:rsidRPr="00180522">
          <w:rPr>
            <w:rStyle w:val="Hyperlink"/>
            <w:lang w:val="en-GB"/>
          </w:rPr>
          <w:t>on "</w:t>
        </w:r>
        <w:r w:rsidR="00AC3FB7" w:rsidRPr="00180522">
          <w:rPr>
            <w:rStyle w:val="Hyperlink"/>
            <w:lang w:val="en-GB"/>
          </w:rPr>
          <w:t>Future Integrated Broadband Cable Networks</w:t>
        </w:r>
      </w:hyperlink>
      <w:r w:rsidR="005769CF" w:rsidRPr="00180522">
        <w:rPr>
          <w:rStyle w:val="Hyperlink"/>
          <w:lang w:val="en-GB"/>
        </w:rPr>
        <w:t>"</w:t>
      </w:r>
      <w:r w:rsidR="00AC3FB7" w:rsidRPr="00180522">
        <w:rPr>
          <w:lang w:val="en-GB"/>
        </w:rPr>
        <w:t>, Wuhan, China, 14 April 2019.</w:t>
      </w:r>
    </w:p>
    <w:p w14:paraId="3D5B92B5" w14:textId="308FE5BD" w:rsidR="00AC3FB7" w:rsidRPr="00180522" w:rsidRDefault="007706CC" w:rsidP="001C37A8">
      <w:pPr>
        <w:numPr>
          <w:ilvl w:val="0"/>
          <w:numId w:val="42"/>
        </w:numPr>
        <w:rPr>
          <w:lang w:val="en-GB"/>
        </w:rPr>
      </w:pPr>
      <w:hyperlink r:id="rId221" w:history="1">
        <w:r w:rsidR="00AC3FB7" w:rsidRPr="00180522">
          <w:rPr>
            <w:rStyle w:val="Hyperlink"/>
            <w:lang w:val="en-GB"/>
          </w:rPr>
          <w:t xml:space="preserve">ITU/WHO Workshop on </w:t>
        </w:r>
        <w:r w:rsidR="00CA2D85" w:rsidRPr="00180522">
          <w:rPr>
            <w:rStyle w:val="Hyperlink"/>
            <w:lang w:val="en-GB"/>
          </w:rPr>
          <w:t>"</w:t>
        </w:r>
        <w:r w:rsidR="00AC3FB7" w:rsidRPr="00180522">
          <w:rPr>
            <w:rStyle w:val="Hyperlink"/>
            <w:lang w:val="en-GB"/>
          </w:rPr>
          <w:t>Artificial Intelligence for Health</w:t>
        </w:r>
        <w:r w:rsidR="00CA2D85" w:rsidRPr="00180522">
          <w:rPr>
            <w:rStyle w:val="Hyperlink"/>
            <w:lang w:val="en-GB"/>
          </w:rPr>
          <w:t>"</w:t>
        </w:r>
      </w:hyperlink>
      <w:r w:rsidR="00AC3FB7" w:rsidRPr="00180522">
        <w:rPr>
          <w:lang w:val="en-GB"/>
        </w:rPr>
        <w:t>, Shanghai, China, 1 April 2019.</w:t>
      </w:r>
    </w:p>
    <w:p w14:paraId="0F6BB856" w14:textId="4C4D65F7" w:rsidR="00D37044" w:rsidRPr="00180522" w:rsidRDefault="007706CC" w:rsidP="001C37A8">
      <w:pPr>
        <w:numPr>
          <w:ilvl w:val="0"/>
          <w:numId w:val="42"/>
        </w:numPr>
        <w:rPr>
          <w:lang w:val="en-GB"/>
        </w:rPr>
      </w:pPr>
      <w:hyperlink r:id="rId222" w:history="1">
        <w:r w:rsidR="00D37044" w:rsidRPr="00180522">
          <w:rPr>
            <w:rStyle w:val="Hyperlink"/>
            <w:lang w:val="en-GB"/>
          </w:rPr>
          <w:t xml:space="preserve">ITU Workshop on </w:t>
        </w:r>
        <w:r w:rsidR="00CA2D85" w:rsidRPr="00180522">
          <w:rPr>
            <w:rStyle w:val="Hyperlink"/>
            <w:lang w:val="en-GB"/>
          </w:rPr>
          <w:t>"</w:t>
        </w:r>
        <w:r w:rsidR="00D37044" w:rsidRPr="00180522">
          <w:rPr>
            <w:rStyle w:val="Hyperlink"/>
            <w:lang w:val="en-GB"/>
          </w:rPr>
          <w:t>Towards a New Era - AI in 5G</w:t>
        </w:r>
        <w:r w:rsidR="00CA2D85" w:rsidRPr="00180522">
          <w:rPr>
            <w:rStyle w:val="Hyperlink"/>
            <w:lang w:val="en-GB"/>
          </w:rPr>
          <w:t>"</w:t>
        </w:r>
      </w:hyperlink>
      <w:r w:rsidR="00D37044" w:rsidRPr="00180522">
        <w:rPr>
          <w:lang w:val="en-GB"/>
        </w:rPr>
        <w:t>, Shenzhen, China, 6 March 2019.</w:t>
      </w:r>
    </w:p>
    <w:p w14:paraId="37AB99D5" w14:textId="0EA316F2" w:rsidR="00E37E02" w:rsidRPr="00180522" w:rsidRDefault="007706CC" w:rsidP="001C37A8">
      <w:pPr>
        <w:numPr>
          <w:ilvl w:val="0"/>
          <w:numId w:val="42"/>
        </w:numPr>
        <w:rPr>
          <w:lang w:val="en-GB"/>
        </w:rPr>
      </w:pPr>
      <w:hyperlink r:id="rId223" w:history="1">
        <w:r w:rsidR="00E37E02" w:rsidRPr="00180522">
          <w:rPr>
            <w:rStyle w:val="Hyperlink"/>
            <w:lang w:val="en-GB"/>
          </w:rPr>
          <w:t xml:space="preserve">ITU Workshop on </w:t>
        </w:r>
        <w:r w:rsidR="00CA2D85" w:rsidRPr="00180522">
          <w:rPr>
            <w:rStyle w:val="Hyperlink"/>
            <w:lang w:val="en-GB"/>
          </w:rPr>
          <w:t>"</w:t>
        </w:r>
        <w:r w:rsidR="00E37E02" w:rsidRPr="00180522">
          <w:rPr>
            <w:rStyle w:val="Hyperlink"/>
            <w:lang w:val="en-GB"/>
          </w:rPr>
          <w:t>The Future of Vehicular Multimedia</w:t>
        </w:r>
        <w:r w:rsidR="00CA2D85" w:rsidRPr="00180522">
          <w:rPr>
            <w:rStyle w:val="Hyperlink"/>
            <w:lang w:val="en-GB"/>
          </w:rPr>
          <w:t>"</w:t>
        </w:r>
      </w:hyperlink>
      <w:r w:rsidR="00E37E02" w:rsidRPr="00180522">
        <w:rPr>
          <w:lang w:val="en-GB"/>
        </w:rPr>
        <w:t xml:space="preserve">, </w:t>
      </w:r>
      <w:r w:rsidR="00D37044" w:rsidRPr="00180522">
        <w:rPr>
          <w:lang w:val="en-GB"/>
        </w:rPr>
        <w:t xml:space="preserve">Tokyo, Japan, </w:t>
      </w:r>
      <w:r w:rsidR="00E37E02" w:rsidRPr="00180522">
        <w:rPr>
          <w:lang w:val="en-GB"/>
        </w:rPr>
        <w:t>23 January 2019.</w:t>
      </w:r>
    </w:p>
    <w:p w14:paraId="4405F045" w14:textId="4CDF9239" w:rsidR="00E37E02" w:rsidRPr="00180522" w:rsidRDefault="007706CC" w:rsidP="00ED445F">
      <w:pPr>
        <w:numPr>
          <w:ilvl w:val="0"/>
          <w:numId w:val="42"/>
        </w:numPr>
        <w:rPr>
          <w:lang w:val="en-GB"/>
        </w:rPr>
      </w:pPr>
      <w:hyperlink r:id="rId224" w:history="1">
        <w:r w:rsidR="00E37E02" w:rsidRPr="00180522">
          <w:rPr>
            <w:rStyle w:val="Hyperlink"/>
            <w:lang w:val="en-GB"/>
          </w:rPr>
          <w:t xml:space="preserve">ITU Workshop on </w:t>
        </w:r>
        <w:r w:rsidR="00ED445F" w:rsidRPr="00180522">
          <w:rPr>
            <w:rStyle w:val="Hyperlink"/>
            <w:lang w:val="en-GB"/>
          </w:rPr>
          <w:t>"</w:t>
        </w:r>
        <w:r w:rsidR="00E37E02" w:rsidRPr="00180522">
          <w:rPr>
            <w:rStyle w:val="Hyperlink"/>
            <w:lang w:val="en-GB"/>
          </w:rPr>
          <w:t>Data Processing and Management for IoT and Smart Cities &amp; Communities</w:t>
        </w:r>
      </w:hyperlink>
      <w:r w:rsidR="005769CF" w:rsidRPr="00180522">
        <w:rPr>
          <w:rStyle w:val="Hyperlink"/>
          <w:lang w:val="en-GB"/>
        </w:rPr>
        <w:t>"</w:t>
      </w:r>
      <w:r w:rsidR="00E37E02" w:rsidRPr="00180522">
        <w:rPr>
          <w:lang w:val="en-GB"/>
        </w:rPr>
        <w:t>, Seoul, Korea, 14 January 2019.</w:t>
      </w:r>
    </w:p>
    <w:p w14:paraId="1ADB30C4" w14:textId="2E2C65DF" w:rsidR="009F6192" w:rsidRPr="00180522" w:rsidRDefault="007706CC" w:rsidP="00ED445F">
      <w:pPr>
        <w:numPr>
          <w:ilvl w:val="0"/>
          <w:numId w:val="42"/>
        </w:numPr>
        <w:rPr>
          <w:lang w:val="en-GB"/>
        </w:rPr>
      </w:pPr>
      <w:hyperlink r:id="rId225" w:history="1">
        <w:r w:rsidR="009F6192" w:rsidRPr="00180522">
          <w:rPr>
            <w:rStyle w:val="Hyperlink"/>
            <w:lang w:val="en-GB"/>
          </w:rPr>
          <w:t xml:space="preserve">ITU Workshop on </w:t>
        </w:r>
        <w:r w:rsidR="00ED445F" w:rsidRPr="00180522">
          <w:rPr>
            <w:rStyle w:val="Hyperlink"/>
            <w:lang w:val="en-GB"/>
          </w:rPr>
          <w:t>"</w:t>
        </w:r>
        <w:r w:rsidR="009F6192" w:rsidRPr="00180522">
          <w:rPr>
            <w:rStyle w:val="Hyperlink"/>
            <w:lang w:val="en-GB"/>
          </w:rPr>
          <w:t>Technologies for Network 2030</w:t>
        </w:r>
      </w:hyperlink>
      <w:r w:rsidR="00ED445F" w:rsidRPr="00180522">
        <w:rPr>
          <w:rStyle w:val="Hyperlink"/>
          <w:lang w:val="en-GB"/>
        </w:rPr>
        <w:t>"</w:t>
      </w:r>
      <w:r w:rsidR="009F6192" w:rsidRPr="00180522">
        <w:rPr>
          <w:lang w:val="en-GB"/>
        </w:rPr>
        <w:t>, Hong Kong, China, 18 December 2018.</w:t>
      </w:r>
    </w:p>
    <w:p w14:paraId="62731F58" w14:textId="738FF4DF" w:rsidR="009F6192" w:rsidRPr="00180522" w:rsidRDefault="007706CC" w:rsidP="00ED445F">
      <w:pPr>
        <w:numPr>
          <w:ilvl w:val="0"/>
          <w:numId w:val="42"/>
        </w:numPr>
        <w:rPr>
          <w:lang w:val="en-GB"/>
        </w:rPr>
      </w:pPr>
      <w:hyperlink r:id="rId226" w:history="1">
        <w:r w:rsidR="009F6192" w:rsidRPr="00180522">
          <w:rPr>
            <w:rStyle w:val="Hyperlink"/>
            <w:lang w:val="en-GB"/>
          </w:rPr>
          <w:t xml:space="preserve">ITU Forum on </w:t>
        </w:r>
        <w:r w:rsidR="00ED445F" w:rsidRPr="00180522">
          <w:rPr>
            <w:rStyle w:val="Hyperlink"/>
            <w:lang w:val="en-GB"/>
          </w:rPr>
          <w:t>"</w:t>
        </w:r>
        <w:r w:rsidR="009F6192" w:rsidRPr="00180522">
          <w:rPr>
            <w:rStyle w:val="Hyperlink"/>
            <w:lang w:val="en-GB"/>
          </w:rPr>
          <w:t>Artificial Intelligence, Internet of Things and Smart Cities</w:t>
        </w:r>
      </w:hyperlink>
      <w:r w:rsidR="00ED445F" w:rsidRPr="00180522">
        <w:rPr>
          <w:rStyle w:val="Hyperlink"/>
          <w:lang w:val="en-GB"/>
        </w:rPr>
        <w:t>"</w:t>
      </w:r>
      <w:r w:rsidR="009F6192" w:rsidRPr="00180522">
        <w:rPr>
          <w:lang w:val="en-GB"/>
        </w:rPr>
        <w:t>, Wuxi, China, 3 December 2018.</w:t>
      </w:r>
    </w:p>
    <w:p w14:paraId="18944C85" w14:textId="77777777" w:rsidR="006944F8" w:rsidRPr="00180522" w:rsidRDefault="006944F8" w:rsidP="006944F8">
      <w:pPr>
        <w:rPr>
          <w:szCs w:val="24"/>
          <w:lang w:val="en-GB"/>
        </w:rPr>
      </w:pPr>
      <w:r w:rsidRPr="00180522">
        <w:rPr>
          <w:b/>
          <w:bCs/>
          <w:szCs w:val="24"/>
          <w:lang w:val="en-GB"/>
        </w:rPr>
        <w:t>Arab States</w:t>
      </w:r>
      <w:r w:rsidRPr="00180522">
        <w:rPr>
          <w:szCs w:val="24"/>
          <w:lang w:val="en-GB"/>
        </w:rPr>
        <w:t>:</w:t>
      </w:r>
    </w:p>
    <w:p w14:paraId="59377A55" w14:textId="37F98207" w:rsidR="00AC3FB7" w:rsidRPr="00180522" w:rsidRDefault="007706CC" w:rsidP="001C37A8">
      <w:pPr>
        <w:numPr>
          <w:ilvl w:val="0"/>
          <w:numId w:val="43"/>
        </w:numPr>
        <w:rPr>
          <w:lang w:val="en-GB"/>
        </w:rPr>
      </w:pPr>
      <w:hyperlink r:id="rId227" w:history="1">
        <w:r w:rsidR="00AC3FB7" w:rsidRPr="00180522">
          <w:rPr>
            <w:rStyle w:val="Hyperlink"/>
            <w:lang w:val="en-GB"/>
          </w:rPr>
          <w:t xml:space="preserve">Arab-African Interregional </w:t>
        </w:r>
        <w:r w:rsidR="00ED445F" w:rsidRPr="00180522">
          <w:rPr>
            <w:rStyle w:val="Hyperlink"/>
            <w:lang w:val="en-GB"/>
          </w:rPr>
          <w:t xml:space="preserve">ITU </w:t>
        </w:r>
        <w:r w:rsidR="00AC3FB7" w:rsidRPr="00180522">
          <w:rPr>
            <w:rStyle w:val="Hyperlink"/>
            <w:lang w:val="en-GB"/>
          </w:rPr>
          <w:t xml:space="preserve">Standardization Forum on </w:t>
        </w:r>
        <w:r w:rsidR="00ED445F" w:rsidRPr="00180522">
          <w:rPr>
            <w:rStyle w:val="Hyperlink"/>
            <w:lang w:val="en-GB"/>
          </w:rPr>
          <w:t>"</w:t>
        </w:r>
        <w:r w:rsidR="00AC3FB7" w:rsidRPr="00180522">
          <w:rPr>
            <w:rStyle w:val="Hyperlink"/>
            <w:lang w:val="en-GB"/>
          </w:rPr>
          <w:t>PKI for e-trust</w:t>
        </w:r>
      </w:hyperlink>
      <w:r w:rsidR="00ED445F" w:rsidRPr="00180522">
        <w:rPr>
          <w:rStyle w:val="Hyperlink"/>
          <w:lang w:val="en-GB"/>
        </w:rPr>
        <w:t>"</w:t>
      </w:r>
      <w:r w:rsidR="00AC3FB7" w:rsidRPr="00180522">
        <w:rPr>
          <w:lang w:val="en-GB"/>
        </w:rPr>
        <w:t xml:space="preserve">, </w:t>
      </w:r>
      <w:proofErr w:type="spellStart"/>
      <w:r w:rsidR="00AC3FB7" w:rsidRPr="00180522">
        <w:rPr>
          <w:lang w:val="en-GB"/>
        </w:rPr>
        <w:t>Tunis,Tunisia</w:t>
      </w:r>
      <w:proofErr w:type="spellEnd"/>
      <w:r w:rsidR="00AC3FB7" w:rsidRPr="00180522">
        <w:rPr>
          <w:lang w:val="en-GB"/>
        </w:rPr>
        <w:t>, 4-5 April 2019.</w:t>
      </w:r>
    </w:p>
    <w:p w14:paraId="2726F9F6" w14:textId="01028867" w:rsidR="00E37E02" w:rsidRPr="00180522" w:rsidRDefault="007706CC" w:rsidP="001C37A8">
      <w:pPr>
        <w:numPr>
          <w:ilvl w:val="0"/>
          <w:numId w:val="43"/>
        </w:numPr>
        <w:rPr>
          <w:lang w:val="en-GB"/>
        </w:rPr>
      </w:pPr>
      <w:hyperlink r:id="rId228" w:history="1">
        <w:r w:rsidR="00E37E02" w:rsidRPr="00180522">
          <w:rPr>
            <w:rStyle w:val="Hyperlink"/>
            <w:lang w:val="en-GB"/>
          </w:rPr>
          <w:t>Financial Inclusion Global Initiative (FIGI) Symposium</w:t>
        </w:r>
      </w:hyperlink>
      <w:r w:rsidR="00E37E02" w:rsidRPr="00180522">
        <w:rPr>
          <w:lang w:val="en-GB"/>
        </w:rPr>
        <w:t>, Cairo, Egypt, 22-24 January 2019.</w:t>
      </w:r>
    </w:p>
    <w:p w14:paraId="48EABFD5" w14:textId="39DCEADE" w:rsidR="009F6192" w:rsidRPr="00180522" w:rsidRDefault="007706CC" w:rsidP="00ED445F">
      <w:pPr>
        <w:numPr>
          <w:ilvl w:val="0"/>
          <w:numId w:val="43"/>
        </w:numPr>
        <w:rPr>
          <w:lang w:val="en-GB"/>
        </w:rPr>
      </w:pPr>
      <w:hyperlink r:id="rId229" w:history="1">
        <w:r w:rsidR="009F6192" w:rsidRPr="00180522">
          <w:rPr>
            <w:rStyle w:val="Hyperlink"/>
            <w:lang w:val="en-GB"/>
          </w:rPr>
          <w:t xml:space="preserve">ITU Regional Standardization Forum on </w:t>
        </w:r>
        <w:r w:rsidR="00ED445F" w:rsidRPr="00180522">
          <w:rPr>
            <w:rStyle w:val="Hyperlink"/>
            <w:lang w:val="en-GB"/>
          </w:rPr>
          <w:t>"</w:t>
        </w:r>
        <w:r w:rsidR="009F6192" w:rsidRPr="00180522">
          <w:rPr>
            <w:rStyle w:val="Hyperlink"/>
            <w:lang w:val="en-GB"/>
          </w:rPr>
          <w:t>Emerging Economic, Regulatory and Policy Trends in a Fast-Changing Digital World</w:t>
        </w:r>
      </w:hyperlink>
      <w:r w:rsidR="00ED445F" w:rsidRPr="00180522">
        <w:rPr>
          <w:rStyle w:val="Hyperlink"/>
          <w:lang w:val="en-GB"/>
        </w:rPr>
        <w:t>"</w:t>
      </w:r>
      <w:r w:rsidR="009F6192" w:rsidRPr="00180522">
        <w:rPr>
          <w:lang w:val="en-GB"/>
        </w:rPr>
        <w:t>, Kuwait City, Kuwait, 17 December 2018.</w:t>
      </w:r>
    </w:p>
    <w:p w14:paraId="574005F5" w14:textId="2541405F" w:rsidR="006944F8" w:rsidRPr="00180522" w:rsidRDefault="007706CC" w:rsidP="00ED445F">
      <w:pPr>
        <w:numPr>
          <w:ilvl w:val="0"/>
          <w:numId w:val="43"/>
        </w:numPr>
        <w:rPr>
          <w:lang w:val="en-GB"/>
        </w:rPr>
      </w:pPr>
      <w:hyperlink r:id="rId230" w:history="1">
        <w:r w:rsidR="009F6192" w:rsidRPr="00180522">
          <w:rPr>
            <w:rStyle w:val="Hyperlink"/>
            <w:lang w:val="en-GB"/>
          </w:rPr>
          <w:t xml:space="preserve">ITU Interregional Workshop on </w:t>
        </w:r>
        <w:r w:rsidR="00ED445F" w:rsidRPr="00180522">
          <w:rPr>
            <w:rStyle w:val="Hyperlink"/>
            <w:lang w:val="en-GB"/>
          </w:rPr>
          <w:t>"</w:t>
        </w:r>
        <w:r w:rsidR="009F6192" w:rsidRPr="00180522">
          <w:rPr>
            <w:rStyle w:val="Hyperlink"/>
            <w:lang w:val="en-GB"/>
          </w:rPr>
          <w:t>ITU International Numbering Resources for the Arab and Africa Regions</w:t>
        </w:r>
      </w:hyperlink>
      <w:r w:rsidR="00ED445F" w:rsidRPr="00180522">
        <w:rPr>
          <w:rStyle w:val="Hyperlink"/>
          <w:lang w:val="en-GB"/>
        </w:rPr>
        <w:t>"</w:t>
      </w:r>
      <w:r w:rsidR="009F6192" w:rsidRPr="00180522">
        <w:rPr>
          <w:lang w:val="en-GB"/>
        </w:rPr>
        <w:t>, Cairo, Egypt, 2</w:t>
      </w:r>
      <w:r w:rsidR="00A260FA" w:rsidRPr="00180522">
        <w:rPr>
          <w:lang w:val="en-GB"/>
        </w:rPr>
        <w:t xml:space="preserve">-4 </w:t>
      </w:r>
      <w:r w:rsidR="009F6192" w:rsidRPr="00180522">
        <w:rPr>
          <w:lang w:val="en-GB"/>
        </w:rPr>
        <w:t>December 2018</w:t>
      </w:r>
      <w:r w:rsidR="006944F8" w:rsidRPr="00180522">
        <w:rPr>
          <w:lang w:val="en-GB"/>
        </w:rPr>
        <w:t>.</w:t>
      </w:r>
    </w:p>
    <w:p w14:paraId="4E316A4F" w14:textId="10E5A4AF" w:rsidR="006944F8" w:rsidRPr="00180522" w:rsidRDefault="006944F8" w:rsidP="005879E4">
      <w:pPr>
        <w:keepNext/>
        <w:keepLines/>
        <w:rPr>
          <w:b/>
          <w:bCs/>
          <w:szCs w:val="24"/>
          <w:lang w:val="en-GB"/>
        </w:rPr>
      </w:pPr>
      <w:r w:rsidRPr="00180522">
        <w:rPr>
          <w:b/>
          <w:bCs/>
          <w:szCs w:val="24"/>
          <w:lang w:val="en-GB"/>
        </w:rPr>
        <w:t>Americas:</w:t>
      </w:r>
    </w:p>
    <w:p w14:paraId="41C0A62A" w14:textId="0C8B1F3D" w:rsidR="00870112" w:rsidRPr="00180522" w:rsidRDefault="007706CC" w:rsidP="001C37A8">
      <w:pPr>
        <w:numPr>
          <w:ilvl w:val="0"/>
          <w:numId w:val="44"/>
        </w:numPr>
        <w:rPr>
          <w:lang w:val="en-GB"/>
        </w:rPr>
      </w:pPr>
      <w:hyperlink r:id="rId231" w:history="1">
        <w:r w:rsidR="00870112" w:rsidRPr="00180522">
          <w:rPr>
            <w:rStyle w:val="Hyperlink"/>
            <w:lang w:val="en-GB"/>
          </w:rPr>
          <w:t xml:space="preserve">HLPF Side Event: </w:t>
        </w:r>
        <w:r w:rsidR="00CA2D85" w:rsidRPr="00180522">
          <w:rPr>
            <w:rStyle w:val="Hyperlink"/>
            <w:lang w:val="en-GB"/>
          </w:rPr>
          <w:t>"</w:t>
        </w:r>
        <w:r w:rsidR="00870112" w:rsidRPr="00180522">
          <w:rPr>
            <w:rStyle w:val="Hyperlink"/>
            <w:lang w:val="en-GB"/>
          </w:rPr>
          <w:t>Harnessing Frontier Technologies for Accelerating Climate Actions and the SDGs</w:t>
        </w:r>
        <w:r w:rsidR="00CA2D85" w:rsidRPr="00180522">
          <w:rPr>
            <w:rStyle w:val="Hyperlink"/>
            <w:lang w:val="en-GB"/>
          </w:rPr>
          <w:t>"</w:t>
        </w:r>
      </w:hyperlink>
      <w:r w:rsidR="00870112" w:rsidRPr="00180522">
        <w:rPr>
          <w:lang w:val="en-GB"/>
        </w:rPr>
        <w:t>, New York, United States, 9 July 2019.</w:t>
      </w:r>
    </w:p>
    <w:p w14:paraId="29C8D964" w14:textId="6F9CDCC0" w:rsidR="00870112" w:rsidRPr="00180522" w:rsidRDefault="00870112" w:rsidP="001C37A8">
      <w:pPr>
        <w:numPr>
          <w:ilvl w:val="0"/>
          <w:numId w:val="44"/>
        </w:numPr>
        <w:rPr>
          <w:lang w:val="en-GB"/>
        </w:rPr>
      </w:pPr>
      <w:r w:rsidRPr="00180522">
        <w:rPr>
          <w:lang w:val="en-GB"/>
        </w:rPr>
        <w:t>STI Forum Side Event: Frontier Technologies to Protect the Environment and Tackle Climate Change, New York, United States, 14 May 2019.</w:t>
      </w:r>
    </w:p>
    <w:p w14:paraId="1BECF752" w14:textId="24627C74" w:rsidR="00AC3FB7" w:rsidRPr="00180522" w:rsidRDefault="007706CC" w:rsidP="001C37A8">
      <w:pPr>
        <w:numPr>
          <w:ilvl w:val="0"/>
          <w:numId w:val="44"/>
        </w:numPr>
        <w:rPr>
          <w:lang w:val="en-GB"/>
        </w:rPr>
      </w:pPr>
      <w:hyperlink r:id="rId232" w:history="1">
        <w:r w:rsidR="00AC3FB7" w:rsidRPr="00180522">
          <w:rPr>
            <w:rStyle w:val="Hyperlink"/>
            <w:lang w:val="en-GB"/>
          </w:rPr>
          <w:t xml:space="preserve">7th Workshop on </w:t>
        </w:r>
        <w:r w:rsidR="00CA2D85" w:rsidRPr="00180522">
          <w:rPr>
            <w:rStyle w:val="Hyperlink"/>
            <w:lang w:val="en-GB"/>
          </w:rPr>
          <w:t>"</w:t>
        </w:r>
        <w:r w:rsidR="00AC3FB7" w:rsidRPr="00180522">
          <w:rPr>
            <w:rStyle w:val="Hyperlink"/>
            <w:lang w:val="en-GB"/>
          </w:rPr>
          <w:t>SMART Cable Systems: From the Laboratory to the Ocean Floor</w:t>
        </w:r>
        <w:r w:rsidR="00CA2D85" w:rsidRPr="00180522">
          <w:rPr>
            <w:rStyle w:val="Hyperlink"/>
            <w:lang w:val="en-GB"/>
          </w:rPr>
          <w:t>"</w:t>
        </w:r>
      </w:hyperlink>
      <w:r w:rsidR="00AC3FB7" w:rsidRPr="00180522">
        <w:rPr>
          <w:lang w:val="en-GB"/>
        </w:rPr>
        <w:t>, New Orleans, United States, 12 April 2019.</w:t>
      </w:r>
    </w:p>
    <w:p w14:paraId="5FDB70F0" w14:textId="009B31C7" w:rsidR="00AC3FB7" w:rsidRPr="00180522" w:rsidRDefault="007706CC" w:rsidP="00ED445F">
      <w:pPr>
        <w:numPr>
          <w:ilvl w:val="0"/>
          <w:numId w:val="44"/>
        </w:numPr>
        <w:rPr>
          <w:lang w:val="en-GB"/>
        </w:rPr>
      </w:pPr>
      <w:hyperlink r:id="rId233" w:history="1">
        <w:r w:rsidR="00AC3FB7" w:rsidRPr="00180522">
          <w:rPr>
            <w:rStyle w:val="Hyperlink"/>
            <w:lang w:val="en-GB"/>
          </w:rPr>
          <w:t xml:space="preserve">BSG Interactive </w:t>
        </w:r>
        <w:r w:rsidR="00ED445F" w:rsidRPr="00180522">
          <w:rPr>
            <w:rStyle w:val="Hyperlink"/>
            <w:lang w:val="en-GB"/>
          </w:rPr>
          <w:t xml:space="preserve">ITU </w:t>
        </w:r>
        <w:r w:rsidR="00AC3FB7" w:rsidRPr="00180522">
          <w:rPr>
            <w:rStyle w:val="Hyperlink"/>
            <w:lang w:val="en-GB"/>
          </w:rPr>
          <w:t xml:space="preserve">Workshop on </w:t>
        </w:r>
        <w:r w:rsidR="00ED445F" w:rsidRPr="00180522">
          <w:rPr>
            <w:rStyle w:val="Hyperlink"/>
            <w:lang w:val="en-GB"/>
          </w:rPr>
          <w:t>"</w:t>
        </w:r>
        <w:r w:rsidR="00AC3FB7" w:rsidRPr="00180522">
          <w:rPr>
            <w:rStyle w:val="Hyperlink"/>
            <w:lang w:val="en-GB"/>
          </w:rPr>
          <w:t>Effectiveness in Standardization</w:t>
        </w:r>
      </w:hyperlink>
      <w:r w:rsidR="00ED445F" w:rsidRPr="00180522">
        <w:rPr>
          <w:rStyle w:val="Hyperlink"/>
          <w:lang w:val="en-GB"/>
        </w:rPr>
        <w:t>"</w:t>
      </w:r>
      <w:r w:rsidR="00AC3FB7" w:rsidRPr="00180522">
        <w:rPr>
          <w:lang w:val="en-GB"/>
        </w:rPr>
        <w:t>, Managua, Nicaragua, 25-26 March 2019.</w:t>
      </w:r>
    </w:p>
    <w:p w14:paraId="428ED5A5" w14:textId="214F7ECE" w:rsidR="00AC3FB7" w:rsidRPr="00180522" w:rsidRDefault="007706CC" w:rsidP="00ED445F">
      <w:pPr>
        <w:numPr>
          <w:ilvl w:val="0"/>
          <w:numId w:val="44"/>
        </w:numPr>
        <w:rPr>
          <w:lang w:val="en-GB"/>
        </w:rPr>
      </w:pPr>
      <w:hyperlink r:id="rId234" w:history="1">
        <w:r w:rsidR="00ED445F" w:rsidRPr="00180522">
          <w:rPr>
            <w:rStyle w:val="Hyperlink"/>
            <w:lang w:val="en-GB"/>
          </w:rPr>
          <w:t>ITU W</w:t>
        </w:r>
        <w:r w:rsidR="00AC3FB7" w:rsidRPr="00180522">
          <w:rPr>
            <w:rStyle w:val="Hyperlink"/>
            <w:lang w:val="en-GB"/>
          </w:rPr>
          <w:t xml:space="preserve">orkshop on </w:t>
        </w:r>
        <w:r w:rsidR="00ED445F" w:rsidRPr="00180522">
          <w:rPr>
            <w:rStyle w:val="Hyperlink"/>
            <w:lang w:val="en-GB"/>
          </w:rPr>
          <w:t>"</w:t>
        </w:r>
        <w:r w:rsidR="00AC3FB7" w:rsidRPr="00180522">
          <w:rPr>
            <w:rStyle w:val="Hyperlink"/>
            <w:lang w:val="en-GB"/>
          </w:rPr>
          <w:t>ITU International Numbering Resources</w:t>
        </w:r>
        <w:r w:rsidR="00ED445F" w:rsidRPr="00180522">
          <w:rPr>
            <w:rStyle w:val="Hyperlink"/>
            <w:lang w:val="en-GB"/>
          </w:rPr>
          <w:t xml:space="preserve"> </w:t>
        </w:r>
        <w:r w:rsidR="00AC3FB7" w:rsidRPr="00180522">
          <w:rPr>
            <w:rStyle w:val="Hyperlink"/>
            <w:lang w:val="en-GB"/>
          </w:rPr>
          <w:t>for the Americas</w:t>
        </w:r>
      </w:hyperlink>
      <w:r w:rsidR="00ED445F" w:rsidRPr="00180522">
        <w:rPr>
          <w:rStyle w:val="Hyperlink"/>
          <w:lang w:val="en-GB"/>
        </w:rPr>
        <w:t>"</w:t>
      </w:r>
      <w:r w:rsidR="00AC3FB7" w:rsidRPr="00180522">
        <w:rPr>
          <w:lang w:val="en-GB"/>
        </w:rPr>
        <w:t>, Managua, Nicaragua, 25-26 March 2019.</w:t>
      </w:r>
    </w:p>
    <w:p w14:paraId="3E4FC6F3" w14:textId="73EF4EE7" w:rsidR="009F6192" w:rsidRPr="00180522" w:rsidRDefault="007706CC" w:rsidP="00ED445F">
      <w:pPr>
        <w:numPr>
          <w:ilvl w:val="0"/>
          <w:numId w:val="44"/>
        </w:numPr>
        <w:rPr>
          <w:lang w:val="en-GB"/>
        </w:rPr>
      </w:pPr>
      <w:hyperlink r:id="rId235" w:history="1">
        <w:r w:rsidR="00E37E02" w:rsidRPr="00180522">
          <w:rPr>
            <w:rStyle w:val="Hyperlink"/>
            <w:lang w:val="en-GB"/>
          </w:rPr>
          <w:t xml:space="preserve">FG DLT Pre-meeting Workshop on </w:t>
        </w:r>
        <w:r w:rsidR="00ED445F" w:rsidRPr="00180522">
          <w:rPr>
            <w:rStyle w:val="Hyperlink"/>
            <w:lang w:val="en-GB"/>
          </w:rPr>
          <w:t>"</w:t>
        </w:r>
        <w:r w:rsidR="00E37E02" w:rsidRPr="00180522">
          <w:rPr>
            <w:rStyle w:val="Hyperlink"/>
            <w:lang w:val="en-GB"/>
          </w:rPr>
          <w:t>Distributed Ledger Technology for Transparency and Integrity</w:t>
        </w:r>
      </w:hyperlink>
      <w:r w:rsidR="00ED445F" w:rsidRPr="00180522">
        <w:rPr>
          <w:rStyle w:val="Hyperlink"/>
          <w:lang w:val="en-GB"/>
        </w:rPr>
        <w:t>"</w:t>
      </w:r>
      <w:r w:rsidR="00E37E02" w:rsidRPr="00180522">
        <w:rPr>
          <w:lang w:val="en-GB"/>
        </w:rPr>
        <w:t>, Rio de Janeiro, Brazil, 14 January 2019.</w:t>
      </w:r>
    </w:p>
    <w:p w14:paraId="1E238524" w14:textId="5A8F161A" w:rsidR="009F6192" w:rsidRPr="00180522" w:rsidRDefault="007706CC" w:rsidP="001C37A8">
      <w:pPr>
        <w:numPr>
          <w:ilvl w:val="0"/>
          <w:numId w:val="44"/>
        </w:numPr>
        <w:rPr>
          <w:lang w:val="en-GB"/>
        </w:rPr>
      </w:pPr>
      <w:hyperlink r:id="rId236" w:history="1">
        <w:r w:rsidR="009F6192" w:rsidRPr="00180522">
          <w:rPr>
            <w:rStyle w:val="Hyperlink"/>
            <w:lang w:val="en-GB"/>
          </w:rPr>
          <w:t>World Smart City Forum</w:t>
        </w:r>
      </w:hyperlink>
      <w:r w:rsidR="009F6192" w:rsidRPr="00180522">
        <w:rPr>
          <w:lang w:val="en-GB"/>
        </w:rPr>
        <w:t>, Santa Fe, Argentina, 29 November 2018.</w:t>
      </w:r>
    </w:p>
    <w:p w14:paraId="2A6597CB" w14:textId="01C07A2F" w:rsidR="009F6192" w:rsidRPr="00180522" w:rsidRDefault="007706CC" w:rsidP="001C37A8">
      <w:pPr>
        <w:numPr>
          <w:ilvl w:val="0"/>
          <w:numId w:val="44"/>
        </w:numPr>
        <w:rPr>
          <w:lang w:val="en-GB"/>
        </w:rPr>
      </w:pPr>
      <w:hyperlink r:id="rId237" w:history="1">
        <w:r w:rsidR="009F6192" w:rsidRPr="00180522">
          <w:rPr>
            <w:rStyle w:val="Hyperlink"/>
            <w:lang w:val="en-GB"/>
          </w:rPr>
          <w:t>ITU Kaleidoscope</w:t>
        </w:r>
        <w:r w:rsidR="00ED445F" w:rsidRPr="00180522">
          <w:rPr>
            <w:rStyle w:val="Hyperlink"/>
            <w:lang w:val="en-GB"/>
          </w:rPr>
          <w:t xml:space="preserve">: </w:t>
        </w:r>
        <w:r w:rsidR="009F6192" w:rsidRPr="00180522">
          <w:rPr>
            <w:rStyle w:val="Hyperlink"/>
            <w:lang w:val="en-GB"/>
          </w:rPr>
          <w:t>Machine Learning for a 5G Future</w:t>
        </w:r>
      </w:hyperlink>
      <w:r w:rsidR="009F6192" w:rsidRPr="00180522">
        <w:rPr>
          <w:lang w:val="en-GB"/>
        </w:rPr>
        <w:t>, Santa Fe, Argentina, 26-28 November 2018.</w:t>
      </w:r>
    </w:p>
    <w:p w14:paraId="18B47C23" w14:textId="3A600F30" w:rsidR="009F6192" w:rsidRPr="00180522" w:rsidRDefault="007706CC" w:rsidP="001C37A8">
      <w:pPr>
        <w:numPr>
          <w:ilvl w:val="0"/>
          <w:numId w:val="44"/>
        </w:numPr>
        <w:rPr>
          <w:lang w:val="en-GB"/>
        </w:rPr>
      </w:pPr>
      <w:hyperlink r:id="rId238" w:history="1">
        <w:r w:rsidR="009F6192" w:rsidRPr="00180522">
          <w:rPr>
            <w:rStyle w:val="Hyperlink"/>
            <w:lang w:val="en-GB"/>
          </w:rPr>
          <w:t xml:space="preserve">ITU Workshop on </w:t>
        </w:r>
        <w:r w:rsidR="00CA2D85" w:rsidRPr="00180522">
          <w:rPr>
            <w:rStyle w:val="Hyperlink"/>
            <w:lang w:val="en-GB"/>
          </w:rPr>
          <w:t>"</w:t>
        </w:r>
        <w:r w:rsidR="009F6192" w:rsidRPr="00180522">
          <w:rPr>
            <w:rStyle w:val="Hyperlink"/>
            <w:lang w:val="en-GB"/>
          </w:rPr>
          <w:t>The Future of TV for the Americas</w:t>
        </w:r>
        <w:r w:rsidR="00CA2D85" w:rsidRPr="00180522">
          <w:rPr>
            <w:rStyle w:val="Hyperlink"/>
            <w:lang w:val="en-GB"/>
          </w:rPr>
          <w:t>"</w:t>
        </w:r>
      </w:hyperlink>
      <w:r w:rsidR="009F6192" w:rsidRPr="00180522">
        <w:rPr>
          <w:lang w:val="en-GB"/>
        </w:rPr>
        <w:t>, Bogotá, Colombia, 26 November 2018.</w:t>
      </w:r>
    </w:p>
    <w:p w14:paraId="3E1088E4" w14:textId="35E0E897" w:rsidR="009F6192" w:rsidRPr="00180522" w:rsidRDefault="007706CC" w:rsidP="001C37A8">
      <w:pPr>
        <w:numPr>
          <w:ilvl w:val="0"/>
          <w:numId w:val="44"/>
        </w:numPr>
        <w:rPr>
          <w:lang w:val="en-GB"/>
        </w:rPr>
      </w:pPr>
      <w:hyperlink r:id="rId239" w:history="1">
        <w:r w:rsidR="009F6192" w:rsidRPr="00180522">
          <w:rPr>
            <w:rStyle w:val="Hyperlink"/>
            <w:lang w:val="en-GB"/>
          </w:rPr>
          <w:t xml:space="preserve">ITU Workshop on </w:t>
        </w:r>
        <w:r w:rsidR="00CA2D85" w:rsidRPr="00180522">
          <w:rPr>
            <w:rStyle w:val="Hyperlink"/>
            <w:lang w:val="en-GB"/>
          </w:rPr>
          <w:t>"</w:t>
        </w:r>
        <w:r w:rsidR="009F6192" w:rsidRPr="00180522">
          <w:rPr>
            <w:rStyle w:val="Hyperlink"/>
            <w:lang w:val="en-GB"/>
          </w:rPr>
          <w:t>Artificial Intelligence for Health</w:t>
        </w:r>
        <w:r w:rsidR="00CA2D85" w:rsidRPr="00180522">
          <w:rPr>
            <w:rStyle w:val="Hyperlink"/>
            <w:lang w:val="en-GB"/>
          </w:rPr>
          <w:t>"</w:t>
        </w:r>
      </w:hyperlink>
      <w:r w:rsidR="009F6192" w:rsidRPr="00180522">
        <w:rPr>
          <w:lang w:val="en-GB"/>
        </w:rPr>
        <w:t>, New York City, United States, 14 November 2018.</w:t>
      </w:r>
    </w:p>
    <w:p w14:paraId="78387C1F" w14:textId="1B7B2C1C" w:rsidR="009F6192" w:rsidRPr="00180522" w:rsidRDefault="007706CC" w:rsidP="001C37A8">
      <w:pPr>
        <w:numPr>
          <w:ilvl w:val="0"/>
          <w:numId w:val="44"/>
        </w:numPr>
        <w:rPr>
          <w:lang w:val="en-GB"/>
        </w:rPr>
      </w:pPr>
      <w:hyperlink r:id="rId240" w:history="1">
        <w:r w:rsidR="009F6192" w:rsidRPr="00180522">
          <w:rPr>
            <w:rStyle w:val="Hyperlink"/>
            <w:lang w:val="en-GB"/>
          </w:rPr>
          <w:t xml:space="preserve">ITU/SAE Workshop on </w:t>
        </w:r>
        <w:r w:rsidR="00CA2D85" w:rsidRPr="00180522">
          <w:rPr>
            <w:rStyle w:val="Hyperlink"/>
            <w:lang w:val="en-GB"/>
          </w:rPr>
          <w:t>"</w:t>
        </w:r>
        <w:r w:rsidR="009F6192" w:rsidRPr="00180522">
          <w:rPr>
            <w:rStyle w:val="Hyperlink"/>
            <w:lang w:val="en-GB"/>
          </w:rPr>
          <w:t>How communications will change vehicles and transport</w:t>
        </w:r>
        <w:r w:rsidR="00CA2D85" w:rsidRPr="00180522">
          <w:rPr>
            <w:rStyle w:val="Hyperlink"/>
            <w:lang w:val="en-GB"/>
          </w:rPr>
          <w:t>"</w:t>
        </w:r>
      </w:hyperlink>
      <w:r w:rsidR="009F6192" w:rsidRPr="00180522">
        <w:rPr>
          <w:lang w:val="en-GB"/>
        </w:rPr>
        <w:t>,</w:t>
      </w:r>
      <w:r w:rsidR="00A260FA" w:rsidRPr="00180522">
        <w:rPr>
          <w:lang w:val="en-GB"/>
        </w:rPr>
        <w:t xml:space="preserve"> </w:t>
      </w:r>
      <w:r w:rsidR="009F6192" w:rsidRPr="00180522">
        <w:rPr>
          <w:lang w:val="en-GB"/>
        </w:rPr>
        <w:t>Detroit, MI, United States, 8-9 October 2018.</w:t>
      </w:r>
    </w:p>
    <w:p w14:paraId="32C0FC6C" w14:textId="501C0C47" w:rsidR="006944F8" w:rsidRPr="00180522" w:rsidRDefault="007706CC" w:rsidP="00ED445F">
      <w:pPr>
        <w:numPr>
          <w:ilvl w:val="0"/>
          <w:numId w:val="44"/>
        </w:numPr>
        <w:rPr>
          <w:lang w:val="en-GB"/>
        </w:rPr>
      </w:pPr>
      <w:hyperlink r:id="rId241" w:history="1">
        <w:r w:rsidR="009F6192" w:rsidRPr="00180522">
          <w:rPr>
            <w:rStyle w:val="Hyperlink"/>
            <w:lang w:val="en-GB"/>
          </w:rPr>
          <w:t xml:space="preserve">ITU Workshop on </w:t>
        </w:r>
        <w:r w:rsidR="00ED445F" w:rsidRPr="00180522">
          <w:rPr>
            <w:rStyle w:val="Hyperlink"/>
            <w:lang w:val="en-GB"/>
          </w:rPr>
          <w:t>"</w:t>
        </w:r>
        <w:r w:rsidR="009F6192" w:rsidRPr="00180522">
          <w:rPr>
            <w:rStyle w:val="Hyperlink"/>
            <w:lang w:val="en-GB"/>
          </w:rPr>
          <w:t>Network 2030</w:t>
        </w:r>
      </w:hyperlink>
      <w:r w:rsidR="00ED445F" w:rsidRPr="00180522">
        <w:rPr>
          <w:rStyle w:val="Hyperlink"/>
          <w:lang w:val="en-GB"/>
        </w:rPr>
        <w:t>"</w:t>
      </w:r>
      <w:r w:rsidR="009F6192" w:rsidRPr="00180522">
        <w:rPr>
          <w:rStyle w:val="Hyperlink"/>
          <w:lang w:val="en-GB"/>
        </w:rPr>
        <w:t>,</w:t>
      </w:r>
      <w:r w:rsidR="009F6192" w:rsidRPr="00180522">
        <w:rPr>
          <w:lang w:val="en-GB"/>
        </w:rPr>
        <w:t xml:space="preserve"> New York, United States, 2 October 2018</w:t>
      </w:r>
      <w:r w:rsidR="006944F8" w:rsidRPr="00180522">
        <w:rPr>
          <w:lang w:val="en-GB"/>
        </w:rPr>
        <w:t>.</w:t>
      </w:r>
    </w:p>
    <w:p w14:paraId="76C0A46B" w14:textId="77777777" w:rsidR="006944F8" w:rsidRPr="00180522" w:rsidRDefault="006944F8" w:rsidP="006944F8">
      <w:pPr>
        <w:rPr>
          <w:b/>
          <w:bCs/>
          <w:szCs w:val="24"/>
          <w:lang w:val="en-GB"/>
        </w:rPr>
      </w:pPr>
      <w:r w:rsidRPr="00180522">
        <w:rPr>
          <w:b/>
          <w:bCs/>
          <w:szCs w:val="24"/>
          <w:lang w:val="en-GB"/>
        </w:rPr>
        <w:t>CIS:</w:t>
      </w:r>
    </w:p>
    <w:p w14:paraId="7E9F63B6" w14:textId="009B27D2" w:rsidR="00E37EC1" w:rsidRPr="00180522" w:rsidRDefault="007706CC" w:rsidP="00ED445F">
      <w:pPr>
        <w:numPr>
          <w:ilvl w:val="0"/>
          <w:numId w:val="45"/>
        </w:numPr>
        <w:rPr>
          <w:lang w:val="en-GB"/>
        </w:rPr>
      </w:pPr>
      <w:hyperlink r:id="rId242" w:history="1">
        <w:r w:rsidR="00E37EC1" w:rsidRPr="00180522">
          <w:rPr>
            <w:rStyle w:val="Hyperlink"/>
            <w:lang w:val="en-GB"/>
          </w:rPr>
          <w:t xml:space="preserve">ITU Workshop on </w:t>
        </w:r>
        <w:r w:rsidR="00ED445F" w:rsidRPr="00180522">
          <w:rPr>
            <w:rStyle w:val="Hyperlink"/>
            <w:lang w:val="en-GB"/>
          </w:rPr>
          <w:t>"</w:t>
        </w:r>
        <w:r w:rsidR="00E37EC1" w:rsidRPr="00180522">
          <w:rPr>
            <w:rStyle w:val="Hyperlink"/>
            <w:lang w:val="en-GB"/>
          </w:rPr>
          <w:t>Network 2030</w:t>
        </w:r>
        <w:r w:rsidR="00ED445F" w:rsidRPr="00180522">
          <w:rPr>
            <w:rStyle w:val="Hyperlink"/>
            <w:lang w:val="en-GB"/>
          </w:rPr>
          <w:t>"</w:t>
        </w:r>
        <w:r w:rsidR="00E37EC1" w:rsidRPr="00180522">
          <w:rPr>
            <w:rStyle w:val="Hyperlink"/>
            <w:lang w:val="en-GB"/>
          </w:rPr>
          <w:t xml:space="preserve"> </w:t>
        </w:r>
        <w:r w:rsidR="00ED445F" w:rsidRPr="00180522">
          <w:rPr>
            <w:rStyle w:val="Hyperlink"/>
            <w:lang w:val="en-GB"/>
          </w:rPr>
          <w:t>in conjunction</w:t>
        </w:r>
        <w:r w:rsidR="00E37EC1" w:rsidRPr="00180522">
          <w:rPr>
            <w:rStyle w:val="Hyperlink"/>
            <w:lang w:val="en-GB"/>
          </w:rPr>
          <w:t xml:space="preserve"> with </w:t>
        </w:r>
        <w:r w:rsidR="00ED445F" w:rsidRPr="00180522">
          <w:rPr>
            <w:rStyle w:val="Hyperlink"/>
            <w:lang w:val="en-GB"/>
          </w:rPr>
          <w:t xml:space="preserve">the </w:t>
        </w:r>
        <w:r w:rsidR="00E37EC1" w:rsidRPr="00180522">
          <w:rPr>
            <w:rStyle w:val="Hyperlink"/>
            <w:lang w:val="en-GB"/>
          </w:rPr>
          <w:t xml:space="preserve">ITU Forum on </w:t>
        </w:r>
        <w:r w:rsidR="00ED445F" w:rsidRPr="00180522">
          <w:rPr>
            <w:rStyle w:val="Hyperlink"/>
            <w:lang w:val="en-GB"/>
          </w:rPr>
          <w:t>"</w:t>
        </w:r>
        <w:r w:rsidR="00E37EC1" w:rsidRPr="00180522">
          <w:rPr>
            <w:rStyle w:val="Hyperlink"/>
            <w:lang w:val="en-GB"/>
          </w:rPr>
          <w:t>Internet of Things: Future Applications and Services. Perspective 2030</w:t>
        </w:r>
      </w:hyperlink>
      <w:r w:rsidR="00ED445F" w:rsidRPr="00180522">
        <w:rPr>
          <w:rStyle w:val="Hyperlink"/>
          <w:lang w:val="en-GB"/>
        </w:rPr>
        <w:t>"</w:t>
      </w:r>
      <w:r w:rsidR="00E37EC1" w:rsidRPr="00180522">
        <w:rPr>
          <w:lang w:val="en-GB"/>
        </w:rPr>
        <w:t>, Saint-Petersburg, Russian Federation, 21-23 May 2019.</w:t>
      </w:r>
    </w:p>
    <w:p w14:paraId="0465DC94" w14:textId="0D9CE9FB" w:rsidR="00FE0A07" w:rsidRPr="00180522" w:rsidRDefault="007706CC" w:rsidP="001C37A8">
      <w:pPr>
        <w:numPr>
          <w:ilvl w:val="0"/>
          <w:numId w:val="45"/>
        </w:numPr>
        <w:rPr>
          <w:lang w:val="en-GB"/>
        </w:rPr>
      </w:pPr>
      <w:hyperlink r:id="rId243" w:history="1">
        <w:r w:rsidR="00D37044" w:rsidRPr="00180522">
          <w:rPr>
            <w:rStyle w:val="Hyperlink"/>
            <w:lang w:val="en-GB"/>
          </w:rPr>
          <w:t>ITU</w:t>
        </w:r>
        <w:r w:rsidR="00870112" w:rsidRPr="00180522">
          <w:rPr>
            <w:rStyle w:val="Hyperlink"/>
            <w:lang w:val="en-GB"/>
          </w:rPr>
          <w:t>-UN-Habitat-UNDP</w:t>
        </w:r>
        <w:r w:rsidR="001C37A8" w:rsidRPr="00180522">
          <w:rPr>
            <w:rStyle w:val="Hyperlink"/>
            <w:lang w:val="en-GB"/>
          </w:rPr>
          <w:t xml:space="preserve"> </w:t>
        </w:r>
        <w:r w:rsidR="00D37044" w:rsidRPr="00180522">
          <w:rPr>
            <w:rStyle w:val="Hyperlink"/>
            <w:lang w:val="en-GB"/>
          </w:rPr>
          <w:t xml:space="preserve">Forum </w:t>
        </w:r>
        <w:r w:rsidR="00ED445F" w:rsidRPr="00180522">
          <w:rPr>
            <w:rStyle w:val="Hyperlink"/>
            <w:lang w:val="en-GB"/>
          </w:rPr>
          <w:t xml:space="preserve">on </w:t>
        </w:r>
        <w:r w:rsidR="00CA2D85" w:rsidRPr="00180522">
          <w:rPr>
            <w:rStyle w:val="Hyperlink"/>
            <w:lang w:val="en-GB"/>
          </w:rPr>
          <w:t>"</w:t>
        </w:r>
        <w:r w:rsidR="00D37044" w:rsidRPr="00180522">
          <w:rPr>
            <w:rStyle w:val="Hyperlink"/>
            <w:lang w:val="en-GB"/>
          </w:rPr>
          <w:t>Smart sustainable cities: technological trends, success stories and future prospects</w:t>
        </w:r>
        <w:r w:rsidR="00CA2D85" w:rsidRPr="00180522">
          <w:rPr>
            <w:rStyle w:val="Hyperlink"/>
            <w:lang w:val="en-GB"/>
          </w:rPr>
          <w:t>"</w:t>
        </w:r>
      </w:hyperlink>
      <w:r w:rsidR="00D37044" w:rsidRPr="00180522">
        <w:rPr>
          <w:lang w:val="en-GB"/>
        </w:rPr>
        <w:t>, Minsk, Belarus, 26-27 February 2019</w:t>
      </w:r>
      <w:r w:rsidR="00FE0A07" w:rsidRPr="00180522">
        <w:rPr>
          <w:lang w:val="en-GB"/>
        </w:rPr>
        <w:t>.</w:t>
      </w:r>
    </w:p>
    <w:p w14:paraId="32FC00B9" w14:textId="777C5910" w:rsidR="00870112" w:rsidRPr="00180522" w:rsidRDefault="007706CC" w:rsidP="00ED445F">
      <w:pPr>
        <w:numPr>
          <w:ilvl w:val="0"/>
          <w:numId w:val="45"/>
        </w:numPr>
        <w:rPr>
          <w:lang w:val="en-GB"/>
        </w:rPr>
      </w:pPr>
      <w:hyperlink r:id="rId244" w:history="1">
        <w:r w:rsidR="00870112" w:rsidRPr="00180522">
          <w:rPr>
            <w:rStyle w:val="Hyperlink"/>
            <w:lang w:val="en-GB"/>
          </w:rPr>
          <w:t xml:space="preserve">ITU Training on </w:t>
        </w:r>
        <w:r w:rsidR="00ED445F" w:rsidRPr="00180522">
          <w:rPr>
            <w:rStyle w:val="Hyperlink"/>
            <w:lang w:val="en-GB"/>
          </w:rPr>
          <w:t>"</w:t>
        </w:r>
        <w:r w:rsidR="00870112" w:rsidRPr="00180522">
          <w:rPr>
            <w:rStyle w:val="Hyperlink"/>
            <w:lang w:val="en-GB"/>
          </w:rPr>
          <w:t xml:space="preserve">Key </w:t>
        </w:r>
        <w:r w:rsidR="00ED445F" w:rsidRPr="00180522">
          <w:rPr>
            <w:rStyle w:val="Hyperlink"/>
            <w:lang w:val="en-GB"/>
          </w:rPr>
          <w:t>P</w:t>
        </w:r>
        <w:r w:rsidR="00870112" w:rsidRPr="00180522">
          <w:rPr>
            <w:rStyle w:val="Hyperlink"/>
            <w:lang w:val="en-GB"/>
          </w:rPr>
          <w:t xml:space="preserve">erformance </w:t>
        </w:r>
        <w:r w:rsidR="00ED445F" w:rsidRPr="00180522">
          <w:rPr>
            <w:rStyle w:val="Hyperlink"/>
            <w:lang w:val="en-GB"/>
          </w:rPr>
          <w:t>I</w:t>
        </w:r>
        <w:r w:rsidR="00870112" w:rsidRPr="00180522">
          <w:rPr>
            <w:rStyle w:val="Hyperlink"/>
            <w:lang w:val="en-GB"/>
          </w:rPr>
          <w:t xml:space="preserve">ndicators for </w:t>
        </w:r>
        <w:r w:rsidR="00ED445F" w:rsidRPr="00180522">
          <w:rPr>
            <w:rStyle w:val="Hyperlink"/>
            <w:lang w:val="en-GB"/>
          </w:rPr>
          <w:t>S</w:t>
        </w:r>
        <w:r w:rsidR="00870112" w:rsidRPr="00180522">
          <w:rPr>
            <w:rStyle w:val="Hyperlink"/>
            <w:lang w:val="en-GB"/>
          </w:rPr>
          <w:t xml:space="preserve">mart </w:t>
        </w:r>
        <w:r w:rsidR="00ED445F" w:rsidRPr="00180522">
          <w:rPr>
            <w:rStyle w:val="Hyperlink"/>
            <w:lang w:val="en-GB"/>
          </w:rPr>
          <w:t>S</w:t>
        </w:r>
        <w:r w:rsidR="00870112" w:rsidRPr="00180522">
          <w:rPr>
            <w:rStyle w:val="Hyperlink"/>
            <w:lang w:val="en-GB"/>
          </w:rPr>
          <w:t xml:space="preserve">ustainable </w:t>
        </w:r>
        <w:r w:rsidR="00ED445F" w:rsidRPr="00180522">
          <w:rPr>
            <w:rStyle w:val="Hyperlink"/>
            <w:lang w:val="en-GB"/>
          </w:rPr>
          <w:t>C</w:t>
        </w:r>
        <w:r w:rsidR="00870112" w:rsidRPr="00180522">
          <w:rPr>
            <w:rStyle w:val="Hyperlink"/>
            <w:lang w:val="en-GB"/>
          </w:rPr>
          <w:t>ities to achieve the SDG</w:t>
        </w:r>
        <w:r w:rsidR="00ED445F" w:rsidRPr="00180522">
          <w:rPr>
            <w:rStyle w:val="Hyperlink"/>
            <w:lang w:val="en-GB"/>
          </w:rPr>
          <w:t>s"</w:t>
        </w:r>
      </w:hyperlink>
      <w:r w:rsidR="00870112" w:rsidRPr="00180522">
        <w:rPr>
          <w:lang w:val="en-GB"/>
        </w:rPr>
        <w:t>, Minsk, Belarus, 27 February 2019.</w:t>
      </w:r>
    </w:p>
    <w:p w14:paraId="3933C962" w14:textId="7B89BD50" w:rsidR="006944F8" w:rsidRPr="00180522" w:rsidRDefault="002F0E38" w:rsidP="006944F8">
      <w:pPr>
        <w:pStyle w:val="Heading1"/>
      </w:pPr>
      <w:bookmarkStart w:id="206" w:name="_Toc480527880"/>
      <w:bookmarkStart w:id="207" w:name="_Toc18509790"/>
      <w:bookmarkStart w:id="208" w:name="_Toc438554000"/>
      <w:bookmarkStart w:id="209" w:name="_Toc453929122"/>
      <w:bookmarkStart w:id="210" w:name="_Toc453932993"/>
      <w:bookmarkStart w:id="211" w:name="_Toc454295899"/>
      <w:bookmarkStart w:id="212" w:name="_Toc462664286"/>
      <w:r w:rsidRPr="00180522">
        <w:t>14</w:t>
      </w:r>
      <w:r w:rsidR="006944F8" w:rsidRPr="00180522">
        <w:tab/>
        <w:t>Implementation of WTSA Resolutions</w:t>
      </w:r>
      <w:bookmarkEnd w:id="206"/>
      <w:r w:rsidR="00403A2F" w:rsidRPr="00180522">
        <w:t xml:space="preserve"> and A-series ITU-T Recommendations</w:t>
      </w:r>
      <w:bookmarkEnd w:id="207"/>
    </w:p>
    <w:p w14:paraId="28B7B258" w14:textId="3EFA6FAF" w:rsidR="00403A2F" w:rsidRPr="00180522" w:rsidRDefault="006944F8" w:rsidP="002013A1">
      <w:pPr>
        <w:rPr>
          <w:lang w:val="en-GB"/>
        </w:rPr>
      </w:pPr>
      <w:r w:rsidRPr="00180522">
        <w:rPr>
          <w:lang w:val="en-GB"/>
        </w:rPr>
        <w:t xml:space="preserve">WTSA Resolution 22 instructs the TSB Director to </w:t>
      </w:r>
      <w:r w:rsidR="00403A2F" w:rsidRPr="00180522">
        <w:rPr>
          <w:lang w:val="en-GB"/>
        </w:rPr>
        <w:t xml:space="preserve">report to </w:t>
      </w:r>
      <w:r w:rsidRPr="00180522">
        <w:rPr>
          <w:lang w:val="en-GB"/>
        </w:rPr>
        <w:t xml:space="preserve">TSAG on the implementation of WTSA resolutions and actions to be undertaken pursuant to their operative paragraphs. </w:t>
      </w:r>
      <w:r w:rsidR="00403A2F" w:rsidRPr="00180522">
        <w:rPr>
          <w:lang w:val="en-GB"/>
        </w:rPr>
        <w:t>WTSA Resolution 22 also instructs the TSB Director to report to TSAG on the implementation of the A-series ITU-T Recommendations.</w:t>
      </w:r>
    </w:p>
    <w:p w14:paraId="5C4CFAED" w14:textId="0856482A" w:rsidR="00403A2F" w:rsidRPr="00180522" w:rsidRDefault="00403A2F" w:rsidP="002013A1">
      <w:pPr>
        <w:rPr>
          <w:lang w:val="en-GB"/>
        </w:rPr>
      </w:pPr>
      <w:r w:rsidRPr="00180522">
        <w:rPr>
          <w:lang w:val="en-GB"/>
        </w:rPr>
        <w:t xml:space="preserve">WTSA Resolutions are available at </w:t>
      </w:r>
      <w:hyperlink r:id="rId245" w:history="1">
        <w:r w:rsidRPr="00180522">
          <w:rPr>
            <w:rStyle w:val="Hyperlink"/>
            <w:rFonts w:asciiTheme="majorBidi" w:hAnsiTheme="majorBidi" w:cstheme="majorBidi"/>
            <w:lang w:val="en-GB"/>
          </w:rPr>
          <w:t>http://www.itu.int/pub/T-RES</w:t>
        </w:r>
      </w:hyperlink>
      <w:r w:rsidR="00A14610" w:rsidRPr="00180522">
        <w:rPr>
          <w:lang w:val="en-GB"/>
        </w:rPr>
        <w:t>.</w:t>
      </w:r>
    </w:p>
    <w:p w14:paraId="12C17BA3" w14:textId="2A41A892" w:rsidR="006944F8" w:rsidRPr="00180522" w:rsidRDefault="006944F8" w:rsidP="002013A1">
      <w:pPr>
        <w:rPr>
          <w:lang w:val="en-GB"/>
        </w:rPr>
      </w:pPr>
      <w:r w:rsidRPr="00180522">
        <w:rPr>
          <w:lang w:val="en-GB"/>
        </w:rPr>
        <w:t>The WTSA-16 Action Plan (</w:t>
      </w:r>
      <w:hyperlink r:id="rId246" w:history="1">
        <w:r w:rsidRPr="00180522">
          <w:rPr>
            <w:rStyle w:val="Hyperlink"/>
            <w:szCs w:val="24"/>
            <w:lang w:val="en-GB"/>
          </w:rPr>
          <w:t>TSAG-TD292</w:t>
        </w:r>
      </w:hyperlink>
      <w:r w:rsidRPr="00180522">
        <w:rPr>
          <w:lang w:val="en-GB"/>
        </w:rPr>
        <w:t>) assigns action items to the operational provisions in the Resolutions and also reports information on the progress of the implementation of those action items.</w:t>
      </w:r>
    </w:p>
    <w:p w14:paraId="48CDE570" w14:textId="5A513C5D" w:rsidR="00403A2F" w:rsidRPr="00180522" w:rsidRDefault="00403A2F" w:rsidP="002013A1">
      <w:pPr>
        <w:rPr>
          <w:lang w:val="en-GB"/>
        </w:rPr>
      </w:pPr>
      <w:r w:rsidRPr="00180522">
        <w:rPr>
          <w:lang w:val="en-GB"/>
        </w:rPr>
        <w:t>A-series ITU-T Recommendations are available at</w:t>
      </w:r>
      <w:r w:rsidR="003D479E" w:rsidRPr="00180522">
        <w:rPr>
          <w:lang w:val="en-GB"/>
        </w:rPr>
        <w:t xml:space="preserve"> </w:t>
      </w:r>
      <w:hyperlink r:id="rId247" w:history="1">
        <w:r w:rsidR="003D479E" w:rsidRPr="00180522">
          <w:rPr>
            <w:rStyle w:val="Hyperlink"/>
            <w:lang w:val="en-GB"/>
          </w:rPr>
          <w:t>https://itu.int/rec/T-REC-A</w:t>
        </w:r>
      </w:hyperlink>
      <w:r w:rsidRPr="00180522">
        <w:rPr>
          <w:lang w:val="en-GB"/>
        </w:rPr>
        <w:t>.</w:t>
      </w:r>
    </w:p>
    <w:p w14:paraId="523BFE0A" w14:textId="0681490E" w:rsidR="006944F8" w:rsidRPr="00180522" w:rsidRDefault="002F0E38" w:rsidP="006944F8">
      <w:pPr>
        <w:pStyle w:val="Heading1"/>
      </w:pPr>
      <w:bookmarkStart w:id="213" w:name="_Toc480527881"/>
      <w:bookmarkStart w:id="214" w:name="_Toc18509791"/>
      <w:r w:rsidRPr="00180522">
        <w:t>15</w:t>
      </w:r>
      <w:r w:rsidR="006944F8" w:rsidRPr="00180522">
        <w:tab/>
        <w:t>ITU-T</w:t>
      </w:r>
      <w:r w:rsidR="00CA2D85" w:rsidRPr="00180522">
        <w:t>'</w:t>
      </w:r>
      <w:r w:rsidR="006944F8" w:rsidRPr="00180522">
        <w:t>s activities in the implementation of WSIS</w:t>
      </w:r>
      <w:bookmarkEnd w:id="208"/>
      <w:bookmarkEnd w:id="209"/>
      <w:bookmarkEnd w:id="210"/>
      <w:bookmarkEnd w:id="211"/>
      <w:bookmarkEnd w:id="212"/>
      <w:r w:rsidR="006944F8" w:rsidRPr="00180522">
        <w:t xml:space="preserve"> and the Sustainable Development Goals</w:t>
      </w:r>
      <w:bookmarkStart w:id="215" w:name="_Toc261186390"/>
      <w:bookmarkStart w:id="216" w:name="_Toc261186391"/>
      <w:bookmarkEnd w:id="213"/>
      <w:bookmarkEnd w:id="214"/>
    </w:p>
    <w:p w14:paraId="51986A1B" w14:textId="298A97F5" w:rsidR="00403A2F" w:rsidRPr="00180522" w:rsidRDefault="00403A2F" w:rsidP="002013A1">
      <w:pPr>
        <w:rPr>
          <w:lang w:val="en-GB"/>
        </w:rPr>
      </w:pPr>
      <w:r w:rsidRPr="00180522">
        <w:rPr>
          <w:lang w:val="en-GB"/>
        </w:rPr>
        <w:t>ITU-T</w:t>
      </w:r>
      <w:r w:rsidR="00CA2D85" w:rsidRPr="00180522">
        <w:rPr>
          <w:lang w:val="en-GB"/>
        </w:rPr>
        <w:t>'</w:t>
      </w:r>
      <w:r w:rsidRPr="00180522">
        <w:rPr>
          <w:lang w:val="en-GB"/>
        </w:rPr>
        <w: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1C1FC7F7" w14:textId="77777777" w:rsidR="00403A2F" w:rsidRPr="00180522" w:rsidRDefault="00403A2F" w:rsidP="002013A1">
      <w:pPr>
        <w:rPr>
          <w:lang w:val="en-GB"/>
        </w:rPr>
      </w:pPr>
      <w:r w:rsidRPr="00180522">
        <w:rPr>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27D11BAF" w14:textId="650390B2" w:rsidR="00403A2F" w:rsidRPr="00180522" w:rsidRDefault="00403A2F" w:rsidP="002013A1">
      <w:pPr>
        <w:rPr>
          <w:lang w:val="en-GB"/>
        </w:rPr>
      </w:pPr>
      <w:r w:rsidRPr="00180522">
        <w:rPr>
          <w:lang w:val="en-GB"/>
        </w:rPr>
        <w:t xml:space="preserve">This mapping of ITU-T work to the SDGs will support the WSIS process in its promotion of efforts to leverage ICTs for sustainable development (see the </w:t>
      </w:r>
      <w:hyperlink r:id="rId248" w:history="1">
        <w:r w:rsidRPr="00180522">
          <w:rPr>
            <w:rStyle w:val="Hyperlink"/>
            <w:rFonts w:asciiTheme="majorBidi" w:hAnsiTheme="majorBidi" w:cstheme="majorBidi"/>
            <w:lang w:val="en-GB"/>
          </w:rPr>
          <w:t>WSIS-SDG Matrix</w:t>
        </w:r>
      </w:hyperlink>
      <w:r w:rsidRPr="00180522">
        <w:rPr>
          <w:lang w:val="en-GB"/>
        </w:rPr>
        <w:t xml:space="preserve"> linking WSIS Action Lines with the SDGs), highlighting areas where these efforts will receive support from the international standards developed by ITU-T.</w:t>
      </w:r>
    </w:p>
    <w:p w14:paraId="64B23619" w14:textId="534B44B6" w:rsidR="006944F8" w:rsidRPr="00180522" w:rsidRDefault="006944F8" w:rsidP="002013A1">
      <w:pPr>
        <w:rPr>
          <w:lang w:val="en-GB"/>
        </w:rPr>
      </w:pPr>
      <w:r w:rsidRPr="00180522">
        <w:rPr>
          <w:lang w:val="en-GB"/>
        </w:rPr>
        <w:t>This mapping was presented to the February 2016 meeting of TSAG (</w:t>
      </w:r>
      <w:hyperlink r:id="rId249" w:history="1">
        <w:r w:rsidRPr="00180522">
          <w:rPr>
            <w:rStyle w:val="Hyperlink"/>
            <w:rFonts w:asciiTheme="majorBidi" w:hAnsiTheme="majorBidi" w:cstheme="majorBidi"/>
            <w:lang w:val="en-GB"/>
          </w:rPr>
          <w:t>TSAG-TD419</w:t>
        </w:r>
      </w:hyperlink>
      <w:r w:rsidRPr="00180522">
        <w:rPr>
          <w:lang w:val="en-GB"/>
        </w:rPr>
        <w:t>) and led to the development of a mapping tool to map ITU-wide objectives and outputs to SDG goals and targets.</w:t>
      </w:r>
    </w:p>
    <w:p w14:paraId="399C8D03" w14:textId="436BFDFE" w:rsidR="006944F8" w:rsidRPr="00180522" w:rsidRDefault="00567B70" w:rsidP="009E5FFA">
      <w:pPr>
        <w:pStyle w:val="Heading1"/>
      </w:pPr>
      <w:bookmarkStart w:id="217" w:name="_Toc18509792"/>
      <w:r w:rsidRPr="00180522">
        <w:lastRenderedPageBreak/>
        <w:t>16</w:t>
      </w:r>
      <w:r w:rsidRPr="00180522">
        <w:tab/>
        <w:t>Implementation of trial authorized by TSAG (July 2016 meeting)</w:t>
      </w:r>
      <w:bookmarkEnd w:id="215"/>
      <w:bookmarkEnd w:id="217"/>
    </w:p>
    <w:p w14:paraId="73F2955E" w14:textId="1D46D0BF" w:rsidR="00EE6C22" w:rsidRPr="00180522" w:rsidRDefault="006944F8" w:rsidP="00181523">
      <w:pPr>
        <w:rPr>
          <w:lang w:val="en-GB"/>
        </w:rPr>
      </w:pPr>
      <w:r w:rsidRPr="00180522">
        <w:rPr>
          <w:lang w:val="en-GB"/>
        </w:rPr>
        <w:t>In implementing the decision of the July 2016 meeting</w:t>
      </w:r>
      <w:r w:rsidR="00403A2F" w:rsidRPr="00180522">
        <w:rPr>
          <w:lang w:val="en-GB"/>
        </w:rPr>
        <w:t xml:space="preserve"> of TSAG</w:t>
      </w:r>
      <w:r w:rsidRPr="00180522">
        <w:rPr>
          <w:lang w:val="en-GB"/>
        </w:rPr>
        <w:t xml:space="preserve"> (C.108/TSAG)</w:t>
      </w:r>
      <w:r w:rsidR="00403A2F" w:rsidRPr="00180522">
        <w:rPr>
          <w:lang w:val="en-GB"/>
        </w:rPr>
        <w:t xml:space="preserve">, an ad-hoc group created </w:t>
      </w:r>
      <w:r w:rsidR="00883A4E" w:rsidRPr="00180522">
        <w:rPr>
          <w:lang w:val="en-GB"/>
        </w:rPr>
        <w:t xml:space="preserve">by ITU-T SG13 </w:t>
      </w:r>
      <w:r w:rsidR="00403A2F" w:rsidRPr="00180522">
        <w:rPr>
          <w:lang w:val="en-GB"/>
        </w:rPr>
        <w:t xml:space="preserve">in </w:t>
      </w:r>
      <w:r w:rsidRPr="00180522">
        <w:rPr>
          <w:lang w:val="en-GB"/>
        </w:rPr>
        <w:t xml:space="preserve">February 2017 </w:t>
      </w:r>
      <w:r w:rsidR="00EE6C22" w:rsidRPr="00180522">
        <w:rPr>
          <w:lang w:val="en-GB"/>
        </w:rPr>
        <w:t xml:space="preserve">has delivered </w:t>
      </w:r>
      <w:r w:rsidRPr="00180522">
        <w:rPr>
          <w:lang w:val="en-GB"/>
        </w:rPr>
        <w:t xml:space="preserve">guidance for drafting </w:t>
      </w:r>
      <w:r w:rsidR="00403A2F" w:rsidRPr="00180522">
        <w:rPr>
          <w:lang w:val="en-GB"/>
        </w:rPr>
        <w:t xml:space="preserve">ITU-T </w:t>
      </w:r>
      <w:r w:rsidRPr="00180522">
        <w:rPr>
          <w:lang w:val="en-GB"/>
        </w:rPr>
        <w:t>Recommendations</w:t>
      </w:r>
      <w:r w:rsidR="00403A2F" w:rsidRPr="00180522">
        <w:rPr>
          <w:lang w:val="en-GB"/>
        </w:rPr>
        <w:t xml:space="preserve">. </w:t>
      </w:r>
      <w:r w:rsidR="00181523" w:rsidRPr="00180522">
        <w:rPr>
          <w:lang w:val="en-GB"/>
        </w:rPr>
        <w:t xml:space="preserve">The </w:t>
      </w:r>
      <w:r w:rsidR="00EE6C22" w:rsidRPr="00180522">
        <w:rPr>
          <w:lang w:val="en-GB"/>
        </w:rPr>
        <w:t>final</w:t>
      </w:r>
      <w:r w:rsidR="00181523" w:rsidRPr="00180522">
        <w:rPr>
          <w:lang w:val="en-GB"/>
        </w:rPr>
        <w:t xml:space="preserve"> meeting of th</w:t>
      </w:r>
      <w:r w:rsidR="00D63841" w:rsidRPr="00180522">
        <w:rPr>
          <w:lang w:val="en-GB"/>
        </w:rPr>
        <w:t>is</w:t>
      </w:r>
      <w:r w:rsidR="00181523" w:rsidRPr="00180522">
        <w:rPr>
          <w:lang w:val="en-GB"/>
        </w:rPr>
        <w:t xml:space="preserve"> </w:t>
      </w:r>
      <w:r w:rsidR="00EE6C22" w:rsidRPr="00180522">
        <w:rPr>
          <w:lang w:val="en-GB"/>
        </w:rPr>
        <w:t>a</w:t>
      </w:r>
      <w:r w:rsidR="00181523" w:rsidRPr="00180522">
        <w:rPr>
          <w:lang w:val="en-GB"/>
        </w:rPr>
        <w:t xml:space="preserve">d-hoc </w:t>
      </w:r>
      <w:r w:rsidR="00EE6C22" w:rsidRPr="00180522">
        <w:rPr>
          <w:lang w:val="en-GB"/>
        </w:rPr>
        <w:t xml:space="preserve">group </w:t>
      </w:r>
      <w:r w:rsidR="00181523" w:rsidRPr="00180522">
        <w:rPr>
          <w:lang w:val="en-GB"/>
        </w:rPr>
        <w:t>took place during the</w:t>
      </w:r>
      <w:r w:rsidR="00EE6C22" w:rsidRPr="00180522">
        <w:rPr>
          <w:lang w:val="en-GB"/>
        </w:rPr>
        <w:t xml:space="preserve"> March 2019 meeting of</w:t>
      </w:r>
      <w:r w:rsidR="00181523" w:rsidRPr="00180522">
        <w:rPr>
          <w:lang w:val="en-GB"/>
        </w:rPr>
        <w:t xml:space="preserve"> </w:t>
      </w:r>
      <w:r w:rsidR="00EE6C22" w:rsidRPr="00180522">
        <w:rPr>
          <w:lang w:val="en-GB"/>
        </w:rPr>
        <w:t>ITU</w:t>
      </w:r>
      <w:r w:rsidR="00883A4E" w:rsidRPr="00180522">
        <w:rPr>
          <w:lang w:val="en-GB"/>
        </w:rPr>
        <w:t>-T</w:t>
      </w:r>
      <w:r w:rsidR="00EE6C22" w:rsidRPr="00180522">
        <w:rPr>
          <w:lang w:val="en-GB"/>
        </w:rPr>
        <w:t xml:space="preserve"> SG</w:t>
      </w:r>
      <w:r w:rsidR="00181523" w:rsidRPr="00180522">
        <w:rPr>
          <w:lang w:val="en-GB"/>
        </w:rPr>
        <w:t xml:space="preserve">13 meeting in Victoria Falls, Zimbabwe. </w:t>
      </w:r>
    </w:p>
    <w:p w14:paraId="45DA84F4" w14:textId="67BB1ED5" w:rsidR="006944F8" w:rsidRPr="00180522" w:rsidRDefault="00EE6C22" w:rsidP="00181523">
      <w:pPr>
        <w:rPr>
          <w:lang w:val="en-GB"/>
        </w:rPr>
      </w:pPr>
      <w:r w:rsidRPr="00180522">
        <w:rPr>
          <w:lang w:val="en-GB"/>
        </w:rPr>
        <w:t xml:space="preserve">The resulting guideline document – </w:t>
      </w:r>
      <w:hyperlink r:id="rId250" w:history="1">
        <w:r w:rsidR="00CA2D85" w:rsidRPr="00180522">
          <w:rPr>
            <w:rStyle w:val="Hyperlink"/>
            <w:lang w:val="en-GB"/>
          </w:rPr>
          <w:t>"</w:t>
        </w:r>
        <w:r w:rsidR="00181523" w:rsidRPr="00180522">
          <w:rPr>
            <w:rStyle w:val="Hyperlink"/>
            <w:lang w:val="en-GB"/>
          </w:rPr>
          <w:t>Guidelines and methodologies for developing technical Recommendations</w:t>
        </w:r>
        <w:r w:rsidR="00CA2D85" w:rsidRPr="00180522">
          <w:rPr>
            <w:rStyle w:val="Hyperlink"/>
            <w:lang w:val="en-GB"/>
          </w:rPr>
          <w:t>"</w:t>
        </w:r>
      </w:hyperlink>
      <w:r w:rsidR="00181523" w:rsidRPr="00180522">
        <w:rPr>
          <w:lang w:val="en-GB"/>
        </w:rPr>
        <w:t xml:space="preserve"> </w:t>
      </w:r>
      <w:r w:rsidRPr="00180522">
        <w:rPr>
          <w:lang w:val="en-GB"/>
        </w:rPr>
        <w:t xml:space="preserve">– has been submitted to </w:t>
      </w:r>
      <w:r w:rsidR="00181523" w:rsidRPr="00180522">
        <w:rPr>
          <w:lang w:val="en-GB"/>
        </w:rPr>
        <w:t>TSAG for further consideration</w:t>
      </w:r>
      <w:r w:rsidRPr="00180522">
        <w:rPr>
          <w:lang w:val="en-GB"/>
        </w:rPr>
        <w:t>, as described in the L</w:t>
      </w:r>
      <w:r w:rsidR="00181523" w:rsidRPr="00180522">
        <w:rPr>
          <w:lang w:val="en-GB"/>
        </w:rPr>
        <w:t xml:space="preserve">iaison </w:t>
      </w:r>
      <w:r w:rsidRPr="00180522">
        <w:rPr>
          <w:lang w:val="en-GB"/>
        </w:rPr>
        <w:t>S</w:t>
      </w:r>
      <w:r w:rsidR="00181523" w:rsidRPr="00180522">
        <w:rPr>
          <w:lang w:val="en-GB"/>
        </w:rPr>
        <w:t xml:space="preserve">tatement </w:t>
      </w:r>
      <w:hyperlink r:id="rId251" w:history="1">
        <w:r w:rsidR="003D479E" w:rsidRPr="00180522">
          <w:rPr>
            <w:rStyle w:val="Hyperlink"/>
            <w:rFonts w:asciiTheme="majorBidi" w:hAnsiTheme="majorBidi" w:cstheme="majorBidi"/>
            <w:lang w:val="en-GB"/>
          </w:rPr>
          <w:t>SG13-TD170-R1/PLEN</w:t>
        </w:r>
      </w:hyperlink>
      <w:r w:rsidR="00D63841" w:rsidRPr="00180522">
        <w:rPr>
          <w:lang w:val="en-GB"/>
        </w:rPr>
        <w:t xml:space="preserve">. </w:t>
      </w:r>
    </w:p>
    <w:p w14:paraId="4B9A346D" w14:textId="77777777" w:rsidR="006944F8" w:rsidRPr="00180522" w:rsidRDefault="006944F8" w:rsidP="006944F8">
      <w:pPr>
        <w:pStyle w:val="Heading1"/>
        <w:pageBreakBefore/>
        <w:jc w:val="center"/>
      </w:pPr>
      <w:bookmarkStart w:id="218" w:name="_Toc480527885"/>
      <w:bookmarkStart w:id="219" w:name="_Toc18509793"/>
      <w:r w:rsidRPr="00180522">
        <w:lastRenderedPageBreak/>
        <w:t>Appendix I – List of approved Recommendations and other approved texts</w:t>
      </w:r>
      <w:bookmarkEnd w:id="218"/>
      <w:bookmarkEnd w:id="219"/>
    </w:p>
    <w:p w14:paraId="75DA245E" w14:textId="4FFC1A2C" w:rsidR="006944F8" w:rsidRPr="00180522" w:rsidRDefault="001C37A8" w:rsidP="001C37A8">
      <w:pPr>
        <w:pStyle w:val="Note"/>
        <w:rPr>
          <w:lang w:val="en-GB"/>
        </w:rPr>
      </w:pPr>
      <w:r w:rsidRPr="00180522">
        <w:rPr>
          <w:lang w:val="en-GB"/>
        </w:rPr>
        <w:t xml:space="preserve">NOTE </w:t>
      </w:r>
      <w:r w:rsidR="006944F8" w:rsidRPr="00180522">
        <w:rPr>
          <w:lang w:val="en-GB"/>
        </w:rPr>
        <w:t>– Corrigenda are not listed here.</w:t>
      </w:r>
    </w:p>
    <w:p w14:paraId="1F7CC3BC" w14:textId="77777777" w:rsidR="006A46AE" w:rsidRPr="00180522" w:rsidRDefault="006A46AE" w:rsidP="006A46AE">
      <w:pPr>
        <w:pStyle w:val="Headingb"/>
      </w:pPr>
      <w:bookmarkStart w:id="220" w:name="_Toc480527886"/>
      <w:bookmarkStart w:id="221" w:name="_Toc480527890"/>
      <w:bookmarkEnd w:id="216"/>
      <w:r w:rsidRPr="00180522">
        <w:t>I.1.1</w:t>
      </w:r>
      <w:r w:rsidRPr="00180522">
        <w:tab/>
      </w:r>
      <w:proofErr w:type="spellStart"/>
      <w:r w:rsidRPr="00180522">
        <w:t>G.fast</w:t>
      </w:r>
      <w:proofErr w:type="spellEnd"/>
      <w:r w:rsidRPr="00180522">
        <w:t xml:space="preserve"> and DSL: Breathing new life into existing copper infrastructure</w:t>
      </w:r>
    </w:p>
    <w:p w14:paraId="106DCC94" w14:textId="77777777" w:rsidR="006A46AE" w:rsidRPr="00180522" w:rsidRDefault="006A46AE" w:rsidP="006A46AE">
      <w:pPr>
        <w:rPr>
          <w:lang w:val="en-GB" w:eastAsia="en-US"/>
        </w:rPr>
      </w:pPr>
      <w:r w:rsidRPr="00180522">
        <w:rPr>
          <w:b/>
          <w:lang w:val="en-GB" w:eastAsia="en-US"/>
        </w:rPr>
        <w:t xml:space="preserve">ITU-T G.993.2 (revised) "Very high speed digital subscriber line transceivers 2 (VDSL2)" </w:t>
      </w:r>
      <w:r w:rsidRPr="00180522">
        <w:rPr>
          <w:lang w:val="en-GB" w:eastAsia="en-US"/>
        </w:rPr>
        <w:t xml:space="preserve">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w:t>
      </w:r>
      <w:proofErr w:type="spellStart"/>
      <w:r w:rsidRPr="00180522">
        <w:rPr>
          <w:lang w:val="en-GB" w:eastAsia="en-US"/>
        </w:rPr>
        <w:t>MHz.</w:t>
      </w:r>
      <w:proofErr w:type="spellEnd"/>
    </w:p>
    <w:p w14:paraId="5F4E15F7" w14:textId="77777777" w:rsidR="006A46AE" w:rsidRPr="00180522" w:rsidRDefault="006A46AE" w:rsidP="006A46AE">
      <w:pPr>
        <w:rPr>
          <w:lang w:val="en-GB" w:eastAsia="en-US"/>
        </w:rPr>
      </w:pPr>
      <w:r w:rsidRPr="00180522">
        <w:rPr>
          <w:lang w:val="en-GB" w:eastAsia="en-US"/>
        </w:rPr>
        <w:t>This version of this Recommendation integrates all the previous amendments and corrigenda with the 2011 version of Recommendation ITU-T G.993.2. This version of Recommendation ITU-T G.993.2 corrects or adds the following functionality:</w:t>
      </w:r>
    </w:p>
    <w:p w14:paraId="51AD9A84" w14:textId="77777777" w:rsidR="006A46AE" w:rsidRPr="00180522" w:rsidRDefault="006A46AE" w:rsidP="006A46AE">
      <w:pPr>
        <w:numPr>
          <w:ilvl w:val="0"/>
          <w:numId w:val="45"/>
        </w:numPr>
        <w:rPr>
          <w:lang w:val="en-GB"/>
        </w:rPr>
      </w:pPr>
      <w:r w:rsidRPr="00180522">
        <w:rPr>
          <w:lang w:val="en-GB"/>
        </w:rPr>
        <w:t xml:space="preserve">Method to address the </w:t>
      </w:r>
      <w:proofErr w:type="spellStart"/>
      <w:r w:rsidRPr="00180522">
        <w:rPr>
          <w:lang w:val="en-GB"/>
        </w:rPr>
        <w:t>misestimation</w:t>
      </w:r>
      <w:proofErr w:type="spellEnd"/>
      <w:r w:rsidRPr="00180522">
        <w:rPr>
          <w:lang w:val="en-GB"/>
        </w:rPr>
        <w:t xml:space="preserve"> of the SNR during MEDLEY (Amendment 2)</w:t>
      </w:r>
    </w:p>
    <w:p w14:paraId="0C0DA87A" w14:textId="77777777" w:rsidR="006A46AE" w:rsidRPr="00180522" w:rsidRDefault="006A46AE" w:rsidP="006A46AE">
      <w:pPr>
        <w:numPr>
          <w:ilvl w:val="0"/>
          <w:numId w:val="45"/>
        </w:numPr>
        <w:rPr>
          <w:lang w:val="en-GB"/>
        </w:rPr>
      </w:pPr>
      <w:r w:rsidRPr="00180522">
        <w:rPr>
          <w:lang w:val="en-GB"/>
        </w:rPr>
        <w:t>Segmentation of SOC messages for profile 35b (Corrigendum 1)</w:t>
      </w:r>
    </w:p>
    <w:p w14:paraId="030500BA" w14:textId="77777777" w:rsidR="006A46AE" w:rsidRPr="00180522" w:rsidRDefault="006A46AE" w:rsidP="006A46AE">
      <w:pPr>
        <w:numPr>
          <w:ilvl w:val="0"/>
          <w:numId w:val="45"/>
        </w:numPr>
        <w:rPr>
          <w:lang w:val="en-GB"/>
        </w:rPr>
      </w:pPr>
      <w:r w:rsidRPr="00180522">
        <w:rPr>
          <w:lang w:val="en-GB"/>
        </w:rPr>
        <w:t>Annex D: Long reach VDSL2 (Amendment 3)</w:t>
      </w:r>
    </w:p>
    <w:p w14:paraId="71F9A015" w14:textId="77777777" w:rsidR="006A46AE" w:rsidRPr="00180522" w:rsidRDefault="006A46AE" w:rsidP="006A46AE">
      <w:pPr>
        <w:numPr>
          <w:ilvl w:val="0"/>
          <w:numId w:val="45"/>
        </w:numPr>
        <w:rPr>
          <w:lang w:val="en-GB"/>
        </w:rPr>
      </w:pPr>
      <w:r w:rsidRPr="00180522">
        <w:rPr>
          <w:lang w:val="en-GB"/>
        </w:rPr>
        <w:t>Near-end anomalies for loss-of-power, host-</w:t>
      </w:r>
      <w:proofErr w:type="spellStart"/>
      <w:r w:rsidRPr="00180522">
        <w:rPr>
          <w:lang w:val="en-GB"/>
        </w:rPr>
        <w:t>reinit</w:t>
      </w:r>
      <w:proofErr w:type="spellEnd"/>
      <w:r w:rsidRPr="00180522">
        <w:rPr>
          <w:lang w:val="en-GB"/>
        </w:rPr>
        <w:t xml:space="preserve"> and spontaneous interruptions (Amendment 4)</w:t>
      </w:r>
    </w:p>
    <w:p w14:paraId="107F2E89" w14:textId="77777777" w:rsidR="006A46AE" w:rsidRPr="00180522" w:rsidRDefault="006A46AE" w:rsidP="006A46AE">
      <w:pPr>
        <w:numPr>
          <w:ilvl w:val="0"/>
          <w:numId w:val="45"/>
        </w:numPr>
        <w:rPr>
          <w:lang w:val="en-GB"/>
        </w:rPr>
      </w:pPr>
      <w:r w:rsidRPr="00180522">
        <w:rPr>
          <w:lang w:val="en-GB"/>
        </w:rPr>
        <w:t>Addition of operation per the North American region for profile 35b (Annex Q) (Amendment 4)</w:t>
      </w:r>
    </w:p>
    <w:p w14:paraId="7A28ED59" w14:textId="77777777" w:rsidR="006A46AE" w:rsidRPr="00180522" w:rsidRDefault="006A46AE" w:rsidP="006A46AE">
      <w:pPr>
        <w:numPr>
          <w:ilvl w:val="0"/>
          <w:numId w:val="45"/>
        </w:numPr>
        <w:rPr>
          <w:lang w:val="en-GB"/>
        </w:rPr>
      </w:pPr>
      <w:r w:rsidRPr="00180522">
        <w:rPr>
          <w:lang w:val="en-GB"/>
        </w:rPr>
        <w:t>Addition of operation per the China region for profile 35b (Annex Q) (new)</w:t>
      </w:r>
    </w:p>
    <w:p w14:paraId="0F265649" w14:textId="77777777" w:rsidR="006A46AE" w:rsidRPr="00180522" w:rsidRDefault="006A46AE" w:rsidP="006A46AE">
      <w:pPr>
        <w:numPr>
          <w:ilvl w:val="0"/>
          <w:numId w:val="45"/>
        </w:numPr>
        <w:rPr>
          <w:lang w:val="en-GB"/>
        </w:rPr>
      </w:pPr>
      <w:r w:rsidRPr="00180522">
        <w:rPr>
          <w:lang w:val="en-GB"/>
        </w:rPr>
        <w:t>Addition of Successful SRA counter (new)</w:t>
      </w:r>
    </w:p>
    <w:p w14:paraId="4CC8F82C" w14:textId="77777777" w:rsidR="006A46AE" w:rsidRPr="00180522" w:rsidRDefault="006A46AE" w:rsidP="006A46AE">
      <w:pPr>
        <w:numPr>
          <w:ilvl w:val="0"/>
          <w:numId w:val="45"/>
        </w:numPr>
        <w:rPr>
          <w:lang w:val="en-GB"/>
        </w:rPr>
      </w:pPr>
      <w:r w:rsidRPr="00180522">
        <w:rPr>
          <w:lang w:val="en-GB"/>
        </w:rPr>
        <w:t>Long reach VDSL2 corrigendum related to MAXNOMATP (new)</w:t>
      </w:r>
    </w:p>
    <w:p w14:paraId="54E59F07" w14:textId="77777777" w:rsidR="006A46AE" w:rsidRPr="00180522" w:rsidRDefault="006A46AE" w:rsidP="006A46AE">
      <w:pPr>
        <w:numPr>
          <w:ilvl w:val="0"/>
          <w:numId w:val="45"/>
        </w:numPr>
        <w:rPr>
          <w:lang w:val="en-GB"/>
        </w:rPr>
      </w:pPr>
      <w:r w:rsidRPr="00180522">
        <w:rPr>
          <w:lang w:val="en-GB"/>
        </w:rPr>
        <w:t>Corrigendum to MAXMASK definition in Table 7 5 (new)</w:t>
      </w:r>
    </w:p>
    <w:p w14:paraId="0812B0BB" w14:textId="77777777" w:rsidR="006A46AE" w:rsidRPr="00180522" w:rsidRDefault="006A46AE" w:rsidP="006A46AE">
      <w:pPr>
        <w:numPr>
          <w:ilvl w:val="0"/>
          <w:numId w:val="45"/>
        </w:numPr>
        <w:rPr>
          <w:lang w:val="en-GB"/>
        </w:rPr>
      </w:pPr>
      <w:r w:rsidRPr="00180522">
        <w:rPr>
          <w:lang w:val="en-GB"/>
        </w:rPr>
        <w:t>Corrigendum to use of US0 with 35b profile for the North-America region (new).</w:t>
      </w:r>
    </w:p>
    <w:p w14:paraId="50129999" w14:textId="77777777" w:rsidR="006A46AE" w:rsidRPr="00180522" w:rsidRDefault="006A46AE" w:rsidP="006A46AE">
      <w:pPr>
        <w:rPr>
          <w:lang w:val="en-GB" w:eastAsia="en-US"/>
        </w:rPr>
      </w:pPr>
      <w:r w:rsidRPr="00180522">
        <w:rPr>
          <w:b/>
          <w:lang w:val="en-GB" w:eastAsia="en-US"/>
        </w:rPr>
        <w:t>ITU-T G.993.5 (revised) "Self-FEXT cancellation (vectoring) for use with VDSL2 transceivers"</w:t>
      </w:r>
      <w:r w:rsidRPr="00180522">
        <w:rPr>
          <w:lang w:val="en-GB" w:eastAsia="en-US"/>
        </w:rPr>
        <w:t xml:space="preserve">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749B6E1A" w14:textId="77777777" w:rsidR="006A46AE" w:rsidRPr="00180522" w:rsidRDefault="006A46AE" w:rsidP="006A46AE">
      <w:pPr>
        <w:numPr>
          <w:ilvl w:val="0"/>
          <w:numId w:val="45"/>
        </w:numPr>
        <w:rPr>
          <w:lang w:val="en-GB"/>
        </w:rPr>
      </w:pPr>
      <w:r w:rsidRPr="00180522">
        <w:rPr>
          <w:lang w:val="en-GB"/>
        </w:rPr>
        <w:t>Typographical correction in clause 8.2 (Corrigendum 1)</w:t>
      </w:r>
    </w:p>
    <w:p w14:paraId="09DBCE64" w14:textId="77777777" w:rsidR="006A46AE" w:rsidRPr="00180522" w:rsidRDefault="006A46AE" w:rsidP="006A46AE">
      <w:pPr>
        <w:numPr>
          <w:ilvl w:val="0"/>
          <w:numId w:val="45"/>
        </w:numPr>
        <w:rPr>
          <w:lang w:val="en-GB"/>
        </w:rPr>
      </w:pPr>
      <w:r w:rsidRPr="00180522">
        <w:rPr>
          <w:lang w:val="en-GB"/>
        </w:rPr>
        <w:t>Generalization of the segmentation of SOC messages in clause 10.4.2.2 for vectoring of profile 35b (Corrigendum 1)</w:t>
      </w:r>
    </w:p>
    <w:p w14:paraId="50897804" w14:textId="77777777" w:rsidR="006A46AE" w:rsidRPr="00180522" w:rsidRDefault="006A46AE" w:rsidP="006A46AE">
      <w:pPr>
        <w:numPr>
          <w:ilvl w:val="0"/>
          <w:numId w:val="45"/>
        </w:numPr>
        <w:rPr>
          <w:lang w:val="en-GB"/>
        </w:rPr>
      </w:pPr>
      <w:r w:rsidRPr="00180522">
        <w:rPr>
          <w:lang w:val="en-GB"/>
        </w:rPr>
        <w:t>Transceiver O-DEACTIVATING state (Amendment 1)</w:t>
      </w:r>
    </w:p>
    <w:p w14:paraId="44CE194E" w14:textId="77777777" w:rsidR="006A46AE" w:rsidRPr="00180522" w:rsidRDefault="006A46AE" w:rsidP="006A46AE">
      <w:pPr>
        <w:numPr>
          <w:ilvl w:val="0"/>
          <w:numId w:val="45"/>
        </w:numPr>
        <w:rPr>
          <w:lang w:val="en-GB"/>
        </w:rPr>
      </w:pPr>
      <w:r w:rsidRPr="00180522">
        <w:rPr>
          <w:lang w:val="en-GB"/>
        </w:rPr>
        <w:t>Annex A: Mitigating strong FEXT (Amendment 2)</w:t>
      </w:r>
    </w:p>
    <w:p w14:paraId="31AD95BC" w14:textId="77777777" w:rsidR="006A46AE" w:rsidRPr="00180522" w:rsidRDefault="006A46AE" w:rsidP="006A46AE">
      <w:pPr>
        <w:numPr>
          <w:ilvl w:val="0"/>
          <w:numId w:val="45"/>
        </w:numPr>
        <w:rPr>
          <w:lang w:val="en-GB"/>
        </w:rPr>
      </w:pPr>
      <w:r w:rsidRPr="00180522">
        <w:rPr>
          <w:lang w:val="en-GB"/>
        </w:rPr>
        <w:t>Annex B: Vectored Long Reach VDSL2 (Amendment 2)</w:t>
      </w:r>
    </w:p>
    <w:p w14:paraId="6B562350" w14:textId="77777777" w:rsidR="006A46AE" w:rsidRPr="00180522" w:rsidRDefault="006A46AE" w:rsidP="006A46AE">
      <w:pPr>
        <w:numPr>
          <w:ilvl w:val="0"/>
          <w:numId w:val="45"/>
        </w:numPr>
        <w:rPr>
          <w:lang w:val="en-GB"/>
        </w:rPr>
      </w:pPr>
      <w:r w:rsidRPr="00180522">
        <w:rPr>
          <w:lang w:val="en-GB"/>
        </w:rPr>
        <w:t>Encoding of R-P-VECTOR-2 in LR mode with long loop operation (Annex B) (Corrigendum 2)</w:t>
      </w:r>
    </w:p>
    <w:p w14:paraId="6295A1FB" w14:textId="77777777" w:rsidR="006A46AE" w:rsidRPr="00180522" w:rsidRDefault="006A46AE" w:rsidP="006A46AE">
      <w:pPr>
        <w:numPr>
          <w:ilvl w:val="0"/>
          <w:numId w:val="45"/>
        </w:numPr>
        <w:rPr>
          <w:lang w:val="en-GB"/>
        </w:rPr>
      </w:pPr>
      <w:r w:rsidRPr="00180522">
        <w:rPr>
          <w:lang w:val="en-GB"/>
        </w:rPr>
        <w:t>Long reach VDSL2 corrigendum related to MAXNOMATP (new).</w:t>
      </w:r>
    </w:p>
    <w:p w14:paraId="21740602" w14:textId="77777777" w:rsidR="006A46AE" w:rsidRPr="00180522" w:rsidRDefault="006A46AE" w:rsidP="006A46AE">
      <w:pPr>
        <w:rPr>
          <w:lang w:val="en-GB" w:eastAsia="en-US"/>
        </w:rPr>
      </w:pPr>
      <w:r w:rsidRPr="00180522">
        <w:rPr>
          <w:b/>
          <w:lang w:val="en-GB" w:eastAsia="en-US"/>
        </w:rPr>
        <w:lastRenderedPageBreak/>
        <w:t>ITU-T G.997.1 (revised) "Physical layer management for digital subscriber line transceivers"</w:t>
      </w:r>
      <w:r w:rsidRPr="00180522">
        <w:rPr>
          <w:lang w:val="en-GB" w:eastAsia="en-US"/>
        </w:rPr>
        <w:t xml:space="preserve">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7B173CCF" w14:textId="77777777" w:rsidR="006A46AE" w:rsidRPr="00180522" w:rsidRDefault="006A46AE" w:rsidP="006A46AE">
      <w:pPr>
        <w:rPr>
          <w:lang w:val="en-GB"/>
        </w:rPr>
      </w:pPr>
      <w:r w:rsidRPr="00180522">
        <w:rPr>
          <w:lang w:val="en-GB"/>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4584D958" w14:textId="77777777" w:rsidR="006A46AE" w:rsidRPr="00180522" w:rsidRDefault="006A46AE" w:rsidP="006A46AE">
      <w:pPr>
        <w:numPr>
          <w:ilvl w:val="0"/>
          <w:numId w:val="45"/>
        </w:numPr>
        <w:rPr>
          <w:lang w:val="en-GB"/>
        </w:rPr>
      </w:pPr>
      <w:r w:rsidRPr="00180522">
        <w:rPr>
          <w:lang w:val="en-GB"/>
        </w:rPr>
        <w:t>Add support for G.993.2 Annex N PSD masks.</w:t>
      </w:r>
    </w:p>
    <w:p w14:paraId="1492E076" w14:textId="77777777" w:rsidR="006A46AE" w:rsidRPr="00180522" w:rsidRDefault="006A46AE" w:rsidP="006A46AE">
      <w:pPr>
        <w:numPr>
          <w:ilvl w:val="0"/>
          <w:numId w:val="45"/>
        </w:numPr>
        <w:rPr>
          <w:lang w:val="en-GB"/>
        </w:rPr>
      </w:pPr>
      <w:r w:rsidRPr="00180522">
        <w:rPr>
          <w:lang w:val="en-GB"/>
        </w:rPr>
        <w:t>Add support of MAXEFTR and extend the definition of the parameters "error-free bits counter" and "MINEFTR" to apply to line with retransmission inactive.</w:t>
      </w:r>
    </w:p>
    <w:p w14:paraId="61B9BA06" w14:textId="77777777" w:rsidR="006A46AE" w:rsidRPr="00180522" w:rsidRDefault="006A46AE" w:rsidP="006A46AE">
      <w:pPr>
        <w:rPr>
          <w:lang w:val="en-GB" w:eastAsia="en-US"/>
        </w:rPr>
      </w:pPr>
      <w:r w:rsidRPr="00180522">
        <w:rPr>
          <w:b/>
          <w:lang w:val="en-GB" w:eastAsia="en-US"/>
        </w:rPr>
        <w:t xml:space="preserve">ITU-T G.997.2 (revised) "Physical layer management for </w:t>
      </w:r>
      <w:proofErr w:type="spellStart"/>
      <w:r w:rsidRPr="00180522">
        <w:rPr>
          <w:b/>
          <w:lang w:val="en-GB" w:eastAsia="en-US"/>
        </w:rPr>
        <w:t>G.fast</w:t>
      </w:r>
      <w:proofErr w:type="spellEnd"/>
      <w:r w:rsidRPr="00180522">
        <w:rPr>
          <w:b/>
          <w:lang w:val="en-GB" w:eastAsia="en-US"/>
        </w:rPr>
        <w:t xml:space="preserve"> transceivers"</w:t>
      </w:r>
      <w:r w:rsidRPr="00180522">
        <w:rPr>
          <w:lang w:val="en-GB" w:eastAsia="en-US"/>
        </w:rPr>
        <w:t xml:space="preserve"> specifies the physical layer management for fast access to subscriber terminals (</w:t>
      </w:r>
      <w:proofErr w:type="spellStart"/>
      <w:r w:rsidRPr="00180522">
        <w:rPr>
          <w:lang w:val="en-GB" w:eastAsia="en-US"/>
        </w:rPr>
        <w:t>G.fast</w:t>
      </w:r>
      <w:proofErr w:type="spellEnd"/>
      <w:r w:rsidRPr="00180522">
        <w:rPr>
          <w:lang w:val="en-GB" w:eastAsia="en-US"/>
        </w:rPr>
        <w:t>) transmission systems. It specifies managed objects for configuration, fault, status, inventory and performance management. The 2018 edition of this Recommendation integrates ITU-T G.997.2 (2015) and all its amendments and corrigenda. It adds the following new technical material:</w:t>
      </w:r>
    </w:p>
    <w:p w14:paraId="2D2269FF" w14:textId="77777777" w:rsidR="006A46AE" w:rsidRPr="00180522" w:rsidRDefault="006A46AE" w:rsidP="006A46AE">
      <w:pPr>
        <w:numPr>
          <w:ilvl w:val="0"/>
          <w:numId w:val="84"/>
        </w:numPr>
        <w:rPr>
          <w:lang w:val="en-GB" w:eastAsia="en-US"/>
        </w:rPr>
      </w:pPr>
      <w:r w:rsidRPr="00180522">
        <w:rPr>
          <w:lang w:val="en-GB" w:eastAsia="en-US"/>
        </w:rPr>
        <w:t>Correction on loss of power definition for RPF.</w:t>
      </w:r>
    </w:p>
    <w:p w14:paraId="1C49321B" w14:textId="77777777" w:rsidR="006A46AE" w:rsidRPr="00180522" w:rsidRDefault="006A46AE" w:rsidP="006A46AE">
      <w:pPr>
        <w:numPr>
          <w:ilvl w:val="0"/>
          <w:numId w:val="84"/>
        </w:numPr>
        <w:rPr>
          <w:lang w:val="en-GB" w:eastAsia="en-US"/>
        </w:rPr>
      </w:pPr>
      <w:r w:rsidRPr="00180522">
        <w:rPr>
          <w:lang w:val="en-GB" w:eastAsia="en-US"/>
        </w:rPr>
        <w:t xml:space="preserve">Correction to the special value of </w:t>
      </w:r>
      <w:proofErr w:type="spellStart"/>
      <w:r w:rsidRPr="00180522">
        <w:rPr>
          <w:lang w:val="en-GB" w:eastAsia="en-US"/>
        </w:rPr>
        <w:t>SNRps</w:t>
      </w:r>
      <w:proofErr w:type="spellEnd"/>
    </w:p>
    <w:p w14:paraId="3F1400D0" w14:textId="77777777" w:rsidR="006A46AE" w:rsidRPr="00180522" w:rsidRDefault="006A46AE" w:rsidP="006A46AE">
      <w:pPr>
        <w:numPr>
          <w:ilvl w:val="0"/>
          <w:numId w:val="84"/>
        </w:numPr>
        <w:rPr>
          <w:lang w:val="en-GB" w:eastAsia="en-US"/>
        </w:rPr>
      </w:pPr>
      <w:r w:rsidRPr="00180522">
        <w:rPr>
          <w:lang w:val="en-GB" w:eastAsia="en-US"/>
        </w:rPr>
        <w:t xml:space="preserve">Inclusion of managed objects for </w:t>
      </w:r>
      <w:proofErr w:type="spellStart"/>
      <w:r w:rsidRPr="00180522">
        <w:rPr>
          <w:lang w:val="en-GB" w:eastAsia="en-US"/>
        </w:rPr>
        <w:t>showtime</w:t>
      </w:r>
      <w:proofErr w:type="spellEnd"/>
      <w:r w:rsidRPr="00180522">
        <w:rPr>
          <w:lang w:val="en-GB" w:eastAsia="en-US"/>
        </w:rPr>
        <w:t xml:space="preserve"> reconfiguration</w:t>
      </w:r>
    </w:p>
    <w:p w14:paraId="7D6FFE94" w14:textId="77777777" w:rsidR="006A46AE" w:rsidRPr="00180522" w:rsidRDefault="006A46AE" w:rsidP="006A46AE">
      <w:pPr>
        <w:numPr>
          <w:ilvl w:val="0"/>
          <w:numId w:val="84"/>
        </w:numPr>
        <w:rPr>
          <w:lang w:val="en-GB" w:eastAsia="en-US"/>
        </w:rPr>
      </w:pPr>
      <w:r w:rsidRPr="00180522">
        <w:rPr>
          <w:lang w:val="en-GB" w:eastAsia="en-US"/>
        </w:rPr>
        <w:t xml:space="preserve">Correction to the range of valid values of </w:t>
      </w:r>
      <w:proofErr w:type="spellStart"/>
      <w:r w:rsidRPr="00180522">
        <w:rPr>
          <w:lang w:val="en-GB" w:eastAsia="en-US"/>
        </w:rPr>
        <w:t>LOM_PERSISTENCYds</w:t>
      </w:r>
      <w:proofErr w:type="spellEnd"/>
      <w:r w:rsidRPr="00180522">
        <w:rPr>
          <w:lang w:val="en-GB" w:eastAsia="en-US"/>
        </w:rPr>
        <w:t>/us</w:t>
      </w:r>
    </w:p>
    <w:p w14:paraId="4C867DDC" w14:textId="77777777" w:rsidR="006A46AE" w:rsidRPr="00180522" w:rsidRDefault="006A46AE" w:rsidP="006A46AE">
      <w:pPr>
        <w:numPr>
          <w:ilvl w:val="0"/>
          <w:numId w:val="84"/>
        </w:numPr>
        <w:rPr>
          <w:lang w:val="en-GB" w:eastAsia="en-US"/>
        </w:rPr>
      </w:pPr>
      <w:r w:rsidRPr="00180522">
        <w:rPr>
          <w:lang w:val="en-GB" w:eastAsia="en-US"/>
        </w:rPr>
        <w:t xml:space="preserve">Inclusion of managed objects </w:t>
      </w:r>
      <w:proofErr w:type="spellStart"/>
      <w:r w:rsidRPr="00180522">
        <w:rPr>
          <w:lang w:val="en-GB" w:eastAsia="en-US"/>
        </w:rPr>
        <w:t>CLASSMASKds</w:t>
      </w:r>
      <w:proofErr w:type="spellEnd"/>
      <w:r w:rsidRPr="00180522">
        <w:rPr>
          <w:lang w:val="en-GB" w:eastAsia="en-US"/>
        </w:rPr>
        <w:t>/us.</w:t>
      </w:r>
    </w:p>
    <w:p w14:paraId="5E9731C5" w14:textId="77777777" w:rsidR="006A46AE" w:rsidRPr="00180522" w:rsidRDefault="006A46AE" w:rsidP="006A46AE">
      <w:pPr>
        <w:rPr>
          <w:lang w:val="en-GB"/>
        </w:rPr>
      </w:pPr>
      <w:r w:rsidRPr="00180522">
        <w:rPr>
          <w:b/>
          <w:bCs/>
          <w:lang w:val="en-GB"/>
        </w:rPr>
        <w:t>ITU-T G.999.1 (revised) "Interface between the link layer and the physical layer for digital subscriber line (DSL) transceivers"</w:t>
      </w:r>
      <w:r w:rsidRPr="00180522">
        <w:rPr>
          <w:lang w:val="en-GB"/>
        </w:rPr>
        <w:t xml:space="preserve"> defines a point-to-point interface between the LINK layer device such as a network processor and a PHY device supporting multiple DSL lines, such as VDSL2, ADSL2, and SHDSL.</w:t>
      </w:r>
    </w:p>
    <w:p w14:paraId="695D2C07" w14:textId="77777777" w:rsidR="006A46AE" w:rsidRPr="00180522" w:rsidRDefault="006A46AE" w:rsidP="006A46AE">
      <w:pPr>
        <w:rPr>
          <w:lang w:val="en-GB"/>
        </w:rPr>
      </w:pPr>
      <w:r w:rsidRPr="00180522">
        <w:rPr>
          <w:lang w:val="en-GB"/>
        </w:rPr>
        <w:t>Corrigendum 1 to Recommendation ITU-T G.999.1 (2009) contains:</w:t>
      </w:r>
    </w:p>
    <w:p w14:paraId="366F041A" w14:textId="77777777" w:rsidR="006A46AE" w:rsidRPr="00180522" w:rsidRDefault="006A46AE" w:rsidP="006A46AE">
      <w:pPr>
        <w:numPr>
          <w:ilvl w:val="0"/>
          <w:numId w:val="87"/>
        </w:numPr>
        <w:rPr>
          <w:lang w:val="en-GB"/>
        </w:rPr>
      </w:pPr>
      <w:r w:rsidRPr="00180522">
        <w:rPr>
          <w:lang w:val="en-GB"/>
        </w:rPr>
        <w:t>Resolution of an inconsistency with TCI bit mapping relative to IEEE 802.1q</w:t>
      </w:r>
    </w:p>
    <w:p w14:paraId="5BFD2113" w14:textId="77777777" w:rsidR="006A46AE" w:rsidRPr="00180522" w:rsidRDefault="006A46AE" w:rsidP="006A46AE">
      <w:pPr>
        <w:numPr>
          <w:ilvl w:val="0"/>
          <w:numId w:val="87"/>
        </w:numPr>
        <w:rPr>
          <w:lang w:val="en-GB"/>
        </w:rPr>
      </w:pPr>
      <w:r w:rsidRPr="00180522">
        <w:rPr>
          <w:lang w:val="en-GB"/>
        </w:rPr>
        <w:t>Clarification of LENGTH field bit mapping</w:t>
      </w:r>
    </w:p>
    <w:p w14:paraId="18EAC89F" w14:textId="77777777" w:rsidR="006A46AE" w:rsidRPr="00180522" w:rsidRDefault="006A46AE" w:rsidP="006A46AE">
      <w:pPr>
        <w:numPr>
          <w:ilvl w:val="0"/>
          <w:numId w:val="87"/>
        </w:numPr>
        <w:rPr>
          <w:lang w:val="en-GB"/>
        </w:rPr>
      </w:pPr>
      <w:r w:rsidRPr="00180522">
        <w:rPr>
          <w:lang w:val="en-GB"/>
        </w:rPr>
        <w:t>Editorial corrections and clarifications to various clauses throughout the Recommendation.</w:t>
      </w:r>
    </w:p>
    <w:p w14:paraId="021F32C3" w14:textId="77777777" w:rsidR="006A46AE" w:rsidRPr="00180522" w:rsidRDefault="006A46AE" w:rsidP="006A46AE">
      <w:pPr>
        <w:rPr>
          <w:lang w:val="en-GB"/>
        </w:rPr>
      </w:pPr>
      <w:r w:rsidRPr="00180522">
        <w:rPr>
          <w:lang w:val="en-GB"/>
        </w:rPr>
        <w:t>Amendment 1 to Recommendation ITU-T G.999.1 (2009) provides the following update:</w:t>
      </w:r>
    </w:p>
    <w:p w14:paraId="01EB22C2" w14:textId="77777777" w:rsidR="006A46AE" w:rsidRPr="00180522" w:rsidRDefault="006A46AE" w:rsidP="006A46AE">
      <w:pPr>
        <w:numPr>
          <w:ilvl w:val="0"/>
          <w:numId w:val="88"/>
        </w:numPr>
        <w:rPr>
          <w:lang w:val="en-GB"/>
        </w:rPr>
      </w:pPr>
      <w:r w:rsidRPr="00180522">
        <w:rPr>
          <w:lang w:val="en-GB"/>
        </w:rPr>
        <w:t>Revision to clause 6.3 with extension for flow control on the PHY-to-LINK data stream over gamma reference point.</w:t>
      </w:r>
    </w:p>
    <w:p w14:paraId="34A11DA2" w14:textId="77777777" w:rsidR="006A46AE" w:rsidRPr="00180522" w:rsidRDefault="006A46AE" w:rsidP="006A46AE">
      <w:pPr>
        <w:numPr>
          <w:ilvl w:val="0"/>
          <w:numId w:val="88"/>
        </w:numPr>
        <w:rPr>
          <w:lang w:val="en-GB"/>
        </w:rPr>
      </w:pPr>
      <w:r w:rsidRPr="00180522">
        <w:rPr>
          <w:lang w:val="en-GB"/>
        </w:rPr>
        <w:t>Update of clause 7, Table 7-1 Configuration parameters for the encapsulation.</w:t>
      </w:r>
    </w:p>
    <w:p w14:paraId="23FAA052" w14:textId="77777777" w:rsidR="006A46AE" w:rsidRPr="00180522" w:rsidRDefault="006A46AE" w:rsidP="006A46AE">
      <w:pPr>
        <w:rPr>
          <w:lang w:val="en-GB"/>
        </w:rPr>
      </w:pPr>
      <w:r w:rsidRPr="00180522">
        <w:rPr>
          <w:lang w:val="en-GB"/>
        </w:rPr>
        <w:t xml:space="preserve">This revision adds support for 2.5 </w:t>
      </w:r>
      <w:proofErr w:type="spellStart"/>
      <w:r w:rsidRPr="00180522">
        <w:rPr>
          <w:lang w:val="en-GB"/>
        </w:rPr>
        <w:t>Gbit</w:t>
      </w:r>
      <w:proofErr w:type="spellEnd"/>
      <w:r w:rsidRPr="00180522">
        <w:rPr>
          <w:lang w:val="en-GB"/>
        </w:rPr>
        <w:t xml:space="preserve">/s and 10 </w:t>
      </w:r>
      <w:proofErr w:type="spellStart"/>
      <w:r w:rsidRPr="00180522">
        <w:rPr>
          <w:lang w:val="en-GB"/>
        </w:rPr>
        <w:t>Gbit</w:t>
      </w:r>
      <w:proofErr w:type="spellEnd"/>
      <w:r w:rsidRPr="00180522">
        <w:rPr>
          <w:lang w:val="en-GB"/>
        </w:rPr>
        <w:t>/s LINK/PHY physical interfaces.</w:t>
      </w:r>
    </w:p>
    <w:p w14:paraId="60E53F21" w14:textId="77777777" w:rsidR="006A46AE" w:rsidRPr="00180522" w:rsidRDefault="006A46AE" w:rsidP="006A46AE">
      <w:pPr>
        <w:rPr>
          <w:lang w:val="en-GB" w:eastAsia="en-US"/>
        </w:rPr>
      </w:pPr>
      <w:r w:rsidRPr="00180522">
        <w:rPr>
          <w:b/>
          <w:lang w:val="en-GB" w:eastAsia="en-US"/>
        </w:rPr>
        <w:t>ITU-T G.9700 (revised) "Fast access to subscriber terminals (</w:t>
      </w:r>
      <w:proofErr w:type="spellStart"/>
      <w:r w:rsidRPr="00180522">
        <w:rPr>
          <w:b/>
          <w:lang w:val="en-GB" w:eastAsia="en-US"/>
        </w:rPr>
        <w:t>G.fast</w:t>
      </w:r>
      <w:proofErr w:type="spellEnd"/>
      <w:r w:rsidRPr="00180522">
        <w:rPr>
          <w:b/>
          <w:lang w:val="en-GB" w:eastAsia="en-US"/>
        </w:rPr>
        <w:t>) – Power spectral density specification"</w:t>
      </w:r>
      <w:r w:rsidRPr="00180522">
        <w:rPr>
          <w:lang w:val="en-GB" w:eastAsia="en-US"/>
        </w:rPr>
        <w:t xml:space="preserve"> specifies power spectral density (PSD) mask requirements for fast access to subscriber terminals (</w:t>
      </w:r>
      <w:proofErr w:type="spellStart"/>
      <w:r w:rsidRPr="00180522">
        <w:rPr>
          <w:lang w:val="en-GB" w:eastAsia="en-US"/>
        </w:rPr>
        <w:t>G.fast</w:t>
      </w:r>
      <w:proofErr w:type="spellEnd"/>
      <w:r w:rsidRPr="00180522">
        <w:rPr>
          <w:lang w:val="en-GB" w:eastAsia="en-US"/>
        </w:rPr>
        <w:t xml:space="preserve">), a set of tools to support reduction of the transmit PSD mask, profile control parameters that determine spectral content, including the allowable maximum aggregate transmit power into a specified termination impedance, and a methodology for transmit PSD </w:t>
      </w:r>
      <w:r w:rsidRPr="00180522">
        <w:rPr>
          <w:lang w:val="en-GB" w:eastAsia="en-US"/>
        </w:rPr>
        <w:lastRenderedPageBreak/>
        <w:t>verification. It complements the physical layer (PHY) specification in Recommendation ITU-T G.9701.</w:t>
      </w:r>
    </w:p>
    <w:p w14:paraId="55B3D0EB" w14:textId="77777777" w:rsidR="006A46AE" w:rsidRPr="00180522" w:rsidRDefault="006A46AE" w:rsidP="006A46AE">
      <w:pPr>
        <w:rPr>
          <w:lang w:val="en-GB" w:eastAsia="en-US"/>
        </w:rPr>
      </w:pPr>
      <w:r w:rsidRPr="00180522">
        <w:rPr>
          <w:lang w:val="en-GB" w:eastAsia="en-US"/>
        </w:rPr>
        <w:t xml:space="preserve">Amendment 1 provided support for a new 106 MHz profile with +8 </w:t>
      </w:r>
      <w:proofErr w:type="spellStart"/>
      <w:r w:rsidRPr="00180522">
        <w:rPr>
          <w:lang w:val="en-GB" w:eastAsia="en-US"/>
        </w:rPr>
        <w:t>dBm</w:t>
      </w:r>
      <w:proofErr w:type="spellEnd"/>
      <w:r w:rsidRPr="00180522">
        <w:rPr>
          <w:lang w:val="en-GB" w:eastAsia="en-US"/>
        </w:rPr>
        <w:t xml:space="preserve"> maximum aggregate transmit power.</w:t>
      </w:r>
    </w:p>
    <w:p w14:paraId="6E62B1D7" w14:textId="77777777" w:rsidR="006A46AE" w:rsidRPr="00180522" w:rsidRDefault="006A46AE" w:rsidP="006A46AE">
      <w:pPr>
        <w:rPr>
          <w:lang w:val="en-GB" w:eastAsia="en-US"/>
        </w:rPr>
      </w:pPr>
      <w:r w:rsidRPr="00180522">
        <w:rPr>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14:paraId="5B4D8994" w14:textId="77777777" w:rsidR="006A46AE" w:rsidRPr="00180522" w:rsidRDefault="006A46AE" w:rsidP="006A46AE">
      <w:pPr>
        <w:rPr>
          <w:b/>
          <w:lang w:val="en-GB" w:eastAsia="en-US"/>
        </w:rPr>
      </w:pPr>
      <w:r w:rsidRPr="00180522">
        <w:rPr>
          <w:lang w:val="en-GB" w:eastAsia="en-US"/>
        </w:rPr>
        <w:t>The 2019 version of ITU-T G.9700 integrates the previous version and its amendments, and adds a new 106 MHz limit PSD mask intended to be used for transmission over networks with increased shielding, such as those with shielded cables or where cables are buried underground.</w:t>
      </w:r>
    </w:p>
    <w:p w14:paraId="48A3D200" w14:textId="77777777" w:rsidR="006A46AE" w:rsidRPr="00180522" w:rsidRDefault="006A46AE" w:rsidP="006A46AE">
      <w:pPr>
        <w:rPr>
          <w:lang w:val="en-GB" w:eastAsia="en-US"/>
        </w:rPr>
      </w:pPr>
      <w:r w:rsidRPr="00180522">
        <w:rPr>
          <w:b/>
          <w:lang w:val="en-GB" w:eastAsia="en-US"/>
        </w:rPr>
        <w:t>ITU-T G.9701 (revised) "Fast access to subscriber terminals (</w:t>
      </w:r>
      <w:proofErr w:type="spellStart"/>
      <w:r w:rsidRPr="00180522">
        <w:rPr>
          <w:b/>
          <w:lang w:val="en-GB" w:eastAsia="en-US"/>
        </w:rPr>
        <w:t>G.fast</w:t>
      </w:r>
      <w:proofErr w:type="spellEnd"/>
      <w:r w:rsidRPr="00180522">
        <w:rPr>
          <w:b/>
          <w:lang w:val="en-GB" w:eastAsia="en-US"/>
        </w:rPr>
        <w:t>) – Physical layer specification"</w:t>
      </w:r>
      <w:r w:rsidRPr="00180522">
        <w:rPr>
          <w:lang w:val="en-GB" w:eastAsia="en-US"/>
        </w:rPr>
        <w:t xml:space="preserve">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w:t>
      </w:r>
      <w:proofErr w:type="spellStart"/>
      <w:r w:rsidRPr="00180522">
        <w:rPr>
          <w:lang w:val="en-GB" w:eastAsia="en-US"/>
        </w:rPr>
        <w:t>FTTdp</w:t>
      </w:r>
      <w:proofErr w:type="spellEnd"/>
      <w:r w:rsidRPr="00180522">
        <w:rPr>
          <w:lang w:val="en-GB" w:eastAsia="en-US"/>
        </w:rPr>
        <w:t xml:space="preserve">) located very near the customer premises, or within buildings (fibre to the building, FTTB). This Recommendation supports asymmetric and symmetric transmission at an aggregate net data rate up to 1 </w:t>
      </w:r>
      <w:proofErr w:type="spellStart"/>
      <w:r w:rsidRPr="00180522">
        <w:rPr>
          <w:lang w:val="en-GB" w:eastAsia="en-US"/>
        </w:rPr>
        <w:t>Gbit</w:t>
      </w:r>
      <w:proofErr w:type="spellEnd"/>
      <w:r w:rsidRPr="00180522">
        <w:rPr>
          <w:lang w:val="en-GB" w:eastAsia="en-US"/>
        </w:rPr>
        <w:t>/s on twisted wire-pairs using spectrum up to 106 MHz and specifies all necessary functionality to support far-end crosstalk (FEXT) cancellation between multiple wire-pairs, and facilitates low power operation.</w:t>
      </w:r>
    </w:p>
    <w:p w14:paraId="4FBC1EAB" w14:textId="77777777" w:rsidR="006A46AE" w:rsidRPr="00180522" w:rsidRDefault="006A46AE" w:rsidP="006A46AE">
      <w:pPr>
        <w:rPr>
          <w:lang w:val="en-GB" w:eastAsia="en-US"/>
        </w:rPr>
      </w:pPr>
      <w:r w:rsidRPr="00180522">
        <w:rPr>
          <w:lang w:val="en-GB" w:eastAsia="en-US"/>
        </w:rPr>
        <w:t>Corrigendum 1 (2015) provides clarifications and corrects various errors in the Recommendation, and in particular includes a change to the definition of DFT output samples.</w:t>
      </w:r>
    </w:p>
    <w:p w14:paraId="7EF169B3" w14:textId="77777777" w:rsidR="006A46AE" w:rsidRPr="00180522" w:rsidRDefault="006A46AE" w:rsidP="006A46AE">
      <w:pPr>
        <w:rPr>
          <w:lang w:val="en-GB" w:eastAsia="en-US"/>
        </w:rPr>
      </w:pPr>
      <w:r w:rsidRPr="00180522">
        <w:rPr>
          <w:lang w:val="en-GB" w:eastAsia="en-US"/>
        </w:rPr>
        <w:t xml:space="preserve">Corrigendum 2 (2016) increases the number of RFI bands from 16 to 32, and provides clarifying text on alignment between TIGA and SRA/FRA procedures, tone repetition, unavailable seconds, and byte order in SOC and </w:t>
      </w:r>
      <w:proofErr w:type="spellStart"/>
      <w:r w:rsidRPr="00180522">
        <w:rPr>
          <w:lang w:val="en-GB" w:eastAsia="en-US"/>
        </w:rPr>
        <w:t>eoc</w:t>
      </w:r>
      <w:proofErr w:type="spellEnd"/>
      <w:r w:rsidRPr="00180522">
        <w:rPr>
          <w:lang w:val="en-GB" w:eastAsia="en-US"/>
        </w:rPr>
        <w:t xml:space="preserve"> messages.</w:t>
      </w:r>
    </w:p>
    <w:p w14:paraId="0E70E13B" w14:textId="77777777" w:rsidR="006A46AE" w:rsidRPr="00180522" w:rsidRDefault="006A46AE" w:rsidP="006A46AE">
      <w:pPr>
        <w:rPr>
          <w:lang w:val="en-GB" w:eastAsia="en-US"/>
        </w:rPr>
      </w:pPr>
      <w:r w:rsidRPr="00180522">
        <w:rPr>
          <w:lang w:val="en-GB" w:eastAsia="en-US"/>
        </w:rPr>
        <w:t>Amendment 1 (2016) specifies test parameters, some of which had previously been left for further study, and specifies support for low power operation.</w:t>
      </w:r>
    </w:p>
    <w:p w14:paraId="1B7D48D0" w14:textId="77777777" w:rsidR="006A46AE" w:rsidRPr="00180522" w:rsidRDefault="006A46AE" w:rsidP="006A46AE">
      <w:pPr>
        <w:rPr>
          <w:lang w:val="en-GB" w:eastAsia="en-US"/>
        </w:rPr>
      </w:pPr>
      <w:r w:rsidRPr="00180522">
        <w:rPr>
          <w:lang w:val="en-GB" w:eastAsia="en-US"/>
        </w:rPr>
        <w:t xml:space="preserve">Amendment 2 (2016) includes a new annex on cross-layer traffic monitoring functions and link state control to support low power operation. It also includes a new 106 MHz profile with increased maximum transmit power, support for increased bit loading, </w:t>
      </w:r>
      <w:proofErr w:type="spellStart"/>
      <w:r w:rsidRPr="00180522">
        <w:rPr>
          <w:lang w:val="en-GB" w:eastAsia="en-US"/>
        </w:rPr>
        <w:t>Hlog</w:t>
      </w:r>
      <w:proofErr w:type="spellEnd"/>
      <w:r w:rsidRPr="00180522">
        <w:rPr>
          <w:lang w:val="en-GB" w:eastAsia="en-US"/>
        </w:rPr>
        <w:t xml:space="preserve"> reporting in both directions, and </w:t>
      </w:r>
      <w:proofErr w:type="spellStart"/>
      <w:r w:rsidRPr="00180522">
        <w:rPr>
          <w:lang w:val="en-GB" w:eastAsia="en-US"/>
        </w:rPr>
        <w:t>Xlog</w:t>
      </w:r>
      <w:proofErr w:type="spellEnd"/>
      <w:r w:rsidRPr="00180522">
        <w:rPr>
          <w:lang w:val="en-GB" w:eastAsia="en-US"/>
        </w:rPr>
        <w:t xml:space="preserve"> reporting.</w:t>
      </w:r>
    </w:p>
    <w:p w14:paraId="305F05C4" w14:textId="77777777" w:rsidR="006A46AE" w:rsidRPr="00180522" w:rsidRDefault="006A46AE" w:rsidP="006A46AE">
      <w:pPr>
        <w:rPr>
          <w:lang w:val="en-GB" w:eastAsia="en-US"/>
        </w:rPr>
      </w:pPr>
      <w:r w:rsidRPr="00180522">
        <w:rPr>
          <w:lang w:val="en-GB" w:eastAsia="en-US"/>
        </w:rPr>
        <w:t>Corrigendum 3 (2017) adds several clarifications, and fixes various errors and inconsistencies.</w:t>
      </w:r>
    </w:p>
    <w:p w14:paraId="486CFE81" w14:textId="77777777" w:rsidR="006A46AE" w:rsidRPr="00180522" w:rsidRDefault="006A46AE" w:rsidP="006A46AE">
      <w:pPr>
        <w:rPr>
          <w:lang w:val="en-GB" w:eastAsia="en-US"/>
        </w:rPr>
      </w:pPr>
      <w:r w:rsidRPr="00180522">
        <w:rPr>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w:t>
      </w:r>
      <w:proofErr w:type="spellStart"/>
      <w:r w:rsidRPr="00180522">
        <w:rPr>
          <w:lang w:val="en-GB" w:eastAsia="en-US"/>
        </w:rPr>
        <w:t>iDTA</w:t>
      </w:r>
      <w:proofErr w:type="spellEnd"/>
      <w:r w:rsidRPr="00180522">
        <w:rPr>
          <w:lang w:val="en-GB" w:eastAsia="en-US"/>
        </w:rPr>
        <w:t>), Annex T – higher layer control aspects of DTA, and Annex S – software download to NTs.</w:t>
      </w:r>
    </w:p>
    <w:p w14:paraId="186C6D96" w14:textId="77777777" w:rsidR="006A46AE" w:rsidRPr="00180522" w:rsidRDefault="006A46AE" w:rsidP="006A46AE">
      <w:pPr>
        <w:rPr>
          <w:lang w:val="en-GB" w:eastAsia="en-US"/>
        </w:rPr>
      </w:pPr>
      <w:r w:rsidRPr="00180522">
        <w:rPr>
          <w:lang w:val="en-GB" w:eastAsia="en-US"/>
        </w:rPr>
        <w:t>Amendment 4 supports new functionality for impulse noise monitoring (INM), robust management channel recovery (RMCR), and performance monitoring parameter ANDEFTR.</w:t>
      </w:r>
    </w:p>
    <w:p w14:paraId="12B4DB5A" w14:textId="77777777" w:rsidR="006A46AE" w:rsidRPr="00180522" w:rsidRDefault="006A46AE" w:rsidP="006A46AE">
      <w:pPr>
        <w:rPr>
          <w:lang w:val="en-GB" w:eastAsia="en-US"/>
        </w:rPr>
      </w:pPr>
      <w:r w:rsidRPr="00180522">
        <w:rPr>
          <w:lang w:val="en-GB" w:eastAsia="en-US"/>
        </w:rPr>
        <w:t>Corrigendum 5 adds several clarifications, and fixes various errors and inconsistencies.</w:t>
      </w:r>
    </w:p>
    <w:p w14:paraId="3F4FC697" w14:textId="77777777" w:rsidR="006A46AE" w:rsidRPr="00180522" w:rsidRDefault="006A46AE" w:rsidP="006A46AE">
      <w:pPr>
        <w:rPr>
          <w:lang w:val="en-GB" w:eastAsia="en-US"/>
        </w:rPr>
      </w:pPr>
      <w:r w:rsidRPr="00180522">
        <w:rPr>
          <w:lang w:val="en-GB" w:eastAsia="en-US"/>
        </w:rPr>
        <w:t>Amendment 5 adds support for coordinated dynamic time assignment (</w:t>
      </w:r>
      <w:proofErr w:type="spellStart"/>
      <w:r w:rsidRPr="00180522">
        <w:rPr>
          <w:lang w:val="en-GB" w:eastAsia="en-US"/>
        </w:rPr>
        <w:t>cDTA</w:t>
      </w:r>
      <w:proofErr w:type="spellEnd"/>
      <w:r w:rsidRPr="00180522">
        <w:rPr>
          <w:lang w:val="en-GB" w:eastAsia="en-US"/>
        </w:rPr>
        <w:t>).</w:t>
      </w:r>
    </w:p>
    <w:p w14:paraId="72825FDA" w14:textId="77777777" w:rsidR="006A46AE" w:rsidRPr="00180522" w:rsidRDefault="006A46AE" w:rsidP="006A46AE">
      <w:pPr>
        <w:rPr>
          <w:lang w:val="en-GB" w:eastAsia="en-US"/>
        </w:rPr>
      </w:pPr>
      <w:r w:rsidRPr="00180522">
        <w:rPr>
          <w:lang w:val="en-GB" w:eastAsia="en-US"/>
        </w:rPr>
        <w:t>Corrigendum 6 includes:</w:t>
      </w:r>
    </w:p>
    <w:p w14:paraId="0EA4159A" w14:textId="77777777" w:rsidR="006A46AE" w:rsidRPr="00180522" w:rsidRDefault="006A46AE" w:rsidP="006A46AE">
      <w:pPr>
        <w:numPr>
          <w:ilvl w:val="0"/>
          <w:numId w:val="90"/>
        </w:numPr>
        <w:rPr>
          <w:lang w:val="en-GB" w:eastAsia="en-US"/>
        </w:rPr>
      </w:pPr>
      <w:r w:rsidRPr="00180522">
        <w:rPr>
          <w:lang w:val="en-GB" w:eastAsia="en-US"/>
        </w:rPr>
        <w:t>Correction of Figure 10-25 in §10.4.4 "Cyclic extension and windowing" according to Q4-180423-C29 (Issue 10.71).</w:t>
      </w:r>
    </w:p>
    <w:p w14:paraId="47DD5B89" w14:textId="77777777" w:rsidR="006A46AE" w:rsidRPr="00180522" w:rsidRDefault="006A46AE" w:rsidP="006A46AE">
      <w:pPr>
        <w:numPr>
          <w:ilvl w:val="0"/>
          <w:numId w:val="90"/>
        </w:numPr>
        <w:rPr>
          <w:lang w:val="en-GB" w:eastAsia="en-US"/>
        </w:rPr>
      </w:pPr>
      <w:r w:rsidRPr="00180522">
        <w:rPr>
          <w:lang w:val="en-GB" w:eastAsia="en-US"/>
        </w:rPr>
        <w:lastRenderedPageBreak/>
        <w:t>Revision of the text on §11.2.2.5 "OLR commands and responses" according to Q4-180423-C31R1 (Issue 10.73). Further revised according to WD1018 (Issue 10.79).</w:t>
      </w:r>
    </w:p>
    <w:p w14:paraId="120D5F27" w14:textId="77777777" w:rsidR="006A46AE" w:rsidRPr="00180522" w:rsidRDefault="006A46AE" w:rsidP="006A46AE">
      <w:pPr>
        <w:numPr>
          <w:ilvl w:val="0"/>
          <w:numId w:val="90"/>
        </w:numPr>
        <w:rPr>
          <w:lang w:val="en-GB" w:eastAsia="en-US"/>
        </w:rPr>
      </w:pPr>
      <w:r w:rsidRPr="00180522">
        <w:rPr>
          <w:lang w:val="en-GB" w:eastAsia="en-US"/>
        </w:rPr>
        <w:t>Revision of the text of §13.2.1.1 "SRA procedures" according to Q4-180423-C20R1 (Issue 10.70). Further revised according to Q4-180423-C32R1 (Issue 10.73). Further revised according to WD1018 (Issue 10.79).</w:t>
      </w:r>
    </w:p>
    <w:p w14:paraId="2608207B" w14:textId="77777777" w:rsidR="006A46AE" w:rsidRPr="00180522" w:rsidRDefault="006A46AE" w:rsidP="006A46AE">
      <w:pPr>
        <w:numPr>
          <w:ilvl w:val="0"/>
          <w:numId w:val="90"/>
        </w:numPr>
        <w:rPr>
          <w:lang w:val="en-GB" w:eastAsia="en-US"/>
        </w:rPr>
      </w:pPr>
      <w:r w:rsidRPr="00180522">
        <w:rPr>
          <w:lang w:val="en-GB" w:eastAsia="en-US"/>
        </w:rPr>
        <w:t>Revision of the text of §13.3.1.1.1.1 "FRA time window (</w:t>
      </w:r>
      <w:proofErr w:type="spellStart"/>
      <w:r w:rsidRPr="00180522">
        <w:rPr>
          <w:lang w:val="en-GB" w:eastAsia="en-US"/>
        </w:rPr>
        <w:t>fra</w:t>
      </w:r>
      <w:proofErr w:type="spellEnd"/>
      <w:r w:rsidRPr="00180522">
        <w:rPr>
          <w:lang w:val="en-GB" w:eastAsia="en-US"/>
        </w:rPr>
        <w:t>-time)" according to Q4-180423-C30R1 (Issue 10.72).</w:t>
      </w:r>
    </w:p>
    <w:p w14:paraId="20D2C2D6" w14:textId="77777777" w:rsidR="006A46AE" w:rsidRPr="00180522" w:rsidRDefault="006A46AE" w:rsidP="006A46AE">
      <w:pPr>
        <w:numPr>
          <w:ilvl w:val="0"/>
          <w:numId w:val="90"/>
        </w:numPr>
        <w:rPr>
          <w:lang w:val="en-GB" w:eastAsia="en-US"/>
        </w:rPr>
      </w:pPr>
      <w:r w:rsidRPr="00180522">
        <w:rPr>
          <w:lang w:val="en-GB" w:eastAsia="en-US"/>
        </w:rPr>
        <w:t>Replacing BRMC with NRMC in §9.5 according to Q4-180625-C34 (Issue 10.75).</w:t>
      </w:r>
    </w:p>
    <w:p w14:paraId="50894F67" w14:textId="77777777" w:rsidR="006A46AE" w:rsidRPr="00180522" w:rsidRDefault="006A46AE" w:rsidP="006A46AE">
      <w:pPr>
        <w:numPr>
          <w:ilvl w:val="0"/>
          <w:numId w:val="90"/>
        </w:numPr>
        <w:rPr>
          <w:lang w:val="en-GB" w:eastAsia="en-US"/>
        </w:rPr>
      </w:pPr>
      <w:r w:rsidRPr="00180522">
        <w:rPr>
          <w:lang w:val="en-GB" w:eastAsia="en-US"/>
        </w:rPr>
        <w:t>Revision of the text of §11.3.1.1 "Near end anomalies" according to Q4-180827-C02R1 (Issue 10.74).</w:t>
      </w:r>
    </w:p>
    <w:p w14:paraId="3EB7FD15" w14:textId="77777777" w:rsidR="006A46AE" w:rsidRPr="00180522" w:rsidRDefault="006A46AE" w:rsidP="006A46AE">
      <w:pPr>
        <w:numPr>
          <w:ilvl w:val="0"/>
          <w:numId w:val="90"/>
        </w:numPr>
        <w:rPr>
          <w:lang w:val="en-GB" w:eastAsia="en-US"/>
        </w:rPr>
      </w:pPr>
      <w:r w:rsidRPr="00180522">
        <w:rPr>
          <w:lang w:val="en-GB" w:eastAsia="en-US"/>
        </w:rPr>
        <w:t>Revision of the text of §11.4.4.7.3.3 "INM inter arrival time histogram primitives" according to Q4-180827-C17R1 (Issue 10.78.1).</w:t>
      </w:r>
    </w:p>
    <w:p w14:paraId="3374E03A" w14:textId="77777777" w:rsidR="006A46AE" w:rsidRPr="00180522" w:rsidRDefault="006A46AE" w:rsidP="006A46AE">
      <w:pPr>
        <w:numPr>
          <w:ilvl w:val="0"/>
          <w:numId w:val="90"/>
        </w:numPr>
        <w:rPr>
          <w:lang w:val="en-GB" w:eastAsia="en-US"/>
        </w:rPr>
      </w:pPr>
      <w:r w:rsidRPr="00180522">
        <w:rPr>
          <w:lang w:val="en-GB" w:eastAsia="en-US"/>
        </w:rPr>
        <w:t>Revision of the text of §11.4.1.2.2 "Signal-to-noise ratio per subcarrier (SNR-</w:t>
      </w:r>
      <w:proofErr w:type="spellStart"/>
      <w:r w:rsidRPr="00180522">
        <w:rPr>
          <w:lang w:val="en-GB" w:eastAsia="en-US"/>
        </w:rPr>
        <w:t>ps</w:t>
      </w:r>
      <w:proofErr w:type="spellEnd"/>
      <w:r w:rsidRPr="00180522">
        <w:rPr>
          <w:lang w:val="en-GB" w:eastAsia="en-US"/>
        </w:rPr>
        <w:t>)" according to Q4-180827-WD02R1 (Issue 10.76.1).</w:t>
      </w:r>
    </w:p>
    <w:p w14:paraId="25CAE37E" w14:textId="77777777" w:rsidR="006A46AE" w:rsidRPr="00180522" w:rsidRDefault="006A46AE" w:rsidP="006A46AE">
      <w:pPr>
        <w:numPr>
          <w:ilvl w:val="0"/>
          <w:numId w:val="90"/>
        </w:numPr>
        <w:rPr>
          <w:lang w:val="en-GB" w:eastAsia="en-US"/>
        </w:rPr>
      </w:pPr>
      <w:r w:rsidRPr="00180522">
        <w:rPr>
          <w:lang w:val="en-GB" w:eastAsia="en-US"/>
        </w:rPr>
        <w:t>Revision of the text of §12.3.4.2.1 "O-MSG 1", §12.3.4.2.2 "R-MSG 2", and §11.2.2.11 "Management counter read commands responses" according to WD1015 (Issue 10.77.1.1).</w:t>
      </w:r>
    </w:p>
    <w:p w14:paraId="73862B1E" w14:textId="77777777" w:rsidR="006A46AE" w:rsidRPr="00180522" w:rsidRDefault="006A46AE" w:rsidP="006A46AE">
      <w:pPr>
        <w:rPr>
          <w:lang w:val="en-GB" w:eastAsia="en-US"/>
        </w:rPr>
      </w:pPr>
      <w:r w:rsidRPr="00180522">
        <w:rPr>
          <w:lang w:val="en-GB" w:eastAsia="en-US"/>
        </w:rPr>
        <w:t>Amendment 6 includes:</w:t>
      </w:r>
    </w:p>
    <w:p w14:paraId="7D310FA3" w14:textId="77777777" w:rsidR="006A46AE" w:rsidRPr="00180522" w:rsidRDefault="006A46AE" w:rsidP="006A46AE">
      <w:pPr>
        <w:numPr>
          <w:ilvl w:val="0"/>
          <w:numId w:val="92"/>
        </w:numPr>
        <w:rPr>
          <w:lang w:val="en-GB" w:eastAsia="en-US"/>
        </w:rPr>
      </w:pPr>
      <w:r w:rsidRPr="00180522">
        <w:rPr>
          <w:lang w:val="en-GB" w:eastAsia="en-US"/>
        </w:rPr>
        <w:t>Addition of new §5.6 "Reconfiguration of the line" according to Q4-180423-WD04R1 (Issue 20.32.76). Further revised according to Q4-180625-C02R1 (Issue 20.32.82). Further revised according to Q4-180827-WD03R2 (Issue 20.32.88).</w:t>
      </w:r>
    </w:p>
    <w:p w14:paraId="5E31D63A" w14:textId="77777777" w:rsidR="006A46AE" w:rsidRPr="00180522" w:rsidRDefault="006A46AE" w:rsidP="006A46AE">
      <w:pPr>
        <w:numPr>
          <w:ilvl w:val="0"/>
          <w:numId w:val="92"/>
        </w:numPr>
        <w:rPr>
          <w:lang w:val="en-GB" w:eastAsia="en-US"/>
        </w:rPr>
      </w:pPr>
      <w:r w:rsidRPr="00180522">
        <w:rPr>
          <w:lang w:val="en-GB" w:eastAsia="en-US"/>
        </w:rPr>
        <w:t>Revision of the text of §10.2.2.1 "Sync symbol encoder" according to Q4-180827-C26R1 (Issue 20.57.2). Further revised according to C1040R1 (Issue 20.57.3).</w:t>
      </w:r>
    </w:p>
    <w:p w14:paraId="38F44C35" w14:textId="77777777" w:rsidR="006A46AE" w:rsidRPr="00180522" w:rsidRDefault="006A46AE" w:rsidP="006A46AE">
      <w:pPr>
        <w:numPr>
          <w:ilvl w:val="0"/>
          <w:numId w:val="92"/>
        </w:numPr>
        <w:rPr>
          <w:lang w:val="en-GB" w:eastAsia="en-US"/>
        </w:rPr>
      </w:pPr>
      <w:r w:rsidRPr="00180522">
        <w:rPr>
          <w:lang w:val="en-GB" w:eastAsia="en-US"/>
        </w:rPr>
        <w:t>Revision of the text of §10.3.2.5.2 "Time identification control parameters" according to Q4-180827-C26R1 (Issue 20.57.2). Further revised according to C1040R1 (Issue 20.57.3).</w:t>
      </w:r>
    </w:p>
    <w:p w14:paraId="0F1C5EA1" w14:textId="77777777" w:rsidR="006A46AE" w:rsidRPr="00180522" w:rsidRDefault="006A46AE" w:rsidP="006A46AE">
      <w:pPr>
        <w:numPr>
          <w:ilvl w:val="0"/>
          <w:numId w:val="92"/>
        </w:numPr>
        <w:rPr>
          <w:lang w:val="en-GB" w:eastAsia="en-US"/>
        </w:rPr>
      </w:pPr>
      <w:r w:rsidRPr="00180522">
        <w:rPr>
          <w:lang w:val="en-GB" w:eastAsia="en-US"/>
        </w:rPr>
        <w:t>Revision of the text of §11.1.1 "</w:t>
      </w:r>
      <w:proofErr w:type="spellStart"/>
      <w:r w:rsidRPr="00180522">
        <w:rPr>
          <w:lang w:val="en-GB" w:eastAsia="en-US"/>
        </w:rPr>
        <w:t>γ_MGMT</w:t>
      </w:r>
      <w:proofErr w:type="spellEnd"/>
      <w:r w:rsidRPr="00180522">
        <w:rPr>
          <w:lang w:val="en-GB" w:eastAsia="en-US"/>
        </w:rPr>
        <w:t xml:space="preserve"> interface" according to Q4-180423-WD04R1 (Issue 20.32.76).</w:t>
      </w:r>
    </w:p>
    <w:p w14:paraId="4E670401" w14:textId="77777777" w:rsidR="006A46AE" w:rsidRPr="00180522" w:rsidRDefault="006A46AE" w:rsidP="006A46AE">
      <w:pPr>
        <w:numPr>
          <w:ilvl w:val="0"/>
          <w:numId w:val="92"/>
        </w:numPr>
        <w:rPr>
          <w:lang w:val="en-GB" w:eastAsia="en-US"/>
        </w:rPr>
      </w:pPr>
      <w:r w:rsidRPr="00180522">
        <w:rPr>
          <w:lang w:val="en-GB" w:eastAsia="en-US"/>
        </w:rPr>
        <w:t>Revision of the text of §11.3.1.1 "Near-end anomalies" according to Q4-180423-WD04R1 (Issue 20.32.76). Further revised according to Q4-180625-C02R1 (Issue 20.32.82). Moved to Annex R.5 according to Q4-180827-WD03R2 (Issue 20.32.88).</w:t>
      </w:r>
    </w:p>
    <w:p w14:paraId="61117912" w14:textId="77777777" w:rsidR="006A46AE" w:rsidRPr="00180522" w:rsidRDefault="006A46AE" w:rsidP="006A46AE">
      <w:pPr>
        <w:numPr>
          <w:ilvl w:val="0"/>
          <w:numId w:val="92"/>
        </w:numPr>
        <w:rPr>
          <w:lang w:val="en-GB" w:eastAsia="en-US"/>
        </w:rPr>
      </w:pPr>
      <w:r w:rsidRPr="00180522">
        <w:rPr>
          <w:lang w:val="en-GB" w:eastAsia="en-US"/>
        </w:rPr>
        <w:t>Revision of the text of §12.3.2 "G.994.1 handshake phase" according to Q4-180827-C26R1 (Issue 20.57.2). Further revised according to C1040R1 (Issue 20.57.3). Further revised according to WD0964 (Issue 20.62.1).</w:t>
      </w:r>
    </w:p>
    <w:p w14:paraId="765E9827" w14:textId="77777777" w:rsidR="006A46AE" w:rsidRPr="00180522" w:rsidRDefault="006A46AE" w:rsidP="006A46AE">
      <w:pPr>
        <w:numPr>
          <w:ilvl w:val="0"/>
          <w:numId w:val="92"/>
        </w:numPr>
        <w:rPr>
          <w:lang w:val="en-GB" w:eastAsia="en-US"/>
        </w:rPr>
      </w:pPr>
      <w:r w:rsidRPr="00180522">
        <w:rPr>
          <w:lang w:val="en-GB" w:eastAsia="en-US"/>
        </w:rPr>
        <w:t>Revision of the text of §12.3.3.2.1 "O-SIGNATURE" according to C1040R1 (Issue 20.57.3).</w:t>
      </w:r>
    </w:p>
    <w:p w14:paraId="26001099" w14:textId="77777777" w:rsidR="006A46AE" w:rsidRPr="00180522" w:rsidRDefault="006A46AE" w:rsidP="006A46AE">
      <w:pPr>
        <w:numPr>
          <w:ilvl w:val="0"/>
          <w:numId w:val="92"/>
        </w:numPr>
        <w:rPr>
          <w:lang w:val="en-GB" w:eastAsia="en-US"/>
        </w:rPr>
      </w:pPr>
      <w:r w:rsidRPr="00180522">
        <w:rPr>
          <w:lang w:val="en-GB" w:eastAsia="en-US"/>
        </w:rPr>
        <w:t>Revision of the text of §12.3.4.2.1 "O-MSG 1"and §12.3.4.2.2 "R-MSG 2" (Issue 20.32.90).</w:t>
      </w:r>
    </w:p>
    <w:p w14:paraId="6B897DF1" w14:textId="77777777" w:rsidR="006A46AE" w:rsidRPr="00180522" w:rsidRDefault="006A46AE" w:rsidP="006A46AE">
      <w:pPr>
        <w:numPr>
          <w:ilvl w:val="0"/>
          <w:numId w:val="92"/>
        </w:numPr>
        <w:rPr>
          <w:lang w:val="en-GB" w:eastAsia="en-US"/>
        </w:rPr>
      </w:pPr>
      <w:r w:rsidRPr="00180522">
        <w:rPr>
          <w:lang w:val="en-GB" w:eastAsia="en-US"/>
        </w:rPr>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14B187E1" w14:textId="77777777" w:rsidR="006A46AE" w:rsidRPr="00180522" w:rsidRDefault="006A46AE" w:rsidP="006A46AE">
      <w:pPr>
        <w:numPr>
          <w:ilvl w:val="0"/>
          <w:numId w:val="92"/>
        </w:numPr>
        <w:rPr>
          <w:lang w:val="en-GB" w:eastAsia="en-US"/>
        </w:rPr>
      </w:pPr>
      <w:r w:rsidRPr="00180522">
        <w:rPr>
          <w:lang w:val="en-GB" w:eastAsia="en-US"/>
        </w:rPr>
        <w:t>Addition of text for new Annex V "Targeted generalized vectoring (TGV)" according to Q4-180423-C28R1 (Issue 20.49.9.1). Revised according to Q4-180827-C25R1 (Issue 20.49.13). Revised according to WD1042 (Issue 20.49.14).</w:t>
      </w:r>
    </w:p>
    <w:p w14:paraId="79B689FE" w14:textId="77777777" w:rsidR="006A46AE" w:rsidRPr="00180522" w:rsidRDefault="006A46AE" w:rsidP="006A46AE">
      <w:pPr>
        <w:numPr>
          <w:ilvl w:val="0"/>
          <w:numId w:val="92"/>
        </w:numPr>
        <w:rPr>
          <w:rFonts w:asciiTheme="majorBidi" w:hAnsiTheme="majorBidi" w:cstheme="majorBidi"/>
          <w:bCs/>
          <w:lang w:val="en-GB" w:eastAsia="en-US"/>
        </w:rPr>
      </w:pPr>
      <w:r w:rsidRPr="00180522">
        <w:rPr>
          <w:rFonts w:asciiTheme="majorBidi" w:hAnsiTheme="majorBidi" w:cstheme="majorBidi"/>
          <w:bCs/>
          <w:lang w:val="en-GB" w:eastAsia="en-US"/>
        </w:rPr>
        <w:t xml:space="preserve">Changed DTA to </w:t>
      </w:r>
      <w:proofErr w:type="spellStart"/>
      <w:r w:rsidRPr="00180522">
        <w:rPr>
          <w:rFonts w:asciiTheme="majorBidi" w:hAnsiTheme="majorBidi" w:cstheme="majorBidi"/>
          <w:bCs/>
          <w:lang w:val="en-GB" w:eastAsia="en-US"/>
        </w:rPr>
        <w:t>iDTA</w:t>
      </w:r>
      <w:proofErr w:type="spellEnd"/>
      <w:r w:rsidRPr="00180522">
        <w:rPr>
          <w:rFonts w:asciiTheme="majorBidi" w:hAnsiTheme="majorBidi" w:cstheme="majorBidi"/>
          <w:bCs/>
          <w:lang w:val="en-GB" w:eastAsia="en-US"/>
        </w:rPr>
        <w:t xml:space="preserve"> throughout as appropriate (AMD.5 LC comment resolution).</w:t>
      </w:r>
    </w:p>
    <w:p w14:paraId="6AD8CB82" w14:textId="77777777" w:rsidR="006A46AE" w:rsidRPr="00180522" w:rsidRDefault="006A46AE" w:rsidP="006A46AE">
      <w:pPr>
        <w:rPr>
          <w:lang w:val="en-GB"/>
        </w:rPr>
      </w:pPr>
      <w:r w:rsidRPr="00180522">
        <w:rPr>
          <w:b/>
          <w:bCs/>
          <w:lang w:val="en-GB"/>
        </w:rPr>
        <w:lastRenderedPageBreak/>
        <w:t>ITU-T G.9701 (2019) Amd.1 "Fast access to subscriber terminals (</w:t>
      </w:r>
      <w:proofErr w:type="spellStart"/>
      <w:r w:rsidRPr="00180522">
        <w:rPr>
          <w:b/>
          <w:bCs/>
          <w:lang w:val="en-GB"/>
        </w:rPr>
        <w:t>G.fast</w:t>
      </w:r>
      <w:proofErr w:type="spellEnd"/>
      <w:r w:rsidRPr="00180522">
        <w:rPr>
          <w:b/>
          <w:bCs/>
          <w:lang w:val="en-GB"/>
        </w:rPr>
        <w:t>) – Physical layer specification – Amendment 1"</w:t>
      </w:r>
      <w:r w:rsidRPr="00180522">
        <w:rPr>
          <w:lang w:val="en-GB"/>
        </w:rPr>
        <w:t xml:space="preserve"> (under approval) includes enhancements to DTA functionality.</w:t>
      </w:r>
    </w:p>
    <w:p w14:paraId="1A042C58" w14:textId="77777777" w:rsidR="006A46AE" w:rsidRPr="00180522" w:rsidRDefault="006A46AE" w:rsidP="006A46AE">
      <w:pPr>
        <w:rPr>
          <w:lang w:val="en-GB"/>
        </w:rPr>
      </w:pPr>
      <w:r w:rsidRPr="00180522">
        <w:rPr>
          <w:b/>
          <w:bCs/>
          <w:lang w:val="en-GB"/>
        </w:rPr>
        <w:t>ITU-T G.9710 "Multi-gigabit fast access to subscriber terminals (</w:t>
      </w:r>
      <w:proofErr w:type="spellStart"/>
      <w:r w:rsidRPr="00180522">
        <w:rPr>
          <w:b/>
          <w:bCs/>
          <w:lang w:val="en-GB"/>
        </w:rPr>
        <w:t>MGfast</w:t>
      </w:r>
      <w:proofErr w:type="spellEnd"/>
      <w:r w:rsidRPr="00180522">
        <w:rPr>
          <w:b/>
          <w:bCs/>
          <w:lang w:val="en-GB"/>
        </w:rPr>
        <w:t>) – Power spectral density specification"</w:t>
      </w:r>
      <w:r w:rsidRPr="00180522">
        <w:rPr>
          <w:lang w:val="en-GB"/>
        </w:rPr>
        <w:t xml:space="preserve"> (under approval) specifies power spectral density (PSD) mask requirements for Multi-gigabit fast access to subscriber terminals (</w:t>
      </w:r>
      <w:proofErr w:type="spellStart"/>
      <w:r w:rsidRPr="00180522">
        <w:rPr>
          <w:lang w:val="en-GB"/>
        </w:rPr>
        <w:t>MGfast</w:t>
      </w:r>
      <w:proofErr w:type="spellEnd"/>
      <w:r w:rsidRPr="00180522">
        <w:rPr>
          <w:lang w:val="en-GB"/>
        </w:rPr>
        <w:t>), a set of tools to support reduction of the transmit PSD mask, and a methodology for transmit PSD verification. It supports operation over both twisted pair and coaxial cable media.</w:t>
      </w:r>
    </w:p>
    <w:p w14:paraId="2D25F806" w14:textId="77777777" w:rsidR="006A46AE" w:rsidRPr="00180522" w:rsidRDefault="006A46AE" w:rsidP="006A46AE">
      <w:pPr>
        <w:pStyle w:val="Headingb"/>
      </w:pPr>
      <w:bookmarkStart w:id="222" w:name="_Toc480527892"/>
      <w:r w:rsidRPr="00180522">
        <w:t>I.1.2</w:t>
      </w:r>
      <w:r w:rsidRPr="00180522">
        <w:tab/>
        <w:t>Ultra-high-speed access including NG-PON2</w:t>
      </w:r>
      <w:bookmarkEnd w:id="222"/>
    </w:p>
    <w:p w14:paraId="24A8BFAB" w14:textId="77777777" w:rsidR="006A46AE" w:rsidRPr="00180522" w:rsidRDefault="006A46AE" w:rsidP="006A46AE">
      <w:pPr>
        <w:rPr>
          <w:lang w:val="en-GB"/>
        </w:rPr>
      </w:pPr>
      <w:r w:rsidRPr="00180522">
        <w:rPr>
          <w:b/>
          <w:lang w:val="en-GB"/>
        </w:rPr>
        <w:t>ITU-T G.984.2 (revised) "Gigabit-capable Passive Optical Networks (G-PON): Physical Media Dependent (PMD) layer specification"</w:t>
      </w:r>
      <w:r w:rsidRPr="00180522">
        <w:rPr>
          <w:lang w:val="en-GB"/>
        </w:rPr>
        <w:t xml:space="preserve"> describes a flexible optical fibre access network capable of supporting the bandwidth requirements of business and residential services, and covers systems with nominal line rates of 1244.160 Mbit/s and 2488.320 Mbit/s in the downstream direction and 155.520 Mbit/s, 622.080 Mbit/s, 1244.160 Mbit/s and 2488.320 Mbit/s in the upstream direction. Both symmetrical and asymmetrical (upstream/downstream) Gigabit-capable Passive Optical Network (GPON) systems are described. This Recommendation proposes the physical layer requirements and specifications for the Physical Media Dependent (PMD) layer. The Transmission Convergence (TC) layer and ranging protocol for GPON systems are described in a different ITU-T Recommendation.</w:t>
      </w:r>
    </w:p>
    <w:p w14:paraId="78CDD384" w14:textId="77777777" w:rsidR="006A46AE" w:rsidRPr="00180522" w:rsidRDefault="006A46AE" w:rsidP="006A46AE">
      <w:pPr>
        <w:rPr>
          <w:lang w:val="en-GB"/>
        </w:rPr>
      </w:pPr>
      <w:r w:rsidRPr="00180522">
        <w:rPr>
          <w:lang w:val="en-GB"/>
        </w:rPr>
        <w:t>This Recommendation describes a system that represents an evolutionary development from the system described in ITU-T Rec. G.983.1. To the greatest extent possible, this Recommendation maintains the requirements of ITU-T Rec. G.983.1 to insure maximal continuity with existing systems and optical fibre infrastructure. In addition, it describes several enhanced optical budgets (B+, C+, and D) to extend that capability. The necessary parameters are defined to support optical layer supervision.</w:t>
      </w:r>
    </w:p>
    <w:p w14:paraId="0B386B56" w14:textId="77777777" w:rsidR="006A46AE" w:rsidRPr="00180522" w:rsidRDefault="006A46AE" w:rsidP="006A46AE">
      <w:pPr>
        <w:rPr>
          <w:szCs w:val="24"/>
          <w:lang w:val="en-GB"/>
        </w:rPr>
      </w:pPr>
      <w:r w:rsidRPr="00180522">
        <w:rPr>
          <w:b/>
          <w:szCs w:val="24"/>
          <w:lang w:val="en-GB"/>
        </w:rPr>
        <w:t>ITU-T G.988 (2017) Amd.2 "ONU management and control interface (OMCI) specification - Amendment 2"</w:t>
      </w:r>
      <w:r w:rsidRPr="00180522">
        <w:rPr>
          <w:szCs w:val="24"/>
          <w:lang w:val="en-GB"/>
        </w:rPr>
        <w:t xml:space="preserve"> contains updates to ITU-T G.988 (2018 </w:t>
      </w:r>
      <w:proofErr w:type="spellStart"/>
      <w:r w:rsidRPr="00180522">
        <w:rPr>
          <w:szCs w:val="24"/>
          <w:lang w:val="en-GB"/>
        </w:rPr>
        <w:t>Amd</w:t>
      </w:r>
      <w:proofErr w:type="spellEnd"/>
      <w:r w:rsidRPr="00180522">
        <w:rPr>
          <w:szCs w:val="24"/>
          <w:lang w:val="en-GB"/>
        </w:rPr>
        <w:t xml:space="preserve"> 1). This amendment adds support for DC voltage based visual message indicators in G.988 VOIP application service profile ME. This amendment makes editorial changes on Extended VLAN.</w:t>
      </w:r>
    </w:p>
    <w:p w14:paraId="0E7A89CD" w14:textId="77777777" w:rsidR="006A46AE" w:rsidRPr="00180522" w:rsidRDefault="006A46AE" w:rsidP="006A46AE">
      <w:pPr>
        <w:rPr>
          <w:lang w:val="en-GB"/>
        </w:rPr>
      </w:pPr>
      <w:r w:rsidRPr="00180522">
        <w:rPr>
          <w:b/>
          <w:lang w:val="en-GB"/>
        </w:rPr>
        <w:t>ITU-T G.989.2 (revised) "40-Gigabit-capable passive optical networks 2 (NG PON2): Physical media dependent (PMD) layer specification"</w:t>
      </w:r>
      <w:r w:rsidRPr="00180522">
        <w:rPr>
          <w:lang w:val="en-GB"/>
        </w:rPr>
        <w:t xml:space="preserve"> specifies the physical media dependent (PMD) layer requirements for a passive optical network (PON) system with a nominal aggregate capacity of 40 </w:t>
      </w:r>
      <w:proofErr w:type="spellStart"/>
      <w:r w:rsidRPr="00180522">
        <w:rPr>
          <w:lang w:val="en-GB"/>
        </w:rPr>
        <w:t>Gbit</w:t>
      </w:r>
      <w:proofErr w:type="spellEnd"/>
      <w:r w:rsidRPr="00180522">
        <w:rPr>
          <w:lang w:val="en-GB"/>
        </w:rPr>
        <w:t xml:space="preserve">/s in the downstream direction and 10 </w:t>
      </w:r>
      <w:proofErr w:type="spellStart"/>
      <w:r w:rsidRPr="00180522">
        <w:rPr>
          <w:lang w:val="en-GB"/>
        </w:rPr>
        <w:t>Gbit</w:t>
      </w:r>
      <w:proofErr w:type="spellEnd"/>
      <w:r w:rsidRPr="00180522">
        <w:rPr>
          <w:lang w:val="en-GB"/>
        </w:rPr>
        <w:t>/s in the upstream direction, 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0E0542DC" w14:textId="77777777" w:rsidR="006A46AE" w:rsidRPr="00180522" w:rsidRDefault="006A46AE" w:rsidP="006A46AE">
      <w:pPr>
        <w:rPr>
          <w:lang w:val="en-GB"/>
        </w:rPr>
      </w:pPr>
      <w:r w:rsidRPr="00180522">
        <w:rPr>
          <w:lang w:val="en-GB"/>
        </w:rPr>
        <w:t xml:space="preserve">This Recommendation specifies the characteristics of hybrid time and wavelength division multiplexing (TWDM) channels, referred to as TWDM PON. The characteristics of optional, </w:t>
      </w:r>
      <w:proofErr w:type="spellStart"/>
      <w:r w:rsidRPr="00180522">
        <w:rPr>
          <w:lang w:val="en-GB"/>
        </w:rPr>
        <w:t>tunable</w:t>
      </w:r>
      <w:proofErr w:type="spellEnd"/>
      <w:r w:rsidRPr="00180522">
        <w:rPr>
          <w:lang w:val="en-GB"/>
        </w:rPr>
        <w:t xml:space="preserve"> point-to-point wavelength overlay channels are also described, referred to as point-to-point wavelength division multiplexing (</w:t>
      </w:r>
      <w:proofErr w:type="spellStart"/>
      <w:r w:rsidRPr="00180522">
        <w:rPr>
          <w:lang w:val="en-GB"/>
        </w:rPr>
        <w:t>PtP</w:t>
      </w:r>
      <w:proofErr w:type="spellEnd"/>
      <w:r w:rsidRPr="00180522">
        <w:rPr>
          <w:lang w:val="en-GB"/>
        </w:rPr>
        <w:t xml:space="preserve"> WDM) PON.</w:t>
      </w:r>
    </w:p>
    <w:p w14:paraId="7AE2AD09" w14:textId="77777777" w:rsidR="006A46AE" w:rsidRPr="00180522" w:rsidRDefault="006A46AE" w:rsidP="006A46AE">
      <w:pPr>
        <w:rPr>
          <w:lang w:val="en-GB"/>
        </w:rPr>
      </w:pPr>
      <w:r w:rsidRPr="00180522">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65153E89" w14:textId="77777777" w:rsidR="006A46AE" w:rsidRPr="00180522" w:rsidRDefault="006A46AE" w:rsidP="006A46AE">
      <w:pPr>
        <w:rPr>
          <w:lang w:val="en-GB"/>
        </w:rPr>
      </w:pPr>
      <w:r w:rsidRPr="00180522">
        <w:rPr>
          <w:lang w:val="en-GB"/>
        </w:rPr>
        <w:t>Edition 2.0 continues the maintenance and evolution of physical media dependent (PMD) layer specification.</w:t>
      </w:r>
    </w:p>
    <w:p w14:paraId="7B0CE8CE" w14:textId="77777777" w:rsidR="006A46AE" w:rsidRPr="00180522" w:rsidRDefault="006A46AE" w:rsidP="006A46AE">
      <w:pPr>
        <w:rPr>
          <w:lang w:val="en-GB"/>
        </w:rPr>
      </w:pPr>
      <w:r w:rsidRPr="00180522">
        <w:rPr>
          <w:b/>
          <w:lang w:val="en-GB"/>
        </w:rPr>
        <w:lastRenderedPageBreak/>
        <w:t>ITU-T G.989.3 Amd2 "40-Gigabit-capable passive optical networks (NG PON2): Transmission Convergence (TC) layer specification"</w:t>
      </w:r>
      <w:r w:rsidRPr="00180522">
        <w:rPr>
          <w:lang w:val="en-GB"/>
        </w:rPr>
        <w:t xml:space="preserve"> continues the evolution of NG-PON2 Transmission Convergence (TC) layer, introducing TWDM channel bonding, making additions and changes to the PLOAM channel, providing DBA enhancements, and performing regular specification maintenance.</w:t>
      </w:r>
    </w:p>
    <w:p w14:paraId="394C1B46" w14:textId="77777777" w:rsidR="006A46AE" w:rsidRPr="00180522" w:rsidRDefault="006A46AE" w:rsidP="006A46AE">
      <w:pPr>
        <w:rPr>
          <w:lang w:val="en-GB"/>
        </w:rPr>
      </w:pPr>
      <w:r w:rsidRPr="00180522">
        <w:rPr>
          <w:b/>
          <w:lang w:val="en-GB"/>
        </w:rPr>
        <w:t>ITU-T G-series Supplement "5G Wireless Fronthaul Requirements in a PON Context"</w:t>
      </w:r>
      <w:r w:rsidRPr="00180522">
        <w:rPr>
          <w:lang w:val="en-GB"/>
        </w:rPr>
        <w:t xml:space="preserve"> enumerates the various requirements arising from 5G wireless systems, concentrating on the fronthaul portion of the network, and considers how they compare with current and future optical access transport systems. Practical passive optical network solutions to serve the 5G fronthaul application are hypothesized.</w:t>
      </w:r>
    </w:p>
    <w:p w14:paraId="37BF30C2" w14:textId="77777777" w:rsidR="006A46AE" w:rsidRPr="00180522" w:rsidRDefault="006A46AE" w:rsidP="006A46AE">
      <w:pPr>
        <w:pStyle w:val="Headingb"/>
      </w:pPr>
      <w:r w:rsidRPr="00180522">
        <w:t>I.1.3</w:t>
      </w:r>
      <w:r w:rsidRPr="00180522">
        <w:tab/>
        <w:t>Optical fibres</w:t>
      </w:r>
      <w:bookmarkEnd w:id="220"/>
    </w:p>
    <w:p w14:paraId="3CBE64A2" w14:textId="77777777" w:rsidR="006A46AE" w:rsidRPr="00180522" w:rsidRDefault="006A46AE" w:rsidP="006A46AE">
      <w:pPr>
        <w:rPr>
          <w:lang w:val="en-GB" w:eastAsia="en-US"/>
        </w:rPr>
      </w:pPr>
      <w:r w:rsidRPr="00180522">
        <w:rPr>
          <w:b/>
          <w:lang w:val="en-GB" w:eastAsia="en-US"/>
        </w:rPr>
        <w:t xml:space="preserve">ITU-T G.9803 "Radio over </w:t>
      </w:r>
      <w:proofErr w:type="spellStart"/>
      <w:r w:rsidRPr="00180522">
        <w:rPr>
          <w:b/>
          <w:lang w:val="en-GB" w:eastAsia="en-US"/>
        </w:rPr>
        <w:t>fiber</w:t>
      </w:r>
      <w:proofErr w:type="spellEnd"/>
      <w:r w:rsidRPr="00180522">
        <w:rPr>
          <w:b/>
          <w:lang w:val="en-GB" w:eastAsia="en-US"/>
        </w:rPr>
        <w:t xml:space="preserve"> systems"</w:t>
      </w:r>
      <w:r w:rsidRPr="00180522">
        <w:rPr>
          <w:lang w:val="en-GB" w:eastAsia="en-US"/>
        </w:rPr>
        <w:t xml:space="preserve"> defines fundamental architecture and requirements for radio over </w:t>
      </w:r>
      <w:proofErr w:type="spellStart"/>
      <w:r w:rsidRPr="00180522">
        <w:rPr>
          <w:lang w:val="en-GB" w:eastAsia="en-US"/>
        </w:rPr>
        <w:t>fiber</w:t>
      </w:r>
      <w:proofErr w:type="spellEnd"/>
      <w:r w:rsidRPr="00180522">
        <w:rPr>
          <w:lang w:val="en-GB" w:eastAsia="en-US"/>
        </w:rPr>
        <w:t xml:space="preserve"> system and specifies radio over </w:t>
      </w:r>
      <w:proofErr w:type="spellStart"/>
      <w:r w:rsidRPr="00180522">
        <w:rPr>
          <w:lang w:val="en-GB" w:eastAsia="en-US"/>
        </w:rPr>
        <w:t>fiber</w:t>
      </w:r>
      <w:proofErr w:type="spellEnd"/>
      <w:r w:rsidRPr="00180522">
        <w:rPr>
          <w:lang w:val="en-GB" w:eastAsia="en-US"/>
        </w:rPr>
        <w:t xml:space="preserve"> transmission systems suitable for access network and radiolocation applications.</w:t>
      </w:r>
    </w:p>
    <w:p w14:paraId="6F2772BD" w14:textId="77777777" w:rsidR="006A46AE" w:rsidRPr="00180522" w:rsidRDefault="006A46AE" w:rsidP="006A46AE">
      <w:pPr>
        <w:rPr>
          <w:lang w:val="en-GB" w:eastAsia="en-US"/>
        </w:rPr>
      </w:pPr>
      <w:r w:rsidRPr="00180522">
        <w:rPr>
          <w:b/>
          <w:lang w:val="en-GB" w:eastAsia="en-US"/>
        </w:rPr>
        <w:t>ITU-T G.9803 Amd.1 "Radio over fibre systems – Amendment 1"</w:t>
      </w:r>
      <w:r w:rsidRPr="00180522">
        <w:rPr>
          <w:lang w:val="en-GB"/>
        </w:rPr>
        <w:t xml:space="preserve"> develops </w:t>
      </w:r>
      <w:r w:rsidRPr="00180522">
        <w:rPr>
          <w:lang w:val="en-GB" w:eastAsia="en-US"/>
        </w:rPr>
        <w:t>a new type of optical access network based on radio-over-fibre (</w:t>
      </w:r>
      <w:proofErr w:type="spellStart"/>
      <w:r w:rsidRPr="00180522">
        <w:rPr>
          <w:lang w:val="en-GB" w:eastAsia="en-US"/>
        </w:rPr>
        <w:t>RoF</w:t>
      </w:r>
      <w:proofErr w:type="spellEnd"/>
      <w:r w:rsidRPr="00180522">
        <w:rPr>
          <w:lang w:val="en-GB" w:eastAsia="en-US"/>
        </w:rPr>
        <w:t xml:space="preserve">) technologies. This Recommendation describes a fundamental architecture and requirements for </w:t>
      </w:r>
      <w:proofErr w:type="spellStart"/>
      <w:r w:rsidRPr="00180522">
        <w:rPr>
          <w:lang w:val="en-GB" w:eastAsia="en-US"/>
        </w:rPr>
        <w:t>RoF</w:t>
      </w:r>
      <w:proofErr w:type="spellEnd"/>
      <w:r w:rsidRPr="00180522">
        <w:rPr>
          <w:lang w:val="en-GB" w:eastAsia="en-US"/>
        </w:rPr>
        <w:t xml:space="preserve"> systems. This Recommendation specifies the system overview, physical layer requirements, system requirements and co-existence with passive optical network (PON) for analogue </w:t>
      </w:r>
      <w:proofErr w:type="spellStart"/>
      <w:r w:rsidRPr="00180522">
        <w:rPr>
          <w:lang w:val="en-GB" w:eastAsia="en-US"/>
        </w:rPr>
        <w:t>RoF</w:t>
      </w:r>
      <w:proofErr w:type="spellEnd"/>
      <w:r w:rsidRPr="00180522">
        <w:rPr>
          <w:lang w:val="en-GB" w:eastAsia="en-US"/>
        </w:rPr>
        <w:t xml:space="preserve"> systems supporting the international mobile telecommunication (IMT) system over optical distribution network (ODN). This Recommendation also describes the system overview and physical layer requirements for analogue </w:t>
      </w:r>
      <w:proofErr w:type="spellStart"/>
      <w:r w:rsidRPr="00180522">
        <w:rPr>
          <w:lang w:val="en-GB" w:eastAsia="en-US"/>
        </w:rPr>
        <w:t>RoF</w:t>
      </w:r>
      <w:proofErr w:type="spellEnd"/>
      <w:r w:rsidRPr="00180522">
        <w:rPr>
          <w:lang w:val="en-GB" w:eastAsia="en-US"/>
        </w:rPr>
        <w:t xml:space="preserve"> systems supporting the foreign object debris (FOD) detection system.</w:t>
      </w:r>
    </w:p>
    <w:p w14:paraId="5769BF56" w14:textId="77777777" w:rsidR="006A46AE" w:rsidRPr="00180522" w:rsidRDefault="006A46AE" w:rsidP="006A46AE">
      <w:pPr>
        <w:rPr>
          <w:b/>
          <w:lang w:val="en-GB" w:eastAsia="en-US"/>
        </w:rPr>
      </w:pPr>
      <w:r w:rsidRPr="00180522">
        <w:rPr>
          <w:b/>
          <w:lang w:val="en-GB" w:eastAsia="en-US"/>
        </w:rPr>
        <w:t>ITU-T G.9804.1 "Higher Speed Passive Optical Networks: Requirements</w:t>
      </w:r>
      <w:r w:rsidRPr="00180522">
        <w:rPr>
          <w:lang w:val="en-GB" w:eastAsia="en-US"/>
        </w:rPr>
        <w:t>" (under approval) serves as a guide to the development of higher speed PON systems, by identifying sets of applications that can be addressed by a particular system, and defining the requirements for each of those systems. It is anticipated that there may have several distinct systems, such as higher speed single channel (TDMA-PON), higher speed multi-channel (TWDM-PON), and higher speed point to point overlay PONs.</w:t>
      </w:r>
    </w:p>
    <w:p w14:paraId="0EDE17B1" w14:textId="77777777" w:rsidR="006A46AE" w:rsidRPr="00180522" w:rsidRDefault="006A46AE" w:rsidP="006A46AE">
      <w:pPr>
        <w:rPr>
          <w:lang w:val="en-GB"/>
        </w:rPr>
      </w:pPr>
      <w:r w:rsidRPr="00180522">
        <w:rPr>
          <w:b/>
          <w:lang w:val="en-GB"/>
        </w:rPr>
        <w:t>ITU-T L.163 "Criteria for optical fibre cable installation with minimal existing infrastructure"</w:t>
      </w:r>
      <w:r w:rsidRPr="00180522">
        <w:rPr>
          <w:lang w:val="en-GB"/>
        </w:rPr>
        <w:t xml:space="preserve">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14:paraId="793FA5C8" w14:textId="77777777" w:rsidR="006A46AE" w:rsidRPr="00180522" w:rsidRDefault="006A46AE" w:rsidP="006A46AE">
      <w:pPr>
        <w:rPr>
          <w:lang w:val="en-GB"/>
        </w:rPr>
      </w:pPr>
      <w:r w:rsidRPr="00180522">
        <w:rPr>
          <w:lang w:val="en-GB"/>
        </w:rPr>
        <w:t>This Recommendation also describes how to mitigate the considerable risks and/or issues to which the optical fibre cable may be exposed when infrastructures are minimal during installation, maintenance and operation procedures.</w:t>
      </w:r>
    </w:p>
    <w:p w14:paraId="19C7EA9C" w14:textId="77777777" w:rsidR="006A46AE" w:rsidRPr="00180522" w:rsidRDefault="006A46AE" w:rsidP="006A46AE">
      <w:pPr>
        <w:rPr>
          <w:lang w:val="en-GB" w:eastAsia="en-US"/>
        </w:rPr>
      </w:pPr>
      <w:r w:rsidRPr="00180522">
        <w:rPr>
          <w:b/>
          <w:lang w:val="en-GB"/>
        </w:rPr>
        <w:t>ITU-T L.208 "Requirements for passive optical nodes: Fibre distribution boxes</w:t>
      </w:r>
      <w:r w:rsidRPr="00180522">
        <w:rPr>
          <w:lang w:val="en-GB"/>
        </w:rPr>
        <w:t>" refers to Fibre Distribution Boxes (FDB) deployed as passive optical nodes in indoor or outdoor environments. It deals with the FDB housing, FDB fibre management system, cable attachment and termination system, and specifies the mechanical and environmental characteristics as well.</w:t>
      </w:r>
    </w:p>
    <w:p w14:paraId="25802D61" w14:textId="77777777" w:rsidR="006A46AE" w:rsidRPr="00180522" w:rsidRDefault="006A46AE" w:rsidP="006A46AE">
      <w:pPr>
        <w:rPr>
          <w:b/>
          <w:sz w:val="22"/>
          <w:szCs w:val="22"/>
          <w:highlight w:val="yellow"/>
          <w:lang w:val="en-GB"/>
        </w:rPr>
      </w:pPr>
      <w:bookmarkStart w:id="223" w:name="_Toc480527891"/>
      <w:r w:rsidRPr="00180522">
        <w:rPr>
          <w:b/>
          <w:sz w:val="22"/>
          <w:szCs w:val="22"/>
          <w:lang w:val="en-GB"/>
        </w:rPr>
        <w:t>I.1.4</w:t>
      </w:r>
      <w:r w:rsidRPr="00180522">
        <w:rPr>
          <w:b/>
          <w:sz w:val="22"/>
          <w:szCs w:val="22"/>
          <w:lang w:val="en-GB"/>
        </w:rPr>
        <w:tab/>
        <w:t>Ultra-high-speed optical core network: OTN beyond 100G</w:t>
      </w:r>
      <w:bookmarkEnd w:id="223"/>
    </w:p>
    <w:p w14:paraId="41599963" w14:textId="77777777" w:rsidR="006A46AE" w:rsidRPr="00180522" w:rsidRDefault="006A46AE" w:rsidP="006A46AE">
      <w:pPr>
        <w:rPr>
          <w:lang w:val="en-GB"/>
        </w:rPr>
      </w:pPr>
      <w:r w:rsidRPr="00180522">
        <w:rPr>
          <w:b/>
          <w:bCs/>
          <w:lang w:val="en-GB"/>
        </w:rPr>
        <w:t>ITU-T G.709/Y.1331 (2016) Amd.3 "Interfaces for the optical transport network (OTN): Amendment 3"</w:t>
      </w:r>
      <w:r w:rsidRPr="00180522">
        <w:rPr>
          <w:lang w:val="en-GB"/>
        </w:rPr>
        <w:t xml:space="preserve"> contains extensions to the fifth edition (06/2016) of ITU-T Recommendation G.709/Y.1331, related to the:</w:t>
      </w:r>
    </w:p>
    <w:p w14:paraId="255E38D1" w14:textId="77777777" w:rsidR="006A46AE" w:rsidRPr="00180522" w:rsidRDefault="006A46AE" w:rsidP="006A46AE">
      <w:pPr>
        <w:numPr>
          <w:ilvl w:val="0"/>
          <w:numId w:val="71"/>
        </w:numPr>
        <w:rPr>
          <w:lang w:val="en-GB"/>
        </w:rPr>
      </w:pPr>
      <w:r w:rsidRPr="00180522">
        <w:rPr>
          <w:lang w:val="en-GB"/>
        </w:rPr>
        <w:t xml:space="preserve">Addition of interconnection of Ethernet UNI and </w:t>
      </w:r>
      <w:proofErr w:type="spellStart"/>
      <w:r w:rsidRPr="00180522">
        <w:rPr>
          <w:lang w:val="en-GB"/>
        </w:rPr>
        <w:t>FlexE</w:t>
      </w:r>
      <w:proofErr w:type="spellEnd"/>
      <w:r w:rsidRPr="00180522">
        <w:rPr>
          <w:lang w:val="en-GB"/>
        </w:rPr>
        <w:t xml:space="preserve"> Group UNI in two administrative domains (7.5, Appendix XIV).</w:t>
      </w:r>
    </w:p>
    <w:p w14:paraId="2AB67934" w14:textId="77777777" w:rsidR="006A46AE" w:rsidRPr="00180522" w:rsidRDefault="006A46AE" w:rsidP="006A46AE">
      <w:pPr>
        <w:numPr>
          <w:ilvl w:val="0"/>
          <w:numId w:val="71"/>
        </w:numPr>
        <w:rPr>
          <w:lang w:val="en-GB"/>
        </w:rPr>
      </w:pPr>
      <w:r w:rsidRPr="00180522">
        <w:rPr>
          <w:lang w:val="en-GB"/>
        </w:rPr>
        <w:lastRenderedPageBreak/>
        <w:t xml:space="preserve">Addition of 50GBASE-R mapping into </w:t>
      </w:r>
      <w:proofErr w:type="spellStart"/>
      <w:r w:rsidRPr="00180522">
        <w:rPr>
          <w:lang w:val="en-GB"/>
        </w:rPr>
        <w:t>ODUflex</w:t>
      </w:r>
      <w:proofErr w:type="spellEnd"/>
      <w:r w:rsidRPr="00180522">
        <w:rPr>
          <w:lang w:val="en-GB"/>
        </w:rPr>
        <w:t xml:space="preserve"> (2, 17.13.3, Annex J).</w:t>
      </w:r>
    </w:p>
    <w:p w14:paraId="35547A1C" w14:textId="77777777" w:rsidR="006A46AE" w:rsidRPr="00180522" w:rsidRDefault="006A46AE" w:rsidP="006A46AE">
      <w:pPr>
        <w:numPr>
          <w:ilvl w:val="0"/>
          <w:numId w:val="71"/>
        </w:numPr>
        <w:rPr>
          <w:lang w:val="en-GB"/>
        </w:rPr>
      </w:pPr>
      <w:r w:rsidRPr="00180522">
        <w:rPr>
          <w:lang w:val="en-GB"/>
        </w:rPr>
        <w:t xml:space="preserve">Update of </w:t>
      </w:r>
      <w:proofErr w:type="spellStart"/>
      <w:r w:rsidRPr="00180522">
        <w:rPr>
          <w:lang w:val="en-GB"/>
        </w:rPr>
        <w:t>FlexE</w:t>
      </w:r>
      <w:proofErr w:type="spellEnd"/>
      <w:r w:rsidRPr="00180522">
        <w:rPr>
          <w:lang w:val="en-GB"/>
        </w:rPr>
        <w:t xml:space="preserve"> terminology and calendar slot descriptions with </w:t>
      </w:r>
      <w:proofErr w:type="spellStart"/>
      <w:r w:rsidRPr="00180522">
        <w:rPr>
          <w:lang w:val="en-GB"/>
        </w:rPr>
        <w:t>FlexE</w:t>
      </w:r>
      <w:proofErr w:type="spellEnd"/>
      <w:r w:rsidRPr="00180522">
        <w:rPr>
          <w:lang w:val="en-GB"/>
        </w:rPr>
        <w:t xml:space="preserve"> 2.0 IA (2, 17.11, 17.12).</w:t>
      </w:r>
    </w:p>
    <w:p w14:paraId="04DD632F" w14:textId="77777777" w:rsidR="006A46AE" w:rsidRPr="00180522" w:rsidRDefault="006A46AE" w:rsidP="006A46AE">
      <w:pPr>
        <w:numPr>
          <w:ilvl w:val="0"/>
          <w:numId w:val="71"/>
        </w:numPr>
        <w:rPr>
          <w:lang w:val="en-GB"/>
        </w:rPr>
      </w:pPr>
      <w:r w:rsidRPr="00180522">
        <w:rPr>
          <w:lang w:val="en-GB"/>
        </w:rPr>
        <w:t>Redefine the OP overhead bit in bit 1 of JC6 as a RES overhead (20.4, 20.4.3.1, 20.5).</w:t>
      </w:r>
    </w:p>
    <w:p w14:paraId="3C32C1D7" w14:textId="77777777" w:rsidR="006A46AE" w:rsidRPr="00180522" w:rsidRDefault="006A46AE" w:rsidP="006A46AE">
      <w:pPr>
        <w:numPr>
          <w:ilvl w:val="0"/>
          <w:numId w:val="71"/>
        </w:numPr>
        <w:rPr>
          <w:lang w:val="en-GB"/>
        </w:rPr>
      </w:pPr>
      <w:r w:rsidRPr="00180522">
        <w:rPr>
          <w:lang w:val="en-GB"/>
        </w:rPr>
        <w:t xml:space="preserve">Replacement of references to IEEE Std. 802.3-2015, 802.3by and 802.3bs by a reference to IEEE </w:t>
      </w:r>
      <w:proofErr w:type="spellStart"/>
      <w:r w:rsidRPr="00180522">
        <w:rPr>
          <w:lang w:val="en-GB"/>
        </w:rPr>
        <w:t>Std</w:t>
      </w:r>
      <w:proofErr w:type="spellEnd"/>
      <w:r w:rsidRPr="00180522">
        <w:rPr>
          <w:lang w:val="en-GB"/>
        </w:rPr>
        <w:t xml:space="preserve"> 802.3-2018 (2, 17.13.1, 17.13.2, Annex J, Annex K).</w:t>
      </w:r>
    </w:p>
    <w:p w14:paraId="02431EB0" w14:textId="77777777" w:rsidR="006A46AE" w:rsidRPr="00180522" w:rsidRDefault="006A46AE" w:rsidP="006A46AE">
      <w:pPr>
        <w:numPr>
          <w:ilvl w:val="0"/>
          <w:numId w:val="71"/>
        </w:numPr>
        <w:rPr>
          <w:lang w:val="en-GB"/>
        </w:rPr>
      </w:pPr>
      <w:r w:rsidRPr="00180522">
        <w:rPr>
          <w:lang w:val="en-GB"/>
        </w:rPr>
        <w:t xml:space="preserve">Addition of ODU4 and </w:t>
      </w:r>
      <w:proofErr w:type="spellStart"/>
      <w:r w:rsidRPr="00180522">
        <w:rPr>
          <w:lang w:val="en-GB"/>
        </w:rPr>
        <w:t>ODUflex</w:t>
      </w:r>
      <w:proofErr w:type="spellEnd"/>
      <w:r w:rsidRPr="00180522">
        <w:rPr>
          <w:lang w:val="en-GB"/>
        </w:rPr>
        <w:t>(25G/50G/200G/400GBASE-R) rows to Table 7-9 (7.4).</w:t>
      </w:r>
    </w:p>
    <w:p w14:paraId="63FD07A6" w14:textId="77777777" w:rsidR="006A46AE" w:rsidRPr="00180522" w:rsidRDefault="006A46AE" w:rsidP="006A46AE">
      <w:pPr>
        <w:numPr>
          <w:ilvl w:val="0"/>
          <w:numId w:val="71"/>
        </w:numPr>
        <w:rPr>
          <w:lang w:val="en-GB"/>
        </w:rPr>
      </w:pPr>
      <w:r w:rsidRPr="00180522">
        <w:rPr>
          <w:lang w:val="en-GB"/>
        </w:rPr>
        <w:t>Addition of 25G, 50G, 200G and 400GBASE-R rows to Table IX.1 (Appendix IX).</w:t>
      </w:r>
    </w:p>
    <w:p w14:paraId="7D1B509B" w14:textId="77777777" w:rsidR="006A46AE" w:rsidRPr="00180522" w:rsidRDefault="006A46AE" w:rsidP="006A46AE">
      <w:pPr>
        <w:numPr>
          <w:ilvl w:val="0"/>
          <w:numId w:val="71"/>
        </w:numPr>
        <w:rPr>
          <w:lang w:val="en-GB"/>
        </w:rPr>
      </w:pPr>
      <w:r w:rsidRPr="00180522">
        <w:rPr>
          <w:lang w:val="en-GB"/>
        </w:rPr>
        <w:t xml:space="preserve">Addition of </w:t>
      </w:r>
      <w:proofErr w:type="spellStart"/>
      <w:r w:rsidRPr="00180522">
        <w:rPr>
          <w:lang w:val="en-GB"/>
        </w:rPr>
        <w:t>ODUflex</w:t>
      </w:r>
      <w:proofErr w:type="spellEnd"/>
      <w:r w:rsidRPr="00180522">
        <w:rPr>
          <w:lang w:val="en-GB"/>
        </w:rPr>
        <w:t>(25G/50GGBASE-R, FC-1600/3200) rows to Table X.1 (Appendix X).</w:t>
      </w:r>
    </w:p>
    <w:p w14:paraId="1BF05155" w14:textId="77777777" w:rsidR="006A46AE" w:rsidRPr="00180522" w:rsidRDefault="006A46AE" w:rsidP="006A46AE">
      <w:pPr>
        <w:rPr>
          <w:lang w:val="en-GB"/>
        </w:rPr>
      </w:pPr>
      <w:r w:rsidRPr="00180522">
        <w:rPr>
          <w:b/>
          <w:bCs/>
          <w:lang w:val="en-GB"/>
        </w:rPr>
        <w:t>ITU-T G.709.1/Y.1331.1 Amd.1 "Flexible OTN short-reach interfaces: Amendment 1"</w:t>
      </w:r>
      <w:r w:rsidRPr="00180522">
        <w:rPr>
          <w:lang w:val="en-GB"/>
        </w:rPr>
        <w:t xml:space="preserve"> contains editorial changes to the second edition (06/2018) of ITU-T Recommendation G.709.1/Y.1331.1, related to the:</w:t>
      </w:r>
    </w:p>
    <w:p w14:paraId="6D6CE9A4" w14:textId="77777777" w:rsidR="006A46AE" w:rsidRPr="00180522" w:rsidRDefault="006A46AE" w:rsidP="006A46AE">
      <w:pPr>
        <w:numPr>
          <w:ilvl w:val="0"/>
          <w:numId w:val="72"/>
        </w:numPr>
        <w:rPr>
          <w:lang w:val="en-GB"/>
        </w:rPr>
      </w:pPr>
      <w:r w:rsidRPr="00180522">
        <w:rPr>
          <w:lang w:val="en-GB"/>
        </w:rPr>
        <w:t>FEC specification enhancements to align to G.709 format</w:t>
      </w:r>
    </w:p>
    <w:p w14:paraId="064C2886" w14:textId="77777777" w:rsidR="006A46AE" w:rsidRPr="00180522" w:rsidRDefault="006A46AE" w:rsidP="006A46AE">
      <w:pPr>
        <w:numPr>
          <w:ilvl w:val="0"/>
          <w:numId w:val="72"/>
        </w:numPr>
        <w:rPr>
          <w:lang w:val="en-GB"/>
        </w:rPr>
      </w:pPr>
      <w:r w:rsidRPr="00180522">
        <w:rPr>
          <w:lang w:val="en-GB"/>
        </w:rPr>
        <w:t xml:space="preserve">Replacement of PHY terminology to </w:t>
      </w:r>
      <w:proofErr w:type="spellStart"/>
      <w:r w:rsidRPr="00180522">
        <w:rPr>
          <w:lang w:val="en-GB"/>
        </w:rPr>
        <w:t>FlexO</w:t>
      </w:r>
      <w:proofErr w:type="spellEnd"/>
      <w:r w:rsidRPr="00180522">
        <w:rPr>
          <w:lang w:val="en-GB"/>
        </w:rPr>
        <w:t xml:space="preserve"> instances</w:t>
      </w:r>
    </w:p>
    <w:p w14:paraId="32BB5E8B" w14:textId="77777777" w:rsidR="006A46AE" w:rsidRPr="00180522" w:rsidRDefault="006A46AE" w:rsidP="006A46AE">
      <w:pPr>
        <w:numPr>
          <w:ilvl w:val="0"/>
          <w:numId w:val="72"/>
        </w:numPr>
        <w:rPr>
          <w:lang w:val="en-GB"/>
        </w:rPr>
      </w:pPr>
      <w:r w:rsidRPr="00180522">
        <w:rPr>
          <w:lang w:val="en-GB"/>
        </w:rPr>
        <w:t>Fixed typos in clause 11.6.1</w:t>
      </w:r>
    </w:p>
    <w:p w14:paraId="5926C75F" w14:textId="77777777" w:rsidR="006A46AE" w:rsidRPr="00180522" w:rsidRDefault="006A46AE" w:rsidP="006A46AE">
      <w:pPr>
        <w:rPr>
          <w:highlight w:val="yellow"/>
          <w:lang w:val="en-GB"/>
        </w:rPr>
      </w:pPr>
      <w:r w:rsidRPr="00180522">
        <w:rPr>
          <w:lang w:val="en-GB"/>
        </w:rPr>
        <w:t>Fixed typo in AM value of Table 9-2.</w:t>
      </w:r>
    </w:p>
    <w:p w14:paraId="3FBB6F4A" w14:textId="77777777" w:rsidR="006A46AE" w:rsidRPr="00180522" w:rsidRDefault="006A46AE" w:rsidP="006A46AE">
      <w:pPr>
        <w:rPr>
          <w:lang w:val="en-GB"/>
        </w:rPr>
      </w:pPr>
      <w:r w:rsidRPr="00180522">
        <w:rPr>
          <w:b/>
          <w:lang w:val="en-GB"/>
        </w:rPr>
        <w:t xml:space="preserve">ITU-T G.709/Y.1331 (2016) Amd.3 "Interfaces for the optical transport network (OTN): Amendment 3" </w:t>
      </w:r>
      <w:r w:rsidRPr="00180522">
        <w:rPr>
          <w:lang w:val="en-GB"/>
        </w:rPr>
        <w:t>(under approval) contains extensions to the fifth edition (06/2016) of ITU-T Recommendation G.709/Y.1331, related to the:</w:t>
      </w:r>
    </w:p>
    <w:p w14:paraId="14A93351" w14:textId="77777777" w:rsidR="006A46AE" w:rsidRPr="00180522" w:rsidRDefault="006A46AE" w:rsidP="006A46AE">
      <w:pPr>
        <w:numPr>
          <w:ilvl w:val="0"/>
          <w:numId w:val="76"/>
        </w:numPr>
        <w:rPr>
          <w:lang w:val="en-GB"/>
        </w:rPr>
      </w:pPr>
      <w:r w:rsidRPr="00180522">
        <w:rPr>
          <w:lang w:val="en-GB"/>
        </w:rPr>
        <w:t xml:space="preserve">Addition of interconnection of Ethernet UNI and </w:t>
      </w:r>
      <w:proofErr w:type="spellStart"/>
      <w:r w:rsidRPr="00180522">
        <w:rPr>
          <w:lang w:val="en-GB"/>
        </w:rPr>
        <w:t>FlexE</w:t>
      </w:r>
      <w:proofErr w:type="spellEnd"/>
      <w:r w:rsidRPr="00180522">
        <w:rPr>
          <w:lang w:val="en-GB"/>
        </w:rPr>
        <w:t xml:space="preserve"> Group UNI in two administrative domains (7.5, Appendix XIV).</w:t>
      </w:r>
    </w:p>
    <w:p w14:paraId="3A225E34" w14:textId="77777777" w:rsidR="006A46AE" w:rsidRPr="00180522" w:rsidRDefault="006A46AE" w:rsidP="006A46AE">
      <w:pPr>
        <w:numPr>
          <w:ilvl w:val="0"/>
          <w:numId w:val="76"/>
        </w:numPr>
        <w:rPr>
          <w:lang w:val="en-GB"/>
        </w:rPr>
      </w:pPr>
      <w:r w:rsidRPr="00180522">
        <w:rPr>
          <w:lang w:val="en-GB"/>
        </w:rPr>
        <w:t xml:space="preserve">Addition of 50GBASE-R mapping into </w:t>
      </w:r>
      <w:proofErr w:type="spellStart"/>
      <w:r w:rsidRPr="00180522">
        <w:rPr>
          <w:lang w:val="en-GB"/>
        </w:rPr>
        <w:t>ODUflex</w:t>
      </w:r>
      <w:proofErr w:type="spellEnd"/>
      <w:r w:rsidRPr="00180522">
        <w:rPr>
          <w:lang w:val="en-GB"/>
        </w:rPr>
        <w:t xml:space="preserve"> (2, 17.13.3, Annex J).</w:t>
      </w:r>
    </w:p>
    <w:p w14:paraId="5384B812" w14:textId="77777777" w:rsidR="006A46AE" w:rsidRPr="00180522" w:rsidRDefault="006A46AE" w:rsidP="006A46AE">
      <w:pPr>
        <w:numPr>
          <w:ilvl w:val="0"/>
          <w:numId w:val="76"/>
        </w:numPr>
        <w:rPr>
          <w:lang w:val="en-GB"/>
        </w:rPr>
      </w:pPr>
      <w:r w:rsidRPr="00180522">
        <w:rPr>
          <w:lang w:val="en-GB"/>
        </w:rPr>
        <w:t xml:space="preserve">Update of </w:t>
      </w:r>
      <w:proofErr w:type="spellStart"/>
      <w:r w:rsidRPr="00180522">
        <w:rPr>
          <w:lang w:val="en-GB"/>
        </w:rPr>
        <w:t>FlexE</w:t>
      </w:r>
      <w:proofErr w:type="spellEnd"/>
      <w:r w:rsidRPr="00180522">
        <w:rPr>
          <w:lang w:val="en-GB"/>
        </w:rPr>
        <w:t xml:space="preserve"> terminology and calendar slot descriptions with </w:t>
      </w:r>
      <w:proofErr w:type="spellStart"/>
      <w:r w:rsidRPr="00180522">
        <w:rPr>
          <w:lang w:val="en-GB"/>
        </w:rPr>
        <w:t>FlexE</w:t>
      </w:r>
      <w:proofErr w:type="spellEnd"/>
      <w:r w:rsidRPr="00180522">
        <w:rPr>
          <w:lang w:val="en-GB"/>
        </w:rPr>
        <w:t xml:space="preserve"> 2.0 IA (2, 17.11, 17.12).</w:t>
      </w:r>
    </w:p>
    <w:p w14:paraId="259679CF" w14:textId="77777777" w:rsidR="006A46AE" w:rsidRPr="00180522" w:rsidRDefault="006A46AE" w:rsidP="006A46AE">
      <w:pPr>
        <w:numPr>
          <w:ilvl w:val="0"/>
          <w:numId w:val="76"/>
        </w:numPr>
        <w:rPr>
          <w:lang w:val="en-GB"/>
        </w:rPr>
      </w:pPr>
      <w:r w:rsidRPr="00180522">
        <w:rPr>
          <w:lang w:val="en-GB"/>
        </w:rPr>
        <w:t>Redefine the OP overhead bit in bit 1 of JC6 as a RES overhead (20.4, 20.4.3.1, 20.5).</w:t>
      </w:r>
    </w:p>
    <w:p w14:paraId="18CBC9ED" w14:textId="77777777" w:rsidR="006A46AE" w:rsidRPr="00180522" w:rsidRDefault="006A46AE" w:rsidP="006A46AE">
      <w:pPr>
        <w:numPr>
          <w:ilvl w:val="0"/>
          <w:numId w:val="76"/>
        </w:numPr>
        <w:rPr>
          <w:lang w:val="en-GB"/>
        </w:rPr>
      </w:pPr>
      <w:r w:rsidRPr="00180522">
        <w:rPr>
          <w:lang w:val="en-GB"/>
        </w:rPr>
        <w:t xml:space="preserve">Replacement of references to IEEE Std. 802.3-2015, 802.3by and 802.3bs by a reference to IEEE </w:t>
      </w:r>
      <w:proofErr w:type="spellStart"/>
      <w:r w:rsidRPr="00180522">
        <w:rPr>
          <w:lang w:val="en-GB"/>
        </w:rPr>
        <w:t>Std</w:t>
      </w:r>
      <w:proofErr w:type="spellEnd"/>
      <w:r w:rsidRPr="00180522">
        <w:rPr>
          <w:lang w:val="en-GB"/>
        </w:rPr>
        <w:t xml:space="preserve"> 802.3-2018 (2, 17.13.1, 17.13.2, Annex J, Annex K).</w:t>
      </w:r>
    </w:p>
    <w:p w14:paraId="5D0E46C3" w14:textId="77777777" w:rsidR="006A46AE" w:rsidRPr="00180522" w:rsidRDefault="006A46AE" w:rsidP="006A46AE">
      <w:pPr>
        <w:numPr>
          <w:ilvl w:val="0"/>
          <w:numId w:val="76"/>
        </w:numPr>
        <w:rPr>
          <w:lang w:val="en-GB"/>
        </w:rPr>
      </w:pPr>
      <w:r w:rsidRPr="00180522">
        <w:rPr>
          <w:lang w:val="en-GB"/>
        </w:rPr>
        <w:t xml:space="preserve">Addition of ODU4 and </w:t>
      </w:r>
      <w:proofErr w:type="spellStart"/>
      <w:r w:rsidRPr="00180522">
        <w:rPr>
          <w:lang w:val="en-GB"/>
        </w:rPr>
        <w:t>ODUflex</w:t>
      </w:r>
      <w:proofErr w:type="spellEnd"/>
      <w:r w:rsidRPr="00180522">
        <w:rPr>
          <w:lang w:val="en-GB"/>
        </w:rPr>
        <w:t>(25G/50G/200G/400GBASE-R) rows to Table 7-9 (7.4).</w:t>
      </w:r>
    </w:p>
    <w:p w14:paraId="07BD937D" w14:textId="77777777" w:rsidR="006A46AE" w:rsidRPr="00180522" w:rsidRDefault="006A46AE" w:rsidP="006A46AE">
      <w:pPr>
        <w:numPr>
          <w:ilvl w:val="0"/>
          <w:numId w:val="76"/>
        </w:numPr>
        <w:rPr>
          <w:lang w:val="en-GB"/>
        </w:rPr>
      </w:pPr>
      <w:r w:rsidRPr="00180522">
        <w:rPr>
          <w:lang w:val="en-GB"/>
        </w:rPr>
        <w:t>Addition of 25G, 50G, 200G and 400GBASE-R rows to Table IX.1 (Appendix IX).</w:t>
      </w:r>
    </w:p>
    <w:p w14:paraId="0ECFE46D" w14:textId="77777777" w:rsidR="006A46AE" w:rsidRPr="00180522" w:rsidRDefault="006A46AE" w:rsidP="006A46AE">
      <w:pPr>
        <w:numPr>
          <w:ilvl w:val="0"/>
          <w:numId w:val="76"/>
        </w:numPr>
        <w:rPr>
          <w:lang w:val="en-GB"/>
        </w:rPr>
      </w:pPr>
      <w:r w:rsidRPr="00180522">
        <w:rPr>
          <w:lang w:val="en-GB"/>
        </w:rPr>
        <w:t xml:space="preserve">Addition of </w:t>
      </w:r>
      <w:proofErr w:type="spellStart"/>
      <w:r w:rsidRPr="00180522">
        <w:rPr>
          <w:lang w:val="en-GB"/>
        </w:rPr>
        <w:t>ODUflex</w:t>
      </w:r>
      <w:proofErr w:type="spellEnd"/>
      <w:r w:rsidRPr="00180522">
        <w:rPr>
          <w:lang w:val="en-GB"/>
        </w:rPr>
        <w:t>(25G/50GGBASE-R, FC-1600/3200) rows to Table X.1 (Appendix X).</w:t>
      </w:r>
    </w:p>
    <w:p w14:paraId="587ADE0C" w14:textId="77777777" w:rsidR="006A46AE" w:rsidRPr="00180522" w:rsidRDefault="006A46AE" w:rsidP="006A46AE">
      <w:pPr>
        <w:pStyle w:val="Headingb"/>
      </w:pPr>
      <w:bookmarkStart w:id="224" w:name="_Toc480527887"/>
      <w:r w:rsidRPr="00180522">
        <w:t>I.1.5</w:t>
      </w:r>
      <w:r w:rsidRPr="00180522">
        <w:tab/>
        <w:t>Optical transmission systems</w:t>
      </w:r>
      <w:bookmarkEnd w:id="224"/>
    </w:p>
    <w:p w14:paraId="7CA551E4" w14:textId="77777777" w:rsidR="006A46AE" w:rsidRPr="00180522" w:rsidRDefault="006A46AE" w:rsidP="006A46AE">
      <w:pPr>
        <w:rPr>
          <w:b/>
          <w:bCs/>
          <w:lang w:val="en-GB"/>
        </w:rPr>
      </w:pPr>
      <w:r w:rsidRPr="00180522">
        <w:rPr>
          <w:b/>
          <w:szCs w:val="24"/>
          <w:lang w:val="en-GB"/>
        </w:rPr>
        <w:t xml:space="preserve">ITU-T G.671 (revised) "Transmission characteristics of optical components and subsystems" </w:t>
      </w:r>
      <w:r w:rsidRPr="00180522">
        <w:rPr>
          <w:szCs w:val="24"/>
          <w:lang w:val="en-GB"/>
        </w:rPr>
        <w:t>covers the transmission-related aspects of all types of optical components used in long-haul networks and access networks. A broad range of types of optical components is included in this Recommendation. This Recommendation also includes transmission characteristics of optical components under the full range of operating conditions, but does not specify the operating service conditions, installation aspects or other aspects of components not affecting the optical transmission path. This Recommendation also draws upon the relevant IEC definitions and test methods where applicable.</w:t>
      </w:r>
    </w:p>
    <w:p w14:paraId="6D43885E" w14:textId="77777777" w:rsidR="006A46AE" w:rsidRPr="00180522" w:rsidRDefault="006A46AE" w:rsidP="006A46AE">
      <w:pPr>
        <w:rPr>
          <w:lang w:val="en-GB"/>
        </w:rPr>
      </w:pPr>
      <w:r w:rsidRPr="00180522">
        <w:rPr>
          <w:b/>
          <w:lang w:val="en-GB"/>
        </w:rPr>
        <w:lastRenderedPageBreak/>
        <w:t xml:space="preserve">ITU-T G.709/Y.1331 (2016) Amd.3 "Interfaces for the optical transport network (OTN): Amendment 3" </w:t>
      </w:r>
      <w:r w:rsidRPr="00180522">
        <w:rPr>
          <w:lang w:val="en-GB"/>
        </w:rPr>
        <w:t>(under approval) contains extensions to the fifth edition (06/2016) of ITU-T Recommendation G.709/Y.1331, related to the:</w:t>
      </w:r>
    </w:p>
    <w:p w14:paraId="52D377C2" w14:textId="77777777" w:rsidR="006A46AE" w:rsidRPr="00180522" w:rsidRDefault="006A46AE" w:rsidP="006A46AE">
      <w:pPr>
        <w:rPr>
          <w:lang w:val="en-GB"/>
        </w:rPr>
      </w:pPr>
      <w:r w:rsidRPr="00180522">
        <w:rPr>
          <w:lang w:val="en-GB"/>
        </w:rPr>
        <w:t>-</w:t>
      </w:r>
      <w:r w:rsidRPr="00180522">
        <w:rPr>
          <w:lang w:val="en-GB"/>
        </w:rPr>
        <w:tab/>
        <w:t xml:space="preserve">Addition of interconnection of Ethernet UNI and </w:t>
      </w:r>
      <w:proofErr w:type="spellStart"/>
      <w:r w:rsidRPr="00180522">
        <w:rPr>
          <w:lang w:val="en-GB"/>
        </w:rPr>
        <w:t>FlexE</w:t>
      </w:r>
      <w:proofErr w:type="spellEnd"/>
      <w:r w:rsidRPr="00180522">
        <w:rPr>
          <w:lang w:val="en-GB"/>
        </w:rPr>
        <w:t xml:space="preserve"> Group UNI in two administrative domains (7.5, Appendix XIV).</w:t>
      </w:r>
    </w:p>
    <w:p w14:paraId="15A61FD3" w14:textId="77777777" w:rsidR="006A46AE" w:rsidRPr="00180522" w:rsidRDefault="006A46AE" w:rsidP="006A46AE">
      <w:pPr>
        <w:rPr>
          <w:lang w:val="en-GB"/>
        </w:rPr>
      </w:pPr>
      <w:r w:rsidRPr="00180522">
        <w:rPr>
          <w:lang w:val="en-GB"/>
        </w:rPr>
        <w:t>-</w:t>
      </w:r>
      <w:r w:rsidRPr="00180522">
        <w:rPr>
          <w:lang w:val="en-GB"/>
        </w:rPr>
        <w:tab/>
        <w:t xml:space="preserve">Addition of 50GBASE-R mapping into </w:t>
      </w:r>
      <w:proofErr w:type="spellStart"/>
      <w:r w:rsidRPr="00180522">
        <w:rPr>
          <w:lang w:val="en-GB"/>
        </w:rPr>
        <w:t>ODUflex</w:t>
      </w:r>
      <w:proofErr w:type="spellEnd"/>
      <w:r w:rsidRPr="00180522">
        <w:rPr>
          <w:lang w:val="en-GB"/>
        </w:rPr>
        <w:t xml:space="preserve"> (2, 17.13.3, Annex J).</w:t>
      </w:r>
    </w:p>
    <w:p w14:paraId="211FAD08" w14:textId="77777777" w:rsidR="006A46AE" w:rsidRPr="00180522" w:rsidRDefault="006A46AE" w:rsidP="006A46AE">
      <w:pPr>
        <w:rPr>
          <w:lang w:val="en-GB"/>
        </w:rPr>
      </w:pPr>
      <w:r w:rsidRPr="00180522">
        <w:rPr>
          <w:lang w:val="en-GB"/>
        </w:rPr>
        <w:t>-</w:t>
      </w:r>
      <w:r w:rsidRPr="00180522">
        <w:rPr>
          <w:lang w:val="en-GB"/>
        </w:rPr>
        <w:tab/>
        <w:t xml:space="preserve">Update of </w:t>
      </w:r>
      <w:proofErr w:type="spellStart"/>
      <w:r w:rsidRPr="00180522">
        <w:rPr>
          <w:lang w:val="en-GB"/>
        </w:rPr>
        <w:t>FlexE</w:t>
      </w:r>
      <w:proofErr w:type="spellEnd"/>
      <w:r w:rsidRPr="00180522">
        <w:rPr>
          <w:lang w:val="en-GB"/>
        </w:rPr>
        <w:t xml:space="preserve"> terminology and calendar slot descriptions with </w:t>
      </w:r>
      <w:proofErr w:type="spellStart"/>
      <w:r w:rsidRPr="00180522">
        <w:rPr>
          <w:lang w:val="en-GB"/>
        </w:rPr>
        <w:t>FlexE</w:t>
      </w:r>
      <w:proofErr w:type="spellEnd"/>
      <w:r w:rsidRPr="00180522">
        <w:rPr>
          <w:lang w:val="en-GB"/>
        </w:rPr>
        <w:t xml:space="preserve"> 2.0 IA (2, 17.11, 17.12).</w:t>
      </w:r>
    </w:p>
    <w:p w14:paraId="573DDB67" w14:textId="77777777" w:rsidR="006A46AE" w:rsidRPr="00180522" w:rsidRDefault="006A46AE" w:rsidP="006A46AE">
      <w:pPr>
        <w:rPr>
          <w:lang w:val="en-GB"/>
        </w:rPr>
      </w:pPr>
      <w:r w:rsidRPr="00180522">
        <w:rPr>
          <w:lang w:val="en-GB"/>
        </w:rPr>
        <w:t>-</w:t>
      </w:r>
      <w:r w:rsidRPr="00180522">
        <w:rPr>
          <w:lang w:val="en-GB"/>
        </w:rPr>
        <w:tab/>
        <w:t>Redefine the OP overhead bit in bit 1 of JC6 as a RES overhead (20.4, 20.4.3.1, 20.5).</w:t>
      </w:r>
    </w:p>
    <w:p w14:paraId="7B16F3E7" w14:textId="77777777" w:rsidR="006A46AE" w:rsidRPr="00180522" w:rsidRDefault="006A46AE" w:rsidP="006A46AE">
      <w:pPr>
        <w:rPr>
          <w:lang w:val="en-GB"/>
        </w:rPr>
      </w:pPr>
      <w:r w:rsidRPr="00180522">
        <w:rPr>
          <w:lang w:val="en-GB"/>
        </w:rPr>
        <w:t>-</w:t>
      </w:r>
      <w:r w:rsidRPr="00180522">
        <w:rPr>
          <w:lang w:val="en-GB"/>
        </w:rPr>
        <w:tab/>
        <w:t xml:space="preserve">Replacement of references to IEEE Std. 802.3-2015, 802.3by and 802.3bs by a reference to IEEE </w:t>
      </w:r>
      <w:proofErr w:type="spellStart"/>
      <w:r w:rsidRPr="00180522">
        <w:rPr>
          <w:lang w:val="en-GB"/>
        </w:rPr>
        <w:t>Std</w:t>
      </w:r>
      <w:proofErr w:type="spellEnd"/>
      <w:r w:rsidRPr="00180522">
        <w:rPr>
          <w:lang w:val="en-GB"/>
        </w:rPr>
        <w:t xml:space="preserve"> 802.3-2018 (2, 17.13.1, 17.13.2, Annex J, Annex K).</w:t>
      </w:r>
    </w:p>
    <w:p w14:paraId="3A97DDEE" w14:textId="77777777" w:rsidR="006A46AE" w:rsidRPr="00180522" w:rsidRDefault="006A46AE" w:rsidP="006A46AE">
      <w:pPr>
        <w:rPr>
          <w:lang w:val="en-GB"/>
        </w:rPr>
      </w:pPr>
      <w:r w:rsidRPr="00180522">
        <w:rPr>
          <w:lang w:val="en-GB"/>
        </w:rPr>
        <w:t>-</w:t>
      </w:r>
      <w:r w:rsidRPr="00180522">
        <w:rPr>
          <w:lang w:val="en-GB"/>
        </w:rPr>
        <w:tab/>
        <w:t xml:space="preserve">Addition of ODU4 and </w:t>
      </w:r>
      <w:proofErr w:type="spellStart"/>
      <w:r w:rsidRPr="00180522">
        <w:rPr>
          <w:lang w:val="en-GB"/>
        </w:rPr>
        <w:t>ODUflex</w:t>
      </w:r>
      <w:proofErr w:type="spellEnd"/>
      <w:r w:rsidRPr="00180522">
        <w:rPr>
          <w:lang w:val="en-GB"/>
        </w:rPr>
        <w:t>(25G/50G/200G/400GBASE-R) rows to Table 7-9 (7.4).</w:t>
      </w:r>
    </w:p>
    <w:p w14:paraId="6F29B46C" w14:textId="77777777" w:rsidR="006A46AE" w:rsidRPr="00180522" w:rsidRDefault="006A46AE" w:rsidP="006A46AE">
      <w:pPr>
        <w:rPr>
          <w:lang w:val="en-GB"/>
        </w:rPr>
      </w:pPr>
      <w:r w:rsidRPr="00180522">
        <w:rPr>
          <w:lang w:val="en-GB"/>
        </w:rPr>
        <w:t>-</w:t>
      </w:r>
      <w:r w:rsidRPr="00180522">
        <w:rPr>
          <w:lang w:val="en-GB"/>
        </w:rPr>
        <w:tab/>
        <w:t>Addition of 25G, 50G, 200G and 400GBASE-R rows to Table IX.1 (Appendix IX).</w:t>
      </w:r>
    </w:p>
    <w:p w14:paraId="2DFB7F95" w14:textId="77777777" w:rsidR="006A46AE" w:rsidRPr="00180522" w:rsidRDefault="006A46AE" w:rsidP="006A46AE">
      <w:pPr>
        <w:rPr>
          <w:lang w:val="en-GB"/>
        </w:rPr>
      </w:pPr>
      <w:r w:rsidRPr="00180522">
        <w:rPr>
          <w:lang w:val="en-GB"/>
        </w:rPr>
        <w:t>-</w:t>
      </w:r>
      <w:r w:rsidRPr="00180522">
        <w:rPr>
          <w:lang w:val="en-GB"/>
        </w:rPr>
        <w:tab/>
        <w:t xml:space="preserve">Addition of </w:t>
      </w:r>
      <w:proofErr w:type="spellStart"/>
      <w:r w:rsidRPr="00180522">
        <w:rPr>
          <w:lang w:val="en-GB"/>
        </w:rPr>
        <w:t>ODUflex</w:t>
      </w:r>
      <w:proofErr w:type="spellEnd"/>
      <w:r w:rsidRPr="00180522">
        <w:rPr>
          <w:lang w:val="en-GB"/>
        </w:rPr>
        <w:t>(25G/50GGBASE-R, FC-1600/3200) rows to Table X.1 (Appendix X).</w:t>
      </w:r>
    </w:p>
    <w:p w14:paraId="245A43C8" w14:textId="77777777" w:rsidR="006A46AE" w:rsidRPr="00180522" w:rsidRDefault="006A46AE" w:rsidP="006A46AE">
      <w:pPr>
        <w:rPr>
          <w:lang w:val="en-GB"/>
        </w:rPr>
      </w:pPr>
      <w:r w:rsidRPr="00180522">
        <w:rPr>
          <w:b/>
          <w:lang w:val="en-GB"/>
        </w:rPr>
        <w:t xml:space="preserve">ITU-T G.709.1/Y.1331.1 (2018) Amd.1 "Flexible OTN short-reach interfaces: Amendment 1" </w:t>
      </w:r>
      <w:r w:rsidRPr="00180522">
        <w:rPr>
          <w:lang w:val="en-GB"/>
        </w:rPr>
        <w:t>(under approval) contains editorial changes to the second edition (06/2018) of ITU-T Recommendation G.709.1/Y.1331.1, related to the:</w:t>
      </w:r>
    </w:p>
    <w:p w14:paraId="35E72287" w14:textId="77777777" w:rsidR="006A46AE" w:rsidRPr="00180522" w:rsidRDefault="006A46AE" w:rsidP="006A46AE">
      <w:pPr>
        <w:rPr>
          <w:lang w:val="en-GB"/>
        </w:rPr>
      </w:pPr>
      <w:r w:rsidRPr="00180522">
        <w:rPr>
          <w:lang w:val="en-GB"/>
        </w:rPr>
        <w:t>-</w:t>
      </w:r>
      <w:r w:rsidRPr="00180522">
        <w:rPr>
          <w:lang w:val="en-GB"/>
        </w:rPr>
        <w:tab/>
        <w:t>FEC specification enhancements to align to G.709 format</w:t>
      </w:r>
    </w:p>
    <w:p w14:paraId="7F246AD5" w14:textId="77777777" w:rsidR="006A46AE" w:rsidRPr="00180522" w:rsidRDefault="006A46AE" w:rsidP="006A46AE">
      <w:pPr>
        <w:rPr>
          <w:lang w:val="en-GB"/>
        </w:rPr>
      </w:pPr>
      <w:r w:rsidRPr="00180522">
        <w:rPr>
          <w:lang w:val="en-GB"/>
        </w:rPr>
        <w:t>-</w:t>
      </w:r>
      <w:r w:rsidRPr="00180522">
        <w:rPr>
          <w:lang w:val="en-GB"/>
        </w:rPr>
        <w:tab/>
        <w:t xml:space="preserve">Replacement of PHY terminology to </w:t>
      </w:r>
      <w:proofErr w:type="spellStart"/>
      <w:r w:rsidRPr="00180522">
        <w:rPr>
          <w:lang w:val="en-GB"/>
        </w:rPr>
        <w:t>FlexO</w:t>
      </w:r>
      <w:proofErr w:type="spellEnd"/>
      <w:r w:rsidRPr="00180522">
        <w:rPr>
          <w:lang w:val="en-GB"/>
        </w:rPr>
        <w:t xml:space="preserve"> instances</w:t>
      </w:r>
    </w:p>
    <w:p w14:paraId="33236CC2" w14:textId="77777777" w:rsidR="006A46AE" w:rsidRPr="00180522" w:rsidRDefault="006A46AE" w:rsidP="006A46AE">
      <w:pPr>
        <w:rPr>
          <w:lang w:val="en-GB"/>
        </w:rPr>
      </w:pPr>
      <w:r w:rsidRPr="00180522">
        <w:rPr>
          <w:lang w:val="en-GB"/>
        </w:rPr>
        <w:t>-</w:t>
      </w:r>
      <w:r w:rsidRPr="00180522">
        <w:rPr>
          <w:lang w:val="en-GB"/>
        </w:rPr>
        <w:tab/>
        <w:t>Fixed typos in clause 11.6.1</w:t>
      </w:r>
    </w:p>
    <w:p w14:paraId="71102038" w14:textId="77777777" w:rsidR="006A46AE" w:rsidRPr="00180522" w:rsidRDefault="006A46AE" w:rsidP="006A46AE">
      <w:pPr>
        <w:rPr>
          <w:lang w:val="en-GB"/>
        </w:rPr>
      </w:pPr>
      <w:r w:rsidRPr="00180522">
        <w:rPr>
          <w:lang w:val="en-GB"/>
        </w:rPr>
        <w:t>-</w:t>
      </w:r>
      <w:r w:rsidRPr="00180522">
        <w:rPr>
          <w:lang w:val="en-GB"/>
        </w:rPr>
        <w:tab/>
        <w:t>Fixed typo in AM value of Table 9-2.</w:t>
      </w:r>
    </w:p>
    <w:p w14:paraId="12B10B11" w14:textId="77777777" w:rsidR="006A46AE" w:rsidRPr="00180522" w:rsidRDefault="006A46AE" w:rsidP="006A46AE">
      <w:pPr>
        <w:rPr>
          <w:lang w:val="en-GB"/>
        </w:rPr>
      </w:pPr>
      <w:r w:rsidRPr="00180522">
        <w:rPr>
          <w:b/>
          <w:lang w:val="en-GB"/>
        </w:rPr>
        <w:t>ITU-T G.709.3/Y.1331.3 Amd.1 "Flexible OTN long-reach interfaces: Amendment 1"</w:t>
      </w:r>
      <w:r w:rsidRPr="00180522">
        <w:rPr>
          <w:lang w:val="en-GB"/>
        </w:rPr>
        <w:t xml:space="preserve"> contains extensions to the first edition (06/2018) of ITU-T Recommendation G.709.3/Y.1331.3, related to the:</w:t>
      </w:r>
    </w:p>
    <w:p w14:paraId="2D02556E" w14:textId="77777777" w:rsidR="006A46AE" w:rsidRPr="00180522" w:rsidRDefault="006A46AE" w:rsidP="006A46AE">
      <w:pPr>
        <w:rPr>
          <w:lang w:val="en-GB"/>
        </w:rPr>
      </w:pPr>
      <w:r w:rsidRPr="00180522">
        <w:rPr>
          <w:lang w:val="en-GB"/>
        </w:rPr>
        <w:t>-</w:t>
      </w:r>
      <w:r w:rsidRPr="00180522">
        <w:rPr>
          <w:lang w:val="en-GB"/>
        </w:rPr>
        <w:tab/>
        <w:t>Enhancement of the FEC Block Alignment specification (11.3.1)</w:t>
      </w:r>
    </w:p>
    <w:p w14:paraId="4D943706" w14:textId="77777777" w:rsidR="006A46AE" w:rsidRPr="00180522" w:rsidRDefault="006A46AE" w:rsidP="006A46AE">
      <w:pPr>
        <w:rPr>
          <w:lang w:val="en-GB"/>
        </w:rPr>
      </w:pPr>
      <w:r w:rsidRPr="00180522">
        <w:rPr>
          <w:lang w:val="en-GB"/>
        </w:rPr>
        <w:t>-</w:t>
      </w:r>
      <w:r w:rsidRPr="00180522">
        <w:rPr>
          <w:lang w:val="en-GB"/>
        </w:rPr>
        <w:tab/>
        <w:t xml:space="preserve">Addition of 200G and 400G </w:t>
      </w:r>
      <w:proofErr w:type="spellStart"/>
      <w:r w:rsidRPr="00180522">
        <w:rPr>
          <w:lang w:val="en-GB"/>
        </w:rPr>
        <w:t>FlexO</w:t>
      </w:r>
      <w:proofErr w:type="spellEnd"/>
      <w:r w:rsidRPr="00180522">
        <w:rPr>
          <w:lang w:val="en-GB"/>
        </w:rPr>
        <w:t xml:space="preserve"> with Concatenated FEC (7, 7.2, 11.3, 11.3.1, 11.3.2, 12, 13, 14, 15, Annex C, Annex D, Appendix I, Appendix II)</w:t>
      </w:r>
    </w:p>
    <w:p w14:paraId="4A0FC7C2" w14:textId="77777777" w:rsidR="006A46AE" w:rsidRPr="00180522" w:rsidRDefault="006A46AE" w:rsidP="006A46AE">
      <w:pPr>
        <w:rPr>
          <w:lang w:val="en-GB"/>
        </w:rPr>
      </w:pPr>
      <w:r w:rsidRPr="00180522">
        <w:rPr>
          <w:lang w:val="en-GB"/>
        </w:rPr>
        <w:t>-</w:t>
      </w:r>
      <w:r w:rsidRPr="00180522">
        <w:rPr>
          <w:lang w:val="en-GB"/>
        </w:rPr>
        <w:tab/>
        <w:t>Deletion of m and n and addition of Z conventions (5).</w:t>
      </w:r>
    </w:p>
    <w:p w14:paraId="5A6F2A80" w14:textId="77777777" w:rsidR="006A46AE" w:rsidRPr="00180522" w:rsidRDefault="006A46AE" w:rsidP="006A46AE">
      <w:pPr>
        <w:widowControl w:val="0"/>
        <w:rPr>
          <w:szCs w:val="24"/>
          <w:lang w:val="en-GB"/>
        </w:rPr>
      </w:pPr>
      <w:r w:rsidRPr="00180522">
        <w:rPr>
          <w:b/>
          <w:bCs/>
          <w:szCs w:val="24"/>
          <w:lang w:val="en-GB"/>
        </w:rPr>
        <w:t>ITU-T G.798 (2017) Amd.2 "</w:t>
      </w:r>
      <w:r w:rsidRPr="00180522">
        <w:rPr>
          <w:b/>
          <w:szCs w:val="24"/>
          <w:lang w:val="en-GB"/>
        </w:rPr>
        <w:t xml:space="preserve">Characteristics of optical transport network hierarchy equipment functional blocks - Amendment 2" </w:t>
      </w:r>
      <w:r w:rsidRPr="00180522">
        <w:rPr>
          <w:szCs w:val="24"/>
          <w:lang w:val="en-GB"/>
        </w:rPr>
        <w:t>(under approval) specifies both the components and the methodology that should be used in order to specify the optical transport network (OTN) functionality of network elements; it does not specify individual optical transport network equipment.</w:t>
      </w:r>
    </w:p>
    <w:p w14:paraId="75BE6636" w14:textId="77777777" w:rsidR="006A46AE" w:rsidRPr="00180522" w:rsidRDefault="006A46AE" w:rsidP="006A46AE">
      <w:pPr>
        <w:widowControl w:val="0"/>
        <w:rPr>
          <w:szCs w:val="24"/>
          <w:lang w:val="en-GB"/>
        </w:rPr>
      </w:pPr>
      <w:r w:rsidRPr="00180522">
        <w:rPr>
          <w:szCs w:val="24"/>
          <w:lang w:val="en-GB"/>
        </w:rPr>
        <w:t>Amendment 1 contains text modifications and additions for:</w:t>
      </w:r>
    </w:p>
    <w:p w14:paraId="24640D2C"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 xml:space="preserve">moving the </w:t>
      </w:r>
      <w:proofErr w:type="spellStart"/>
      <w:r w:rsidRPr="00180522">
        <w:rPr>
          <w:szCs w:val="24"/>
          <w:lang w:val="en-GB"/>
        </w:rPr>
        <w:t>ODUkP</w:t>
      </w:r>
      <w:proofErr w:type="spellEnd"/>
      <w:r w:rsidRPr="00180522">
        <w:rPr>
          <w:szCs w:val="24"/>
          <w:lang w:val="en-GB"/>
        </w:rPr>
        <w:t xml:space="preserve"> to Ethernet MAC layer and Ethernet Reconciliation sublayer adaptation functions from ITU-T G.8021 to ITU-T G.798.</w:t>
      </w:r>
    </w:p>
    <w:p w14:paraId="2D5A05A9"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 xml:space="preserve">supporting the adaptation of </w:t>
      </w:r>
      <w:proofErr w:type="spellStart"/>
      <w:r w:rsidRPr="00180522">
        <w:rPr>
          <w:szCs w:val="24"/>
          <w:lang w:val="en-GB"/>
        </w:rPr>
        <w:t>ODUkP</w:t>
      </w:r>
      <w:proofErr w:type="spellEnd"/>
      <w:r w:rsidRPr="00180522">
        <w:rPr>
          <w:szCs w:val="24"/>
          <w:lang w:val="en-GB"/>
        </w:rPr>
        <w:t xml:space="preserve"> to Ethernet Coding sublayer for 25 Gb/s, 200 Gb/s and 400 Gb/s Ethernet signals.</w:t>
      </w:r>
    </w:p>
    <w:p w14:paraId="7197F278"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alignment with ITU-T G.8023.</w:t>
      </w:r>
    </w:p>
    <w:p w14:paraId="6D3DC9C5"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replacing Appendix VIII to align with ITU-T G.872 and ITU-T G.873.1</w:t>
      </w:r>
    </w:p>
    <w:p w14:paraId="76728539" w14:textId="77777777" w:rsidR="006A46AE" w:rsidRPr="00180522" w:rsidRDefault="006A46AE" w:rsidP="006A46AE">
      <w:pPr>
        <w:widowControl w:val="0"/>
        <w:rPr>
          <w:szCs w:val="24"/>
          <w:lang w:val="en-GB"/>
        </w:rPr>
      </w:pPr>
      <w:r w:rsidRPr="00180522">
        <w:rPr>
          <w:szCs w:val="24"/>
          <w:lang w:val="en-GB"/>
        </w:rPr>
        <w:t>Amendment 2 contains text modifications and additions for:</w:t>
      </w:r>
    </w:p>
    <w:p w14:paraId="226DC2E3" w14:textId="77777777" w:rsidR="006A46AE" w:rsidRPr="00180522" w:rsidRDefault="006A46AE" w:rsidP="006A46AE">
      <w:pPr>
        <w:widowControl w:val="0"/>
        <w:rPr>
          <w:szCs w:val="24"/>
          <w:lang w:val="en-GB"/>
        </w:rPr>
      </w:pPr>
      <w:r w:rsidRPr="00180522">
        <w:rPr>
          <w:szCs w:val="24"/>
          <w:lang w:val="en-GB"/>
        </w:rPr>
        <w:lastRenderedPageBreak/>
        <w:t>–</w:t>
      </w:r>
      <w:r w:rsidRPr="00180522">
        <w:rPr>
          <w:szCs w:val="24"/>
          <w:lang w:val="en-GB"/>
        </w:rPr>
        <w:tab/>
      </w:r>
      <w:proofErr w:type="spellStart"/>
      <w:r w:rsidRPr="00180522">
        <w:rPr>
          <w:szCs w:val="24"/>
          <w:lang w:val="en-GB"/>
        </w:rPr>
        <w:t>OTSi</w:t>
      </w:r>
      <w:proofErr w:type="spellEnd"/>
      <w:r w:rsidRPr="00180522">
        <w:rPr>
          <w:szCs w:val="24"/>
          <w:lang w:val="en-GB"/>
        </w:rPr>
        <w:t xml:space="preserve"> to OTU4 adaptation function with SC-FEC.</w:t>
      </w:r>
    </w:p>
    <w:p w14:paraId="67DA3696"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r>
      <w:proofErr w:type="spellStart"/>
      <w:r w:rsidRPr="00180522">
        <w:rPr>
          <w:szCs w:val="24"/>
          <w:lang w:val="en-GB"/>
        </w:rPr>
        <w:t>OTSi</w:t>
      </w:r>
      <w:proofErr w:type="spellEnd"/>
      <w:r w:rsidRPr="00180522">
        <w:rPr>
          <w:szCs w:val="24"/>
          <w:lang w:val="en-GB"/>
        </w:rPr>
        <w:t xml:space="preserve"> to FlexO-1-SC adaptation function.</w:t>
      </w:r>
    </w:p>
    <w:p w14:paraId="396CF435" w14:textId="77777777" w:rsidR="006A46AE" w:rsidRPr="00180522" w:rsidRDefault="006A46AE" w:rsidP="006A46AE">
      <w:pPr>
        <w:rPr>
          <w:szCs w:val="24"/>
          <w:lang w:val="en-GB"/>
        </w:rPr>
      </w:pPr>
      <w:r w:rsidRPr="00180522">
        <w:rPr>
          <w:szCs w:val="24"/>
          <w:lang w:val="en-GB"/>
        </w:rPr>
        <w:t>–</w:t>
      </w:r>
      <w:r w:rsidRPr="00180522">
        <w:rPr>
          <w:szCs w:val="24"/>
          <w:lang w:val="en-GB"/>
        </w:rPr>
        <w:tab/>
        <w:t>alignment with ITU-T G.709.1.</w:t>
      </w:r>
    </w:p>
    <w:p w14:paraId="23E15552" w14:textId="77777777" w:rsidR="006A46AE" w:rsidRPr="00180522" w:rsidRDefault="006A46AE" w:rsidP="006A46AE">
      <w:pPr>
        <w:rPr>
          <w:b/>
          <w:bCs/>
          <w:lang w:val="en-GB"/>
        </w:rPr>
      </w:pPr>
      <w:r w:rsidRPr="00180522">
        <w:rPr>
          <w:b/>
          <w:bCs/>
          <w:lang w:val="en-GB"/>
        </w:rPr>
        <w:t>ITU-T G.807 "Generic functional architecture of the optical media network" (under approval)</w:t>
      </w:r>
      <w:r w:rsidRPr="00180522">
        <w:rPr>
          <w:bCs/>
          <w:szCs w:val="24"/>
          <w:lang w:val="en-GB"/>
        </w:rPr>
        <w:t xml:space="preserve"> 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1692E9E2" w14:textId="77777777" w:rsidR="006A46AE" w:rsidRPr="00180522" w:rsidRDefault="006A46AE" w:rsidP="006A46AE">
      <w:pPr>
        <w:rPr>
          <w:lang w:val="en-GB"/>
        </w:rPr>
      </w:pPr>
      <w:r w:rsidRPr="00180522">
        <w:rPr>
          <w:b/>
          <w:bCs/>
          <w:lang w:val="en-GB"/>
        </w:rPr>
        <w:t>ITU-T G.808.2 (revised) "Generic protection switching – Ring protection"</w:t>
      </w:r>
      <w:r w:rsidRPr="00180522">
        <w:rPr>
          <w:bCs/>
          <w:lang w:val="en-GB"/>
        </w:rPr>
        <w:t xml:space="preserve"> </w:t>
      </w:r>
      <w:r w:rsidRPr="00180522">
        <w:rPr>
          <w:lang w:val="en-GB"/>
        </w:rPr>
        <w:t>defines the generic functional models, characteristics and processes associated with various ring protection schemes for connection oriented networks; e.g., optical transport networks (OTNs), synchronous digital hierarchy (SDH) networks, and MPLS transport profile (MPLS-TP) networks. It also defines the objectives and applications for these schemes. The protection scheme described in this Recommendation is shared ring protection. Generic functional models, characteristics and processes for linear protection and interconnected subnetwork protection schemes are defined in other Recommendations.</w:t>
      </w:r>
    </w:p>
    <w:p w14:paraId="1D233455" w14:textId="77777777" w:rsidR="006A46AE" w:rsidRPr="00180522" w:rsidRDefault="006A46AE" w:rsidP="006A46AE">
      <w:pPr>
        <w:rPr>
          <w:lang w:val="en-GB"/>
        </w:rPr>
      </w:pPr>
      <w:r w:rsidRPr="00180522">
        <w:rPr>
          <w:b/>
          <w:bCs/>
          <w:lang w:val="en-GB"/>
        </w:rPr>
        <w:t>ITU-T G.7041/Y.1303 (2016) Amd.1 "Generic framing procedure – Amendment 1"</w:t>
      </w:r>
      <w:r w:rsidRPr="00180522">
        <w:rPr>
          <w:lang w:val="en-GB"/>
        </w:rPr>
        <w:t xml:space="preserve"> contains edits to enhance the clarity of the client bit numbering for the GFP-F mappings, especially the SSM bit numbering in clause 7.11. It also includes editorial corrections to labelling in four additional figures.</w:t>
      </w:r>
    </w:p>
    <w:p w14:paraId="6A9B6151" w14:textId="77777777" w:rsidR="006A46AE" w:rsidRPr="00180522" w:rsidRDefault="006A46AE" w:rsidP="006A46AE">
      <w:pPr>
        <w:rPr>
          <w:lang w:val="en-GB"/>
        </w:rPr>
      </w:pPr>
      <w:r w:rsidRPr="00180522">
        <w:rPr>
          <w:b/>
          <w:bCs/>
          <w:lang w:val="en-GB"/>
        </w:rPr>
        <w:t xml:space="preserve">ITU-T G.872 (revised) "Architecture of optical transport networks (OTN)" </w:t>
      </w:r>
      <w:r w:rsidRPr="00180522">
        <w:rPr>
          <w:bCs/>
          <w:lang w:val="en-GB"/>
        </w:rPr>
        <w:t>(under approval)</w:t>
      </w:r>
      <w:r w:rsidRPr="00180522">
        <w:rPr>
          <w:lang w:val="en-GB"/>
        </w:rPr>
        <w:t xml:space="preserve"> describes the functional architecture of the optical transport network (OTN) using the modelling methodology described in Recommendations ITU-T G.800, ITU-T G.805 and ITU-T G.807. The OTN functionality is described from a network level viewpoint, taking into account, client characteristic information, client/server layer associations, networking topology, layer network functionality and optical media network structure, that provide multiplexing, routing and supervision of digital clients. The media portion of the network is described in terms of media constructs, media elements and optical signal maintenance entities.</w:t>
      </w:r>
    </w:p>
    <w:p w14:paraId="65F1425B" w14:textId="77777777" w:rsidR="006A46AE" w:rsidRPr="00180522" w:rsidRDefault="006A46AE" w:rsidP="006A46AE">
      <w:pPr>
        <w:pStyle w:val="Headingb"/>
      </w:pPr>
      <w:bookmarkStart w:id="225" w:name="_Toc480527889"/>
      <w:r w:rsidRPr="00180522">
        <w:t>I.1.6</w:t>
      </w:r>
      <w:r w:rsidRPr="00180522">
        <w:tab/>
        <w:t>Transport network control aspects</w:t>
      </w:r>
      <w:bookmarkEnd w:id="225"/>
    </w:p>
    <w:p w14:paraId="738B8668" w14:textId="77777777" w:rsidR="006A46AE" w:rsidRPr="00180522" w:rsidRDefault="006A46AE" w:rsidP="006A46AE">
      <w:pPr>
        <w:rPr>
          <w:lang w:val="en-GB"/>
        </w:rPr>
      </w:pPr>
      <w:r w:rsidRPr="00180522">
        <w:rPr>
          <w:b/>
          <w:bCs/>
          <w:lang w:val="en-GB"/>
        </w:rPr>
        <w:t>ITU-T G.875 (revised) "Optical transport network: Protocol-neutral management information model for the network element view"</w:t>
      </w:r>
      <w:r w:rsidRPr="00180522">
        <w:rPr>
          <w:lang w:val="en-GB"/>
        </w:rPr>
        <w:t xml:space="preserve">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14:paraId="4AB02C75" w14:textId="77777777" w:rsidR="006A46AE" w:rsidRPr="00180522" w:rsidRDefault="006A46AE" w:rsidP="006A46AE">
      <w:pPr>
        <w:rPr>
          <w:lang w:val="en-GB"/>
        </w:rPr>
      </w:pPr>
      <w:r w:rsidRPr="00180522">
        <w:rPr>
          <w:b/>
          <w:bCs/>
          <w:lang w:val="en-GB"/>
        </w:rPr>
        <w:t xml:space="preserve">ITU-T G.7710/Y.1701 (revised) "Common equipment management function requirements" </w:t>
      </w:r>
      <w:r w:rsidRPr="00180522">
        <w:rPr>
          <w:lang w:val="en-GB"/>
        </w:rPr>
        <w:t>addresses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w:t>
      </w:r>
    </w:p>
    <w:p w14:paraId="63A654E6" w14:textId="77777777" w:rsidR="006A46AE" w:rsidRPr="00180522" w:rsidRDefault="006A46AE" w:rsidP="006A46AE">
      <w:pPr>
        <w:rPr>
          <w:lang w:val="en-GB"/>
        </w:rPr>
      </w:pPr>
      <w:r w:rsidRPr="00180522">
        <w:rPr>
          <w:lang w:val="en-GB"/>
        </w:rPr>
        <w:t>The 2012 revision of this Recommendation has incorporated the following below.</w:t>
      </w:r>
    </w:p>
    <w:p w14:paraId="7F13F7EF" w14:textId="77777777" w:rsidR="006A46AE" w:rsidRPr="00180522" w:rsidRDefault="006A46AE" w:rsidP="006A46AE">
      <w:pPr>
        <w:rPr>
          <w:lang w:val="en-GB"/>
        </w:rPr>
      </w:pPr>
      <w:r w:rsidRPr="00180522">
        <w:rPr>
          <w:lang w:val="en-GB"/>
        </w:rPr>
        <w:lastRenderedPageBreak/>
        <w:t>–</w:t>
      </w:r>
      <w:r w:rsidRPr="00180522">
        <w:rPr>
          <w:lang w:val="en-GB"/>
        </w:rPr>
        <w:tab/>
        <w:t>Recommendation ITU-T G.7710/Y.1701 Corrigendum 1 (11/2009):</w:t>
      </w:r>
    </w:p>
    <w:p w14:paraId="3C1B79BF" w14:textId="77777777" w:rsidR="006A46AE" w:rsidRPr="00180522" w:rsidRDefault="006A46AE" w:rsidP="006A46AE">
      <w:pPr>
        <w:rPr>
          <w:lang w:val="en-GB"/>
        </w:rPr>
      </w:pPr>
      <w:r w:rsidRPr="00180522">
        <w:rPr>
          <w:lang w:val="en-GB"/>
        </w:rPr>
        <w:tab/>
        <w:t>this mainly contains an updated equipment management function process block diagram.</w:t>
      </w:r>
    </w:p>
    <w:p w14:paraId="051A59D9" w14:textId="77777777" w:rsidR="006A46AE" w:rsidRPr="00180522" w:rsidRDefault="006A46AE" w:rsidP="006A46AE">
      <w:pPr>
        <w:rPr>
          <w:lang w:val="en-GB"/>
        </w:rPr>
      </w:pPr>
      <w:r w:rsidRPr="00180522">
        <w:rPr>
          <w:lang w:val="en-GB"/>
        </w:rPr>
        <w:t>–</w:t>
      </w:r>
      <w:r w:rsidRPr="00180522">
        <w:rPr>
          <w:lang w:val="en-GB"/>
        </w:rPr>
        <w:tab/>
        <w:t>Recommendation ITU-T G.7710/Y.1701 Amendment 1 (07/2010):</w:t>
      </w:r>
    </w:p>
    <w:p w14:paraId="5EF59BEB" w14:textId="77777777" w:rsidR="006A46AE" w:rsidRPr="00180522" w:rsidRDefault="006A46AE" w:rsidP="006A46AE">
      <w:pPr>
        <w:rPr>
          <w:lang w:val="en-GB"/>
        </w:rPr>
      </w:pPr>
      <w:r w:rsidRPr="00180522">
        <w:rPr>
          <w:lang w:val="en-GB"/>
        </w:rPr>
        <w:tab/>
        <w:t>updates the packet layer related specification of severely errored second (SES) to align it with the SES definition in Recommendation ITU-T Y.1563.</w:t>
      </w:r>
    </w:p>
    <w:p w14:paraId="0F6B6828" w14:textId="77777777" w:rsidR="006A46AE" w:rsidRPr="00180522" w:rsidRDefault="006A46AE" w:rsidP="006A46AE">
      <w:pPr>
        <w:rPr>
          <w:lang w:val="en-GB"/>
        </w:rPr>
      </w:pPr>
      <w:r w:rsidRPr="00180522">
        <w:rPr>
          <w:lang w:val="en-GB"/>
        </w:rPr>
        <w:t>–</w:t>
      </w:r>
      <w:r w:rsidRPr="00180522">
        <w:rPr>
          <w:lang w:val="en-GB"/>
        </w:rPr>
        <w:tab/>
        <w:t>Recommendation ITU-T G.7710/Y.1701 Corrigendum 2 (04/2011):</w:t>
      </w:r>
    </w:p>
    <w:p w14:paraId="26877B95" w14:textId="77777777" w:rsidR="006A46AE" w:rsidRPr="00180522" w:rsidRDefault="006A46AE" w:rsidP="006A46AE">
      <w:pPr>
        <w:rPr>
          <w:lang w:val="en-GB"/>
        </w:rPr>
      </w:pPr>
      <w:r w:rsidRPr="00180522">
        <w:rPr>
          <w:lang w:val="en-GB"/>
        </w:rPr>
        <w:tab/>
        <w:t>this adds the missing 6 LBC terms to the process description, and gives additional specifications on gauge measurement.</w:t>
      </w:r>
    </w:p>
    <w:p w14:paraId="369CCDAF" w14:textId="77777777" w:rsidR="006A46AE" w:rsidRPr="00180522" w:rsidRDefault="006A46AE" w:rsidP="006A46AE">
      <w:pPr>
        <w:rPr>
          <w:lang w:val="en-GB"/>
        </w:rPr>
      </w:pPr>
      <w:r w:rsidRPr="00180522">
        <w:rPr>
          <w:lang w:val="en-GB"/>
        </w:rPr>
        <w:t>The 2019 revision of this Recommendation has incorporated the following below.</w:t>
      </w:r>
    </w:p>
    <w:p w14:paraId="388B8226" w14:textId="77777777" w:rsidR="006A46AE" w:rsidRPr="00180522" w:rsidRDefault="006A46AE" w:rsidP="006A46AE">
      <w:pPr>
        <w:rPr>
          <w:lang w:val="en-GB"/>
        </w:rPr>
      </w:pPr>
      <w:r w:rsidRPr="00180522">
        <w:rPr>
          <w:lang w:val="en-GB"/>
        </w:rPr>
        <w:t>–</w:t>
      </w:r>
      <w:r w:rsidRPr="00180522">
        <w:rPr>
          <w:lang w:val="en-GB"/>
        </w:rPr>
        <w:tab/>
        <w:t>Recommendation ITU-T G.7710/Y.1701 Amendment 1 (9/2016):</w:t>
      </w:r>
    </w:p>
    <w:p w14:paraId="5B0CC1E5" w14:textId="77777777" w:rsidR="006A46AE" w:rsidRPr="00180522" w:rsidRDefault="006A46AE" w:rsidP="006A46AE">
      <w:pPr>
        <w:rPr>
          <w:b/>
          <w:bCs/>
          <w:lang w:val="en-GB"/>
        </w:rPr>
      </w:pPr>
      <w:r w:rsidRPr="00180522">
        <w:rPr>
          <w:b/>
          <w:bCs/>
          <w:lang w:val="en-GB"/>
        </w:rPr>
        <w:t>–</w:t>
      </w:r>
      <w:r w:rsidRPr="00180522">
        <w:rPr>
          <w:b/>
          <w:bCs/>
          <w:lang w:val="en-GB"/>
        </w:rPr>
        <w:tab/>
      </w:r>
      <w:r w:rsidRPr="00180522">
        <w:rPr>
          <w:szCs w:val="24"/>
          <w:lang w:val="en-GB"/>
        </w:rPr>
        <w:t>Create new clause 12 for control plane function management, including fault event reporting for controller-based restoration.</w:t>
      </w:r>
    </w:p>
    <w:p w14:paraId="13776315" w14:textId="77777777" w:rsidR="006A46AE" w:rsidRPr="00180522" w:rsidRDefault="006A46AE" w:rsidP="006A46AE">
      <w:pPr>
        <w:widowControl w:val="0"/>
        <w:rPr>
          <w:szCs w:val="24"/>
          <w:lang w:val="en-GB"/>
        </w:rPr>
      </w:pPr>
      <w:r w:rsidRPr="00180522">
        <w:rPr>
          <w:b/>
          <w:lang w:val="en-GB"/>
        </w:rPr>
        <w:t>ITU-T G.7712/Y.1703 (revised) "Architecture and specification of data communication network</w:t>
      </w:r>
      <w:r w:rsidRPr="00180522">
        <w:rPr>
          <w:b/>
          <w:szCs w:val="24"/>
          <w:lang w:val="en-GB"/>
        </w:rPr>
        <w:t xml:space="preserve">" </w:t>
      </w:r>
      <w:r w:rsidRPr="00180522">
        <w:rPr>
          <w:szCs w:val="24"/>
          <w:lang w:val="en-GB"/>
        </w:rPr>
        <w:t xml:space="preserve">defines the architecture requirements for a data communication network (DCN) which may support distributed management communications related to the telecommunication management network (TMN), distributed control plane communications (e.g., signalling and routing) related to the automatically switched optical network (ASON), distributed control plane communications (e.g., signalling and routing) related to multiprotocol label switching – transport profile (MPLS-TP), control plane communications related to Software Defined Networking (SDN), and other distributed communications (e.g., </w:t>
      </w:r>
      <w:proofErr w:type="spellStart"/>
      <w:r w:rsidRPr="00180522">
        <w:rPr>
          <w:szCs w:val="24"/>
          <w:lang w:val="en-GB"/>
        </w:rPr>
        <w:t>orderwire</w:t>
      </w:r>
      <w:proofErr w:type="spellEnd"/>
      <w:r w:rsidRPr="00180522">
        <w:rPr>
          <w:szCs w:val="24"/>
          <w:lang w:val="en-GB"/>
        </w:rPr>
        <w:t xml:space="preserve"> or voice communications, software download). The DCN architecture considers networks that are IP only,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6620DDE4" w14:textId="77777777" w:rsidR="006A46AE" w:rsidRPr="00180522" w:rsidRDefault="006A46AE" w:rsidP="006A46AE">
      <w:pPr>
        <w:widowControl w:val="0"/>
        <w:rPr>
          <w:szCs w:val="24"/>
          <w:lang w:val="en-GB"/>
        </w:rPr>
      </w:pPr>
      <w:r w:rsidRPr="00180522">
        <w:rPr>
          <w:szCs w:val="24"/>
          <w:lang w:val="en-GB"/>
        </w:rPr>
        <w:t>Various applications (e.g., TMN, ASON, etc.)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and MPLS-TP require communication networks, which are referred to as the signalling communication networks (SCNs) to transport signalling and routing messages between functional control plane components (e.g., connection controller (CC) components and routing controller (RC) components). This Recommendation specifies data communication functions that can be used to support one or more application's communication network.</w:t>
      </w:r>
    </w:p>
    <w:p w14:paraId="15ED55B0" w14:textId="77777777" w:rsidR="006A46AE" w:rsidRPr="00180522" w:rsidRDefault="006A46AE" w:rsidP="006A46AE">
      <w:pPr>
        <w:widowControl w:val="0"/>
        <w:rPr>
          <w:szCs w:val="24"/>
          <w:lang w:val="en-GB"/>
        </w:rPr>
      </w:pPr>
      <w:r w:rsidRPr="00180522">
        <w:rPr>
          <w:szCs w:val="24"/>
          <w:lang w:val="en-GB"/>
        </w:rPr>
        <w:t>The data communication functions provided in the 11/2001 version of this Recommendation support connectionless network services. The 03/2003 revision of this Recommendation adds the support of connection-oriented network SCN services by including a specific MPLS-based mechanism.</w:t>
      </w:r>
    </w:p>
    <w:p w14:paraId="4CFCFCF4" w14:textId="77777777" w:rsidR="006A46AE" w:rsidRPr="00180522" w:rsidRDefault="006A46AE" w:rsidP="006A46AE">
      <w:pPr>
        <w:widowControl w:val="0"/>
        <w:rPr>
          <w:szCs w:val="24"/>
          <w:lang w:val="en-GB"/>
        </w:rPr>
      </w:pPr>
      <w:r w:rsidRPr="00180522">
        <w:rPr>
          <w:szCs w:val="24"/>
          <w:lang w:val="en-GB"/>
        </w:rPr>
        <w:t>This 2010 revision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IETF. In the event of a difference between this ITU-T Recommendation and any of the normatively referenced RFCs for MPLS-TP, the RFCs will take precedence.</w:t>
      </w:r>
    </w:p>
    <w:p w14:paraId="20810970" w14:textId="77777777" w:rsidR="006A46AE" w:rsidRPr="00180522" w:rsidRDefault="006A46AE" w:rsidP="006A46AE">
      <w:pPr>
        <w:rPr>
          <w:szCs w:val="24"/>
          <w:lang w:val="en-GB"/>
        </w:rPr>
      </w:pPr>
      <w:r w:rsidRPr="00180522">
        <w:rPr>
          <w:szCs w:val="24"/>
          <w:lang w:val="en-GB"/>
        </w:rPr>
        <w:t>This Recommendation forms part of a family of Recommendations covering transport networks.</w:t>
      </w:r>
    </w:p>
    <w:p w14:paraId="1153DDA4" w14:textId="77777777" w:rsidR="006A46AE" w:rsidRPr="00180522" w:rsidRDefault="006A46AE" w:rsidP="006A46AE">
      <w:pPr>
        <w:rPr>
          <w:lang w:val="en-GB"/>
        </w:rPr>
      </w:pPr>
      <w:r w:rsidRPr="00180522">
        <w:rPr>
          <w:b/>
          <w:bCs/>
          <w:lang w:val="en-GB"/>
        </w:rPr>
        <w:lastRenderedPageBreak/>
        <w:t>ITU-T G.8052/Y.1346 (revised) "Protocol-neutral management information model for the Ethernet transport capable network element"</w:t>
      </w:r>
      <w:r w:rsidRPr="00180522">
        <w:rPr>
          <w:lang w:val="en-GB"/>
        </w:rPr>
        <w:t xml:space="preserve">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ITU-T G.8051/Y.1345.</w:t>
      </w:r>
    </w:p>
    <w:p w14:paraId="596A88C9" w14:textId="77777777" w:rsidR="006A46AE" w:rsidRPr="00180522" w:rsidRDefault="006A46AE" w:rsidP="006A46AE">
      <w:pPr>
        <w:rPr>
          <w:lang w:val="en-GB"/>
        </w:rPr>
      </w:pPr>
      <w:r w:rsidRPr="00180522">
        <w:rPr>
          <w:lang w:val="en-GB"/>
        </w:rPr>
        <w:t xml:space="preserve">The 2016 revision of this Recommendation changes the UML modelling tool from RSA to open source Papyrus tool, updates the Recommendation ITU-T G.8052/Y.1346 information model to align it with the Recommendation ITU-T G.7711/Y.1702 v2.0 Core information model, drops </w:t>
      </w:r>
      <w:proofErr w:type="spellStart"/>
      <w:r w:rsidRPr="00180522">
        <w:rPr>
          <w:lang w:val="en-GB"/>
        </w:rPr>
        <w:t>subclassing</w:t>
      </w:r>
      <w:proofErr w:type="spellEnd"/>
      <w:r w:rsidRPr="00180522">
        <w:rPr>
          <w:lang w:val="en-GB"/>
        </w:rPr>
        <w:t xml:space="preserve"> of the TP classes from Recommendation ITU-T M.3160, and supports the additional management requirements in Recommendation ITU-T G.8051/Y.1345.</w:t>
      </w:r>
    </w:p>
    <w:p w14:paraId="670E674D" w14:textId="77777777" w:rsidR="006A46AE" w:rsidRPr="00180522" w:rsidRDefault="006A46AE" w:rsidP="006A46AE">
      <w:pPr>
        <w:rPr>
          <w:lang w:val="en-GB"/>
        </w:rPr>
      </w:pPr>
      <w:r w:rsidRPr="00180522">
        <w:rPr>
          <w:lang w:val="en-GB"/>
        </w:rPr>
        <w:t xml:space="preserve">The 2018 revision of this Recommendation up-versions the UML model tool to Papyrus v3.2.0 and the profile to v0.2.13, deletes </w:t>
      </w:r>
      <w:proofErr w:type="spellStart"/>
      <w:r w:rsidRPr="00180522">
        <w:rPr>
          <w:lang w:val="en-GB"/>
        </w:rPr>
        <w:t>ODUkP</w:t>
      </w:r>
      <w:proofErr w:type="spellEnd"/>
      <w:r w:rsidRPr="00180522">
        <w:rPr>
          <w:lang w:val="en-GB"/>
        </w:rPr>
        <w:t xml:space="preserve">-X-L (from the </w:t>
      </w:r>
      <w:proofErr w:type="spellStart"/>
      <w:r w:rsidRPr="00180522">
        <w:rPr>
          <w:lang w:val="en-GB"/>
        </w:rPr>
        <w:t>CsfRdiFdiEnableSink_Pac</w:t>
      </w:r>
      <w:proofErr w:type="spellEnd"/>
      <w:r w:rsidRPr="00180522">
        <w:rPr>
          <w:lang w:val="en-GB"/>
        </w:rPr>
        <w:t xml:space="preserve">, </w:t>
      </w:r>
      <w:proofErr w:type="spellStart"/>
      <w:r w:rsidRPr="00180522">
        <w:rPr>
          <w:lang w:val="en-GB"/>
        </w:rPr>
        <w:t>CsfRdiFdiEnableSource_Pac</w:t>
      </w:r>
      <w:proofErr w:type="spellEnd"/>
      <w:r w:rsidRPr="00180522">
        <w:rPr>
          <w:lang w:val="en-GB"/>
        </w:rPr>
        <w:t xml:space="preserve">, and </w:t>
      </w:r>
      <w:proofErr w:type="spellStart"/>
      <w:r w:rsidRPr="00180522">
        <w:rPr>
          <w:lang w:val="en-GB"/>
        </w:rPr>
        <w:t>CsfReportSink_Pac</w:t>
      </w:r>
      <w:proofErr w:type="spellEnd"/>
      <w:r w:rsidRPr="00180522">
        <w:rPr>
          <w:lang w:val="en-GB"/>
        </w:rPr>
        <w:t xml:space="preserve">), replace ETY termination points with </w:t>
      </w:r>
      <w:proofErr w:type="spellStart"/>
      <w:r w:rsidRPr="00180522">
        <w:rPr>
          <w:lang w:val="en-GB"/>
        </w:rPr>
        <w:t>ETHnull</w:t>
      </w:r>
      <w:proofErr w:type="spellEnd"/>
      <w:r w:rsidRPr="00180522">
        <w:rPr>
          <w:lang w:val="en-GB"/>
        </w:rPr>
        <w:t xml:space="preserve"> termination points, removes </w:t>
      </w:r>
      <w:proofErr w:type="spellStart"/>
      <w:r w:rsidRPr="00180522">
        <w:rPr>
          <w:lang w:val="en-GB"/>
        </w:rPr>
        <w:t>ODUkp</w:t>
      </w:r>
      <w:proofErr w:type="spellEnd"/>
      <w:r w:rsidRPr="00180522">
        <w:rPr>
          <w:lang w:val="en-GB"/>
        </w:rPr>
        <w:t>/ETH_A and ODU2P/ETHPP-OS_A, adds Annex A for the Ethernet Spec model.</w:t>
      </w:r>
    </w:p>
    <w:p w14:paraId="2E9DDE79" w14:textId="77777777" w:rsidR="006A46AE" w:rsidRPr="00180522" w:rsidRDefault="006A46AE" w:rsidP="006A46AE">
      <w:pPr>
        <w:rPr>
          <w:lang w:val="en-GB"/>
        </w:rPr>
      </w:pPr>
      <w:r w:rsidRPr="00180522">
        <w:rPr>
          <w:b/>
          <w:bCs/>
          <w:lang w:val="en-GB"/>
        </w:rPr>
        <w:t>ITU-T G.8152/Y.1375 (revised) "Protocol-neutral management information model for the MPLS-TP network element"</w:t>
      </w:r>
      <w:r w:rsidRPr="00180522">
        <w:rPr>
          <w:lang w:val="en-GB"/>
        </w:rPr>
        <w:t xml:space="preserve"> contains the protocol neutral unified modelling language (UML) model for multi-protocol label switching – transport profile (MPLS-TP) network element (NE) management.</w:t>
      </w:r>
    </w:p>
    <w:p w14:paraId="796C9834" w14:textId="77777777" w:rsidR="006A46AE" w:rsidRPr="00180522" w:rsidRDefault="006A46AE" w:rsidP="006A46AE">
      <w:pPr>
        <w:rPr>
          <w:lang w:val="en-GB"/>
        </w:rPr>
      </w:pPr>
      <w:r w:rsidRPr="00180522">
        <w:rPr>
          <w:lang w:val="en-GB"/>
        </w:rPr>
        <w:t>This Recommendation provides a representation of the MPLS-TP technology using the methodologies that have been used for other transport technologies (e.g., SDH, OTN and Ethernet).</w:t>
      </w:r>
    </w:p>
    <w:p w14:paraId="5617F155" w14:textId="77777777" w:rsidR="006A46AE" w:rsidRPr="00180522" w:rsidRDefault="006A46AE" w:rsidP="006A46AE">
      <w:pPr>
        <w:rPr>
          <w:lang w:val="en-GB"/>
        </w:rPr>
      </w:pPr>
      <w:r w:rsidRPr="00180522">
        <w:rPr>
          <w:lang w:val="en-GB"/>
        </w:rPr>
        <w:t xml:space="preserve">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w:t>
      </w:r>
      <w:proofErr w:type="spellStart"/>
      <w:r w:rsidRPr="00180522">
        <w:rPr>
          <w:lang w:val="en-GB"/>
        </w:rPr>
        <w:t>MT_SubnetworkProtectionGroup</w:t>
      </w:r>
      <w:proofErr w:type="spellEnd"/>
      <w:r w:rsidRPr="00180522">
        <w:rPr>
          <w:lang w:val="en-GB"/>
        </w:rPr>
        <w:t xml:space="preserve"> specifies the </w:t>
      </w:r>
      <w:proofErr w:type="spellStart"/>
      <w:r w:rsidRPr="00180522">
        <w:rPr>
          <w:lang w:val="en-GB"/>
        </w:rPr>
        <w:t>FcSwitch</w:t>
      </w:r>
      <w:proofErr w:type="spellEnd"/>
      <w:r w:rsidRPr="00180522">
        <w:rPr>
          <w:lang w:val="en-GB"/>
        </w:rPr>
        <w:t xml:space="preserve">, and </w:t>
      </w:r>
      <w:proofErr w:type="spellStart"/>
      <w:r w:rsidRPr="00180522">
        <w:rPr>
          <w:lang w:val="en-GB"/>
        </w:rPr>
        <w:t>MT_CrossConnection</w:t>
      </w:r>
      <w:proofErr w:type="spellEnd"/>
      <w:r w:rsidRPr="00180522">
        <w:rPr>
          <w:lang w:val="en-GB"/>
        </w:rPr>
        <w:t xml:space="preserve"> specifies the </w:t>
      </w:r>
      <w:proofErr w:type="spellStart"/>
      <w:r w:rsidRPr="00180522">
        <w:rPr>
          <w:lang w:val="en-GB"/>
        </w:rPr>
        <w:t>ForwardingConstruct</w:t>
      </w:r>
      <w:proofErr w:type="spellEnd"/>
      <w:r w:rsidRPr="00180522">
        <w:rPr>
          <w:lang w:val="en-GB"/>
        </w:rPr>
        <w:t>.</w:t>
      </w:r>
    </w:p>
    <w:p w14:paraId="6F924030" w14:textId="77777777" w:rsidR="006A46AE" w:rsidRPr="00180522" w:rsidRDefault="006A46AE" w:rsidP="006A46AE">
      <w:pPr>
        <w:pStyle w:val="Headingb"/>
      </w:pPr>
      <w:r w:rsidRPr="00180522">
        <w:t>I.1.7</w:t>
      </w:r>
      <w:r w:rsidRPr="00180522">
        <w:tab/>
        <w:t>Ethernet over transport networks</w:t>
      </w:r>
    </w:p>
    <w:p w14:paraId="58B56A5F" w14:textId="77777777" w:rsidR="006A46AE" w:rsidRPr="00180522" w:rsidRDefault="006A46AE" w:rsidP="006A46AE">
      <w:pPr>
        <w:pStyle w:val="Headingb"/>
      </w:pPr>
      <w:r w:rsidRPr="00180522">
        <w:t>I.1.8</w:t>
      </w:r>
      <w:r w:rsidRPr="00180522">
        <w:tab/>
        <w:t>MPLS over transport networks</w:t>
      </w:r>
    </w:p>
    <w:p w14:paraId="42BE9EF2" w14:textId="77777777" w:rsidR="006A46AE" w:rsidRPr="00180522" w:rsidRDefault="006A46AE" w:rsidP="006A46AE">
      <w:pPr>
        <w:rPr>
          <w:b/>
          <w:sz w:val="22"/>
          <w:szCs w:val="22"/>
          <w:lang w:val="en-GB"/>
        </w:rPr>
      </w:pPr>
      <w:r w:rsidRPr="00180522">
        <w:rPr>
          <w:b/>
          <w:szCs w:val="24"/>
          <w:lang w:val="en-GB"/>
        </w:rPr>
        <w:t xml:space="preserve">ITU-T G.8133 "Dual-Homing Protection for MPLS-TP </w:t>
      </w:r>
      <w:proofErr w:type="spellStart"/>
      <w:r w:rsidRPr="00180522">
        <w:rPr>
          <w:b/>
          <w:szCs w:val="24"/>
          <w:lang w:val="en-GB"/>
        </w:rPr>
        <w:t>Pseudowires</w:t>
      </w:r>
      <w:proofErr w:type="spellEnd"/>
      <w:r w:rsidRPr="00180522">
        <w:rPr>
          <w:b/>
          <w:szCs w:val="24"/>
          <w:lang w:val="en-GB"/>
        </w:rPr>
        <w:t>"</w:t>
      </w:r>
      <w:r w:rsidRPr="00180522">
        <w:rPr>
          <w:szCs w:val="24"/>
          <w:lang w:val="en-GB"/>
        </w:rPr>
        <w:t xml:space="preserve"> provides architecture and mechanisms for </w:t>
      </w:r>
      <w:proofErr w:type="spellStart"/>
      <w:r w:rsidRPr="00180522">
        <w:rPr>
          <w:szCs w:val="24"/>
          <w:lang w:val="en-GB"/>
        </w:rPr>
        <w:t>Pseudowire</w:t>
      </w:r>
      <w:proofErr w:type="spellEnd"/>
      <w:r w:rsidRPr="00180522">
        <w:rPr>
          <w:szCs w:val="24"/>
          <w:lang w:val="en-GB"/>
        </w:rPr>
        <w:t xml:space="preserve"> (PW) dual-homing protection in MPLS transport profile (MPLS-TP) networks. It also describes the Dual-Homing Coordination (DHC) protocol defined in [IETF RFC 8184] and [IETF RFC 8185]. The mechanisms defined herein protect point-to-point MPLS-TP PWs against failures within or at the edges of the MPLS-TP network.</w:t>
      </w:r>
    </w:p>
    <w:p w14:paraId="25E47AFD" w14:textId="77777777" w:rsidR="006A46AE" w:rsidRPr="00180522" w:rsidRDefault="006A46AE" w:rsidP="006A46AE">
      <w:pPr>
        <w:pStyle w:val="Headingb"/>
      </w:pPr>
      <w:r w:rsidRPr="00180522">
        <w:t>I.1.9</w:t>
      </w:r>
      <w:r w:rsidRPr="00180522">
        <w:tab/>
        <w:t>Synchronization and timing</w:t>
      </w:r>
    </w:p>
    <w:p w14:paraId="494F03EA" w14:textId="77777777" w:rsidR="006A46AE" w:rsidRPr="00180522" w:rsidRDefault="006A46AE" w:rsidP="006A46AE">
      <w:pPr>
        <w:rPr>
          <w:lang w:val="en-GB"/>
        </w:rPr>
      </w:pPr>
      <w:r w:rsidRPr="00180522">
        <w:rPr>
          <w:b/>
          <w:lang w:val="en-GB"/>
        </w:rPr>
        <w:t xml:space="preserve">ITU-T G.8261/Y.1361 (revised) "Timing and synchronization aspects in packet networks" </w:t>
      </w:r>
      <w:r w:rsidRPr="00180522">
        <w:rPr>
          <w:lang w:val="en-GB"/>
        </w:rPr>
        <w:t>defines frequency synchronization aspects in packet networks. It specifies the maximum network limits of jitter and wander that shall not be exceeded. It specifies the minimum equipment tolerance to jitter and wander that shall be provided at the boundary of these packet networks at TDM and synchronization interfaces. It also outlines the minimum requirements for the synchronization function of network elements. The requirements for the jitter and wander characteristics that are specified in this Recommendation must be adhered to in order to ensure interoperability of equipment produced by different manufacturers and a satisfactory network performance.</w:t>
      </w:r>
    </w:p>
    <w:p w14:paraId="77561733" w14:textId="77777777" w:rsidR="006A46AE" w:rsidRPr="00180522" w:rsidRDefault="006A46AE" w:rsidP="006A46AE">
      <w:pPr>
        <w:rPr>
          <w:lang w:val="en-GB"/>
        </w:rPr>
      </w:pPr>
      <w:r w:rsidRPr="00180522">
        <w:rPr>
          <w:lang w:val="en-GB"/>
        </w:rPr>
        <w:t>This revision to Recommendation ITU-T G.8261 (2013) provides the following updates:</w:t>
      </w:r>
    </w:p>
    <w:p w14:paraId="3CC4EEA6" w14:textId="77777777" w:rsidR="006A46AE" w:rsidRPr="00180522" w:rsidRDefault="006A46AE" w:rsidP="006A46AE">
      <w:pPr>
        <w:rPr>
          <w:lang w:val="en-GB"/>
        </w:rPr>
      </w:pPr>
      <w:r w:rsidRPr="00180522">
        <w:rPr>
          <w:lang w:val="en-GB"/>
        </w:rPr>
        <w:t>−</w:t>
      </w:r>
      <w:r w:rsidRPr="00180522">
        <w:rPr>
          <w:lang w:val="en-GB"/>
        </w:rPr>
        <w:tab/>
        <w:t>Addition of Clause 9.2.1.4 (Enhanced Synchronous Equipment Clock network limits)</w:t>
      </w:r>
    </w:p>
    <w:p w14:paraId="6A04182A" w14:textId="77777777" w:rsidR="006A46AE" w:rsidRPr="00180522" w:rsidRDefault="006A46AE" w:rsidP="006A46AE">
      <w:pPr>
        <w:rPr>
          <w:lang w:val="en-GB"/>
        </w:rPr>
      </w:pPr>
      <w:r w:rsidRPr="00180522">
        <w:rPr>
          <w:lang w:val="en-GB"/>
        </w:rPr>
        <w:lastRenderedPageBreak/>
        <w:t>−</w:t>
      </w:r>
      <w:r w:rsidRPr="00180522">
        <w:rPr>
          <w:lang w:val="en-GB"/>
        </w:rPr>
        <w:tab/>
        <w:t>Addition of frequency requirements for LTE and NR to Appendix IV</w:t>
      </w:r>
    </w:p>
    <w:p w14:paraId="3A1FF680" w14:textId="77777777" w:rsidR="006A46AE" w:rsidRPr="00180522" w:rsidRDefault="006A46AE" w:rsidP="006A46AE">
      <w:pPr>
        <w:rPr>
          <w:lang w:val="en-GB"/>
        </w:rPr>
      </w:pPr>
      <w:r w:rsidRPr="00180522">
        <w:rPr>
          <w:lang w:val="en-GB"/>
        </w:rPr>
        <w:t>−</w:t>
      </w:r>
      <w:r w:rsidRPr="00180522">
        <w:rPr>
          <w:lang w:val="en-GB"/>
        </w:rPr>
        <w:tab/>
        <w:t>Addition of Appendix XIV.</w:t>
      </w:r>
    </w:p>
    <w:p w14:paraId="77404DE9" w14:textId="77777777" w:rsidR="006A46AE" w:rsidRPr="00180522" w:rsidRDefault="006A46AE" w:rsidP="006A46AE">
      <w:pPr>
        <w:rPr>
          <w:b/>
          <w:bCs/>
          <w:lang w:val="en-GB"/>
        </w:rPr>
      </w:pPr>
      <w:r w:rsidRPr="00180522">
        <w:rPr>
          <w:b/>
          <w:bCs/>
          <w:lang w:val="en-GB"/>
        </w:rPr>
        <w:t>ITU-T G.8262.1/Y.1362.1 "Timing characteristics of enhanced synchronous equipment slave clock"</w:t>
      </w:r>
      <w:r w:rsidRPr="00180522">
        <w:rPr>
          <w:lang w:val="en-GB"/>
        </w:rPr>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78F9D36F" w14:textId="77777777" w:rsidR="006A46AE" w:rsidRPr="00180522" w:rsidRDefault="006A46AE" w:rsidP="006A46AE">
      <w:pPr>
        <w:rPr>
          <w:lang w:val="en-GB"/>
        </w:rPr>
      </w:pPr>
      <w:r w:rsidRPr="00180522">
        <w:rPr>
          <w:b/>
          <w:lang w:val="en-GB"/>
        </w:rPr>
        <w:t xml:space="preserve">ITU-T G.8262.1/Y.1362.1 (01/2019) Amd.1 "Timing characteristics of enhanced synchronous equipment slave clock: Amendment 1" </w:t>
      </w:r>
      <w:r w:rsidRPr="00180522">
        <w:rPr>
          <w:lang w:val="en-GB"/>
        </w:rPr>
        <w:t>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233149D4" w14:textId="77777777" w:rsidR="006A46AE" w:rsidRPr="00180522" w:rsidRDefault="006A46AE" w:rsidP="006A46AE">
      <w:pPr>
        <w:rPr>
          <w:lang w:val="en-GB"/>
        </w:rPr>
      </w:pPr>
      <w:r w:rsidRPr="00180522">
        <w:rPr>
          <w:lang w:val="en-GB"/>
        </w:rPr>
        <w:t>Amendment 1 to Recommendation ITU-T G.8262.1/Y.1362.1 (01/2019) provides the following updates:</w:t>
      </w:r>
    </w:p>
    <w:p w14:paraId="34EA1146" w14:textId="77777777" w:rsidR="006A46AE" w:rsidRPr="00180522" w:rsidRDefault="006A46AE" w:rsidP="006A46AE">
      <w:pPr>
        <w:rPr>
          <w:lang w:val="en-GB"/>
        </w:rPr>
      </w:pPr>
      <w:r w:rsidRPr="00180522">
        <w:rPr>
          <w:lang w:val="en-GB"/>
        </w:rPr>
        <w:t>−</w:t>
      </w:r>
      <w:r w:rsidRPr="00180522">
        <w:rPr>
          <w:lang w:val="en-GB"/>
        </w:rPr>
        <w:tab/>
        <w:t>Adds requirements for clause 9.1</w:t>
      </w:r>
    </w:p>
    <w:p w14:paraId="12A57A4E" w14:textId="77777777" w:rsidR="006A46AE" w:rsidRPr="00180522" w:rsidRDefault="006A46AE" w:rsidP="006A46AE">
      <w:pPr>
        <w:rPr>
          <w:lang w:val="en-GB"/>
        </w:rPr>
      </w:pPr>
      <w:r w:rsidRPr="00180522">
        <w:rPr>
          <w:lang w:val="en-GB"/>
        </w:rPr>
        <w:t>−</w:t>
      </w:r>
      <w:r w:rsidRPr="00180522">
        <w:rPr>
          <w:lang w:val="en-GB"/>
        </w:rPr>
        <w:tab/>
        <w:t>Replaces clause 9.3.1 with a reference to clause 9.2.1 of [ITU-T G.8262].</w:t>
      </w:r>
    </w:p>
    <w:p w14:paraId="7151CDF0" w14:textId="77777777" w:rsidR="006A46AE" w:rsidRPr="00180522" w:rsidRDefault="006A46AE" w:rsidP="006A46AE">
      <w:pPr>
        <w:rPr>
          <w:lang w:val="en-GB"/>
        </w:rPr>
      </w:pPr>
      <w:r w:rsidRPr="00180522">
        <w:rPr>
          <w:lang w:val="en-GB"/>
        </w:rPr>
        <w:t>−</w:t>
      </w:r>
      <w:r w:rsidRPr="00180522">
        <w:rPr>
          <w:lang w:val="en-GB"/>
        </w:rPr>
        <w:tab/>
        <w:t>Adds "enhanced" to the "synchronous OTN interface" in clause 9.3.3</w:t>
      </w:r>
    </w:p>
    <w:p w14:paraId="6A565497" w14:textId="77777777" w:rsidR="006A46AE" w:rsidRPr="00180522" w:rsidRDefault="006A46AE" w:rsidP="006A46AE">
      <w:pPr>
        <w:rPr>
          <w:lang w:val="en-GB"/>
        </w:rPr>
      </w:pPr>
      <w:r w:rsidRPr="00180522">
        <w:rPr>
          <w:lang w:val="en-GB"/>
        </w:rPr>
        <w:t>−</w:t>
      </w:r>
      <w:r w:rsidRPr="00180522">
        <w:rPr>
          <w:lang w:val="en-GB"/>
        </w:rPr>
        <w:tab/>
        <w:t>Changes in Clause 11.1: defines parameter S; defines parameter T (except for OTN interfaces)</w:t>
      </w:r>
    </w:p>
    <w:p w14:paraId="0CF80DFC" w14:textId="77777777" w:rsidR="006A46AE" w:rsidRPr="00180522" w:rsidRDefault="006A46AE" w:rsidP="006A46AE">
      <w:pPr>
        <w:rPr>
          <w:lang w:val="en-GB"/>
        </w:rPr>
      </w:pPr>
      <w:r w:rsidRPr="00180522">
        <w:rPr>
          <w:lang w:val="en-GB"/>
        </w:rPr>
        <w:t>−</w:t>
      </w:r>
      <w:r w:rsidRPr="00180522">
        <w:rPr>
          <w:lang w:val="en-GB"/>
        </w:rPr>
        <w:tab/>
        <w:t>Changes in Clause 11.2: define parameter a2; changes figure 8 to start at 15s.</w:t>
      </w:r>
    </w:p>
    <w:p w14:paraId="233D29F5" w14:textId="77777777" w:rsidR="006A46AE" w:rsidRPr="00180522" w:rsidRDefault="006A46AE" w:rsidP="006A46AE">
      <w:pPr>
        <w:rPr>
          <w:lang w:val="en-GB"/>
        </w:rPr>
      </w:pPr>
      <w:r w:rsidRPr="00180522">
        <w:rPr>
          <w:lang w:val="en-GB"/>
        </w:rPr>
        <w:t>−</w:t>
      </w:r>
      <w:r w:rsidRPr="00180522">
        <w:rPr>
          <w:lang w:val="en-GB"/>
        </w:rPr>
        <w:tab/>
        <w:t>Adds "Synchronous OTN interfaces" in Clause 12</w:t>
      </w:r>
    </w:p>
    <w:p w14:paraId="7C7F5253" w14:textId="77777777" w:rsidR="006A46AE" w:rsidRPr="00180522" w:rsidRDefault="006A46AE" w:rsidP="006A46AE">
      <w:pPr>
        <w:rPr>
          <w:lang w:val="en-GB"/>
        </w:rPr>
      </w:pPr>
      <w:r w:rsidRPr="00180522">
        <w:rPr>
          <w:lang w:val="en-GB"/>
        </w:rPr>
        <w:t>−</w:t>
      </w:r>
      <w:r w:rsidRPr="00180522">
        <w:rPr>
          <w:lang w:val="en-GB"/>
        </w:rPr>
        <w:tab/>
        <w:t>Adds text to Appendix IV</w:t>
      </w:r>
    </w:p>
    <w:p w14:paraId="3B862E71" w14:textId="77777777" w:rsidR="006A46AE" w:rsidRPr="00180522" w:rsidRDefault="006A46AE" w:rsidP="006A46AE">
      <w:pPr>
        <w:rPr>
          <w:lang w:val="en-GB"/>
        </w:rPr>
      </w:pPr>
      <w:r w:rsidRPr="00180522">
        <w:rPr>
          <w:lang w:val="en-GB"/>
        </w:rPr>
        <w:t>−</w:t>
      </w:r>
      <w:r w:rsidRPr="00180522">
        <w:rPr>
          <w:lang w:val="en-GB"/>
        </w:rPr>
        <w:tab/>
        <w:t>Adds Appendix V.</w:t>
      </w:r>
    </w:p>
    <w:p w14:paraId="25B07B4C" w14:textId="77777777" w:rsidR="006A46AE" w:rsidRPr="00180522" w:rsidRDefault="006A46AE" w:rsidP="006A46AE">
      <w:pPr>
        <w:rPr>
          <w:lang w:val="en-GB"/>
        </w:rPr>
      </w:pPr>
      <w:r w:rsidRPr="00180522">
        <w:rPr>
          <w:b/>
          <w:bCs/>
          <w:lang w:val="en-GB"/>
        </w:rPr>
        <w:t xml:space="preserve">ITU-T G.8265.1/Y.1365.1 Amd.1 "Precision time protocol telecom profile for frequency synchronization – Amendment 1" </w:t>
      </w:r>
      <w:r w:rsidRPr="00180522">
        <w:rPr>
          <w:lang w:val="en-GB"/>
        </w:rPr>
        <w:t>makes the following changes:</w:t>
      </w:r>
    </w:p>
    <w:p w14:paraId="7E76C8B4" w14:textId="77777777" w:rsidR="006A46AE" w:rsidRPr="00180522" w:rsidRDefault="006A46AE" w:rsidP="006A46AE">
      <w:pPr>
        <w:rPr>
          <w:lang w:val="en-GB"/>
        </w:rPr>
      </w:pPr>
      <w:r w:rsidRPr="00180522">
        <w:rPr>
          <w:lang w:val="en-GB"/>
        </w:rPr>
        <w:t>−</w:t>
      </w:r>
      <w:r w:rsidRPr="00180522">
        <w:rPr>
          <w:lang w:val="en-GB"/>
        </w:rPr>
        <w:tab/>
        <w:t>Add notes to the quality level to clockClass mappings table in clause 6.7.3.1.</w:t>
      </w:r>
    </w:p>
    <w:p w14:paraId="2DFEA724" w14:textId="77777777" w:rsidR="006A46AE" w:rsidRPr="00180522" w:rsidRDefault="006A46AE" w:rsidP="006A46AE">
      <w:pPr>
        <w:widowControl w:val="0"/>
        <w:rPr>
          <w:szCs w:val="24"/>
          <w:lang w:val="en-GB"/>
        </w:rPr>
      </w:pPr>
      <w:r w:rsidRPr="00180522">
        <w:rPr>
          <w:b/>
          <w:szCs w:val="24"/>
          <w:lang w:val="en-GB"/>
        </w:rPr>
        <w:t xml:space="preserve">ITU-T G.8271.1 (10/2017) Amd.2 "Network limits for time synchronization in packet networks: Amendment 2" </w:t>
      </w:r>
      <w:r w:rsidRPr="00180522">
        <w:rPr>
          <w:szCs w:val="24"/>
          <w:lang w:val="en-GB"/>
        </w:rPr>
        <w:t xml:space="preserve">specifies the maximum network limits of phase and time error that shall not be exceeded. </w:t>
      </w:r>
      <w:bookmarkStart w:id="226" w:name="_GoBack"/>
      <w:r w:rsidRPr="00180522">
        <w:rPr>
          <w:szCs w:val="24"/>
          <w:lang w:val="en-GB"/>
        </w:rPr>
        <w:t xml:space="preserve">It specifies the minimum equipment tolerance to phase and time error that shall be provided at the boundary of packet networks at phase and time synchronization interfaces. </w:t>
      </w:r>
      <w:bookmarkEnd w:id="226"/>
      <w:r w:rsidRPr="00180522">
        <w:rPr>
          <w:szCs w:val="24"/>
          <w:lang w:val="en-GB"/>
        </w:rPr>
        <w:t>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1D5ECC66" w14:textId="77777777" w:rsidR="006A46AE" w:rsidRPr="00180522" w:rsidRDefault="006A46AE" w:rsidP="006A46AE">
      <w:pPr>
        <w:widowControl w:val="0"/>
        <w:rPr>
          <w:szCs w:val="24"/>
          <w:lang w:val="en-GB"/>
        </w:rPr>
      </w:pPr>
      <w:r w:rsidRPr="00180522">
        <w:rPr>
          <w:szCs w:val="24"/>
          <w:lang w:val="en-GB"/>
        </w:rPr>
        <w:t>Amendment 2 to Recommendation ITU-T G.8271.1 (10/2017) provides the following updates:</w:t>
      </w:r>
    </w:p>
    <w:p w14:paraId="58D420FF"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Updated references</w:t>
      </w:r>
    </w:p>
    <w:p w14:paraId="5D02BC76"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Addition of information to Clause 7</w:t>
      </w:r>
    </w:p>
    <w:p w14:paraId="4D04F54D"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Revision of Appendix II</w:t>
      </w:r>
    </w:p>
    <w:p w14:paraId="52435D2B"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Revision of Appendix VII</w:t>
      </w:r>
    </w:p>
    <w:p w14:paraId="7D5A1E6C"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Revision of Appendix XI</w:t>
      </w:r>
    </w:p>
    <w:p w14:paraId="054E1358" w14:textId="77777777" w:rsidR="006A46AE" w:rsidRPr="00180522" w:rsidRDefault="006A46AE" w:rsidP="006A46AE">
      <w:pPr>
        <w:rPr>
          <w:szCs w:val="24"/>
          <w:lang w:val="en-GB"/>
        </w:rPr>
      </w:pPr>
      <w:r w:rsidRPr="00180522">
        <w:rPr>
          <w:szCs w:val="24"/>
          <w:lang w:val="en-GB"/>
        </w:rPr>
        <w:t>−</w:t>
      </w:r>
      <w:r w:rsidRPr="00180522">
        <w:rPr>
          <w:szCs w:val="24"/>
          <w:lang w:val="en-GB"/>
        </w:rPr>
        <w:tab/>
        <w:t>New Appendix XII.</w:t>
      </w:r>
    </w:p>
    <w:p w14:paraId="1F48BF0F" w14:textId="77777777" w:rsidR="006A46AE" w:rsidRPr="00180522" w:rsidRDefault="006A46AE" w:rsidP="006A46AE">
      <w:pPr>
        <w:rPr>
          <w:lang w:val="en-GB"/>
        </w:rPr>
      </w:pPr>
      <w:r w:rsidRPr="00180522">
        <w:rPr>
          <w:b/>
          <w:lang w:val="en-GB"/>
        </w:rPr>
        <w:t>ITU-T G.8271.2 Amd.2 "Network limits for time synchronization in packet networks with partial timing support from the network: Amendment 2"</w:t>
      </w:r>
      <w:r w:rsidRPr="00180522">
        <w:rPr>
          <w:lang w:val="en-GB"/>
        </w:rPr>
        <w:t xml:space="preserve"> provides the following updates:</w:t>
      </w:r>
    </w:p>
    <w:p w14:paraId="44D65CBE" w14:textId="77777777" w:rsidR="006A46AE" w:rsidRPr="00180522" w:rsidRDefault="006A46AE" w:rsidP="006A46AE">
      <w:pPr>
        <w:rPr>
          <w:lang w:val="en-GB"/>
        </w:rPr>
      </w:pPr>
      <w:r w:rsidRPr="00180522">
        <w:rPr>
          <w:lang w:val="en-GB"/>
        </w:rPr>
        <w:t>−</w:t>
      </w:r>
      <w:r w:rsidRPr="00180522">
        <w:rPr>
          <w:lang w:val="en-GB"/>
        </w:rPr>
        <w:tab/>
        <w:t>Replacement of Figure 2</w:t>
      </w:r>
    </w:p>
    <w:p w14:paraId="6EB0CB00" w14:textId="77777777" w:rsidR="006A46AE" w:rsidRPr="00180522" w:rsidRDefault="006A46AE" w:rsidP="006A46AE">
      <w:pPr>
        <w:rPr>
          <w:lang w:val="en-GB"/>
        </w:rPr>
      </w:pPr>
      <w:r w:rsidRPr="00180522">
        <w:rPr>
          <w:lang w:val="en-GB"/>
        </w:rPr>
        <w:lastRenderedPageBreak/>
        <w:t>−</w:t>
      </w:r>
      <w:r w:rsidRPr="00180522">
        <w:rPr>
          <w:lang w:val="en-GB"/>
        </w:rPr>
        <w:tab/>
        <w:t>Addition of text to clauses 7.3.1.1 and 7.3.2.1</w:t>
      </w:r>
    </w:p>
    <w:p w14:paraId="0F68A102" w14:textId="77777777" w:rsidR="006A46AE" w:rsidRPr="00180522" w:rsidRDefault="006A46AE" w:rsidP="006A46AE">
      <w:pPr>
        <w:rPr>
          <w:lang w:val="en-GB"/>
        </w:rPr>
      </w:pPr>
      <w:r w:rsidRPr="00180522">
        <w:rPr>
          <w:lang w:val="en-GB"/>
        </w:rPr>
        <w:t>−</w:t>
      </w:r>
      <w:r w:rsidRPr="00180522">
        <w:rPr>
          <w:lang w:val="en-GB"/>
        </w:rPr>
        <w:tab/>
        <w:t>Revision of clauses 7.4.1 and 7.4.2</w:t>
      </w:r>
    </w:p>
    <w:p w14:paraId="3BF593AE" w14:textId="77777777" w:rsidR="006A46AE" w:rsidRPr="00180522" w:rsidRDefault="006A46AE" w:rsidP="006A46AE">
      <w:pPr>
        <w:rPr>
          <w:lang w:val="en-GB"/>
        </w:rPr>
      </w:pPr>
      <w:r w:rsidRPr="00180522">
        <w:rPr>
          <w:lang w:val="en-GB"/>
        </w:rPr>
        <w:t>−</w:t>
      </w:r>
      <w:r w:rsidRPr="00180522">
        <w:rPr>
          <w:lang w:val="en-GB"/>
        </w:rPr>
        <w:tab/>
        <w:t>Replacement of Figures I.2 and I.4</w:t>
      </w:r>
    </w:p>
    <w:p w14:paraId="572F5EC3" w14:textId="77777777" w:rsidR="006A46AE" w:rsidRPr="00180522" w:rsidRDefault="006A46AE" w:rsidP="006A46AE">
      <w:pPr>
        <w:rPr>
          <w:lang w:val="en-GB"/>
        </w:rPr>
      </w:pPr>
      <w:r w:rsidRPr="00180522">
        <w:rPr>
          <w:lang w:val="en-GB"/>
        </w:rPr>
        <w:t>−</w:t>
      </w:r>
      <w:r w:rsidRPr="00180522">
        <w:rPr>
          <w:lang w:val="en-GB"/>
        </w:rPr>
        <w:tab/>
        <w:t>Revision of clauses I.3 and I.6</w:t>
      </w:r>
    </w:p>
    <w:p w14:paraId="4F5355E6" w14:textId="77777777" w:rsidR="006A46AE" w:rsidRPr="00180522" w:rsidRDefault="006A46AE" w:rsidP="006A46AE">
      <w:pPr>
        <w:rPr>
          <w:lang w:val="en-GB"/>
        </w:rPr>
      </w:pPr>
      <w:r w:rsidRPr="00180522">
        <w:rPr>
          <w:lang w:val="en-GB"/>
        </w:rPr>
        <w:t>−</w:t>
      </w:r>
      <w:r w:rsidRPr="00180522">
        <w:rPr>
          <w:lang w:val="en-GB"/>
        </w:rPr>
        <w:tab/>
        <w:t>Addition of new Appendix IV.</w:t>
      </w:r>
    </w:p>
    <w:p w14:paraId="4B134A72" w14:textId="77777777" w:rsidR="006A46AE" w:rsidRPr="00180522" w:rsidRDefault="006A46AE" w:rsidP="006A46AE">
      <w:pPr>
        <w:rPr>
          <w:lang w:val="en-GB"/>
        </w:rPr>
      </w:pPr>
      <w:r w:rsidRPr="00180522">
        <w:rPr>
          <w:b/>
          <w:lang w:val="en-GB"/>
        </w:rPr>
        <w:t xml:space="preserve">ITU-T G.8272.1/Y.1367.1 Amd.2 "Timing characteristics of enhanced primary reference time clocks - Amendment 2" </w:t>
      </w:r>
      <w:r w:rsidRPr="00180522">
        <w:rPr>
          <w:lang w:val="en-GB"/>
        </w:rPr>
        <w:t>provides the following updates:</w:t>
      </w:r>
    </w:p>
    <w:p w14:paraId="3E1BD4DA" w14:textId="77777777" w:rsidR="006A46AE" w:rsidRPr="00180522" w:rsidRDefault="006A46AE" w:rsidP="006A46AE">
      <w:pPr>
        <w:rPr>
          <w:lang w:val="en-GB"/>
        </w:rPr>
      </w:pPr>
      <w:r w:rsidRPr="00180522">
        <w:rPr>
          <w:lang w:val="en-GB"/>
        </w:rPr>
        <w:t>−</w:t>
      </w:r>
      <w:r w:rsidRPr="00180522">
        <w:rPr>
          <w:lang w:val="en-GB"/>
        </w:rPr>
        <w:tab/>
        <w:t xml:space="preserve">Added case where </w:t>
      </w:r>
      <w:proofErr w:type="spellStart"/>
      <w:r w:rsidRPr="00180522">
        <w:rPr>
          <w:lang w:val="en-GB"/>
        </w:rPr>
        <w:t>ePRTC</w:t>
      </w:r>
      <w:proofErr w:type="spellEnd"/>
      <w:r w:rsidRPr="00180522">
        <w:rPr>
          <w:lang w:val="en-GB"/>
        </w:rPr>
        <w:t xml:space="preserve"> includes an integrated T-GM clock.</w:t>
      </w:r>
    </w:p>
    <w:p w14:paraId="4CC17614" w14:textId="77777777" w:rsidR="006A46AE" w:rsidRPr="00180522" w:rsidRDefault="006A46AE" w:rsidP="006A46AE">
      <w:pPr>
        <w:rPr>
          <w:lang w:val="en-GB"/>
        </w:rPr>
      </w:pPr>
      <w:r w:rsidRPr="00180522">
        <w:rPr>
          <w:b/>
          <w:lang w:val="en-GB"/>
        </w:rPr>
        <w:t xml:space="preserve">ITU-T G.8273.2/Y.1368.2 (revised) "Timing characteristics of telecom boundary clocks and telecom time slave clocks" </w:t>
      </w:r>
      <w:r w:rsidRPr="00180522">
        <w:rPr>
          <w:lang w:val="en-GB"/>
        </w:rPr>
        <w:t>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 based networks.</w:t>
      </w:r>
    </w:p>
    <w:p w14:paraId="34DBB0A9" w14:textId="77777777" w:rsidR="006A46AE" w:rsidRPr="00180522" w:rsidRDefault="006A46AE" w:rsidP="006A46AE">
      <w:pPr>
        <w:rPr>
          <w:lang w:val="en-GB"/>
        </w:rPr>
      </w:pPr>
      <w:r w:rsidRPr="00180522">
        <w:rPr>
          <w:lang w:val="en-GB"/>
        </w:rPr>
        <w:t>This version of the Recommendation only applies to full timing support from the network.</w:t>
      </w:r>
    </w:p>
    <w:p w14:paraId="6B15239A" w14:textId="77777777" w:rsidR="006A46AE" w:rsidRPr="00180522" w:rsidRDefault="006A46AE" w:rsidP="006A46AE">
      <w:pPr>
        <w:rPr>
          <w:lang w:val="en-GB"/>
        </w:rPr>
      </w:pPr>
      <w:r w:rsidRPr="00180522">
        <w:rPr>
          <w:lang w:val="en-GB"/>
        </w:rPr>
        <w:t>These requirements apply under the normal environmental conditions specified for the equipment.</w:t>
      </w:r>
    </w:p>
    <w:p w14:paraId="2503AD7A" w14:textId="77777777" w:rsidR="006A46AE" w:rsidRPr="00180522" w:rsidRDefault="006A46AE" w:rsidP="006A46AE">
      <w:pPr>
        <w:rPr>
          <w:lang w:val="en-GB"/>
        </w:rPr>
      </w:pPr>
      <w:r w:rsidRPr="00180522">
        <w:rPr>
          <w:b/>
          <w:bCs/>
          <w:lang w:val="en-GB"/>
        </w:rPr>
        <w:t>ITU-T G.8273.2/Y.1368.2 Amd.2 "Timing characteristics of telecom boundary clocks and telecom time slave clocks - Amendment 2"</w:t>
      </w:r>
      <w:r w:rsidRPr="00180522">
        <w:rPr>
          <w:lang w:val="en-GB"/>
        </w:rPr>
        <w:t xml:space="preserve"> replaces text in the Scope, in clauses 2, 4, 7.1, 7.1.1, 7.1.2, 7.4.1.2, C.2.4.1.2, and in Annex B . It adds Annex D. It replaces text in Appendices I, II, and V. It replaces text, table and figure in Appendix III and VI.</w:t>
      </w:r>
    </w:p>
    <w:p w14:paraId="1922F5C4" w14:textId="77777777" w:rsidR="006A46AE" w:rsidRPr="00180522" w:rsidRDefault="006A46AE" w:rsidP="006A46AE">
      <w:pPr>
        <w:rPr>
          <w:lang w:val="en-GB"/>
        </w:rPr>
      </w:pPr>
      <w:r w:rsidRPr="00180522">
        <w:rPr>
          <w:b/>
          <w:bCs/>
          <w:lang w:val="en-GB"/>
        </w:rPr>
        <w:t>ITU-T G.8273.3/Y.1368.3 Amd.1 "Timing characteristics of telecom transparent clocks - Amendment 1"</w:t>
      </w:r>
      <w:r w:rsidRPr="00180522">
        <w:rPr>
          <w:lang w:val="en-GB"/>
        </w:rPr>
        <w:t xml:space="preserve"> changes the notes in clauses 7.1.1, 7.1.2 and 7.13. It also adds Appendix III.</w:t>
      </w:r>
    </w:p>
    <w:p w14:paraId="6D3B2EE0" w14:textId="77777777" w:rsidR="006A46AE" w:rsidRPr="00180522" w:rsidRDefault="006A46AE" w:rsidP="006A46AE">
      <w:pPr>
        <w:widowControl w:val="0"/>
        <w:rPr>
          <w:szCs w:val="24"/>
          <w:lang w:val="en-GB"/>
        </w:rPr>
      </w:pPr>
      <w:r w:rsidRPr="00180522">
        <w:rPr>
          <w:b/>
          <w:szCs w:val="24"/>
          <w:lang w:val="en-GB"/>
        </w:rPr>
        <w:t xml:space="preserve">ITU-T G.8275/Y.1369 Amd.2 "Architecture and requirements for packet-based time and phase distribution - Amendment 2" </w:t>
      </w:r>
      <w:r w:rsidRPr="00180522">
        <w:rPr>
          <w:szCs w:val="24"/>
          <w:lang w:val="en-GB"/>
        </w:rPr>
        <w:t>provides the following updates:</w:t>
      </w:r>
    </w:p>
    <w:p w14:paraId="12823CF1" w14:textId="77777777" w:rsidR="006A46AE" w:rsidRPr="00180522" w:rsidRDefault="006A46AE" w:rsidP="006A46AE">
      <w:pPr>
        <w:widowControl w:val="0"/>
        <w:rPr>
          <w:szCs w:val="24"/>
          <w:lang w:val="en-GB"/>
        </w:rPr>
      </w:pPr>
      <w:r w:rsidRPr="00180522">
        <w:rPr>
          <w:szCs w:val="24"/>
          <w:lang w:val="en-GB"/>
        </w:rPr>
        <w:t>−</w:t>
      </w:r>
      <w:r w:rsidRPr="00180522">
        <w:rPr>
          <w:szCs w:val="24"/>
          <w:lang w:val="en-GB"/>
        </w:rPr>
        <w:tab/>
        <w:t>Add a profile translation to Appendix III</w:t>
      </w:r>
    </w:p>
    <w:p w14:paraId="29689CE1" w14:textId="77777777" w:rsidR="006A46AE" w:rsidRPr="00180522" w:rsidRDefault="006A46AE" w:rsidP="006A46AE">
      <w:pPr>
        <w:rPr>
          <w:szCs w:val="24"/>
          <w:lang w:val="en-GB"/>
        </w:rPr>
      </w:pPr>
      <w:r w:rsidRPr="00180522">
        <w:rPr>
          <w:szCs w:val="24"/>
          <w:lang w:val="en-GB"/>
        </w:rPr>
        <w:t>−</w:t>
      </w:r>
      <w:r w:rsidRPr="00180522">
        <w:rPr>
          <w:szCs w:val="24"/>
          <w:lang w:val="en-GB"/>
        </w:rPr>
        <w:tab/>
        <w:t xml:space="preserve">Add a functional model for </w:t>
      </w:r>
      <w:proofErr w:type="spellStart"/>
      <w:r w:rsidRPr="00180522">
        <w:rPr>
          <w:szCs w:val="24"/>
          <w:lang w:val="en-GB"/>
        </w:rPr>
        <w:t>cnPRTC</w:t>
      </w:r>
      <w:proofErr w:type="spellEnd"/>
      <w:r w:rsidRPr="00180522">
        <w:rPr>
          <w:szCs w:val="24"/>
          <w:lang w:val="en-GB"/>
        </w:rPr>
        <w:t xml:space="preserve"> to Appendix VI.</w:t>
      </w:r>
    </w:p>
    <w:p w14:paraId="2D57277A" w14:textId="77777777" w:rsidR="006A46AE" w:rsidRPr="00180522" w:rsidRDefault="006A46AE" w:rsidP="006A46AE">
      <w:pPr>
        <w:rPr>
          <w:lang w:val="en-GB"/>
        </w:rPr>
      </w:pPr>
      <w:r w:rsidRPr="00180522">
        <w:rPr>
          <w:b/>
          <w:lang w:val="en-GB"/>
        </w:rPr>
        <w:t xml:space="preserve">ITU-T G.8275.1/Y.1369.1 Amd.3 "Precision time protocol telecom profile for phase/time synchronization with full timing support from the network - Amendment 3" </w:t>
      </w:r>
      <w:r w:rsidRPr="00180522">
        <w:rPr>
          <w:lang w:val="en-GB"/>
        </w:rPr>
        <w:t>provides the following updates:</w:t>
      </w:r>
    </w:p>
    <w:p w14:paraId="03922E98" w14:textId="77777777" w:rsidR="006A46AE" w:rsidRPr="00180522" w:rsidRDefault="006A46AE" w:rsidP="006A46AE">
      <w:pPr>
        <w:rPr>
          <w:lang w:val="en-GB"/>
        </w:rPr>
      </w:pPr>
      <w:r w:rsidRPr="00180522">
        <w:rPr>
          <w:lang w:val="en-GB"/>
        </w:rPr>
        <w:t>-</w:t>
      </w:r>
      <w:r w:rsidRPr="00180522">
        <w:rPr>
          <w:lang w:val="en-GB"/>
        </w:rPr>
        <w:tab/>
        <w:t>G.8272.1 and G.8273.3 references added along with related supporting text</w:t>
      </w:r>
    </w:p>
    <w:p w14:paraId="1A122455" w14:textId="77777777" w:rsidR="006A46AE" w:rsidRPr="00180522" w:rsidRDefault="006A46AE" w:rsidP="006A46AE">
      <w:pPr>
        <w:rPr>
          <w:lang w:val="en-GB"/>
        </w:rPr>
      </w:pPr>
      <w:r w:rsidRPr="00180522">
        <w:rPr>
          <w:lang w:val="en-GB"/>
        </w:rPr>
        <w:t>-</w:t>
      </w:r>
      <w:r w:rsidRPr="00180522">
        <w:rPr>
          <w:lang w:val="en-GB"/>
        </w:rPr>
        <w:tab/>
        <w:t>Native OTN transport added to this profile.</w:t>
      </w:r>
    </w:p>
    <w:p w14:paraId="4508A3AD" w14:textId="77777777" w:rsidR="006A46AE" w:rsidRPr="00180522" w:rsidRDefault="006A46AE" w:rsidP="006A46AE">
      <w:pPr>
        <w:rPr>
          <w:lang w:val="en-GB"/>
        </w:rPr>
      </w:pPr>
      <w:r w:rsidRPr="00180522">
        <w:rPr>
          <w:b/>
          <w:lang w:val="en-GB"/>
        </w:rPr>
        <w:t xml:space="preserve">ITU-T G.8275.2/Y.1369.2 Amd.3 "Precision time protocol telecom profile for phase/time synchronization with partial timing support from the network - Amendment 3" </w:t>
      </w:r>
      <w:r w:rsidRPr="00180522">
        <w:rPr>
          <w:lang w:val="en-GB"/>
        </w:rPr>
        <w:t>provides the following updates:</w:t>
      </w:r>
    </w:p>
    <w:p w14:paraId="777BF2AB" w14:textId="77777777" w:rsidR="006A46AE" w:rsidRPr="00180522" w:rsidRDefault="006A46AE" w:rsidP="006A46AE">
      <w:pPr>
        <w:rPr>
          <w:lang w:val="en-GB"/>
        </w:rPr>
      </w:pPr>
      <w:r w:rsidRPr="00180522">
        <w:rPr>
          <w:lang w:val="en-GB"/>
        </w:rPr>
        <w:t>−</w:t>
      </w:r>
      <w:r w:rsidRPr="00180522">
        <w:rPr>
          <w:lang w:val="en-GB"/>
        </w:rPr>
        <w:tab/>
        <w:t>G.8272.1 reference added</w:t>
      </w:r>
    </w:p>
    <w:p w14:paraId="69198D9E" w14:textId="77777777" w:rsidR="006A46AE" w:rsidRPr="00180522" w:rsidRDefault="006A46AE" w:rsidP="006A46AE">
      <w:pPr>
        <w:rPr>
          <w:lang w:val="en-GB"/>
        </w:rPr>
      </w:pPr>
      <w:r w:rsidRPr="00180522">
        <w:rPr>
          <w:lang w:val="en-GB"/>
        </w:rPr>
        <w:t>−</w:t>
      </w:r>
      <w:r w:rsidRPr="00180522">
        <w:rPr>
          <w:lang w:val="en-GB"/>
        </w:rPr>
        <w:tab/>
        <w:t>Convention T-BC-P/A added as a concise way to refer to T-BC-P or T-BC-A</w:t>
      </w:r>
    </w:p>
    <w:p w14:paraId="145ADE36" w14:textId="77777777" w:rsidR="006A46AE" w:rsidRPr="00180522" w:rsidRDefault="006A46AE" w:rsidP="006A46AE">
      <w:pPr>
        <w:rPr>
          <w:lang w:val="en-GB"/>
        </w:rPr>
      </w:pPr>
      <w:r w:rsidRPr="00180522">
        <w:rPr>
          <w:lang w:val="en-GB"/>
        </w:rPr>
        <w:t>−</w:t>
      </w:r>
      <w:r w:rsidRPr="00180522">
        <w:rPr>
          <w:lang w:val="en-GB"/>
        </w:rPr>
        <w:tab/>
        <w:t>Convention T-TSC-P/A added as a concise way to refer to T-TSC-P or T-TSC-A</w:t>
      </w:r>
    </w:p>
    <w:p w14:paraId="7D0B8219" w14:textId="77777777" w:rsidR="006A46AE" w:rsidRPr="00180522" w:rsidRDefault="006A46AE" w:rsidP="006A46AE">
      <w:pPr>
        <w:rPr>
          <w:lang w:val="en-GB"/>
        </w:rPr>
      </w:pPr>
      <w:r w:rsidRPr="00180522">
        <w:rPr>
          <w:lang w:val="en-GB"/>
        </w:rPr>
        <w:t>−</w:t>
      </w:r>
      <w:r w:rsidRPr="00180522">
        <w:rPr>
          <w:lang w:val="en-GB"/>
        </w:rPr>
        <w:tab/>
        <w:t>Added Appendix VIII Operations over link aggregation.</w:t>
      </w:r>
    </w:p>
    <w:p w14:paraId="3D8AFA09" w14:textId="77777777" w:rsidR="006A46AE" w:rsidRPr="00180522" w:rsidRDefault="006A46AE" w:rsidP="006A46AE">
      <w:pPr>
        <w:pStyle w:val="Headingb"/>
      </w:pPr>
      <w:r w:rsidRPr="00180522">
        <w:t>I.1.10</w:t>
      </w:r>
      <w:r w:rsidRPr="00180522">
        <w:tab/>
        <w:t>Cable</w:t>
      </w:r>
      <w:bookmarkEnd w:id="221"/>
    </w:p>
    <w:p w14:paraId="17A6F5FA" w14:textId="77777777" w:rsidR="006A46AE" w:rsidRPr="00180522" w:rsidRDefault="006A46AE" w:rsidP="006A46AE">
      <w:pPr>
        <w:rPr>
          <w:lang w:val="en-GB"/>
        </w:rPr>
      </w:pPr>
      <w:r w:rsidRPr="00180522">
        <w:rPr>
          <w:b/>
          <w:bCs/>
          <w:lang w:val="en-GB"/>
        </w:rPr>
        <w:t xml:space="preserve">ITU-T J.1 "Terms, definitions and acronyms for television and sound transmission and integrated broadband cable networks" </w:t>
      </w:r>
      <w:r w:rsidRPr="00180522">
        <w:rPr>
          <w:lang w:val="en-GB"/>
        </w:rPr>
        <w:t>compiles all the definitions related to television and sound transmission, and integrated broadband cable networks, and which are in force in J-series and N-</w:t>
      </w:r>
      <w:r w:rsidRPr="00180522">
        <w:rPr>
          <w:lang w:val="en-GB"/>
        </w:rPr>
        <w:lastRenderedPageBreak/>
        <w:t>series Recommendations developed under the responsibility of SG9. The Recommendation is regularly updated to reflect newly-approved terms and definitions.</w:t>
      </w:r>
    </w:p>
    <w:p w14:paraId="7B372EF7" w14:textId="77777777" w:rsidR="006A46AE" w:rsidRPr="00180522" w:rsidRDefault="006A46AE" w:rsidP="006A46AE">
      <w:pPr>
        <w:rPr>
          <w:lang w:val="en-GB"/>
        </w:rPr>
      </w:pPr>
      <w:r w:rsidRPr="00180522">
        <w:rPr>
          <w:b/>
          <w:bCs/>
          <w:lang w:val="en-GB"/>
        </w:rPr>
        <w:t xml:space="preserve">ITU-T J.207 (revised) "Specification for integrated broadcast and broadband digital television application control framework" </w:t>
      </w:r>
      <w:r w:rsidRPr="00180522">
        <w:rPr>
          <w:lang w:val="en-GB"/>
        </w:rPr>
        <w:t xml:space="preserve">was revised to update the information about the </w:t>
      </w:r>
      <w:proofErr w:type="spellStart"/>
      <w:r w:rsidRPr="00180522">
        <w:rPr>
          <w:lang w:val="en-GB"/>
        </w:rPr>
        <w:t>Hybridcast</w:t>
      </w:r>
      <w:proofErr w:type="spellEnd"/>
      <w:r w:rsidRPr="00180522">
        <w:rPr>
          <w:lang w:val="en-GB"/>
        </w:rPr>
        <w:t xml:space="preserve">, </w:t>
      </w:r>
      <w:proofErr w:type="spellStart"/>
      <w:r w:rsidRPr="00180522">
        <w:rPr>
          <w:lang w:val="en-GB"/>
        </w:rPr>
        <w:t>HbbTV</w:t>
      </w:r>
      <w:proofErr w:type="spellEnd"/>
      <w:r w:rsidRPr="00180522">
        <w:rPr>
          <w:lang w:val="en-GB"/>
        </w:rPr>
        <w:t xml:space="preserve"> and </w:t>
      </w:r>
      <w:proofErr w:type="spellStart"/>
      <w:r w:rsidRPr="00180522">
        <w:rPr>
          <w:lang w:val="en-GB"/>
        </w:rPr>
        <w:t>Ginga</w:t>
      </w:r>
      <w:proofErr w:type="spellEnd"/>
      <w:r w:rsidRPr="00180522">
        <w:rPr>
          <w:lang w:val="en-GB"/>
        </w:rPr>
        <w:t xml:space="preserve"> according to the revision of Recommendation ITU-R BT.2075. As WP6B October 2018 meeting, proposed to revise the Recommendation ITU-R BT.2075 to update the information on device integration in the </w:t>
      </w:r>
      <w:proofErr w:type="spellStart"/>
      <w:r w:rsidRPr="00180522">
        <w:rPr>
          <w:lang w:val="en-GB"/>
        </w:rPr>
        <w:t>Hybridcast</w:t>
      </w:r>
      <w:proofErr w:type="spellEnd"/>
      <w:r w:rsidRPr="00180522">
        <w:rPr>
          <w:lang w:val="en-GB"/>
        </w:rPr>
        <w:t xml:space="preserve"> system, update of </w:t>
      </w:r>
      <w:proofErr w:type="spellStart"/>
      <w:r w:rsidRPr="00180522">
        <w:rPr>
          <w:lang w:val="en-GB"/>
        </w:rPr>
        <w:t>HbbTV</w:t>
      </w:r>
      <w:proofErr w:type="spellEnd"/>
      <w:r w:rsidRPr="00180522">
        <w:rPr>
          <w:lang w:val="en-GB"/>
        </w:rPr>
        <w:t xml:space="preserve"> and update of </w:t>
      </w:r>
      <w:proofErr w:type="spellStart"/>
      <w:r w:rsidRPr="00180522">
        <w:rPr>
          <w:lang w:val="en-GB"/>
        </w:rPr>
        <w:t>Ginga</w:t>
      </w:r>
      <w:proofErr w:type="spellEnd"/>
      <w:r w:rsidRPr="00180522">
        <w:rPr>
          <w:lang w:val="en-GB"/>
        </w:rPr>
        <w:t>.</w:t>
      </w:r>
    </w:p>
    <w:p w14:paraId="0F11ADF3" w14:textId="77777777" w:rsidR="006A46AE" w:rsidRPr="00180522" w:rsidRDefault="006A46AE" w:rsidP="006A46AE">
      <w:pPr>
        <w:keepNext/>
        <w:keepLines/>
        <w:rPr>
          <w:lang w:val="en-GB"/>
        </w:rPr>
      </w:pPr>
      <w:r w:rsidRPr="00180522">
        <w:rPr>
          <w:b/>
          <w:bCs/>
          <w:lang w:val="en-GB"/>
        </w:rPr>
        <w:t>ITU-T J.216 "Second-generation Modular Headend Architecture in systems for interactive cable television services - IP cable modems"</w:t>
      </w:r>
      <w:r w:rsidRPr="00180522">
        <w:rPr>
          <w:lang w:val="en-GB"/>
        </w:rPr>
        <w:t xml:space="preserve"> defines the second generation of headend architectures for high-speed data-over-cable systems. The second-generation of headend architecture introduces a number of new features that build upon what was present in previous Cabinet DOCSIS Recommendations [J.223.1] and [J.223.2]. This Recommendation includes key new features for the CMC III Device (also known as the Remote-PHY Device).</w:t>
      </w:r>
    </w:p>
    <w:p w14:paraId="344AEC44" w14:textId="77777777" w:rsidR="006A46AE" w:rsidRPr="00180522" w:rsidRDefault="006A46AE" w:rsidP="006A46AE">
      <w:pPr>
        <w:keepNext/>
        <w:keepLines/>
        <w:rPr>
          <w:lang w:val="en-GB"/>
        </w:rPr>
      </w:pPr>
      <w:r w:rsidRPr="00180522">
        <w:rPr>
          <w:b/>
          <w:bCs/>
          <w:lang w:val="en-GB"/>
        </w:rPr>
        <w:t>ITU-T J.224 "Fifth-generation transmission systems for interactive cable television services - IP cable modems"</w:t>
      </w:r>
      <w:r w:rsidRPr="00180522">
        <w:rPr>
          <w:lang w:val="en-GB"/>
        </w:rPr>
        <w:t xml:space="preserve"> defines the fifth generation of high-speed data-over-cable systems. The fifth-generation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fifth-generation cable modem specifications fully incorporate the fourth generation specifications.</w:t>
      </w:r>
    </w:p>
    <w:p w14:paraId="3956ADE4" w14:textId="77777777" w:rsidR="006A46AE" w:rsidRPr="00180522" w:rsidRDefault="006A46AE" w:rsidP="006A46AE">
      <w:pPr>
        <w:keepNext/>
        <w:keepLines/>
        <w:rPr>
          <w:highlight w:val="yellow"/>
          <w:lang w:val="en-GB"/>
        </w:rPr>
      </w:pPr>
      <w:r w:rsidRPr="00180522">
        <w:rPr>
          <w:b/>
          <w:bCs/>
          <w:lang w:val="en-GB"/>
        </w:rPr>
        <w:t>ITU-T J.288 (revised) "Encapsulation of type length value (TLV) packet for cable transmission systems"</w:t>
      </w:r>
      <w:r w:rsidRPr="00180522">
        <w:rPr>
          <w:lang w:val="en-GB"/>
        </w:rPr>
        <w:t xml:space="preserve"> proposes an encapsulation scheme for type length value (TLV), a data structure specified in Recommendation ITU-R BT.1869, for cable transmission systems designed on the basis of Recommendation ITU-T J.83. Many of the existing digital broadcasting systems use the Motion Picture Experts Group version 2 (MPEG-2) transport stream (TS) as their input format. In contrast, variable-length packets formats such as TLV are specified for transmitting Internet protocol (IP) packets efficiently over broadcasting channels as aggregates of variable-length packets. In order to transmit TLV with the existing Recommendation ITU-T J.83 transmission system, it is necessary that variable-length TLV packets be fragmented and encapsulated into fixed-length 188-byte packets.</w:t>
      </w:r>
    </w:p>
    <w:p w14:paraId="4D59DEB7" w14:textId="77777777" w:rsidR="006A46AE" w:rsidRPr="00180522" w:rsidRDefault="006A46AE" w:rsidP="006A46AE">
      <w:pPr>
        <w:rPr>
          <w:highlight w:val="yellow"/>
          <w:lang w:val="en-GB"/>
        </w:rPr>
      </w:pPr>
      <w:r w:rsidRPr="00180522">
        <w:rPr>
          <w:b/>
          <w:bCs/>
          <w:lang w:val="en-GB"/>
        </w:rPr>
        <w:t xml:space="preserve">ITU-T J.298 "Requirements and technical specifications of cable TV hybrid set-top box that has the compatibility with terrestrial and satellite TV transport" </w:t>
      </w:r>
      <w:r w:rsidRPr="00180522">
        <w:rPr>
          <w:lang w:val="en-GB"/>
        </w:rPr>
        <w:t>describes the requirements and technical specifications of cable TV hybrid set-top-box that has the compatibility with terrestrial and satellite TV transport. The major purpose of the Recommendation is to specify a minimum and basic requirement for a hybrid STB, which meets the requirements for developing countries and regions .The hybrid set-top-box has full functionalities for traditional cable broadcasting services based on ITU-T Recommendation J.83, at the same time, a satellite or a terrestrial broadcast receiving functions will also be implemented in the box so as the STB be able to receive satellite or terrestrial broadcast service. The basic functionalities for IP-based interactive video services is also required so as the STB be able to support the latest IP interactive services together with legacy cable and satellite/terrestrial services.</w:t>
      </w:r>
    </w:p>
    <w:p w14:paraId="0BC1F8FC" w14:textId="77777777" w:rsidR="006A46AE" w:rsidRPr="00180522" w:rsidRDefault="006A46AE" w:rsidP="006A46AE">
      <w:pPr>
        <w:rPr>
          <w:b/>
          <w:bCs/>
          <w:highlight w:val="yellow"/>
          <w:lang w:val="en-GB"/>
        </w:rPr>
      </w:pPr>
      <w:r w:rsidRPr="00180522">
        <w:rPr>
          <w:b/>
          <w:bCs/>
          <w:lang w:val="en-GB"/>
        </w:rPr>
        <w:t xml:space="preserve">ITU-T J.302 (2016) Amd.1 "System specifications of augmented reality smart television service: Amendment 1" </w:t>
      </w:r>
      <w:r w:rsidRPr="00180522">
        <w:rPr>
          <w:lang w:val="en-GB"/>
        </w:rPr>
        <w:t>supports real-time comment sharing services.</w:t>
      </w:r>
    </w:p>
    <w:p w14:paraId="2B79A19B" w14:textId="77777777" w:rsidR="006A46AE" w:rsidRPr="00180522" w:rsidRDefault="006A46AE" w:rsidP="006A46AE">
      <w:pPr>
        <w:rPr>
          <w:lang w:val="en-GB"/>
        </w:rPr>
      </w:pPr>
      <w:r w:rsidRPr="00180522">
        <w:rPr>
          <w:b/>
          <w:lang w:val="en-GB"/>
        </w:rPr>
        <w:t>ITU-T J.383 "Conversion of type length value (TLV) packet and transport stream for advanced cable transmission systems"</w:t>
      </w:r>
      <w:r w:rsidRPr="00180522">
        <w:rPr>
          <w:lang w:val="en-GB"/>
        </w:rPr>
        <w:t xml:space="preserve"> describes the conversion schemes of data structures defined in [ITU-R BO.2098-0] for cable television systems on the basis of [ITU-T J.382].</w:t>
      </w:r>
    </w:p>
    <w:p w14:paraId="74398AC7" w14:textId="77777777" w:rsidR="006A46AE" w:rsidRPr="00180522" w:rsidRDefault="006A46AE" w:rsidP="006A46AE">
      <w:pPr>
        <w:rPr>
          <w:lang w:val="en-GB"/>
        </w:rPr>
      </w:pPr>
      <w:r w:rsidRPr="00180522">
        <w:rPr>
          <w:lang w:val="en-GB"/>
        </w:rPr>
        <w:lastRenderedPageBreak/>
        <w:t>[ITU-R BO.2098-0] specifies two data structures, MPEG-2 TS and TLV. MPEG-2 TS data packets are directly transmitted while any transmission control signals and service information are transmitted using a descriptor specified in [ETSI TS 102 991]. TLV packets are not directly transmitted in TLV format but converted to GSE [6] packet format specified in [ITU-T J.382].</w:t>
      </w:r>
    </w:p>
    <w:p w14:paraId="5E8DDB78" w14:textId="77777777" w:rsidR="006A46AE" w:rsidRPr="00180522" w:rsidRDefault="006A46AE" w:rsidP="006A46AE">
      <w:pPr>
        <w:rPr>
          <w:lang w:val="en-GB"/>
        </w:rPr>
      </w:pPr>
      <w:r w:rsidRPr="00180522">
        <w:rPr>
          <w:lang w:val="en-GB"/>
        </w:rPr>
        <w:t>The EWS control signal specified in [ITU-R BO.2098-0] is also converted into physical layer signalling specified in [ITU-T J382], to wake up the receiver when the Emergency Warning System is activated.</w:t>
      </w:r>
    </w:p>
    <w:p w14:paraId="03296915" w14:textId="77777777" w:rsidR="006A46AE" w:rsidRPr="00180522" w:rsidRDefault="006A46AE" w:rsidP="006A46AE">
      <w:pPr>
        <w:rPr>
          <w:lang w:val="en-GB"/>
        </w:rPr>
      </w:pPr>
      <w:r w:rsidRPr="00180522">
        <w:rPr>
          <w:b/>
          <w:bCs/>
          <w:lang w:val="en-GB"/>
        </w:rPr>
        <w:t>ITU-T J.1026 "Downloadable Conditional Access System for Unidirectional Network; Requirements"</w:t>
      </w:r>
      <w:r w:rsidRPr="00180522">
        <w:rPr>
          <w:lang w:val="en-GB"/>
        </w:rPr>
        <w:t xml:space="preserve"> specifies requirements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66B0FFFA" w14:textId="77777777" w:rsidR="006A46AE" w:rsidRPr="00180522" w:rsidRDefault="006A46AE" w:rsidP="006A46AE">
      <w:pPr>
        <w:rPr>
          <w:lang w:val="en-GB"/>
        </w:rPr>
      </w:pPr>
      <w:r w:rsidRPr="00180522">
        <w:rPr>
          <w:b/>
          <w:bCs/>
          <w:lang w:val="en-GB"/>
        </w:rPr>
        <w:t>ITU-T J.1027 "Downloadable Conditional Access System for Unidirectional Network; System Architecture"</w:t>
      </w:r>
      <w:r w:rsidRPr="00180522">
        <w:rPr>
          <w:lang w:val="en-GB"/>
        </w:rPr>
        <w:t xml:space="preserve"> specifies a system architecture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2F590040" w14:textId="77777777" w:rsidR="006A46AE" w:rsidRPr="00180522" w:rsidRDefault="006A46AE" w:rsidP="006A46AE">
      <w:pPr>
        <w:rPr>
          <w:b/>
          <w:bCs/>
          <w:highlight w:val="yellow"/>
          <w:lang w:val="en-GB"/>
        </w:rPr>
      </w:pPr>
      <w:r w:rsidRPr="00180522">
        <w:rPr>
          <w:b/>
          <w:bCs/>
          <w:lang w:val="en-GB"/>
        </w:rPr>
        <w:t>ITU-T J.1028 "Downloadable Conditional Access System for Unidirectional Network; Terminal System"</w:t>
      </w:r>
      <w:r w:rsidRPr="00180522">
        <w:rPr>
          <w:lang w:val="en-GB"/>
        </w:rPr>
        <w:t xml:space="preserve"> specifies a terminal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046B6D59" w14:textId="77777777" w:rsidR="006A46AE" w:rsidRPr="00180522" w:rsidRDefault="006A46AE" w:rsidP="006A46AE">
      <w:pPr>
        <w:rPr>
          <w:lang w:val="en-GB"/>
        </w:rPr>
      </w:pPr>
      <w:r w:rsidRPr="00180522">
        <w:rPr>
          <w:b/>
          <w:bCs/>
          <w:lang w:val="en-GB"/>
        </w:rPr>
        <w:t>ITU-T J.1108 "Transmission specification for Radio over IP transmission system"</w:t>
      </w:r>
      <w:r w:rsidRPr="00180522">
        <w:rPr>
          <w:lang w:val="en-GB"/>
        </w:rPr>
        <w:t xml:space="preserve"> provides a cost-effective adaptable solution for HFC-based cable TV network devices in optic-based cable TV network. The purpose of </w:t>
      </w:r>
      <w:proofErr w:type="spellStart"/>
      <w:r w:rsidRPr="00180522">
        <w:rPr>
          <w:lang w:val="en-GB"/>
        </w:rPr>
        <w:t>RoIP</w:t>
      </w:r>
      <w:proofErr w:type="spellEnd"/>
      <w:r w:rsidRPr="00180522">
        <w:rPr>
          <w:lang w:val="en-GB"/>
        </w:rPr>
        <w:t xml:space="preserve"> system is to transmit Data Over Cable Service Interface Specifications (DOCSIS) based Up Stream (US) RF signal of Cable Modem (CM) to Cable Modem Termination System (CMTS) through IP transmission in optic-based cable TV network.</w:t>
      </w:r>
    </w:p>
    <w:p w14:paraId="284E977F" w14:textId="77777777" w:rsidR="006A46AE" w:rsidRPr="00180522" w:rsidRDefault="006A46AE" w:rsidP="006A46AE">
      <w:pPr>
        <w:rPr>
          <w:lang w:val="en-GB"/>
        </w:rPr>
      </w:pPr>
      <w:r w:rsidRPr="00180522">
        <w:rPr>
          <w:b/>
          <w:bCs/>
          <w:lang w:val="en-GB"/>
        </w:rPr>
        <w:t>ITU-T J.1109 "Requirement for in-band full-duplex in HFC based network"</w:t>
      </w:r>
      <w:r w:rsidRPr="00180522">
        <w:rPr>
          <w:lang w:val="en-GB"/>
        </w:rPr>
        <w:t xml:space="preserve"> describes the high level general and system requirements for in-band full duplex in HFC based network. The purpose of in-band full duplex in HFC based network is to develop simultaneous transmission and reception in the same band using HFC based cable TV network.</w:t>
      </w:r>
    </w:p>
    <w:p w14:paraId="6A16A466" w14:textId="77777777" w:rsidR="006A46AE" w:rsidRPr="00180522" w:rsidRDefault="006A46AE" w:rsidP="006A46AE">
      <w:pPr>
        <w:rPr>
          <w:lang w:val="en-GB"/>
        </w:rPr>
      </w:pPr>
      <w:r w:rsidRPr="00180522">
        <w:rPr>
          <w:b/>
          <w:lang w:val="en-GB"/>
        </w:rPr>
        <w:t>ITU-T J.1201 "The functional requirements of smart TV operating system"</w:t>
      </w:r>
      <w:r w:rsidRPr="00180522">
        <w:rPr>
          <w:lang w:val="en-GB"/>
        </w:rPr>
        <w:t xml:space="preserve"> specifies the functional requirements of a smart TV operating system. The smart TV operating system is intended to be installed in IBB capable cable STB and TV and to enable broadcasting and IP-based interactive services provided by cable television operators and third-party providers. By running the smart TV operating system, the IBB capable cable STB and TV will be able to intelligently provide subscribers with advanced and personalized services by downloading and installing advanced and personalized Apps from cable operators' platforms and third-party platforms, which are interconnected with the related cable operators' platforms.</w:t>
      </w:r>
    </w:p>
    <w:p w14:paraId="01ADBEEA" w14:textId="77777777" w:rsidR="006A46AE" w:rsidRPr="00180522" w:rsidRDefault="006A46AE" w:rsidP="006A46AE">
      <w:pPr>
        <w:rPr>
          <w:lang w:val="en-GB"/>
        </w:rPr>
      </w:pPr>
      <w:r w:rsidRPr="00180522">
        <w:rPr>
          <w:lang w:val="en-GB"/>
        </w:rPr>
        <w:lastRenderedPageBreak/>
        <w:t>This Recommendation is the first Recommendation of a smart TV operating system series. The Recommendations for this smart TV operating system will cover functional requirements, architecture, security and APIs.</w:t>
      </w:r>
    </w:p>
    <w:p w14:paraId="0181D308" w14:textId="77777777" w:rsidR="006A46AE" w:rsidRPr="00180522" w:rsidRDefault="006A46AE" w:rsidP="006A46AE">
      <w:pPr>
        <w:rPr>
          <w:lang w:val="en-GB"/>
        </w:rPr>
      </w:pPr>
      <w:r w:rsidRPr="00180522">
        <w:rPr>
          <w:b/>
          <w:bCs/>
          <w:lang w:val="en-GB"/>
        </w:rPr>
        <w:t>ITU-T J.1202 "The Architecture of Smart TV Operating System"</w:t>
      </w:r>
      <w:r w:rsidRPr="00180522">
        <w:rPr>
          <w:lang w:val="en-GB"/>
        </w:rPr>
        <w:t xml:space="preserve"> defines the architecture of smart TV operating system to enable IBB capable cable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6C8979FA" w14:textId="77777777" w:rsidR="006A46AE" w:rsidRPr="00180522" w:rsidRDefault="006A46AE" w:rsidP="006A46AE">
      <w:pPr>
        <w:rPr>
          <w:lang w:val="en-GB"/>
        </w:rPr>
      </w:pPr>
      <w:r w:rsidRPr="00180522">
        <w:rPr>
          <w:b/>
          <w:bCs/>
          <w:lang w:val="en-GB"/>
        </w:rPr>
        <w:t>ITU-T J.1210 "Requirements of IP Video Broadcast (IPVB) for CATV Networks"</w:t>
      </w:r>
      <w:r w:rsidRPr="00180522">
        <w:rPr>
          <w:lang w:val="en-GB"/>
        </w:rPr>
        <w:t xml:space="preserve"> specifies an IPVB technology, which simply adds a one-way IP-based video broadcast system to the existing low-cost bidirectional CATV networks (including both HFC and optical networks). The IPVB can greatly increase the bandwidth of downlink programs when using optical network,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is capable of providing varieties of IP-based high bitrate video services in CATV networks.'</w:t>
      </w:r>
    </w:p>
    <w:p w14:paraId="711952C3" w14:textId="77777777" w:rsidR="006A46AE" w:rsidRPr="00180522" w:rsidRDefault="006A46AE" w:rsidP="006A46AE">
      <w:pPr>
        <w:rPr>
          <w:highlight w:val="yellow"/>
          <w:lang w:val="en-GB"/>
        </w:rPr>
      </w:pPr>
      <w:r w:rsidRPr="00180522">
        <w:rPr>
          <w:b/>
          <w:bCs/>
          <w:lang w:val="en-GB"/>
        </w:rPr>
        <w:t>ITU-T J.1600 "Premium Cable Network Platform (PCNP) – Framework"</w:t>
      </w:r>
      <w:r w:rsidRPr="00180522">
        <w:rPr>
          <w:lang w:val="en-GB"/>
        </w:rPr>
        <w:t xml:space="preserve"> </w:t>
      </w:r>
      <w:r w:rsidRPr="00180522">
        <w:rPr>
          <w:b/>
          <w:bCs/>
          <w:lang w:val="en-GB"/>
        </w:rPr>
        <w:t>(</w:t>
      </w:r>
      <w:r w:rsidRPr="00180522">
        <w:rPr>
          <w:lang w:val="en-GB"/>
        </w:rPr>
        <w:t>under approval</w:t>
      </w:r>
      <w:r w:rsidRPr="00180522">
        <w:rPr>
          <w:b/>
          <w:bCs/>
          <w:lang w:val="en-GB"/>
        </w:rPr>
        <w:t xml:space="preserve">) </w:t>
      </w:r>
      <w:r w:rsidRPr="00180522">
        <w:rPr>
          <w:lang w:val="en-GB"/>
        </w:rPr>
        <w:t>specifies the framework of the Premium Cable Network Platform (PCNP) for the cable TV and broadband network that exploit the cloud based artificial intelligence and network data to optimize the network and TV services, thus enable the high satisfaction of user's experience of perceptual aspects of services.</w:t>
      </w:r>
    </w:p>
    <w:p w14:paraId="73890609" w14:textId="77777777" w:rsidR="006A46AE" w:rsidRPr="00180522" w:rsidRDefault="006A46AE" w:rsidP="006A46AE">
      <w:pPr>
        <w:pStyle w:val="Headingb"/>
      </w:pPr>
      <w:bookmarkStart w:id="227" w:name="_Toc480527893"/>
      <w:r w:rsidRPr="00180522">
        <w:t>I.2.2</w:t>
      </w:r>
      <w:r w:rsidRPr="00180522">
        <w:tab/>
      </w:r>
      <w:bookmarkEnd w:id="227"/>
      <w:r w:rsidRPr="00180522">
        <w:t>Smart ubiquitous networks, next-generation networks evolution, and future networks</w:t>
      </w:r>
    </w:p>
    <w:p w14:paraId="6AB98991" w14:textId="77777777" w:rsidR="006A46AE" w:rsidRPr="00180522" w:rsidRDefault="006A46AE" w:rsidP="006A46AE">
      <w:pPr>
        <w:rPr>
          <w:lang w:val="en-GB" w:eastAsia="en-US"/>
        </w:rPr>
      </w:pPr>
      <w:r w:rsidRPr="00180522">
        <w:rPr>
          <w:b/>
          <w:lang w:val="en-GB" w:eastAsia="en-US"/>
        </w:rPr>
        <w:t>ITU-T H.643.1 "Architecture for deployment of information centric network"</w:t>
      </w:r>
      <w:r w:rsidRPr="00180522">
        <w:rPr>
          <w:lang w:val="en-GB" w:eastAsia="en-US"/>
        </w:rPr>
        <w:t xml:space="preserve"> describes the functional architecture for deployment of information centric network (DICN) including functional entities, reference points and service control flows. It also describes the required DICN capabilities. This architecture can be used to flexibly support the deployment of any particular information centric network (ICN) instances and the co-existence of multiple ICN instances in one physical network. It also facilitates the interoperation between different ICN instances. It will benefit the deployment of existing ICN protocols and enable the research and development of new ICN technology.</w:t>
      </w:r>
    </w:p>
    <w:p w14:paraId="6ADF7B15" w14:textId="77777777" w:rsidR="006A46AE" w:rsidRPr="00180522" w:rsidRDefault="006A46AE" w:rsidP="006A46AE">
      <w:pPr>
        <w:rPr>
          <w:highlight w:val="yellow"/>
          <w:lang w:val="en-GB" w:eastAsia="en-US"/>
        </w:rPr>
      </w:pPr>
      <w:r w:rsidRPr="00180522">
        <w:rPr>
          <w:b/>
          <w:lang w:val="en-GB" w:eastAsia="en-US"/>
        </w:rPr>
        <w:t>ITU-T H.644.1 "Functional architecture for virtual content delivery networks"</w:t>
      </w:r>
      <w:r w:rsidRPr="00180522">
        <w:rPr>
          <w:lang w:val="en-GB" w:eastAsia="en-US"/>
        </w:rPr>
        <w:t xml:space="preserve"> describes a functional architecture for virtual content delivery network (VCDN). ITU-T Recommendation F.743.4 gives an overview and the requirements for virtual content delivery network (VCDN). This Recommendation focuses on functional architecture for VCDN. It specifies overall functional architecture, domains and functional role relationship, functional blocks, reference points, relations among physical resources, virtual resources, and LINPs (logically isolated network partition), functions and their mutual relations, and security considerations. VCDN can realize accurate infrastructure distribution and elastic resource scheduling. VCDN can integrate the resources of CDN, reduce construction cost and improve the scalability.</w:t>
      </w:r>
    </w:p>
    <w:p w14:paraId="1A81B4B1" w14:textId="77777777" w:rsidR="006A46AE" w:rsidRPr="00180522" w:rsidRDefault="006A46AE" w:rsidP="006A46AE">
      <w:pPr>
        <w:rPr>
          <w:highlight w:val="yellow"/>
          <w:lang w:val="en-GB" w:eastAsia="en-US"/>
        </w:rPr>
      </w:pPr>
      <w:r w:rsidRPr="00180522">
        <w:rPr>
          <w:b/>
          <w:bCs/>
          <w:lang w:val="en-GB" w:eastAsia="en-US"/>
        </w:rPr>
        <w:t>ITU-T Q.3642 "IMS references to Release 12 for communication between IMS and NGN networks to support end-to-end service interoperability":</w:t>
      </w:r>
      <w:r w:rsidRPr="00180522">
        <w:rPr>
          <w:lang w:val="en-GB" w:eastAsia="en-US"/>
        </w:rPr>
        <w:t xml:space="preserve"> In general, the IMS implementation is based on the set of standards developed by different SDOs. In this regards, there is an intention to develop a recommendation which lists the references to specifications defining requirements for IMS to be used for the Non-roaming architecture for 3GPP accesses as base for the communication between IMS and NGN Networks in order to support the end-to-end service interoperability.</w:t>
      </w:r>
    </w:p>
    <w:p w14:paraId="7CFD98AE" w14:textId="77777777" w:rsidR="006A46AE" w:rsidRPr="00180522" w:rsidRDefault="006A46AE" w:rsidP="006A46AE">
      <w:pPr>
        <w:rPr>
          <w:bCs/>
          <w:lang w:val="en-GB" w:eastAsia="en-US"/>
        </w:rPr>
      </w:pPr>
      <w:r w:rsidRPr="00180522">
        <w:rPr>
          <w:b/>
          <w:lang w:val="en-GB" w:eastAsia="en-US"/>
        </w:rPr>
        <w:lastRenderedPageBreak/>
        <w:t>ITU-T X.609.6 "Managed P2P communications: Content distribution signalling requirements"</w:t>
      </w:r>
      <w:r w:rsidRPr="00180522">
        <w:rPr>
          <w:bCs/>
          <w:lang w:val="en-GB" w:eastAsia="en-US"/>
        </w:rPr>
        <w:t xml:space="preserve">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14:paraId="27D735C3" w14:textId="77777777" w:rsidR="006A46AE" w:rsidRPr="00180522" w:rsidRDefault="006A46AE" w:rsidP="006A46AE">
      <w:pPr>
        <w:rPr>
          <w:bCs/>
          <w:lang w:val="en-GB" w:eastAsia="en-US"/>
        </w:rPr>
      </w:pPr>
      <w:r w:rsidRPr="00180522">
        <w:rPr>
          <w:b/>
          <w:lang w:val="en-GB" w:eastAsia="en-US"/>
        </w:rPr>
        <w:t>ITU-T X.609.7 "Managed P2P communications: Content distribution peer protocol"</w:t>
      </w:r>
      <w:r w:rsidRPr="00180522">
        <w:rPr>
          <w:bCs/>
          <w:lang w:val="en-GB" w:eastAsia="en-US"/>
        </w:rPr>
        <w:t xml:space="preserve">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063638B5" w14:textId="77777777" w:rsidR="006A46AE" w:rsidRPr="00180522" w:rsidRDefault="006A46AE" w:rsidP="006A46AE">
      <w:pPr>
        <w:rPr>
          <w:bCs/>
          <w:lang w:val="en-GB" w:eastAsia="en-US"/>
        </w:rPr>
      </w:pPr>
      <w:r w:rsidRPr="00180522">
        <w:rPr>
          <w:b/>
          <w:lang w:val="en-GB" w:eastAsia="en-US"/>
        </w:rPr>
        <w:t xml:space="preserve">ITU-T Y.2323 "Requirements and capabilities of orchestration in next generation network evolution" </w:t>
      </w:r>
      <w:r w:rsidRPr="00180522">
        <w:rPr>
          <w:bCs/>
          <w:lang w:val="en-GB" w:eastAsia="en-US"/>
        </w:rPr>
        <w:t xml:space="preserve">provides the scenarios of the orchestration in </w:t>
      </w:r>
      <w:proofErr w:type="spellStart"/>
      <w:r w:rsidRPr="00180522">
        <w:rPr>
          <w:bCs/>
          <w:lang w:val="en-GB" w:eastAsia="en-US"/>
        </w:rPr>
        <w:t>NGNe</w:t>
      </w:r>
      <w:proofErr w:type="spellEnd"/>
      <w:r w:rsidRPr="00180522">
        <w:rPr>
          <w:bCs/>
          <w:lang w:val="en-GB" w:eastAsia="en-US"/>
        </w:rPr>
        <w:t xml:space="preserve">, specifies the general requirements of the orchestration in </w:t>
      </w:r>
      <w:proofErr w:type="spellStart"/>
      <w:r w:rsidRPr="00180522">
        <w:rPr>
          <w:bCs/>
          <w:lang w:val="en-GB" w:eastAsia="en-US"/>
        </w:rPr>
        <w:t>NGNe</w:t>
      </w:r>
      <w:proofErr w:type="spellEnd"/>
      <w:r w:rsidRPr="00180522">
        <w:rPr>
          <w:bCs/>
          <w:lang w:val="en-GB" w:eastAsia="en-US"/>
        </w:rPr>
        <w:t>, and also introduces its capabilities from the perspective of NGN evolution and the coordination of NGNs and the networks implemented by SDN and NFV technologies.</w:t>
      </w:r>
    </w:p>
    <w:p w14:paraId="692A3A70" w14:textId="77777777" w:rsidR="006A46AE" w:rsidRPr="00180522" w:rsidRDefault="006A46AE" w:rsidP="006A46AE">
      <w:pPr>
        <w:rPr>
          <w:bCs/>
          <w:lang w:val="en-GB" w:eastAsia="en-US"/>
        </w:rPr>
      </w:pPr>
      <w:r w:rsidRPr="00180522">
        <w:rPr>
          <w:b/>
          <w:lang w:val="en-GB" w:eastAsia="en-US"/>
        </w:rPr>
        <w:t>ITU-T Y.2242 "Service function chaining in mobile network"</w:t>
      </w:r>
      <w:r w:rsidRPr="00180522">
        <w:rPr>
          <w:bCs/>
          <w:lang w:val="en-GB" w:eastAsia="en-US"/>
        </w:rPr>
        <w:t xml:space="preserve">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
    <w:p w14:paraId="1410CDDB" w14:textId="77777777" w:rsidR="006A46AE" w:rsidRPr="00180522" w:rsidRDefault="006A46AE" w:rsidP="006A46AE">
      <w:pPr>
        <w:rPr>
          <w:bCs/>
          <w:lang w:val="en-GB" w:eastAsia="en-US"/>
        </w:rPr>
      </w:pPr>
      <w:r w:rsidRPr="00180522">
        <w:rPr>
          <w:b/>
          <w:lang w:val="en-GB" w:eastAsia="en-US"/>
        </w:rPr>
        <w:t>ITU-T Y.2243 "A service model for risk mitigation service based on networks":</w:t>
      </w:r>
      <w:r w:rsidRPr="00180522">
        <w:rPr>
          <w:bCs/>
          <w:lang w:val="en-GB" w:eastAsia="en-US"/>
        </w:rPr>
        <w:t xml:space="preserve"> A risk mitigation service based on networks monitors risk events, stores the data in real time and analyses the associated data. Furthermore, it may perform the analysis of plant disease risks, marine aquaculture risks, or livestock disease risks, and provide corresponding mitigation services. The service model for the risk mitigation based on networks described in this Recommendation covers real time data acquisition, monitoring of risk events, and provision of mitigation services for the identified risks.</w:t>
      </w:r>
    </w:p>
    <w:p w14:paraId="63B60500" w14:textId="77777777" w:rsidR="006A46AE" w:rsidRPr="00180522" w:rsidRDefault="006A46AE" w:rsidP="006A46AE">
      <w:pPr>
        <w:rPr>
          <w:lang w:val="en-GB" w:eastAsia="en-US"/>
        </w:rPr>
      </w:pPr>
      <w:r w:rsidRPr="00180522">
        <w:rPr>
          <w:b/>
          <w:bCs/>
          <w:lang w:val="en-GB" w:eastAsia="en-US"/>
        </w:rPr>
        <w:t>ITU-T Y.2620 "T interface for Public packet Telecommunication Data Network (PTDN)"</w:t>
      </w:r>
      <w:r w:rsidRPr="00180522">
        <w:rPr>
          <w:lang w:val="en-GB" w:eastAsia="en-US"/>
        </w:rPr>
        <w:t xml:space="preserve"> specifies public packet Telecommunication Data Network (PTDN), which is one of hierarchical data networks to meet requirements of future packet-based networks which reference interfaces are defined in ITU-T Recommendation Y.2613. This Recommendation identifies the T interface and its functions between PTDN edge devices and Address Translators (ADT). The functions, procedures for the two types, i.e. T1 interface and T2 interface, are described. Appendix I gives an example of </w:t>
      </w:r>
      <w:r w:rsidRPr="00180522">
        <w:rPr>
          <w:lang w:val="en-GB" w:eastAsia="en-US"/>
        </w:rPr>
        <w:lastRenderedPageBreak/>
        <w:t>encapsulation for T interface messages. Appendix II gives one candidate message format for address resolution in T1 interface.</w:t>
      </w:r>
    </w:p>
    <w:p w14:paraId="58EAC4EA" w14:textId="77777777" w:rsidR="006A46AE" w:rsidRPr="00180522" w:rsidRDefault="006A46AE" w:rsidP="006A46AE">
      <w:pPr>
        <w:rPr>
          <w:lang w:val="en-GB" w:eastAsia="en-US"/>
        </w:rPr>
      </w:pPr>
      <w:r w:rsidRPr="00180522">
        <w:rPr>
          <w:b/>
          <w:bCs/>
          <w:lang w:val="en-GB" w:eastAsia="en-US"/>
        </w:rPr>
        <w:t>ITU-T Y.2774 "Functional requirements of deep packet inspection for future networks"</w:t>
      </w:r>
      <w:r w:rsidRPr="00180522">
        <w:rPr>
          <w:lang w:val="en-GB" w:eastAsia="en-US"/>
        </w:rPr>
        <w:t xml:space="preserve"> specifies the functional requirements of deep packet inspection for future networks (e.g., software defined networks (SDNs), network function virtualization (NFV), etc.). The scope of this Recommendation includes the general requirements of deep packet inspection (DPI) for future networks, DPI functional requirements for SDN, DPI functional requirements for NFV,DPI functional requirements for service function chain (SFC) and DPI as a service, as well as DPI functional requirements for network virtualization and DPI functional requirements for evolving mobile networks.</w:t>
      </w:r>
    </w:p>
    <w:p w14:paraId="41911EC6" w14:textId="77777777" w:rsidR="006A46AE" w:rsidRPr="00180522" w:rsidRDefault="006A46AE" w:rsidP="006A46AE">
      <w:pPr>
        <w:rPr>
          <w:highlight w:val="yellow"/>
          <w:lang w:val="en-GB" w:eastAsia="en-US"/>
        </w:rPr>
      </w:pPr>
      <w:r w:rsidRPr="00180522">
        <w:rPr>
          <w:b/>
          <w:bCs/>
          <w:lang w:val="en-GB" w:eastAsia="en-US"/>
        </w:rPr>
        <w:t>ITU-T Y.2775 "Functional architecture of deep packet inspection for future networks"</w:t>
      </w:r>
      <w:r w:rsidRPr="00180522">
        <w:rPr>
          <w:lang w:val="en-GB" w:eastAsia="en-US"/>
        </w:rPr>
        <w:t xml:space="preserve"> specifies the functional architecture of deep packet inspection for future networks (e.g.., software defined networking, network function virtualization etc.). This Recommendation specifies general DPI functional architecture aspects related to future networks, DPI functional architecture for software defined networking, network function virtualization, service function chaining and DPI as a service, network virtualization, and evolving mobile network..</w:t>
      </w:r>
    </w:p>
    <w:p w14:paraId="77565CA1" w14:textId="77777777" w:rsidR="006A46AE" w:rsidRPr="00180522" w:rsidRDefault="006A46AE" w:rsidP="006A46AE">
      <w:pPr>
        <w:rPr>
          <w:lang w:val="en-GB" w:eastAsia="en-US"/>
        </w:rPr>
      </w:pPr>
      <w:r w:rsidRPr="00180522">
        <w:rPr>
          <w:b/>
          <w:bCs/>
          <w:lang w:val="en-GB" w:eastAsia="en-US"/>
        </w:rPr>
        <w:t xml:space="preserve">ITU-T Y.2815 "Mobility supporting architecture for mobile Peer to Peer service in heterogeneous wireless networks" </w:t>
      </w:r>
      <w:r w:rsidRPr="00180522">
        <w:rPr>
          <w:lang w:val="en-GB" w:eastAsia="en-US"/>
        </w:rPr>
        <w:t>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14:paraId="472C905D" w14:textId="77777777" w:rsidR="006A46AE" w:rsidRPr="00180522" w:rsidRDefault="006A46AE" w:rsidP="006A46AE">
      <w:pPr>
        <w:pStyle w:val="Headingb"/>
      </w:pPr>
      <w:bookmarkStart w:id="228" w:name="_Toc480527894"/>
      <w:r w:rsidRPr="00180522">
        <w:t>I.2.3</w:t>
      </w:r>
      <w:r w:rsidRPr="00180522">
        <w:tab/>
        <w:t>IMT-2020/5G networks</w:t>
      </w:r>
    </w:p>
    <w:p w14:paraId="13AB0DA4" w14:textId="77777777" w:rsidR="006A46AE" w:rsidRPr="00180522" w:rsidRDefault="006A46AE" w:rsidP="006A46AE">
      <w:pPr>
        <w:rPr>
          <w:highlight w:val="yellow"/>
          <w:lang w:val="en-GB"/>
        </w:rPr>
      </w:pPr>
      <w:r w:rsidRPr="00180522">
        <w:rPr>
          <w:b/>
          <w:lang w:val="en-GB"/>
        </w:rPr>
        <w:t>ITU-T Q.5020 "Protocol requirements and procedures for network slice lifecycle management"</w:t>
      </w:r>
      <w:r w:rsidRPr="00180522">
        <w:rPr>
          <w:lang w:val="en-GB"/>
        </w:rPr>
        <w:t xml:space="preserve"> describes the protocol requirements and procedures for network slice lifecycle management, including the reference signalling architecture, requirements, and protocol procedures.</w:t>
      </w:r>
    </w:p>
    <w:p w14:paraId="2436F57E" w14:textId="77777777" w:rsidR="006A46AE" w:rsidRPr="00180522" w:rsidRDefault="006A46AE" w:rsidP="006A46AE">
      <w:pPr>
        <w:rPr>
          <w:lang w:val="en-GB"/>
        </w:rPr>
      </w:pPr>
      <w:r w:rsidRPr="00180522">
        <w:rPr>
          <w:b/>
          <w:lang w:val="en-GB"/>
        </w:rPr>
        <w:t>ITU-T Y.3072 "Requirements and Capabilities of Name Mapping and Resolution for Information Centric Networking in IMT-2020"</w:t>
      </w:r>
      <w:r w:rsidRPr="00180522">
        <w:rPr>
          <w:lang w:val="en-GB"/>
        </w:rPr>
        <w:t xml:space="preserve"> specifies the requirements and capabilities of name mapping and resolution to achieve high performance such as low latency and scalability for a massive number of named objects for information centric networking in IMT-2020. (1) It provides an introduction to name mapping and resolution in IMT-2020. (2) It describes service and functional requirements of name mapping and resolution. (3) Based on the requirements, it specifies the capabilities of name mapping and resolution for information centric networking in IMT-2020.</w:t>
      </w:r>
    </w:p>
    <w:p w14:paraId="6B749CFE" w14:textId="77777777" w:rsidR="006A46AE" w:rsidRPr="00180522" w:rsidRDefault="006A46AE" w:rsidP="006A46AE">
      <w:pPr>
        <w:rPr>
          <w:lang w:val="en-GB"/>
        </w:rPr>
      </w:pPr>
      <w:r w:rsidRPr="00180522">
        <w:rPr>
          <w:b/>
          <w:lang w:val="en-GB"/>
        </w:rPr>
        <w:t>ITU-T Y.3073 "Framework for service function chaining in information centric networking"</w:t>
      </w:r>
      <w:r w:rsidRPr="00180522">
        <w:rPr>
          <w:lang w:val="en-GB"/>
        </w:rPr>
        <w:t xml:space="preserve"> specifies the framework in applying information centric networking (ICN) to edge computing and service function chaining. It describes the communication models, messages and their content, and functional components and their interactions in applying ICN to service function chaining.</w:t>
      </w:r>
    </w:p>
    <w:p w14:paraId="73B79B48" w14:textId="77777777" w:rsidR="006A46AE" w:rsidRPr="00180522" w:rsidRDefault="006A46AE" w:rsidP="006A46AE">
      <w:pPr>
        <w:rPr>
          <w:highlight w:val="yellow"/>
          <w:lang w:val="en-GB"/>
        </w:rPr>
      </w:pPr>
      <w:r w:rsidRPr="00180522">
        <w:rPr>
          <w:b/>
          <w:lang w:val="en-GB"/>
        </w:rPr>
        <w:t>ITU-T Y.3074 "Framework for directory service for management of huge number of heterogeneously named objects in IMT-2020"</w:t>
      </w:r>
      <w:r w:rsidRPr="00180522">
        <w:rPr>
          <w:lang w:val="en-GB"/>
        </w:rPr>
        <w:t xml:space="preserve"> introduces a directory service function in the IMT-2020 architecture. It describes the components of the directory service function that can store a huge volume of records associated with heterogeneous types of names of objects (i.e. devices and data), and that can provide a very low latency lookup service. It describes the general procedure of the directory service function to register, cache, lookup, update, and delete records.</w:t>
      </w:r>
    </w:p>
    <w:p w14:paraId="65CCFF48" w14:textId="77777777" w:rsidR="006A46AE" w:rsidRPr="00180522" w:rsidRDefault="006A46AE" w:rsidP="006A46AE">
      <w:pPr>
        <w:rPr>
          <w:lang w:val="en-GB"/>
        </w:rPr>
      </w:pPr>
      <w:r w:rsidRPr="00180522">
        <w:rPr>
          <w:b/>
          <w:lang w:val="en-GB"/>
        </w:rPr>
        <w:t>ITU-T Y.3104 "Architecture of the IMT-2020 network"</w:t>
      </w:r>
      <w:r w:rsidRPr="00180522">
        <w:rPr>
          <w:lang w:val="en-GB"/>
        </w:rPr>
        <w:t xml:space="preserve"> provides the architecture of the IMT-2020 network from a functional perspective. An architecture reference model of the IMT-2020 network and procedures of the IMT-2020 network basic services [ITU-T Y.3102] are specified.</w:t>
      </w:r>
    </w:p>
    <w:p w14:paraId="046A5D2E" w14:textId="77777777" w:rsidR="006A46AE" w:rsidRPr="00180522" w:rsidRDefault="006A46AE" w:rsidP="006A46AE">
      <w:pPr>
        <w:rPr>
          <w:b/>
          <w:lang w:val="en-GB"/>
        </w:rPr>
      </w:pPr>
      <w:r w:rsidRPr="00180522">
        <w:rPr>
          <w:b/>
          <w:lang w:val="en-GB"/>
        </w:rPr>
        <w:t>ITU-T Y.3105 "Requirements of capability exposure in the IMT-2020 network"</w:t>
      </w:r>
      <w:r w:rsidRPr="00180522">
        <w:rPr>
          <w:lang w:val="en-GB"/>
        </w:rPr>
        <w:t xml:space="preserve"> identifies requirements of capability exposure in the IMT-2020 network. In particular, it provides at first an overview and general aspects of capability exposure in the IMT-2020 network, and then identifies </w:t>
      </w:r>
      <w:r w:rsidRPr="00180522">
        <w:rPr>
          <w:lang w:val="en-GB"/>
        </w:rPr>
        <w:lastRenderedPageBreak/>
        <w:t>requirements for the following key network capabilities: network slicing management, edge computing, network data analytics, fixed and mobile convergence, and QoS capabilities. Related scenarios of capability exposure in the IMT-2020 network are provided in Appendix.</w:t>
      </w:r>
    </w:p>
    <w:p w14:paraId="7F855006" w14:textId="77777777" w:rsidR="006A46AE" w:rsidRPr="00180522" w:rsidRDefault="006A46AE" w:rsidP="006A46AE">
      <w:pPr>
        <w:rPr>
          <w:lang w:val="en-GB"/>
        </w:rPr>
      </w:pPr>
      <w:r w:rsidRPr="00180522">
        <w:rPr>
          <w:b/>
          <w:lang w:val="en-GB"/>
        </w:rPr>
        <w:t>ITU-T Y.3106 "QoS functional requirements for the IMT-2020 network"</w:t>
      </w:r>
      <w:r w:rsidRPr="00180522">
        <w:rPr>
          <w:lang w:val="en-GB"/>
        </w:rPr>
        <w:t xml:space="preserve"> specifies the QoS functional requirements for the International Mobile Telecommunications (IMT) 2020 network. This Recommendation first provides an overview of QoS requirements for IMT-2020. It then describes the high level QoS capabilities of the IMT-2020 network which include: QoS planning, QoS provisioning, QoS monitoring and QoS optimization. Based on these capabilities, this Recommendation specifies the QoS functional requirements for the IMT-2020 network.</w:t>
      </w:r>
    </w:p>
    <w:p w14:paraId="385BFDBA" w14:textId="77777777" w:rsidR="006A46AE" w:rsidRPr="00180522" w:rsidRDefault="006A46AE" w:rsidP="006A46AE">
      <w:pPr>
        <w:rPr>
          <w:lang w:val="en-GB"/>
        </w:rPr>
      </w:pPr>
      <w:r w:rsidRPr="00180522">
        <w:rPr>
          <w:b/>
          <w:lang w:val="en-GB"/>
        </w:rPr>
        <w:t xml:space="preserve">ITU-T Y.3107 "Functional architecture for QoS assurance management in the IMT-2020 network" </w:t>
      </w:r>
      <w:r w:rsidRPr="00180522">
        <w:rPr>
          <w:lang w:val="en-GB"/>
        </w:rPr>
        <w:t>specifies the functional architecture for QoS assurance management in the International Mobile Telecommunications (IMT) 2020 network. This Recommendation first describes the functional architecture for QoS assurance management under the IMT-2020 network management and orchestration framework. It then specifies reference points between QoS functional entities and IMT-2020 network management and orchestration plane.</w:t>
      </w:r>
    </w:p>
    <w:p w14:paraId="3C2192AD" w14:textId="77777777" w:rsidR="006A46AE" w:rsidRPr="00180522" w:rsidRDefault="006A46AE" w:rsidP="006A46AE">
      <w:pPr>
        <w:rPr>
          <w:lang w:val="en-GB"/>
        </w:rPr>
      </w:pPr>
      <w:r w:rsidRPr="00180522">
        <w:rPr>
          <w:b/>
          <w:lang w:val="en-GB"/>
        </w:rPr>
        <w:t>ITU-T Y.3112 (revised) "Framework for the support of Multiple Network Slicing in the IMT-2020 network"</w:t>
      </w:r>
      <w:r w:rsidRPr="00180522">
        <w:rPr>
          <w:lang w:val="en-GB"/>
        </w:rPr>
        <w:t xml:space="preserve"> 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6F04C2F9" w14:textId="77777777" w:rsidR="006A46AE" w:rsidRPr="00180522" w:rsidRDefault="006A46AE" w:rsidP="006A46AE">
      <w:pPr>
        <w:rPr>
          <w:lang w:val="en-GB"/>
        </w:rPr>
      </w:pPr>
      <w:r w:rsidRPr="00180522">
        <w:rPr>
          <w:b/>
          <w:lang w:val="en-GB"/>
        </w:rPr>
        <w:t>ITU-T Y.3131 "Functional architecture for supporting fixed mobile convergence in IMT-2020 networks"</w:t>
      </w:r>
      <w:r w:rsidRPr="00180522">
        <w:rPr>
          <w:lang w:val="en-GB"/>
        </w:rPr>
        <w:t xml:space="preserve"> describes the functional architecture of fixed mobile convergence in IMT-2020 networks, which supports the requirements of network evolution and accommodates convergent services in fixed and mobile networks. This Recommendation presents the overview, framework and functional architecture for supporting fixed mobile convergence in IMT-2020 networks.</w:t>
      </w:r>
    </w:p>
    <w:p w14:paraId="24B8B947" w14:textId="77777777" w:rsidR="006A46AE" w:rsidRPr="00180522" w:rsidRDefault="006A46AE" w:rsidP="006A46AE">
      <w:pPr>
        <w:rPr>
          <w:lang w:val="en-GB"/>
        </w:rPr>
      </w:pPr>
      <w:r w:rsidRPr="00180522">
        <w:rPr>
          <w:b/>
          <w:lang w:val="en-GB"/>
        </w:rPr>
        <w:t xml:space="preserve">ITU-T Y.3151 "High-level technical characteristics of network </w:t>
      </w:r>
      <w:proofErr w:type="spellStart"/>
      <w:r w:rsidRPr="00180522">
        <w:rPr>
          <w:b/>
          <w:lang w:val="en-GB"/>
        </w:rPr>
        <w:t>softwarization</w:t>
      </w:r>
      <w:proofErr w:type="spellEnd"/>
      <w:r w:rsidRPr="00180522">
        <w:rPr>
          <w:b/>
          <w:lang w:val="en-GB"/>
        </w:rPr>
        <w:t xml:space="preserve"> for IMT-2020 - part: SDN"</w:t>
      </w:r>
      <w:r w:rsidRPr="00180522">
        <w:rPr>
          <w:lang w:val="en-GB"/>
        </w:rPr>
        <w:t xml:space="preserve">: With the advent of network slicing technology for IMT-2020, which is the most typical substantiation of the network </w:t>
      </w:r>
      <w:proofErr w:type="spellStart"/>
      <w:r w:rsidRPr="00180522">
        <w:rPr>
          <w:lang w:val="en-GB"/>
        </w:rPr>
        <w:t>softwarization</w:t>
      </w:r>
      <w:proofErr w:type="spellEnd"/>
      <w:r w:rsidRPr="00180522">
        <w:rPr>
          <w:lang w:val="en-GB"/>
        </w:rPr>
        <w:t xml:space="preserve"> approach, this Recommendation describes technical aspects of SDN part of network slice support, which assists in handling individual components of a network slice, and contains network infrastructure and its control/management [ITU-T Y.3150]. This Recommendation addresses the technical aspect of the SDN environment: architectural model, functionalities and interfaces. Especially, high-level specifications of SDN control interfaces are treated based on a standard of SDN control of transport networks [ITU-T G.7702].</w:t>
      </w:r>
    </w:p>
    <w:p w14:paraId="5DA8A525" w14:textId="77777777" w:rsidR="006A46AE" w:rsidRPr="00180522" w:rsidRDefault="006A46AE" w:rsidP="006A46AE">
      <w:pPr>
        <w:rPr>
          <w:lang w:val="en-GB"/>
        </w:rPr>
      </w:pPr>
      <w:r w:rsidRPr="00180522">
        <w:rPr>
          <w:b/>
          <w:lang w:val="en-GB"/>
        </w:rPr>
        <w:t>ITU-T Y.3152 "Advanced Data Plane Programmability for IMT-2020"</w:t>
      </w:r>
      <w:r w:rsidRPr="00180522">
        <w:rPr>
          <w:lang w:val="en-GB"/>
        </w:rPr>
        <w:t xml:space="preserve">: Advanced data plane programmability (ADPP) as an underlying technology for network </w:t>
      </w:r>
      <w:proofErr w:type="spellStart"/>
      <w:r w:rsidRPr="00180522">
        <w:rPr>
          <w:lang w:val="en-GB"/>
        </w:rPr>
        <w:t>softwarization</w:t>
      </w:r>
      <w:proofErr w:type="spellEnd"/>
      <w:r w:rsidRPr="00180522">
        <w:rPr>
          <w:lang w:val="en-GB"/>
        </w:rPr>
        <w:t xml:space="preserve"> enhances SDN with more agility and flexibility to meet the requirements of IMT-2020 networks [ITU-T Y.3150]. Via the advanced data plane programmability technology, network operators benefit from a "top-down" design process by defining network processing behaviour in a high level language. In other words, the advanced data plane programmability enables network operators to define specific data plane protocol (including packet formats) and to support extended network functionalities. The advanced data plane programmability leads to flexibility and automation, which lets network operators fully exploit data plane resources to enable their network applications. This Recommendation specifies the requirements and architecture about advanced data plane programmability for IMT-2020.</w:t>
      </w:r>
    </w:p>
    <w:p w14:paraId="29D459CE" w14:textId="77777777" w:rsidR="006A46AE" w:rsidRPr="00180522" w:rsidRDefault="006A46AE" w:rsidP="006A46AE">
      <w:pPr>
        <w:rPr>
          <w:highlight w:val="yellow"/>
          <w:lang w:val="en-GB"/>
        </w:rPr>
      </w:pPr>
      <w:r w:rsidRPr="00180522">
        <w:rPr>
          <w:b/>
          <w:lang w:val="en-GB"/>
        </w:rPr>
        <w:t>ITU-T Y.3172 "Architectural framework for machine learning in future networks including IMT-2020"</w:t>
      </w:r>
      <w:r w:rsidRPr="00180522">
        <w:rPr>
          <w:lang w:val="en-GB"/>
        </w:rPr>
        <w:t xml:space="preserve"> specifies an architectural framework for machine learning (ML) in future networks </w:t>
      </w:r>
      <w:r w:rsidRPr="00180522">
        <w:rPr>
          <w:lang w:val="en-GB"/>
        </w:rPr>
        <w:lastRenderedPageBreak/>
        <w:t>including IMT-2020. A set of architectural requirements and specific architectural components needed to satisfy these requirements are presented. These components include, but are not limited to, ML pipeline and ML management and orchestration functionalities. The integration of such components into future networks including IMT-2020 and guidelines for applying this architectural framework in a variety of technology-specific underlying networks are also described.</w:t>
      </w:r>
    </w:p>
    <w:p w14:paraId="5285F3C0" w14:textId="77777777" w:rsidR="006A46AE" w:rsidRPr="00180522" w:rsidRDefault="006A46AE" w:rsidP="006A46AE">
      <w:pPr>
        <w:rPr>
          <w:lang w:val="en-GB" w:eastAsia="en-US"/>
        </w:rPr>
      </w:pPr>
      <w:r w:rsidRPr="00180522">
        <w:rPr>
          <w:b/>
          <w:lang w:val="en-GB" w:eastAsia="en-US"/>
        </w:rPr>
        <w:t>ITU-T Y.3324 "Requirements and Architectural Framework for Autonomic Management and Control of IMT-2020 Networks"</w:t>
      </w:r>
      <w:r w:rsidRPr="00180522">
        <w:rPr>
          <w:lang w:val="en-GB" w:eastAsia="en-US"/>
        </w:rPr>
        <w:t xml:space="preserve">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14:paraId="77E4E443" w14:textId="77777777" w:rsidR="006A46AE" w:rsidRPr="00180522" w:rsidRDefault="006A46AE" w:rsidP="006A46AE">
      <w:pPr>
        <w:rPr>
          <w:b/>
          <w:lang w:val="en-GB" w:eastAsia="en-US"/>
        </w:rPr>
      </w:pPr>
      <w:r w:rsidRPr="00180522">
        <w:rPr>
          <w:b/>
          <w:lang w:val="en-GB" w:eastAsia="en-US"/>
        </w:rPr>
        <w:t>ITU-T Q.5021 "Protocol for managing capability exposure APIs in IMT-2020 network"</w:t>
      </w:r>
      <w:r w:rsidRPr="00180522">
        <w:rPr>
          <w:lang w:val="en-GB" w:eastAsia="en-US"/>
        </w:rPr>
        <w:t xml:space="preserve"> describes the protocol for managing capability exposure APIs in IMT2020 network. It includes signalling architecture, API management functions, signalling flows and their message format, and definition for management APIs. It also describes gap analysis and use cases for API management. This protocol can be used by network operators and third parties to manage capability exposure APIs.</w:t>
      </w:r>
    </w:p>
    <w:p w14:paraId="2315E48A" w14:textId="77777777" w:rsidR="006A46AE" w:rsidRPr="00180522" w:rsidRDefault="006A46AE" w:rsidP="006A46AE">
      <w:pPr>
        <w:pStyle w:val="Headingb"/>
      </w:pPr>
      <w:r w:rsidRPr="00180522">
        <w:t>I.2.4</w:t>
      </w:r>
      <w:r w:rsidRPr="00180522">
        <w:tab/>
        <w:t>Home networking</w:t>
      </w:r>
    </w:p>
    <w:p w14:paraId="19ED41E6" w14:textId="77777777" w:rsidR="006A46AE" w:rsidRPr="00180522" w:rsidRDefault="006A46AE" w:rsidP="006A46AE">
      <w:pPr>
        <w:rPr>
          <w:lang w:val="en-GB"/>
        </w:rPr>
      </w:pPr>
      <w:r w:rsidRPr="00180522">
        <w:rPr>
          <w:b/>
          <w:bCs/>
          <w:lang w:val="en-GB"/>
        </w:rPr>
        <w:t xml:space="preserve">ITU-T G.9960 (2018) Amd.1 "Unified high-speed wire-line based home networking transceivers - System architecture and physical layer specification: Amendment 1" </w:t>
      </w:r>
      <w:r w:rsidRPr="00180522">
        <w:rPr>
          <w:bCs/>
          <w:lang w:val="en-GB"/>
        </w:rPr>
        <w:t>(under approval)</w:t>
      </w:r>
      <w:r w:rsidRPr="00180522">
        <w:rPr>
          <w:b/>
          <w:bCs/>
          <w:lang w:val="en-GB"/>
        </w:rPr>
        <w:t xml:space="preserve"> </w:t>
      </w:r>
      <w:r w:rsidRPr="00180522">
        <w:rPr>
          <w:lang w:val="en-GB"/>
        </w:rPr>
        <w:t xml:space="preserve">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Amendment 1 includes the extension of the Recommendation to operate on an extended bandwidth over coaxial and </w:t>
      </w:r>
      <w:proofErr w:type="spellStart"/>
      <w:r w:rsidRPr="00180522">
        <w:rPr>
          <w:lang w:val="en-GB"/>
        </w:rPr>
        <w:t>phoneline</w:t>
      </w:r>
      <w:proofErr w:type="spellEnd"/>
      <w:r w:rsidRPr="00180522">
        <w:rPr>
          <w:lang w:val="en-GB"/>
        </w:rPr>
        <w:t xml:space="preserve"> mediums.</w:t>
      </w:r>
    </w:p>
    <w:p w14:paraId="3E05DE22" w14:textId="77777777" w:rsidR="006A46AE" w:rsidRPr="00180522" w:rsidRDefault="006A46AE" w:rsidP="006A46AE">
      <w:pPr>
        <w:rPr>
          <w:lang w:val="en-GB"/>
        </w:rPr>
      </w:pPr>
      <w:r w:rsidRPr="00180522">
        <w:rPr>
          <w:b/>
          <w:lang w:val="en-GB"/>
        </w:rPr>
        <w:t xml:space="preserve">ITU-T G.9961 (2018) Amd.1 "Unified high-speed wireline-based home networking transceivers – Data link layer specification: Amendment 1" </w:t>
      </w:r>
      <w:r w:rsidRPr="00180522">
        <w:rPr>
          <w:lang w:val="en-GB"/>
        </w:rPr>
        <w:t>(under approval)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14:paraId="0227A66E" w14:textId="77777777" w:rsidR="006A46AE" w:rsidRPr="00180522" w:rsidRDefault="006A46AE" w:rsidP="006A46AE">
      <w:pPr>
        <w:rPr>
          <w:b/>
          <w:lang w:val="en-GB"/>
        </w:rPr>
      </w:pPr>
      <w:r w:rsidRPr="00180522">
        <w:rPr>
          <w:lang w:val="en-GB"/>
        </w:rPr>
        <w:t xml:space="preserve">Amendment 1 includes a new physical layer specification. This new physical layer provides new modulation mechanisms (e.g. </w:t>
      </w:r>
      <w:proofErr w:type="spellStart"/>
      <w:r w:rsidRPr="00180522">
        <w:rPr>
          <w:lang w:val="en-GB"/>
        </w:rPr>
        <w:t>Multi Level</w:t>
      </w:r>
      <w:proofErr w:type="spellEnd"/>
      <w:r w:rsidRPr="00180522">
        <w:rPr>
          <w:lang w:val="en-GB"/>
        </w:rPr>
        <w:t xml:space="preserve"> Coding) and Robust Communication Mode (RCM) and allows the system to be operated over an extended bandwidth for coaxial and </w:t>
      </w:r>
      <w:proofErr w:type="spellStart"/>
      <w:r w:rsidRPr="00180522">
        <w:rPr>
          <w:lang w:val="en-GB"/>
        </w:rPr>
        <w:t>phoneline</w:t>
      </w:r>
      <w:proofErr w:type="spellEnd"/>
      <w:r w:rsidRPr="00180522">
        <w:rPr>
          <w:lang w:val="en-GB"/>
        </w:rPr>
        <w:t xml:space="preserve"> mediums.</w:t>
      </w:r>
    </w:p>
    <w:p w14:paraId="462888E7" w14:textId="77777777" w:rsidR="006A46AE" w:rsidRPr="00180522" w:rsidRDefault="006A46AE" w:rsidP="006A46AE">
      <w:pPr>
        <w:rPr>
          <w:lang w:val="en-GB"/>
        </w:rPr>
      </w:pPr>
      <w:r w:rsidRPr="00180522">
        <w:rPr>
          <w:b/>
          <w:bCs/>
          <w:lang w:val="en-GB"/>
        </w:rPr>
        <w:t>ITU-T G.9991 "High speed indoor visible light communication transceiver – System architecture, physical layer and data link layer specification"</w:t>
      </w:r>
      <w:r w:rsidRPr="00180522">
        <w:rPr>
          <w:lang w:val="en-GB"/>
        </w:rPr>
        <w:t xml:space="preserve"> specifies the system architecture, physical (PHY) layer and data link layer (DLL) for high-speed indoor optical wireless communication transceiver using visible light.</w:t>
      </w:r>
    </w:p>
    <w:p w14:paraId="1C18CF94" w14:textId="77777777" w:rsidR="006A46AE" w:rsidRPr="00180522" w:rsidRDefault="006A46AE" w:rsidP="006A46AE">
      <w:pPr>
        <w:rPr>
          <w:lang w:val="en-GB"/>
        </w:rPr>
      </w:pPr>
      <w:r w:rsidRPr="00180522">
        <w:rPr>
          <w:b/>
          <w:bCs/>
          <w:lang w:val="en-GB"/>
        </w:rPr>
        <w:t>ITU-T G.9992 "Indoor optical camera communication transceiver – System architecture, physical layer and data link layer specification"</w:t>
      </w:r>
      <w:r w:rsidRPr="00180522">
        <w:rPr>
          <w:lang w:val="en-GB"/>
        </w:rPr>
        <w:t xml:space="preserve"> specifies the system architecture, physical (PHY) layer and data link layer (DLL) for indoor optical camera communication transceiver.</w:t>
      </w:r>
    </w:p>
    <w:p w14:paraId="7EE01A15" w14:textId="77777777" w:rsidR="006A46AE" w:rsidRPr="00180522" w:rsidRDefault="006A46AE" w:rsidP="006A46AE">
      <w:pPr>
        <w:pStyle w:val="Headingb"/>
      </w:pPr>
      <w:r w:rsidRPr="00180522">
        <w:lastRenderedPageBreak/>
        <w:t>I.2.5</w:t>
      </w:r>
      <w:r w:rsidRPr="00180522">
        <w:tab/>
        <w:t>Smart Grid</w:t>
      </w:r>
    </w:p>
    <w:p w14:paraId="7655961B" w14:textId="77777777" w:rsidR="006A46AE" w:rsidRPr="00180522" w:rsidRDefault="006A46AE" w:rsidP="006A46AE">
      <w:pPr>
        <w:pStyle w:val="Headingb"/>
      </w:pPr>
      <w:r w:rsidRPr="00180522">
        <w:t>I.2.6</w:t>
      </w:r>
      <w:r w:rsidRPr="00180522">
        <w:tab/>
        <w:t>Software-defined networking</w:t>
      </w:r>
      <w:bookmarkEnd w:id="228"/>
    </w:p>
    <w:p w14:paraId="4C6C7B06" w14:textId="77777777" w:rsidR="006A46AE" w:rsidRPr="00180522" w:rsidRDefault="006A46AE" w:rsidP="006A46AE">
      <w:pPr>
        <w:rPr>
          <w:lang w:val="en-GB" w:eastAsia="en-US"/>
        </w:rPr>
      </w:pPr>
      <w:r w:rsidRPr="00180522">
        <w:rPr>
          <w:b/>
          <w:lang w:val="en-GB" w:eastAsia="en-US"/>
        </w:rPr>
        <w:t>ITU-T Q.3717 "Signalling requirements for automatic management of IP address pool by SDN technologies on BNG"</w:t>
      </w:r>
      <w:r w:rsidRPr="00180522">
        <w:rPr>
          <w:lang w:val="en-GB" w:eastAsia="en-US"/>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14:paraId="78B880B3" w14:textId="77777777" w:rsidR="006A46AE" w:rsidRPr="00180522" w:rsidRDefault="006A46AE" w:rsidP="006A46AE">
      <w:pPr>
        <w:rPr>
          <w:lang w:val="en-GB" w:eastAsia="en-US"/>
        </w:rPr>
      </w:pPr>
      <w:r w:rsidRPr="00180522">
        <w:rPr>
          <w:b/>
          <w:lang w:val="en-GB" w:eastAsia="en-US"/>
        </w:rPr>
        <w:t xml:space="preserve">ITU-T Q.3718 "Signalling requirements of the Sew interface for Virtual Data </w:t>
      </w:r>
      <w:proofErr w:type="spellStart"/>
      <w:r w:rsidRPr="00180522">
        <w:rPr>
          <w:b/>
          <w:lang w:val="en-GB" w:eastAsia="en-US"/>
        </w:rPr>
        <w:t>Center</w:t>
      </w:r>
      <w:proofErr w:type="spellEnd"/>
      <w:r w:rsidRPr="00180522">
        <w:rPr>
          <w:b/>
          <w:lang w:val="en-GB" w:eastAsia="en-US"/>
        </w:rPr>
        <w:t>"</w:t>
      </w:r>
      <w:r w:rsidRPr="00180522">
        <w:rPr>
          <w:lang w:val="en-GB" w:eastAsia="en-US"/>
        </w:rPr>
        <w:t xml:space="preserve"> focuses on the inter-domain Sew interface which is standardized to allow for multiple control entities within Virtual Data </w:t>
      </w:r>
      <w:proofErr w:type="spellStart"/>
      <w:r w:rsidRPr="00180522">
        <w:rPr>
          <w:lang w:val="en-GB" w:eastAsia="en-US"/>
        </w:rPr>
        <w:t>Center</w:t>
      </w:r>
      <w:proofErr w:type="spellEnd"/>
      <w:r w:rsidRPr="00180522">
        <w:rPr>
          <w:lang w:val="en-GB" w:eastAsia="en-US"/>
        </w:rPr>
        <w:t xml:space="preserve"> (VDC). In VDC, the SDN control entities exchanges the control plane related information with each other through the Sew interface.</w:t>
      </w:r>
    </w:p>
    <w:p w14:paraId="592E45F7" w14:textId="77777777" w:rsidR="006A46AE" w:rsidRPr="00180522" w:rsidRDefault="006A46AE" w:rsidP="006A46AE">
      <w:pPr>
        <w:pStyle w:val="Headingb"/>
      </w:pPr>
      <w:bookmarkStart w:id="229" w:name="_Toc480527895"/>
      <w:r w:rsidRPr="00180522">
        <w:t>I.2.7</w:t>
      </w:r>
      <w:r w:rsidRPr="00180522">
        <w:tab/>
        <w:t>Cloud computing</w:t>
      </w:r>
      <w:bookmarkEnd w:id="229"/>
    </w:p>
    <w:p w14:paraId="5F3F0725" w14:textId="77777777" w:rsidR="006A46AE" w:rsidRPr="00180522" w:rsidRDefault="006A46AE" w:rsidP="006A46AE">
      <w:pPr>
        <w:rPr>
          <w:lang w:val="en-GB"/>
        </w:rPr>
      </w:pPr>
      <w:r w:rsidRPr="00180522">
        <w:rPr>
          <w:b/>
          <w:bCs/>
          <w:lang w:val="en-GB"/>
        </w:rPr>
        <w:t>ITU-T Y.3507 "Cloud computing – Functional requirements of physical machine"</w:t>
      </w:r>
      <w:r w:rsidRPr="00180522">
        <w:rPr>
          <w:lang w:val="en-GB"/>
        </w:rPr>
        <w:t xml:space="preserve">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14:paraId="1001FE4C" w14:textId="77777777" w:rsidR="006A46AE" w:rsidRPr="00180522" w:rsidRDefault="006A46AE" w:rsidP="006A46AE">
      <w:pPr>
        <w:rPr>
          <w:lang w:val="en-GB"/>
        </w:rPr>
      </w:pPr>
      <w:r w:rsidRPr="00180522">
        <w:rPr>
          <w:b/>
          <w:bCs/>
          <w:lang w:val="en-GB"/>
        </w:rPr>
        <w:t>ITU-T Y.3508 "Cloud computing - Overview and high-level requirements of distributed cloud"</w:t>
      </w:r>
      <w:r w:rsidRPr="00180522">
        <w:rPr>
          <w:lang w:val="en-GB"/>
        </w:rPr>
        <w:t xml:space="preserve"> provides an overview and high-level requirements for distributed cloud. This Recommendation introduces the concept of the distributed cloud, and identifies the characteristics of distributed cloud. Based on concept and characteristics, configuration models are illustrated. Deployment considerations of distributed cloud are provided in perspective of infrastructure, network, service, management and security. From use cases, high-level requirements of the distributed cloud are derived.</w:t>
      </w:r>
    </w:p>
    <w:p w14:paraId="378553A5" w14:textId="77777777" w:rsidR="006A46AE" w:rsidRPr="00180522" w:rsidRDefault="006A46AE" w:rsidP="006A46AE">
      <w:pPr>
        <w:rPr>
          <w:lang w:val="en-GB"/>
        </w:rPr>
      </w:pPr>
      <w:r w:rsidRPr="00180522">
        <w:rPr>
          <w:b/>
          <w:bCs/>
          <w:lang w:val="en-GB"/>
        </w:rPr>
        <w:t>ITU-T Y.3517 "Cloud computing - Overview of inter-cloud trust management"</w:t>
      </w:r>
      <w:r w:rsidRPr="00180522">
        <w:rPr>
          <w:lang w:val="en-GB"/>
        </w:rPr>
        <w:t xml:space="preserve">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14:paraId="10E6B6F6" w14:textId="77777777" w:rsidR="006A46AE" w:rsidRPr="00180522" w:rsidRDefault="006A46AE" w:rsidP="006A46AE">
      <w:pPr>
        <w:rPr>
          <w:lang w:val="en-GB"/>
        </w:rPr>
      </w:pPr>
      <w:r w:rsidRPr="00180522">
        <w:rPr>
          <w:b/>
          <w:bCs/>
          <w:lang w:val="en-GB"/>
        </w:rPr>
        <w:t>ITU-T Y.3518 "Cloud computing - Functional requirements of inter-cloud data management"</w:t>
      </w:r>
      <w:r w:rsidRPr="00180522">
        <w:rPr>
          <w:lang w:val="en-GB"/>
        </w:rPr>
        <w:t xml:space="preserve"> 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p>
    <w:p w14:paraId="7E05C2EC" w14:textId="77777777" w:rsidR="006A46AE" w:rsidRPr="00180522" w:rsidRDefault="006A46AE" w:rsidP="006A46AE">
      <w:pPr>
        <w:rPr>
          <w:lang w:val="en-GB"/>
        </w:rPr>
      </w:pPr>
      <w:r w:rsidRPr="00180522">
        <w:rPr>
          <w:b/>
          <w:bCs/>
          <w:lang w:val="en-GB"/>
        </w:rPr>
        <w:t xml:space="preserve">ITU-T Y.3523 "Metadata framework for </w:t>
      </w:r>
      <w:proofErr w:type="spellStart"/>
      <w:r w:rsidRPr="00180522">
        <w:rPr>
          <w:b/>
          <w:bCs/>
          <w:lang w:val="en-GB"/>
        </w:rPr>
        <w:t>NaaS</w:t>
      </w:r>
      <w:proofErr w:type="spellEnd"/>
      <w:r w:rsidRPr="00180522">
        <w:rPr>
          <w:b/>
          <w:bCs/>
          <w:lang w:val="en-GB"/>
        </w:rPr>
        <w:t xml:space="preserve"> service lifecycle management"</w:t>
      </w:r>
      <w:r w:rsidRPr="00180522">
        <w:rPr>
          <w:lang w:val="en-GB"/>
        </w:rPr>
        <w:t xml:space="preserve"> specifies the metadata framework for </w:t>
      </w:r>
      <w:proofErr w:type="spellStart"/>
      <w:r w:rsidRPr="00180522">
        <w:rPr>
          <w:lang w:val="en-GB"/>
        </w:rPr>
        <w:t>NaaS</w:t>
      </w:r>
      <w:proofErr w:type="spellEnd"/>
      <w:r w:rsidRPr="00180522">
        <w:rPr>
          <w:lang w:val="en-GB"/>
        </w:rPr>
        <w:t xml:space="preserve"> service lifecycle management in the closed loop automation environment. This Recommendation is the extension the Recommendation ITU-T Y.3512 and Recommendation ITU-T Y.3515 as the </w:t>
      </w:r>
      <w:proofErr w:type="spellStart"/>
      <w:r w:rsidRPr="00180522">
        <w:rPr>
          <w:lang w:val="en-GB"/>
        </w:rPr>
        <w:t>NaaS</w:t>
      </w:r>
      <w:proofErr w:type="spellEnd"/>
      <w:r w:rsidRPr="00180522">
        <w:rPr>
          <w:lang w:val="en-GB"/>
        </w:rPr>
        <w:t xml:space="preserve"> series Recommendations. It provides the metadata framework for </w:t>
      </w:r>
      <w:proofErr w:type="spellStart"/>
      <w:r w:rsidRPr="00180522">
        <w:rPr>
          <w:lang w:val="en-GB"/>
        </w:rPr>
        <w:t>NaaS</w:t>
      </w:r>
      <w:proofErr w:type="spellEnd"/>
      <w:r w:rsidRPr="00180522">
        <w:rPr>
          <w:lang w:val="en-GB"/>
        </w:rPr>
        <w:t xml:space="preserve"> service lifecycle management with the highlight on the </w:t>
      </w:r>
      <w:proofErr w:type="spellStart"/>
      <w:r w:rsidRPr="00180522">
        <w:rPr>
          <w:lang w:val="en-GB"/>
        </w:rPr>
        <w:t>NaaS</w:t>
      </w:r>
      <w:proofErr w:type="spellEnd"/>
      <w:r w:rsidRPr="00180522">
        <w:rPr>
          <w:lang w:val="en-GB"/>
        </w:rPr>
        <w:t xml:space="preserve"> service operational policy framework.</w:t>
      </w:r>
    </w:p>
    <w:p w14:paraId="3E13C37B" w14:textId="77777777" w:rsidR="006A46AE" w:rsidRPr="00180522" w:rsidRDefault="006A46AE" w:rsidP="006A46AE">
      <w:pPr>
        <w:pStyle w:val="Headingb"/>
      </w:pPr>
      <w:r w:rsidRPr="00180522">
        <w:t>I.2.8</w:t>
      </w:r>
      <w:r w:rsidRPr="00180522">
        <w:tab/>
        <w:t>Big data</w:t>
      </w:r>
    </w:p>
    <w:p w14:paraId="173F2751" w14:textId="77777777" w:rsidR="006A46AE" w:rsidRPr="00180522" w:rsidRDefault="006A46AE" w:rsidP="006A46AE">
      <w:pPr>
        <w:rPr>
          <w:bCs/>
          <w:lang w:val="en-GB"/>
        </w:rPr>
      </w:pPr>
      <w:r w:rsidRPr="00180522">
        <w:rPr>
          <w:b/>
          <w:bCs/>
          <w:lang w:val="en-GB"/>
        </w:rPr>
        <w:t>ITU-T Y.3519 "Cloud computing - Functional architecture of big data as a service"</w:t>
      </w:r>
      <w:r w:rsidRPr="00180522">
        <w:rPr>
          <w:bCs/>
          <w:lang w:val="en-GB"/>
        </w:rPr>
        <w:t xml:space="preserve"> describes the functional architecture for big data as a service (</w:t>
      </w:r>
      <w:proofErr w:type="spellStart"/>
      <w:r w:rsidRPr="00180522">
        <w:rPr>
          <w:bCs/>
          <w:lang w:val="en-GB"/>
        </w:rPr>
        <w:t>BDaaS</w:t>
      </w:r>
      <w:proofErr w:type="spellEnd"/>
      <w:r w:rsidRPr="00180522">
        <w:rPr>
          <w:bCs/>
          <w:lang w:val="en-GB"/>
        </w:rPr>
        <w:t xml:space="preserve">). The functional architecture is defined on the basis of the analysis of requirements and activities of cloud computing based big data described in ITU-T Y.3600. Following the methodology of ITU-T Y.3502, the </w:t>
      </w:r>
      <w:proofErr w:type="spellStart"/>
      <w:r w:rsidRPr="00180522">
        <w:rPr>
          <w:bCs/>
          <w:lang w:val="en-GB"/>
        </w:rPr>
        <w:t>BDaaS</w:t>
      </w:r>
      <w:proofErr w:type="spellEnd"/>
      <w:r w:rsidRPr="00180522">
        <w:rPr>
          <w:bCs/>
          <w:lang w:val="en-GB"/>
        </w:rPr>
        <w:t xml:space="preserve"> functional </w:t>
      </w:r>
      <w:r w:rsidRPr="00180522">
        <w:rPr>
          <w:bCs/>
          <w:lang w:val="en-GB"/>
        </w:rPr>
        <w:lastRenderedPageBreak/>
        <w:t xml:space="preserve">architecture is described from a set of functional components and cross-cutting aspects. The specified functional components consist of sets of functions that are required to perform the </w:t>
      </w:r>
      <w:proofErr w:type="spellStart"/>
      <w:r w:rsidRPr="00180522">
        <w:rPr>
          <w:bCs/>
          <w:lang w:val="en-GB"/>
        </w:rPr>
        <w:t>BDaaS</w:t>
      </w:r>
      <w:proofErr w:type="spellEnd"/>
      <w:r w:rsidRPr="00180522">
        <w:rPr>
          <w:bCs/>
          <w:lang w:val="en-GB"/>
        </w:rPr>
        <w:t xml:space="preserve"> activities for the roles and sub-roles described in ITU-T Y.3600.</w:t>
      </w:r>
    </w:p>
    <w:p w14:paraId="6CD41BE6" w14:textId="77777777" w:rsidR="006A46AE" w:rsidRPr="00180522" w:rsidRDefault="006A46AE" w:rsidP="006A46AE">
      <w:pPr>
        <w:rPr>
          <w:lang w:val="en-GB"/>
        </w:rPr>
      </w:pPr>
      <w:r w:rsidRPr="00180522">
        <w:rPr>
          <w:b/>
          <w:lang w:val="en-GB"/>
        </w:rPr>
        <w:t>ITU-T Y.3602 "Big data – Functional requirements for data provenance"</w:t>
      </w:r>
      <w:r w:rsidRPr="00180522">
        <w:rPr>
          <w:lang w:val="en-GB"/>
        </w:rPr>
        <w:t xml:space="preserve"> describes a model and operations for big data provenance. Also, this Recommendation provides the functional requirements for big data service provider (BDSP) to manage big data provenance.</w:t>
      </w:r>
    </w:p>
    <w:p w14:paraId="203F3FB7" w14:textId="77777777" w:rsidR="006A46AE" w:rsidRPr="00180522" w:rsidRDefault="006A46AE" w:rsidP="006A46AE">
      <w:pPr>
        <w:rPr>
          <w:lang w:val="en-GB"/>
        </w:rPr>
      </w:pPr>
      <w:r w:rsidRPr="00180522">
        <w:rPr>
          <w:b/>
          <w:lang w:val="en-GB"/>
        </w:rPr>
        <w:t>ITU-T Y.3651 "Big-data-driven networking – mobile network traffic management and planning"</w:t>
      </w:r>
      <w:r w:rsidRPr="00180522">
        <w:rPr>
          <w:lang w:val="en-GB"/>
        </w:rPr>
        <w:t xml:space="preserve">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14:paraId="357C1E62" w14:textId="77777777" w:rsidR="006A46AE" w:rsidRPr="00180522" w:rsidRDefault="006A46AE" w:rsidP="006A46AE">
      <w:pPr>
        <w:pStyle w:val="Headingb"/>
      </w:pPr>
      <w:r w:rsidRPr="00180522">
        <w:t>I.2.9</w:t>
      </w:r>
      <w:r w:rsidRPr="00180522">
        <w:tab/>
        <w:t>Network Management</w:t>
      </w:r>
    </w:p>
    <w:p w14:paraId="75A65357" w14:textId="77777777" w:rsidR="006A46AE" w:rsidRPr="00180522" w:rsidRDefault="006A46AE" w:rsidP="006A46AE">
      <w:pPr>
        <w:rPr>
          <w:b/>
          <w:bCs/>
          <w:lang w:val="en-GB"/>
        </w:rPr>
      </w:pPr>
      <w:r w:rsidRPr="00180522">
        <w:rPr>
          <w:b/>
          <w:bCs/>
          <w:lang w:val="en-GB"/>
        </w:rPr>
        <w:t>ITU-T M.3040 "Principles for on-site telecommunication smart maintenance"</w:t>
      </w:r>
      <w:r w:rsidRPr="00180522">
        <w:rPr>
          <w:lang w:val="en-GB"/>
        </w:rPr>
        <w:t xml:space="preserve"> introduces principles for on-site telecommunication smart maintenance (TSM). In this Recommendation, the background and basic concepts of on-site telecommunication smart maintenance are provided. This Recommendation also provides details of TSM architectures, including TSM functional architecture, TSM physical architecture, TSM information architecture, and maintenance processes.</w:t>
      </w:r>
    </w:p>
    <w:p w14:paraId="08D82439" w14:textId="77777777" w:rsidR="006A46AE" w:rsidRPr="00180522" w:rsidRDefault="006A46AE" w:rsidP="006A46AE">
      <w:pPr>
        <w:pStyle w:val="Headingb"/>
      </w:pPr>
      <w:r w:rsidRPr="00180522">
        <w:t>I.3.1</w:t>
      </w:r>
      <w:r w:rsidRPr="00180522">
        <w:tab/>
        <w:t>Video and image coding</w:t>
      </w:r>
    </w:p>
    <w:p w14:paraId="66F25CAC" w14:textId="77777777" w:rsidR="006A46AE" w:rsidRPr="00180522" w:rsidRDefault="006A46AE" w:rsidP="006A46AE">
      <w:pPr>
        <w:rPr>
          <w:lang w:val="en-GB"/>
        </w:rPr>
      </w:pPr>
      <w:r w:rsidRPr="00180522">
        <w:rPr>
          <w:b/>
          <w:lang w:val="en-GB"/>
        </w:rPr>
        <w:t xml:space="preserve">ITU-T H.230 (revised) "Frame-synchronous control and indication signals for </w:t>
      </w:r>
      <w:proofErr w:type="spellStart"/>
      <w:r w:rsidRPr="00180522">
        <w:rPr>
          <w:b/>
          <w:lang w:val="en-GB"/>
        </w:rPr>
        <w:t>audiovisual</w:t>
      </w:r>
      <w:proofErr w:type="spellEnd"/>
      <w:r w:rsidRPr="00180522">
        <w:rPr>
          <w:b/>
          <w:lang w:val="en-GB"/>
        </w:rPr>
        <w:t xml:space="preserve"> systems": </w:t>
      </w:r>
      <w:r w:rsidRPr="00180522">
        <w:rPr>
          <w:lang w:val="en-GB"/>
        </w:rPr>
        <w:t xml:space="preserve">Digital </w:t>
      </w:r>
      <w:proofErr w:type="spellStart"/>
      <w:r w:rsidRPr="00180522">
        <w:rPr>
          <w:lang w:val="en-GB"/>
        </w:rPr>
        <w:t>audiovisual</w:t>
      </w:r>
      <w:proofErr w:type="spellEnd"/>
      <w:r w:rsidRPr="00180522">
        <w:rPr>
          <w:lang w:val="en-GB"/>
        </w:rPr>
        <w:t xml:space="preserve"> services are provided by a transmission system in which the relevant signals are multiplexed onto a digital path using the frame structure defined in Recommendation ITU-T H.221. In addition to the audio, video, user data and </w:t>
      </w:r>
      <w:proofErr w:type="spellStart"/>
      <w:r w:rsidRPr="00180522">
        <w:rPr>
          <w:lang w:val="en-GB"/>
        </w:rPr>
        <w:t>telematic</w:t>
      </w:r>
      <w:proofErr w:type="spellEnd"/>
      <w:r w:rsidRPr="00180522">
        <w:rPr>
          <w:lang w:val="en-GB"/>
        </w:rPr>
        <w:t xml:space="preserve"> information, these signals include information for the proper functioning of the system. The additional information has been named control and indication (C&amp;I) to reflect the fact that while some bits are genuinely for "control", causing a state change somewhere else in the system, others provide for indications to the users as to the functioning of the system. Recommendation ITU-T H.230 concerns only those C&amp;I which must be transmission frame synchronous, or otherwise requiring rapid response.</w:t>
      </w:r>
    </w:p>
    <w:p w14:paraId="7ADA14A3" w14:textId="77777777" w:rsidR="006A46AE" w:rsidRPr="00180522" w:rsidRDefault="006A46AE" w:rsidP="006A46AE">
      <w:pPr>
        <w:rPr>
          <w:lang w:val="en-GB"/>
        </w:rPr>
      </w:pPr>
      <w:r w:rsidRPr="00180522">
        <w:rPr>
          <w:lang w:val="en-GB"/>
        </w:rPr>
        <w:t xml:space="preserve">This Recommendation details the C&amp;I related to video and audio; means of transmitting numbers and characters; C&amp;I for maintenance purposes; for simple multipoint conferences not using protocol in the MLP channel; for channel aggregation; and for the transfer of network addresses. The </w:t>
      </w:r>
      <w:proofErr w:type="spellStart"/>
      <w:r w:rsidRPr="00180522">
        <w:rPr>
          <w:lang w:val="en-GB"/>
        </w:rPr>
        <w:t>codepoint</w:t>
      </w:r>
      <w:proofErr w:type="spellEnd"/>
      <w:r w:rsidRPr="00180522">
        <w:rPr>
          <w:lang w:val="en-GB"/>
        </w:rPr>
        <w:t xml:space="preserve"> tables also indicate the circumstances under which the various functions may be mandatory or optional.</w:t>
      </w:r>
    </w:p>
    <w:p w14:paraId="1B56AF79" w14:textId="77777777" w:rsidR="006A46AE" w:rsidRPr="00180522" w:rsidRDefault="006A46AE" w:rsidP="006A46AE">
      <w:pPr>
        <w:rPr>
          <w:lang w:val="en-GB"/>
        </w:rPr>
      </w:pPr>
      <w:r w:rsidRPr="00180522">
        <w:rPr>
          <w:lang w:val="en-GB"/>
        </w:rPr>
        <w:t>This revised version of Recommendation ITU-T H.230 introduces a number of clarifications and corrections to the previous version. Those corrections were listed in the Q11/16 and previous study period Q1/16 living lists. They mainly concern the definitions of C&amp;I symbols.</w:t>
      </w:r>
    </w:p>
    <w:p w14:paraId="67966AFA" w14:textId="77777777" w:rsidR="006A46AE" w:rsidRPr="00180522" w:rsidRDefault="006A46AE" w:rsidP="006A46AE">
      <w:pPr>
        <w:rPr>
          <w:highlight w:val="yellow"/>
          <w:lang w:val="en-GB"/>
        </w:rPr>
      </w:pPr>
      <w:r w:rsidRPr="00180522">
        <w:rPr>
          <w:b/>
          <w:bCs/>
          <w:lang w:val="en-GB"/>
        </w:rPr>
        <w:t xml:space="preserve">ITU-T H.243 (revised) "Procedures for establishing communication between three or more </w:t>
      </w:r>
      <w:proofErr w:type="spellStart"/>
      <w:r w:rsidRPr="00180522">
        <w:rPr>
          <w:b/>
          <w:bCs/>
          <w:lang w:val="en-GB"/>
        </w:rPr>
        <w:t>audiovisual</w:t>
      </w:r>
      <w:proofErr w:type="spellEnd"/>
      <w:r w:rsidRPr="00180522">
        <w:rPr>
          <w:b/>
          <w:bCs/>
          <w:lang w:val="en-GB"/>
        </w:rPr>
        <w:t xml:space="preserve"> terminals using digital channels up to 1920 </w:t>
      </w:r>
      <w:proofErr w:type="spellStart"/>
      <w:r w:rsidRPr="00180522">
        <w:rPr>
          <w:b/>
          <w:bCs/>
          <w:lang w:val="en-GB"/>
        </w:rPr>
        <w:t>kbit</w:t>
      </w:r>
      <w:proofErr w:type="spellEnd"/>
      <w:r w:rsidRPr="00180522">
        <w:rPr>
          <w:b/>
          <w:bCs/>
          <w:lang w:val="en-GB"/>
        </w:rPr>
        <w:t>/s"</w:t>
      </w:r>
      <w:r w:rsidRPr="00180522">
        <w:rPr>
          <w:lang w:val="en-GB"/>
        </w:rPr>
        <w:t xml:space="preserve"> introduces a clarification to the contention resolution principle random number description. This clarification previously appeared in the Q1/16 living list and it is associated with the corrections and clarifications added to a revised version of H.230. This version also introduces some editorial corrections.</w:t>
      </w:r>
    </w:p>
    <w:p w14:paraId="1092F79A" w14:textId="77777777" w:rsidR="006A46AE" w:rsidRPr="00180522" w:rsidRDefault="006A46AE" w:rsidP="006A46AE">
      <w:pPr>
        <w:rPr>
          <w:lang w:val="en-GB"/>
        </w:rPr>
      </w:pPr>
      <w:r w:rsidRPr="00180522">
        <w:rPr>
          <w:b/>
          <w:lang w:val="en-GB"/>
        </w:rPr>
        <w:t xml:space="preserve">ITU-T H.264 (V13) (revised) "Advanced video coding for generic </w:t>
      </w:r>
      <w:proofErr w:type="spellStart"/>
      <w:r w:rsidRPr="00180522">
        <w:rPr>
          <w:b/>
          <w:lang w:val="en-GB"/>
        </w:rPr>
        <w:t>audiovisual</w:t>
      </w:r>
      <w:proofErr w:type="spellEnd"/>
      <w:r w:rsidRPr="00180522">
        <w:rPr>
          <w:b/>
          <w:lang w:val="en-GB"/>
        </w:rPr>
        <w:t xml:space="preserve"> services"</w:t>
      </w:r>
      <w:r w:rsidRPr="00180522">
        <w:rPr>
          <w:lang w:val="en-GB"/>
        </w:rPr>
        <w:t xml:space="preserve"> contains the draft text for changes to the Advanced Video Coding (AVC) standard (Rec. ITU-T H.264 | ISO/IEC 14496-10) to specify additional supplemental enhancement information (SEI) messages for ambient viewing environment, content light level information, content colour volume, </w:t>
      </w:r>
      <w:proofErr w:type="spellStart"/>
      <w:r w:rsidRPr="00180522">
        <w:rPr>
          <w:lang w:val="en-GB"/>
        </w:rPr>
        <w:t>equirectangular</w:t>
      </w:r>
      <w:proofErr w:type="spellEnd"/>
      <w:r w:rsidRPr="00180522">
        <w:rPr>
          <w:lang w:val="en-GB"/>
        </w:rPr>
        <w:t xml:space="preserve"> projection, </w:t>
      </w:r>
      <w:proofErr w:type="spellStart"/>
      <w:r w:rsidRPr="00180522">
        <w:rPr>
          <w:lang w:val="en-GB"/>
        </w:rPr>
        <w:t>cubemap</w:t>
      </w:r>
      <w:proofErr w:type="spellEnd"/>
      <w:r w:rsidRPr="00180522">
        <w:rPr>
          <w:lang w:val="en-GB"/>
        </w:rPr>
        <w:t xml:space="preserve"> projection, sphere rotation, region-wise packing, omnidirectional viewport, SEI manifest, and SEI prefix, along with some corrections to the existing specification text.</w:t>
      </w:r>
    </w:p>
    <w:p w14:paraId="71318F4E" w14:textId="77777777" w:rsidR="006A46AE" w:rsidRPr="00180522" w:rsidRDefault="006A46AE" w:rsidP="006A46AE">
      <w:pPr>
        <w:rPr>
          <w:lang w:val="en-GB"/>
        </w:rPr>
      </w:pPr>
      <w:r w:rsidRPr="00180522">
        <w:rPr>
          <w:lang w:val="en-GB"/>
        </w:rPr>
        <w:lastRenderedPageBreak/>
        <w:t>This Recommendation was developed jointly with ISO/IEC JTC 1/SC 29/WG 11 (MPEG), and Rec. ITU-T H.264 is maintained as technically aligned twin text with ISO/IEC 14496-10. The technical changes in this edition were developed in a joint collaborative team with MPEG in technical alignment with the ninth (not yet published) edition of ISO/IEC 14496-10.</w:t>
      </w:r>
    </w:p>
    <w:p w14:paraId="1553A4AA" w14:textId="77777777" w:rsidR="006A46AE" w:rsidRPr="00180522" w:rsidRDefault="006A46AE" w:rsidP="006A46AE">
      <w:pPr>
        <w:rPr>
          <w:lang w:val="en-GB"/>
        </w:rPr>
      </w:pPr>
      <w:r w:rsidRPr="00180522">
        <w:rPr>
          <w:b/>
          <w:lang w:val="en-GB"/>
        </w:rPr>
        <w:t>ITU-T H.265 (V6) (revised) "High efficiency video coding"</w:t>
      </w:r>
      <w:r w:rsidRPr="00180522">
        <w:rPr>
          <w:lang w:val="en-GB"/>
        </w:rPr>
        <w:t xml:space="preserve"> includes the specification of additional Supplemental Enhancement Information (SEI) messages for SEI manifest and SEI prefix information, along with some corrections to the existing specification text.</w:t>
      </w:r>
    </w:p>
    <w:p w14:paraId="44E0D504" w14:textId="77777777" w:rsidR="006A46AE" w:rsidRPr="00180522" w:rsidRDefault="006A46AE" w:rsidP="006A46AE">
      <w:pPr>
        <w:rPr>
          <w:highlight w:val="yellow"/>
          <w:lang w:val="en-GB"/>
        </w:rPr>
      </w:pPr>
      <w:r w:rsidRPr="00180522">
        <w:rPr>
          <w:lang w:val="en-GB"/>
        </w:rPr>
        <w:t>This Recommendation was developed jointly with ISO/IEC JTC 1/SC 29/WG 11 (MPEG), and Rec. ITU-T H.265 is maintained as technically aligned twin text with ISO/IEC 23008-2. The technical changes in this edition were developed in a joint collaborative team with MPEG in technical alignment with the fourth (not yet published) edition of ISO/IEC 23008-2.</w:t>
      </w:r>
    </w:p>
    <w:p w14:paraId="0058CA55" w14:textId="77777777" w:rsidR="006A46AE" w:rsidRPr="00180522" w:rsidRDefault="006A46AE" w:rsidP="006A46AE">
      <w:pPr>
        <w:rPr>
          <w:lang w:val="en-GB"/>
        </w:rPr>
      </w:pPr>
      <w:r w:rsidRPr="00180522">
        <w:rPr>
          <w:b/>
          <w:bCs/>
          <w:lang w:val="en-GB"/>
        </w:rPr>
        <w:t>ITU-T T.800 V3 (revised) (T.800 (2015) Cor1 &amp; Amd1) "Information technology - JPEG 2000 image coding system: Core coding system"</w:t>
      </w:r>
      <w:r w:rsidRPr="00180522">
        <w:rPr>
          <w:lang w:val="en-GB"/>
        </w:rPr>
        <w:t xml:space="preserve"> defines a set of lossless (bit-preserving) and </w:t>
      </w:r>
      <w:proofErr w:type="spellStart"/>
      <w:r w:rsidRPr="00180522">
        <w:rPr>
          <w:lang w:val="en-GB"/>
        </w:rPr>
        <w:t>lossy</w:t>
      </w:r>
      <w:proofErr w:type="spellEnd"/>
      <w:r w:rsidRPr="00180522">
        <w:rPr>
          <w:lang w:val="en-GB"/>
        </w:rPr>
        <w:t xml:space="preserve"> compression methods for coding bi-level, continuous-tone grey-scale, palletized colour, or continuous-tone colour digital still images. This edition adds a profile marker segment, extended capabilities marker segment, and valid profile number values, and includes additional improvements of the basis text. This Recommendation was developed jointly with ISO/IEC JTC 1/SC 29/WG 1 (JPEG), and Rec. ITU-T T.800 is maintained as common text with ISO/IEC 15444-1. This edition corresponds to the fourth edition of ISO/IEC 15444-1. (Since this specification was published as common text only after the first edition had been approved by ISO/IEC JTC 1 in 2000, edition numbers in the ITU and ISO/IEC versions are offset by one.)</w:t>
      </w:r>
    </w:p>
    <w:p w14:paraId="6956C41E" w14:textId="77777777" w:rsidR="006A46AE" w:rsidRPr="00180522" w:rsidRDefault="006A46AE" w:rsidP="006A46AE">
      <w:pPr>
        <w:rPr>
          <w:lang w:val="en-GB"/>
        </w:rPr>
      </w:pPr>
      <w:r w:rsidRPr="00180522">
        <w:rPr>
          <w:b/>
          <w:bCs/>
          <w:lang w:val="en-GB"/>
        </w:rPr>
        <w:t>ITU-T T.814 "Information technology - JPEG 2000 image coding system: High-throughput JPEG 2000"</w:t>
      </w:r>
      <w:r w:rsidRPr="00180522">
        <w:rPr>
          <w:lang w:val="en-GB"/>
        </w:rPr>
        <w:t xml:space="preserve"> specifies a High-Throughput (HT) block coding algorithm that can be used in place of the block coding algorithm of Rec. ITU-T T.800 | ISO/IEC 15444-1. The HT block coding algorithm increases decoding and encoding throughput and allows mathematically lossless transcoding to and from the block coding algorithm of Rec. ITU-T T.800 | ISO/IEC 15444-1. This is achieved at the expense of some loss in coding efficiency and substantial elimination of quality scalability. This Recommendation was developed jointly with ISO/IEC JTC 1/SC 29/WG 1 (JPEG), and corresponds as common text with ISO/IEC 15444-15.</w:t>
      </w:r>
    </w:p>
    <w:p w14:paraId="40AE974E" w14:textId="77777777" w:rsidR="006A46AE" w:rsidRPr="00180522" w:rsidRDefault="006A46AE" w:rsidP="006A46AE">
      <w:pPr>
        <w:rPr>
          <w:highlight w:val="yellow"/>
          <w:lang w:val="en-GB"/>
        </w:rPr>
      </w:pPr>
      <w:r w:rsidRPr="00180522">
        <w:rPr>
          <w:b/>
          <w:bCs/>
          <w:lang w:val="en-GB"/>
        </w:rPr>
        <w:t>ITU-T T.815 "Information technology - JPEG 2000 image coding system: Encapsulation of JPEG 2000 images into ISO/IEC 23008-12"</w:t>
      </w:r>
      <w:r w:rsidRPr="00180522">
        <w:rPr>
          <w:lang w:val="en-GB"/>
        </w:rPr>
        <w:t>: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 ISO/IEC 23008-12 specifies a framework for the interchange of images and image sequences using tools defined in the ISO base media file format (ISO/IEC 14496-12), which is in wide use worldwide. This framework is defined independently of the formats of the images and image sequences, allowing a wide range of such formats to be used in combination with ISO/IEC 23008-12. This Recommendation was developed jointly with ISO/IEC JTC 1/SC 29/WG 1 (JPEG), and corresponds as common text with ISO/IEC 15444-16.</w:t>
      </w:r>
    </w:p>
    <w:p w14:paraId="04EF5C7D" w14:textId="77777777" w:rsidR="006A46AE" w:rsidRPr="00180522" w:rsidRDefault="006A46AE" w:rsidP="006A46AE">
      <w:pPr>
        <w:rPr>
          <w:lang w:val="en-GB"/>
        </w:rPr>
      </w:pPr>
      <w:r w:rsidRPr="00180522">
        <w:rPr>
          <w:b/>
          <w:bCs/>
          <w:lang w:val="en-GB"/>
        </w:rPr>
        <w:t xml:space="preserve">ITU-T T.832 (V4) (revised) "Information technology - JPEG XR image coding system - Image coding specification" </w:t>
      </w:r>
      <w:r w:rsidRPr="00180522">
        <w:rPr>
          <w:lang w:val="en-GB"/>
        </w:rPr>
        <w:t>adds the specification of support for additional colour formats (particularly including those specified by Rec. ITU-R BT.2020 and Rec. ITU-R BT.2100) and support for JPEG XR image coding in the ISO/IEC 23008-12 file format.</w:t>
      </w:r>
    </w:p>
    <w:p w14:paraId="6DBBD005" w14:textId="77777777" w:rsidR="006A46AE" w:rsidRPr="00180522" w:rsidRDefault="006A46AE" w:rsidP="006A46AE">
      <w:pPr>
        <w:rPr>
          <w:lang w:val="en-GB"/>
        </w:rPr>
      </w:pPr>
      <w:r w:rsidRPr="00180522">
        <w:rPr>
          <w:lang w:val="en-GB"/>
        </w:rPr>
        <w:t>This Recommendation was developed jointly with ISO/IEC JTC 1/SC 29/WG 1 (JPEG), and Rec. ITU-T T.832 is maintained as technically aligned twin text with ISO/IEC 29199-2. The technical changes in this edition were developed in a joint collaborative team with JPEG in technical alignment with the fourth (not yet published) edition of ISO/IEC 29199-2.</w:t>
      </w:r>
    </w:p>
    <w:p w14:paraId="59283AE3" w14:textId="77777777" w:rsidR="006A46AE" w:rsidRPr="00180522" w:rsidRDefault="006A46AE" w:rsidP="006A46AE">
      <w:pPr>
        <w:rPr>
          <w:lang w:val="en-GB"/>
        </w:rPr>
      </w:pPr>
      <w:r w:rsidRPr="00180522">
        <w:rPr>
          <w:b/>
          <w:lang w:val="en-GB"/>
        </w:rPr>
        <w:lastRenderedPageBreak/>
        <w:t>ITU-T T.873 "Information technology - Digital compression and coding of continuous-tone still images: Reference Software"</w:t>
      </w:r>
      <w:r w:rsidRPr="00180522">
        <w:rPr>
          <w:lang w:val="en-GB"/>
        </w:rPr>
        <w:t xml:space="preserve">: The ISO/IEC 10918 series defines guidelines and requirements for coding of continuous-tone still images. Recommendation ITU-T T.81 | ISO/IEC 10918-1, also known under the name JPEG, specifies the </w:t>
      </w:r>
      <w:proofErr w:type="spellStart"/>
      <w:r w:rsidRPr="00180522">
        <w:rPr>
          <w:lang w:val="en-GB"/>
        </w:rPr>
        <w:t>codestream</w:t>
      </w:r>
      <w:proofErr w:type="spellEnd"/>
      <w:r w:rsidRPr="00180522">
        <w:rPr>
          <w:lang w:val="en-GB"/>
        </w:rPr>
        <w:t xml:space="preserve"> format and the decoding process. It is designed primarily for compression of continuous-tone photographic content.</w:t>
      </w:r>
    </w:p>
    <w:p w14:paraId="77680608" w14:textId="77777777" w:rsidR="006A46AE" w:rsidRPr="00180522" w:rsidRDefault="006A46AE" w:rsidP="006A46AE">
      <w:pPr>
        <w:rPr>
          <w:highlight w:val="yellow"/>
          <w:lang w:val="en-GB"/>
        </w:rPr>
      </w:pPr>
      <w:r w:rsidRPr="00180522">
        <w:rPr>
          <w:lang w:val="en-GB"/>
        </w:rPr>
        <w:t>This document provides reference software for Recommendation ITU-T T.81 | ISO/IEC 10918-1. The software has been successfully compiled and tested on Linux and Windows operating systems and conforms to the decoder requirements set forth in Recommendation ITU-T T.83 | ISO/IEC 10918 2. It has also been tested for conformance to Recommendation ITU-T T.86 | ISO/IEC 10918 4 and ISO/IEC 18477-4. An electronic attachment to the Specification contains two source code packages for ITU-T T.81 | ISO/IEC 10918-1.</w:t>
      </w:r>
    </w:p>
    <w:p w14:paraId="6CBC4C80" w14:textId="77777777" w:rsidR="006A46AE" w:rsidRPr="00180522" w:rsidRDefault="006A46AE" w:rsidP="006A46AE">
      <w:pPr>
        <w:pStyle w:val="Headingb"/>
      </w:pPr>
      <w:bookmarkStart w:id="230" w:name="_Toc480527896"/>
      <w:r w:rsidRPr="00180522">
        <w:t>I.3.2</w:t>
      </w:r>
      <w:r w:rsidRPr="00180522">
        <w:tab/>
        <w:t>Intelligent, interoperable visual surveillance systems</w:t>
      </w:r>
      <w:bookmarkEnd w:id="230"/>
    </w:p>
    <w:p w14:paraId="0ECFC469" w14:textId="77777777" w:rsidR="006A46AE" w:rsidRPr="00180522" w:rsidRDefault="006A46AE" w:rsidP="006A46AE">
      <w:pPr>
        <w:rPr>
          <w:highlight w:val="yellow"/>
          <w:lang w:val="en-GB"/>
        </w:rPr>
      </w:pPr>
      <w:r w:rsidRPr="00180522">
        <w:rPr>
          <w:b/>
          <w:bCs/>
          <w:lang w:val="en-GB"/>
        </w:rPr>
        <w:t>ITU-T H.626.5 "Architecture for intelligent visual surveillance systems"</w:t>
      </w:r>
      <w:r w:rsidRPr="00180522">
        <w:rPr>
          <w:lang w:val="en-GB"/>
        </w:rPr>
        <w:t xml:space="preserve"> defines an architecture of intelligent visual surveillance systems, including the functional architecture, entities, service flows and reference points. The intelligent visual surveillance system provides intelligent analysis capabilities and services for users based on the images and video streams from surveillance cameras through network. This Recommendation is based on ITU-T Recommendation F.743.1 "Requirements for intelligent visual surveillance".</w:t>
      </w:r>
    </w:p>
    <w:p w14:paraId="53AEB800" w14:textId="77777777" w:rsidR="006A46AE" w:rsidRPr="00180522" w:rsidRDefault="006A46AE" w:rsidP="006A46AE">
      <w:pPr>
        <w:pStyle w:val="Headingb"/>
      </w:pPr>
      <w:bookmarkStart w:id="231" w:name="_Toc480527898"/>
      <w:r w:rsidRPr="00180522">
        <w:t>I.3.3</w:t>
      </w:r>
      <w:r w:rsidRPr="00180522">
        <w:tab/>
        <w:t>IPTV and digital signage</w:t>
      </w:r>
      <w:bookmarkEnd w:id="231"/>
    </w:p>
    <w:p w14:paraId="70D5B941" w14:textId="77777777" w:rsidR="006A46AE" w:rsidRPr="00180522" w:rsidRDefault="006A46AE" w:rsidP="006A46AE">
      <w:pPr>
        <w:rPr>
          <w:lang w:val="en-GB"/>
        </w:rPr>
      </w:pPr>
      <w:r w:rsidRPr="00180522">
        <w:rPr>
          <w:b/>
          <w:lang w:val="en-GB"/>
        </w:rPr>
        <w:t>ITU-T H.783 (V2) (revised) "Digital signage: Audience measurement services"</w:t>
      </w:r>
      <w:r w:rsidRPr="00180522">
        <w:rPr>
          <w:lang w:val="en-GB"/>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14:paraId="5230E9F9" w14:textId="77777777" w:rsidR="006A46AE" w:rsidRPr="00180522" w:rsidRDefault="006A46AE" w:rsidP="006A46AE">
      <w:pPr>
        <w:rPr>
          <w:highlight w:val="yellow"/>
          <w:lang w:val="en-GB"/>
        </w:rPr>
      </w:pPr>
      <w:r w:rsidRPr="00180522">
        <w:rPr>
          <w:lang w:val="en-GB"/>
        </w:rPr>
        <w:t>This revision adds the XML schema on the data structures for message delivery. The addition aims to widen applicability of the specifications at the price of easy XML validation.</w:t>
      </w:r>
    </w:p>
    <w:p w14:paraId="398CDCEF" w14:textId="77777777" w:rsidR="006A46AE" w:rsidRPr="00180522" w:rsidRDefault="006A46AE" w:rsidP="006A46AE">
      <w:pPr>
        <w:rPr>
          <w:lang w:val="en-GB"/>
        </w:rPr>
      </w:pPr>
      <w:r w:rsidRPr="00180522">
        <w:rPr>
          <w:b/>
          <w:bCs/>
          <w:lang w:val="en-GB"/>
        </w:rPr>
        <w:t>ITU-T H.784 "Digital signage: Display device control interface"</w:t>
      </w:r>
      <w:r w:rsidRPr="00180522">
        <w:rPr>
          <w:lang w:val="en-GB"/>
        </w:rPr>
        <w:t xml:space="preserve">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14:paraId="6C0490BE" w14:textId="77777777" w:rsidR="006A46AE" w:rsidRPr="00180522" w:rsidRDefault="006A46AE" w:rsidP="006A46AE">
      <w:pPr>
        <w:pStyle w:val="Headingb"/>
      </w:pPr>
      <w:bookmarkStart w:id="232" w:name="_Toc480527900"/>
      <w:r w:rsidRPr="00180522">
        <w:t>I.3.4</w:t>
      </w:r>
      <w:r w:rsidRPr="00180522">
        <w:tab/>
        <w:t>Immersive live experience</w:t>
      </w:r>
    </w:p>
    <w:p w14:paraId="0631B3A6" w14:textId="77777777" w:rsidR="006A46AE" w:rsidRPr="00180522" w:rsidRDefault="006A46AE" w:rsidP="006A46AE">
      <w:pPr>
        <w:pStyle w:val="Headingb"/>
      </w:pPr>
      <w:r w:rsidRPr="00180522">
        <w:t>I.3.5</w:t>
      </w:r>
      <w:r w:rsidRPr="00180522">
        <w:tab/>
        <w:t>Standards to assess quality of video communications and applications</w:t>
      </w:r>
    </w:p>
    <w:p w14:paraId="3BC5AD10" w14:textId="77777777" w:rsidR="006A46AE" w:rsidRPr="00180522" w:rsidRDefault="006A46AE" w:rsidP="006A46AE">
      <w:pPr>
        <w:rPr>
          <w:lang w:val="en-GB"/>
        </w:rPr>
      </w:pPr>
      <w:r w:rsidRPr="00180522">
        <w:rPr>
          <w:b/>
          <w:lang w:val="en-GB"/>
        </w:rPr>
        <w:t xml:space="preserve">ITU-T G.191 (V6) (revised) "Software tools for speech and audio coding standardization" </w:t>
      </w:r>
      <w:r w:rsidRPr="00180522">
        <w:rPr>
          <w:lang w:val="en-GB"/>
        </w:rPr>
        <w:t>provides source code for speech and audio processing modules for narrowband, wideband and super-wideband telephony applications. The set includes codecs, filters, noise generators, etc.</w:t>
      </w:r>
    </w:p>
    <w:p w14:paraId="298D1CC6" w14:textId="77777777" w:rsidR="006A46AE" w:rsidRPr="00180522" w:rsidRDefault="006A46AE" w:rsidP="006A46AE">
      <w:pPr>
        <w:rPr>
          <w:lang w:val="en-GB"/>
        </w:rPr>
      </w:pPr>
      <w:r w:rsidRPr="00180522">
        <w:rPr>
          <w:lang w:val="en-GB"/>
        </w:rPr>
        <w:t>This revision introduces changes to the main body of ITU-T G.191 and to Annex A, which describes the ITU-T Software Tools (STL) containing a high-quality, portable C code library for speech processing applications. Annex B remains unchanged.</w:t>
      </w:r>
    </w:p>
    <w:p w14:paraId="2595A93B" w14:textId="77777777" w:rsidR="006A46AE" w:rsidRPr="00180522" w:rsidRDefault="006A46AE" w:rsidP="006A46AE">
      <w:pPr>
        <w:rPr>
          <w:lang w:val="en-GB"/>
        </w:rPr>
      </w:pPr>
      <w:r w:rsidRPr="00180522">
        <w:rPr>
          <w:lang w:val="en-GB"/>
        </w:rPr>
        <w:t>This new release of the STL, also known as STL2018, incorporates new basic operators to accommodate state-of-the-art processor architectures which supports wide accumulators, SIMD (Single Instruction Multiple Data) and VLIW (Very Long Instruction Word). Thus the new operators provides support for 64-bit accumulator, complex numbers, enhanced 32-bit operations and additional control code operators.</w:t>
      </w:r>
    </w:p>
    <w:p w14:paraId="7989F2FA" w14:textId="77777777" w:rsidR="006A46AE" w:rsidRPr="00180522" w:rsidRDefault="006A46AE" w:rsidP="006A46AE">
      <w:pPr>
        <w:rPr>
          <w:lang w:val="en-GB"/>
        </w:rPr>
      </w:pPr>
      <w:r w:rsidRPr="00180522">
        <w:rPr>
          <w:lang w:val="en-GB"/>
        </w:rPr>
        <w:t xml:space="preserve">The software package was reworked to make it available as a truly open-source project and is therefore hosted on an open-source collaboration platform. The build toolchain is now using </w:t>
      </w:r>
      <w:proofErr w:type="spellStart"/>
      <w:r w:rsidRPr="00180522">
        <w:rPr>
          <w:lang w:val="en-GB"/>
        </w:rPr>
        <w:t>CMake</w:t>
      </w:r>
      <w:proofErr w:type="spellEnd"/>
      <w:r w:rsidRPr="00180522">
        <w:rPr>
          <w:lang w:val="en-GB"/>
        </w:rPr>
        <w:t xml:space="preserve"> </w:t>
      </w:r>
      <w:r w:rsidRPr="00180522">
        <w:rPr>
          <w:lang w:val="en-GB"/>
        </w:rPr>
        <w:lastRenderedPageBreak/>
        <w:t>to generate platform-dependent and tool-dependent build scripts as well as to execute regression tests for each module in the STL.</w:t>
      </w:r>
    </w:p>
    <w:p w14:paraId="3C3B6A04" w14:textId="77777777" w:rsidR="006A46AE" w:rsidRPr="00180522" w:rsidRDefault="006A46AE" w:rsidP="006A46AE">
      <w:pPr>
        <w:rPr>
          <w:lang w:val="en-GB"/>
        </w:rPr>
      </w:pPr>
      <w:r w:rsidRPr="00180522">
        <w:rPr>
          <w:lang w:val="en-GB"/>
        </w:rPr>
        <w:t>This Recommendation includes an electronic attachment containing STL2018 Software Tool Library and manual.</w:t>
      </w:r>
    </w:p>
    <w:p w14:paraId="4E5EE568" w14:textId="77777777" w:rsidR="006A46AE" w:rsidRPr="00180522" w:rsidRDefault="006A46AE" w:rsidP="006A46AE">
      <w:pPr>
        <w:rPr>
          <w:lang w:val="en-GB"/>
        </w:rPr>
      </w:pPr>
      <w:r w:rsidRPr="00180522">
        <w:rPr>
          <w:b/>
          <w:lang w:val="en-GB"/>
        </w:rPr>
        <w:t>ITU-T G.1028 (revised) "End-to-end quality of service for voice over 4G mobile networks"</w:t>
      </w:r>
      <w:r w:rsidRPr="00180522">
        <w:rPr>
          <w:lang w:val="en-GB"/>
        </w:rPr>
        <w:t xml:space="preserve"> provides guidelines concerning the key aspects impacting end-to-end performance of managed voice applications over LTE networks and how they can be properly assessed using current elements of knowledge.</w:t>
      </w:r>
    </w:p>
    <w:p w14:paraId="2993AB56" w14:textId="77777777" w:rsidR="006A46AE" w:rsidRPr="00180522" w:rsidRDefault="006A46AE" w:rsidP="006A46AE">
      <w:pPr>
        <w:rPr>
          <w:lang w:val="en-GB"/>
        </w:rPr>
      </w:pPr>
      <w:r w:rsidRPr="00180522">
        <w:rPr>
          <w:lang w:val="en-GB"/>
        </w:rPr>
        <w:t>Some typical end-to-end scenarios are described, involving cases with LTE access at both sides of the communication, or with a different access technology at one side (wireless or wireline access). These scenarios are based on typical reference connections defined in this Recommendation, composed of various segments, including: terminal, wireless access, backhaul network, core network. Considerations regarding the sharing of the budget of some key parameters and the location where they can be assessed across these segments are provided.</w:t>
      </w:r>
    </w:p>
    <w:p w14:paraId="2120D2F1" w14:textId="77777777" w:rsidR="006A46AE" w:rsidRPr="00180522" w:rsidRDefault="006A46AE" w:rsidP="006A46AE">
      <w:pPr>
        <w:rPr>
          <w:highlight w:val="yellow"/>
          <w:lang w:val="en-GB"/>
        </w:rPr>
      </w:pPr>
      <w:r w:rsidRPr="00180522">
        <w:rPr>
          <w:lang w:val="en-GB"/>
        </w:rPr>
        <w:t>As far as the specific impact of the CSFB procedure on QoS is concerned, dedicated information and material is available in the companion Recommendation ITU-T G.1028.2 "Assessment of the LTE circuit switched fall back - impact on voice QoS".</w:t>
      </w:r>
    </w:p>
    <w:p w14:paraId="03493315" w14:textId="77777777" w:rsidR="006A46AE" w:rsidRPr="00180522" w:rsidRDefault="006A46AE" w:rsidP="006A46AE">
      <w:pPr>
        <w:widowControl w:val="0"/>
        <w:rPr>
          <w:lang w:val="en-GB"/>
        </w:rPr>
      </w:pPr>
      <w:r w:rsidRPr="00180522">
        <w:rPr>
          <w:b/>
          <w:bCs/>
          <w:lang w:val="en-GB"/>
        </w:rPr>
        <w:t>ITU-T G.1028.1 "End-to-end QoS for Video Telephony over 4G mobile networks"</w:t>
      </w:r>
      <w:r w:rsidRPr="00180522">
        <w:rPr>
          <w:lang w:val="en-GB"/>
        </w:rPr>
        <w:t xml:space="preserve"> provides guidelines concerning the key aspects impacting end-to-end performance of carrier-grade (in opposition to over-the-top approaches, which are outside of the scope here) conversational video services over LTE networks, also known as </w:t>
      </w:r>
      <w:proofErr w:type="spellStart"/>
      <w:r w:rsidRPr="00180522">
        <w:rPr>
          <w:lang w:val="en-GB"/>
        </w:rPr>
        <w:t>ViLTE</w:t>
      </w:r>
      <w:proofErr w:type="spellEnd"/>
      <w:r w:rsidRPr="00180522">
        <w:rPr>
          <w:lang w:val="en-GB"/>
        </w:rPr>
        <w:t xml:space="preserve">, as defined by the GSMA. It more so identifies the preconditions for an optimally operating </w:t>
      </w:r>
      <w:proofErr w:type="spellStart"/>
      <w:r w:rsidRPr="00180522">
        <w:rPr>
          <w:lang w:val="en-GB"/>
        </w:rPr>
        <w:t>ViLTE</w:t>
      </w:r>
      <w:proofErr w:type="spellEnd"/>
      <w:r w:rsidRPr="00180522">
        <w:rPr>
          <w:lang w:val="en-GB"/>
        </w:rPr>
        <w:t xml:space="preserve"> network and in conclusion provides remedial measures that operators can leverage to address the associated impact of QoS degradations in the LTE network.</w:t>
      </w:r>
    </w:p>
    <w:p w14:paraId="2A3963B4" w14:textId="77777777" w:rsidR="006A46AE" w:rsidRPr="00180522" w:rsidRDefault="006A46AE" w:rsidP="006A46AE">
      <w:pPr>
        <w:rPr>
          <w:lang w:val="en-GB"/>
        </w:rPr>
      </w:pPr>
      <w:r w:rsidRPr="00180522">
        <w:rPr>
          <w:b/>
          <w:lang w:val="en-GB"/>
        </w:rPr>
        <w:t>ITU-T G.1028.2 "Assessment of the LTE circuit switched fall back - impact on voice QoS":</w:t>
      </w:r>
      <w:r w:rsidRPr="00180522">
        <w:rPr>
          <w:lang w:val="en-GB"/>
        </w:rPr>
        <w:t xml:space="preserve"> While the LTE circuit switched fall back (CSFB) can be considered as a procedure separated from voice service delivery over LTE, it has an impact on the QoS for the voice services and is therefore worth of attention and consideration. Indeed, operators have to make sure that clients purchasing LTE-capable devices must keep the level of QoS they used to have with their former 2G and 3G devices, even when </w:t>
      </w:r>
      <w:proofErr w:type="spellStart"/>
      <w:r w:rsidRPr="00180522">
        <w:rPr>
          <w:lang w:val="en-GB"/>
        </w:rPr>
        <w:t>VoLTE</w:t>
      </w:r>
      <w:proofErr w:type="spellEnd"/>
      <w:r w:rsidRPr="00180522">
        <w:rPr>
          <w:lang w:val="en-GB"/>
        </w:rPr>
        <w:t xml:space="preserve"> is not available (for any reason: network, device). Therefore, specific and complementary KPIs are proposed in this Recommendation, together with procedures for their assessment.</w:t>
      </w:r>
    </w:p>
    <w:p w14:paraId="76B2B746" w14:textId="77777777" w:rsidR="006A46AE" w:rsidRPr="00180522" w:rsidRDefault="006A46AE" w:rsidP="006A46AE">
      <w:pPr>
        <w:rPr>
          <w:lang w:val="en-GB"/>
        </w:rPr>
      </w:pPr>
      <w:r w:rsidRPr="00180522">
        <w:rPr>
          <w:lang w:val="en-GB"/>
        </w:rPr>
        <w:t>It should be noted that this Recommendation focuses only on the specific impact of CSFB, the information it contains must be considered as a complement to provision already provided in the Recommendation ITU-T G.1028: "End-to-end quality of service for voice over 4G mobile networks".</w:t>
      </w:r>
    </w:p>
    <w:p w14:paraId="412DE2D4" w14:textId="77777777" w:rsidR="006A46AE" w:rsidRPr="00180522" w:rsidRDefault="006A46AE" w:rsidP="006A46AE">
      <w:pPr>
        <w:widowControl w:val="0"/>
        <w:rPr>
          <w:lang w:val="en-GB"/>
        </w:rPr>
      </w:pPr>
      <w:r w:rsidRPr="00180522">
        <w:rPr>
          <w:b/>
          <w:bCs/>
          <w:lang w:val="en-GB"/>
        </w:rPr>
        <w:t xml:space="preserve">ITU-T P.10/G.100 (2017) </w:t>
      </w:r>
      <w:proofErr w:type="spellStart"/>
      <w:r w:rsidRPr="00180522">
        <w:rPr>
          <w:b/>
          <w:bCs/>
          <w:lang w:val="en-GB"/>
        </w:rPr>
        <w:t>Amd</w:t>
      </w:r>
      <w:proofErr w:type="spellEnd"/>
      <w:r w:rsidRPr="00180522">
        <w:rPr>
          <w:b/>
          <w:bCs/>
          <w:lang w:val="en-GB"/>
        </w:rPr>
        <w:t>. 1 "Vocabulary for performance, quality of service and quality of experience - Amendment 1: New definitions for inclusion in Recommendation ITU-T P.10/G.100"</w:t>
      </w:r>
      <w:r w:rsidRPr="00180522">
        <w:rPr>
          <w:lang w:val="en-GB"/>
        </w:rPr>
        <w:t xml:space="preserve"> is coordinated with a related revision to Recommendation ITU-T P.64 Determination of sensitivity/frequency characteristics of local telephone systems. Definitions for the terms ear cap and earpiece are included in Recommendation ITU-T P.10/G.100.</w:t>
      </w:r>
    </w:p>
    <w:p w14:paraId="1863B629" w14:textId="77777777" w:rsidR="006A46AE" w:rsidRPr="00180522" w:rsidRDefault="006A46AE" w:rsidP="006A46AE">
      <w:pPr>
        <w:rPr>
          <w:lang w:val="en-GB"/>
        </w:rPr>
      </w:pPr>
      <w:r w:rsidRPr="00180522">
        <w:rPr>
          <w:b/>
          <w:lang w:val="en-GB"/>
        </w:rPr>
        <w:t>ITU-T P.64 (revised) "Determination of sensitivity/frequency characteristics of local telephone systems"</w:t>
      </w:r>
      <w:r w:rsidRPr="00180522">
        <w:rPr>
          <w:lang w:val="en-GB"/>
        </w:rPr>
        <w:t xml:space="preserve"> is mainly concerned with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w:t>
      </w:r>
      <w:r w:rsidRPr="00180522">
        <w:rPr>
          <w:lang w:val="en-GB"/>
        </w:rPr>
        <w:lastRenderedPageBreak/>
        <w:t>determinations. Measurements under real conditions are complicated, time-consuming and not reproducible with great precision.</w:t>
      </w:r>
    </w:p>
    <w:p w14:paraId="444FFFE3" w14:textId="77777777" w:rsidR="006A46AE" w:rsidRPr="00180522" w:rsidRDefault="006A46AE" w:rsidP="006A46AE">
      <w:pPr>
        <w:rPr>
          <w:lang w:val="en-GB"/>
        </w:rPr>
      </w:pPr>
      <w:r w:rsidRPr="00180522">
        <w:rPr>
          <w:lang w:val="en-GB"/>
        </w:rPr>
        <w:t>This Recommendation describes measurement methods using recommended forms of artificial mouths and artificial ears (see Recommendations ITU-T P.51 and P.57).</w:t>
      </w:r>
    </w:p>
    <w:p w14:paraId="4C187BC2" w14:textId="77777777" w:rsidR="006A46AE" w:rsidRPr="00180522" w:rsidRDefault="006A46AE" w:rsidP="006A46AE">
      <w:pPr>
        <w:rPr>
          <w:lang w:val="en-GB"/>
        </w:rPr>
      </w:pPr>
      <w:r w:rsidRPr="00180522">
        <w:rPr>
          <w:lang w:val="en-GB"/>
        </w:rPr>
        <w:t>This Recommendation applies mainly to local telephone systems (LTSs) with handset telephones; however, the principles also apply to other types of telephones.</w:t>
      </w:r>
    </w:p>
    <w:p w14:paraId="6250A893" w14:textId="77777777" w:rsidR="006A46AE" w:rsidRPr="00180522" w:rsidRDefault="006A46AE" w:rsidP="006A46AE">
      <w:pPr>
        <w:rPr>
          <w:lang w:val="en-GB"/>
        </w:rPr>
      </w:pPr>
      <w:r w:rsidRPr="00180522">
        <w:rPr>
          <w:lang w:val="en-GB"/>
        </w:rPr>
        <w:t>Annexes D and E define handset positions to be used with HATS according to P.58 and P.57 type 3.2, 3.3 and 3.4 artificial ears. Allowance is given to placing the handset in a way which best represents its intended use.</w:t>
      </w:r>
    </w:p>
    <w:p w14:paraId="4B600D35" w14:textId="77777777" w:rsidR="006A46AE" w:rsidRPr="00180522" w:rsidRDefault="006A46AE" w:rsidP="006A46AE">
      <w:pPr>
        <w:rPr>
          <w:highlight w:val="yellow"/>
          <w:lang w:val="en-GB"/>
        </w:rPr>
      </w:pPr>
      <w:r w:rsidRPr="00180522">
        <w:rPr>
          <w:lang w:val="en-GB"/>
        </w:rPr>
        <w:t>Annex F describes correspondence between measurements using the loudness rating guard-ring position (LRGP) and the head and torso simulator (HATS) position.</w:t>
      </w:r>
    </w:p>
    <w:p w14:paraId="3EE7831F" w14:textId="77777777" w:rsidR="006A46AE" w:rsidRPr="00180522" w:rsidRDefault="006A46AE" w:rsidP="006A46AE">
      <w:pPr>
        <w:rPr>
          <w:lang w:val="en-GB"/>
        </w:rPr>
      </w:pPr>
      <w:r w:rsidRPr="00180522">
        <w:rPr>
          <w:b/>
          <w:bCs/>
          <w:lang w:val="en-GB"/>
        </w:rPr>
        <w:t xml:space="preserve">ITU-T P.340 Amd.2 "Transmission characteristics and speech quality parameters of hands-free terminals - Amendment 2" </w:t>
      </w:r>
      <w:r w:rsidRPr="00180522">
        <w:rPr>
          <w:lang w:val="en-GB"/>
        </w:rPr>
        <w:t>replaces Annex B: Objective test methods for multi-talker scenarios, which was introduced in Rec. ITU-T P.340 (2000)/Amd.1 (10/2014).</w:t>
      </w:r>
    </w:p>
    <w:p w14:paraId="529E0012" w14:textId="77777777" w:rsidR="006A46AE" w:rsidRPr="00180522" w:rsidRDefault="006A46AE" w:rsidP="006A46AE">
      <w:pPr>
        <w:rPr>
          <w:lang w:val="en-GB"/>
        </w:rPr>
      </w:pPr>
      <w:r w:rsidRPr="00180522">
        <w:rPr>
          <w:b/>
          <w:lang w:val="en-GB"/>
        </w:rPr>
        <w:t>ITU-T P.700 "Calculation of loudness for speech communication"</w:t>
      </w:r>
      <w:r w:rsidRPr="00180522">
        <w:rPr>
          <w:lang w:val="en-GB"/>
        </w:rPr>
        <w:t xml:space="preserve"> describes a unified method required for calculating loudness, allowing comparison of narrow-band (300-3.4k Hz), wideband (100-8k Hz), super-wideband (50-14k Hz) and </w:t>
      </w:r>
      <w:proofErr w:type="spellStart"/>
      <w:r w:rsidRPr="00180522">
        <w:rPr>
          <w:lang w:val="en-GB"/>
        </w:rPr>
        <w:t>Fullband</w:t>
      </w:r>
      <w:proofErr w:type="spellEnd"/>
      <w:r w:rsidRPr="00180522">
        <w:rPr>
          <w:lang w:val="en-GB"/>
        </w:rPr>
        <w:t xml:space="preserve"> (10-20k Hz) telephony, for all types of terminals including handset, hands-free and conference terminals.</w:t>
      </w:r>
    </w:p>
    <w:p w14:paraId="12759B24" w14:textId="77777777" w:rsidR="006A46AE" w:rsidRPr="00180522" w:rsidRDefault="006A46AE" w:rsidP="006A46AE">
      <w:pPr>
        <w:rPr>
          <w:lang w:val="en-GB"/>
        </w:rPr>
      </w:pPr>
      <w:r w:rsidRPr="00180522">
        <w:rPr>
          <w:lang w:val="en-GB"/>
        </w:rPr>
        <w:t xml:space="preserve">The model described in this Recommendation is consistent when switching from one bandwidth to another and independent of the listening situation (handset, headset, hands-free …) with regards to producing a constant perceived loudness. </w:t>
      </w:r>
    </w:p>
    <w:p w14:paraId="44CD7D6F" w14:textId="77777777" w:rsidR="006A46AE" w:rsidRPr="00180522" w:rsidRDefault="006A46AE" w:rsidP="006A46AE">
      <w:pPr>
        <w:rPr>
          <w:lang w:val="en-GB"/>
        </w:rPr>
      </w:pPr>
      <w:r w:rsidRPr="00180522">
        <w:rPr>
          <w:lang w:val="en-GB"/>
        </w:rPr>
        <w:t>Compered to loudness rating models, like the one presented in Recommendation ITU-T P.79, the present method predicts the absolute loudness, considers auditory masking and is applicable to a wide range of acoustic levels.</w:t>
      </w:r>
    </w:p>
    <w:p w14:paraId="1A51DE7F" w14:textId="77777777" w:rsidR="006A46AE" w:rsidRPr="00180522" w:rsidRDefault="006A46AE" w:rsidP="006A46AE">
      <w:pPr>
        <w:rPr>
          <w:lang w:val="en-GB"/>
        </w:rPr>
      </w:pPr>
      <w:r w:rsidRPr="00180522">
        <w:rPr>
          <w:lang w:val="en-GB"/>
        </w:rPr>
        <w:t>This Recommendation incorporates a number of annexes that hold test vectors for validation of loudness model implementations as well as of the descriptions and results of the loudness experiments that form the basis for this Recommendation.</w:t>
      </w:r>
    </w:p>
    <w:p w14:paraId="51D17970" w14:textId="77777777" w:rsidR="006A46AE" w:rsidRPr="00180522" w:rsidRDefault="006A46AE" w:rsidP="006A46AE">
      <w:pPr>
        <w:rPr>
          <w:lang w:val="en-GB"/>
        </w:rPr>
      </w:pPr>
      <w:r w:rsidRPr="00180522">
        <w:rPr>
          <w:b/>
          <w:bCs/>
          <w:lang w:val="en-GB"/>
        </w:rPr>
        <w:t>ITU-T P.811 "Subjective test methodology for evaluating Speech oriented stereo communication systems over headphones"</w:t>
      </w:r>
      <w:r w:rsidRPr="00180522">
        <w:rPr>
          <w:lang w:val="en-GB"/>
        </w:rPr>
        <w:t xml:space="preserve"> describes a methodology for evaluating the subjective quality of signal and spatial localization in stereo telecommunication systems. The methodology assesses the quality of the stereo transmission chain using separate subjective rating scales to independently estimate the subjective quality of a Signal, the Spatial Localization, and the Overall Quality.</w:t>
      </w:r>
    </w:p>
    <w:p w14:paraId="6C2CAC94" w14:textId="77777777" w:rsidR="006A46AE" w:rsidRPr="00180522" w:rsidRDefault="006A46AE" w:rsidP="006A46AE">
      <w:pPr>
        <w:rPr>
          <w:lang w:val="en-GB"/>
        </w:rPr>
      </w:pPr>
      <w:r w:rsidRPr="00180522">
        <w:rPr>
          <w:b/>
          <w:lang w:val="en-GB"/>
        </w:rPr>
        <w:t>ITU-T P.863.1 (revised) "Application guide for Recommendation ITU-T P.863"</w:t>
      </w:r>
      <w:r w:rsidRPr="00180522">
        <w:rPr>
          <w:lang w:val="en-GB"/>
        </w:rPr>
        <w:t xml:space="preserve"> provides important remarks that should be taken into account in the objective quality evaluation of speech conforming to Recommendation ITU-T P.863. Users of ITU-T P.863 should understand and follow the guidance given in this Recommendation.</w:t>
      </w:r>
    </w:p>
    <w:p w14:paraId="08E5A361" w14:textId="77777777" w:rsidR="006A46AE" w:rsidRPr="00180522" w:rsidRDefault="006A46AE" w:rsidP="006A46AE">
      <w:pPr>
        <w:rPr>
          <w:lang w:val="en-GB"/>
        </w:rPr>
      </w:pPr>
      <w:r w:rsidRPr="00180522">
        <w:rPr>
          <w:lang w:val="en-GB"/>
        </w:rPr>
        <w:t>This Recommendation is a supplementary guide for users of Recommendation ITU-T P.863, which describes a means of estimating listening speech quality by using reference and degraded speech samples. The scope of Recommendation ITU-T P.863 is clearly defined in itself. This Recommendation does not extend or narrow that scope; rather, it provides necessary and important information for obtaining stable, reliable and meaningful objective measurement results in practice.</w:t>
      </w:r>
    </w:p>
    <w:p w14:paraId="6CB96C38" w14:textId="77777777" w:rsidR="006A46AE" w:rsidRPr="00180522" w:rsidRDefault="006A46AE" w:rsidP="006A46AE">
      <w:pPr>
        <w:rPr>
          <w:lang w:val="en-GB"/>
        </w:rPr>
      </w:pPr>
      <w:r w:rsidRPr="00180522">
        <w:rPr>
          <w:b/>
          <w:bCs/>
          <w:lang w:val="en-GB"/>
        </w:rPr>
        <w:t>ITU-T P.917 "Subjective test methodology for assessing impact of initial loading delay on user experience"</w:t>
      </w:r>
      <w:r w:rsidRPr="00180522">
        <w:rPr>
          <w:lang w:val="en-GB"/>
        </w:rPr>
        <w:t xml:space="preserve"> defines a procedure for conducting </w:t>
      </w:r>
      <w:proofErr w:type="spellStart"/>
      <w:r w:rsidRPr="00180522">
        <w:rPr>
          <w:lang w:val="en-GB"/>
        </w:rPr>
        <w:t>behavioral</w:t>
      </w:r>
      <w:proofErr w:type="spellEnd"/>
      <w:r w:rsidRPr="00180522">
        <w:rPr>
          <w:lang w:val="en-GB"/>
        </w:rPr>
        <w:t xml:space="preserve"> studies targeted at investigating video streaming performance and its relation to users' Quality of Experience. The studies are to be conducted in controlled environments. Subjects are exposed to different initial loading delay conditions and other quality degradations typical for video streaming, and may be asked to rate </w:t>
      </w:r>
      <w:proofErr w:type="spellStart"/>
      <w:r w:rsidRPr="00180522">
        <w:rPr>
          <w:lang w:val="en-GB"/>
        </w:rPr>
        <w:lastRenderedPageBreak/>
        <w:t>audiovisual</w:t>
      </w:r>
      <w:proofErr w:type="spellEnd"/>
      <w:r w:rsidRPr="00180522">
        <w:rPr>
          <w:lang w:val="en-GB"/>
        </w:rPr>
        <w:t xml:space="preserve"> quality or their experience. Additionally, their </w:t>
      </w:r>
      <w:proofErr w:type="spellStart"/>
      <w:r w:rsidRPr="00180522">
        <w:rPr>
          <w:lang w:val="en-GB"/>
        </w:rPr>
        <w:t>behavior</w:t>
      </w:r>
      <w:proofErr w:type="spellEnd"/>
      <w:r w:rsidRPr="00180522">
        <w:rPr>
          <w:lang w:val="en-GB"/>
        </w:rPr>
        <w:t xml:space="preserve"> as a response to long loading times (i.e., aborting the video playback during its loading phase) may be investigated.</w:t>
      </w:r>
    </w:p>
    <w:p w14:paraId="20799216" w14:textId="77777777" w:rsidR="006A46AE" w:rsidRPr="00180522" w:rsidRDefault="006A46AE" w:rsidP="006A46AE">
      <w:pPr>
        <w:rPr>
          <w:lang w:val="en-GB"/>
        </w:rPr>
      </w:pPr>
      <w:r w:rsidRPr="00180522">
        <w:rPr>
          <w:b/>
          <w:lang w:val="en-GB"/>
        </w:rPr>
        <w:t>ITU-T P.1100 (revised) "Narrowband hands-free communication in motor vehicles"</w:t>
      </w:r>
      <w:r w:rsidRPr="00180522">
        <w:rPr>
          <w:lang w:val="en-GB"/>
        </w:rPr>
        <w:t xml:space="preserve"> describes performance requirements and test methods for narrowband hands-free communication in vehicles. This Recommendation covers:</w:t>
      </w:r>
    </w:p>
    <w:p w14:paraId="72E625A3" w14:textId="77777777" w:rsidR="006A46AE" w:rsidRPr="00180522" w:rsidRDefault="006A46AE" w:rsidP="006A46AE">
      <w:pPr>
        <w:rPr>
          <w:lang w:val="en-GB"/>
        </w:rPr>
      </w:pPr>
      <w:r w:rsidRPr="00180522">
        <w:rPr>
          <w:lang w:val="en-GB"/>
        </w:rPr>
        <w:t>–</w:t>
      </w:r>
      <w:r w:rsidRPr="00180522">
        <w:rPr>
          <w:lang w:val="en-GB"/>
        </w:rPr>
        <w:tab/>
        <w:t>built-in hands-free systems,</w:t>
      </w:r>
    </w:p>
    <w:p w14:paraId="023EE1A5" w14:textId="77777777" w:rsidR="006A46AE" w:rsidRPr="00180522" w:rsidRDefault="006A46AE" w:rsidP="006A46AE">
      <w:pPr>
        <w:rPr>
          <w:lang w:val="en-GB"/>
        </w:rPr>
      </w:pPr>
      <w:r w:rsidRPr="00180522">
        <w:rPr>
          <w:lang w:val="en-GB"/>
        </w:rPr>
        <w:t>–</w:t>
      </w:r>
      <w:r w:rsidRPr="00180522">
        <w:rPr>
          <w:lang w:val="en-GB"/>
        </w:rPr>
        <w:tab/>
        <w:t>after-market hands-free car kits,</w:t>
      </w:r>
    </w:p>
    <w:p w14:paraId="41631B22" w14:textId="77777777" w:rsidR="006A46AE" w:rsidRPr="00180522" w:rsidRDefault="006A46AE" w:rsidP="006A46AE">
      <w:pPr>
        <w:rPr>
          <w:lang w:val="en-GB"/>
        </w:rPr>
      </w:pPr>
      <w:r w:rsidRPr="00180522">
        <w:rPr>
          <w:lang w:val="en-GB"/>
        </w:rPr>
        <w:t>–</w:t>
      </w:r>
      <w:r w:rsidRPr="00180522">
        <w:rPr>
          <w:lang w:val="en-GB"/>
        </w:rPr>
        <w:tab/>
        <w:t>corded headsets, and</w:t>
      </w:r>
    </w:p>
    <w:p w14:paraId="1214B6EE" w14:textId="77777777" w:rsidR="006A46AE" w:rsidRPr="00180522" w:rsidRDefault="006A46AE" w:rsidP="006A46AE">
      <w:pPr>
        <w:rPr>
          <w:lang w:val="en-GB"/>
        </w:rPr>
      </w:pPr>
      <w:r w:rsidRPr="00180522">
        <w:rPr>
          <w:lang w:val="en-GB"/>
        </w:rPr>
        <w:t>–</w:t>
      </w:r>
      <w:r w:rsidRPr="00180522">
        <w:rPr>
          <w:lang w:val="en-GB"/>
        </w:rPr>
        <w:tab/>
        <w:t>wireless headsets,</w:t>
      </w:r>
    </w:p>
    <w:p w14:paraId="3FBA8F32" w14:textId="77777777" w:rsidR="006A46AE" w:rsidRPr="00180522" w:rsidRDefault="006A46AE" w:rsidP="006A46AE">
      <w:pPr>
        <w:rPr>
          <w:lang w:val="en-GB"/>
        </w:rPr>
      </w:pPr>
      <w:r w:rsidRPr="00180522">
        <w:rPr>
          <w:lang w:val="en-GB"/>
        </w:rPr>
        <w:t>to be used in vehicles for communication while driving.</w:t>
      </w:r>
    </w:p>
    <w:p w14:paraId="7314369F" w14:textId="77777777" w:rsidR="006A46AE" w:rsidRPr="00180522" w:rsidRDefault="006A46AE" w:rsidP="006A46AE">
      <w:pPr>
        <w:rPr>
          <w:lang w:val="en-GB"/>
        </w:rPr>
      </w:pPr>
      <w:r w:rsidRPr="00180522">
        <w:rPr>
          <w:lang w:val="en-GB"/>
        </w:rPr>
        <w:t>This Recommendation addresses the test of complete systems, as well as the subsystems of hands-free microphones and telephones with short-range wireless transmission links used to interconnect the hands-free system to the mobile network. For testing, the test set-up and the recommended environmental conditions are described. The methods, analysis and performance parameters described in this Recommendation are based on test signals and test procedures defined in Recommendations ITU-T P.501, ITU-T P.502, ITU-T P.340 and ITU-T P.380.</w:t>
      </w:r>
    </w:p>
    <w:p w14:paraId="69805A36" w14:textId="77777777" w:rsidR="006A46AE" w:rsidRPr="00180522" w:rsidRDefault="006A46AE" w:rsidP="006A46AE">
      <w:pPr>
        <w:rPr>
          <w:lang w:val="en-GB"/>
        </w:rPr>
      </w:pPr>
      <w:r w:rsidRPr="00180522">
        <w:rPr>
          <w:b/>
          <w:lang w:val="en-GB"/>
        </w:rPr>
        <w:t xml:space="preserve">ITU-T P.1203.1 (revised) "Parametric </w:t>
      </w:r>
      <w:proofErr w:type="spellStart"/>
      <w:r w:rsidRPr="00180522">
        <w:rPr>
          <w:b/>
          <w:lang w:val="en-GB"/>
        </w:rPr>
        <w:t>bitstream</w:t>
      </w:r>
      <w:proofErr w:type="spellEnd"/>
      <w:r w:rsidRPr="00180522">
        <w:rPr>
          <w:b/>
          <w:lang w:val="en-GB"/>
        </w:rPr>
        <w:t xml:space="preserve">-based quality assessment of progressive download and adaptive </w:t>
      </w:r>
      <w:proofErr w:type="spellStart"/>
      <w:r w:rsidRPr="00180522">
        <w:rPr>
          <w:b/>
          <w:lang w:val="en-GB"/>
        </w:rPr>
        <w:t>audiovisual</w:t>
      </w:r>
      <w:proofErr w:type="spellEnd"/>
      <w:r w:rsidRPr="00180522">
        <w:rPr>
          <w:b/>
          <w:lang w:val="en-GB"/>
        </w:rPr>
        <w:t xml:space="preserve"> streaming services over reliable transport - Video quality estimation module"</w:t>
      </w:r>
      <w:r w:rsidRPr="00180522">
        <w:rPr>
          <w:lang w:val="en-GB"/>
        </w:rPr>
        <w:t xml:space="preserve"> specifies the short-term video representation quality estimation modules for ITU-T P.1203 (</w:t>
      </w:r>
      <w:proofErr w:type="spellStart"/>
      <w:r w:rsidRPr="00180522">
        <w:rPr>
          <w:lang w:val="en-GB"/>
        </w:rPr>
        <w:t>Pv</w:t>
      </w:r>
      <w:proofErr w:type="spellEnd"/>
      <w:r w:rsidRPr="00180522">
        <w:rPr>
          <w:lang w:val="en-GB"/>
        </w:rPr>
        <w:t xml:space="preserve"> module). The ITU-T P.1203-series of Recommendations specifies modules for a set of model algorithms for monitoring the integral media session quality for transport control protocol (TCP) type video streaming. The models comprise modules for short-term video-quality (described in this part of the Recommendation family) and audio-quality estimation. The per-one-second outputs of these short-term modules are integrated into estimates of audio-visual quality and together with information about initial loading delay and media playout stalling events, they are further integrated into the final model output, to provide an estimate of integral quality. The respective ITU-T work item has formerly been referred to as "Parametric non-intrusive assessment of TCP-based multimedia streaming quality", or "P.NATS". The ITU-T P.1203.1 part of ITU-T P.1203 provides details for the modules for </w:t>
      </w:r>
      <w:proofErr w:type="spellStart"/>
      <w:r w:rsidRPr="00180522">
        <w:rPr>
          <w:lang w:val="en-GB"/>
        </w:rPr>
        <w:t>bitstream</w:t>
      </w:r>
      <w:proofErr w:type="spellEnd"/>
      <w:r w:rsidRPr="00180522">
        <w:rPr>
          <w:lang w:val="en-GB"/>
        </w:rPr>
        <w:t xml:space="preserve">-based, short-term video quality estimation. </w:t>
      </w:r>
    </w:p>
    <w:p w14:paraId="7C11AB8C" w14:textId="77777777" w:rsidR="006A46AE" w:rsidRPr="00180522" w:rsidRDefault="006A46AE" w:rsidP="006A46AE">
      <w:pPr>
        <w:rPr>
          <w:lang w:val="en-GB"/>
        </w:rPr>
      </w:pPr>
      <w:r w:rsidRPr="00180522">
        <w:rPr>
          <w:lang w:val="en-GB"/>
        </w:rPr>
        <w:t xml:space="preserve">Four different modes can be used for the </w:t>
      </w:r>
      <w:proofErr w:type="spellStart"/>
      <w:r w:rsidRPr="00180522">
        <w:rPr>
          <w:lang w:val="en-GB"/>
        </w:rPr>
        <w:t>Pv</w:t>
      </w:r>
      <w:proofErr w:type="spellEnd"/>
      <w:r w:rsidRPr="00180522">
        <w:rPr>
          <w:lang w:val="en-GB"/>
        </w:rPr>
        <w:t xml:space="preserve"> module specified in this Recommendation. These modes – referred to as mode 0 to 3 – use input information of differing complexity and amount and represent four model algorithms each with a different level of complexity. The </w:t>
      </w:r>
      <w:proofErr w:type="spellStart"/>
      <w:r w:rsidRPr="00180522">
        <w:rPr>
          <w:lang w:val="en-GB"/>
        </w:rPr>
        <w:t>Pv</w:t>
      </w:r>
      <w:proofErr w:type="spellEnd"/>
      <w:r w:rsidRPr="00180522">
        <w:rPr>
          <w:lang w:val="en-GB"/>
        </w:rPr>
        <w:t xml:space="preserve"> modules comprise components reflecting the effects due to video compression, up-scaling of content and the effect due to low frame rates. The four different modes use the same overall model architecture and individual coefficients and all have the same components for up-scaling and framerate. The only </w:t>
      </w:r>
      <w:proofErr w:type="spellStart"/>
      <w:r w:rsidRPr="00180522">
        <w:rPr>
          <w:lang w:val="en-GB"/>
        </w:rPr>
        <w:t>Pv</w:t>
      </w:r>
      <w:proofErr w:type="spellEnd"/>
      <w:r w:rsidRPr="00180522">
        <w:rPr>
          <w:lang w:val="en-GB"/>
        </w:rPr>
        <w:t xml:space="preserve"> module component that differs between modes is the </w:t>
      </w:r>
      <w:proofErr w:type="spellStart"/>
      <w:r w:rsidRPr="00180522">
        <w:rPr>
          <w:lang w:val="en-GB"/>
        </w:rPr>
        <w:t>Pv</w:t>
      </w:r>
      <w:proofErr w:type="spellEnd"/>
      <w:r w:rsidRPr="00180522">
        <w:rPr>
          <w:lang w:val="en-GB"/>
        </w:rPr>
        <w:t xml:space="preserve"> module component related to video compression. </w:t>
      </w:r>
    </w:p>
    <w:p w14:paraId="4CEF0335" w14:textId="77777777" w:rsidR="006A46AE" w:rsidRPr="00180522" w:rsidRDefault="006A46AE" w:rsidP="006A46AE">
      <w:pPr>
        <w:rPr>
          <w:lang w:val="en-GB"/>
        </w:rPr>
      </w:pPr>
      <w:r w:rsidRPr="00180522">
        <w:rPr>
          <w:lang w:val="en-GB"/>
        </w:rPr>
        <w:t>This revision to Recommendation ITU-T P.1203.1 (10/2007) replaces the scale factor defined in clause 8.</w:t>
      </w:r>
    </w:p>
    <w:p w14:paraId="085AF115" w14:textId="77777777" w:rsidR="006A46AE" w:rsidRPr="00180522" w:rsidRDefault="006A46AE" w:rsidP="006A46AE">
      <w:pPr>
        <w:rPr>
          <w:lang w:val="en-GB"/>
        </w:rPr>
      </w:pPr>
      <w:r w:rsidRPr="00180522">
        <w:rPr>
          <w:b/>
          <w:lang w:val="en-GB"/>
        </w:rPr>
        <w:t xml:space="preserve">ITU-T P.1203.3 (revised) "Parametric </w:t>
      </w:r>
      <w:proofErr w:type="spellStart"/>
      <w:r w:rsidRPr="00180522">
        <w:rPr>
          <w:b/>
          <w:lang w:val="en-GB"/>
        </w:rPr>
        <w:t>bitstream</w:t>
      </w:r>
      <w:proofErr w:type="spellEnd"/>
      <w:r w:rsidRPr="00180522">
        <w:rPr>
          <w:b/>
          <w:lang w:val="en-GB"/>
        </w:rPr>
        <w:t xml:space="preserve">-based quality assessment of progressive download and adaptive </w:t>
      </w:r>
      <w:proofErr w:type="spellStart"/>
      <w:r w:rsidRPr="00180522">
        <w:rPr>
          <w:b/>
          <w:lang w:val="en-GB"/>
        </w:rPr>
        <w:t>audiovisual</w:t>
      </w:r>
      <w:proofErr w:type="spellEnd"/>
      <w:r w:rsidRPr="00180522">
        <w:rPr>
          <w:b/>
          <w:lang w:val="en-GB"/>
        </w:rPr>
        <w:t xml:space="preserve"> streaming services over reliable transport - Quality integration module"</w:t>
      </w:r>
      <w:r w:rsidRPr="00180522">
        <w:rPr>
          <w:lang w:val="en-GB"/>
        </w:rPr>
        <w:t xml:space="preserve"> specifies the quality integration module for Recommendation ITU-T P.1203. The ITU-T P.1203 series of ITU-T Recommendations specify modules for monitoring the audio, video and </w:t>
      </w:r>
      <w:proofErr w:type="spellStart"/>
      <w:r w:rsidRPr="00180522">
        <w:rPr>
          <w:lang w:val="en-GB"/>
        </w:rPr>
        <w:t>audiovisual</w:t>
      </w:r>
      <w:proofErr w:type="spellEnd"/>
      <w:r w:rsidRPr="00180522">
        <w:rPr>
          <w:lang w:val="en-GB"/>
        </w:rPr>
        <w:t xml:space="preserve"> quality of video services such as adaptive bit-rate video streaming. The respective ITU-T work item has formerly been referred to as P.NATS (parametric non-intrusive assessment of TCP-based multimedia streaming quality). The ITU-T P.1203.3 part of Recommendation ITU-T P.1203 can be applied to the monitoring of performance and quality of experience (QoE) of video services such as adaptive bit-rate video streaming. Besides stream-based </w:t>
      </w:r>
      <w:r w:rsidRPr="00180522">
        <w:rPr>
          <w:lang w:val="en-GB"/>
        </w:rPr>
        <w:lastRenderedPageBreak/>
        <w:t>input information, the ITU-T P.1203.3 quality integration module takes the per-one-second video- and audio-quality scores calculated according to ITU-T P.1203.1 and ITU-T P.1203.2, respectively, as input.</w:t>
      </w:r>
    </w:p>
    <w:p w14:paraId="23DF6A87" w14:textId="77777777" w:rsidR="006A46AE" w:rsidRPr="00180522" w:rsidRDefault="006A46AE" w:rsidP="006A46AE">
      <w:pPr>
        <w:rPr>
          <w:lang w:val="en-GB"/>
        </w:rPr>
      </w:pPr>
      <w:r w:rsidRPr="00180522">
        <w:rPr>
          <w:lang w:val="en-GB"/>
        </w:rPr>
        <w:t>Only one quality integration module is recommended for all four modes 0 to 3 of the Recommendation ITU-T P.1203 model series, unique across all modes. This Recommendation includes an electronic attachment containing the 20 trees described in clause 8.4. This revision to Recommendation ITU-T P.1203.3 (10/2007) replaces equation (20) in clause 8.3.</w:t>
      </w:r>
    </w:p>
    <w:p w14:paraId="4D0683DA" w14:textId="77777777" w:rsidR="006A46AE" w:rsidRPr="00180522" w:rsidRDefault="006A46AE" w:rsidP="006A46AE">
      <w:pPr>
        <w:rPr>
          <w:lang w:val="en-GB"/>
        </w:rPr>
      </w:pPr>
      <w:r w:rsidRPr="00180522">
        <w:rPr>
          <w:b/>
          <w:lang w:val="en-GB"/>
        </w:rPr>
        <w:t>ITU-T Y.1540 (revised) "Internet protocol data communication service - IP packet transfer and availability performance parameters"</w:t>
      </w:r>
      <w:r w:rsidRPr="00180522">
        <w:rPr>
          <w:lang w:val="en-GB"/>
        </w:rPr>
        <w:t xml:space="preserve"> defines parameters that may be used in specifying and assessing the performance of speed, accuracy, dependability and availability of IP packet transfer of regional and international Internet protocol (IP) data communication services. The defined parameters apply to end-to-end, point-to-point IP service and to the network portions that provide, or contribute to the provision of, such service in accordance with the normative references specified in clause 2. Connectionless transport is a distinguishing aspect of the IP service that is considered in this Recommendation.</w:t>
      </w:r>
    </w:p>
    <w:p w14:paraId="0DFD0EA0" w14:textId="77777777" w:rsidR="006A46AE" w:rsidRPr="00180522" w:rsidRDefault="006A46AE" w:rsidP="006A46AE">
      <w:pPr>
        <w:rPr>
          <w:lang w:val="en-GB"/>
        </w:rPr>
      </w:pPr>
      <w:r w:rsidRPr="00180522">
        <w:rPr>
          <w:lang w:val="en-GB"/>
        </w:rPr>
        <w:t>Following over 20 years as an in-force Recommendation, the 2019 Edition recognizes many changes in the design of IP services and in the protocols employed by end-users. It introduces the new Annex A that defines IP Capacity parameters in ways that cater toward assessment, and provides requirements for methods of measurement of IP Capacity. This new Annex is the result of years of study, and application of ITU-T Study Group 12 principles of accurately evaluating performance parameters and methods of measurement against a "ground truth" reference in laboratory and field measurements.</w:t>
      </w:r>
    </w:p>
    <w:p w14:paraId="4026CE17" w14:textId="77777777" w:rsidR="006A46AE" w:rsidRPr="00180522" w:rsidRDefault="006A46AE" w:rsidP="006A46AE">
      <w:pPr>
        <w:rPr>
          <w:highlight w:val="yellow"/>
          <w:lang w:val="en-GB"/>
        </w:rPr>
      </w:pPr>
      <w:r w:rsidRPr="00180522">
        <w:rPr>
          <w:b/>
          <w:bCs/>
          <w:lang w:val="en-GB"/>
        </w:rPr>
        <w:t>ITU-T Y.1550 "Considerations for Realizing Virtual Measurement Systems"</w:t>
      </w:r>
      <w:r w:rsidRPr="00180522">
        <w:rPr>
          <w:lang w:val="en-GB"/>
        </w:rPr>
        <w:t xml:space="preserve"> makes recommendations in key areas such as On-Demand Deployment and Accuracy Considerations. Development of virtualized measurement systems in areas highly relevant to SG12 work are in the early stages, so this Recommendation is timely.</w:t>
      </w:r>
    </w:p>
    <w:p w14:paraId="2BBD2A83" w14:textId="77777777" w:rsidR="006A46AE" w:rsidRPr="00180522" w:rsidRDefault="006A46AE" w:rsidP="006A46AE">
      <w:pPr>
        <w:pStyle w:val="Headingb"/>
      </w:pPr>
      <w:r w:rsidRPr="00180522">
        <w:t>I.3.6</w:t>
      </w:r>
      <w:r w:rsidRPr="00180522">
        <w:tab/>
        <w:t>New services and applications</w:t>
      </w:r>
      <w:bookmarkEnd w:id="232"/>
    </w:p>
    <w:p w14:paraId="1314BB7C" w14:textId="77777777" w:rsidR="006A46AE" w:rsidRPr="00180522" w:rsidRDefault="006A46AE" w:rsidP="006A46AE">
      <w:pPr>
        <w:rPr>
          <w:lang w:val="en-GB"/>
        </w:rPr>
      </w:pPr>
      <w:r w:rsidRPr="00180522">
        <w:rPr>
          <w:b/>
          <w:lang w:val="en-GB"/>
        </w:rPr>
        <w:t>ITU-T F.743.7 "Requirements for big data enhanced visual surveillance services"</w:t>
      </w:r>
      <w:r w:rsidRPr="00180522">
        <w:rPr>
          <w:lang w:val="en-GB"/>
        </w:rPr>
        <w:t xml:space="preserve"> defines requirements for big data enhanced visual surveillance service. It promotes the value of visual surveillance service by using big data analytics method and tools. Massive data of video, event and sensing are analysed to support enhanced visual surveillance service including video retrieval, event detection and status prediction.</w:t>
      </w:r>
    </w:p>
    <w:p w14:paraId="1D6939FF" w14:textId="77777777" w:rsidR="006A46AE" w:rsidRPr="00180522" w:rsidRDefault="006A46AE" w:rsidP="006A46AE">
      <w:pPr>
        <w:rPr>
          <w:lang w:val="en-GB"/>
        </w:rPr>
      </w:pPr>
      <w:r w:rsidRPr="00180522">
        <w:rPr>
          <w:lang w:val="en-GB"/>
        </w:rPr>
        <w:t>This Recommendation provides application scenarios, service requirements, functional requirements, performance and security requirements for big data enhanced visual surveillance service.</w:t>
      </w:r>
    </w:p>
    <w:p w14:paraId="68E2BD15" w14:textId="77777777" w:rsidR="006A46AE" w:rsidRPr="00180522" w:rsidRDefault="006A46AE" w:rsidP="006A46AE">
      <w:pPr>
        <w:rPr>
          <w:lang w:val="en-GB"/>
        </w:rPr>
      </w:pPr>
      <w:r w:rsidRPr="00180522">
        <w:rPr>
          <w:b/>
          <w:bCs/>
          <w:lang w:val="en-GB"/>
        </w:rPr>
        <w:t>ITU-T F.743.8 "Requirements for cloud computing platform supporting a visual surveillance system"</w:t>
      </w:r>
      <w:r w:rsidRPr="00180522">
        <w:rPr>
          <w:lang w:val="en-GB"/>
        </w:rPr>
        <w:t xml:space="preserve"> defines the requirements for cloud computing platform supporting visual surveillance system. Cloud computing is an emerging technology aimed at providing various computing services over the Internet. With the virtualization technology, cloud computing platform realizes a ubiquitous and flexible shared resources pool which can be rapidly provisioned and released with minimal management effort or service-provider interaction based on the needs of users. By using the cloud computing technology, the visual surveillance system can conveniently manage various functional components and services, such as video distribution, video transcoding, and intelligent video processing. This Recommendation provides the application scenarios and the requirements for cloud computing platform supporting visual surveillance system.</w:t>
      </w:r>
    </w:p>
    <w:p w14:paraId="5D7CB97A" w14:textId="77777777" w:rsidR="006A46AE" w:rsidRPr="00180522" w:rsidRDefault="006A46AE" w:rsidP="006A46AE">
      <w:pPr>
        <w:rPr>
          <w:lang w:val="en-GB"/>
        </w:rPr>
      </w:pPr>
      <w:r w:rsidRPr="00180522">
        <w:rPr>
          <w:b/>
          <w:lang w:val="en-GB"/>
        </w:rPr>
        <w:t>ITU-T F.743.9 "Use-cases and requirements for multimedia CDN"</w:t>
      </w:r>
      <w:r w:rsidRPr="00180522">
        <w:rPr>
          <w:lang w:val="en-GB"/>
        </w:rPr>
        <w:t xml:space="preserve"> illustrates content delivery network, and defines the use cases for multimedia CDN in two categories: content delivery and capability use cases, as well as the requirements for CDN.</w:t>
      </w:r>
    </w:p>
    <w:p w14:paraId="14E457E9" w14:textId="77777777" w:rsidR="006A46AE" w:rsidRPr="00180522" w:rsidRDefault="006A46AE" w:rsidP="006A46AE">
      <w:pPr>
        <w:rPr>
          <w:highlight w:val="yellow"/>
          <w:lang w:val="en-GB"/>
        </w:rPr>
      </w:pPr>
      <w:r w:rsidRPr="00180522">
        <w:rPr>
          <w:lang w:val="en-GB"/>
        </w:rPr>
        <w:lastRenderedPageBreak/>
        <w:t>This Recommendation is intended to give the references for CDN providers and the customers of CDN when they build the infrastructures of a CDN or choose to use a CDN.</w:t>
      </w:r>
    </w:p>
    <w:p w14:paraId="170D5047" w14:textId="77777777" w:rsidR="006A46AE" w:rsidRPr="00180522" w:rsidRDefault="006A46AE" w:rsidP="006A46AE">
      <w:pPr>
        <w:rPr>
          <w:lang w:val="en-GB"/>
        </w:rPr>
      </w:pPr>
      <w:r w:rsidRPr="00180522">
        <w:rPr>
          <w:b/>
          <w:bCs/>
          <w:lang w:val="en-GB"/>
        </w:rPr>
        <w:t>ITU-T F.746.9 "Requirements and architecture for indoor conversational robot system"</w:t>
      </w:r>
      <w:r w:rsidRPr="00180522">
        <w:rPr>
          <w:lang w:val="en-GB"/>
        </w:rPr>
        <w:t xml:space="preserve"> defines requirements and architecture for in-door conversational robot system. In-door conversational robot system is one of the Artificial Intelligence applications equipped with speech interface that enables users to have a dialog with the robot. This recommendation defines requirements, architecture and functions for in-door conversational robot system. The scope of this Recommendation is focused on architecture, terminals, servers, and interfaces among modules. This Recommendation will allow users of the in-door conversational robot system to be able to experience convenient information services in various areas with user-friendly speech-dialog interfaces.</w:t>
      </w:r>
    </w:p>
    <w:p w14:paraId="74CD63F8" w14:textId="77777777" w:rsidR="006A46AE" w:rsidRPr="00180522" w:rsidRDefault="006A46AE" w:rsidP="006A46AE">
      <w:pPr>
        <w:rPr>
          <w:highlight w:val="yellow"/>
          <w:lang w:val="en-GB"/>
        </w:rPr>
      </w:pPr>
      <w:r w:rsidRPr="00180522">
        <w:rPr>
          <w:b/>
          <w:bCs/>
          <w:lang w:val="en-GB"/>
        </w:rPr>
        <w:t>ITU-T F.749.10 "Requirements for communication service of civilian unmanned aerial vehicle"</w:t>
      </w:r>
      <w:r w:rsidRPr="00180522">
        <w:rPr>
          <w:lang w:val="en-GB"/>
        </w:rPr>
        <w:t xml:space="preserve"> specifies requirements for communication services of civilian unmanned aerial vehicle (CUAV), including general communication service framework, communication system requirements, requirements for flight control communication and flight data transport, and requirements for mission payload communication service (such as audio / video / images transport, sensor data transport and communication signal relay). Use cases are presented in industry and consumer application areas such as agriculture and plant protection, power line and petroleum pipeline inspection, police &amp; traffic security surveillance, natural disaster monitoring, aerial photography &amp; video, logistics express delivery, meteorological, resource and science research, etc. This Recommendation provides communication service requirements behind all kinds of CUAV applications.</w:t>
      </w:r>
    </w:p>
    <w:p w14:paraId="0681196F" w14:textId="77777777" w:rsidR="006A46AE" w:rsidRPr="00180522" w:rsidRDefault="006A46AE" w:rsidP="006A46AE">
      <w:pPr>
        <w:pStyle w:val="Headingb"/>
      </w:pPr>
      <w:r w:rsidRPr="00180522">
        <w:t>I.4.1</w:t>
      </w:r>
      <w:r w:rsidRPr="00180522">
        <w:tab/>
        <w:t>Internet of Things and Smart City</w:t>
      </w:r>
    </w:p>
    <w:p w14:paraId="21B96003" w14:textId="77777777" w:rsidR="006A46AE" w:rsidRPr="00180522" w:rsidRDefault="006A46AE" w:rsidP="006A46AE">
      <w:pPr>
        <w:rPr>
          <w:lang w:val="en-GB"/>
        </w:rPr>
      </w:pPr>
      <w:r w:rsidRPr="00180522">
        <w:rPr>
          <w:b/>
          <w:bCs/>
          <w:lang w:val="en-GB"/>
        </w:rPr>
        <w:t xml:space="preserve">ITU-T Y.4051 "Vocabulary for smart cities and communities" </w:t>
      </w:r>
      <w:r w:rsidRPr="00180522">
        <w:rPr>
          <w:lang w:val="en-GB"/>
        </w:rPr>
        <w:t>contains vocabulary applied to smart cities and communities (SC&amp;C) works. Basically, the terms and definitions in this vocabulary are defined in published Recommendations and Supplements of ITU and published standards of other international SDOs (such as ISO and IEC, etc.). Additionally, this vocabulary also includes some new terms and definitions to meet the needs of SC&amp;C works of ITU.</w:t>
      </w:r>
    </w:p>
    <w:p w14:paraId="5FA51EC4" w14:textId="77777777" w:rsidR="006A46AE" w:rsidRPr="00180522" w:rsidRDefault="006A46AE" w:rsidP="006A46AE">
      <w:pPr>
        <w:rPr>
          <w:lang w:val="en-GB"/>
        </w:rPr>
      </w:pPr>
      <w:r w:rsidRPr="00180522">
        <w:rPr>
          <w:b/>
          <w:bCs/>
          <w:lang w:val="en-GB"/>
        </w:rPr>
        <w:t>ITU-T Y.4202 "Framework of wireless power transmission application service"</w:t>
      </w:r>
      <w:r w:rsidRPr="00180522">
        <w:rPr>
          <w:lang w:val="en-GB"/>
        </w:rPr>
        <w:t xml:space="preserve"> defines a framework for Wireless Power Transmission (WPT) application service by describing concept, functional model, requirements, basic service flows and use cases.</w:t>
      </w:r>
    </w:p>
    <w:p w14:paraId="5C9A3093" w14:textId="77777777" w:rsidR="006A46AE" w:rsidRPr="00180522" w:rsidRDefault="006A46AE" w:rsidP="006A46AE">
      <w:pPr>
        <w:rPr>
          <w:lang w:val="en-GB"/>
        </w:rPr>
      </w:pPr>
      <w:r w:rsidRPr="00180522">
        <w:rPr>
          <w:b/>
          <w:lang w:val="en-GB"/>
        </w:rPr>
        <w:t>ITU-T Y.4203 "Requirements of things description in the Internet of things"</w:t>
      </w:r>
      <w:r w:rsidRPr="00180522">
        <w:rPr>
          <w:lang w:val="en-GB"/>
        </w:rPr>
        <w:t xml:space="preserve"> specifies requirements for an effective way of representing things as far as possible in a homogeneous way. The focus of the document is on the following two concerns of things description.</w:t>
      </w:r>
    </w:p>
    <w:p w14:paraId="22465C68" w14:textId="77777777" w:rsidR="006A46AE" w:rsidRPr="00180522" w:rsidRDefault="006A46AE" w:rsidP="006A46AE">
      <w:pPr>
        <w:rPr>
          <w:lang w:val="en-GB"/>
        </w:rPr>
      </w:pPr>
      <w:r w:rsidRPr="00180522">
        <w:rPr>
          <w:lang w:val="en-GB"/>
        </w:rPr>
        <w:t>•</w:t>
      </w:r>
      <w:r w:rsidRPr="00180522">
        <w:rPr>
          <w:lang w:val="en-GB"/>
        </w:rPr>
        <w:tab/>
        <w:t>Representing physical things as virtual things to map the physical things into information world;</w:t>
      </w:r>
    </w:p>
    <w:p w14:paraId="0053D5EE" w14:textId="77777777" w:rsidR="006A46AE" w:rsidRPr="00180522" w:rsidRDefault="006A46AE" w:rsidP="006A46AE">
      <w:pPr>
        <w:rPr>
          <w:lang w:val="en-GB"/>
        </w:rPr>
      </w:pPr>
      <w:r w:rsidRPr="00180522">
        <w:rPr>
          <w:lang w:val="en-GB"/>
        </w:rPr>
        <w:t>•</w:t>
      </w:r>
      <w:r w:rsidRPr="00180522">
        <w:rPr>
          <w:lang w:val="en-GB"/>
        </w:rPr>
        <w:tab/>
        <w:t>Representing the relationship of virtual things to reflect the relationship of the represented physical things</w:t>
      </w:r>
    </w:p>
    <w:p w14:paraId="2B42BE44" w14:textId="77777777" w:rsidR="006A46AE" w:rsidRPr="00180522" w:rsidRDefault="006A46AE" w:rsidP="006A46AE">
      <w:pPr>
        <w:rPr>
          <w:lang w:val="en-GB"/>
        </w:rPr>
      </w:pPr>
      <w:r w:rsidRPr="00180522">
        <w:rPr>
          <w:lang w:val="en-GB"/>
        </w:rPr>
        <w:t>The corresponding requirements of things description in the IoT are specified, including:</w:t>
      </w:r>
    </w:p>
    <w:p w14:paraId="3A89F007" w14:textId="77777777" w:rsidR="006A46AE" w:rsidRPr="00180522" w:rsidRDefault="006A46AE" w:rsidP="006A46AE">
      <w:pPr>
        <w:rPr>
          <w:lang w:val="en-GB"/>
        </w:rPr>
      </w:pPr>
      <w:r w:rsidRPr="00180522">
        <w:rPr>
          <w:lang w:val="en-GB"/>
        </w:rPr>
        <w:t>•</w:t>
      </w:r>
      <w:r w:rsidRPr="00180522">
        <w:rPr>
          <w:lang w:val="en-GB"/>
        </w:rPr>
        <w:tab/>
        <w:t>High level requirements of things description in IoT</w:t>
      </w:r>
    </w:p>
    <w:p w14:paraId="58C9FCAE" w14:textId="77777777" w:rsidR="006A46AE" w:rsidRPr="00180522" w:rsidRDefault="006A46AE" w:rsidP="006A46AE">
      <w:pPr>
        <w:rPr>
          <w:lang w:val="en-GB"/>
        </w:rPr>
      </w:pPr>
      <w:r w:rsidRPr="00180522">
        <w:rPr>
          <w:lang w:val="en-GB"/>
        </w:rPr>
        <w:t>•</w:t>
      </w:r>
      <w:r w:rsidRPr="00180522">
        <w:rPr>
          <w:lang w:val="en-GB"/>
        </w:rPr>
        <w:tab/>
        <w:t>Requirements on the characterization aspects of things description in IoT</w:t>
      </w:r>
    </w:p>
    <w:p w14:paraId="57EF8BA2" w14:textId="77777777" w:rsidR="006A46AE" w:rsidRPr="00180522" w:rsidRDefault="006A46AE" w:rsidP="006A46AE">
      <w:pPr>
        <w:rPr>
          <w:lang w:val="en-GB"/>
        </w:rPr>
      </w:pPr>
      <w:r w:rsidRPr="00180522">
        <w:rPr>
          <w:lang w:val="en-GB"/>
        </w:rPr>
        <w:t>This Recommendation may be relevant for the matters addressed by ITU-T Y.4114 "Specific requirements and capabilities of the Internet of things for big data", e.g. semantic related data processing.</w:t>
      </w:r>
    </w:p>
    <w:p w14:paraId="1BCC9953" w14:textId="77777777" w:rsidR="006A46AE" w:rsidRPr="00180522" w:rsidRDefault="006A46AE" w:rsidP="006A46AE">
      <w:pPr>
        <w:rPr>
          <w:lang w:val="en-GB"/>
        </w:rPr>
      </w:pPr>
      <w:r w:rsidRPr="00180522">
        <w:rPr>
          <w:b/>
          <w:bCs/>
          <w:lang w:val="en-GB"/>
        </w:rPr>
        <w:t>ITU-T Y.4204 "Accessibility requirements for the Internet of things applications and services"</w:t>
      </w:r>
      <w:r w:rsidRPr="00180522">
        <w:rPr>
          <w:lang w:val="en-GB"/>
        </w:rPr>
        <w:t xml:space="preserve"> provides accessibility requirements specific to Internet of Things (IoT) applications and services. Benefits of accessible IoT applications and services are addressed, and accessibility </w:t>
      </w:r>
      <w:r w:rsidRPr="00180522">
        <w:rPr>
          <w:lang w:val="en-GB"/>
        </w:rPr>
        <w:lastRenderedPageBreak/>
        <w:t>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1322C5F8" w14:textId="77777777" w:rsidR="006A46AE" w:rsidRPr="00180522" w:rsidRDefault="006A46AE" w:rsidP="006A46AE">
      <w:pPr>
        <w:rPr>
          <w:lang w:val="en-GB"/>
        </w:rPr>
      </w:pPr>
      <w:r w:rsidRPr="00180522">
        <w:rPr>
          <w:b/>
          <w:lang w:val="en-GB"/>
        </w:rPr>
        <w:t>ITU-T Y.4205 "Requirements and reference model of IoT-related crowdsourced systems"</w:t>
      </w:r>
      <w:r w:rsidRPr="00180522">
        <w:rPr>
          <w:lang w:val="en-GB"/>
        </w:rPr>
        <w:t xml:space="preserve"> introduces the concept of crowdsourced systems, as well as the reference model of IoT-related crowdsourced systems for the support of IoT applications and services to be provided via systems employing crowdsourcing principles. It addresses IoT-related crowdsourced systems in terms of functional requirements, reference model as well as identifying relevant security, privacy and trust issues. In particular, the main contributions can be summarized as follows:</w:t>
      </w:r>
    </w:p>
    <w:p w14:paraId="38117324" w14:textId="77777777" w:rsidR="006A46AE" w:rsidRPr="00180522" w:rsidRDefault="006A46AE" w:rsidP="006A46AE">
      <w:pPr>
        <w:rPr>
          <w:lang w:val="en-GB"/>
        </w:rPr>
      </w:pPr>
      <w:r w:rsidRPr="00180522">
        <w:rPr>
          <w:lang w:val="en-GB"/>
        </w:rPr>
        <w:t>- It identifies and provides the motivation for IoT-related crowdsourced systems (recent technological advancements and relevant emerging trends).</w:t>
      </w:r>
    </w:p>
    <w:p w14:paraId="107B00D3" w14:textId="77777777" w:rsidR="006A46AE" w:rsidRPr="00180522" w:rsidRDefault="006A46AE" w:rsidP="006A46AE">
      <w:pPr>
        <w:rPr>
          <w:lang w:val="en-GB"/>
        </w:rPr>
      </w:pPr>
      <w:r w:rsidRPr="00180522">
        <w:rPr>
          <w:lang w:val="en-GB"/>
        </w:rPr>
        <w:t xml:space="preserve">- It provides definitions of terms that are central when discussing crowdsourcing and </w:t>
      </w:r>
      <w:proofErr w:type="spellStart"/>
      <w:r w:rsidRPr="00180522">
        <w:rPr>
          <w:lang w:val="en-GB"/>
        </w:rPr>
        <w:t>srowdsourced</w:t>
      </w:r>
      <w:proofErr w:type="spellEnd"/>
      <w:r w:rsidRPr="00180522">
        <w:rPr>
          <w:lang w:val="en-GB"/>
        </w:rPr>
        <w:t xml:space="preserve"> systems, thus providing a basis of common understanding. So far, such terms have been used in layman's terms, outside a formal standardised framework; a practice which has led to ambiguity hindering further development of such systems. It is worth noting that the said definitions have been elicited via a rigorous methodology from a plethora of publications (both by academia and the industry); more information can be found in the body of this Recommendation.</w:t>
      </w:r>
    </w:p>
    <w:p w14:paraId="59DB62D6" w14:textId="77777777" w:rsidR="006A46AE" w:rsidRPr="00180522" w:rsidRDefault="006A46AE" w:rsidP="006A46AE">
      <w:pPr>
        <w:rPr>
          <w:lang w:val="en-GB"/>
        </w:rPr>
      </w:pPr>
      <w:r w:rsidRPr="00180522">
        <w:rPr>
          <w:lang w:val="en-GB"/>
        </w:rPr>
        <w:t>- It provides a high-level reference model identifying the key layers and components of crowdsourced systems. The model does not dictate nor indicates a specific implementation or approach for building IoT-related crowdsourced systems. On the contrary, it provides a nominal model that facilitates the design and development of such systems by providing a common basis of reference.</w:t>
      </w:r>
    </w:p>
    <w:p w14:paraId="506B90D2" w14:textId="77777777" w:rsidR="006A46AE" w:rsidRPr="00180522" w:rsidRDefault="006A46AE" w:rsidP="006A46AE">
      <w:pPr>
        <w:rPr>
          <w:lang w:val="en-GB"/>
        </w:rPr>
      </w:pPr>
      <w:r w:rsidRPr="00180522">
        <w:rPr>
          <w:b/>
          <w:bCs/>
          <w:lang w:val="en-GB"/>
        </w:rPr>
        <w:t>ITU-T Y.4206 "Requirements and capabilities of user-centric work space service":</w:t>
      </w:r>
      <w:r w:rsidRPr="00180522">
        <w:rPr>
          <w:lang w:val="en-GB"/>
        </w:rPr>
        <w:t xml:space="preserve"> User-centric work space (UCS) service is a service capable of providing a personalized work space to its service users by orchestrating local and/or remote ICT resources [ITU-T Y.Suppl.42]. Based on the use cases of UCS service addressed by [ITU-T Y.Suppl.42], this Recommendation provides the requirements and capabilities of UCS service. The provided requirements and capabilities are necessary to implement various types of UCS services.</w:t>
      </w:r>
    </w:p>
    <w:p w14:paraId="499FA367" w14:textId="77777777" w:rsidR="006A46AE" w:rsidRPr="00180522" w:rsidRDefault="006A46AE" w:rsidP="006A46AE">
      <w:pPr>
        <w:rPr>
          <w:lang w:val="en-GB"/>
        </w:rPr>
      </w:pPr>
      <w:r w:rsidRPr="00180522">
        <w:rPr>
          <w:b/>
          <w:bCs/>
          <w:lang w:val="en-GB"/>
        </w:rPr>
        <w:t>ITU-T Y.4207 "Requirements and capability framework of smart environmental monitoring"</w:t>
      </w:r>
      <w:r w:rsidRPr="00180522">
        <w:rPr>
          <w:lang w:val="en-GB"/>
        </w:rPr>
        <w:t xml:space="preserve"> provides the requirements and capability framework of smart environmental monitoring (SEM). As a smart application of Internet of Things (IoT) in the field of environmental monitoring and protection, SEM is an important means to enhance environmental management level and develop environmental protection. The provided requirements and capability framework are intended to be generally applicable in environmental monitoring.</w:t>
      </w:r>
    </w:p>
    <w:p w14:paraId="0C4C7B77" w14:textId="77777777" w:rsidR="006A46AE" w:rsidRPr="00180522" w:rsidRDefault="006A46AE" w:rsidP="006A46AE">
      <w:pPr>
        <w:rPr>
          <w:lang w:val="en-GB"/>
        </w:rPr>
      </w:pPr>
      <w:r w:rsidRPr="00180522">
        <w:rPr>
          <w:b/>
          <w:bCs/>
          <w:lang w:val="en-GB"/>
        </w:rPr>
        <w:t>ITU-T Y.4458 "Requirements and functional architecture of smart street light service"</w:t>
      </w:r>
      <w:r w:rsidRPr="00180522">
        <w:rPr>
          <w:lang w:val="en-GB"/>
        </w:rPr>
        <w:t xml:space="preserve"> specifies requirements and the functional architecture of smart street light (SSL) service. Related use cases of SSL service are provided in Appendix I.</w:t>
      </w:r>
    </w:p>
    <w:p w14:paraId="6D293DEC" w14:textId="77777777" w:rsidR="006A46AE" w:rsidRPr="00180522" w:rsidRDefault="006A46AE" w:rsidP="006A46AE">
      <w:pPr>
        <w:rPr>
          <w:lang w:val="en-GB"/>
        </w:rPr>
      </w:pPr>
      <w:r w:rsidRPr="00180522">
        <w:rPr>
          <w:b/>
          <w:lang w:val="en-GB"/>
        </w:rPr>
        <w:t>ITU-T Y.4459 "An architecture for IoT interoperability"</w:t>
      </w:r>
      <w:r w:rsidRPr="00180522">
        <w:rPr>
          <w:lang w:val="en-GB"/>
        </w:rPr>
        <w:t xml:space="preserve"> (under approval)</w:t>
      </w:r>
      <w:r w:rsidRPr="00180522">
        <w:rPr>
          <w:b/>
          <w:lang w:val="en-GB"/>
        </w:rPr>
        <w:t xml:space="preserve"> </w:t>
      </w:r>
      <w:r w:rsidRPr="00180522">
        <w:rPr>
          <w:lang w:val="en-GB"/>
        </w:rPr>
        <w:t>introduces the Digital Object Architecture (DOA) and its prospective in addressing security and interoperability among IoT applications.</w:t>
      </w:r>
    </w:p>
    <w:p w14:paraId="623981B1" w14:textId="77777777" w:rsidR="006A46AE" w:rsidRPr="00180522" w:rsidRDefault="006A46AE" w:rsidP="006A46AE">
      <w:pPr>
        <w:rPr>
          <w:lang w:val="en-GB"/>
        </w:rPr>
      </w:pPr>
      <w:r w:rsidRPr="00180522">
        <w:rPr>
          <w:lang w:val="en-GB"/>
        </w:rPr>
        <w:t xml:space="preserve">DOA defines a framework for information-oriented services that makes use of existing infrastructures including Internet infrastructure to enhance secure and managed information sharing over a distributed networking environment. It defines framework for information management based on the use of digital object, and a common set of secure services that will help the registration, discovery, resolution, and dissemination of such digital objects. The set of DOA </w:t>
      </w:r>
      <w:r w:rsidRPr="00180522">
        <w:rPr>
          <w:lang w:val="en-GB"/>
        </w:rPr>
        <w:lastRenderedPageBreak/>
        <w:t>services is designed to facilitate sharing across any storage boundaries, any heterogeneous application boundaries, and any organization boundaries.</w:t>
      </w:r>
    </w:p>
    <w:p w14:paraId="53313FFC" w14:textId="77777777" w:rsidR="006A46AE" w:rsidRPr="00180522" w:rsidRDefault="006A46AE" w:rsidP="006A46AE">
      <w:pPr>
        <w:rPr>
          <w:lang w:val="en-GB"/>
        </w:rPr>
      </w:pPr>
      <w:r w:rsidRPr="00180522">
        <w:rPr>
          <w:lang w:val="en-GB"/>
        </w:rPr>
        <w:t>DOA defines a minimum set of needed architectural components, protocols, and services to provide a generic information and service interoperability. It will facilitate the interoperability of identification, description, representation, access, storage and security of IoT devices. DOA encourages a common security and management interface across different IoT applications. Under DOA, information represented in digital form is structured as Digital Objects (DOs), each of which has an associated unique identifier, which targeted to be persistent. However, metadata contained in the DOs (e.g. location of the object) could be updated without changing its identifier.</w:t>
      </w:r>
    </w:p>
    <w:p w14:paraId="23709AD6" w14:textId="77777777" w:rsidR="006A46AE" w:rsidRPr="00180522" w:rsidRDefault="006A46AE" w:rsidP="006A46AE">
      <w:pPr>
        <w:rPr>
          <w:lang w:val="en-GB"/>
        </w:rPr>
      </w:pPr>
      <w:r w:rsidRPr="00180522">
        <w:rPr>
          <w:lang w:val="en-GB"/>
        </w:rPr>
        <w:t>The identifier allows the DOs to be identified and discovered, regardless where they are located or stored. DOs are not confined within any particular application boundary and may be moved from host to host, accessed from application to application, shared from organization to organization, without losing its ownership or management control, in order to enhance interoperability. The DO's data model allows ownership and access control information to be defined by data owners independent of any specific applications. DOA can be used in line with different identification and addressing protocols (e.g. IP and/or non IP based networks).</w:t>
      </w:r>
    </w:p>
    <w:p w14:paraId="31F0D9FC" w14:textId="77777777" w:rsidR="006A46AE" w:rsidRPr="00180522" w:rsidRDefault="006A46AE" w:rsidP="006A46AE">
      <w:pPr>
        <w:rPr>
          <w:lang w:val="en-GB"/>
        </w:rPr>
      </w:pPr>
      <w:r w:rsidRPr="00180522">
        <w:rPr>
          <w:b/>
          <w:lang w:val="en-GB"/>
        </w:rPr>
        <w:t xml:space="preserve">ITU-T Y.4460 "Architectural reference models of devices for IoT applications": </w:t>
      </w:r>
      <w:r w:rsidRPr="00180522">
        <w:rPr>
          <w:lang w:val="en-GB"/>
        </w:rPr>
        <w:t>Processing power and communication capabilities define how the device communicates and interacts with other entities in an IoT solution. By correlating the processing and communication capabilities classifications, it is possible to enumerate three types of devices:</w:t>
      </w:r>
    </w:p>
    <w:p w14:paraId="7FE77501" w14:textId="77777777" w:rsidR="006A46AE" w:rsidRPr="00180522" w:rsidRDefault="006A46AE" w:rsidP="006A46AE">
      <w:pPr>
        <w:rPr>
          <w:lang w:val="en-GB"/>
        </w:rPr>
      </w:pPr>
      <w:r w:rsidRPr="00180522">
        <w:rPr>
          <w:lang w:val="en-GB"/>
        </w:rPr>
        <w:t>•</w:t>
      </w:r>
      <w:r w:rsidRPr="00180522">
        <w:rPr>
          <w:lang w:val="en-GB"/>
        </w:rPr>
        <w:tab/>
        <w:t>Low processing and low connectivity device - LPLC device;</w:t>
      </w:r>
    </w:p>
    <w:p w14:paraId="6D80AD1C" w14:textId="77777777" w:rsidR="006A46AE" w:rsidRPr="00180522" w:rsidRDefault="006A46AE" w:rsidP="006A46AE">
      <w:pPr>
        <w:rPr>
          <w:lang w:val="en-GB"/>
        </w:rPr>
      </w:pPr>
      <w:r w:rsidRPr="00180522">
        <w:rPr>
          <w:lang w:val="en-GB"/>
        </w:rPr>
        <w:t>•</w:t>
      </w:r>
      <w:r w:rsidRPr="00180522">
        <w:rPr>
          <w:lang w:val="en-GB"/>
        </w:rPr>
        <w:tab/>
        <w:t>Low processing and high connectivity device - LPHC device;</w:t>
      </w:r>
    </w:p>
    <w:p w14:paraId="7C7DEDD9" w14:textId="77777777" w:rsidR="006A46AE" w:rsidRPr="00180522" w:rsidRDefault="006A46AE" w:rsidP="006A46AE">
      <w:pPr>
        <w:rPr>
          <w:lang w:val="en-GB"/>
        </w:rPr>
      </w:pPr>
      <w:r w:rsidRPr="00180522">
        <w:rPr>
          <w:lang w:val="en-GB"/>
        </w:rPr>
        <w:t>•</w:t>
      </w:r>
      <w:r w:rsidRPr="00180522">
        <w:rPr>
          <w:lang w:val="en-GB"/>
        </w:rPr>
        <w:tab/>
        <w:t>High processing and high connectivity device - HPHC device.</w:t>
      </w:r>
    </w:p>
    <w:p w14:paraId="061AA694" w14:textId="77777777" w:rsidR="006A46AE" w:rsidRPr="00180522" w:rsidRDefault="006A46AE" w:rsidP="006A46AE">
      <w:pPr>
        <w:rPr>
          <w:lang w:val="en-GB"/>
        </w:rPr>
      </w:pPr>
      <w:r w:rsidRPr="00180522">
        <w:rPr>
          <w:lang w:val="en-GB"/>
        </w:rPr>
        <w:t>This Recommendation describes the architectural reference models of devices for IoT applications, based on a classification of devices defined by processing power and communication capabilities. The architectural reference models described also includes the device's functional entities and the functional entities interaction for each device's architectural reference model.</w:t>
      </w:r>
    </w:p>
    <w:p w14:paraId="47754246" w14:textId="77777777" w:rsidR="006A46AE" w:rsidRPr="00180522" w:rsidRDefault="006A46AE" w:rsidP="006A46AE">
      <w:pPr>
        <w:rPr>
          <w:lang w:val="en-GB"/>
        </w:rPr>
      </w:pPr>
      <w:r w:rsidRPr="00180522">
        <w:rPr>
          <w:lang w:val="en-GB"/>
        </w:rPr>
        <w:t>Note: Devices with no processing capabilities are also not considered on this Recommendation because they are simple devices (ID Tags) that were defined on ITU-T Y.2213.</w:t>
      </w:r>
    </w:p>
    <w:p w14:paraId="787C4E58" w14:textId="77777777" w:rsidR="006A46AE" w:rsidRPr="00180522" w:rsidRDefault="006A46AE" w:rsidP="006A46AE">
      <w:pPr>
        <w:rPr>
          <w:lang w:val="en-GB"/>
        </w:rPr>
      </w:pPr>
      <w:r w:rsidRPr="00180522">
        <w:rPr>
          <w:b/>
          <w:bCs/>
          <w:lang w:val="en-GB"/>
        </w:rPr>
        <w:t>ITU-T Y.4555 "Service functionalities of self-quantification over Internet of things"</w:t>
      </w:r>
      <w:r w:rsidRPr="00180522">
        <w:rPr>
          <w:lang w:val="en-GB"/>
        </w:rPr>
        <w:t xml:space="preserve"> describes service functionalities of self-quantification over Internet of things. It clarifies the concept of self-quantification services, identifies their considerations, and specifies their requirements and functionalities.</w:t>
      </w:r>
    </w:p>
    <w:p w14:paraId="53D67AC8" w14:textId="77777777" w:rsidR="006A46AE" w:rsidRPr="00180522" w:rsidRDefault="006A46AE" w:rsidP="006A46AE">
      <w:pPr>
        <w:rPr>
          <w:lang w:val="en-GB"/>
        </w:rPr>
      </w:pPr>
      <w:r w:rsidRPr="00180522">
        <w:rPr>
          <w:b/>
          <w:bCs/>
          <w:lang w:val="en-GB"/>
        </w:rPr>
        <w:t>ITU-T Y.4556 "Requirements and functional architecture of smart residential community"</w:t>
      </w:r>
      <w:r w:rsidRPr="00180522">
        <w:rPr>
          <w:lang w:val="en-GB"/>
        </w:rPr>
        <w:t xml:space="preserve"> </w:t>
      </w:r>
      <w:r w:rsidRPr="00180522">
        <w:rPr>
          <w:bCs/>
          <w:lang w:val="en-GB"/>
        </w:rPr>
        <w:t>(under approval)</w:t>
      </w:r>
      <w:r w:rsidRPr="00180522">
        <w:rPr>
          <w:b/>
          <w:bCs/>
          <w:lang w:val="en-GB"/>
        </w:rPr>
        <w:t xml:space="preserve"> </w:t>
      </w:r>
      <w:r w:rsidRPr="00180522">
        <w:rPr>
          <w:lang w:val="en-GB"/>
        </w:rPr>
        <w:t>presents the key components and specifies requirements and the functional architecture of smart residential community (SRC).</w:t>
      </w:r>
    </w:p>
    <w:p w14:paraId="66312B63" w14:textId="77777777" w:rsidR="006A46AE" w:rsidRPr="00180522" w:rsidRDefault="006A46AE" w:rsidP="006A46AE">
      <w:pPr>
        <w:rPr>
          <w:lang w:val="en-GB"/>
        </w:rPr>
      </w:pPr>
      <w:r w:rsidRPr="00180522">
        <w:rPr>
          <w:b/>
          <w:bCs/>
          <w:lang w:val="en-GB"/>
        </w:rPr>
        <w:t>ITU-T Y.4904 "Smart sustainable cities maturity model"</w:t>
      </w:r>
      <w:r w:rsidRPr="00180522">
        <w:rPr>
          <w:lang w:val="en-GB"/>
        </w:rPr>
        <w:t xml:space="preserve"> (under approval) contains a maturity model for smart sustainable cities. This maturity model helps identify the goals, levels and key measures that are recommended for cities to effectively examine their current situation and determine critical capabilities needed to progress toward the long-term goal of becoming SSCs.</w:t>
      </w:r>
    </w:p>
    <w:p w14:paraId="075A61EA" w14:textId="77777777" w:rsidR="006A46AE" w:rsidRPr="00180522" w:rsidRDefault="006A46AE" w:rsidP="006A46AE">
      <w:pPr>
        <w:rPr>
          <w:lang w:val="en-GB"/>
        </w:rPr>
      </w:pPr>
      <w:r w:rsidRPr="00180522">
        <w:rPr>
          <w:b/>
          <w:bCs/>
          <w:lang w:val="en-GB"/>
        </w:rPr>
        <w:t>ITU-T Y.4905 "Smart sustainable city impact assessment"</w:t>
      </w:r>
      <w:r w:rsidRPr="00180522">
        <w:rPr>
          <w:lang w:val="en-GB"/>
        </w:rPr>
        <w:t xml:space="preserve"> is a holistic impact framework for assessment for smart and sustainable cities to address effects of digital innovation on social, economic, and environmental issues. Smart sustainable city (SSC) initiatives have been proposed as potential solutions to economic, social and environmental challenges and pressures encountered by cities. Advances in Information and Communication Technologies (ICTs) enable significant transformation potential in the way city resources, services and infrastructures are planned and managed. More specifically, ICT can play an enabling role to address the urban challenges of 21st </w:t>
      </w:r>
      <w:r w:rsidRPr="00180522">
        <w:rPr>
          <w:lang w:val="en-GB"/>
        </w:rPr>
        <w:lastRenderedPageBreak/>
        <w:t>century. SSCs harness ICTs (including various subtopics under ICT such as digital transformation, data, IoT, digital services, etc.) and intend to deliver city enhancements through a portfolio of action items. By their very nature, SSC initiatives impact the underlying cities. It is important to identify and asses this impact. Identification and assessment of impact will allow better planning, setting expectations with stakeholders, better informed budgeting, more effective public private partnerships, and promotion of alternative financing mechanisms. This will also help in communicating SSC initiatives.</w:t>
      </w:r>
    </w:p>
    <w:p w14:paraId="316B0588" w14:textId="77777777" w:rsidR="006A46AE" w:rsidRPr="00180522" w:rsidRDefault="006A46AE" w:rsidP="006A46AE">
      <w:pPr>
        <w:rPr>
          <w:lang w:val="en-GB"/>
        </w:rPr>
      </w:pPr>
      <w:r w:rsidRPr="00180522">
        <w:rPr>
          <w:b/>
          <w:bCs/>
          <w:lang w:val="en-GB"/>
        </w:rPr>
        <w:t xml:space="preserve">ITU-T Y.4906 "Assessment framework for digital transformation of sectors in smart cities" </w:t>
      </w:r>
      <w:r w:rsidRPr="00180522">
        <w:rPr>
          <w:lang w:val="en-GB"/>
        </w:rPr>
        <w:t>: The ultimate objective of this recommendation is to enhance the sustainability of identified priority sectors in smart cities, in order to optimise economic, environmental and social benefits. Cities will decide on their digital transformation priorities. For example, cities might also want to encourage collaboration to deliver desired outcomes. This kind of engagement based on the assessment framework can incentivize industry engagement and investment.</w:t>
      </w:r>
    </w:p>
    <w:p w14:paraId="71BFFCBB" w14:textId="77777777" w:rsidR="006A46AE" w:rsidRPr="00180522" w:rsidRDefault="006A46AE" w:rsidP="006A46AE">
      <w:pPr>
        <w:rPr>
          <w:lang w:val="en-GB"/>
        </w:rPr>
      </w:pPr>
      <w:r w:rsidRPr="00180522">
        <w:rPr>
          <w:b/>
          <w:lang w:val="en-GB"/>
        </w:rPr>
        <w:t xml:space="preserve">ITU-T Y.Sup.52 to ITU-T Y.4000 series "Methodology for building digital capabilities during enterprises' digital transformation": </w:t>
      </w:r>
      <w:r w:rsidRPr="00180522">
        <w:rPr>
          <w:lang w:val="en-GB"/>
        </w:rPr>
        <w:t>This methodology can help enterprises to address the challenges of integrating ICT applications into business activities to enhance the digital capability during digital transformation. and achieve the following during their digital transformation:</w:t>
      </w:r>
    </w:p>
    <w:p w14:paraId="6D4F9954" w14:textId="77777777" w:rsidR="006A46AE" w:rsidRPr="00180522" w:rsidRDefault="006A46AE" w:rsidP="006A46AE">
      <w:pPr>
        <w:rPr>
          <w:lang w:val="en-GB"/>
        </w:rPr>
      </w:pPr>
      <w:r w:rsidRPr="00180522">
        <w:rPr>
          <w:lang w:val="en-GB"/>
        </w:rPr>
        <w:t>– making full use of ICTs to optimize business processes, improve organizational efficiency and strengthen the utilization of data resources;</w:t>
      </w:r>
    </w:p>
    <w:p w14:paraId="21BA0E0C" w14:textId="77777777" w:rsidR="006A46AE" w:rsidRPr="00180522" w:rsidRDefault="006A46AE" w:rsidP="006A46AE">
      <w:pPr>
        <w:rPr>
          <w:lang w:val="en-GB"/>
        </w:rPr>
      </w:pPr>
      <w:r w:rsidRPr="00180522">
        <w:rPr>
          <w:lang w:val="en-GB"/>
        </w:rPr>
        <w:t>– ensuring that ICT applications become consistent and coordinated with enterprises' strategies;</w:t>
      </w:r>
    </w:p>
    <w:p w14:paraId="79B9B6CD" w14:textId="77777777" w:rsidR="006A46AE" w:rsidRPr="00180522" w:rsidRDefault="006A46AE" w:rsidP="006A46AE">
      <w:pPr>
        <w:rPr>
          <w:lang w:val="en-GB"/>
        </w:rPr>
      </w:pPr>
      <w:r w:rsidRPr="00180522">
        <w:rPr>
          <w:lang w:val="en-GB"/>
        </w:rPr>
        <w:t>– using ICTs to build digital capabilities can increase the enterprises' economic benefits.</w:t>
      </w:r>
    </w:p>
    <w:p w14:paraId="64A6CB82" w14:textId="77777777" w:rsidR="006A46AE" w:rsidRPr="00180522" w:rsidRDefault="006A46AE" w:rsidP="006A46AE">
      <w:pPr>
        <w:rPr>
          <w:b/>
          <w:bCs/>
          <w:lang w:val="en-GB"/>
        </w:rPr>
      </w:pPr>
      <w:r w:rsidRPr="00180522">
        <w:rPr>
          <w:b/>
          <w:bCs/>
          <w:lang w:val="en-GB"/>
        </w:rPr>
        <w:t xml:space="preserve">ITU-T Y.Sup.53 to ITU-T Y.4000 series "IoT Use Cases": </w:t>
      </w:r>
      <w:r w:rsidRPr="00180522">
        <w:rPr>
          <w:lang w:val="en-GB"/>
        </w:rPr>
        <w:t>Provides use cases related to different application domains of the Internet of Things.</w:t>
      </w:r>
    </w:p>
    <w:p w14:paraId="6DDA2FF0" w14:textId="77777777" w:rsidR="006A46AE" w:rsidRPr="00180522" w:rsidRDefault="006A46AE" w:rsidP="006A46AE">
      <w:pPr>
        <w:rPr>
          <w:lang w:val="en-GB"/>
        </w:rPr>
      </w:pPr>
      <w:r w:rsidRPr="00180522">
        <w:rPr>
          <w:b/>
          <w:bCs/>
          <w:lang w:val="en-GB"/>
        </w:rPr>
        <w:t xml:space="preserve">ITU-T Y.Sup.54 to ITU-T Y.4000 series "Framework for Home Environment Profiles and Levels of IoT Systems": </w:t>
      </w:r>
      <w:r w:rsidRPr="00180522">
        <w:rPr>
          <w:lang w:val="en-GB"/>
        </w:rPr>
        <w:t xml:space="preserve">establishes a set of data fields that reflect consumer preferences for IoT‑enabled devices in specific environments. These data fields could be incorporated into a consumer device, stored in some fashion, and used by compatible IoT devices in the home and elsewhere to automatically implement those </w:t>
      </w:r>
      <w:proofErr w:type="spellStart"/>
      <w:r w:rsidRPr="00180522">
        <w:rPr>
          <w:lang w:val="en-GB"/>
        </w:rPr>
        <w:t>preset</w:t>
      </w:r>
      <w:proofErr w:type="spellEnd"/>
      <w:r w:rsidRPr="00180522">
        <w:rPr>
          <w:lang w:val="en-GB"/>
        </w:rPr>
        <w:t xml:space="preserve"> user preferences.</w:t>
      </w:r>
    </w:p>
    <w:p w14:paraId="666DF1BD" w14:textId="77777777" w:rsidR="006A46AE" w:rsidRPr="00180522" w:rsidRDefault="006A46AE" w:rsidP="006A46AE">
      <w:pPr>
        <w:pStyle w:val="Headingb"/>
      </w:pPr>
      <w:bookmarkStart w:id="233" w:name="_Toc480527902"/>
      <w:r w:rsidRPr="00180522">
        <w:t>I.4.4</w:t>
      </w:r>
      <w:r w:rsidRPr="00180522">
        <w:tab/>
        <w:t>Connected vehicles, automated driving and intelligent transport systems</w:t>
      </w:r>
      <w:bookmarkEnd w:id="233"/>
    </w:p>
    <w:p w14:paraId="22DFBAB3" w14:textId="77777777" w:rsidR="006A46AE" w:rsidRPr="00180522" w:rsidRDefault="006A46AE" w:rsidP="006A46AE">
      <w:pPr>
        <w:pStyle w:val="Headingb"/>
      </w:pPr>
      <w:r w:rsidRPr="00180522">
        <w:t>I.4.5</w:t>
      </w:r>
      <w:r w:rsidRPr="00180522">
        <w:tab/>
        <w:t>Connected health: e-Health</w:t>
      </w:r>
    </w:p>
    <w:p w14:paraId="7C0A3319" w14:textId="77777777" w:rsidR="006A46AE" w:rsidRPr="00180522" w:rsidRDefault="006A46AE" w:rsidP="006A46AE">
      <w:pPr>
        <w:rPr>
          <w:lang w:val="en-GB"/>
        </w:rPr>
      </w:pPr>
      <w:r w:rsidRPr="00180522">
        <w:rPr>
          <w:b/>
          <w:bCs/>
          <w:lang w:val="en-GB"/>
        </w:rPr>
        <w:t>ITU-T T F.780.1 "Framework for telemedicine systems using ultra-high definition imaging"</w:t>
      </w:r>
      <w:r w:rsidRPr="00180522">
        <w:rPr>
          <w:lang w:val="en-GB"/>
        </w:rPr>
        <w:t xml:space="preserve"> describes requirements for using ultra-high definition (UHD) imaging, such as 4K and 8K video, for telemedicine. The purpose of these requirements is to use UHD systems as part of endoscope and/or </w:t>
      </w:r>
      <w:proofErr w:type="spellStart"/>
      <w:r w:rsidRPr="00180522">
        <w:rPr>
          <w:lang w:val="en-GB"/>
        </w:rPr>
        <w:t>microsope</w:t>
      </w:r>
      <w:proofErr w:type="spellEnd"/>
      <w:r w:rsidRPr="00180522">
        <w:rPr>
          <w:lang w:val="en-GB"/>
        </w:rPr>
        <w:t xml:space="preserve"> for medical practices. This document also describes a list of requirements for using a UHD-based "</w:t>
      </w:r>
      <w:proofErr w:type="spellStart"/>
      <w:r w:rsidRPr="00180522">
        <w:rPr>
          <w:lang w:val="en-GB"/>
        </w:rPr>
        <w:t>endosopic</w:t>
      </w:r>
      <w:proofErr w:type="spellEnd"/>
      <w:r w:rsidRPr="00180522">
        <w:rPr>
          <w:lang w:val="en-GB"/>
        </w:rPr>
        <w:t xml:space="preserve"> video camera" as a medical device. In addition, Annex A describes the requirements on the use of this technology as a medical device.</w:t>
      </w:r>
    </w:p>
    <w:p w14:paraId="2E5750A0" w14:textId="77777777" w:rsidR="006A46AE" w:rsidRPr="00180522" w:rsidRDefault="006A46AE" w:rsidP="006A46AE">
      <w:pPr>
        <w:rPr>
          <w:lang w:val="en-GB"/>
        </w:rPr>
      </w:pPr>
      <w:r w:rsidRPr="00180522">
        <w:rPr>
          <w:b/>
          <w:bCs/>
          <w:lang w:val="en-GB"/>
        </w:rPr>
        <w:t>ITU-T H.846 (revised) "Conformance of ITU-T H.810 personal health system: Personal Health Devices interface Part 6: Device specializations: Personal Health Gateway"</w:t>
      </w:r>
      <w:r w:rsidRPr="00180522">
        <w:rPr>
          <w:lang w:val="en-GB"/>
        </w:rPr>
        <w:t xml:space="preserve"> provides a test suite structure (TSS) and the test purposes (TP) for Personal Health Gateways in the Personal Health Devices (PHD) interface, based on the requirements defined in the Recommendations of the ITU-T H.810 sub-series, of which Recommendation ITU-T H.810 (2017) is the base Recommendation. The objective of this test specification is to provide a high probability of interoperability at this interface.</w:t>
      </w:r>
    </w:p>
    <w:p w14:paraId="66BCDE6B" w14:textId="77777777" w:rsidR="006A46AE" w:rsidRPr="00180522" w:rsidRDefault="006A46AE" w:rsidP="006A46AE">
      <w:pPr>
        <w:rPr>
          <w:lang w:val="en-GB"/>
        </w:rPr>
      </w:pPr>
      <w:r w:rsidRPr="00180522">
        <w:rPr>
          <w:lang w:val="en-GB"/>
        </w:rPr>
        <w:t>Recommendation ITU-T H.846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w:t>
      </w:r>
    </w:p>
    <w:p w14:paraId="76AD95F8" w14:textId="77777777" w:rsidR="006A46AE" w:rsidRPr="00180522" w:rsidRDefault="006A46AE" w:rsidP="006A46AE">
      <w:pPr>
        <w:rPr>
          <w:lang w:val="en-GB"/>
        </w:rPr>
      </w:pPr>
      <w:r w:rsidRPr="00180522">
        <w:rPr>
          <w:lang w:val="en-GB"/>
        </w:rPr>
        <w:lastRenderedPageBreak/>
        <w:t>This Recommendation includes an electronic attachment with the protocol implementation conformance statements (PICS) and the protocol implementation extra information for testing (PIXIT) required for the implementation of Annex A.</w:t>
      </w:r>
    </w:p>
    <w:p w14:paraId="7C5F48E5" w14:textId="77777777" w:rsidR="006A46AE" w:rsidRPr="00180522" w:rsidRDefault="006A46AE" w:rsidP="006A46AE">
      <w:pPr>
        <w:rPr>
          <w:highlight w:val="yellow"/>
          <w:lang w:val="en-GB"/>
        </w:rPr>
      </w:pPr>
      <w:r w:rsidRPr="00180522">
        <w:rPr>
          <w:lang w:val="en-GB"/>
        </w:rPr>
        <w:t>This revision includes the Power Status Monitor of Personal Health Devices device specialization (ISO/IEEE 11073-10427:2018) test cases as well as minor corrections.</w:t>
      </w:r>
    </w:p>
    <w:p w14:paraId="6E7C787E" w14:textId="77777777" w:rsidR="006A46AE" w:rsidRPr="00180522" w:rsidRDefault="006A46AE" w:rsidP="006A46AE">
      <w:pPr>
        <w:rPr>
          <w:lang w:val="en-GB"/>
        </w:rPr>
      </w:pPr>
      <w:r w:rsidRPr="00180522">
        <w:rPr>
          <w:b/>
          <w:bCs/>
          <w:lang w:val="en-GB"/>
        </w:rPr>
        <w:t>ITU-T H.849 (revised) "Conformance of ITU-T H.810 personal health system: Personal Health Devices interface Part 9: Transcoding for Bluetooth Low Energy: Personal Health Devices"</w:t>
      </w:r>
      <w:r w:rsidRPr="00180522">
        <w:rPr>
          <w:lang w:val="en-GB"/>
        </w:rPr>
        <w:t xml:space="preserve"> provides a test suite structure (TSS) and the test purposes (TP) for the transcoding by personal health devices in the Personal Health Devices (PHD) interface of application-level data between the Bluetooth Low Energy Bluetooth Generic Attribute Profile format and the IEEE 11073-20601 data format, based on the requirements defined in the Recommendations of the ITU T H.810 sub-series, of which Recommendation ITU-T H.810 (2017) is the base Recommendation. The objective of this test specification is to provide a high probability of interoperability at this interface.</w:t>
      </w:r>
    </w:p>
    <w:p w14:paraId="38276AFE" w14:textId="77777777" w:rsidR="006A46AE" w:rsidRPr="00180522" w:rsidRDefault="006A46AE" w:rsidP="006A46AE">
      <w:pPr>
        <w:outlineLvl w:val="1"/>
        <w:rPr>
          <w:lang w:val="en-GB"/>
        </w:rPr>
      </w:pPr>
      <w:r w:rsidRPr="00180522">
        <w:rPr>
          <w:lang w:val="en-GB"/>
        </w:rPr>
        <w:t>Recommendation ITU-T H.849 is a transposition of Continua Test Tool DG2016, Test Suite Structure &amp; Test Purposes, Personal Health Devices Interface; Part 9: PHD Transcoding Whitepaper. Personal Health Device BLE (Version 1.6, 2016-09-20), that was developed by the Personal Connected Health Alliance. A number of versions of this specification existed before transposition.</w:t>
      </w:r>
    </w:p>
    <w:p w14:paraId="5B40576E" w14:textId="77777777" w:rsidR="006A46AE" w:rsidRPr="00180522" w:rsidRDefault="006A46AE" w:rsidP="006A46AE">
      <w:pPr>
        <w:rPr>
          <w:lang w:val="en-GB"/>
        </w:rPr>
      </w:pPr>
      <w:r w:rsidRPr="00180522">
        <w:rPr>
          <w:lang w:val="en-GB"/>
        </w:rPr>
        <w:t>This Recommendation includes an electronic attachment with the protocol implementation conformance statements (PICS) and the protocol implementation extra information for testing (PIXIT) required for the implementation of Annex A.</w:t>
      </w:r>
    </w:p>
    <w:p w14:paraId="4E6709E6" w14:textId="77777777" w:rsidR="006A46AE" w:rsidRPr="00180522" w:rsidRDefault="006A46AE" w:rsidP="006A46AE">
      <w:pPr>
        <w:rPr>
          <w:lang w:val="en-GB"/>
        </w:rPr>
      </w:pPr>
      <w:r w:rsidRPr="00180522">
        <w:rPr>
          <w:lang w:val="en-GB"/>
        </w:rPr>
        <w:t>This revision provides updates account for the inclusion of pulse oximeter and continuous glucose monitoring Bluetooth Low Energy profile test cases.</w:t>
      </w:r>
    </w:p>
    <w:p w14:paraId="61F3AED2" w14:textId="77777777" w:rsidR="006A46AE" w:rsidRPr="00180522" w:rsidRDefault="006A46AE" w:rsidP="006A46AE">
      <w:pPr>
        <w:rPr>
          <w:lang w:val="en-GB"/>
        </w:rPr>
      </w:pPr>
      <w:bookmarkStart w:id="234" w:name="H871"/>
      <w:r w:rsidRPr="00180522">
        <w:rPr>
          <w:b/>
          <w:bCs/>
          <w:lang w:val="en-GB"/>
        </w:rPr>
        <w:t>ITU-T H.871</w:t>
      </w:r>
      <w:bookmarkEnd w:id="234"/>
      <w:r w:rsidRPr="00180522">
        <w:rPr>
          <w:b/>
          <w:bCs/>
          <w:lang w:val="en-GB"/>
        </w:rPr>
        <w:t xml:space="preserve"> "Safe listening guidelines for personal sound amplifiers"</w:t>
      </w:r>
      <w:r w:rsidRPr="00180522">
        <w:rPr>
          <w:lang w:val="en-GB"/>
        </w:rPr>
        <w:t xml:space="preserve"> complements recommendation ITU-T H.870 "Guidelines for safe listening devices/systems": There is currently no international standard for Personal Sound Amplifiers (PSAs), which is needed to ensure these devices are safe for the user and do not further damage the users hearing, since they are freely available to anyone.</w:t>
      </w:r>
    </w:p>
    <w:p w14:paraId="5C868834" w14:textId="77777777" w:rsidR="006A46AE" w:rsidRPr="00180522" w:rsidRDefault="006A46AE" w:rsidP="006A46AE">
      <w:pPr>
        <w:rPr>
          <w:lang w:val="en-GB"/>
        </w:rPr>
      </w:pPr>
      <w:r w:rsidRPr="00180522">
        <w:rPr>
          <w:lang w:val="en-GB"/>
        </w:rPr>
        <w:t>Personal Sound Amplifiers (PSAs) are non-medical devices, intended for people with normal hearing and (a) can have a design physically comparable to hearing aids, in which case it is called Personal Sound Amplification Product (PSAP) or (b) can also simply be an app on any smartphone or other device, in which case it is called Personal Sound Amplification App (PSAA).</w:t>
      </w:r>
    </w:p>
    <w:p w14:paraId="30240B88" w14:textId="77777777" w:rsidR="006A46AE" w:rsidRPr="00180522" w:rsidRDefault="006A46AE" w:rsidP="006A46AE">
      <w:pPr>
        <w:rPr>
          <w:lang w:val="en-GB"/>
        </w:rPr>
      </w:pPr>
      <w:r w:rsidRPr="00180522">
        <w:rPr>
          <w:lang w:val="en-GB"/>
        </w:rPr>
        <w:t xml:space="preserve">As is defined in H.870, the sound exposure should be limited to an accumulated dose (100 % CSD) over 7 days of in total 1.6 Pa2h which corresponds to 80 </w:t>
      </w:r>
      <w:proofErr w:type="spellStart"/>
      <w:r w:rsidRPr="00180522">
        <w:rPr>
          <w:lang w:val="en-GB"/>
        </w:rPr>
        <w:t>dBA</w:t>
      </w:r>
      <w:proofErr w:type="spellEnd"/>
      <w:r w:rsidRPr="00180522">
        <w:rPr>
          <w:lang w:val="en-GB"/>
        </w:rPr>
        <w:t xml:space="preserve"> for 40 hours to prevent noise induced hearing loss. When the 100% CSD is reached, the sound level should suddenly drop, and the user will get the suggestion to lower the sound level, since the weekly sound listening dose is exceeded.</w:t>
      </w:r>
    </w:p>
    <w:p w14:paraId="71DB35AC" w14:textId="77777777" w:rsidR="006A46AE" w:rsidRPr="00180522" w:rsidRDefault="006A46AE" w:rsidP="006A46AE">
      <w:pPr>
        <w:rPr>
          <w:highlight w:val="yellow"/>
          <w:lang w:val="en-GB"/>
        </w:rPr>
      </w:pPr>
      <w:r w:rsidRPr="00180522">
        <w:rPr>
          <w:lang w:val="en-GB"/>
        </w:rPr>
        <w:t xml:space="preserve">When PSAPs and PSAAs do not have the capacity to measure CSD, the output level of the device needs to be permanently limited to 95 </w:t>
      </w:r>
      <w:proofErr w:type="spellStart"/>
      <w:r w:rsidRPr="00180522">
        <w:rPr>
          <w:lang w:val="en-GB"/>
        </w:rPr>
        <w:t>dBA</w:t>
      </w:r>
      <w:proofErr w:type="spellEnd"/>
      <w:r w:rsidRPr="00180522">
        <w:rPr>
          <w:lang w:val="en-GB"/>
        </w:rPr>
        <w:t xml:space="preserve">, so that the user is unlikely to use the device at a level higher than 80 </w:t>
      </w:r>
      <w:proofErr w:type="spellStart"/>
      <w:r w:rsidRPr="00180522">
        <w:rPr>
          <w:lang w:val="en-GB"/>
        </w:rPr>
        <w:t>dBA</w:t>
      </w:r>
      <w:proofErr w:type="spellEnd"/>
      <w:r w:rsidRPr="00180522">
        <w:rPr>
          <w:lang w:val="en-GB"/>
        </w:rPr>
        <w:t xml:space="preserve">, since the dynamic range of speech has a crest factor of 12 to 17 </w:t>
      </w:r>
      <w:proofErr w:type="spellStart"/>
      <w:r w:rsidRPr="00180522">
        <w:rPr>
          <w:lang w:val="en-GB"/>
        </w:rPr>
        <w:t>dB.</w:t>
      </w:r>
      <w:proofErr w:type="spellEnd"/>
    </w:p>
    <w:p w14:paraId="01A6FC74" w14:textId="77777777" w:rsidR="006A46AE" w:rsidRPr="00180522" w:rsidRDefault="006A46AE" w:rsidP="006A46AE">
      <w:pPr>
        <w:pStyle w:val="Headingb"/>
      </w:pPr>
      <w:bookmarkStart w:id="235" w:name="_Toc480527903"/>
      <w:r w:rsidRPr="00180522">
        <w:t>I.5.1</w:t>
      </w:r>
      <w:r w:rsidRPr="00180522">
        <w:tab/>
        <w:t>New security standards</w:t>
      </w:r>
      <w:bookmarkEnd w:id="235"/>
    </w:p>
    <w:p w14:paraId="7E2F9014" w14:textId="77777777" w:rsidR="006A46AE" w:rsidRPr="00180522" w:rsidRDefault="006A46AE" w:rsidP="006A46AE">
      <w:pPr>
        <w:rPr>
          <w:lang w:val="en-GB"/>
        </w:rPr>
      </w:pPr>
      <w:r w:rsidRPr="00180522">
        <w:rPr>
          <w:b/>
          <w:bCs/>
          <w:lang w:val="en-GB"/>
        </w:rPr>
        <w:t>ITU-T X.1042 "Security services using the software-defined networking"</w:t>
      </w:r>
      <w:r w:rsidRPr="00180522">
        <w:rPr>
          <w:lang w:val="en-GB"/>
        </w:rPr>
        <w:t xml:space="preserve"> supports the protection of network resources using security services based on software-defined networking (SDN). This Recommendation first classifies the network resources for SDN-based security services: SDN application, SDN controller, SDN switch and security manager (SM). This Recommendation then defines security services based on SDN.</w:t>
      </w:r>
    </w:p>
    <w:p w14:paraId="01B75A56" w14:textId="77777777" w:rsidR="006A46AE" w:rsidRPr="00180522" w:rsidRDefault="006A46AE" w:rsidP="006A46AE">
      <w:pPr>
        <w:rPr>
          <w:lang w:val="en-GB"/>
        </w:rPr>
      </w:pPr>
      <w:r w:rsidRPr="00180522">
        <w:rPr>
          <w:b/>
          <w:bCs/>
          <w:lang w:val="en-GB"/>
        </w:rPr>
        <w:lastRenderedPageBreak/>
        <w:t>ITU-T X.1043 "Security framework and requirements of service function chain based on software-defined networking"</w:t>
      </w:r>
      <w:r w:rsidRPr="00180522">
        <w:rPr>
          <w:lang w:val="en-GB"/>
        </w:rPr>
        <w:t xml:space="preserve"> analyses security threats to the software-defined networking (SDN) based service function chain (SFC) and defines security requirements. The corresponding security countermeasures are also given. This Recommendation helps the reader to understand the security risks encountered when using the SDN-based SFC and further help to develop and implement secure service chain architecture.</w:t>
      </w:r>
    </w:p>
    <w:p w14:paraId="7211590D" w14:textId="77777777" w:rsidR="006A46AE" w:rsidRPr="00180522" w:rsidRDefault="006A46AE" w:rsidP="006A46AE">
      <w:pPr>
        <w:rPr>
          <w:lang w:val="en-GB"/>
        </w:rPr>
      </w:pPr>
      <w:r w:rsidRPr="00180522">
        <w:rPr>
          <w:b/>
          <w:bCs/>
          <w:lang w:val="en-GB"/>
        </w:rPr>
        <w:t>ITU-T X.1093 "</w:t>
      </w:r>
      <w:proofErr w:type="spellStart"/>
      <w:r w:rsidRPr="00180522">
        <w:rPr>
          <w:b/>
          <w:bCs/>
          <w:lang w:val="en-GB"/>
        </w:rPr>
        <w:t>Telebiometric</w:t>
      </w:r>
      <w:proofErr w:type="spellEnd"/>
      <w:r w:rsidRPr="00180522">
        <w:rPr>
          <w:b/>
          <w:bCs/>
          <w:lang w:val="en-GB"/>
        </w:rPr>
        <w:t xml:space="preserve"> access control with smart ID cards"</w:t>
      </w:r>
      <w:r w:rsidRPr="00180522">
        <w:rPr>
          <w:lang w:val="en-GB"/>
        </w:rPr>
        <w:t xml:space="preserve"> describes the general scheme for logical and/or physical access control using the biometrics-on-card. This Recommendation can be applied to the recent emerging area of requiring secure physical and also logical access control management.</w:t>
      </w:r>
    </w:p>
    <w:p w14:paraId="1E923054" w14:textId="77777777" w:rsidR="006A46AE" w:rsidRPr="00180522" w:rsidRDefault="006A46AE" w:rsidP="006A46AE">
      <w:pPr>
        <w:rPr>
          <w:lang w:val="en-GB"/>
        </w:rPr>
      </w:pPr>
      <w:r w:rsidRPr="00180522">
        <w:rPr>
          <w:b/>
          <w:bCs/>
          <w:lang w:val="en-GB"/>
        </w:rPr>
        <w:t>ITU-T X.1094 "</w:t>
      </w:r>
      <w:proofErr w:type="spellStart"/>
      <w:r w:rsidRPr="00180522">
        <w:rPr>
          <w:b/>
          <w:bCs/>
          <w:lang w:val="en-GB"/>
        </w:rPr>
        <w:t>Telebiometric</w:t>
      </w:r>
      <w:proofErr w:type="spellEnd"/>
      <w:r w:rsidRPr="00180522">
        <w:rPr>
          <w:b/>
          <w:bCs/>
          <w:lang w:val="en-GB"/>
        </w:rPr>
        <w:t xml:space="preserve"> authentication using </w:t>
      </w:r>
      <w:proofErr w:type="spellStart"/>
      <w:r w:rsidRPr="00180522">
        <w:rPr>
          <w:b/>
          <w:bCs/>
          <w:lang w:val="en-GB"/>
        </w:rPr>
        <w:t>biosignals</w:t>
      </w:r>
      <w:proofErr w:type="spellEnd"/>
      <w:r w:rsidRPr="00180522">
        <w:rPr>
          <w:b/>
          <w:bCs/>
          <w:lang w:val="en-GB"/>
        </w:rPr>
        <w:t>"</w:t>
      </w:r>
      <w:r w:rsidRPr="00180522">
        <w:rPr>
          <w:lang w:val="en-GB"/>
        </w:rPr>
        <w:t xml:space="preserve">: Biometric technology in mobile devices is frequently used in various areas that require a high level of reliability, such as smart car, e-banking, e-payment, telemedicine and e-healthcare services. In particular, it is necessary to implement countermeasures, which can pre-emptively cope with fake physiological biometrics to ensure mobile </w:t>
      </w:r>
      <w:proofErr w:type="spellStart"/>
      <w:r w:rsidRPr="00180522">
        <w:rPr>
          <w:lang w:val="en-GB"/>
        </w:rPr>
        <w:t>telebiometric</w:t>
      </w:r>
      <w:proofErr w:type="spellEnd"/>
      <w:r w:rsidRPr="00180522">
        <w:rPr>
          <w:lang w:val="en-GB"/>
        </w:rPr>
        <w:t xml:space="preserve"> data security to presentation attacks. Therefore, Recommendation ITU-T X.1094 specifies new secure and strong </w:t>
      </w:r>
      <w:proofErr w:type="spellStart"/>
      <w:r w:rsidRPr="00180522">
        <w:rPr>
          <w:lang w:val="en-GB"/>
        </w:rPr>
        <w:t>telebiometric</w:t>
      </w:r>
      <w:proofErr w:type="spellEnd"/>
      <w:r w:rsidRPr="00180522">
        <w:rPr>
          <w:lang w:val="en-GB"/>
        </w:rPr>
        <w:t xml:space="preserve"> authentication methods using </w:t>
      </w:r>
      <w:proofErr w:type="spellStart"/>
      <w:r w:rsidRPr="00180522">
        <w:rPr>
          <w:lang w:val="en-GB"/>
        </w:rPr>
        <w:t>biosignals</w:t>
      </w:r>
      <w:proofErr w:type="spellEnd"/>
      <w:r w:rsidRPr="00180522">
        <w:rPr>
          <w:lang w:val="en-GB"/>
        </w:rPr>
        <w:t>.</w:t>
      </w:r>
    </w:p>
    <w:p w14:paraId="6954C095" w14:textId="77777777" w:rsidR="006A46AE" w:rsidRPr="00180522" w:rsidRDefault="006A46AE" w:rsidP="006A46AE">
      <w:pPr>
        <w:rPr>
          <w:lang w:val="en-GB"/>
        </w:rPr>
      </w:pPr>
      <w:r w:rsidRPr="00180522">
        <w:rPr>
          <w:b/>
          <w:bCs/>
          <w:lang w:val="en-GB"/>
        </w:rPr>
        <w:t>ITU-T X.1147 "Security requirements and framework for big data analytics in mobile Internet services"</w:t>
      </w:r>
      <w:r w:rsidRPr="00180522">
        <w:rPr>
          <w:lang w:val="en-GB"/>
        </w:rPr>
        <w:t xml:space="preserve"> mainly analyse the security requirements of big data analytics in mobile Internet services, and provide security framework.</w:t>
      </w:r>
    </w:p>
    <w:p w14:paraId="736D0B90" w14:textId="77777777" w:rsidR="006A46AE" w:rsidRPr="00180522" w:rsidRDefault="006A46AE" w:rsidP="006A46AE">
      <w:pPr>
        <w:rPr>
          <w:lang w:val="en-GB"/>
        </w:rPr>
      </w:pPr>
      <w:r w:rsidRPr="00180522">
        <w:rPr>
          <w:b/>
          <w:bCs/>
          <w:lang w:val="en-GB"/>
        </w:rPr>
        <w:t>ITU-T X.1215 "Use Cases for Structured Threat Information Expression (STIX)"</w:t>
      </w:r>
      <w:r w:rsidRPr="00180522">
        <w:rPr>
          <w:lang w:val="en-GB"/>
        </w:rPr>
        <w:t xml:space="preserve">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252" w:history="1">
        <w:r w:rsidRPr="00180522">
          <w:rPr>
            <w:rStyle w:val="Hyperlink"/>
            <w:rFonts w:asciiTheme="majorBidi" w:hAnsiTheme="majorBidi" w:cstheme="majorBidi"/>
            <w:bCs/>
            <w:lang w:val="en-GB"/>
          </w:rPr>
          <w:t>https://www.oasis-open.org/committees/tc_home.php?wg_abbrev=cti</w:t>
        </w:r>
      </w:hyperlink>
    </w:p>
    <w:p w14:paraId="396181AF" w14:textId="77777777" w:rsidR="006A46AE" w:rsidRPr="00180522" w:rsidRDefault="006A46AE" w:rsidP="006A46AE">
      <w:pPr>
        <w:rPr>
          <w:lang w:val="en-GB"/>
        </w:rPr>
      </w:pPr>
      <w:r w:rsidRPr="00180522">
        <w:rPr>
          <w:b/>
          <w:bCs/>
          <w:lang w:val="en-GB"/>
        </w:rPr>
        <w:t>ITU-T X.1249 "Technical framework for countering mobile in-application advertising spam"</w:t>
      </w:r>
      <w:r w:rsidRPr="00180522">
        <w:rPr>
          <w:lang w:val="en-GB"/>
        </w:rPr>
        <w:t xml:space="preserve"> provides a technical framework for countering mobile in application advertising spam. Mobile in-application advertising spam is the sending of unsolicited advertisements, which are displayed within a mobile phone application. This unsolicited advertising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malicious advertisements may improve the user experience and even security. Therefore, it may be beneficial to establish a practical framework for countering mobile in-application advertising spam, which can reasonably integrate the advantages of all countermeasures.</w:t>
      </w:r>
    </w:p>
    <w:p w14:paraId="6CB8DF7A" w14:textId="77777777" w:rsidR="006A46AE" w:rsidRPr="00180522" w:rsidRDefault="006A46AE" w:rsidP="006A46AE">
      <w:pPr>
        <w:rPr>
          <w:lang w:val="en-GB"/>
        </w:rPr>
      </w:pPr>
      <w:r w:rsidRPr="00180522">
        <w:rPr>
          <w:b/>
          <w:bCs/>
          <w:lang w:val="en-GB"/>
        </w:rPr>
        <w:t>ITU-T X.1277 "FIDO Universal Authentication Framework (UAF)"</w:t>
      </w:r>
      <w:r w:rsidRPr="00180522">
        <w:rPr>
          <w:lang w:val="en-GB"/>
        </w:rPr>
        <w:t xml:space="preserve">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0B624169" w14:textId="77777777" w:rsidR="006A46AE" w:rsidRPr="00180522" w:rsidRDefault="006A46AE" w:rsidP="006A46AE">
      <w:pPr>
        <w:rPr>
          <w:lang w:val="en-GB"/>
        </w:rPr>
      </w:pPr>
      <w:r w:rsidRPr="00180522">
        <w:rPr>
          <w:b/>
          <w:bCs/>
          <w:lang w:val="en-GB"/>
        </w:rPr>
        <w:t>ITU-T X.1278 "Client To Authenticator Protocol/Universal 2-factor framework"</w:t>
      </w:r>
      <w:r w:rsidRPr="00180522">
        <w:rPr>
          <w:lang w:val="en-GB"/>
        </w:rPr>
        <w:t xml:space="preserve"> describes an application layer protocol for communication between an external authenticator and another client/platform, as well as bindings of this application protocol to a variety of transport protocols using different physical media.</w:t>
      </w:r>
    </w:p>
    <w:p w14:paraId="537416CF" w14:textId="77777777" w:rsidR="006A46AE" w:rsidRPr="00180522" w:rsidRDefault="006A46AE" w:rsidP="006A46AE">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r w:rsidRPr="00180522">
        <w:rPr>
          <w:b/>
          <w:bCs/>
          <w:lang w:val="en-GB"/>
        </w:rPr>
        <w:t xml:space="preserve">ITU-T X.Suppl.34 – Supplement 34 to ITU-T X.1051 | ISO/IEC 27011 (2016) "Information technology – Security techniques – Code of practice for information security controls based </w:t>
      </w:r>
      <w:r w:rsidRPr="00180522">
        <w:rPr>
          <w:b/>
          <w:bCs/>
          <w:lang w:val="en-GB"/>
        </w:rPr>
        <w:lastRenderedPageBreak/>
        <w:t>on ISO/IEC 27002 for telecommunications organizations"</w:t>
      </w:r>
      <w:r w:rsidRPr="00180522">
        <w:rPr>
          <w:lang w:val="en-GB"/>
        </w:rPr>
        <w:t xml:space="preserve"> highlights and shares the implementation of code of practice for information and network security management by Malaysian information and communication industry based on ITU-T X.1051. The sets of requirements have been identified and documented in the "Requirements for Information and Network Security (INS)" developed by MTSFB and approved by MCMC on 5 October 2016. The requirements are based on ITU-T X.1051 for establishing, implementing, maintaining and continually improving an information and network security management within the context of an organization. The code of practice for information security controls based on ITU-T X.1051 for Malaysian telecommunication organizations provide four (4) families of control focusing on organization, infrastructure, people and environment.</w:t>
      </w:r>
    </w:p>
    <w:p w14:paraId="279BEFD9" w14:textId="77777777" w:rsidR="006A46AE" w:rsidRPr="00180522" w:rsidRDefault="006A46AE" w:rsidP="006A46AE">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r w:rsidRPr="00180522">
        <w:rPr>
          <w:b/>
          <w:bCs/>
          <w:lang w:val="en-GB"/>
        </w:rPr>
        <w:t>ITU-T Y.3800 "Framework for Networks supporting Quantum Key Distribution</w:t>
      </w:r>
      <w:r w:rsidRPr="00180522">
        <w:rPr>
          <w:bCs/>
          <w:lang w:val="en-GB"/>
        </w:rPr>
        <w:t>" (under approval)</w:t>
      </w:r>
      <w:r w:rsidRPr="00180522">
        <w:rPr>
          <w:lang w:val="en-GB"/>
        </w:rPr>
        <w:t xml:space="preserve"> specifies a framework for networks supporting quantum key distribution (QKD). This Recommendation provides support for design, deployment, operation and maintenance to implement QKD technologies with user networks in terms of opened and standardized technologies. In this Recommendation, the relevant network aspects for main structure, layered model and basic functions are within the scope of the Recommendation to support its implementation.</w:t>
      </w:r>
    </w:p>
    <w:p w14:paraId="244D19D9" w14:textId="77777777" w:rsidR="006A46AE" w:rsidRPr="00180522" w:rsidRDefault="006A46AE" w:rsidP="006A46AE">
      <w:pPr>
        <w:pStyle w:val="Headingb"/>
      </w:pPr>
      <w:r w:rsidRPr="00180522">
        <w:t>I.5.2</w:t>
      </w:r>
      <w:r w:rsidRPr="00180522">
        <w:tab/>
        <w:t>Trust</w:t>
      </w:r>
    </w:p>
    <w:p w14:paraId="3CE54E48" w14:textId="77777777" w:rsidR="006A46AE" w:rsidRPr="00180522" w:rsidRDefault="006A46AE" w:rsidP="006A46AE">
      <w:pPr>
        <w:keepNext/>
        <w:keepLines/>
        <w:rPr>
          <w:lang w:val="en-GB"/>
        </w:rPr>
      </w:pPr>
      <w:r w:rsidRPr="00180522">
        <w:rPr>
          <w:b/>
          <w:bCs/>
          <w:lang w:val="en-GB"/>
        </w:rPr>
        <w:t>ITU-T Y.3053 "Trustworthy networking deployment architecture and procedure – Amendment 1"</w:t>
      </w:r>
      <w:r w:rsidRPr="00180522">
        <w:rPr>
          <w:lang w:val="en-GB"/>
        </w:rPr>
        <w:t xml:space="preserve"> contains modifications to add trustworthy networking deployment architecture and procedures for IP networks in the Internet.</w:t>
      </w:r>
    </w:p>
    <w:p w14:paraId="43F8FFB1" w14:textId="77777777" w:rsidR="006A46AE" w:rsidRPr="00180522" w:rsidRDefault="006A46AE" w:rsidP="006A46AE">
      <w:pPr>
        <w:keepNext/>
        <w:keepLines/>
        <w:rPr>
          <w:lang w:val="en-GB"/>
        </w:rPr>
      </w:pPr>
      <w:r w:rsidRPr="00180522">
        <w:rPr>
          <w:b/>
          <w:bCs/>
          <w:lang w:val="en-GB"/>
        </w:rPr>
        <w:t>ITU-T Y.3053 (2018) Amd.1 "Framework of trustworthy networking with trust-centric network domains: Amendment 1 - Trustworthy networking deployment architecture and procedures"</w:t>
      </w:r>
      <w:r w:rsidRPr="00180522">
        <w:rPr>
          <w:lang w:val="en-GB"/>
        </w:rPr>
        <w:t xml:space="preserve"> contains modifications to add trustworthy networking deployment architecture and procedures for IP networks in the Internet.</w:t>
      </w:r>
    </w:p>
    <w:p w14:paraId="4275F37B" w14:textId="77777777" w:rsidR="006A46AE" w:rsidRPr="00180522" w:rsidRDefault="006A46AE" w:rsidP="006A46AE">
      <w:pPr>
        <w:pStyle w:val="Headingb"/>
      </w:pPr>
      <w:bookmarkStart w:id="236" w:name="_Toc480527904"/>
      <w:r w:rsidRPr="00180522">
        <w:t>I.6.1</w:t>
      </w:r>
      <w:r w:rsidRPr="00180522">
        <w:tab/>
        <w:t>Green ICT standards</w:t>
      </w:r>
      <w:bookmarkEnd w:id="236"/>
    </w:p>
    <w:p w14:paraId="420A88C7" w14:textId="77777777" w:rsidR="006A46AE" w:rsidRPr="00180522" w:rsidRDefault="006A46AE" w:rsidP="006A46AE">
      <w:pPr>
        <w:rPr>
          <w:lang w:val="en-GB"/>
        </w:rPr>
      </w:pPr>
      <w:r w:rsidRPr="00180522">
        <w:rPr>
          <w:b/>
          <w:lang w:val="en-GB"/>
        </w:rPr>
        <w:t xml:space="preserve">ITU-T L.1000 (revised) "Universal power adapter and charger solution for mobile terminals and other hand-held ICT devices" </w:t>
      </w:r>
      <w:r w:rsidRPr="00180522">
        <w:rPr>
          <w:lang w:val="en-GB"/>
        </w:rPr>
        <w:t>provides high level requirements for a universal power adapter and charger solution that will reduce the number of power adapters and chargers produced and recycled by widening their application to more devices and increasing their lifetime. The solution also aims to reduce energy consumption. The longer life cycle and possibility of avoiding device duplication reduces the demand on raw materials and waste. The universal power adapter and charger solution is designed to serve the vast majority of mobile terminals and other ICT devices.</w:t>
      </w:r>
    </w:p>
    <w:p w14:paraId="292E24FE" w14:textId="77777777" w:rsidR="006A46AE" w:rsidRPr="00180522" w:rsidRDefault="006A46AE" w:rsidP="006A46AE">
      <w:pPr>
        <w:rPr>
          <w:lang w:val="en-GB"/>
        </w:rPr>
      </w:pPr>
      <w:r w:rsidRPr="00180522">
        <w:rPr>
          <w:b/>
          <w:lang w:val="en-GB"/>
        </w:rPr>
        <w:t>ITU-T L.1015 "Criteria for evaluation of the environmental impact of mobile phones"</w:t>
      </w:r>
      <w:r w:rsidRPr="00180522">
        <w:rPr>
          <w:lang w:val="en-GB"/>
        </w:rPr>
        <w:t xml:space="preserve">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materials; energy use; durability, upgrade and repair operations; end of life management; packaging, corporate practice; manufacturing and operations.</w:t>
      </w:r>
    </w:p>
    <w:p w14:paraId="6A4DF0EC" w14:textId="77777777" w:rsidR="006A46AE" w:rsidRPr="00180522" w:rsidRDefault="006A46AE" w:rsidP="006A46AE">
      <w:pPr>
        <w:rPr>
          <w:lang w:val="en-GB"/>
        </w:rPr>
      </w:pPr>
      <w:r w:rsidRPr="00180522">
        <w:rPr>
          <w:b/>
          <w:lang w:val="en-GB"/>
        </w:rPr>
        <w:t xml:space="preserve">ITU-T L.1022 "Circular Economy: Definitions and concepts for material efficiency for Information and Communication Technology" </w:t>
      </w:r>
      <w:r w:rsidRPr="00180522">
        <w:rPr>
          <w:lang w:val="en-GB"/>
        </w:rPr>
        <w:t>(under approval) contains a guide to circular economy (CE) aspects, parameters, metrics, indicators for information and communication technology (ICT) based on current approaches, concepts and metrics of the CE as defined in existing standards, while considering their applicability for ICT.</w:t>
      </w:r>
    </w:p>
    <w:p w14:paraId="4B2086F8" w14:textId="77777777" w:rsidR="006A46AE" w:rsidRPr="00180522" w:rsidRDefault="006A46AE" w:rsidP="006A46AE">
      <w:pPr>
        <w:rPr>
          <w:lang w:val="en-GB"/>
        </w:rPr>
      </w:pPr>
      <w:r w:rsidRPr="00180522">
        <w:rPr>
          <w:lang w:val="en-GB"/>
        </w:rPr>
        <w:t>In this Recommendation ICT is defined as based on OECD [b-ISIC].</w:t>
      </w:r>
    </w:p>
    <w:p w14:paraId="39E6ADE3" w14:textId="77777777" w:rsidR="006A46AE" w:rsidRPr="00180522" w:rsidRDefault="006A46AE" w:rsidP="006A46AE">
      <w:pPr>
        <w:rPr>
          <w:lang w:val="en-GB"/>
        </w:rPr>
      </w:pPr>
      <w:r w:rsidRPr="00180522">
        <w:rPr>
          <w:lang w:val="en-GB"/>
        </w:rPr>
        <w:t xml:space="preserve">This Recommendation discusses the special considerations and challenges in a broader and more in depth context for all ICT defining parameters, metrics, and indicators with the intention to guide the vertical standardization of the material efficiency for ICT. The guideline aims to examine the kinds </w:t>
      </w:r>
      <w:r w:rsidRPr="00180522">
        <w:rPr>
          <w:lang w:val="en-GB"/>
        </w:rPr>
        <w:lastRenderedPageBreak/>
        <w:t>of standards that are available and to assess their relevance for ICT product groups citing examples of interrelated relevance throughout the text of the Recommendation. As such, this Recommendation precedes potential product specific standardization of specific ICT product groups and intends to help guide such standardization.</w:t>
      </w:r>
    </w:p>
    <w:p w14:paraId="61A9B67A" w14:textId="77777777" w:rsidR="006A46AE" w:rsidRPr="00180522" w:rsidRDefault="006A46AE" w:rsidP="006A46AE">
      <w:pPr>
        <w:rPr>
          <w:lang w:val="en-GB"/>
        </w:rPr>
      </w:pPr>
      <w:r w:rsidRPr="00180522">
        <w:rPr>
          <w:b/>
          <w:lang w:val="en-GB"/>
        </w:rPr>
        <w:t>ITU-T L.1032 "Guidelines and certification schemes for e-waste recyclers"</w:t>
      </w:r>
      <w:r w:rsidRPr="00180522">
        <w:rPr>
          <w:lang w:val="en-GB"/>
        </w:rPr>
        <w:t xml:space="preserve"> is part of a series of Recommendations that considers requirements for recyclers of waste information and communication technology (ICT). It addresses in particular the informal sector that is involved in waste electrical and electronic equipment (WEEE) collection and dismantling.</w:t>
      </w:r>
    </w:p>
    <w:p w14:paraId="46CA5E6E" w14:textId="77777777" w:rsidR="006A46AE" w:rsidRPr="00180522" w:rsidRDefault="006A46AE" w:rsidP="006A46AE">
      <w:pPr>
        <w:rPr>
          <w:lang w:val="en-GB"/>
        </w:rPr>
      </w:pPr>
      <w:r w:rsidRPr="00180522">
        <w:rPr>
          <w:lang w:val="en-GB"/>
        </w:rPr>
        <w:t xml:space="preserve">The Recommendations must be read in conjunction with national legislation and technical requirements for WEEE recyclers at the national level. A number of standards on WEEE, related to the present series of Recommendations are published on the website of the ITU-T at </w:t>
      </w:r>
      <w:hyperlink r:id="rId253" w:history="1">
        <w:r w:rsidRPr="00180522">
          <w:rPr>
            <w:rStyle w:val="Hyperlink"/>
            <w:lang w:val="en-GB"/>
          </w:rPr>
          <w:t>https://itu.int/en/ITU-T</w:t>
        </w:r>
      </w:hyperlink>
      <w:r w:rsidRPr="00180522">
        <w:rPr>
          <w:lang w:val="en-GB"/>
        </w:rPr>
        <w:t>.</w:t>
      </w:r>
    </w:p>
    <w:p w14:paraId="5C958251" w14:textId="77777777" w:rsidR="006A46AE" w:rsidRPr="00180522" w:rsidRDefault="006A46AE" w:rsidP="006A46AE">
      <w:pPr>
        <w:rPr>
          <w:lang w:val="en-GB"/>
        </w:rPr>
      </w:pPr>
      <w:r w:rsidRPr="00180522">
        <w:rPr>
          <w:lang w:val="en-GB"/>
        </w:rPr>
        <w:t xml:space="preserve">Updates on the regional and international conventions and legislation presented can be found at: www.Basel.int (for the Basel Convention), also at: </w:t>
      </w:r>
      <w:hyperlink r:id="rId254" w:history="1">
        <w:r w:rsidRPr="00180522">
          <w:rPr>
            <w:rStyle w:val="Hyperlink"/>
            <w:rFonts w:cs="Arial Unicode MS"/>
            <w:lang w:val="en-GB"/>
          </w:rPr>
          <w:t>http://ec.europa.eu/environment/waste/</w:t>
        </w:r>
        <w:r w:rsidRPr="00180522">
          <w:rPr>
            <w:rStyle w:val="Hyperlink"/>
            <w:lang w:val="en-GB"/>
          </w:rPr>
          <w:t>‌</w:t>
        </w:r>
        <w:r w:rsidRPr="00180522">
          <w:rPr>
            <w:rStyle w:val="Hyperlink"/>
            <w:rFonts w:cs="Arial Unicode MS"/>
            <w:lang w:val="en-GB"/>
          </w:rPr>
          <w:t>shipments/legis.htm</w:t>
        </w:r>
      </w:hyperlink>
      <w:r w:rsidRPr="00180522">
        <w:rPr>
          <w:lang w:val="en-GB"/>
        </w:rPr>
        <w:t xml:space="preserve"> (for the EU waste shipment regulations), and at: </w:t>
      </w:r>
      <w:hyperlink r:id="rId255" w:history="1">
        <w:r w:rsidRPr="00180522">
          <w:rPr>
            <w:rStyle w:val="Hyperlink"/>
            <w:rFonts w:cs="Arial Unicode MS"/>
            <w:lang w:val="en-GB"/>
          </w:rPr>
          <w:t>http://ec.europa.eu/</w:t>
        </w:r>
        <w:r w:rsidRPr="00180522">
          <w:rPr>
            <w:rStyle w:val="Hyperlink"/>
            <w:lang w:val="en-GB"/>
          </w:rPr>
          <w:t>‌</w:t>
        </w:r>
        <w:r w:rsidRPr="00180522">
          <w:rPr>
            <w:rStyle w:val="Hyperlink"/>
            <w:rFonts w:cs="Arial Unicode MS"/>
            <w:lang w:val="en-GB"/>
          </w:rPr>
          <w:t>environment/waste/</w:t>
        </w:r>
        <w:r w:rsidRPr="00180522">
          <w:rPr>
            <w:rStyle w:val="Hyperlink"/>
            <w:lang w:val="en-GB"/>
          </w:rPr>
          <w:t>weee</w:t>
        </w:r>
        <w:r w:rsidRPr="00180522">
          <w:rPr>
            <w:rStyle w:val="Hyperlink"/>
            <w:rFonts w:cs="Arial Unicode MS"/>
            <w:lang w:val="en-GB"/>
          </w:rPr>
          <w:t>/index_en.htm</w:t>
        </w:r>
      </w:hyperlink>
      <w:r w:rsidRPr="00180522">
        <w:rPr>
          <w:lang w:val="en-GB"/>
        </w:rPr>
        <w:t xml:space="preserve"> (for the EU WEEE directive).</w:t>
      </w:r>
    </w:p>
    <w:p w14:paraId="6EB54DE4" w14:textId="77777777" w:rsidR="006A46AE" w:rsidRPr="00180522" w:rsidRDefault="006A46AE" w:rsidP="006A46AE">
      <w:pPr>
        <w:rPr>
          <w:lang w:val="en-GB"/>
        </w:rPr>
      </w:pPr>
      <w:r w:rsidRPr="00180522">
        <w:rPr>
          <w:lang w:val="en-GB"/>
        </w:rPr>
        <w:t>In addition, there are a number of mandatory and voluntary standards on the treatment conditions for workers and the environment that can be used as guidelines to improve national legislation and the quality of recycling where such standards are yet to be implemented.</w:t>
      </w:r>
    </w:p>
    <w:p w14:paraId="3C7A1652" w14:textId="77777777" w:rsidR="006A46AE" w:rsidRPr="00180522" w:rsidRDefault="006A46AE" w:rsidP="006A46AE">
      <w:pPr>
        <w:rPr>
          <w:lang w:val="en-GB"/>
        </w:rPr>
      </w:pPr>
      <w:r w:rsidRPr="00180522">
        <w:rPr>
          <w:b/>
          <w:lang w:val="en-GB"/>
        </w:rPr>
        <w:t>ITU-T L.1362 "Interface for power management in network function virtualization environments –Green abstraction layer version 2"</w:t>
      </w:r>
      <w:r w:rsidRPr="00180522">
        <w:rPr>
          <w:lang w:val="en-GB"/>
        </w:rPr>
        <w:t xml:space="preserve">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p w14:paraId="32B7103F" w14:textId="77777777" w:rsidR="006A46AE" w:rsidRPr="00180522" w:rsidRDefault="006A46AE" w:rsidP="006A46AE">
      <w:pPr>
        <w:rPr>
          <w:rFonts w:eastAsia="MS Mincho"/>
          <w:highlight w:val="yellow"/>
          <w:lang w:val="en-GB"/>
        </w:rPr>
      </w:pPr>
      <w:r w:rsidRPr="00180522">
        <w:rPr>
          <w:rFonts w:eastAsia="MS Mincho"/>
          <w:b/>
          <w:lang w:val="en-GB"/>
        </w:rPr>
        <w:t>ITU-T L.1507 "Use of ICT sites to support environmental sensing"</w:t>
      </w:r>
      <w:r w:rsidRPr="00180522">
        <w:rPr>
          <w:rFonts w:eastAsia="MS Mincho"/>
          <w:lang w:val="en-GB"/>
        </w:rPr>
        <w:t xml:space="preserve"> presents a set of rules for installing the environmental sensing system on ICT sites in order to utilize the ICT sites as environmental sensing stations.</w:t>
      </w:r>
    </w:p>
    <w:p w14:paraId="33F70D2A" w14:textId="77777777" w:rsidR="006A46AE" w:rsidRPr="00180522" w:rsidRDefault="006A46AE" w:rsidP="006A46AE">
      <w:pPr>
        <w:pStyle w:val="Headingb"/>
      </w:pPr>
      <w:bookmarkStart w:id="237" w:name="_Toc480527905"/>
      <w:r w:rsidRPr="00180522">
        <w:t>I.6.2</w:t>
      </w:r>
      <w:r w:rsidRPr="00180522">
        <w:tab/>
        <w:t>Electromagnetic fields</w:t>
      </w:r>
      <w:bookmarkEnd w:id="237"/>
    </w:p>
    <w:p w14:paraId="27C0DAA7" w14:textId="77777777" w:rsidR="006A46AE" w:rsidRPr="00180522" w:rsidRDefault="006A46AE" w:rsidP="006A46AE">
      <w:pPr>
        <w:rPr>
          <w:lang w:val="en-GB"/>
        </w:rPr>
      </w:pPr>
      <w:r w:rsidRPr="00180522">
        <w:rPr>
          <w:b/>
          <w:bCs/>
          <w:lang w:val="en-GB"/>
        </w:rPr>
        <w:t xml:space="preserve">ITU-T K.20 (revised) "Resistibility of telecommunication equipment installed in a telecommunication centre to </w:t>
      </w:r>
      <w:proofErr w:type="spellStart"/>
      <w:r w:rsidRPr="00180522">
        <w:rPr>
          <w:b/>
          <w:bCs/>
          <w:lang w:val="en-GB"/>
        </w:rPr>
        <w:t>overvoltages</w:t>
      </w:r>
      <w:proofErr w:type="spellEnd"/>
      <w:r w:rsidRPr="00180522">
        <w:rPr>
          <w:b/>
          <w:bCs/>
          <w:lang w:val="en-GB"/>
        </w:rPr>
        <w:t xml:space="preserve"> and </w:t>
      </w:r>
      <w:proofErr w:type="spellStart"/>
      <w:r w:rsidRPr="00180522">
        <w:rPr>
          <w:b/>
          <w:bCs/>
          <w:lang w:val="en-GB"/>
        </w:rPr>
        <w:t>overcurrents</w:t>
      </w:r>
      <w:proofErr w:type="spellEnd"/>
      <w:r w:rsidRPr="00180522">
        <w:rPr>
          <w:b/>
          <w:bCs/>
          <w:lang w:val="en-GB"/>
        </w:rPr>
        <w:t>"</w:t>
      </w:r>
      <w:r w:rsidRPr="00180522">
        <w:rPr>
          <w:lang w:val="en-GB"/>
        </w:rPr>
        <w:t xml:space="preserve"> specifies resistibility requirements and test procedures for telecommunication equipment that is attached to or installed within a telecommunication centre. </w:t>
      </w:r>
      <w:proofErr w:type="spellStart"/>
      <w:r w:rsidRPr="00180522">
        <w:rPr>
          <w:lang w:val="en-GB"/>
        </w:rPr>
        <w:t>Overvoltages</w:t>
      </w:r>
      <w:proofErr w:type="spellEnd"/>
      <w:r w:rsidRPr="00180522">
        <w:rPr>
          <w:lang w:val="en-GB"/>
        </w:rPr>
        <w:t xml:space="preserve"> and </w:t>
      </w:r>
      <w:proofErr w:type="spellStart"/>
      <w:r w:rsidRPr="00180522">
        <w:rPr>
          <w:lang w:val="en-GB"/>
        </w:rPr>
        <w:t>overcurrents</w:t>
      </w:r>
      <w:proofErr w:type="spellEnd"/>
      <w:r w:rsidRPr="00180522">
        <w:rPr>
          <w:lang w:val="en-GB"/>
        </w:rPr>
        <w:t xml:space="preserve"> covered by this Recommendation include surges due to lightning on or near the line plant, short term induction from adjacent </w:t>
      </w:r>
      <w:proofErr w:type="spellStart"/>
      <w:r w:rsidRPr="00180522">
        <w:rPr>
          <w:lang w:val="en-GB"/>
        </w:rPr>
        <w:t>a.c</w:t>
      </w:r>
      <w:proofErr w:type="spellEnd"/>
      <w:r w:rsidRPr="00180522">
        <w:rPr>
          <w:lang w:val="en-GB"/>
        </w:rPr>
        <w:t xml:space="preserve">. power lines or railway systems, earth potential rise due to power faults, direct contact between telecommunication lines and power lines, and electrostatic discharges (ESDs). The sources for </w:t>
      </w:r>
      <w:proofErr w:type="spellStart"/>
      <w:r w:rsidRPr="00180522">
        <w:rPr>
          <w:lang w:val="en-GB"/>
        </w:rPr>
        <w:t>overvoltages</w:t>
      </w:r>
      <w:proofErr w:type="spellEnd"/>
      <w:r w:rsidRPr="00180522">
        <w:rPr>
          <w:lang w:val="en-GB"/>
        </w:rPr>
        <w:t xml:space="preserve"> in internal lines, between equipment or racks, are mainly inductive coupling caused by lightning currents being conducted in nearby lightning strikes or lightning currents being conducted in nearby conductors.</w:t>
      </w:r>
    </w:p>
    <w:p w14:paraId="2C90FCB4" w14:textId="77777777" w:rsidR="006A46AE" w:rsidRPr="00180522" w:rsidRDefault="006A46AE" w:rsidP="006A46AE">
      <w:pPr>
        <w:rPr>
          <w:lang w:val="en-GB"/>
        </w:rPr>
      </w:pPr>
      <w:r w:rsidRPr="00180522">
        <w:rPr>
          <w:lang w:val="en-GB"/>
        </w:rPr>
        <w:t>Major changes compared with Recommendation ITU-T K.20 (2017) include:</w:t>
      </w:r>
    </w:p>
    <w:p w14:paraId="513B5C88" w14:textId="77777777" w:rsidR="006A46AE" w:rsidRPr="00180522" w:rsidRDefault="006A46AE" w:rsidP="006A46AE">
      <w:pPr>
        <w:rPr>
          <w:lang w:val="en-GB"/>
        </w:rPr>
      </w:pPr>
      <w:r w:rsidRPr="00180522">
        <w:rPr>
          <w:lang w:val="en-GB"/>
        </w:rPr>
        <w:t>–</w:t>
      </w:r>
      <w:r w:rsidRPr="00180522">
        <w:rPr>
          <w:lang w:val="en-GB"/>
        </w:rPr>
        <w:tab/>
        <w:t>DC insulation resistance test;</w:t>
      </w:r>
    </w:p>
    <w:p w14:paraId="6D59B0C2" w14:textId="77777777" w:rsidR="006A46AE" w:rsidRPr="00180522" w:rsidRDefault="006A46AE" w:rsidP="006A46AE">
      <w:pPr>
        <w:rPr>
          <w:lang w:val="en-GB"/>
        </w:rPr>
      </w:pPr>
      <w:r w:rsidRPr="00180522">
        <w:rPr>
          <w:lang w:val="en-GB"/>
        </w:rPr>
        <w:t>–</w:t>
      </w:r>
      <w:r w:rsidRPr="00180522">
        <w:rPr>
          <w:lang w:val="en-GB"/>
        </w:rPr>
        <w:tab/>
        <w:t>Revised test exemption for internal short cables;</w:t>
      </w:r>
    </w:p>
    <w:p w14:paraId="24DEFD23" w14:textId="77777777" w:rsidR="006A46AE" w:rsidRPr="00180522" w:rsidRDefault="006A46AE" w:rsidP="006A46AE">
      <w:pPr>
        <w:rPr>
          <w:lang w:val="en-GB"/>
        </w:rPr>
      </w:pPr>
      <w:r w:rsidRPr="00180522">
        <w:rPr>
          <w:lang w:val="en-GB"/>
        </w:rPr>
        <w:t>–</w:t>
      </w:r>
      <w:r w:rsidRPr="00180522">
        <w:rPr>
          <w:lang w:val="en-GB"/>
        </w:rPr>
        <w:tab/>
        <w:t>renaming of some test titles for clarity;</w:t>
      </w:r>
    </w:p>
    <w:p w14:paraId="19A1E888" w14:textId="77777777" w:rsidR="006A46AE" w:rsidRPr="00180522" w:rsidRDefault="006A46AE" w:rsidP="006A46AE">
      <w:pPr>
        <w:rPr>
          <w:lang w:val="en-GB"/>
        </w:rPr>
      </w:pPr>
      <w:r w:rsidRPr="00180522">
        <w:rPr>
          <w:lang w:val="en-GB"/>
        </w:rPr>
        <w:t>–</w:t>
      </w:r>
      <w:r w:rsidRPr="00180522">
        <w:rPr>
          <w:lang w:val="en-GB"/>
        </w:rPr>
        <w:tab/>
        <w:t>Screened cable exemptions;</w:t>
      </w:r>
    </w:p>
    <w:p w14:paraId="73626173" w14:textId="77777777" w:rsidR="006A46AE" w:rsidRPr="00180522" w:rsidRDefault="006A46AE" w:rsidP="006A46AE">
      <w:pPr>
        <w:rPr>
          <w:szCs w:val="22"/>
          <w:highlight w:val="yellow"/>
          <w:lang w:val="en-GB"/>
        </w:rPr>
      </w:pPr>
      <w:r w:rsidRPr="00180522">
        <w:rPr>
          <w:lang w:val="en-GB"/>
        </w:rPr>
        <w:t>–</w:t>
      </w:r>
      <w:r w:rsidRPr="00180522">
        <w:rPr>
          <w:lang w:val="en-GB"/>
        </w:rPr>
        <w:tab/>
        <w:t>addition of 7.10 a twisted pair port transverse/differential test.</w:t>
      </w:r>
    </w:p>
    <w:p w14:paraId="204173E3" w14:textId="77777777" w:rsidR="006A46AE" w:rsidRPr="00180522" w:rsidRDefault="006A46AE" w:rsidP="006A46AE">
      <w:pPr>
        <w:rPr>
          <w:szCs w:val="24"/>
          <w:lang w:val="en-GB"/>
        </w:rPr>
      </w:pPr>
      <w:r w:rsidRPr="00180522">
        <w:rPr>
          <w:b/>
          <w:bCs/>
          <w:lang w:val="en-GB"/>
        </w:rPr>
        <w:lastRenderedPageBreak/>
        <w:t xml:space="preserve">ITU-T K.21 (revised) "Resistibility of telecommunication equipment installed in customer premises to </w:t>
      </w:r>
      <w:proofErr w:type="spellStart"/>
      <w:r w:rsidRPr="00180522">
        <w:rPr>
          <w:b/>
          <w:bCs/>
          <w:lang w:val="en-GB"/>
        </w:rPr>
        <w:t>overvoltages</w:t>
      </w:r>
      <w:proofErr w:type="spellEnd"/>
      <w:r w:rsidRPr="00180522">
        <w:rPr>
          <w:b/>
          <w:bCs/>
          <w:lang w:val="en-GB"/>
        </w:rPr>
        <w:t xml:space="preserve"> and </w:t>
      </w:r>
      <w:proofErr w:type="spellStart"/>
      <w:r w:rsidRPr="00180522">
        <w:rPr>
          <w:b/>
          <w:bCs/>
          <w:lang w:val="en-GB"/>
        </w:rPr>
        <w:t>overcurrents</w:t>
      </w:r>
      <w:proofErr w:type="spellEnd"/>
      <w:r w:rsidRPr="00180522">
        <w:rPr>
          <w:b/>
          <w:bCs/>
          <w:lang w:val="en-GB"/>
        </w:rPr>
        <w:t>"</w:t>
      </w:r>
      <w:r w:rsidRPr="00180522">
        <w:rPr>
          <w:lang w:val="en-GB"/>
        </w:rPr>
        <w:t xml:space="preserve"> </w:t>
      </w:r>
      <w:r w:rsidRPr="00180522">
        <w:rPr>
          <w:szCs w:val="24"/>
          <w:lang w:val="en-GB"/>
        </w:rPr>
        <w:t xml:space="preserve">specifies resistibility requirements and test procedures for telecommunication equipment that is attached to or installed within a customer's premises. </w:t>
      </w:r>
      <w:proofErr w:type="spellStart"/>
      <w:r w:rsidRPr="00180522">
        <w:rPr>
          <w:szCs w:val="24"/>
          <w:lang w:val="en-GB"/>
        </w:rPr>
        <w:t>Overvoltages</w:t>
      </w:r>
      <w:proofErr w:type="spellEnd"/>
      <w:r w:rsidRPr="00180522">
        <w:rPr>
          <w:szCs w:val="24"/>
          <w:lang w:val="en-GB"/>
        </w:rPr>
        <w:t xml:space="preserve"> or </w:t>
      </w:r>
      <w:proofErr w:type="spellStart"/>
      <w:r w:rsidRPr="00180522">
        <w:rPr>
          <w:szCs w:val="24"/>
          <w:lang w:val="en-GB"/>
        </w:rPr>
        <w:t>overcurrents</w:t>
      </w:r>
      <w:proofErr w:type="spellEnd"/>
      <w:r w:rsidRPr="00180522">
        <w:rPr>
          <w:szCs w:val="24"/>
          <w:lang w:val="en-GB"/>
        </w:rPr>
        <w:t xml:space="preserve"> covered by this Recommendation include surges due to lightning on or near the line plant, short-term induction from adjacent alternating current (</w:t>
      </w:r>
      <w:proofErr w:type="spellStart"/>
      <w:r w:rsidRPr="00180522">
        <w:rPr>
          <w:szCs w:val="24"/>
          <w:lang w:val="en-GB"/>
        </w:rPr>
        <w:t>a.c</w:t>
      </w:r>
      <w:proofErr w:type="spellEnd"/>
      <w:r w:rsidRPr="00180522">
        <w:rPr>
          <w:szCs w:val="24"/>
          <w:lang w:val="en-GB"/>
        </w:rPr>
        <w:t xml:space="preserve">.) power lines or railway systems, earth potential rise due to power faults, direct contact between telecommunication lines and power lines, and electrostatic discharges (ESDs). The sources for </w:t>
      </w:r>
      <w:proofErr w:type="spellStart"/>
      <w:r w:rsidRPr="00180522">
        <w:rPr>
          <w:szCs w:val="24"/>
          <w:lang w:val="en-GB"/>
        </w:rPr>
        <w:t>overvoltages</w:t>
      </w:r>
      <w:proofErr w:type="spellEnd"/>
      <w:r w:rsidRPr="00180522">
        <w:rPr>
          <w:szCs w:val="24"/>
          <w:lang w:val="en-GB"/>
        </w:rPr>
        <w:t xml:space="preserve"> in internal lines are mainly inductive coupling caused by lightning currents being conducted in nearby lightning strikes or lightning currents being conducted by nearby conductors.</w:t>
      </w:r>
    </w:p>
    <w:p w14:paraId="0A078FBA" w14:textId="77777777" w:rsidR="006A46AE" w:rsidRPr="00180522" w:rsidRDefault="006A46AE" w:rsidP="006A46AE">
      <w:pPr>
        <w:rPr>
          <w:szCs w:val="24"/>
          <w:lang w:val="en-GB"/>
        </w:rPr>
      </w:pPr>
      <w:r w:rsidRPr="00180522">
        <w:rPr>
          <w:szCs w:val="24"/>
          <w:lang w:val="en-GB"/>
        </w:rPr>
        <w:t>Changes compared with Recommendation ITU-T K.21 (2018) include:</w:t>
      </w:r>
    </w:p>
    <w:p w14:paraId="5F219841" w14:textId="77777777" w:rsidR="006A46AE" w:rsidRPr="00180522" w:rsidRDefault="006A46AE" w:rsidP="006A46AE">
      <w:pPr>
        <w:pStyle w:val="enumlev1"/>
        <w:tabs>
          <w:tab w:val="clear" w:pos="794"/>
          <w:tab w:val="left" w:pos="601"/>
        </w:tabs>
        <w:ind w:left="601" w:hanging="601"/>
        <w:rPr>
          <w:szCs w:val="24"/>
          <w:lang w:val="en-GB"/>
        </w:rPr>
      </w:pPr>
      <w:r w:rsidRPr="00180522">
        <w:rPr>
          <w:szCs w:val="24"/>
          <w:lang w:val="en-GB"/>
        </w:rPr>
        <w:t>•</w:t>
      </w:r>
      <w:r w:rsidRPr="00180522">
        <w:rPr>
          <w:szCs w:val="24"/>
          <w:lang w:val="en-GB"/>
        </w:rPr>
        <w:tab/>
        <w:t>added Special resistibility requirements</w:t>
      </w:r>
    </w:p>
    <w:p w14:paraId="26DACC9B" w14:textId="77777777" w:rsidR="006A46AE" w:rsidRPr="00180522" w:rsidRDefault="006A46AE" w:rsidP="006A46AE">
      <w:pPr>
        <w:pStyle w:val="enumlev1"/>
        <w:tabs>
          <w:tab w:val="clear" w:pos="794"/>
          <w:tab w:val="left" w:pos="601"/>
        </w:tabs>
        <w:ind w:left="601" w:hanging="601"/>
        <w:rPr>
          <w:szCs w:val="24"/>
          <w:lang w:val="en-GB"/>
        </w:rPr>
      </w:pPr>
      <w:r w:rsidRPr="00180522">
        <w:rPr>
          <w:szCs w:val="24"/>
          <w:lang w:val="en-GB"/>
        </w:rPr>
        <w:t>•</w:t>
      </w:r>
      <w:r w:rsidRPr="00180522">
        <w:rPr>
          <w:szCs w:val="24"/>
          <w:lang w:val="en-GB"/>
        </w:rPr>
        <w:tab/>
        <w:t>added DC insulation resistance test;</w:t>
      </w:r>
    </w:p>
    <w:p w14:paraId="32E82BBA" w14:textId="77777777" w:rsidR="006A46AE" w:rsidRPr="00180522" w:rsidRDefault="006A46AE" w:rsidP="006A46AE">
      <w:pPr>
        <w:pStyle w:val="enumlev1"/>
        <w:tabs>
          <w:tab w:val="clear" w:pos="794"/>
          <w:tab w:val="left" w:pos="601"/>
        </w:tabs>
        <w:ind w:left="601" w:hanging="601"/>
        <w:rPr>
          <w:szCs w:val="24"/>
          <w:lang w:val="en-GB"/>
        </w:rPr>
      </w:pPr>
      <w:r w:rsidRPr="00180522">
        <w:rPr>
          <w:szCs w:val="24"/>
          <w:lang w:val="en-GB"/>
        </w:rPr>
        <w:t>•</w:t>
      </w:r>
      <w:r w:rsidRPr="00180522">
        <w:rPr>
          <w:szCs w:val="24"/>
          <w:lang w:val="en-GB"/>
        </w:rPr>
        <w:tab/>
        <w:t>added test 7.10</w:t>
      </w:r>
    </w:p>
    <w:p w14:paraId="0FE25B1C" w14:textId="77777777" w:rsidR="006A46AE" w:rsidRPr="00180522" w:rsidRDefault="006A46AE" w:rsidP="006A46AE">
      <w:pPr>
        <w:pStyle w:val="enumlev1"/>
        <w:tabs>
          <w:tab w:val="clear" w:pos="794"/>
          <w:tab w:val="left" w:pos="601"/>
        </w:tabs>
        <w:ind w:left="601" w:hanging="601"/>
        <w:rPr>
          <w:szCs w:val="24"/>
          <w:lang w:val="en-GB"/>
        </w:rPr>
      </w:pPr>
      <w:r w:rsidRPr="00180522">
        <w:rPr>
          <w:szCs w:val="24"/>
          <w:lang w:val="en-GB"/>
        </w:rPr>
        <w:t>•</w:t>
      </w:r>
      <w:r w:rsidRPr="00180522">
        <w:rPr>
          <w:szCs w:val="24"/>
          <w:lang w:val="en-GB"/>
        </w:rPr>
        <w:tab/>
        <w:t>changed some test labels</w:t>
      </w:r>
      <w:r w:rsidRPr="00180522">
        <w:rPr>
          <w:lang w:val="en-GB"/>
        </w:rPr>
        <w:t>.</w:t>
      </w:r>
    </w:p>
    <w:p w14:paraId="79CE0128" w14:textId="77777777" w:rsidR="006A46AE" w:rsidRPr="00180522" w:rsidRDefault="006A46AE" w:rsidP="006A46AE">
      <w:pPr>
        <w:rPr>
          <w:lang w:val="en-GB"/>
        </w:rPr>
      </w:pPr>
      <w:r w:rsidRPr="00180522">
        <w:rPr>
          <w:b/>
          <w:bCs/>
          <w:lang w:val="en-GB"/>
        </w:rPr>
        <w:t xml:space="preserve">ITU-T K.44 (revised) "Resistibility tests for telecommunication equipment exposed to </w:t>
      </w:r>
      <w:proofErr w:type="spellStart"/>
      <w:r w:rsidRPr="00180522">
        <w:rPr>
          <w:b/>
          <w:bCs/>
          <w:lang w:val="en-GB"/>
        </w:rPr>
        <w:t>overvoltages</w:t>
      </w:r>
      <w:proofErr w:type="spellEnd"/>
      <w:r w:rsidRPr="00180522">
        <w:rPr>
          <w:b/>
          <w:bCs/>
          <w:lang w:val="en-GB"/>
        </w:rPr>
        <w:t xml:space="preserve"> and </w:t>
      </w:r>
      <w:proofErr w:type="spellStart"/>
      <w:r w:rsidRPr="00180522">
        <w:rPr>
          <w:b/>
          <w:bCs/>
          <w:lang w:val="en-GB"/>
        </w:rPr>
        <w:t>overcurrents</w:t>
      </w:r>
      <w:proofErr w:type="spellEnd"/>
      <w:r w:rsidRPr="00180522">
        <w:rPr>
          <w:b/>
          <w:bCs/>
          <w:lang w:val="en-GB"/>
        </w:rPr>
        <w:t xml:space="preserve"> – Basic Recommendation"</w:t>
      </w:r>
      <w:r w:rsidRPr="00180522">
        <w:rPr>
          <w:lang w:val="en-GB"/>
        </w:rPr>
        <w:t xml:space="preserve"> (under approval) seeks to establish fundamental test methods and criteria for the resistibility of telecommunication equipment to </w:t>
      </w:r>
      <w:proofErr w:type="spellStart"/>
      <w:r w:rsidRPr="00180522">
        <w:rPr>
          <w:lang w:val="en-GB"/>
        </w:rPr>
        <w:t>overvoltages</w:t>
      </w:r>
      <w:proofErr w:type="spellEnd"/>
      <w:r w:rsidRPr="00180522">
        <w:rPr>
          <w:lang w:val="en-GB"/>
        </w:rPr>
        <w:t xml:space="preserve"> and </w:t>
      </w:r>
      <w:proofErr w:type="spellStart"/>
      <w:r w:rsidRPr="00180522">
        <w:rPr>
          <w:lang w:val="en-GB"/>
        </w:rPr>
        <w:t>overcurrents</w:t>
      </w:r>
      <w:proofErr w:type="spellEnd"/>
      <w:r w:rsidRPr="00180522">
        <w:rPr>
          <w:lang w:val="en-GB"/>
        </w:rPr>
        <w:t>.</w:t>
      </w:r>
    </w:p>
    <w:p w14:paraId="6F0F6060" w14:textId="77777777" w:rsidR="006A46AE" w:rsidRPr="00180522" w:rsidRDefault="006A46AE" w:rsidP="006A46AE">
      <w:pPr>
        <w:rPr>
          <w:lang w:val="en-GB"/>
        </w:rPr>
      </w:pPr>
      <w:proofErr w:type="spellStart"/>
      <w:r w:rsidRPr="00180522">
        <w:rPr>
          <w:lang w:val="en-GB"/>
        </w:rPr>
        <w:t>Overvoltages</w:t>
      </w:r>
      <w:proofErr w:type="spellEnd"/>
      <w:r w:rsidRPr="00180522">
        <w:rPr>
          <w:lang w:val="en-GB"/>
        </w:rPr>
        <w:t xml:space="preserve"> or </w:t>
      </w:r>
      <w:proofErr w:type="spellStart"/>
      <w:r w:rsidRPr="00180522">
        <w:rPr>
          <w:lang w:val="en-GB"/>
        </w:rPr>
        <w:t>overcurrents</w:t>
      </w:r>
      <w:proofErr w:type="spellEnd"/>
      <w:r w:rsidRPr="00180522">
        <w:rPr>
          <w:lang w:val="en-GB"/>
        </w:rPr>
        <w:t xml:space="preserve"> covered by this Recommendation include surges due to lightning on or near the line plant, short-term induction of alternating voltages from adjacent electric power lines or electrified railway systems, earth potential rise due to power faults and direct contacts between telecommunication lines and power lines.</w:t>
      </w:r>
    </w:p>
    <w:p w14:paraId="3BF14507" w14:textId="77777777" w:rsidR="006A46AE" w:rsidRPr="00180522" w:rsidRDefault="006A46AE" w:rsidP="006A46AE">
      <w:pPr>
        <w:rPr>
          <w:lang w:val="en-GB"/>
        </w:rPr>
      </w:pPr>
      <w:r w:rsidRPr="00180522">
        <w:rPr>
          <w:lang w:val="en-GB"/>
        </w:rPr>
        <w:t>Major changes compared with the 2018 version of this Recommendation include:</w:t>
      </w:r>
    </w:p>
    <w:p w14:paraId="31F1E4A7" w14:textId="77777777" w:rsidR="006A46AE" w:rsidRPr="00180522" w:rsidRDefault="006A46AE" w:rsidP="006A46AE">
      <w:pPr>
        <w:pStyle w:val="enumlev1"/>
        <w:rPr>
          <w:lang w:val="en-GB"/>
        </w:rPr>
      </w:pPr>
      <w:r w:rsidRPr="00180522">
        <w:rPr>
          <w:lang w:val="en-GB"/>
        </w:rPr>
        <w:t>–</w:t>
      </w:r>
      <w:r w:rsidRPr="00180522">
        <w:rPr>
          <w:lang w:val="en-GB"/>
        </w:rPr>
        <w:tab/>
        <w:t>Appendices I and II removed and made into K.44 Supplements ;</w:t>
      </w:r>
    </w:p>
    <w:p w14:paraId="27DD9C9B" w14:textId="77777777" w:rsidR="006A46AE" w:rsidRPr="00180522" w:rsidRDefault="006A46AE" w:rsidP="006A46AE">
      <w:pPr>
        <w:pStyle w:val="enumlev1"/>
        <w:rPr>
          <w:lang w:val="en-GB"/>
        </w:rPr>
      </w:pPr>
      <w:r w:rsidRPr="00180522">
        <w:rPr>
          <w:lang w:val="en-GB"/>
        </w:rPr>
        <w:t>–</w:t>
      </w:r>
      <w:r w:rsidRPr="00180522">
        <w:rPr>
          <w:lang w:val="en-GB"/>
        </w:rPr>
        <w:tab/>
        <w:t>New twisted pair transverse/differential surge test circuit ;</w:t>
      </w:r>
    </w:p>
    <w:p w14:paraId="7BCDBA26" w14:textId="77777777" w:rsidR="006A46AE" w:rsidRPr="00180522" w:rsidRDefault="006A46AE" w:rsidP="006A46AE">
      <w:pPr>
        <w:pStyle w:val="enumlev1"/>
        <w:rPr>
          <w:lang w:val="en-GB"/>
        </w:rPr>
      </w:pPr>
      <w:r w:rsidRPr="00180522">
        <w:rPr>
          <w:lang w:val="en-GB"/>
        </w:rPr>
        <w:t>–</w:t>
      </w:r>
      <w:r w:rsidRPr="00180522">
        <w:rPr>
          <w:lang w:val="en-GB"/>
        </w:rPr>
        <w:tab/>
        <w:t>added Ethernet insulation resistance test to avoid port power cross test;</w:t>
      </w:r>
    </w:p>
    <w:p w14:paraId="1E6B4DD3" w14:textId="77777777" w:rsidR="006A46AE" w:rsidRPr="00180522" w:rsidRDefault="006A46AE" w:rsidP="006A46AE">
      <w:pPr>
        <w:rPr>
          <w:lang w:val="en-GB"/>
        </w:rPr>
      </w:pPr>
      <w:r w:rsidRPr="00180522">
        <w:rPr>
          <w:lang w:val="en-GB"/>
        </w:rPr>
        <w:t>–</w:t>
      </w:r>
      <w:r w:rsidRPr="00180522">
        <w:rPr>
          <w:lang w:val="en-GB"/>
        </w:rPr>
        <w:tab/>
        <w:t>revision of the test schematics to improve clarity.</w:t>
      </w:r>
    </w:p>
    <w:p w14:paraId="1595619C" w14:textId="77777777" w:rsidR="006A46AE" w:rsidRPr="00180522" w:rsidRDefault="006A46AE" w:rsidP="006A46AE">
      <w:pPr>
        <w:rPr>
          <w:szCs w:val="24"/>
          <w:lang w:val="en-GB"/>
        </w:rPr>
      </w:pPr>
      <w:r w:rsidRPr="00180522">
        <w:rPr>
          <w:b/>
          <w:bCs/>
          <w:lang w:val="en-GB"/>
        </w:rPr>
        <w:t xml:space="preserve">ITU-T K.45 (revised) "Resistibility of telecommunication equipment installed in the access and trunk networks to </w:t>
      </w:r>
      <w:proofErr w:type="spellStart"/>
      <w:r w:rsidRPr="00180522">
        <w:rPr>
          <w:b/>
          <w:bCs/>
          <w:lang w:val="en-GB"/>
        </w:rPr>
        <w:t>overvoltages</w:t>
      </w:r>
      <w:proofErr w:type="spellEnd"/>
      <w:r w:rsidRPr="00180522">
        <w:rPr>
          <w:b/>
          <w:bCs/>
          <w:lang w:val="en-GB"/>
        </w:rPr>
        <w:t xml:space="preserve"> and </w:t>
      </w:r>
      <w:proofErr w:type="spellStart"/>
      <w:r w:rsidRPr="00180522">
        <w:rPr>
          <w:b/>
          <w:bCs/>
          <w:lang w:val="en-GB"/>
        </w:rPr>
        <w:t>overcurrents</w:t>
      </w:r>
      <w:proofErr w:type="spellEnd"/>
      <w:r w:rsidRPr="00180522">
        <w:rPr>
          <w:b/>
          <w:bCs/>
          <w:lang w:val="en-GB"/>
        </w:rPr>
        <w:t>"</w:t>
      </w:r>
      <w:r w:rsidRPr="00180522">
        <w:rPr>
          <w:lang w:val="en-GB"/>
        </w:rPr>
        <w:t xml:space="preserve"> (under approval) </w:t>
      </w:r>
      <w:r w:rsidRPr="00180522">
        <w:rPr>
          <w:szCs w:val="24"/>
          <w:lang w:val="en-GB"/>
        </w:rPr>
        <w:t xml:space="preserve">specifies resistibility requirements and test procedures for telecommunication equipment installed between telecommunication centres and between a telecommunication centre and the customer's premises. </w:t>
      </w:r>
      <w:proofErr w:type="spellStart"/>
      <w:r w:rsidRPr="00180522">
        <w:rPr>
          <w:szCs w:val="24"/>
          <w:lang w:val="en-GB"/>
        </w:rPr>
        <w:t>Overvoltages</w:t>
      </w:r>
      <w:proofErr w:type="spellEnd"/>
      <w:r w:rsidRPr="00180522">
        <w:rPr>
          <w:szCs w:val="24"/>
          <w:lang w:val="en-GB"/>
        </w:rPr>
        <w:t xml:space="preserve"> or </w:t>
      </w:r>
      <w:proofErr w:type="spellStart"/>
      <w:r w:rsidRPr="00180522">
        <w:rPr>
          <w:szCs w:val="24"/>
          <w:lang w:val="en-GB"/>
        </w:rPr>
        <w:t>overcurrents</w:t>
      </w:r>
      <w:proofErr w:type="spellEnd"/>
      <w:r w:rsidRPr="00180522">
        <w:rPr>
          <w:szCs w:val="24"/>
          <w:lang w:val="en-GB"/>
        </w:rPr>
        <w:t xml:space="preserve">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w:t>
      </w:r>
    </w:p>
    <w:p w14:paraId="1ECE5BDD" w14:textId="77777777" w:rsidR="006A46AE" w:rsidRPr="00180522" w:rsidRDefault="006A46AE" w:rsidP="006A46AE">
      <w:pPr>
        <w:rPr>
          <w:szCs w:val="24"/>
          <w:lang w:val="en-GB"/>
        </w:rPr>
      </w:pPr>
      <w:r w:rsidRPr="00180522">
        <w:rPr>
          <w:szCs w:val="24"/>
          <w:lang w:val="en-GB"/>
        </w:rPr>
        <w:t>Changes compared with Recommendation ITU-T K.45 (2018) include:</w:t>
      </w:r>
    </w:p>
    <w:p w14:paraId="6DA6FDFB" w14:textId="77777777" w:rsidR="006A46AE" w:rsidRPr="00180522" w:rsidRDefault="006A46AE" w:rsidP="006A46AE">
      <w:pPr>
        <w:rPr>
          <w:szCs w:val="24"/>
          <w:lang w:val="en-GB"/>
        </w:rPr>
      </w:pPr>
      <w:r w:rsidRPr="00180522">
        <w:rPr>
          <w:szCs w:val="24"/>
          <w:lang w:val="en-GB"/>
        </w:rPr>
        <w:t>•</w:t>
      </w:r>
      <w:r w:rsidRPr="00180522">
        <w:rPr>
          <w:szCs w:val="24"/>
          <w:lang w:val="en-GB"/>
        </w:rPr>
        <w:tab/>
        <w:t>DC insulation resistance test;</w:t>
      </w:r>
    </w:p>
    <w:p w14:paraId="3A6A7813" w14:textId="77777777" w:rsidR="006A46AE" w:rsidRPr="00180522" w:rsidRDefault="006A46AE" w:rsidP="006A46AE">
      <w:pPr>
        <w:rPr>
          <w:szCs w:val="24"/>
          <w:lang w:val="en-GB"/>
        </w:rPr>
      </w:pPr>
      <w:r w:rsidRPr="00180522">
        <w:rPr>
          <w:szCs w:val="24"/>
          <w:lang w:val="en-GB"/>
        </w:rPr>
        <w:t>•</w:t>
      </w:r>
      <w:r w:rsidRPr="00180522">
        <w:rPr>
          <w:szCs w:val="24"/>
          <w:lang w:val="en-GB"/>
        </w:rPr>
        <w:tab/>
        <w:t>Special requirements Annex.</w:t>
      </w:r>
    </w:p>
    <w:p w14:paraId="218D4E57" w14:textId="77777777" w:rsidR="006A46AE" w:rsidRPr="00180522" w:rsidRDefault="006A46AE" w:rsidP="006A46AE">
      <w:pPr>
        <w:rPr>
          <w:highlight w:val="yellow"/>
          <w:lang w:val="en-GB"/>
        </w:rPr>
      </w:pPr>
      <w:r w:rsidRPr="00180522">
        <w:rPr>
          <w:b/>
          <w:bCs/>
          <w:lang w:val="en-GB"/>
        </w:rPr>
        <w:t xml:space="preserve">ITU-T K.77 (revised) "Characteristics of metal oxide </w:t>
      </w:r>
      <w:proofErr w:type="spellStart"/>
      <w:r w:rsidRPr="00180522">
        <w:rPr>
          <w:b/>
          <w:bCs/>
          <w:lang w:val="en-GB"/>
        </w:rPr>
        <w:t>varistors</w:t>
      </w:r>
      <w:proofErr w:type="spellEnd"/>
      <w:r w:rsidRPr="00180522">
        <w:rPr>
          <w:b/>
          <w:bCs/>
          <w:lang w:val="en-GB"/>
        </w:rPr>
        <w:t xml:space="preserve"> for the protection of telecommunication installations" </w:t>
      </w:r>
      <w:r w:rsidRPr="00180522">
        <w:rPr>
          <w:lang w:val="en-GB"/>
        </w:rPr>
        <w:t xml:space="preserve">gives the basic requirements to be met by metal oxide </w:t>
      </w:r>
      <w:proofErr w:type="spellStart"/>
      <w:r w:rsidRPr="00180522">
        <w:rPr>
          <w:lang w:val="en-GB"/>
        </w:rPr>
        <w:t>varistors</w:t>
      </w:r>
      <w:proofErr w:type="spellEnd"/>
      <w:r w:rsidRPr="00180522">
        <w:rPr>
          <w:lang w:val="en-GB"/>
        </w:rPr>
        <w:t xml:space="preserve"> (MOVs) for the protection of power circuits and signal circuits of telecommunication installations from surges. The purpose of this Recommendation is to provide technical guidelines for purchasers and manufacturers of MOVs to ensure their satisfactory operation in the applications for which they are intended. This Recommendation is intended to be used for the harmonization of existing or future specifications issued by MOV manufactures, telecommunication equipment </w:t>
      </w:r>
      <w:proofErr w:type="spellStart"/>
      <w:r w:rsidRPr="00180522">
        <w:rPr>
          <w:lang w:val="en-GB"/>
        </w:rPr>
        <w:t>manufactures</w:t>
      </w:r>
      <w:proofErr w:type="spellEnd"/>
      <w:r w:rsidRPr="00180522">
        <w:rPr>
          <w:lang w:val="en-GB"/>
        </w:rPr>
        <w:t>, administrations or network operators.</w:t>
      </w:r>
    </w:p>
    <w:p w14:paraId="4503267D" w14:textId="77777777" w:rsidR="006A46AE" w:rsidRPr="00180522" w:rsidRDefault="006A46AE" w:rsidP="006A46AE">
      <w:pPr>
        <w:rPr>
          <w:lang w:val="en-GB"/>
        </w:rPr>
      </w:pPr>
      <w:r w:rsidRPr="00180522">
        <w:rPr>
          <w:b/>
          <w:bCs/>
          <w:lang w:val="en-GB"/>
        </w:rPr>
        <w:lastRenderedPageBreak/>
        <w:t>ITU-T K.90 Appendix II "Evaluation techniques and working procedures for compliance with exposure limits of network operator personnel to power-frequency electromagnetic fields. Description of the program EMFACDC"</w:t>
      </w:r>
      <w:r w:rsidRPr="00180522">
        <w:rPr>
          <w:lang w:val="en-GB"/>
        </w:rPr>
        <w:t>. The software "EMFACDC" in Appendix II of Recommendation ITU-T K.90 was developed in 2012. As the software environment is under constantly development, there was a requirement for software adjustments. These updates were done in the new version v 2.0 that is attached to this document with the following most important modifications:</w:t>
      </w:r>
    </w:p>
    <w:p w14:paraId="24E85CCF" w14:textId="77777777" w:rsidR="006A46AE" w:rsidRPr="00180522" w:rsidRDefault="006A46AE" w:rsidP="006A46AE">
      <w:pPr>
        <w:numPr>
          <w:ilvl w:val="0"/>
          <w:numId w:val="49"/>
        </w:numPr>
        <w:rPr>
          <w:lang w:val="en-GB"/>
        </w:rPr>
      </w:pPr>
      <w:r w:rsidRPr="00180522">
        <w:rPr>
          <w:lang w:val="en-GB"/>
        </w:rPr>
        <w:t>procedures "open" and "save" were improved;</w:t>
      </w:r>
    </w:p>
    <w:p w14:paraId="013D2B0C" w14:textId="77777777" w:rsidR="006A46AE" w:rsidRPr="00180522" w:rsidRDefault="006A46AE" w:rsidP="006A46AE">
      <w:pPr>
        <w:numPr>
          <w:ilvl w:val="0"/>
          <w:numId w:val="49"/>
        </w:numPr>
        <w:rPr>
          <w:lang w:val="en-GB"/>
        </w:rPr>
      </w:pPr>
      <w:r w:rsidRPr="00180522">
        <w:rPr>
          <w:lang w:val="en-GB"/>
        </w:rPr>
        <w:t>the possibility to save numerical data with results of calculations on the horizontal and vertical lines in *.csv format was added;</w:t>
      </w:r>
    </w:p>
    <w:p w14:paraId="22A92787" w14:textId="77777777" w:rsidR="006A46AE" w:rsidRPr="00180522" w:rsidRDefault="006A46AE" w:rsidP="006A46AE">
      <w:pPr>
        <w:numPr>
          <w:ilvl w:val="0"/>
          <w:numId w:val="49"/>
        </w:numPr>
        <w:rPr>
          <w:lang w:val="en-GB"/>
        </w:rPr>
      </w:pPr>
      <w:r w:rsidRPr="00180522">
        <w:rPr>
          <w:lang w:val="en-GB"/>
        </w:rPr>
        <w:t>the new example of the high voltage line with two circuits "delta" type was added</w:t>
      </w:r>
    </w:p>
    <w:p w14:paraId="4E5E3A6A" w14:textId="77777777" w:rsidR="006A46AE" w:rsidRPr="00180522" w:rsidRDefault="006A46AE" w:rsidP="006A46AE">
      <w:pPr>
        <w:numPr>
          <w:ilvl w:val="0"/>
          <w:numId w:val="49"/>
        </w:numPr>
        <w:rPr>
          <w:lang w:val="en-GB"/>
        </w:rPr>
      </w:pPr>
      <w:r w:rsidRPr="00180522">
        <w:rPr>
          <w:lang w:val="en-GB"/>
        </w:rPr>
        <w:t>the main screen was reorganised.</w:t>
      </w:r>
    </w:p>
    <w:p w14:paraId="0FF3C7B8" w14:textId="77777777" w:rsidR="006A46AE" w:rsidRPr="00180522" w:rsidRDefault="006A46AE" w:rsidP="006A46AE">
      <w:pPr>
        <w:rPr>
          <w:lang w:val="en-GB"/>
        </w:rPr>
      </w:pPr>
      <w:r w:rsidRPr="00180522">
        <w:rPr>
          <w:b/>
          <w:bCs/>
          <w:lang w:val="en-GB"/>
        </w:rPr>
        <w:t>ITU-T K.91 Appendix IX "Manhole type base station"</w:t>
      </w:r>
      <w:r w:rsidRPr="00180522">
        <w:rPr>
          <w:lang w:val="en-GB"/>
        </w:rPr>
        <w:t xml:space="preserve"> presents the measurement results of radio frequency exposure from manhole-type base stations installed underground using the measurement methods introduced in this guideline, in order to evaluate the exposure from these base stations.</w:t>
      </w:r>
    </w:p>
    <w:p w14:paraId="1641997D" w14:textId="77777777" w:rsidR="006A46AE" w:rsidRPr="00180522" w:rsidRDefault="006A46AE" w:rsidP="006A46AE">
      <w:pPr>
        <w:rPr>
          <w:lang w:val="en-GB"/>
        </w:rPr>
      </w:pPr>
      <w:r w:rsidRPr="00180522">
        <w:rPr>
          <w:b/>
          <w:bCs/>
          <w:lang w:val="en-GB"/>
        </w:rPr>
        <w:t>ITU-T K.100 (revised) "Measurement of radio frequency electromagnetic fields to determine compliance with human exposure limits when a base station is put into service"</w:t>
      </w:r>
      <w:r w:rsidRPr="00180522">
        <w:rPr>
          <w:lang w:val="en-GB"/>
        </w:rPr>
        <w:t xml:space="preserve"> provides information on measurement techniques and procedures for assessing compliance with the general public electromagnetic fields (EMFs) exposure limits when a new base station (BS) is put into service, taking into account effects of the environment and other relevant radio frequency sources present in its surrounding.</w:t>
      </w:r>
    </w:p>
    <w:p w14:paraId="6DAA1A5D" w14:textId="77777777" w:rsidR="006A46AE" w:rsidRPr="00180522" w:rsidRDefault="006A46AE" w:rsidP="006A46AE">
      <w:pPr>
        <w:rPr>
          <w:lang w:val="en-GB"/>
        </w:rPr>
      </w:pPr>
      <w:r w:rsidRPr="00180522">
        <w:rPr>
          <w:b/>
          <w:bCs/>
          <w:lang w:val="en-GB"/>
        </w:rPr>
        <w:t xml:space="preserve">ITU-T K.112 (revised) "Lightning protection, </w:t>
      </w:r>
      <w:proofErr w:type="spellStart"/>
      <w:r w:rsidRPr="00180522">
        <w:rPr>
          <w:b/>
          <w:bCs/>
          <w:lang w:val="en-GB"/>
        </w:rPr>
        <w:t>earthing</w:t>
      </w:r>
      <w:proofErr w:type="spellEnd"/>
      <w:r w:rsidRPr="00180522">
        <w:rPr>
          <w:b/>
          <w:bCs/>
          <w:lang w:val="en-GB"/>
        </w:rPr>
        <w:t xml:space="preserve"> and bonding: Practical procedures for radio base stations"</w:t>
      </w:r>
      <w:r w:rsidRPr="00180522">
        <w:rPr>
          <w:lang w:val="en-GB"/>
        </w:rPr>
        <w:t xml:space="preserve"> provides a set of practical procedures related to the lightning protection, </w:t>
      </w:r>
      <w:proofErr w:type="spellStart"/>
      <w:r w:rsidRPr="00180522">
        <w:rPr>
          <w:lang w:val="en-GB"/>
        </w:rPr>
        <w:t>earthing</w:t>
      </w:r>
      <w:proofErr w:type="spellEnd"/>
      <w:r w:rsidRPr="00180522">
        <w:rPr>
          <w:lang w:val="en-GB"/>
        </w:rPr>
        <w:t xml:space="preserve">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w:t>
      </w:r>
      <w:proofErr w:type="spellStart"/>
      <w:r w:rsidRPr="00180522">
        <w:rPr>
          <w:lang w:val="en-GB"/>
        </w:rPr>
        <w:t>earthing</w:t>
      </w:r>
      <w:proofErr w:type="spellEnd"/>
      <w:r w:rsidRPr="00180522">
        <w:rPr>
          <w:lang w:val="en-GB"/>
        </w:rPr>
        <w:t xml:space="preserve"> network, bonding conductors and surge protective devices (SPDs). This includes the specification of the materials, </w:t>
      </w:r>
      <w:proofErr w:type="spellStart"/>
      <w:r w:rsidRPr="00180522">
        <w:rPr>
          <w:lang w:val="en-GB"/>
        </w:rPr>
        <w:t>anti corrosion</w:t>
      </w:r>
      <w:proofErr w:type="spellEnd"/>
      <w:r w:rsidRPr="00180522">
        <w:rPr>
          <w:lang w:val="en-GB"/>
        </w:rPr>
        <w:t xml:space="preserve">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w:t>
      </w:r>
      <w:proofErr w:type="spellStart"/>
      <w:r w:rsidRPr="00180522">
        <w:rPr>
          <w:lang w:val="en-GB"/>
        </w:rPr>
        <w:t>earthing</w:t>
      </w:r>
      <w:proofErr w:type="spellEnd"/>
      <w:r w:rsidRPr="00180522">
        <w:rPr>
          <w:lang w:val="en-GB"/>
        </w:rPr>
        <w:t xml:space="preserve"> network design, whereas Annex B presents an overview of the techniques for measuring the </w:t>
      </w:r>
      <w:proofErr w:type="spellStart"/>
      <w:r w:rsidRPr="00180522">
        <w:rPr>
          <w:lang w:val="en-GB"/>
        </w:rPr>
        <w:t>earthing</w:t>
      </w:r>
      <w:proofErr w:type="spellEnd"/>
      <w:r w:rsidRPr="00180522">
        <w:rPr>
          <w:lang w:val="en-GB"/>
        </w:rPr>
        <w:t xml:space="preserve"> resistance and the earth resistivity.</w:t>
      </w:r>
    </w:p>
    <w:p w14:paraId="31C24657" w14:textId="77777777" w:rsidR="006A46AE" w:rsidRPr="00180522" w:rsidRDefault="006A46AE" w:rsidP="006A46AE">
      <w:pPr>
        <w:rPr>
          <w:lang w:val="en-GB"/>
        </w:rPr>
      </w:pPr>
      <w:r w:rsidRPr="00180522">
        <w:rPr>
          <w:b/>
          <w:bCs/>
          <w:lang w:val="en-GB"/>
        </w:rPr>
        <w:t>ITU-T K.116 (revised) "Electromagnetic compatibility requirements and test methods for radio telecommunication terminal equipment"</w:t>
      </w:r>
      <w:r w:rsidRPr="00180522">
        <w:rPr>
          <w:lang w:val="en-GB"/>
        </w:rPr>
        <w:t xml:space="preserve"> establishes the essential electromagnetic compatibility (EMC) requirements for radio telecommunication terminal equipment and ancillary accessories. This Recommendation specifies the emission and immunity requirements for radio telecommunication terminal equipment and ancillary equipment including 5G terminal equipment. It also describes test conditions for emission and immunity testing. Performance assessment and criteria for immunity tests are also specified.</w:t>
      </w:r>
    </w:p>
    <w:p w14:paraId="05114875" w14:textId="77777777" w:rsidR="006A46AE" w:rsidRPr="00180522" w:rsidRDefault="006A46AE" w:rsidP="006A46AE">
      <w:pPr>
        <w:rPr>
          <w:highlight w:val="yellow"/>
          <w:lang w:val="en-GB"/>
        </w:rPr>
      </w:pPr>
      <w:r w:rsidRPr="00180522">
        <w:rPr>
          <w:b/>
          <w:bCs/>
          <w:lang w:val="en-GB"/>
        </w:rPr>
        <w:t>ITU-T K.123 (revised) "Electromagnetic compatibility requirements for electrical equipment in telecommunication facilities"</w:t>
      </w:r>
      <w:r w:rsidRPr="00180522">
        <w:rPr>
          <w:lang w:val="en-GB"/>
        </w:rPr>
        <w:t xml:space="preserve"> describes the requirements for radiated and conducted emissions from electrical systems installed in telecommunication facilities. Electrical systems in the scope of this Recommendation include rectifiers that supply direct current (DC) voltages of up to 400 V, power conditioning systems (PCSs) including grid connected power converters (GCPCs), uninterruptible power supplies (UPSs) and inverter driven electrical equipment including the air conditioners needed for the operation of telecommunication systems. Their electrical systems </w:t>
      </w:r>
      <w:r w:rsidRPr="00180522">
        <w:rPr>
          <w:lang w:val="en-GB"/>
        </w:rPr>
        <w:lastRenderedPageBreak/>
        <w:t>include power conversion devices and may generate conducted and radiated electromagnetic disturbances and cause degradation of the performance of telecommunication systems.</w:t>
      </w:r>
    </w:p>
    <w:p w14:paraId="0315639C" w14:textId="77777777" w:rsidR="006A46AE" w:rsidRPr="00180522" w:rsidRDefault="006A46AE" w:rsidP="006A46AE">
      <w:pPr>
        <w:rPr>
          <w:rFonts w:eastAsia="MS Mincho"/>
          <w:lang w:val="en-GB"/>
        </w:rPr>
      </w:pPr>
      <w:r w:rsidRPr="00180522">
        <w:rPr>
          <w:rFonts w:eastAsia="MS Mincho"/>
          <w:b/>
          <w:lang w:val="en-GB"/>
        </w:rPr>
        <w:t>ITU-T K.140 "Surge protective component application guide – Fuses"</w:t>
      </w:r>
      <w:r w:rsidRPr="00180522">
        <w:rPr>
          <w:rFonts w:eastAsia="MS Mincho"/>
          <w:lang w:val="en-GB"/>
        </w:rPr>
        <w:t xml:space="preserve"> considers fuse and fusible component types, the electrical stress levels pre- and post-operation and gives circuit examples.</w:t>
      </w:r>
    </w:p>
    <w:p w14:paraId="669B0680" w14:textId="77777777" w:rsidR="006A46AE" w:rsidRPr="00180522" w:rsidRDefault="006A46AE" w:rsidP="006A46AE">
      <w:pPr>
        <w:rPr>
          <w:rFonts w:eastAsiaTheme="minorEastAsia"/>
          <w:color w:val="000000" w:themeColor="text1"/>
          <w:highlight w:val="yellow"/>
          <w:lang w:val="en-GB"/>
        </w:rPr>
      </w:pPr>
      <w:r w:rsidRPr="00180522">
        <w:rPr>
          <w:rFonts w:eastAsia="MS Mincho"/>
          <w:b/>
          <w:lang w:val="en-GB"/>
        </w:rPr>
        <w:t xml:space="preserve">ITU-T K.141 "Electromagnetic compatibility requirements for Information Perception Equipment" </w:t>
      </w:r>
      <w:r w:rsidRPr="00180522">
        <w:rPr>
          <w:rFonts w:eastAsia="MS Mincho"/>
          <w:lang w:val="en-GB"/>
        </w:rPr>
        <w:t>gives the general EMC requirements for information perception equipment used in perception layer on the basis of internet of things (IoT), combined with wireless and wired access, broadband and narrowband application, as well as various intelligent applications.</w:t>
      </w:r>
    </w:p>
    <w:p w14:paraId="64554A7F" w14:textId="77777777" w:rsidR="006A46AE" w:rsidRPr="00180522" w:rsidRDefault="006A46AE" w:rsidP="006A46AE">
      <w:pPr>
        <w:rPr>
          <w:rFonts w:eastAsiaTheme="minorEastAsia"/>
          <w:bCs/>
          <w:color w:val="000000" w:themeColor="text1"/>
          <w:highlight w:val="yellow"/>
          <w:lang w:val="en-GB"/>
        </w:rPr>
      </w:pPr>
      <w:r w:rsidRPr="00180522">
        <w:rPr>
          <w:rFonts w:eastAsiaTheme="minorEastAsia"/>
          <w:b/>
          <w:bCs/>
          <w:color w:val="000000" w:themeColor="text1"/>
          <w:lang w:val="en-GB"/>
        </w:rPr>
        <w:t xml:space="preserve">ITU-T K.Suppl.9 (revised) "5G technology and human exposure to RF EMF" </w:t>
      </w:r>
      <w:r w:rsidRPr="00180522">
        <w:rPr>
          <w:rFonts w:eastAsiaTheme="minorEastAsia"/>
          <w:bCs/>
          <w:color w:val="000000" w:themeColor="text1"/>
          <w:lang w:val="en-GB"/>
        </w:rPr>
        <w:t xml:space="preserve">contains an analysis of the impact of the implementation of 5G mobile systems with respect to the exposure level of electromagnetic fields (EMF) around </w:t>
      </w:r>
      <w:proofErr w:type="spellStart"/>
      <w:r w:rsidRPr="00180522">
        <w:rPr>
          <w:rFonts w:eastAsiaTheme="minorEastAsia"/>
          <w:bCs/>
          <w:color w:val="000000" w:themeColor="text1"/>
          <w:lang w:val="en-GB"/>
        </w:rPr>
        <w:t>radiocommunication</w:t>
      </w:r>
      <w:proofErr w:type="spellEnd"/>
      <w:r w:rsidRPr="00180522">
        <w:rPr>
          <w:rFonts w:eastAsiaTheme="minorEastAsia"/>
          <w:bCs/>
          <w:color w:val="000000" w:themeColor="text1"/>
          <w:lang w:val="en-GB"/>
        </w:rPr>
        <w:t xml:space="preserve"> infrastructure.</w:t>
      </w:r>
    </w:p>
    <w:p w14:paraId="3717CD7E" w14:textId="77777777" w:rsidR="006A46AE" w:rsidRPr="00180522" w:rsidRDefault="006A46AE" w:rsidP="006A46AE">
      <w:pPr>
        <w:rPr>
          <w:rFonts w:eastAsiaTheme="minorEastAsia"/>
          <w:bCs/>
          <w:color w:val="000000" w:themeColor="text1"/>
          <w:lang w:val="en-GB"/>
        </w:rPr>
      </w:pPr>
      <w:r w:rsidRPr="00180522">
        <w:rPr>
          <w:rFonts w:eastAsiaTheme="minorEastAsia"/>
          <w:b/>
          <w:bCs/>
          <w:color w:val="000000" w:themeColor="text1"/>
          <w:lang w:val="en-GB"/>
        </w:rPr>
        <w:t xml:space="preserve">ITU-T K.Suppl.16 (revised) "Electromagnetic field compliance assessments for 5G wireless networks" </w:t>
      </w:r>
      <w:r w:rsidRPr="00180522">
        <w:rPr>
          <w:rFonts w:eastAsiaTheme="minorEastAsia"/>
          <w:bCs/>
          <w:color w:val="000000" w:themeColor="text1"/>
          <w:lang w:val="en-GB"/>
        </w:rPr>
        <w:t>provides guidance on the radio frequency-electromagnetic field (RF-EMF) compliance assessment considerations for IMT-2020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27332F12" w14:textId="77777777" w:rsidR="006A46AE" w:rsidRPr="00180522" w:rsidRDefault="006A46AE" w:rsidP="006A46AE">
      <w:pPr>
        <w:rPr>
          <w:lang w:val="en-GB"/>
        </w:rPr>
      </w:pPr>
      <w:r w:rsidRPr="00180522">
        <w:rPr>
          <w:b/>
          <w:bCs/>
          <w:lang w:val="en-GB"/>
        </w:rPr>
        <w:t>ITU-T K.Suppl.17 to ITU-T K.44 "Test conditions and methods information"</w:t>
      </w:r>
      <w:r w:rsidRPr="00180522">
        <w:rPr>
          <w:lang w:val="en-GB"/>
        </w:rPr>
        <w:t xml:space="preserve"> provides background information that explains how the various lightning and power faults test configurations and electrical values in Recommendation ITU-T K.44 were derived. Examples show how test procedures can be minimised by knowing how the surge and power fault test conditions can vary with time and voltage. How ITU-T Recommendation K.44 relates to its dependent Recommendations is explained.</w:t>
      </w:r>
    </w:p>
    <w:p w14:paraId="71A18646" w14:textId="77777777" w:rsidR="006A46AE" w:rsidRPr="00180522" w:rsidRDefault="006A46AE" w:rsidP="006A46AE">
      <w:pPr>
        <w:rPr>
          <w:highlight w:val="yellow"/>
          <w:lang w:val="en-GB"/>
        </w:rPr>
      </w:pPr>
      <w:r w:rsidRPr="00180522">
        <w:rPr>
          <w:b/>
          <w:bCs/>
          <w:lang w:val="en-GB"/>
        </w:rPr>
        <w:t>ITU-T K.Suppl.18 to ITU-T K.44 "Causes of telecommunication system overvoltage and overcurrent conditions and their expected levels"</w:t>
      </w:r>
      <w:r w:rsidRPr="00180522">
        <w:rPr>
          <w:lang w:val="en-GB"/>
        </w:rPr>
        <w:t xml:space="preserve"> discusses how surge and power fault </w:t>
      </w:r>
      <w:proofErr w:type="spellStart"/>
      <w:r w:rsidRPr="00180522">
        <w:rPr>
          <w:lang w:val="en-GB"/>
        </w:rPr>
        <w:t>overvoltages</w:t>
      </w:r>
      <w:proofErr w:type="spellEnd"/>
      <w:r w:rsidRPr="00180522">
        <w:rPr>
          <w:lang w:val="en-GB"/>
        </w:rPr>
        <w:t xml:space="preserve"> and </w:t>
      </w:r>
      <w:proofErr w:type="spellStart"/>
      <w:r w:rsidRPr="00180522">
        <w:rPr>
          <w:lang w:val="en-GB"/>
        </w:rPr>
        <w:t>overcurrents</w:t>
      </w:r>
      <w:proofErr w:type="spellEnd"/>
      <w:r w:rsidRPr="00180522">
        <w:rPr>
          <w:lang w:val="en-GB"/>
        </w:rPr>
        <w:t xml:space="preserve"> are coupled into telecommunication systems, the likely disturbance levels and mitigation measures.</w:t>
      </w:r>
    </w:p>
    <w:p w14:paraId="5CA9293C" w14:textId="77777777" w:rsidR="006A46AE" w:rsidRPr="00180522" w:rsidRDefault="006A46AE" w:rsidP="006A46AE">
      <w:pPr>
        <w:pStyle w:val="Headingb"/>
      </w:pPr>
      <w:bookmarkStart w:id="238" w:name="_Toc480527906"/>
      <w:r w:rsidRPr="00180522">
        <w:t>I.6.4</w:t>
      </w:r>
      <w:r w:rsidRPr="00180522">
        <w:tab/>
        <w:t>Emergency communication &amp; disaster relief</w:t>
      </w:r>
      <w:bookmarkEnd w:id="238"/>
    </w:p>
    <w:p w14:paraId="609FBBBC" w14:textId="77777777" w:rsidR="006A46AE" w:rsidRPr="00180522" w:rsidRDefault="006A46AE" w:rsidP="006A46AE">
      <w:pPr>
        <w:pStyle w:val="Headingb"/>
      </w:pPr>
      <w:bookmarkStart w:id="239" w:name="_Toc480527908"/>
      <w:r w:rsidRPr="00180522">
        <w:t>I.7</w:t>
      </w:r>
      <w:r w:rsidRPr="00180522">
        <w:tab/>
        <w:t>Tariff and accounting principles and international telecommunication/ICT economic and policy issues</w:t>
      </w:r>
    </w:p>
    <w:p w14:paraId="6AF20C70" w14:textId="77777777" w:rsidR="006A46AE" w:rsidRPr="00180522" w:rsidRDefault="006A46AE" w:rsidP="006A46AE">
      <w:pPr>
        <w:rPr>
          <w:highlight w:val="yellow"/>
          <w:lang w:val="en-GB" w:eastAsia="en-US"/>
        </w:rPr>
      </w:pPr>
      <w:r w:rsidRPr="00180522">
        <w:rPr>
          <w:b/>
          <w:lang w:val="en-GB" w:eastAsia="en-US"/>
        </w:rPr>
        <w:t>ITU-T D.198 "Principles for unified format of price/tariffs/rates-lists used for exchanging telephone traffic"</w:t>
      </w:r>
      <w:r w:rsidRPr="00180522">
        <w:rPr>
          <w:lang w:val="en-GB" w:eastAsia="en-US"/>
        </w:rPr>
        <w:t xml:space="preserve">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62D4092A" w14:textId="77777777" w:rsidR="006A46AE" w:rsidRPr="00180522" w:rsidRDefault="006A46AE" w:rsidP="006A46AE">
      <w:pPr>
        <w:pStyle w:val="Headingb"/>
      </w:pPr>
      <w:r w:rsidRPr="00180522">
        <w:t>I.7.1</w:t>
      </w:r>
      <w:r w:rsidRPr="00180522">
        <w:tab/>
        <w:t>Economic impact of IXP, Universal service, NGN, Mobile Roaming and SMPOTT and Valuation of spectrum</w:t>
      </w:r>
    </w:p>
    <w:p w14:paraId="7B70806C" w14:textId="77777777" w:rsidR="006A46AE" w:rsidRPr="00180522" w:rsidRDefault="006A46AE" w:rsidP="006A46AE">
      <w:pPr>
        <w:rPr>
          <w:lang w:val="en-GB"/>
        </w:rPr>
      </w:pPr>
      <w:r w:rsidRPr="00180522">
        <w:rPr>
          <w:b/>
          <w:lang w:val="en-GB" w:eastAsia="en-US"/>
        </w:rPr>
        <w:t>ITU-T D.262 "Collaborative Framework for OTTs"</w:t>
      </w:r>
      <w:r w:rsidRPr="00180522">
        <w:rPr>
          <w:lang w:val="en-GB" w:eastAsia="en-US"/>
        </w:rPr>
        <w:t xml:space="preserve"> </w:t>
      </w:r>
      <w:r w:rsidRPr="00180522">
        <w:rPr>
          <w:lang w:val="en-GB"/>
        </w:rPr>
        <w:t>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25FBAC37" w14:textId="77777777" w:rsidR="006A46AE" w:rsidRPr="00180522" w:rsidRDefault="006A46AE" w:rsidP="006A46AE">
      <w:pPr>
        <w:rPr>
          <w:lang w:val="en-GB"/>
        </w:rPr>
      </w:pPr>
      <w:r w:rsidRPr="00180522">
        <w:rPr>
          <w:b/>
          <w:lang w:val="en-GB"/>
        </w:rPr>
        <w:t>ITU-T D.263 "Costs, Charges and Competition for Mobile Financial Services (MFS)"</w:t>
      </w:r>
      <w:r w:rsidRPr="00180522">
        <w:rPr>
          <w:lang w:val="en-GB"/>
        </w:rPr>
        <w:t xml:space="preserve"> proposes a possible approach to reduce high retail and wholesale telecommunication charges related to mobile financial service (MFS).</w:t>
      </w:r>
    </w:p>
    <w:p w14:paraId="430A92EC" w14:textId="77777777" w:rsidR="006A46AE" w:rsidRPr="00180522" w:rsidRDefault="006A46AE" w:rsidP="006A46AE">
      <w:pPr>
        <w:rPr>
          <w:lang w:val="en-GB"/>
        </w:rPr>
      </w:pPr>
      <w:r w:rsidRPr="00180522">
        <w:rPr>
          <w:b/>
          <w:lang w:val="en-GB"/>
        </w:rPr>
        <w:lastRenderedPageBreak/>
        <w:t xml:space="preserve">ITU-T D.264 "Shared use of spectrum and telecommunication infrastructure as possible methods for enhancing the efficiency of telecommunications" </w:t>
      </w:r>
      <w:r w:rsidRPr="00180522">
        <w:rPr>
          <w:lang w:val="en-GB"/>
        </w:rPr>
        <w:t>(under approval) proposes a set of possible methods to help telecommunication providers save costs and enhance efficiency through the shared use of spectrum and telecommunication infrastructure, including passive infrastructure sharing, active infrastructure sharing and spectrum sharing in the active infrastructure sharing.</w:t>
      </w:r>
    </w:p>
    <w:p w14:paraId="07B33284" w14:textId="77777777" w:rsidR="006A46AE" w:rsidRPr="00180522" w:rsidRDefault="006A46AE" w:rsidP="006A46AE">
      <w:pPr>
        <w:rPr>
          <w:lang w:val="en-GB" w:eastAsia="en-US"/>
        </w:rPr>
      </w:pPr>
      <w:r w:rsidRPr="00180522">
        <w:rPr>
          <w:b/>
          <w:lang w:val="en-GB" w:eastAsia="en-US"/>
        </w:rPr>
        <w:t>Technical Report DSTR-DFSECO "Digital Financial Services – The Digital Financial Services Ecosystem"</w:t>
      </w:r>
      <w:r w:rsidRPr="00180522">
        <w:rPr>
          <w:lang w:val="en-GB" w:eastAsia="en-US"/>
        </w:rPr>
        <w:t xml:space="preserve"> defines the Digital Financial Services ecosystem and describes the players and their roles within the Ecosystem. These players include users (consumers, businesses, government agencies and non-profit groups) who have needs for digital and interoperable financial products and services; providers (banks, other licensed financial institutions, and non-banks) who supply those products and services through digital means; the financial, technical, and other infrastructures that make them possible; and the governmental policies, laws and regulations which enable them to be delivered in an accessible, affordable, and safe manner. The Technical Report recognizes a goal of reaching "digital liquidity" – a state wherein consumers and businesses are content to leave their funds in digital form, therefore reducing the burden of the "cash-in", "cash-out" process. Various high-level challenges and issues in the ecosystem are acknowledged in this Technical Report: many of these are the subject of more detailed reports produced by the Focus Group. Finally, this Technical Report looks at the many products and services that comprise the DFS ecosystem.</w:t>
      </w:r>
    </w:p>
    <w:p w14:paraId="00A5B013" w14:textId="77777777" w:rsidR="006A46AE" w:rsidRPr="00180522" w:rsidRDefault="006A46AE" w:rsidP="006A46AE">
      <w:pPr>
        <w:rPr>
          <w:lang w:val="en-GB" w:eastAsia="en-US"/>
        </w:rPr>
      </w:pPr>
      <w:r w:rsidRPr="00180522">
        <w:rPr>
          <w:b/>
          <w:lang w:val="en-GB" w:eastAsia="en-US"/>
        </w:rPr>
        <w:t>Technical Report DSTR-DFSREG "Digital Financial Services – Regulation in the Digital Financial Services Ecosystem"</w:t>
      </w:r>
      <w:r w:rsidRPr="00180522">
        <w:rPr>
          <w:lang w:val="en-GB" w:eastAsia="en-US"/>
        </w:rPr>
        <w:t xml:space="preserve"> outlines the categories of regulation, defines the corresponding sub-issues or topics and highlights the financial inclusion of each topic. Key categories include</w:t>
      </w:r>
    </w:p>
    <w:p w14:paraId="6F606C44" w14:textId="77777777" w:rsidR="006A46AE" w:rsidRPr="00180522" w:rsidRDefault="006A46AE" w:rsidP="006A46AE">
      <w:pPr>
        <w:numPr>
          <w:ilvl w:val="0"/>
          <w:numId w:val="94"/>
        </w:numPr>
        <w:rPr>
          <w:lang w:val="en-GB" w:eastAsia="en-US"/>
        </w:rPr>
      </w:pPr>
      <w:r w:rsidRPr="00180522">
        <w:rPr>
          <w:lang w:val="en-GB" w:eastAsia="en-US"/>
        </w:rPr>
        <w:t>agents,</w:t>
      </w:r>
    </w:p>
    <w:p w14:paraId="612662B7" w14:textId="77777777" w:rsidR="006A46AE" w:rsidRPr="00180522" w:rsidRDefault="006A46AE" w:rsidP="006A46AE">
      <w:pPr>
        <w:numPr>
          <w:ilvl w:val="0"/>
          <w:numId w:val="94"/>
        </w:numPr>
        <w:rPr>
          <w:lang w:val="en-GB" w:eastAsia="en-US"/>
        </w:rPr>
      </w:pPr>
      <w:r w:rsidRPr="00180522">
        <w:rPr>
          <w:lang w:val="en-GB" w:eastAsia="en-US"/>
        </w:rPr>
        <w:t>consumer protection,</w:t>
      </w:r>
    </w:p>
    <w:p w14:paraId="18A5EF28" w14:textId="77777777" w:rsidR="006A46AE" w:rsidRPr="00180522" w:rsidRDefault="006A46AE" w:rsidP="006A46AE">
      <w:pPr>
        <w:numPr>
          <w:ilvl w:val="0"/>
          <w:numId w:val="94"/>
        </w:numPr>
        <w:rPr>
          <w:lang w:val="en-GB" w:eastAsia="en-US"/>
        </w:rPr>
      </w:pPr>
      <w:r w:rsidRPr="00180522">
        <w:rPr>
          <w:lang w:val="en-GB" w:eastAsia="en-US"/>
        </w:rPr>
        <w:t>market access,</w:t>
      </w:r>
    </w:p>
    <w:p w14:paraId="30D4A1DB" w14:textId="77777777" w:rsidR="006A46AE" w:rsidRPr="00180522" w:rsidRDefault="006A46AE" w:rsidP="006A46AE">
      <w:pPr>
        <w:numPr>
          <w:ilvl w:val="0"/>
          <w:numId w:val="94"/>
        </w:numPr>
        <w:rPr>
          <w:lang w:val="en-GB" w:eastAsia="en-US"/>
        </w:rPr>
      </w:pPr>
      <w:r w:rsidRPr="00180522">
        <w:rPr>
          <w:lang w:val="en-GB" w:eastAsia="en-US"/>
        </w:rPr>
        <w:t>payments systems,</w:t>
      </w:r>
    </w:p>
    <w:p w14:paraId="68521D9B" w14:textId="77777777" w:rsidR="006A46AE" w:rsidRPr="00180522" w:rsidRDefault="006A46AE" w:rsidP="006A46AE">
      <w:pPr>
        <w:numPr>
          <w:ilvl w:val="0"/>
          <w:numId w:val="94"/>
        </w:numPr>
        <w:rPr>
          <w:lang w:val="en-GB" w:eastAsia="en-US"/>
        </w:rPr>
      </w:pPr>
      <w:r w:rsidRPr="00180522">
        <w:rPr>
          <w:lang w:val="en-GB" w:eastAsia="en-US"/>
        </w:rPr>
        <w:t>risk management and</w:t>
      </w:r>
    </w:p>
    <w:p w14:paraId="3146B55A" w14:textId="77777777" w:rsidR="006A46AE" w:rsidRPr="00180522" w:rsidRDefault="006A46AE" w:rsidP="006A46AE">
      <w:pPr>
        <w:numPr>
          <w:ilvl w:val="0"/>
          <w:numId w:val="94"/>
        </w:numPr>
        <w:rPr>
          <w:lang w:val="en-GB" w:eastAsia="en-US"/>
        </w:rPr>
      </w:pPr>
      <w:r w:rsidRPr="00180522">
        <w:rPr>
          <w:lang w:val="en-GB" w:eastAsia="en-US"/>
        </w:rPr>
        <w:t>other related issues.</w:t>
      </w:r>
    </w:p>
    <w:p w14:paraId="00A802B5" w14:textId="77777777" w:rsidR="006A46AE" w:rsidRPr="00180522" w:rsidRDefault="006A46AE" w:rsidP="006A46AE">
      <w:pPr>
        <w:rPr>
          <w:lang w:val="en-GB" w:eastAsia="en-US"/>
        </w:rPr>
      </w:pPr>
      <w:r w:rsidRPr="00180522">
        <w:rPr>
          <w:lang w:val="en-GB" w:eastAsia="en-US"/>
        </w:rPr>
        <w:t>This Technical Report also addresses key issues related to managing the regulatory environment. It outlines a survey of how regulators currently work together, provide a draft memorandum of understanding template for Authorities in a given country to formally outline joint goals and methods of working together, and outline considerations if regulators are interested in formalizing cross-border collaborations.</w:t>
      </w:r>
    </w:p>
    <w:p w14:paraId="487C9865" w14:textId="77777777" w:rsidR="006A46AE" w:rsidRPr="00180522" w:rsidRDefault="006A46AE" w:rsidP="006A46AE">
      <w:pPr>
        <w:rPr>
          <w:lang w:val="en-GB" w:eastAsia="en-US"/>
        </w:rPr>
      </w:pPr>
      <w:r w:rsidRPr="00180522">
        <w:rPr>
          <w:b/>
          <w:lang w:val="en-GB" w:eastAsia="en-US"/>
        </w:rPr>
        <w:t>Technical Report DSTR-DFSSNDL "Impact of social networks on digital liquidity":</w:t>
      </w:r>
      <w:r w:rsidRPr="00180522">
        <w:rPr>
          <w:lang w:val="en-GB" w:eastAsia="en-US"/>
        </w:rPr>
        <w:t xml:space="preserve"> Social networks enable users to chat, share photos, and perform similar social activities. As social networks mature, they continually add commercial services such as person-to-person (P2P) payments, shopping at physical stores, and 'conversational commerce' via chat applications.</w:t>
      </w:r>
    </w:p>
    <w:p w14:paraId="6EEF2ED6" w14:textId="77777777" w:rsidR="006A46AE" w:rsidRPr="00180522" w:rsidRDefault="006A46AE" w:rsidP="006A46AE">
      <w:pPr>
        <w:rPr>
          <w:lang w:val="en-GB" w:eastAsia="en-US"/>
        </w:rPr>
      </w:pPr>
      <w:r w:rsidRPr="00180522">
        <w:rPr>
          <w:lang w:val="en-GB" w:eastAsia="en-US"/>
        </w:rPr>
        <w:t>Social networks have become enormously popular and are themselves bigger than the largest e-commerce companies in the world. Importantly, social networks have determined multiple ways to monetize their user base, including advertising, digital content, and transaction fees. Revenue growth has been impressive: for example, Facebook's revenue has grown from $2 billion to $18 billion in just five years.</w:t>
      </w:r>
    </w:p>
    <w:p w14:paraId="68E4AC5E" w14:textId="77777777" w:rsidR="006A46AE" w:rsidRPr="00180522" w:rsidRDefault="006A46AE" w:rsidP="006A46AE">
      <w:pPr>
        <w:rPr>
          <w:lang w:val="en-GB" w:eastAsia="en-US"/>
        </w:rPr>
      </w:pPr>
      <w:r w:rsidRPr="00180522">
        <w:rPr>
          <w:lang w:val="en-GB" w:eastAsia="en-US"/>
        </w:rPr>
        <w:t>At this point in time, however, this social networking and commercial revolution has largely skipped the bottom of the pyramid (</w:t>
      </w:r>
      <w:proofErr w:type="spellStart"/>
      <w:r w:rsidRPr="00180522">
        <w:rPr>
          <w:lang w:val="en-GB" w:eastAsia="en-US"/>
        </w:rPr>
        <w:t>BoP</w:t>
      </w:r>
      <w:proofErr w:type="spellEnd"/>
      <w:r w:rsidRPr="00180522">
        <w:rPr>
          <w:lang w:val="en-GB" w:eastAsia="en-US"/>
        </w:rPr>
        <w:t xml:space="preserve">). In general, while social networks are present in most developing countries and view the </w:t>
      </w:r>
      <w:proofErr w:type="spellStart"/>
      <w:r w:rsidRPr="00180522">
        <w:rPr>
          <w:lang w:val="en-GB" w:eastAsia="en-US"/>
        </w:rPr>
        <w:t>BoP</w:t>
      </w:r>
      <w:proofErr w:type="spellEnd"/>
      <w:r w:rsidRPr="00180522">
        <w:rPr>
          <w:lang w:val="en-GB" w:eastAsia="en-US"/>
        </w:rPr>
        <w:t xml:space="preserve"> as a big opportunity, the poor are not participating – primarily due to low Internet adoption. But, increasing Internet adoption will not open the social networking floodgate. Feature phones, the primary device used by the poor, limit the social network </w:t>
      </w:r>
      <w:r w:rsidRPr="00180522">
        <w:rPr>
          <w:lang w:val="en-GB" w:eastAsia="en-US"/>
        </w:rPr>
        <w:lastRenderedPageBreak/>
        <w:t>value proposition. While smartphones offer the best user experience, they introduce new problems such as a short battery life and higher data costs. Even if social network adoption grows, the commercial aspects won't materialize for the poor without financial inclusion – a consumer can't buy unless they link a payment account like M-</w:t>
      </w:r>
      <w:proofErr w:type="spellStart"/>
      <w:r w:rsidRPr="00180522">
        <w:rPr>
          <w:lang w:val="en-GB" w:eastAsia="en-US"/>
        </w:rPr>
        <w:t>Pesa</w:t>
      </w:r>
      <w:proofErr w:type="spellEnd"/>
      <w:r w:rsidRPr="00180522">
        <w:rPr>
          <w:lang w:val="en-GB" w:eastAsia="en-US"/>
        </w:rPr>
        <w:t xml:space="preserve"> to their social network account.</w:t>
      </w:r>
    </w:p>
    <w:p w14:paraId="27B59041" w14:textId="77777777" w:rsidR="006A46AE" w:rsidRPr="00180522" w:rsidRDefault="006A46AE" w:rsidP="006A46AE">
      <w:pPr>
        <w:rPr>
          <w:lang w:val="en-GB" w:eastAsia="en-US"/>
        </w:rPr>
      </w:pPr>
      <w:r w:rsidRPr="00180522">
        <w:rPr>
          <w:lang w:val="en-GB" w:eastAsia="en-US"/>
        </w:rPr>
        <w:t xml:space="preserve">Is this one more example of the digital and financial divide, or can social networks help the </w:t>
      </w:r>
      <w:proofErr w:type="spellStart"/>
      <w:r w:rsidRPr="00180522">
        <w:rPr>
          <w:lang w:val="en-GB" w:eastAsia="en-US"/>
        </w:rPr>
        <w:t>BoP</w:t>
      </w:r>
      <w:proofErr w:type="spellEnd"/>
      <w:r w:rsidRPr="00180522">
        <w:rPr>
          <w:lang w:val="en-GB" w:eastAsia="en-US"/>
        </w:rPr>
        <w:t xml:space="preserve"> economically?</w:t>
      </w:r>
    </w:p>
    <w:p w14:paraId="7B6BDBFC" w14:textId="77777777" w:rsidR="006A46AE" w:rsidRPr="00180522" w:rsidRDefault="006A46AE" w:rsidP="006A46AE">
      <w:pPr>
        <w:rPr>
          <w:lang w:val="en-GB" w:eastAsia="en-US"/>
        </w:rPr>
      </w:pPr>
      <w:r w:rsidRPr="00180522">
        <w:rPr>
          <w:lang w:val="en-GB" w:eastAsia="en-US"/>
        </w:rPr>
        <w:t>Interestingly, social networks could help close the digital divide by providing various mechanisms, to the extent that they are allowed by regulators:</w:t>
      </w:r>
    </w:p>
    <w:p w14:paraId="73E35299" w14:textId="77777777" w:rsidR="006A46AE" w:rsidRPr="00180522" w:rsidRDefault="006A46AE" w:rsidP="006A46AE">
      <w:pPr>
        <w:numPr>
          <w:ilvl w:val="0"/>
          <w:numId w:val="48"/>
        </w:numPr>
        <w:rPr>
          <w:lang w:val="en-GB" w:eastAsia="en-US"/>
        </w:rPr>
      </w:pPr>
      <w:r w:rsidRPr="00180522">
        <w:rPr>
          <w:lang w:val="en-GB" w:eastAsia="en-US"/>
        </w:rPr>
        <w:t>Digital on-ramps – Providing a simple, low-cost way of gathering information and communicating with others. For example, chat and VoIP services could reduce spending on SMS and mobile phone calls.</w:t>
      </w:r>
    </w:p>
    <w:p w14:paraId="72E4A1C1" w14:textId="77777777" w:rsidR="006A46AE" w:rsidRPr="00180522" w:rsidRDefault="006A46AE" w:rsidP="006A46AE">
      <w:pPr>
        <w:numPr>
          <w:ilvl w:val="0"/>
          <w:numId w:val="48"/>
        </w:numPr>
        <w:rPr>
          <w:lang w:val="en-GB" w:eastAsia="en-US"/>
        </w:rPr>
      </w:pPr>
      <w:r w:rsidRPr="00180522">
        <w:rPr>
          <w:lang w:val="en-GB" w:eastAsia="en-US"/>
        </w:rPr>
        <w:t xml:space="preserve">Platforms for </w:t>
      </w:r>
      <w:proofErr w:type="spellStart"/>
      <w:r w:rsidRPr="00180522">
        <w:rPr>
          <w:lang w:val="en-GB" w:eastAsia="en-US"/>
        </w:rPr>
        <w:t>BoP</w:t>
      </w:r>
      <w:proofErr w:type="spellEnd"/>
      <w:r w:rsidRPr="00180522">
        <w:rPr>
          <w:lang w:val="en-GB" w:eastAsia="en-US"/>
        </w:rPr>
        <w:t xml:space="preserve"> ecosystems – Enabling consumers and entities to create and manage groups, commercially oriented, or otherwise. For example, social network platforms could be used to organize agricultural value chains and enhance how farmers interact with produce buyers, agro-dealers, banks, and other stakeholders. Alternatively, </w:t>
      </w:r>
      <w:proofErr w:type="spellStart"/>
      <w:r w:rsidRPr="00180522">
        <w:rPr>
          <w:lang w:val="en-GB" w:eastAsia="en-US"/>
        </w:rPr>
        <w:t>smallholdingfarmers</w:t>
      </w:r>
      <w:proofErr w:type="spellEnd"/>
      <w:r w:rsidRPr="00180522">
        <w:rPr>
          <w:lang w:val="en-GB" w:eastAsia="en-US"/>
        </w:rPr>
        <w:t xml:space="preserve"> could organize themselves into groups to share knowledge, borrow from banks, or negotiate better prices from crop buyers. Other examples include non-governmental organization (NGO) group lending programs and parent/school groups.</w:t>
      </w:r>
    </w:p>
    <w:p w14:paraId="481E51CA" w14:textId="77777777" w:rsidR="006A46AE" w:rsidRPr="00180522" w:rsidRDefault="006A46AE" w:rsidP="006A46AE">
      <w:pPr>
        <w:numPr>
          <w:ilvl w:val="0"/>
          <w:numId w:val="48"/>
        </w:numPr>
        <w:rPr>
          <w:lang w:val="en-GB" w:eastAsia="en-US"/>
        </w:rPr>
      </w:pPr>
      <w:r w:rsidRPr="00180522">
        <w:rPr>
          <w:lang w:val="en-GB" w:eastAsia="en-US"/>
        </w:rPr>
        <w:t xml:space="preserve">Payment networks – Providing a global, interoperable, multi-channel and user-friendly </w:t>
      </w:r>
      <w:proofErr w:type="spellStart"/>
      <w:r w:rsidRPr="00180522">
        <w:rPr>
          <w:lang w:val="en-GB" w:eastAsia="en-US"/>
        </w:rPr>
        <w:t>eMoney</w:t>
      </w:r>
      <w:proofErr w:type="spellEnd"/>
      <w:r w:rsidRPr="00180522">
        <w:rPr>
          <w:lang w:val="en-GB" w:eastAsia="en-US"/>
        </w:rPr>
        <w:t xml:space="preserve"> payment network. For example, social networks could resolve mobile network operator (MNO) interoperability issues by integrating with multiple MNO wallets and transferring money between users. Additionally, social networks could provide physical merchants with low cost payment solutions without chip terminal or barcode reader investments.</w:t>
      </w:r>
    </w:p>
    <w:p w14:paraId="4E3482C8" w14:textId="77777777" w:rsidR="006A46AE" w:rsidRPr="00180522" w:rsidRDefault="006A46AE" w:rsidP="006A46AE">
      <w:pPr>
        <w:numPr>
          <w:ilvl w:val="0"/>
          <w:numId w:val="48"/>
        </w:numPr>
        <w:rPr>
          <w:lang w:val="en-GB" w:eastAsia="en-US"/>
        </w:rPr>
      </w:pPr>
      <w:r w:rsidRPr="00180522">
        <w:rPr>
          <w:lang w:val="en-GB" w:eastAsia="en-US"/>
        </w:rPr>
        <w:t>Marketplaces – Helping consumers shop better, merchants sell more, and entrepreneurs find more work. This could take the form of selling products to a larger audience, maintaining an ongoing dialogue with existing customers, promoting job skills, discovering employment opportunities, participating in 'on-demand' labour marketplaces, or even virtual entrepreneurship (e.g., YouTube celebrity/entrepreneurs).</w:t>
      </w:r>
    </w:p>
    <w:p w14:paraId="4F8A08AC" w14:textId="77777777" w:rsidR="006A46AE" w:rsidRPr="00180522" w:rsidRDefault="006A46AE" w:rsidP="006A46AE">
      <w:pPr>
        <w:numPr>
          <w:ilvl w:val="0"/>
          <w:numId w:val="48"/>
        </w:numPr>
        <w:rPr>
          <w:lang w:val="en-GB" w:eastAsia="en-US"/>
        </w:rPr>
      </w:pPr>
      <w:r w:rsidRPr="00180522">
        <w:rPr>
          <w:lang w:val="en-GB" w:eastAsia="en-US"/>
        </w:rPr>
        <w:t xml:space="preserve">Beneficial data collection – Improving access to credit and enabling targeted outreach and advertising. For example, transaction histories and merchant reputation ratings could provide </w:t>
      </w:r>
      <w:proofErr w:type="spellStart"/>
      <w:r w:rsidRPr="00180522">
        <w:rPr>
          <w:lang w:val="en-GB" w:eastAsia="en-US"/>
        </w:rPr>
        <w:t>BoP</w:t>
      </w:r>
      <w:proofErr w:type="spellEnd"/>
      <w:r w:rsidRPr="00180522">
        <w:rPr>
          <w:lang w:val="en-GB" w:eastAsia="en-US"/>
        </w:rPr>
        <w:t xml:space="preserve"> merchants with greater access to credit. Additionally, richer consumer data could allow NGOs and governments to target interventions on a large level, or on a very small level by simply allowing an individual to sell their bicycle within the local community.</w:t>
      </w:r>
    </w:p>
    <w:p w14:paraId="7D7B9C67" w14:textId="77777777" w:rsidR="006A46AE" w:rsidRPr="00180522" w:rsidRDefault="006A46AE" w:rsidP="006A46AE">
      <w:pPr>
        <w:rPr>
          <w:lang w:val="en-GB" w:eastAsia="en-US"/>
        </w:rPr>
      </w:pPr>
      <w:r w:rsidRPr="00180522">
        <w:rPr>
          <w:lang w:val="en-GB" w:eastAsia="en-US"/>
        </w:rPr>
        <w:t xml:space="preserve">That said, policy makers face a tough balancing act. On one hand, social networks can bring significant value to </w:t>
      </w:r>
      <w:proofErr w:type="spellStart"/>
      <w:r w:rsidRPr="00180522">
        <w:rPr>
          <w:lang w:val="en-GB" w:eastAsia="en-US"/>
        </w:rPr>
        <w:t>BoP</w:t>
      </w:r>
      <w:proofErr w:type="spellEnd"/>
      <w:r w:rsidRPr="00180522">
        <w:rPr>
          <w:lang w:val="en-GB" w:eastAsia="en-US"/>
        </w:rPr>
        <w:t xml:space="preserve"> populations and policy makers should therefore consider policies that encourage adoption. On the other hand, social networks are tremendously powerful and regulators should explore policies that protect consumers from potentially harmful effects, paying special attention to data privacy, market power, and other concerns.</w:t>
      </w:r>
    </w:p>
    <w:p w14:paraId="0A2C072B" w14:textId="77777777" w:rsidR="006A46AE" w:rsidRPr="00180522" w:rsidRDefault="006A46AE" w:rsidP="006A46AE">
      <w:pPr>
        <w:rPr>
          <w:lang w:val="en-GB" w:eastAsia="en-US"/>
        </w:rPr>
      </w:pPr>
      <w:r w:rsidRPr="00180522">
        <w:rPr>
          <w:lang w:val="en-GB" w:eastAsia="en-US"/>
        </w:rPr>
        <w:t xml:space="preserve">In short, social networks have tremendous potential to enable new forms of commerce, benefitting </w:t>
      </w:r>
      <w:proofErr w:type="spellStart"/>
      <w:r w:rsidRPr="00180522">
        <w:rPr>
          <w:lang w:val="en-GB" w:eastAsia="en-US"/>
        </w:rPr>
        <w:t>BoP</w:t>
      </w:r>
      <w:proofErr w:type="spellEnd"/>
      <w:r w:rsidRPr="00180522">
        <w:rPr>
          <w:lang w:val="en-GB" w:eastAsia="en-US"/>
        </w:rPr>
        <w:t xml:space="preserve"> buyers and sellers and helping </w:t>
      </w:r>
      <w:proofErr w:type="spellStart"/>
      <w:r w:rsidRPr="00180522">
        <w:rPr>
          <w:lang w:val="en-GB" w:eastAsia="en-US"/>
        </w:rPr>
        <w:t>eMoney</w:t>
      </w:r>
      <w:proofErr w:type="spellEnd"/>
      <w:r w:rsidRPr="00180522">
        <w:rPr>
          <w:lang w:val="en-GB" w:eastAsia="en-US"/>
        </w:rPr>
        <w:t xml:space="preserve"> systems move towards digital liquidity, but a comprehensive, long-range perspective will be important for optimizing the value for all stakeholders.</w:t>
      </w:r>
    </w:p>
    <w:p w14:paraId="561BB7E3" w14:textId="77777777" w:rsidR="006A46AE" w:rsidRPr="00180522" w:rsidRDefault="006A46AE" w:rsidP="006A46AE">
      <w:pPr>
        <w:rPr>
          <w:lang w:val="en-GB" w:eastAsia="en-US"/>
        </w:rPr>
      </w:pPr>
      <w:r w:rsidRPr="00180522">
        <w:rPr>
          <w:b/>
          <w:lang w:val="en-GB" w:eastAsia="en-US"/>
        </w:rPr>
        <w:t>Technical Report DSTR-DFSCA "Competition Aspects of Digital Financial Services"</w:t>
      </w:r>
      <w:r w:rsidRPr="00180522">
        <w:rPr>
          <w:lang w:val="en-GB" w:eastAsia="en-US"/>
        </w:rPr>
        <w:t xml:space="preserve"> enumerates a sampling of competition issues stemming primarily from access to, and the use of technology in, the digital financial services (DFS) ecosystem from the perspective of its stakeholders. The Technical Report outlines competition issues that have been identified by the </w:t>
      </w:r>
      <w:r w:rsidRPr="00180522">
        <w:rPr>
          <w:lang w:val="en-GB" w:eastAsia="en-US"/>
        </w:rPr>
        <w:lastRenderedPageBreak/>
        <w:t>author based on publicly available and ventilated examples and studies of DFS ecosystems worldwide, as of January 2017. Insights from market participants, analysts, and regulators participating in the ITU Focus Group on DFS and externally are also included.</w:t>
      </w:r>
    </w:p>
    <w:p w14:paraId="006A734F" w14:textId="77777777" w:rsidR="006A46AE" w:rsidRPr="00180522" w:rsidRDefault="006A46AE" w:rsidP="006A46AE">
      <w:pPr>
        <w:rPr>
          <w:lang w:val="en-GB" w:eastAsia="en-US"/>
        </w:rPr>
      </w:pPr>
      <w:r w:rsidRPr="00180522">
        <w:rPr>
          <w:lang w:val="en-GB" w:eastAsia="en-US"/>
        </w:rPr>
        <w:t>Country examples are from: Bangladesh, China, Colombia, Georgia, Ghana, India, Jordan, Kenya, Malawi, Mexico, Nepal, Nigeria, Pakistan, Peru, Philippines, South Africa, Sri Lanka, Tanzania, Uganda, Zambia, and Zimbabwe. In some instances, multiple competition-related issues in the DFS ecosystem in a country may manifest. As a pure information resource for the DFS Focus Group, this study does not make any conclusions or recommendations as to how the issues described may be approached or resolved.</w:t>
      </w:r>
    </w:p>
    <w:p w14:paraId="0ED64A23" w14:textId="77777777" w:rsidR="006A46AE" w:rsidRPr="00180522" w:rsidRDefault="006A46AE" w:rsidP="006A46AE">
      <w:pPr>
        <w:rPr>
          <w:lang w:val="en-GB" w:eastAsia="en-US"/>
        </w:rPr>
      </w:pPr>
      <w:r w:rsidRPr="00180522">
        <w:rPr>
          <w:lang w:val="en-GB" w:eastAsia="en-US"/>
        </w:rPr>
        <w:t>Technical Report DSTR-DFSRP "The Regulator's Perspective on the Right Timing for Inducing Interoperability - Findings of a survey among Focus Group Members": Interoperability has been understood as a relevant aspect in fostering the financial inclusion efforts made through the availability of digital financial services (DFS). Despite the fact that some consensus has been achieved and the regulator can now have an important role in inducing interoperability, the right timing for and scope of the regulator's actions is still an open discussion. This Technical Report provides insights shared by five regulators who participated in the DFS Focus Group WG on Interoperability. Although it is impossible to generalize conclusions from the survey, some similarities across the surveyed countries can be observed.</w:t>
      </w:r>
    </w:p>
    <w:p w14:paraId="4DE6C92D" w14:textId="77777777" w:rsidR="006A46AE" w:rsidRPr="00180522" w:rsidRDefault="006A46AE" w:rsidP="006A46AE">
      <w:pPr>
        <w:rPr>
          <w:lang w:val="en-GB" w:eastAsia="en-US"/>
        </w:rPr>
      </w:pPr>
      <w:r w:rsidRPr="00180522">
        <w:rPr>
          <w:lang w:val="en-GB" w:eastAsia="en-US"/>
        </w:rPr>
        <w:t>First, before addressing DFS interoperability, the financial and telco regulators need to define their roles and responsibilities among each other. Second, although regulators generally seem to consider interoperability an important element in the DFS ecosystem, the current state of interoperability in different countries varies substantially. Third, positive outcomes are reported—or at least expected—across countries, suggesting that current policies might persist for the time being. Fourth, authorities seem to be conscious of the fact that any intervention needs to be considered carefully and take place only when no market-driven solution is leading to interoperable services.</w:t>
      </w:r>
    </w:p>
    <w:p w14:paraId="29C0ABFD" w14:textId="77777777" w:rsidR="006A46AE" w:rsidRPr="00180522" w:rsidRDefault="006A46AE" w:rsidP="006A46AE">
      <w:pPr>
        <w:rPr>
          <w:lang w:val="en-GB" w:eastAsia="en-US"/>
        </w:rPr>
      </w:pPr>
      <w:r w:rsidRPr="00180522">
        <w:rPr>
          <w:lang w:val="en-GB" w:eastAsia="en-US"/>
        </w:rPr>
        <w:t>Technical Report DSTR-DFSPI "Digital Financial Services – Access to Payment Infrastructures": Non-banks are having an increasing role in payments, including the provision of payments services directly to end-users. Despite this increasing role, many of them are still not accepted as direct participants of key payment infrastructures, which often leads to limited or null interoperability in the services/products they offer. Moreover, being able to use key payment infrastructures at a reasonable cost and with appropriate service levels is an important element underlying a competitive payments market.</w:t>
      </w:r>
    </w:p>
    <w:p w14:paraId="5F92C29A" w14:textId="77777777" w:rsidR="006A46AE" w:rsidRPr="00180522" w:rsidRDefault="006A46AE" w:rsidP="006A46AE">
      <w:pPr>
        <w:rPr>
          <w:lang w:val="en-GB" w:eastAsia="en-US"/>
        </w:rPr>
      </w:pPr>
      <w:r w:rsidRPr="00180522">
        <w:rPr>
          <w:lang w:val="en-GB" w:eastAsia="en-US"/>
        </w:rPr>
        <w:t>The operators of these payment infrastructures should adhere to international standards and best practice and establish risk-based and objective access criteria, and ensure that any PSP that wishes to gain direct access and meets such criteria is able to join as a direct participant.</w:t>
      </w:r>
    </w:p>
    <w:p w14:paraId="1C4088E8" w14:textId="77777777" w:rsidR="006A46AE" w:rsidRPr="00180522" w:rsidRDefault="006A46AE" w:rsidP="006A46AE">
      <w:pPr>
        <w:rPr>
          <w:lang w:val="en-GB" w:eastAsia="en-US"/>
        </w:rPr>
      </w:pPr>
      <w:r w:rsidRPr="00180522">
        <w:rPr>
          <w:lang w:val="en-GB" w:eastAsia="en-US"/>
        </w:rPr>
        <w:t xml:space="preserve">Still, for many non-bank PSPs gaining direct access may not be feasible due to the investments they would need to make in order to </w:t>
      </w:r>
      <w:proofErr w:type="spellStart"/>
      <w:r w:rsidRPr="00180522">
        <w:rPr>
          <w:lang w:val="en-GB" w:eastAsia="en-US"/>
        </w:rPr>
        <w:t>fulfill</w:t>
      </w:r>
      <w:proofErr w:type="spellEnd"/>
      <w:r w:rsidRPr="00180522">
        <w:rPr>
          <w:lang w:val="en-GB" w:eastAsia="en-US"/>
        </w:rPr>
        <w:t xml:space="preserve"> the infrastructure's access criteria. In such cases indirect access mechanisms may be capable of providing these PSPs with suitable payment services. However, in certain cases indirect access may not be as effective, for example if charges applied by the principal (an entity that is a direct participant in the infrastructure) are excessive relative to the costs it itself incurs for using the system, or if the criteria set by the principal for opening accounts and providing payment services to customer PSPs are disproportionate.</w:t>
      </w:r>
    </w:p>
    <w:p w14:paraId="72D0E287" w14:textId="77777777" w:rsidR="006A46AE" w:rsidRPr="00180522" w:rsidRDefault="006A46AE" w:rsidP="006A46AE">
      <w:pPr>
        <w:rPr>
          <w:lang w:val="en-GB" w:eastAsia="en-US"/>
        </w:rPr>
      </w:pPr>
      <w:r w:rsidRPr="00180522">
        <w:rPr>
          <w:lang w:val="en-GB" w:eastAsia="en-US"/>
        </w:rPr>
        <w:t>Payment system regulators, in particular the central bank as the payment system overseer, should ensure that all PSPs are able to gain fair access to payment services, including those for which direct access is not financially feasible and need to access the services through a principal.</w:t>
      </w:r>
    </w:p>
    <w:p w14:paraId="528F425D" w14:textId="77777777" w:rsidR="006A46AE" w:rsidRPr="00180522" w:rsidRDefault="006A46AE" w:rsidP="006A46AE">
      <w:pPr>
        <w:rPr>
          <w:lang w:val="en-GB" w:eastAsia="en-US"/>
        </w:rPr>
      </w:pPr>
      <w:r w:rsidRPr="00180522">
        <w:rPr>
          <w:lang w:val="en-GB" w:eastAsia="en-US"/>
        </w:rPr>
        <w:t xml:space="preserve">Effective access to payment infrastructures may also be hampered if there are barriers to accessing the telecommunications networks serving those infrastructures. Telecomm regulators may also have a role to play in markets where it has been observed that MNOs that are involved in the payments </w:t>
      </w:r>
      <w:r w:rsidRPr="00180522">
        <w:rPr>
          <w:lang w:val="en-GB" w:eastAsia="en-US"/>
        </w:rPr>
        <w:lastRenderedPageBreak/>
        <w:t>business restrict in some form the access to other PSPs to the mobile telecommunications network that these MNOs operate.</w:t>
      </w:r>
    </w:p>
    <w:p w14:paraId="5CF1C439" w14:textId="77777777" w:rsidR="006A46AE" w:rsidRPr="00180522" w:rsidRDefault="006A46AE" w:rsidP="006A46AE">
      <w:pPr>
        <w:rPr>
          <w:lang w:val="en-GB" w:eastAsia="en-US"/>
        </w:rPr>
      </w:pPr>
      <w:r w:rsidRPr="00180522">
        <w:rPr>
          <w:lang w:val="en-GB" w:eastAsia="en-US"/>
        </w:rPr>
        <w:t>Technical Report DSTR-DFSUAAFR "Digital financial services – Review of DFS User Agreements in Africa: A Consumer Protection Perspective" explains the findings from an analysis of DFS user agreements in nine African countries and attempts to understand the overall consumer experience and whether or not there is a disconnect between contract provisions and the legal and regulatory provisions governing DFS. It highlights key findings, and makes a number of recommendations for action by the appropriate regulator in the various markets examined. Countries need to take these considerations into account as they continue to nurture their DFS markets so as to safeguard customers from harmful practices and ensure trust in the market.</w:t>
      </w:r>
    </w:p>
    <w:p w14:paraId="4201A1C3" w14:textId="77777777" w:rsidR="006A46AE" w:rsidRPr="00180522" w:rsidRDefault="006A46AE" w:rsidP="006A46AE">
      <w:pPr>
        <w:rPr>
          <w:lang w:val="en-GB" w:eastAsia="en-US"/>
        </w:rPr>
      </w:pPr>
      <w:r w:rsidRPr="00180522">
        <w:rPr>
          <w:lang w:val="en-GB" w:eastAsia="en-US"/>
        </w:rPr>
        <w:t>Technical Report DSTR-DFSCP "Digital Financial Services – Commonly identified Consumer Protection themes for Digital Financial Services" is a synthesis of existing research, legal provisions, guidelines, and other related resources related to consumer protection for digital financial services. This Technical Report identifies four common themes that policy makers or regulators may want to consider when developing laws, regulations, or guidelines related to DFS.</w:t>
      </w:r>
    </w:p>
    <w:p w14:paraId="53A794A0" w14:textId="77777777" w:rsidR="006A46AE" w:rsidRPr="00180522" w:rsidRDefault="006A46AE" w:rsidP="006A46AE">
      <w:pPr>
        <w:rPr>
          <w:lang w:val="en-GB" w:eastAsia="en-US"/>
        </w:rPr>
      </w:pPr>
      <w:r w:rsidRPr="00180522">
        <w:rPr>
          <w:lang w:val="en-GB" w:eastAsia="en-US"/>
        </w:rPr>
        <w:t>This list is not exhaustive, but rather indicative of the types of issues that can be considered. In addition, consumer protection for digital financial service is a new area for regulations, and in many cases there is continued discussion and debate about which aspects can be best addressed by industry-led actions, versus requiring regulations. Finally, the feasibility of implementation and enforcement have not been taken into account when developing this list; these of course are critical elements when developing actual DFS guidelines.</w:t>
      </w:r>
    </w:p>
    <w:p w14:paraId="5EFD8F59" w14:textId="77777777" w:rsidR="006A46AE" w:rsidRPr="00180522" w:rsidRDefault="006A46AE" w:rsidP="006A46AE">
      <w:pPr>
        <w:rPr>
          <w:lang w:val="en-GB" w:eastAsia="en-US"/>
        </w:rPr>
      </w:pPr>
      <w:r w:rsidRPr="00180522">
        <w:rPr>
          <w:lang w:val="en-GB" w:eastAsia="en-US"/>
        </w:rPr>
        <w:t>The four themes are:</w:t>
      </w:r>
    </w:p>
    <w:p w14:paraId="40711F46" w14:textId="77777777" w:rsidR="006A46AE" w:rsidRPr="00180522" w:rsidRDefault="006A46AE" w:rsidP="006A46AE">
      <w:pPr>
        <w:numPr>
          <w:ilvl w:val="0"/>
          <w:numId w:val="96"/>
        </w:numPr>
        <w:rPr>
          <w:lang w:val="en-GB"/>
        </w:rPr>
      </w:pPr>
      <w:r w:rsidRPr="00180522">
        <w:rPr>
          <w:lang w:val="en-GB"/>
        </w:rPr>
        <w:t>Provision of information and transparency</w:t>
      </w:r>
    </w:p>
    <w:p w14:paraId="4EC9A761" w14:textId="77777777" w:rsidR="006A46AE" w:rsidRPr="00180522" w:rsidRDefault="006A46AE" w:rsidP="006A46AE">
      <w:pPr>
        <w:numPr>
          <w:ilvl w:val="0"/>
          <w:numId w:val="96"/>
        </w:numPr>
        <w:rPr>
          <w:lang w:val="en-GB"/>
        </w:rPr>
      </w:pPr>
      <w:r w:rsidRPr="00180522">
        <w:rPr>
          <w:lang w:val="en-GB"/>
        </w:rPr>
        <w:t>Fraud prevention</w:t>
      </w:r>
    </w:p>
    <w:p w14:paraId="2927241C" w14:textId="77777777" w:rsidR="006A46AE" w:rsidRPr="00180522" w:rsidRDefault="006A46AE" w:rsidP="006A46AE">
      <w:pPr>
        <w:numPr>
          <w:ilvl w:val="0"/>
          <w:numId w:val="96"/>
        </w:numPr>
        <w:rPr>
          <w:lang w:val="en-GB"/>
        </w:rPr>
      </w:pPr>
      <w:r w:rsidRPr="00180522">
        <w:rPr>
          <w:lang w:val="en-GB"/>
        </w:rPr>
        <w:t>Dispute resolution</w:t>
      </w:r>
    </w:p>
    <w:p w14:paraId="5DA100EA" w14:textId="77777777" w:rsidR="006A46AE" w:rsidRPr="00180522" w:rsidRDefault="006A46AE" w:rsidP="006A46AE">
      <w:pPr>
        <w:numPr>
          <w:ilvl w:val="0"/>
          <w:numId w:val="96"/>
        </w:numPr>
        <w:rPr>
          <w:lang w:val="en-GB"/>
        </w:rPr>
      </w:pPr>
      <w:r w:rsidRPr="00180522">
        <w:rPr>
          <w:lang w:val="en-GB"/>
        </w:rPr>
        <w:t>Data privacy and protection</w:t>
      </w:r>
    </w:p>
    <w:p w14:paraId="04ACFA70" w14:textId="77777777" w:rsidR="006A46AE" w:rsidRPr="00180522" w:rsidRDefault="006A46AE" w:rsidP="006A46AE">
      <w:pPr>
        <w:rPr>
          <w:lang w:val="en-GB" w:eastAsia="en-US"/>
        </w:rPr>
      </w:pPr>
      <w:r w:rsidRPr="00180522">
        <w:rPr>
          <w:lang w:val="en-GB" w:eastAsia="en-US"/>
        </w:rPr>
        <w:t>For each theme a set of key issues have been identified, which are discussed in the following sections.</w:t>
      </w:r>
    </w:p>
    <w:p w14:paraId="7B103D9A" w14:textId="77777777" w:rsidR="006A46AE" w:rsidRPr="00180522" w:rsidRDefault="006A46AE" w:rsidP="006A46AE">
      <w:pPr>
        <w:rPr>
          <w:lang w:val="en-GB" w:eastAsia="en-US"/>
        </w:rPr>
      </w:pPr>
      <w:r w:rsidRPr="00180522">
        <w:rPr>
          <w:b/>
          <w:lang w:val="en-GB" w:eastAsia="en-US"/>
        </w:rPr>
        <w:t>Technical Report DSTR-DFSMR "Digital Financial Services – Main recommendations"</w:t>
      </w:r>
      <w:r w:rsidRPr="00180522">
        <w:rPr>
          <w:lang w:val="en-GB" w:eastAsia="en-US"/>
        </w:rPr>
        <w:t xml:space="preserve"> outlines the main recommendations of the ITU Focus Group on Digital Financial Service (FG-DFS) and identifies key areas where intervention by regulators, DFS operators and policymakers are needed to create a conducive environment for digital financial services. The recommendations are grouped under the following main headings of each working group:</w:t>
      </w:r>
    </w:p>
    <w:p w14:paraId="39182F83" w14:textId="77777777" w:rsidR="006A46AE" w:rsidRPr="00180522" w:rsidRDefault="006A46AE" w:rsidP="006A46AE">
      <w:pPr>
        <w:numPr>
          <w:ilvl w:val="0"/>
          <w:numId w:val="99"/>
        </w:numPr>
        <w:rPr>
          <w:lang w:val="en-GB" w:eastAsia="en-US"/>
        </w:rPr>
      </w:pPr>
      <w:r w:rsidRPr="00180522">
        <w:rPr>
          <w:lang w:val="en-GB" w:eastAsia="en-US"/>
        </w:rPr>
        <w:t>Ecosystem</w:t>
      </w:r>
    </w:p>
    <w:p w14:paraId="6FE38416" w14:textId="77777777" w:rsidR="006A46AE" w:rsidRPr="00180522" w:rsidRDefault="006A46AE" w:rsidP="006A46AE">
      <w:pPr>
        <w:numPr>
          <w:ilvl w:val="0"/>
          <w:numId w:val="99"/>
        </w:numPr>
        <w:rPr>
          <w:lang w:val="en-GB" w:eastAsia="en-US"/>
        </w:rPr>
      </w:pPr>
      <w:r w:rsidRPr="00180522">
        <w:rPr>
          <w:lang w:val="en-GB" w:eastAsia="en-US"/>
        </w:rPr>
        <w:t>Interoperability</w:t>
      </w:r>
    </w:p>
    <w:p w14:paraId="064F357C" w14:textId="77777777" w:rsidR="006A46AE" w:rsidRPr="00180522" w:rsidRDefault="006A46AE" w:rsidP="006A46AE">
      <w:pPr>
        <w:numPr>
          <w:ilvl w:val="0"/>
          <w:numId w:val="99"/>
        </w:numPr>
        <w:rPr>
          <w:lang w:val="en-GB" w:eastAsia="en-US"/>
        </w:rPr>
      </w:pPr>
      <w:r w:rsidRPr="00180522">
        <w:rPr>
          <w:lang w:val="en-GB" w:eastAsia="en-US"/>
        </w:rPr>
        <w:t>Technology, Innovation and Competition (TIC)</w:t>
      </w:r>
    </w:p>
    <w:p w14:paraId="27C38255" w14:textId="77777777" w:rsidR="006A46AE" w:rsidRPr="00180522" w:rsidRDefault="006A46AE" w:rsidP="006A46AE">
      <w:pPr>
        <w:numPr>
          <w:ilvl w:val="0"/>
          <w:numId w:val="99"/>
        </w:numPr>
        <w:rPr>
          <w:lang w:val="en-GB" w:eastAsia="en-US"/>
        </w:rPr>
      </w:pPr>
      <w:r w:rsidRPr="00180522">
        <w:rPr>
          <w:lang w:val="en-GB" w:eastAsia="en-US"/>
        </w:rPr>
        <w:t>Consumer Experience and Protection (CEP).</w:t>
      </w:r>
    </w:p>
    <w:p w14:paraId="126BB7C5" w14:textId="77777777" w:rsidR="006A46AE" w:rsidRPr="00180522" w:rsidRDefault="006A46AE" w:rsidP="006A46AE">
      <w:pPr>
        <w:pStyle w:val="Headingb"/>
      </w:pPr>
      <w:r w:rsidRPr="00180522">
        <w:t>I.8</w:t>
      </w:r>
      <w:r w:rsidRPr="00180522">
        <w:tab/>
        <w:t>Quality of service and experience, and network performance</w:t>
      </w:r>
      <w:bookmarkEnd w:id="239"/>
    </w:p>
    <w:p w14:paraId="4975BF95" w14:textId="77777777" w:rsidR="006A46AE" w:rsidRPr="00180522" w:rsidRDefault="006A46AE" w:rsidP="006A46AE">
      <w:pPr>
        <w:widowControl w:val="0"/>
        <w:rPr>
          <w:lang w:val="en-GB"/>
        </w:rPr>
      </w:pPr>
      <w:r w:rsidRPr="00180522">
        <w:rPr>
          <w:b/>
          <w:bCs/>
          <w:lang w:val="en-GB"/>
        </w:rPr>
        <w:t xml:space="preserve">ITU-T E.805 "Strategies to establish quality regulatory frameworks" </w:t>
      </w:r>
      <w:r w:rsidRPr="00180522">
        <w:rPr>
          <w:bCs/>
          <w:lang w:val="en-GB"/>
        </w:rPr>
        <w:t>(under approval)</w:t>
      </w:r>
      <w:r w:rsidRPr="00180522">
        <w:rPr>
          <w:lang w:val="en-GB"/>
        </w:rPr>
        <w:t xml:space="preserve"> provides guidance to regulators aiming to establish national or regional regulatory frameworks to monitor and measure quality of service (QoS) and quality of experience (QoE).</w:t>
      </w:r>
    </w:p>
    <w:p w14:paraId="454387C0" w14:textId="77777777" w:rsidR="006A46AE" w:rsidRPr="00180522" w:rsidRDefault="006A46AE" w:rsidP="006A46AE">
      <w:pPr>
        <w:widowControl w:val="0"/>
        <w:rPr>
          <w:lang w:val="en-GB"/>
        </w:rPr>
      </w:pPr>
      <w:r w:rsidRPr="00180522">
        <w:rPr>
          <w:b/>
          <w:bCs/>
          <w:lang w:val="en-GB"/>
        </w:rPr>
        <w:t>ITU-T E.806 "Measurement campaigns, monitoring systems and sampling methodologies to monitor the QoS in mobile networks"</w:t>
      </w:r>
      <w:r w:rsidRPr="00180522">
        <w:rPr>
          <w:lang w:val="en-GB"/>
        </w:rPr>
        <w:t xml:space="preserve"> describes a baseline framework of best practices for measuring QoS in mobile networks. It provides a high-level overview of measurement campaigns, monitoring systems characteristics and requirements, post-processing general recommendations and </w:t>
      </w:r>
      <w:r w:rsidRPr="00180522">
        <w:rPr>
          <w:lang w:val="en-GB"/>
        </w:rPr>
        <w:lastRenderedPageBreak/>
        <w:t>sampling methodologies to monitor mobile electronic services. This Recommendation is technology-neutral but may state different requirements depending on the services being measured.</w:t>
      </w:r>
    </w:p>
    <w:p w14:paraId="4ABBBBAC" w14:textId="77777777" w:rsidR="006A46AE" w:rsidRPr="00180522" w:rsidRDefault="006A46AE" w:rsidP="006A46AE">
      <w:pPr>
        <w:rPr>
          <w:lang w:val="en-GB"/>
        </w:rPr>
      </w:pPr>
      <w:r w:rsidRPr="00180522">
        <w:rPr>
          <w:b/>
          <w:lang w:val="en-GB"/>
        </w:rPr>
        <w:t>ITU-T G.107.1 (revised) "Wideband E-model"</w:t>
      </w:r>
      <w:r w:rsidRPr="00180522">
        <w:rPr>
          <w:lang w:val="en-GB"/>
        </w:rPr>
        <w:t xml:space="preserve"> gives the algorithm for the wideband (WB) version of the E-model as the common ITU-T transmission rating model for planning speech services that provide WB speech transmission (50-7000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1F1B970B" w14:textId="77777777" w:rsidR="006A46AE" w:rsidRPr="00180522" w:rsidRDefault="006A46AE" w:rsidP="006A46AE">
      <w:pPr>
        <w:rPr>
          <w:lang w:val="en-GB"/>
        </w:rPr>
      </w:pPr>
      <w:r w:rsidRPr="00180522">
        <w:rPr>
          <w:lang w:val="en-GB"/>
        </w:rPr>
        <w:t>This WB-E-model is an adapted version of the narrowband (NB) (300-3400 Hz) E-model, typically referred to as "the E-model", which is described in Recommendation ITU-T G.107. It does not replace the NB E-model. Instead, it describes a separate WB version of the model that uses, within limits, similar concepts and input parameters as the NB E-model.</w:t>
      </w:r>
    </w:p>
    <w:p w14:paraId="007E4782" w14:textId="77777777" w:rsidR="006A46AE" w:rsidRPr="00180522" w:rsidRDefault="006A46AE" w:rsidP="006A46AE">
      <w:pPr>
        <w:rPr>
          <w:lang w:val="en-GB"/>
        </w:rPr>
      </w:pPr>
      <w:r w:rsidRPr="00180522">
        <w:rPr>
          <w:b/>
          <w:lang w:val="en-GB"/>
        </w:rPr>
        <w:t>ITU-T G.107.2 (revised) "</w:t>
      </w:r>
      <w:proofErr w:type="spellStart"/>
      <w:r w:rsidRPr="00180522">
        <w:rPr>
          <w:b/>
          <w:lang w:val="en-GB"/>
        </w:rPr>
        <w:t>Fullband</w:t>
      </w:r>
      <w:proofErr w:type="spellEnd"/>
      <w:r w:rsidRPr="00180522">
        <w:rPr>
          <w:b/>
          <w:lang w:val="en-GB"/>
        </w:rPr>
        <w:t xml:space="preserve"> E-model"</w:t>
      </w:r>
      <w:r w:rsidRPr="00180522">
        <w:rPr>
          <w:lang w:val="en-GB"/>
        </w:rPr>
        <w:t xml:space="preserve"> gives the algorithm for the </w:t>
      </w:r>
      <w:proofErr w:type="spellStart"/>
      <w:r w:rsidRPr="00180522">
        <w:rPr>
          <w:lang w:val="en-GB"/>
        </w:rPr>
        <w:t>fullband</w:t>
      </w:r>
      <w:proofErr w:type="spellEnd"/>
      <w:r w:rsidRPr="00180522">
        <w:rPr>
          <w:lang w:val="en-GB"/>
        </w:rPr>
        <w:t xml:space="preserve"> (FB) version of the E-model as the common ITU-T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0789F6C9" w14:textId="77777777" w:rsidR="006A46AE" w:rsidRPr="00180522" w:rsidRDefault="006A46AE" w:rsidP="006A46AE">
      <w:pPr>
        <w:rPr>
          <w:highlight w:val="yellow"/>
          <w:lang w:val="en-GB"/>
        </w:rPr>
      </w:pPr>
      <w:r w:rsidRPr="00180522">
        <w:rPr>
          <w:lang w:val="en-GB"/>
        </w:rPr>
        <w:t>This FB-E-model is an adapted version of the narrowband (NB) (300-3400 Hz) and wideband (WB) (50-7000 Hz) E-models, which are described in Recommendations ITU-T G.107 (NB) and ITU-T Rec. G.107.1 (WB). It does not replace the NB or the WB E-model. Instead, it describes a separate FB version of the model that uses, within limits, similar concepts and input parameters as the NB and WB E-models.</w:t>
      </w:r>
    </w:p>
    <w:p w14:paraId="52CD251B" w14:textId="77777777" w:rsidR="006A46AE" w:rsidRPr="00180522" w:rsidRDefault="006A46AE" w:rsidP="006A46AE">
      <w:pPr>
        <w:widowControl w:val="0"/>
        <w:rPr>
          <w:highlight w:val="yellow"/>
          <w:lang w:val="en-GB"/>
        </w:rPr>
      </w:pPr>
      <w:r w:rsidRPr="00180522">
        <w:rPr>
          <w:b/>
          <w:bCs/>
          <w:lang w:val="en-GB"/>
        </w:rPr>
        <w:t xml:space="preserve">ITU-T G.113 Amd.2 "New Appendix V – Provisional planning values for the </w:t>
      </w:r>
      <w:proofErr w:type="spellStart"/>
      <w:r w:rsidRPr="00180522">
        <w:rPr>
          <w:b/>
          <w:bCs/>
          <w:lang w:val="en-GB"/>
        </w:rPr>
        <w:t>fullband</w:t>
      </w:r>
      <w:proofErr w:type="spellEnd"/>
      <w:r w:rsidRPr="00180522">
        <w:rPr>
          <w:b/>
          <w:bCs/>
          <w:lang w:val="en-GB"/>
        </w:rPr>
        <w:t xml:space="preserve"> equipment impairment factor and the </w:t>
      </w:r>
      <w:proofErr w:type="spellStart"/>
      <w:r w:rsidRPr="00180522">
        <w:rPr>
          <w:b/>
          <w:bCs/>
          <w:lang w:val="en-GB"/>
        </w:rPr>
        <w:t>fullband</w:t>
      </w:r>
      <w:proofErr w:type="spellEnd"/>
      <w:r w:rsidRPr="00180522">
        <w:rPr>
          <w:b/>
          <w:bCs/>
          <w:lang w:val="en-GB"/>
        </w:rPr>
        <w:t xml:space="preserve"> packet loss robustness factor" </w:t>
      </w:r>
      <w:r w:rsidRPr="00180522">
        <w:rPr>
          <w:lang w:val="en-GB"/>
        </w:rPr>
        <w:t xml:space="preserve">provides up-to-date information on available values of </w:t>
      </w:r>
      <w:proofErr w:type="spellStart"/>
      <w:r w:rsidRPr="00180522">
        <w:rPr>
          <w:lang w:val="en-GB"/>
        </w:rPr>
        <w:t>fullband</w:t>
      </w:r>
      <w:proofErr w:type="spellEnd"/>
      <w:r w:rsidRPr="00180522">
        <w:rPr>
          <w:lang w:val="en-GB"/>
        </w:rPr>
        <w:t xml:space="preserve"> equipment impairment factors, </w:t>
      </w:r>
      <w:proofErr w:type="spellStart"/>
      <w:r w:rsidRPr="00180522">
        <w:rPr>
          <w:lang w:val="en-GB"/>
        </w:rPr>
        <w:t>Ie,fb</w:t>
      </w:r>
      <w:proofErr w:type="spellEnd"/>
      <w:r w:rsidRPr="00180522">
        <w:rPr>
          <w:lang w:val="en-GB"/>
        </w:rPr>
        <w:t xml:space="preserve">, and packet loss robustness factors, </w:t>
      </w:r>
      <w:proofErr w:type="spellStart"/>
      <w:r w:rsidRPr="00180522">
        <w:rPr>
          <w:lang w:val="en-GB"/>
        </w:rPr>
        <w:t>Bpl</w:t>
      </w:r>
      <w:proofErr w:type="spellEnd"/>
      <w:r w:rsidRPr="00180522">
        <w:rPr>
          <w:lang w:val="en-GB"/>
        </w:rPr>
        <w:t>, fb. It is intended to be updated regularly. These values are to be used on an extended transmission rating scale (R-scale) as it is defined in [ITU-T Rec. G.107.2].</w:t>
      </w:r>
    </w:p>
    <w:p w14:paraId="231568F8" w14:textId="77777777" w:rsidR="006A46AE" w:rsidRPr="00180522" w:rsidRDefault="006A46AE" w:rsidP="006A46AE">
      <w:pPr>
        <w:pStyle w:val="Headingb"/>
      </w:pPr>
      <w:bookmarkStart w:id="240" w:name="_Toc480527909"/>
      <w:r w:rsidRPr="00180522">
        <w:t>I.9</w:t>
      </w:r>
      <w:r w:rsidRPr="00180522">
        <w:tab/>
        <w:t>Conformity, interoperability and testing</w:t>
      </w:r>
      <w:bookmarkEnd w:id="240"/>
    </w:p>
    <w:p w14:paraId="0768C053" w14:textId="77777777" w:rsidR="006A46AE" w:rsidRPr="00180522" w:rsidRDefault="006A46AE" w:rsidP="006A46AE">
      <w:pPr>
        <w:pStyle w:val="Headingb"/>
      </w:pPr>
      <w:r w:rsidRPr="00180522">
        <w:t>I.9.3</w:t>
      </w:r>
      <w:r w:rsidRPr="00180522">
        <w:tab/>
        <w:t>SIP-IMS conformity assessment and interconnection testing</w:t>
      </w:r>
    </w:p>
    <w:p w14:paraId="58A6D58A" w14:textId="77777777" w:rsidR="006A46AE" w:rsidRPr="00180522" w:rsidRDefault="006A46AE" w:rsidP="006A46AE">
      <w:pPr>
        <w:rPr>
          <w:szCs w:val="24"/>
          <w:lang w:val="en-GB"/>
        </w:rPr>
      </w:pPr>
      <w:r w:rsidRPr="00180522">
        <w:rPr>
          <w:b/>
          <w:szCs w:val="24"/>
          <w:lang w:val="en-GB"/>
        </w:rPr>
        <w:t xml:space="preserve">ITU-T Q.4014.1 "PSTN/ISDN terminal equipment using IP Multimedia core network subsystem; Conformance testing; Part 1: PICS" </w:t>
      </w:r>
      <w:r w:rsidRPr="00180522">
        <w:rPr>
          <w:szCs w:val="24"/>
          <w:lang w:val="en-GB"/>
        </w:rPr>
        <w:t>is a part 1 of the testing specifications of the terminal equipment used in the IMS-based PSTN/ISDN Emulation subsystem based on the media gateway control protocol, the session initiation protocol and the associated session description protocol. The Recommendation specifies the Protocol Implementation Conformance Statement to test PSTN/ISDN terminal equipment using IP Multimedia core network subsystem.</w:t>
      </w:r>
    </w:p>
    <w:p w14:paraId="135B017A" w14:textId="77777777" w:rsidR="006A46AE" w:rsidRPr="00180522" w:rsidRDefault="006A46AE" w:rsidP="006A46AE">
      <w:pPr>
        <w:rPr>
          <w:szCs w:val="24"/>
          <w:lang w:val="en-GB"/>
        </w:rPr>
      </w:pPr>
      <w:r w:rsidRPr="00180522">
        <w:rPr>
          <w:b/>
          <w:szCs w:val="24"/>
          <w:lang w:val="en-GB"/>
        </w:rPr>
        <w:t>ITU-T Q.4014.2 "PSTN/ISDN terminal equipment using IP Multimedia core network subsystem; Conformance testing; Part 2: TSS&amp;TP"</w:t>
      </w:r>
      <w:r w:rsidRPr="00180522">
        <w:rPr>
          <w:szCs w:val="24"/>
          <w:lang w:val="en-GB"/>
        </w:rPr>
        <w:t xml:space="preserve"> is a part 2 of the testing specifications of the terminal equipment used in the IMS-based PSTN/ISDN Emulation subsystem based on the media gateway control protocol, the session initiation protocol and the associated session description protocol. The Recommendation specifies the Test Suite Structure and Test purposes to test PSTN/ISDN terminal equipment using IP Multimedia core network subsystem.</w:t>
      </w:r>
    </w:p>
    <w:p w14:paraId="25545FD7" w14:textId="77777777" w:rsidR="006A46AE" w:rsidRPr="00180522" w:rsidRDefault="006A46AE" w:rsidP="006A46AE">
      <w:pPr>
        <w:pStyle w:val="Headingb"/>
      </w:pPr>
      <w:r w:rsidRPr="00180522">
        <w:lastRenderedPageBreak/>
        <w:t>I.9.8</w:t>
      </w:r>
      <w:r w:rsidRPr="00180522">
        <w:tab/>
        <w:t>Testing Internet of things</w:t>
      </w:r>
    </w:p>
    <w:p w14:paraId="30ED8FA0" w14:textId="77777777" w:rsidR="006A46AE" w:rsidRPr="00180522" w:rsidRDefault="006A46AE" w:rsidP="006A46AE">
      <w:pPr>
        <w:pStyle w:val="Headingb"/>
      </w:pPr>
      <w:r w:rsidRPr="00180522">
        <w:t>I.9.9</w:t>
      </w:r>
      <w:r w:rsidRPr="00180522">
        <w:tab/>
        <w:t>Testing energy efficiency of base stations</w:t>
      </w:r>
    </w:p>
    <w:p w14:paraId="24ABC2C5" w14:textId="77777777" w:rsidR="006A46AE" w:rsidRPr="00180522" w:rsidRDefault="006A46AE" w:rsidP="006A46AE">
      <w:pPr>
        <w:pStyle w:val="Headingb"/>
      </w:pPr>
      <w:r w:rsidRPr="00180522">
        <w:t>I.9.10</w:t>
      </w:r>
      <w:r w:rsidRPr="00180522">
        <w:tab/>
        <w:t>Testing cloud computing</w:t>
      </w:r>
    </w:p>
    <w:p w14:paraId="6C5BCAA4" w14:textId="77777777" w:rsidR="006A46AE" w:rsidRPr="00180522" w:rsidRDefault="006A46AE" w:rsidP="006A46AE">
      <w:pPr>
        <w:rPr>
          <w:lang w:val="en-GB"/>
        </w:rPr>
      </w:pPr>
      <w:r w:rsidRPr="00180522">
        <w:rPr>
          <w:b/>
          <w:lang w:val="en-GB"/>
        </w:rPr>
        <w:t>ITU-T Q.4042.1 "Cloud interoperability testing about web application – part 1: Interoperability testing between CSC and CSP"</w:t>
      </w:r>
      <w:r w:rsidRPr="00180522">
        <w:rPr>
          <w:lang w:val="en-GB"/>
        </w:rPr>
        <w:t xml:space="preserve">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14:paraId="1879F5EF" w14:textId="77777777" w:rsidR="006A46AE" w:rsidRPr="00180522" w:rsidRDefault="006A46AE" w:rsidP="006A46AE">
      <w:pPr>
        <w:rPr>
          <w:lang w:val="en-GB"/>
        </w:rPr>
      </w:pPr>
      <w:r w:rsidRPr="00180522">
        <w:rPr>
          <w:b/>
          <w:lang w:val="en-GB"/>
        </w:rPr>
        <w:t>ITU-T Q.4043 "Interoperability testing requirements of virtual switch"</w:t>
      </w:r>
      <w:r w:rsidRPr="00180522">
        <w:rPr>
          <w:lang w:val="en-GB"/>
        </w:rPr>
        <w:t xml:space="preserve"> specify virtual switch (</w:t>
      </w:r>
      <w:proofErr w:type="spellStart"/>
      <w:r w:rsidRPr="00180522">
        <w:rPr>
          <w:lang w:val="en-GB"/>
        </w:rPr>
        <w:t>vswitch</w:t>
      </w:r>
      <w:proofErr w:type="spellEnd"/>
      <w:r w:rsidRPr="00180522">
        <w:rPr>
          <w:lang w:val="en-GB"/>
        </w:rPr>
        <w:t xml:space="preserve">) interoperability testing requirements. Firstly, as a basic background, this Recommendation introduces the overview of </w:t>
      </w:r>
      <w:proofErr w:type="spellStart"/>
      <w:r w:rsidRPr="00180522">
        <w:rPr>
          <w:lang w:val="en-GB"/>
        </w:rPr>
        <w:t>vswitch</w:t>
      </w:r>
      <w:proofErr w:type="spellEnd"/>
      <w:r w:rsidRPr="00180522">
        <w:rPr>
          <w:lang w:val="en-GB"/>
        </w:rPr>
        <w:t xml:space="preserve"> and interoperability testing of </w:t>
      </w:r>
      <w:proofErr w:type="spellStart"/>
      <w:r w:rsidRPr="00180522">
        <w:rPr>
          <w:lang w:val="en-GB"/>
        </w:rPr>
        <w:t>vswitch</w:t>
      </w:r>
      <w:proofErr w:type="spellEnd"/>
      <w:r w:rsidRPr="00180522">
        <w:rPr>
          <w:lang w:val="en-GB"/>
        </w:rPr>
        <w:t xml:space="preserve">, which includes but not limited to the definition, characterises, general capabilities of </w:t>
      </w:r>
      <w:proofErr w:type="spellStart"/>
      <w:r w:rsidRPr="00180522">
        <w:rPr>
          <w:lang w:val="en-GB"/>
        </w:rPr>
        <w:t>vswitch</w:t>
      </w:r>
      <w:proofErr w:type="spellEnd"/>
      <w:r w:rsidRPr="00180522">
        <w:rPr>
          <w:lang w:val="en-GB"/>
        </w:rPr>
        <w:t xml:space="preserve"> as well as the overview of interoperability testing of </w:t>
      </w:r>
      <w:proofErr w:type="spellStart"/>
      <w:r w:rsidRPr="00180522">
        <w:rPr>
          <w:lang w:val="en-GB"/>
        </w:rPr>
        <w:t>vswitch</w:t>
      </w:r>
      <w:proofErr w:type="spellEnd"/>
      <w:r w:rsidRPr="00180522">
        <w:rPr>
          <w:lang w:val="en-GB"/>
        </w:rPr>
        <w:t xml:space="preserve">. The description of cloud related use cases of </w:t>
      </w:r>
      <w:proofErr w:type="spellStart"/>
      <w:r w:rsidRPr="00180522">
        <w:rPr>
          <w:lang w:val="en-GB"/>
        </w:rPr>
        <w:t>vswitch</w:t>
      </w:r>
      <w:proofErr w:type="spellEnd"/>
      <w:r w:rsidRPr="00180522">
        <w:rPr>
          <w:lang w:val="en-GB"/>
        </w:rPr>
        <w:t xml:space="preserve"> is provided in the appendix, which will describe the involved interaction process. Based on analysis of involved </w:t>
      </w:r>
      <w:proofErr w:type="spellStart"/>
      <w:r w:rsidRPr="00180522">
        <w:rPr>
          <w:lang w:val="en-GB"/>
        </w:rPr>
        <w:t>vswitch</w:t>
      </w:r>
      <w:proofErr w:type="spellEnd"/>
      <w:r w:rsidRPr="00180522">
        <w:rPr>
          <w:lang w:val="en-GB"/>
        </w:rPr>
        <w:t xml:space="preserve"> capabilities in cloud related use cases, the corresponding derived requirements of </w:t>
      </w:r>
      <w:proofErr w:type="spellStart"/>
      <w:r w:rsidRPr="00180522">
        <w:rPr>
          <w:lang w:val="en-GB"/>
        </w:rPr>
        <w:t>vswitch's</w:t>
      </w:r>
      <w:proofErr w:type="spellEnd"/>
      <w:r w:rsidRPr="00180522">
        <w:rPr>
          <w:lang w:val="en-GB"/>
        </w:rPr>
        <w:t xml:space="preserve"> interoperability testing are introduced.</w:t>
      </w:r>
    </w:p>
    <w:p w14:paraId="19DC8B26" w14:textId="77777777" w:rsidR="006A46AE" w:rsidRPr="00180522" w:rsidRDefault="006A46AE" w:rsidP="006A46AE">
      <w:pPr>
        <w:pStyle w:val="Headingb"/>
      </w:pPr>
      <w:r w:rsidRPr="00180522">
        <w:t>I.9.11</w:t>
      </w:r>
      <w:r w:rsidRPr="00180522">
        <w:tab/>
        <w:t>Testing SDN</w:t>
      </w:r>
    </w:p>
    <w:p w14:paraId="3CD2E28F" w14:textId="77777777" w:rsidR="006A46AE" w:rsidRPr="00180522" w:rsidRDefault="006A46AE" w:rsidP="006A46AE">
      <w:pPr>
        <w:rPr>
          <w:rFonts w:eastAsia="MS Mincho"/>
          <w:lang w:val="en-GB"/>
        </w:rPr>
      </w:pPr>
      <w:r w:rsidRPr="00180522">
        <w:rPr>
          <w:rFonts w:eastAsia="MS Mincho"/>
          <w:b/>
          <w:lang w:val="en-GB"/>
        </w:rPr>
        <w:t>ITU-T Q.4061 "Framework of SDN controller testing"</w:t>
      </w:r>
      <w:r w:rsidRPr="00180522">
        <w:rPr>
          <w:rFonts w:eastAsia="MS Mincho"/>
          <w:lang w:val="en-GB"/>
        </w:rPr>
        <w:t>: The concept of IMT-2020 is represented by a set of wide spectrum of info-communication applications, cloud services and network infrastructure, dynamically responding to the relevant requirements of each service, as already widely used and new. One of the approaches to build network infrastructure is software-defined approach (SDN). It is described in ONF TR-526 (consortium of the Open Network Foundation), and in ITU-R M.2083. This document contains: classification of SDN controller's tests; parameters, structure, sequence and methodology of SDN controller testing; testing report containment.</w:t>
      </w:r>
    </w:p>
    <w:p w14:paraId="014A52CF" w14:textId="77777777" w:rsidR="006A46AE" w:rsidRPr="00180522" w:rsidRDefault="006A46AE" w:rsidP="006A46AE">
      <w:pPr>
        <w:pStyle w:val="Headingb"/>
      </w:pPr>
      <w:r w:rsidRPr="00180522">
        <w:t>I.10</w:t>
      </w:r>
      <w:r w:rsidRPr="00180522">
        <w:tab/>
        <w:t>Mainstreaming accessibility in ICTs</w:t>
      </w:r>
    </w:p>
    <w:p w14:paraId="1B576DEC" w14:textId="77777777" w:rsidR="006A46AE" w:rsidRPr="00180522" w:rsidRDefault="006A46AE" w:rsidP="006A46AE">
      <w:pPr>
        <w:rPr>
          <w:lang w:val="en-GB"/>
        </w:rPr>
      </w:pPr>
      <w:r w:rsidRPr="00180522">
        <w:rPr>
          <w:b/>
          <w:bCs/>
          <w:lang w:val="en-GB"/>
        </w:rPr>
        <w:t>ITU-T Y.4204 "Accessibility requirements for the Internet of things applications and services"</w:t>
      </w:r>
      <w:r w:rsidRPr="00180522">
        <w:rPr>
          <w:lang w:val="en-GB"/>
        </w:rPr>
        <w:t xml:space="preserve"> provides accessibility requirements specific to Internet of Things (IoT) applications and services. Benefits of accessible IoT applications and services are addressed, and accessibility 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0420BC59" w14:textId="77777777" w:rsidR="006A46AE" w:rsidRPr="00180522" w:rsidRDefault="006A46AE" w:rsidP="006A46AE">
      <w:pPr>
        <w:rPr>
          <w:lang w:val="en-GB"/>
        </w:rPr>
      </w:pPr>
      <w:r w:rsidRPr="00180522">
        <w:rPr>
          <w:lang w:val="en-GB"/>
        </w:rPr>
        <w:t xml:space="preserve">See also ITU-T H.871 "Safe listening guidelines for personal sound amplifiers" in section I.4.5, </w:t>
      </w:r>
      <w:hyperlink w:anchor="H871" w:history="1">
        <w:r w:rsidRPr="00180522">
          <w:rPr>
            <w:rStyle w:val="Hyperlink"/>
            <w:lang w:val="en-GB"/>
          </w:rPr>
          <w:t>above</w:t>
        </w:r>
      </w:hyperlink>
      <w:r w:rsidRPr="00180522">
        <w:rPr>
          <w:lang w:val="en-GB"/>
        </w:rPr>
        <w:t>.</w:t>
      </w:r>
    </w:p>
    <w:p w14:paraId="76E6577E" w14:textId="77777777" w:rsidR="006A46AE" w:rsidRPr="00180522" w:rsidRDefault="006A46AE" w:rsidP="006A46AE">
      <w:pPr>
        <w:pStyle w:val="Headingb"/>
      </w:pPr>
      <w:r w:rsidRPr="00180522">
        <w:t>I.11</w:t>
      </w:r>
      <w:r w:rsidRPr="00180522">
        <w:tab/>
        <w:t>Combating Counterfeiting</w:t>
      </w:r>
    </w:p>
    <w:p w14:paraId="7DB764F5" w14:textId="77777777" w:rsidR="006A46AE" w:rsidRPr="00180522" w:rsidRDefault="006A46AE" w:rsidP="006A46AE">
      <w:pPr>
        <w:rPr>
          <w:lang w:val="en-GB" w:eastAsia="en-US"/>
        </w:rPr>
      </w:pPr>
      <w:r w:rsidRPr="00180522">
        <w:rPr>
          <w:b/>
          <w:lang w:val="en-GB" w:eastAsia="en-US"/>
        </w:rPr>
        <w:t xml:space="preserve">ITU-T Q.5050 "Framework for solution to combat counterfeit ICT devices": </w:t>
      </w:r>
      <w:r w:rsidRPr="00180522">
        <w:rPr>
          <w:lang w:val="en-GB" w:eastAsia="en-US"/>
        </w:rPr>
        <w:t>There has been growing usage of ICT equipment in people's daily lives, in recent years, but there have also been unwelcome side effects related to the increased in the sale, circulation and use of counterfeit ICT devices in the market.</w:t>
      </w:r>
    </w:p>
    <w:p w14:paraId="7FA90E0D" w14:textId="77777777" w:rsidR="006A46AE" w:rsidRPr="00180522" w:rsidRDefault="006A46AE" w:rsidP="006A46AE">
      <w:pPr>
        <w:rPr>
          <w:lang w:val="en-GB" w:eastAsia="en-US"/>
        </w:rPr>
      </w:pPr>
      <w:r w:rsidRPr="00180522">
        <w:rPr>
          <w:lang w:val="en-GB" w:eastAsia="en-US"/>
        </w:rPr>
        <w:t>Counterfeit 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138CFD17" w14:textId="77777777" w:rsidR="006A46AE" w:rsidRPr="00180522" w:rsidRDefault="006A46AE" w:rsidP="006A46AE">
      <w:pPr>
        <w:rPr>
          <w:lang w:val="en-GB" w:eastAsia="en-US"/>
        </w:rPr>
      </w:pPr>
      <w:r w:rsidRPr="00180522">
        <w:rPr>
          <w:lang w:val="en-GB" w:eastAsia="en-US"/>
        </w:rPr>
        <w:lastRenderedPageBreak/>
        <w:t>Among the various types of ICT devices used today, smartphones and other mobile devices have become pervasive and desirable items amongst the world population, and, as a side effect, have also raised the attention of the global black/grey market.</w:t>
      </w:r>
    </w:p>
    <w:p w14:paraId="22D61248" w14:textId="77777777" w:rsidR="006A46AE" w:rsidRPr="00180522" w:rsidRDefault="006A46AE" w:rsidP="006A46AE">
      <w:pPr>
        <w:rPr>
          <w:lang w:val="en-GB" w:eastAsia="en-US"/>
        </w:rPr>
      </w:pPr>
      <w:r w:rsidRPr="00180522">
        <w:rPr>
          <w:lang w:val="en-GB" w:eastAsia="en-US"/>
        </w:rPr>
        <w:t>This results in adverse consequences for stakeholders such as users, network operators, genuine device manufacturers, traders and governments, including decreased security protection and quality of service for users and revenue losses to a range of stakeholders.</w:t>
      </w:r>
    </w:p>
    <w:p w14:paraId="09880D1B" w14:textId="77777777" w:rsidR="006A46AE" w:rsidRPr="00180522" w:rsidRDefault="006A46AE" w:rsidP="006A46AE">
      <w:pPr>
        <w:rPr>
          <w:lang w:val="en-GB" w:eastAsia="en-US"/>
        </w:rPr>
      </w:pPr>
      <w:r w:rsidRPr="00180522">
        <w:rPr>
          <w:lang w:val="en-GB" w:eastAsia="en-US"/>
        </w:rPr>
        <w:t>Since the supply and demand economics for counterfeit ICT devices complicate attempts to tackle the global counterfeit market, no single solution can solve the problem alone, requiring that a broad range of measures to be taken in a holistic approach.</w:t>
      </w:r>
    </w:p>
    <w:p w14:paraId="436B7A15" w14:textId="77777777" w:rsidR="006A46AE" w:rsidRPr="00180522" w:rsidRDefault="006A46AE" w:rsidP="006A46AE">
      <w:pPr>
        <w:rPr>
          <w:lang w:val="en-GB" w:eastAsia="en-US"/>
        </w:rPr>
      </w:pPr>
      <w:r w:rsidRPr="00180522">
        <w:rPr>
          <w:lang w:val="en-GB" w:eastAsia="en-US"/>
        </w:rPr>
        <w:t>Therefore, this Recommendation aims to describe a reference framework, with high level challenges and requirements, that should be considered when deploying solutions to combat the circulation and use of counterfeit ICT devices.</w:t>
      </w:r>
    </w:p>
    <w:p w14:paraId="0D375717" w14:textId="77777777" w:rsidR="006A46AE" w:rsidRPr="00180522" w:rsidRDefault="006A46AE" w:rsidP="006A46AE">
      <w:pPr>
        <w:pStyle w:val="Headingb"/>
      </w:pPr>
      <w:r w:rsidRPr="00180522">
        <w:t>I.12</w:t>
      </w:r>
      <w:r w:rsidRPr="00180522">
        <w:tab/>
        <w:t>Signalling Protocols</w:t>
      </w:r>
    </w:p>
    <w:p w14:paraId="1F14D092" w14:textId="77777777" w:rsidR="006A46AE" w:rsidRPr="00180522" w:rsidRDefault="006A46AE" w:rsidP="006A46AE">
      <w:pPr>
        <w:rPr>
          <w:szCs w:val="24"/>
          <w:lang w:val="en-GB"/>
        </w:rPr>
      </w:pPr>
      <w:r w:rsidRPr="00180522">
        <w:rPr>
          <w:b/>
          <w:szCs w:val="24"/>
          <w:lang w:val="en-GB"/>
        </w:rPr>
        <w:t>ITU-T Q.731.3 (revised) "Stage 3 Description for number identification supplementary services using Signalling System no.7 - Calling Line Identification Presentation"</w:t>
      </w:r>
      <w:r w:rsidRPr="00180522">
        <w:rPr>
          <w:szCs w:val="24"/>
          <w:lang w:val="en-GB"/>
        </w:rPr>
        <w:t xml:space="preserve"> provides signalling procedure for calling line identification presentation (CLIP). It specifies service description, operation requirements and coding requirements of CLIP.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7C9221E4" w14:textId="77777777" w:rsidR="006A46AE" w:rsidRPr="00180522" w:rsidRDefault="006A46AE" w:rsidP="006A46AE">
      <w:pPr>
        <w:rPr>
          <w:szCs w:val="24"/>
          <w:lang w:val="en-GB"/>
        </w:rPr>
      </w:pPr>
      <w:r w:rsidRPr="00180522">
        <w:rPr>
          <w:b/>
          <w:szCs w:val="24"/>
          <w:lang w:val="en-GB"/>
        </w:rPr>
        <w:t>ITU-T Q.731.4 (revised) "Stage 3 Description for number identification supplementary services using Signalling System no.7 - Calling Line Identification Restriction"</w:t>
      </w:r>
      <w:r w:rsidRPr="00180522">
        <w:rPr>
          <w:szCs w:val="24"/>
          <w:lang w:val="en-GB"/>
        </w:rPr>
        <w:t xml:space="preserve"> provides signalling procedure for calling line identification restriction (CLIR). It specifies service description, coding requirements and operation requirements of CLIR.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0D2B1228" w14:textId="77777777" w:rsidR="006A46AE" w:rsidRPr="00180522" w:rsidRDefault="006A46AE" w:rsidP="006A46AE">
      <w:pPr>
        <w:rPr>
          <w:szCs w:val="24"/>
          <w:lang w:val="en-GB"/>
        </w:rPr>
      </w:pPr>
      <w:r w:rsidRPr="00180522">
        <w:rPr>
          <w:b/>
          <w:szCs w:val="24"/>
          <w:lang w:val="en-GB"/>
        </w:rPr>
        <w:t>ITU-T Q.731.5 (revised) "Stage 3 Description for number identification supplementary services using Signalling System no.7 - Connected Line Identification Presentation"</w:t>
      </w:r>
      <w:r w:rsidRPr="00180522">
        <w:rPr>
          <w:szCs w:val="24"/>
          <w:lang w:val="en-GB"/>
        </w:rPr>
        <w:t xml:space="preserve"> provides signalling procedure for connected line identification presentation (COLP). It specifies service description, coding requirements and operation requirements of COLP.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4864326A" w14:textId="77777777" w:rsidR="006A46AE" w:rsidRPr="00180522" w:rsidRDefault="006A46AE" w:rsidP="006A46AE">
      <w:pPr>
        <w:rPr>
          <w:szCs w:val="24"/>
          <w:lang w:val="en-GB"/>
        </w:rPr>
      </w:pPr>
      <w:r w:rsidRPr="00180522">
        <w:rPr>
          <w:b/>
          <w:szCs w:val="24"/>
          <w:lang w:val="en-GB"/>
        </w:rPr>
        <w:t>ITU-T Q.731.6 (revised) "Stage 3 Description for number identification supplementary services using Signalling System no.7 - Connected Line Identification Restriction"</w:t>
      </w:r>
      <w:r w:rsidRPr="00180522">
        <w:rPr>
          <w:szCs w:val="24"/>
          <w:lang w:val="en-GB"/>
        </w:rPr>
        <w:t xml:space="preserve"> provides signalling procedure for connected line identification restriction (COLR). It specifies service description, coding requirements and operation requirements of COLR.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46EEFAF4" w14:textId="77777777" w:rsidR="006A46AE" w:rsidRPr="00180522" w:rsidRDefault="006A46AE" w:rsidP="006A46AE">
      <w:pPr>
        <w:rPr>
          <w:szCs w:val="24"/>
          <w:lang w:val="en-GB"/>
        </w:rPr>
      </w:pPr>
      <w:r w:rsidRPr="00180522">
        <w:rPr>
          <w:b/>
          <w:szCs w:val="24"/>
          <w:lang w:val="en-GB"/>
        </w:rPr>
        <w:t xml:space="preserve">ITU-T Q.850 (2018) Amd.1 (revised) "Usage of cause and location in the Digital Subscriber Signalling System No. 1 and the Signalling System No. 7 ISDN user part" </w:t>
      </w:r>
      <w:r w:rsidRPr="00180522">
        <w:rPr>
          <w:szCs w:val="24"/>
          <w:lang w:val="en-GB"/>
        </w:rPr>
        <w:t>incorporates all points highlighted in ITU-T Q.850 Amd.1 and ITU-T Q.850 Add.1.</w:t>
      </w:r>
    </w:p>
    <w:p w14:paraId="591E3270" w14:textId="77777777" w:rsidR="006A46AE" w:rsidRPr="00180522" w:rsidRDefault="006A46AE" w:rsidP="006A46AE">
      <w:pPr>
        <w:rPr>
          <w:szCs w:val="24"/>
          <w:lang w:val="en-GB"/>
        </w:rPr>
      </w:pPr>
      <w:r w:rsidRPr="00180522">
        <w:rPr>
          <w:b/>
          <w:szCs w:val="24"/>
          <w:lang w:val="en-GB"/>
        </w:rPr>
        <w:t>ITU-T Q.3054 "Signalling architecture for virtualization of control network entities"</w:t>
      </w:r>
      <w:r w:rsidRPr="00180522">
        <w:rPr>
          <w:szCs w:val="24"/>
          <w:lang w:val="en-GB"/>
        </w:rPr>
        <w:t xml:space="preserve"> provides functional architecture for virtualization of control network entities. Based on the functional architecture of virtualization of control network entities, it specifies the signalling requirements for </w:t>
      </w:r>
      <w:r w:rsidRPr="00180522">
        <w:rPr>
          <w:szCs w:val="24"/>
          <w:lang w:val="en-GB"/>
        </w:rPr>
        <w:lastRenderedPageBreak/>
        <w:t>interfaces supporting the reference points in architecture for virtualization of control network entities. It defines the protocols used for interfaces and provides security considerations as well.</w:t>
      </w:r>
    </w:p>
    <w:p w14:paraId="7681DDAF" w14:textId="77777777" w:rsidR="006A46AE" w:rsidRPr="00180522" w:rsidRDefault="006A46AE" w:rsidP="006A46AE">
      <w:pPr>
        <w:rPr>
          <w:szCs w:val="24"/>
          <w:lang w:val="en-GB"/>
        </w:rPr>
      </w:pPr>
      <w:r w:rsidRPr="00180522">
        <w:rPr>
          <w:b/>
          <w:szCs w:val="24"/>
          <w:lang w:val="en-GB"/>
        </w:rPr>
        <w:t>ITU-T Q.3741 "Signalling Requirements for SD-WAN service"</w:t>
      </w:r>
      <w:r w:rsidRPr="00180522">
        <w:rPr>
          <w:szCs w:val="24"/>
          <w:lang w:val="en-GB"/>
        </w:rPr>
        <w:t xml:space="preserve"> specifies signalling requirements for SD-WAN service launched by service providers. The signalling is to support the automated provision and management of the enterprise SD-WAN service.</w:t>
      </w:r>
    </w:p>
    <w:p w14:paraId="6F226B19" w14:textId="77777777" w:rsidR="006A46AE" w:rsidRPr="00180522" w:rsidRDefault="006A46AE" w:rsidP="006A46AE">
      <w:pPr>
        <w:pStyle w:val="Headingb"/>
      </w:pPr>
      <w:r w:rsidRPr="00180522">
        <w:t>I.13</w:t>
      </w:r>
      <w:r w:rsidRPr="00180522">
        <w:tab/>
        <w:t>Formal Languages and Identification</w:t>
      </w:r>
    </w:p>
    <w:p w14:paraId="167386E9" w14:textId="77777777" w:rsidR="006A46AE" w:rsidRPr="00180522" w:rsidRDefault="006A46AE" w:rsidP="006A46AE">
      <w:pPr>
        <w:rPr>
          <w:lang w:val="en-GB"/>
        </w:rPr>
      </w:pPr>
      <w:r w:rsidRPr="00180522">
        <w:rPr>
          <w:b/>
          <w:lang w:val="en-GB"/>
        </w:rPr>
        <w:t>ITU-T E.217 (revised) "Maritime communications - Ship station identity"</w:t>
      </w:r>
      <w:r w:rsidRPr="00180522">
        <w:rPr>
          <w:lang w:val="en-GB"/>
        </w:rPr>
        <w:t>: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690B509D" w14:textId="77777777" w:rsidR="006A46AE" w:rsidRPr="00180522" w:rsidRDefault="006A46AE" w:rsidP="006A46AE">
      <w:pPr>
        <w:rPr>
          <w:lang w:val="en-GB"/>
        </w:rPr>
      </w:pPr>
      <w:r w:rsidRPr="00180522">
        <w:rPr>
          <w:b/>
          <w:bCs/>
          <w:lang w:val="en-GB"/>
        </w:rPr>
        <w:t>ITU-T Z.100 Annex F1 (revised) "Specification and Description Language - Overview of SDL-2010 - Annex F1: SDL-2010 formal definition: General overview"</w:t>
      </w:r>
      <w:r w:rsidRPr="00180522">
        <w:rPr>
          <w:lang w:val="en-GB"/>
        </w:rPr>
        <w:t xml:space="preserve"> 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180522">
        <w:rPr>
          <w:lang w:val="en-GB"/>
        </w:rPr>
        <w:noBreakHyphen/>
        <w:t>2010 semantics.</w:t>
      </w:r>
    </w:p>
    <w:p w14:paraId="72208B2C" w14:textId="77777777" w:rsidR="006A46AE" w:rsidRPr="00180522" w:rsidRDefault="006A46AE" w:rsidP="006A46AE">
      <w:pPr>
        <w:rPr>
          <w:lang w:val="en-GB"/>
        </w:rPr>
      </w:pPr>
      <w:r w:rsidRPr="00180522">
        <w:rPr>
          <w:b/>
          <w:bCs/>
          <w:lang w:val="en-GB"/>
        </w:rPr>
        <w:t>ITU-T Z.100 Annex F2 (revised) "Specification and Description Language – Overview of SDL 2010 - Annex F2: SDL 2010 formal definition: Static semantics"</w:t>
      </w:r>
      <w:r w:rsidRPr="00180522">
        <w:rPr>
          <w:lang w:val="en-GB"/>
        </w:rPr>
        <w:t xml:space="preserve"> describes the static semantic constraints of SDL-2010, the mapping to the abstract grammar and the transformations identified by the 'Model' clauses of Recommendations ITU-T Z.101, Z.102, Z.103, Z.104, Z.105 and Z.107, that are included by reference in Recommendation ITU-T Z.100.</w:t>
      </w:r>
    </w:p>
    <w:p w14:paraId="658805A7" w14:textId="77777777" w:rsidR="006A46AE" w:rsidRPr="00180522" w:rsidRDefault="006A46AE" w:rsidP="006A46AE">
      <w:pPr>
        <w:rPr>
          <w:lang w:val="en-GB"/>
        </w:rPr>
      </w:pPr>
      <w:r w:rsidRPr="00180522">
        <w:rPr>
          <w:b/>
          <w:bCs/>
          <w:lang w:val="en-GB"/>
        </w:rPr>
        <w:t>ITU-T Z.100 Annex F3 (revised) "Specification and Description Language – Overview of SDL 2010 - Annex F3: SDL 2010 formal definition: Dynamic semantics"</w:t>
      </w:r>
      <w:r w:rsidRPr="00180522">
        <w:rPr>
          <w:lang w:val="en-GB"/>
        </w:rPr>
        <w:t xml:space="preserve"> defines the SDL 2010 dynamic semantics.</w:t>
      </w:r>
    </w:p>
    <w:p w14:paraId="2E4DBC73" w14:textId="77777777" w:rsidR="006A46AE" w:rsidRPr="00180522" w:rsidRDefault="006A46AE" w:rsidP="006A46AE">
      <w:pPr>
        <w:rPr>
          <w:lang w:val="en-GB"/>
        </w:rPr>
      </w:pPr>
      <w:r w:rsidRPr="00180522">
        <w:rPr>
          <w:b/>
          <w:bCs/>
          <w:lang w:val="en-GB"/>
        </w:rPr>
        <w:t xml:space="preserve">ITU-T Z.151 (revised) "User Requirements Notation (URN) - Language definition" </w:t>
      </w:r>
      <w:r w:rsidRPr="00180522">
        <w:rPr>
          <w:lang w:val="en-GB"/>
        </w:rPr>
        <w:t xml:space="preserve">defines the User Requirements Notation (URN) intended for the elicitation, analysis, specification and validation of requirements. URN combines modelling concepts and notations for goals (mainly for </w:t>
      </w:r>
      <w:r w:rsidRPr="00180522">
        <w:rPr>
          <w:iCs/>
          <w:lang w:val="en-GB"/>
        </w:rPr>
        <w:t>non-functional requirements</w:t>
      </w:r>
      <w:r w:rsidRPr="00180522">
        <w:rPr>
          <w:lang w:val="en-GB"/>
        </w:rPr>
        <w:t xml:space="preserve"> and quality attributes) and scenarios (mainly for operational requirements, functional requirements and performance and architectural reasoning). The goal sub-notation is called Goal-oriented Requirements Language (GRL) and the scenario sub</w:t>
      </w:r>
      <w:r w:rsidRPr="00180522">
        <w:rPr>
          <w:lang w:val="en-GB"/>
        </w:rPr>
        <w:noBreakHyphen/>
        <w:t>notation is called Use Case Map (UCM).</w:t>
      </w:r>
    </w:p>
    <w:p w14:paraId="77434704" w14:textId="77777777" w:rsidR="006A46AE" w:rsidRPr="00180522" w:rsidRDefault="006A46AE" w:rsidP="006A46AE">
      <w:pPr>
        <w:rPr>
          <w:lang w:val="en-GB"/>
        </w:rPr>
      </w:pPr>
      <w:r w:rsidRPr="00180522">
        <w:rPr>
          <w:b/>
          <w:bCs/>
          <w:lang w:val="en-GB"/>
        </w:rPr>
        <w:t>ITU-T Z.161 (revised) "Testing and Test Control Notation version 3: TTCN-3 core language"</w:t>
      </w:r>
      <w:r w:rsidRPr="00180522">
        <w:rPr>
          <w:lang w:val="en-GB"/>
        </w:rPr>
        <w:t xml:space="preserve"> defines TTCN-3 (Testing and Test Control Notation 3)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6B0849FB" w14:textId="77777777" w:rsidR="006A46AE" w:rsidRPr="00180522" w:rsidRDefault="006A46AE" w:rsidP="006A46AE">
      <w:pPr>
        <w:rPr>
          <w:lang w:val="en-GB"/>
        </w:rPr>
      </w:pPr>
      <w:r w:rsidRPr="00180522">
        <w:rPr>
          <w:b/>
          <w:bCs/>
          <w:lang w:val="en-GB"/>
        </w:rPr>
        <w:lastRenderedPageBreak/>
        <w:t>ITU-T Z.161.2 (revised) "Testing and Test Control Notation version 3: TTCN-3 language extensions: Configuration and deployment support"</w:t>
      </w:r>
      <w:r w:rsidRPr="00180522">
        <w:rPr>
          <w:lang w:val="en-GB"/>
        </w:rPr>
        <w:t xml:space="preserve"> defines the configuration and deployment support package of TTCN-3.</w:t>
      </w:r>
    </w:p>
    <w:p w14:paraId="380B00D2" w14:textId="77777777" w:rsidR="006A46AE" w:rsidRPr="00180522" w:rsidRDefault="006A46AE" w:rsidP="006A46AE">
      <w:pPr>
        <w:rPr>
          <w:lang w:val="en-GB"/>
        </w:rPr>
      </w:pPr>
      <w:r w:rsidRPr="00180522">
        <w:rPr>
          <w:b/>
          <w:bCs/>
          <w:lang w:val="en-GB"/>
        </w:rPr>
        <w:t>ITU-T Z.161.4 (revised) Testing and Test Control Notation version 3: TTCN-3 language extensions: Behaviour types"</w:t>
      </w:r>
      <w:r w:rsidRPr="00180522">
        <w:rPr>
          <w:lang w:val="en-GB"/>
        </w:rPr>
        <w:t xml:space="preserve"> defines the behaviour types package of TTCN</w:t>
      </w:r>
      <w:r w:rsidRPr="00180522">
        <w:rPr>
          <w:lang w:val="en-GB"/>
        </w:rPr>
        <w:noBreakHyphen/>
        <w:t>3.</w:t>
      </w:r>
    </w:p>
    <w:p w14:paraId="192B3BA7" w14:textId="77777777" w:rsidR="006A46AE" w:rsidRPr="00180522" w:rsidRDefault="006A46AE" w:rsidP="006A46AE">
      <w:pPr>
        <w:rPr>
          <w:b/>
          <w:bCs/>
          <w:lang w:val="en-GB"/>
        </w:rPr>
      </w:pPr>
      <w:r w:rsidRPr="00180522">
        <w:rPr>
          <w:b/>
          <w:bCs/>
          <w:lang w:val="en-GB"/>
        </w:rPr>
        <w:t>ITU-T Z.161.6 (revised) "Testing and Test Control Notation version 3: TTCN-3 language extensions: Advanced matching"</w:t>
      </w:r>
      <w:r w:rsidRPr="00180522">
        <w:rPr>
          <w:lang w:val="en-GB"/>
        </w:rPr>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14:paraId="2A9C3476" w14:textId="77777777" w:rsidR="006A46AE" w:rsidRPr="00180522" w:rsidRDefault="006A46AE" w:rsidP="006A46AE">
      <w:pPr>
        <w:rPr>
          <w:lang w:val="en-GB"/>
        </w:rPr>
      </w:pPr>
      <w:r w:rsidRPr="00180522">
        <w:rPr>
          <w:b/>
          <w:bCs/>
          <w:lang w:val="en-GB"/>
        </w:rPr>
        <w:t>ITU-T Z.166 (revised) "Testing and Test Control Notation version 3: TTCN-3 control interface (TCI)"</w:t>
      </w:r>
      <w:r w:rsidRPr="00180522">
        <w:rPr>
          <w:lang w:val="en-GB"/>
        </w:rPr>
        <w:t xml:space="preserve"> specifies the control interfaces for TTCN-3 test system implementations, and provides a standardized adaptation for management, test component handling and encoding/decoding of a test system to a particular test platform.</w:t>
      </w:r>
    </w:p>
    <w:p w14:paraId="45954E96" w14:textId="77777777" w:rsidR="006A46AE" w:rsidRPr="00180522" w:rsidRDefault="006A46AE" w:rsidP="006A46AE">
      <w:pPr>
        <w:rPr>
          <w:lang w:val="en-GB"/>
        </w:rPr>
      </w:pPr>
      <w:r w:rsidRPr="00180522">
        <w:rPr>
          <w:b/>
          <w:bCs/>
          <w:lang w:val="en-GB"/>
        </w:rPr>
        <w:t>ITU-T Z.167 (revised) "Testing and Test Control Notation version 3: Using ASN.1 with TTCN-3"</w:t>
      </w:r>
      <w:r w:rsidRPr="00180522">
        <w:rPr>
          <w:lang w:val="en-GB"/>
        </w:rPr>
        <w:t xml:space="preserve"> defines a normative way of using ASN.1 as defined in Recommendations ITU-T X.680, ITU-T X.681, ITU-T X.682 and ITU-T X.683 with TTCN-3.</w:t>
      </w:r>
    </w:p>
    <w:p w14:paraId="0BF4A16B" w14:textId="77777777" w:rsidR="006A46AE" w:rsidRPr="00180522" w:rsidRDefault="006A46AE" w:rsidP="006A46AE">
      <w:pPr>
        <w:rPr>
          <w:lang w:val="en-GB"/>
        </w:rPr>
      </w:pPr>
      <w:r w:rsidRPr="00180522">
        <w:rPr>
          <w:b/>
          <w:bCs/>
          <w:lang w:val="en-GB"/>
        </w:rPr>
        <w:t>ITU-T Z.169 (revised) "Testing and Test Control Notation version 3: Using XML schema with TTCN-3"</w:t>
      </w:r>
      <w:r w:rsidRPr="00180522">
        <w:rPr>
          <w:lang w:val="en-GB"/>
        </w:rPr>
        <w:t xml:space="preserve"> defines the mapping rules for W3C Schema to TTCN-3 to enable testing of XML-based systems, interfaces and protocols.</w:t>
      </w:r>
    </w:p>
    <w:p w14:paraId="42E13FF1" w14:textId="77777777" w:rsidR="006A46AE" w:rsidRPr="00180522" w:rsidRDefault="006A46AE" w:rsidP="006A46AE">
      <w:pPr>
        <w:rPr>
          <w:b/>
          <w:bCs/>
          <w:lang w:val="en-GB"/>
        </w:rPr>
      </w:pPr>
      <w:r w:rsidRPr="00180522">
        <w:rPr>
          <w:b/>
          <w:bCs/>
          <w:lang w:val="en-GB"/>
        </w:rPr>
        <w:t>ITU-T Z.171 (revised) "Testing and Test Control Notation version 3: Using JSON with TTCN-3"</w:t>
      </w:r>
      <w:r w:rsidRPr="00180522">
        <w:rPr>
          <w:lang w:val="en-GB"/>
        </w:rPr>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p>
    <w:p w14:paraId="565ED19F" w14:textId="77777777" w:rsidR="006A46AE" w:rsidRPr="00180522" w:rsidRDefault="006A46AE" w:rsidP="006A46AE">
      <w:pPr>
        <w:jc w:val="center"/>
        <w:rPr>
          <w:lang w:val="en-GB"/>
        </w:rPr>
      </w:pPr>
      <w:r w:rsidRPr="00180522">
        <w:rPr>
          <w:lang w:val="en-GB"/>
        </w:rPr>
        <w:t>________________</w:t>
      </w:r>
    </w:p>
    <w:p w14:paraId="16AB967C" w14:textId="04E4DF46" w:rsidR="00373D43" w:rsidRPr="00180522" w:rsidRDefault="00373D43" w:rsidP="006A46AE">
      <w:pPr>
        <w:rPr>
          <w:lang w:val="en-GB"/>
        </w:rPr>
      </w:pPr>
    </w:p>
    <w:sectPr w:rsidR="00373D43" w:rsidRPr="00180522">
      <w:headerReference w:type="default" r:id="rId256"/>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16DCB" w14:textId="77777777" w:rsidR="007706CC" w:rsidRDefault="007706CC">
      <w:r>
        <w:separator/>
      </w:r>
    </w:p>
  </w:endnote>
  <w:endnote w:type="continuationSeparator" w:id="0">
    <w:p w14:paraId="485F471D" w14:textId="77777777" w:rsidR="007706CC" w:rsidRDefault="0077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8CE36" w14:textId="77777777" w:rsidR="007706CC" w:rsidRDefault="007706CC">
      <w:r>
        <w:separator/>
      </w:r>
    </w:p>
  </w:footnote>
  <w:footnote w:type="continuationSeparator" w:id="0">
    <w:p w14:paraId="0AD08762" w14:textId="77777777" w:rsidR="007706CC" w:rsidRDefault="00770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920B" w14:textId="2E77BAD4" w:rsidR="007706CC" w:rsidRDefault="007706CC" w:rsidP="006F110A">
    <w:pPr>
      <w:pStyle w:val="Header"/>
      <w:rPr>
        <w:lang w:val="pt-BR"/>
      </w:rPr>
    </w:pPr>
    <w:r>
      <w:t xml:space="preserve">- </w:t>
    </w:r>
    <w:r>
      <w:fldChar w:fldCharType="begin"/>
    </w:r>
    <w:r>
      <w:instrText xml:space="preserve"> PAGE  \* MERGEFORMAT </w:instrText>
    </w:r>
    <w:r>
      <w:fldChar w:fldCharType="separate"/>
    </w:r>
    <w:r w:rsidR="008C50B7">
      <w:rPr>
        <w:noProof/>
      </w:rPr>
      <w:t>83</w:t>
    </w:r>
    <w:r>
      <w:rPr>
        <w:noProof/>
      </w:rPr>
      <w:fldChar w:fldCharType="end"/>
    </w:r>
    <w:r>
      <w:rPr>
        <w:lang w:val="pt-BR"/>
      </w:rPr>
      <w:t xml:space="preserve"> -</w:t>
    </w:r>
  </w:p>
  <w:p w14:paraId="1874A81C" w14:textId="3BB7C672" w:rsidR="007706CC" w:rsidRPr="006F110A" w:rsidRDefault="007706CC" w:rsidP="006F110A">
    <w:pPr>
      <w:pStyle w:val="Header"/>
    </w:pPr>
    <w:r w:rsidRPr="006F110A">
      <w:rPr>
        <w:noProof/>
      </w:rPr>
      <w:fldChar w:fldCharType="begin"/>
    </w:r>
    <w:r w:rsidRPr="006F110A">
      <w:rPr>
        <w:noProof/>
      </w:rPr>
      <w:instrText xml:space="preserve"> STYLEREF  Docnumber  \* MERGEFORMAT </w:instrText>
    </w:r>
    <w:r w:rsidRPr="006F110A">
      <w:rPr>
        <w:noProof/>
      </w:rPr>
      <w:fldChar w:fldCharType="separate"/>
    </w:r>
    <w:r w:rsidR="008C50B7">
      <w:rPr>
        <w:noProof/>
      </w:rPr>
      <w:t>TSAG-TD466</w:t>
    </w:r>
    <w:r w:rsidRPr="006F110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8E48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0074DA"/>
    <w:lvl w:ilvl="0">
      <w:start w:val="1"/>
      <w:numFmt w:val="lowerLetter"/>
      <w:lvlText w:val="%1)"/>
      <w:lvlJc w:val="left"/>
      <w:pPr>
        <w:tabs>
          <w:tab w:val="num" w:pos="926"/>
        </w:tabs>
        <w:ind w:left="926" w:hanging="360"/>
      </w:pPr>
      <w:rPr>
        <w:rFonts w:cs="Times New Roman" w:hint="default"/>
      </w:rPr>
    </w:lvl>
  </w:abstractNum>
  <w:abstractNum w:abstractNumId="3"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4" w15:restartNumberingAfterBreak="0">
    <w:nsid w:val="FFFFFF80"/>
    <w:multiLevelType w:val="singleLevel"/>
    <w:tmpl w:val="772442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2B2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6E727234"/>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9"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BD784A"/>
    <w:multiLevelType w:val="hybridMultilevel"/>
    <w:tmpl w:val="FA08BCF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28A1980"/>
    <w:multiLevelType w:val="hybridMultilevel"/>
    <w:tmpl w:val="FF7E2E9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8F5D8C"/>
    <w:multiLevelType w:val="hybridMultilevel"/>
    <w:tmpl w:val="237832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9C1D00"/>
    <w:multiLevelType w:val="hybridMultilevel"/>
    <w:tmpl w:val="7CF08C2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F73154"/>
    <w:multiLevelType w:val="hybridMultilevel"/>
    <w:tmpl w:val="39DAB9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DF50FD"/>
    <w:multiLevelType w:val="hybridMultilevel"/>
    <w:tmpl w:val="5D5292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5A3D35"/>
    <w:multiLevelType w:val="hybridMultilevel"/>
    <w:tmpl w:val="B3C2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76075E"/>
    <w:multiLevelType w:val="hybridMultilevel"/>
    <w:tmpl w:val="A70C1F8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00345F"/>
    <w:multiLevelType w:val="hybridMultilevel"/>
    <w:tmpl w:val="A41AF27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1661CF"/>
    <w:multiLevelType w:val="hybridMultilevel"/>
    <w:tmpl w:val="0E425B9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670DC2"/>
    <w:multiLevelType w:val="hybridMultilevel"/>
    <w:tmpl w:val="F14A3B0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6F22B7"/>
    <w:multiLevelType w:val="hybridMultilevel"/>
    <w:tmpl w:val="17DA4C7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435F53"/>
    <w:multiLevelType w:val="hybridMultilevel"/>
    <w:tmpl w:val="5C1ACC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CD71BA"/>
    <w:multiLevelType w:val="hybridMultilevel"/>
    <w:tmpl w:val="D4BE17E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902AE4"/>
    <w:multiLevelType w:val="hybridMultilevel"/>
    <w:tmpl w:val="6DB2BF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D859DF"/>
    <w:multiLevelType w:val="multilevel"/>
    <w:tmpl w:val="605C2B8A"/>
    <w:lvl w:ilvl="0">
      <w:start w:val="1"/>
      <w:numFmt w:val="decimal"/>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32" w15:restartNumberingAfterBreak="0">
    <w:nsid w:val="1CBE66D9"/>
    <w:multiLevelType w:val="hybridMultilevel"/>
    <w:tmpl w:val="A404B0E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E420211"/>
    <w:multiLevelType w:val="hybridMultilevel"/>
    <w:tmpl w:val="C452289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D539EA"/>
    <w:multiLevelType w:val="hybridMultilevel"/>
    <w:tmpl w:val="1B8E82A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6966D3"/>
    <w:multiLevelType w:val="hybridMultilevel"/>
    <w:tmpl w:val="05CEFC9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27E359DB"/>
    <w:multiLevelType w:val="hybridMultilevel"/>
    <w:tmpl w:val="DE5278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41" w15:restartNumberingAfterBreak="0">
    <w:nsid w:val="2D717BD1"/>
    <w:multiLevelType w:val="hybridMultilevel"/>
    <w:tmpl w:val="CC5EC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D763CEA"/>
    <w:multiLevelType w:val="hybridMultilevel"/>
    <w:tmpl w:val="1EF854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720C18"/>
    <w:multiLevelType w:val="hybridMultilevel"/>
    <w:tmpl w:val="47E6C0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925FDE"/>
    <w:multiLevelType w:val="hybridMultilevel"/>
    <w:tmpl w:val="2A7415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FF161C"/>
    <w:multiLevelType w:val="hybridMultilevel"/>
    <w:tmpl w:val="DF288C34"/>
    <w:lvl w:ilvl="0" w:tplc="731455E2">
      <w:start w:val="1"/>
      <w:numFmt w:val="bullet"/>
      <w:lvlText w:val="–"/>
      <w:lvlJc w:val="left"/>
      <w:pPr>
        <w:ind w:left="720" w:hanging="360"/>
      </w:pPr>
      <w:rPr>
        <w:rFonts w:ascii="Times New Roman" w:hAnsi="Times New Roman" w:cs="Times New Roman" w:hint="default"/>
      </w:rPr>
    </w:lvl>
    <w:lvl w:ilvl="1" w:tplc="731455E2">
      <w:start w:val="1"/>
      <w:numFmt w:val="bullet"/>
      <w:lvlText w:val="–"/>
      <w:lvlJc w:val="left"/>
      <w:pPr>
        <w:ind w:left="1650" w:hanging="570"/>
      </w:pPr>
      <w:rPr>
        <w:rFonts w:ascii="Times New Roman"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3B367B"/>
    <w:multiLevelType w:val="hybridMultilevel"/>
    <w:tmpl w:val="715681C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2C34F0"/>
    <w:multiLevelType w:val="hybridMultilevel"/>
    <w:tmpl w:val="42620DCA"/>
    <w:lvl w:ilvl="0" w:tplc="65E0C558">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6F6DBF"/>
    <w:multiLevelType w:val="hybridMultilevel"/>
    <w:tmpl w:val="30405A9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2755F6"/>
    <w:multiLevelType w:val="hybridMultilevel"/>
    <w:tmpl w:val="31BC4B1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61B7560"/>
    <w:multiLevelType w:val="hybridMultilevel"/>
    <w:tmpl w:val="8486A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8AD77E9"/>
    <w:multiLevelType w:val="hybridMultilevel"/>
    <w:tmpl w:val="0A62A88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5C0B50"/>
    <w:multiLevelType w:val="hybridMultilevel"/>
    <w:tmpl w:val="516E4FD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E17822"/>
    <w:multiLevelType w:val="hybridMultilevel"/>
    <w:tmpl w:val="198A22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B7008AB"/>
    <w:multiLevelType w:val="hybridMultilevel"/>
    <w:tmpl w:val="5B809D7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8329BA"/>
    <w:multiLevelType w:val="hybridMultilevel"/>
    <w:tmpl w:val="E328151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5F350F"/>
    <w:multiLevelType w:val="multilevel"/>
    <w:tmpl w:val="96BE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DC02064"/>
    <w:multiLevelType w:val="hybridMultilevel"/>
    <w:tmpl w:val="838AE1FC"/>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E22648A"/>
    <w:multiLevelType w:val="hybridMultilevel"/>
    <w:tmpl w:val="7C067C4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572B62"/>
    <w:multiLevelType w:val="hybridMultilevel"/>
    <w:tmpl w:val="1404229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F41897"/>
    <w:multiLevelType w:val="hybridMultilevel"/>
    <w:tmpl w:val="283E1A8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68"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69" w15:restartNumberingAfterBreak="0">
    <w:nsid w:val="48580A87"/>
    <w:multiLevelType w:val="hybridMultilevel"/>
    <w:tmpl w:val="0AB4D94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4D27E6"/>
    <w:multiLevelType w:val="hybridMultilevel"/>
    <w:tmpl w:val="A1A6082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4E6FC3"/>
    <w:multiLevelType w:val="hybridMultilevel"/>
    <w:tmpl w:val="1F14AE0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D881B1A"/>
    <w:multiLevelType w:val="hybridMultilevel"/>
    <w:tmpl w:val="CA9085B2"/>
    <w:lvl w:ilvl="0" w:tplc="08090011">
      <w:start w:val="1"/>
      <w:numFmt w:val="decimal"/>
      <w:lvlText w:val="%1)"/>
      <w:lvlJc w:val="left"/>
      <w:pPr>
        <w:ind w:left="720" w:hanging="360"/>
      </w:pPr>
      <w:rPr>
        <w:rFonts w:hint="default"/>
      </w:rPr>
    </w:lvl>
    <w:lvl w:ilvl="1" w:tplc="897E50B4">
      <w:start w:val="1"/>
      <w:numFmt w:val="decimal"/>
      <w:lvlText w:val="%2."/>
      <w:lvlJc w:val="left"/>
      <w:pPr>
        <w:ind w:left="1875" w:hanging="79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FCB74EC"/>
    <w:multiLevelType w:val="hybridMultilevel"/>
    <w:tmpl w:val="90EAF5AE"/>
    <w:lvl w:ilvl="0" w:tplc="731455E2">
      <w:start w:val="1"/>
      <w:numFmt w:val="bullet"/>
      <w:lvlText w:val="–"/>
      <w:lvlJc w:val="left"/>
      <w:pPr>
        <w:ind w:left="1155" w:hanging="795"/>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77" w15:restartNumberingAfterBreak="0">
    <w:nsid w:val="54197EF1"/>
    <w:multiLevelType w:val="hybridMultilevel"/>
    <w:tmpl w:val="58CE5CEA"/>
    <w:lvl w:ilvl="0" w:tplc="731455E2">
      <w:start w:val="1"/>
      <w:numFmt w:val="bullet"/>
      <w:lvlText w:val="–"/>
      <w:lvlJc w:val="left"/>
      <w:pPr>
        <w:ind w:left="720" w:hanging="360"/>
      </w:pPr>
      <w:rPr>
        <w:rFonts w:ascii="Times New Roman" w:hAnsi="Times New Roman" w:cs="Times New Roman" w:hint="default"/>
      </w:rPr>
    </w:lvl>
    <w:lvl w:ilvl="1" w:tplc="731455E2">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7774BD"/>
    <w:multiLevelType w:val="hybridMultilevel"/>
    <w:tmpl w:val="4E929C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802141F"/>
    <w:multiLevelType w:val="hybridMultilevel"/>
    <w:tmpl w:val="307C75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85F7253"/>
    <w:multiLevelType w:val="hybridMultilevel"/>
    <w:tmpl w:val="3D9C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B0F0833"/>
    <w:multiLevelType w:val="hybridMultilevel"/>
    <w:tmpl w:val="72E40B2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C043C84"/>
    <w:multiLevelType w:val="hybridMultilevel"/>
    <w:tmpl w:val="CCC42E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C3767DF"/>
    <w:multiLevelType w:val="hybridMultilevel"/>
    <w:tmpl w:val="2AA8F7E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CAC7844"/>
    <w:multiLevelType w:val="hybridMultilevel"/>
    <w:tmpl w:val="42BC9068"/>
    <w:lvl w:ilvl="0" w:tplc="04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9" w15:restartNumberingAfterBreak="0">
    <w:nsid w:val="5E1D488D"/>
    <w:multiLevelType w:val="hybridMultilevel"/>
    <w:tmpl w:val="FD06637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1" w15:restartNumberingAfterBreak="0">
    <w:nsid w:val="5EA82CFD"/>
    <w:multiLevelType w:val="hybridMultilevel"/>
    <w:tmpl w:val="4502E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D735F5"/>
    <w:multiLevelType w:val="hybridMultilevel"/>
    <w:tmpl w:val="622E030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06F473D"/>
    <w:multiLevelType w:val="hybridMultilevel"/>
    <w:tmpl w:val="8A2667B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78717C"/>
    <w:multiLevelType w:val="hybridMultilevel"/>
    <w:tmpl w:val="FD1481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1AA0117"/>
    <w:multiLevelType w:val="hybridMultilevel"/>
    <w:tmpl w:val="EFAEB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64412A3"/>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9" w15:restartNumberingAfterBreak="0">
    <w:nsid w:val="67462491"/>
    <w:multiLevelType w:val="hybridMultilevel"/>
    <w:tmpl w:val="FED2775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76C791C"/>
    <w:multiLevelType w:val="hybridMultilevel"/>
    <w:tmpl w:val="F5D6D10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CF48CD"/>
    <w:multiLevelType w:val="hybridMultilevel"/>
    <w:tmpl w:val="350C66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7EA371F"/>
    <w:multiLevelType w:val="hybridMultilevel"/>
    <w:tmpl w:val="C6CAB3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FD1702"/>
    <w:multiLevelType w:val="hybridMultilevel"/>
    <w:tmpl w:val="3536B3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4659CD"/>
    <w:multiLevelType w:val="hybridMultilevel"/>
    <w:tmpl w:val="90408454"/>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BA69FC"/>
    <w:multiLevelType w:val="hybridMultilevel"/>
    <w:tmpl w:val="57D27D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CA4AC8"/>
    <w:multiLevelType w:val="hybridMultilevel"/>
    <w:tmpl w:val="2E001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13A1CC9"/>
    <w:multiLevelType w:val="hybridMultilevel"/>
    <w:tmpl w:val="E3EC754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1066C3"/>
    <w:multiLevelType w:val="hybridMultilevel"/>
    <w:tmpl w:val="46D4B5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71825C2"/>
    <w:multiLevelType w:val="hybridMultilevel"/>
    <w:tmpl w:val="798EA1F2"/>
    <w:lvl w:ilvl="0" w:tplc="6ACCB0D2">
      <w:start w:val="1"/>
      <w:numFmt w:val="decimal"/>
      <w:lvlText w:val="%1."/>
      <w:lvlJc w:val="left"/>
      <w:pPr>
        <w:ind w:left="720" w:hanging="360"/>
      </w:pPr>
      <w:rPr>
        <w:rFonts w:hint="default"/>
        <w:sz w:val="24"/>
        <w:szCs w:val="24"/>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8B45D84"/>
    <w:multiLevelType w:val="hybridMultilevel"/>
    <w:tmpl w:val="D2DA71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A1974F0"/>
    <w:multiLevelType w:val="hybridMultilevel"/>
    <w:tmpl w:val="DAA6B47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C2A1CC9"/>
    <w:multiLevelType w:val="hybridMultilevel"/>
    <w:tmpl w:val="96329DDE"/>
    <w:lvl w:ilvl="0" w:tplc="D2BE7BB8">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8"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421C08"/>
    <w:multiLevelType w:val="hybridMultilevel"/>
    <w:tmpl w:val="2D34822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34526A"/>
    <w:multiLevelType w:val="hybridMultilevel"/>
    <w:tmpl w:val="C0D8B4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F35700E"/>
    <w:multiLevelType w:val="multilevel"/>
    <w:tmpl w:val="232A4E4C"/>
    <w:lvl w:ilvl="0">
      <w:start w:val="1"/>
      <w:numFmt w:val="decimal"/>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11"/>
  </w:num>
  <w:num w:numId="2">
    <w:abstractNumId w:val="8"/>
  </w:num>
  <w:num w:numId="3">
    <w:abstractNumId w:val="7"/>
  </w:num>
  <w:num w:numId="4">
    <w:abstractNumId w:val="3"/>
  </w:num>
  <w:num w:numId="5">
    <w:abstractNumId w:val="2"/>
  </w:num>
  <w:num w:numId="6">
    <w:abstractNumId w:val="5"/>
  </w:num>
  <w:num w:numId="7">
    <w:abstractNumId w:val="31"/>
  </w:num>
  <w:num w:numId="8">
    <w:abstractNumId w:val="115"/>
  </w:num>
  <w:num w:numId="9">
    <w:abstractNumId w:val="121"/>
  </w:num>
  <w:num w:numId="10">
    <w:abstractNumId w:val="61"/>
  </w:num>
  <w:num w:numId="11">
    <w:abstractNumId w:val="90"/>
  </w:num>
  <w:num w:numId="12">
    <w:abstractNumId w:val="96"/>
  </w:num>
  <w:num w:numId="13">
    <w:abstractNumId w:val="109"/>
  </w:num>
  <w:num w:numId="14">
    <w:abstractNumId w:val="40"/>
  </w:num>
  <w:num w:numId="15">
    <w:abstractNumId w:val="68"/>
  </w:num>
  <w:num w:numId="16">
    <w:abstractNumId w:val="79"/>
  </w:num>
  <w:num w:numId="17">
    <w:abstractNumId w:val="112"/>
  </w:num>
  <w:num w:numId="18">
    <w:abstractNumId w:val="56"/>
  </w:num>
  <w:num w:numId="19">
    <w:abstractNumId w:val="50"/>
  </w:num>
  <w:num w:numId="20">
    <w:abstractNumId w:val="19"/>
  </w:num>
  <w:num w:numId="21">
    <w:abstractNumId w:val="67"/>
  </w:num>
  <w:num w:numId="22">
    <w:abstractNumId w:val="9"/>
  </w:num>
  <w:num w:numId="23">
    <w:abstractNumId w:val="118"/>
  </w:num>
  <w:num w:numId="24">
    <w:abstractNumId w:val="64"/>
  </w:num>
  <w:num w:numId="25">
    <w:abstractNumId w:val="57"/>
  </w:num>
  <w:num w:numId="26">
    <w:abstractNumId w:val="71"/>
  </w:num>
  <w:num w:numId="27">
    <w:abstractNumId w:val="78"/>
  </w:num>
  <w:num w:numId="28">
    <w:abstractNumId w:val="54"/>
  </w:num>
  <w:num w:numId="29">
    <w:abstractNumId w:val="22"/>
  </w:num>
  <w:num w:numId="30">
    <w:abstractNumId w:val="117"/>
  </w:num>
  <w:num w:numId="31">
    <w:abstractNumId w:val="60"/>
  </w:num>
  <w:num w:numId="32">
    <w:abstractNumId w:val="92"/>
  </w:num>
  <w:num w:numId="33">
    <w:abstractNumId w:val="12"/>
  </w:num>
  <w:num w:numId="34">
    <w:abstractNumId w:val="76"/>
  </w:num>
  <w:num w:numId="35">
    <w:abstractNumId w:val="88"/>
  </w:num>
  <w:num w:numId="36">
    <w:abstractNumId w:val="85"/>
  </w:num>
  <w:num w:numId="37">
    <w:abstractNumId w:val="89"/>
  </w:num>
  <w:num w:numId="38">
    <w:abstractNumId w:val="116"/>
  </w:num>
  <w:num w:numId="39">
    <w:abstractNumId w:val="104"/>
  </w:num>
  <w:num w:numId="40">
    <w:abstractNumId w:val="21"/>
  </w:num>
  <w:num w:numId="41">
    <w:abstractNumId w:val="111"/>
  </w:num>
  <w:num w:numId="42">
    <w:abstractNumId w:val="101"/>
  </w:num>
  <w:num w:numId="43">
    <w:abstractNumId w:val="55"/>
  </w:num>
  <w:num w:numId="44">
    <w:abstractNumId w:val="23"/>
  </w:num>
  <w:num w:numId="45">
    <w:abstractNumId w:val="70"/>
  </w:num>
  <w:num w:numId="46">
    <w:abstractNumId w:val="119"/>
  </w:num>
  <w:num w:numId="47">
    <w:abstractNumId w:val="38"/>
  </w:num>
  <w:num w:numId="48">
    <w:abstractNumId w:val="84"/>
  </w:num>
  <w:num w:numId="49">
    <w:abstractNumId w:val="82"/>
  </w:num>
  <w:num w:numId="50">
    <w:abstractNumId w:val="6"/>
  </w:num>
  <w:num w:numId="51">
    <w:abstractNumId w:val="4"/>
  </w:num>
  <w:num w:numId="52">
    <w:abstractNumId w:val="1"/>
  </w:num>
  <w:num w:numId="53">
    <w:abstractNumId w:val="0"/>
  </w:num>
  <w:num w:numId="54">
    <w:abstractNumId w:val="72"/>
  </w:num>
  <w:num w:numId="55">
    <w:abstractNumId w:val="97"/>
  </w:num>
  <w:num w:numId="56">
    <w:abstractNumId w:val="80"/>
  </w:num>
  <w:num w:numId="57">
    <w:abstractNumId w:val="63"/>
  </w:num>
  <w:num w:numId="58">
    <w:abstractNumId w:val="27"/>
  </w:num>
  <w:num w:numId="59">
    <w:abstractNumId w:val="36"/>
  </w:num>
  <w:num w:numId="60">
    <w:abstractNumId w:val="81"/>
  </w:num>
  <w:num w:numId="61">
    <w:abstractNumId w:val="59"/>
  </w:num>
  <w:num w:numId="62">
    <w:abstractNumId w:val="20"/>
  </w:num>
  <w:num w:numId="63">
    <w:abstractNumId w:val="32"/>
  </w:num>
  <w:num w:numId="64">
    <w:abstractNumId w:val="37"/>
  </w:num>
  <w:num w:numId="65">
    <w:abstractNumId w:val="39"/>
  </w:num>
  <w:num w:numId="66">
    <w:abstractNumId w:val="98"/>
  </w:num>
  <w:num w:numId="67">
    <w:abstractNumId w:val="52"/>
  </w:num>
  <w:num w:numId="68">
    <w:abstractNumId w:val="18"/>
  </w:num>
  <w:num w:numId="69">
    <w:abstractNumId w:val="83"/>
  </w:num>
  <w:num w:numId="70">
    <w:abstractNumId w:val="17"/>
  </w:num>
  <w:num w:numId="71">
    <w:abstractNumId w:val="53"/>
  </w:num>
  <w:num w:numId="72">
    <w:abstractNumId w:val="44"/>
  </w:num>
  <w:num w:numId="73">
    <w:abstractNumId w:val="100"/>
  </w:num>
  <w:num w:numId="74">
    <w:abstractNumId w:val="47"/>
  </w:num>
  <w:num w:numId="75">
    <w:abstractNumId w:val="75"/>
  </w:num>
  <w:num w:numId="76">
    <w:abstractNumId w:val="108"/>
  </w:num>
  <w:num w:numId="77">
    <w:abstractNumId w:val="51"/>
  </w:num>
  <w:num w:numId="78">
    <w:abstractNumId w:val="73"/>
  </w:num>
  <w:num w:numId="79">
    <w:abstractNumId w:val="86"/>
  </w:num>
  <w:num w:numId="80">
    <w:abstractNumId w:val="65"/>
  </w:num>
  <w:num w:numId="81">
    <w:abstractNumId w:val="33"/>
  </w:num>
  <w:num w:numId="82">
    <w:abstractNumId w:val="114"/>
  </w:num>
  <w:num w:numId="83">
    <w:abstractNumId w:val="24"/>
  </w:num>
  <w:num w:numId="84">
    <w:abstractNumId w:val="29"/>
  </w:num>
  <w:num w:numId="85">
    <w:abstractNumId w:val="87"/>
  </w:num>
  <w:num w:numId="86">
    <w:abstractNumId w:val="45"/>
  </w:num>
  <w:num w:numId="87">
    <w:abstractNumId w:val="14"/>
  </w:num>
  <w:num w:numId="88">
    <w:abstractNumId w:val="94"/>
  </w:num>
  <w:num w:numId="89">
    <w:abstractNumId w:val="105"/>
  </w:num>
  <w:num w:numId="90">
    <w:abstractNumId w:val="46"/>
  </w:num>
  <w:num w:numId="91">
    <w:abstractNumId w:val="42"/>
  </w:num>
  <w:num w:numId="92">
    <w:abstractNumId w:val="10"/>
  </w:num>
  <w:num w:numId="93">
    <w:abstractNumId w:val="43"/>
  </w:num>
  <w:num w:numId="94">
    <w:abstractNumId w:val="107"/>
  </w:num>
  <w:num w:numId="95">
    <w:abstractNumId w:val="95"/>
  </w:num>
  <w:num w:numId="96">
    <w:abstractNumId w:val="91"/>
  </w:num>
  <w:num w:numId="97">
    <w:abstractNumId w:val="120"/>
  </w:num>
  <w:num w:numId="98">
    <w:abstractNumId w:val="77"/>
  </w:num>
  <w:num w:numId="99">
    <w:abstractNumId w:val="48"/>
  </w:num>
  <w:num w:numId="100">
    <w:abstractNumId w:val="41"/>
  </w:num>
  <w:num w:numId="101">
    <w:abstractNumId w:val="103"/>
  </w:num>
  <w:num w:numId="102">
    <w:abstractNumId w:val="16"/>
  </w:num>
  <w:num w:numId="103">
    <w:abstractNumId w:val="74"/>
  </w:num>
  <w:num w:numId="104">
    <w:abstractNumId w:val="34"/>
  </w:num>
  <w:num w:numId="105">
    <w:abstractNumId w:val="30"/>
  </w:num>
  <w:num w:numId="106">
    <w:abstractNumId w:val="99"/>
  </w:num>
  <w:num w:numId="107">
    <w:abstractNumId w:val="13"/>
  </w:num>
  <w:num w:numId="108">
    <w:abstractNumId w:val="28"/>
  </w:num>
  <w:num w:numId="109">
    <w:abstractNumId w:val="26"/>
  </w:num>
  <w:num w:numId="110">
    <w:abstractNumId w:val="93"/>
  </w:num>
  <w:num w:numId="111">
    <w:abstractNumId w:val="66"/>
  </w:num>
  <w:num w:numId="112">
    <w:abstractNumId w:val="58"/>
  </w:num>
  <w:num w:numId="113">
    <w:abstractNumId w:val="49"/>
  </w:num>
  <w:num w:numId="114">
    <w:abstractNumId w:val="106"/>
  </w:num>
  <w:num w:numId="115">
    <w:abstractNumId w:val="102"/>
  </w:num>
  <w:num w:numId="116">
    <w:abstractNumId w:val="69"/>
  </w:num>
  <w:num w:numId="117">
    <w:abstractNumId w:val="113"/>
  </w:num>
  <w:num w:numId="118">
    <w:abstractNumId w:val="110"/>
  </w:num>
  <w:num w:numId="119">
    <w:abstractNumId w:val="35"/>
  </w:num>
  <w:num w:numId="120">
    <w:abstractNumId w:val="25"/>
  </w:num>
  <w:num w:numId="121">
    <w:abstractNumId w:val="15"/>
  </w:num>
  <w:num w:numId="122">
    <w:abstractNumId w:val="6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43"/>
    <w:rsid w:val="0000140C"/>
    <w:rsid w:val="0000163C"/>
    <w:rsid w:val="0000169F"/>
    <w:rsid w:val="00002222"/>
    <w:rsid w:val="0000222C"/>
    <w:rsid w:val="00003923"/>
    <w:rsid w:val="00003FF1"/>
    <w:rsid w:val="00004872"/>
    <w:rsid w:val="000078F8"/>
    <w:rsid w:val="00007FD3"/>
    <w:rsid w:val="0001057B"/>
    <w:rsid w:val="000105C5"/>
    <w:rsid w:val="00010805"/>
    <w:rsid w:val="00010878"/>
    <w:rsid w:val="00011A8E"/>
    <w:rsid w:val="000122F9"/>
    <w:rsid w:val="00012B63"/>
    <w:rsid w:val="00013F5C"/>
    <w:rsid w:val="00014568"/>
    <w:rsid w:val="00014788"/>
    <w:rsid w:val="0001521C"/>
    <w:rsid w:val="00015831"/>
    <w:rsid w:val="00015A33"/>
    <w:rsid w:val="00015DF0"/>
    <w:rsid w:val="0002156B"/>
    <w:rsid w:val="00021CC6"/>
    <w:rsid w:val="0002397B"/>
    <w:rsid w:val="00023D1E"/>
    <w:rsid w:val="000245ED"/>
    <w:rsid w:val="000246D1"/>
    <w:rsid w:val="00024ED3"/>
    <w:rsid w:val="0002651A"/>
    <w:rsid w:val="000267E4"/>
    <w:rsid w:val="00026FA5"/>
    <w:rsid w:val="00027C0F"/>
    <w:rsid w:val="00032542"/>
    <w:rsid w:val="00032EB9"/>
    <w:rsid w:val="000333AA"/>
    <w:rsid w:val="0003375C"/>
    <w:rsid w:val="00034364"/>
    <w:rsid w:val="00034BF6"/>
    <w:rsid w:val="0003707F"/>
    <w:rsid w:val="0003723C"/>
    <w:rsid w:val="000373F0"/>
    <w:rsid w:val="00037943"/>
    <w:rsid w:val="000401E9"/>
    <w:rsid w:val="00040344"/>
    <w:rsid w:val="00040AAC"/>
    <w:rsid w:val="00041507"/>
    <w:rsid w:val="00043327"/>
    <w:rsid w:val="000437EC"/>
    <w:rsid w:val="0004394F"/>
    <w:rsid w:val="00044D72"/>
    <w:rsid w:val="000453B4"/>
    <w:rsid w:val="00045486"/>
    <w:rsid w:val="00045736"/>
    <w:rsid w:val="000460EB"/>
    <w:rsid w:val="000464F4"/>
    <w:rsid w:val="00047CEE"/>
    <w:rsid w:val="00047F89"/>
    <w:rsid w:val="00050612"/>
    <w:rsid w:val="00051696"/>
    <w:rsid w:val="00052C1C"/>
    <w:rsid w:val="000533A3"/>
    <w:rsid w:val="00054F52"/>
    <w:rsid w:val="000554B1"/>
    <w:rsid w:val="000555E9"/>
    <w:rsid w:val="00055D32"/>
    <w:rsid w:val="000563B5"/>
    <w:rsid w:val="000568BC"/>
    <w:rsid w:val="00057DFA"/>
    <w:rsid w:val="00057EFE"/>
    <w:rsid w:val="000606B4"/>
    <w:rsid w:val="00061D49"/>
    <w:rsid w:val="00061FA4"/>
    <w:rsid w:val="00062C3F"/>
    <w:rsid w:val="000648C6"/>
    <w:rsid w:val="00064D0D"/>
    <w:rsid w:val="00065304"/>
    <w:rsid w:val="00065D24"/>
    <w:rsid w:val="00067B13"/>
    <w:rsid w:val="00067E2F"/>
    <w:rsid w:val="0007021C"/>
    <w:rsid w:val="000711B0"/>
    <w:rsid w:val="00071381"/>
    <w:rsid w:val="00071495"/>
    <w:rsid w:val="00072261"/>
    <w:rsid w:val="00072995"/>
    <w:rsid w:val="00072A51"/>
    <w:rsid w:val="00072D0D"/>
    <w:rsid w:val="000731A4"/>
    <w:rsid w:val="000736A9"/>
    <w:rsid w:val="00076D20"/>
    <w:rsid w:val="000779EA"/>
    <w:rsid w:val="0008023C"/>
    <w:rsid w:val="0008240C"/>
    <w:rsid w:val="000827A3"/>
    <w:rsid w:val="00082A3A"/>
    <w:rsid w:val="00082CC2"/>
    <w:rsid w:val="00083BF0"/>
    <w:rsid w:val="00083CD9"/>
    <w:rsid w:val="00083D88"/>
    <w:rsid w:val="00084A4D"/>
    <w:rsid w:val="00084C58"/>
    <w:rsid w:val="0008527A"/>
    <w:rsid w:val="0008639B"/>
    <w:rsid w:val="00086951"/>
    <w:rsid w:val="00086DCD"/>
    <w:rsid w:val="00087F02"/>
    <w:rsid w:val="00091DA8"/>
    <w:rsid w:val="00092091"/>
    <w:rsid w:val="00092E6D"/>
    <w:rsid w:val="0009412C"/>
    <w:rsid w:val="000942DC"/>
    <w:rsid w:val="00094A93"/>
    <w:rsid w:val="00095083"/>
    <w:rsid w:val="000950E0"/>
    <w:rsid w:val="0009510C"/>
    <w:rsid w:val="000952E6"/>
    <w:rsid w:val="00095961"/>
    <w:rsid w:val="00096128"/>
    <w:rsid w:val="00096A69"/>
    <w:rsid w:val="000A0427"/>
    <w:rsid w:val="000A0CD5"/>
    <w:rsid w:val="000A0D69"/>
    <w:rsid w:val="000A2874"/>
    <w:rsid w:val="000A4189"/>
    <w:rsid w:val="000A4884"/>
    <w:rsid w:val="000A5F8C"/>
    <w:rsid w:val="000A77DC"/>
    <w:rsid w:val="000B0056"/>
    <w:rsid w:val="000B140F"/>
    <w:rsid w:val="000B1B66"/>
    <w:rsid w:val="000B365B"/>
    <w:rsid w:val="000B3827"/>
    <w:rsid w:val="000B5709"/>
    <w:rsid w:val="000B6626"/>
    <w:rsid w:val="000C01CD"/>
    <w:rsid w:val="000C0361"/>
    <w:rsid w:val="000C06D0"/>
    <w:rsid w:val="000C109A"/>
    <w:rsid w:val="000C1419"/>
    <w:rsid w:val="000C1773"/>
    <w:rsid w:val="000C2528"/>
    <w:rsid w:val="000C2F70"/>
    <w:rsid w:val="000C5287"/>
    <w:rsid w:val="000C556D"/>
    <w:rsid w:val="000C6CAA"/>
    <w:rsid w:val="000C764B"/>
    <w:rsid w:val="000C77D4"/>
    <w:rsid w:val="000C7C43"/>
    <w:rsid w:val="000D066D"/>
    <w:rsid w:val="000D1229"/>
    <w:rsid w:val="000D1479"/>
    <w:rsid w:val="000D2454"/>
    <w:rsid w:val="000D2E99"/>
    <w:rsid w:val="000D33D2"/>
    <w:rsid w:val="000D36E0"/>
    <w:rsid w:val="000D3D47"/>
    <w:rsid w:val="000D5420"/>
    <w:rsid w:val="000D5BC7"/>
    <w:rsid w:val="000D71AF"/>
    <w:rsid w:val="000D77AD"/>
    <w:rsid w:val="000E0047"/>
    <w:rsid w:val="000E0512"/>
    <w:rsid w:val="000E1490"/>
    <w:rsid w:val="000E19D9"/>
    <w:rsid w:val="000E1A14"/>
    <w:rsid w:val="000E23F6"/>
    <w:rsid w:val="000E4054"/>
    <w:rsid w:val="000E50BF"/>
    <w:rsid w:val="000E5559"/>
    <w:rsid w:val="000E5D75"/>
    <w:rsid w:val="000E605B"/>
    <w:rsid w:val="000E6653"/>
    <w:rsid w:val="000E7076"/>
    <w:rsid w:val="000E7D2E"/>
    <w:rsid w:val="000F08C3"/>
    <w:rsid w:val="000F09F4"/>
    <w:rsid w:val="000F0DEF"/>
    <w:rsid w:val="000F10CE"/>
    <w:rsid w:val="000F11C0"/>
    <w:rsid w:val="000F1696"/>
    <w:rsid w:val="000F233C"/>
    <w:rsid w:val="000F2B43"/>
    <w:rsid w:val="000F360D"/>
    <w:rsid w:val="000F474A"/>
    <w:rsid w:val="000F4E2A"/>
    <w:rsid w:val="000F62F1"/>
    <w:rsid w:val="000F68DB"/>
    <w:rsid w:val="000F6D6F"/>
    <w:rsid w:val="000F7F84"/>
    <w:rsid w:val="001015DF"/>
    <w:rsid w:val="001016AE"/>
    <w:rsid w:val="00103072"/>
    <w:rsid w:val="001043CE"/>
    <w:rsid w:val="001046DF"/>
    <w:rsid w:val="00106569"/>
    <w:rsid w:val="001067CB"/>
    <w:rsid w:val="00107B8C"/>
    <w:rsid w:val="00107F05"/>
    <w:rsid w:val="00111469"/>
    <w:rsid w:val="001114FA"/>
    <w:rsid w:val="00111D4E"/>
    <w:rsid w:val="001122D5"/>
    <w:rsid w:val="00112B50"/>
    <w:rsid w:val="00113B8D"/>
    <w:rsid w:val="00113FD1"/>
    <w:rsid w:val="00114BA3"/>
    <w:rsid w:val="00115FC4"/>
    <w:rsid w:val="001167EC"/>
    <w:rsid w:val="00116DF7"/>
    <w:rsid w:val="00117FCB"/>
    <w:rsid w:val="00120328"/>
    <w:rsid w:val="00121202"/>
    <w:rsid w:val="001216FB"/>
    <w:rsid w:val="00123385"/>
    <w:rsid w:val="0012386D"/>
    <w:rsid w:val="00124430"/>
    <w:rsid w:val="00124651"/>
    <w:rsid w:val="00125298"/>
    <w:rsid w:val="00125A17"/>
    <w:rsid w:val="001262A0"/>
    <w:rsid w:val="00127A50"/>
    <w:rsid w:val="001300E9"/>
    <w:rsid w:val="001308AA"/>
    <w:rsid w:val="00134499"/>
    <w:rsid w:val="00136907"/>
    <w:rsid w:val="00136A56"/>
    <w:rsid w:val="00136EF1"/>
    <w:rsid w:val="00142431"/>
    <w:rsid w:val="00142F3D"/>
    <w:rsid w:val="00143477"/>
    <w:rsid w:val="001434ED"/>
    <w:rsid w:val="00143866"/>
    <w:rsid w:val="00143E7D"/>
    <w:rsid w:val="0014406E"/>
    <w:rsid w:val="00144799"/>
    <w:rsid w:val="00144A71"/>
    <w:rsid w:val="001452D7"/>
    <w:rsid w:val="001457DC"/>
    <w:rsid w:val="00146099"/>
    <w:rsid w:val="001473BF"/>
    <w:rsid w:val="00150C92"/>
    <w:rsid w:val="00151E55"/>
    <w:rsid w:val="001536FC"/>
    <w:rsid w:val="0015539B"/>
    <w:rsid w:val="00155970"/>
    <w:rsid w:val="00155AC4"/>
    <w:rsid w:val="00155D1C"/>
    <w:rsid w:val="00155D7A"/>
    <w:rsid w:val="00155E34"/>
    <w:rsid w:val="001577E3"/>
    <w:rsid w:val="00160718"/>
    <w:rsid w:val="00160A54"/>
    <w:rsid w:val="00160CB7"/>
    <w:rsid w:val="00161735"/>
    <w:rsid w:val="0016563F"/>
    <w:rsid w:val="001659E1"/>
    <w:rsid w:val="00165A85"/>
    <w:rsid w:val="001663B8"/>
    <w:rsid w:val="001673AB"/>
    <w:rsid w:val="001673DC"/>
    <w:rsid w:val="00167DBE"/>
    <w:rsid w:val="00167F84"/>
    <w:rsid w:val="001702DE"/>
    <w:rsid w:val="0017094D"/>
    <w:rsid w:val="00171DA1"/>
    <w:rsid w:val="00173E95"/>
    <w:rsid w:val="00173FDF"/>
    <w:rsid w:val="00174276"/>
    <w:rsid w:val="001758DE"/>
    <w:rsid w:val="00177A35"/>
    <w:rsid w:val="001800D1"/>
    <w:rsid w:val="001803D3"/>
    <w:rsid w:val="00180522"/>
    <w:rsid w:val="00180FE0"/>
    <w:rsid w:val="00181442"/>
    <w:rsid w:val="00181523"/>
    <w:rsid w:val="00182FBD"/>
    <w:rsid w:val="001834A0"/>
    <w:rsid w:val="00183E89"/>
    <w:rsid w:val="0018413B"/>
    <w:rsid w:val="00184198"/>
    <w:rsid w:val="00191B1A"/>
    <w:rsid w:val="00194F77"/>
    <w:rsid w:val="001951B6"/>
    <w:rsid w:val="00195340"/>
    <w:rsid w:val="001954C9"/>
    <w:rsid w:val="00195688"/>
    <w:rsid w:val="001958EF"/>
    <w:rsid w:val="00195C0A"/>
    <w:rsid w:val="00196B8F"/>
    <w:rsid w:val="0019797F"/>
    <w:rsid w:val="001A16EB"/>
    <w:rsid w:val="001A1C05"/>
    <w:rsid w:val="001A2829"/>
    <w:rsid w:val="001A37C8"/>
    <w:rsid w:val="001A3EF0"/>
    <w:rsid w:val="001A4357"/>
    <w:rsid w:val="001A5106"/>
    <w:rsid w:val="001A5609"/>
    <w:rsid w:val="001A5838"/>
    <w:rsid w:val="001A5D0C"/>
    <w:rsid w:val="001A6D43"/>
    <w:rsid w:val="001B0878"/>
    <w:rsid w:val="001B0C01"/>
    <w:rsid w:val="001B0D76"/>
    <w:rsid w:val="001B2774"/>
    <w:rsid w:val="001B31AB"/>
    <w:rsid w:val="001B3932"/>
    <w:rsid w:val="001B3E90"/>
    <w:rsid w:val="001B4F89"/>
    <w:rsid w:val="001B6021"/>
    <w:rsid w:val="001B71D4"/>
    <w:rsid w:val="001B720F"/>
    <w:rsid w:val="001B7C5B"/>
    <w:rsid w:val="001C275C"/>
    <w:rsid w:val="001C28BB"/>
    <w:rsid w:val="001C30EF"/>
    <w:rsid w:val="001C37A8"/>
    <w:rsid w:val="001C46B6"/>
    <w:rsid w:val="001C494F"/>
    <w:rsid w:val="001C5654"/>
    <w:rsid w:val="001C5889"/>
    <w:rsid w:val="001C6A23"/>
    <w:rsid w:val="001C7173"/>
    <w:rsid w:val="001D0080"/>
    <w:rsid w:val="001D1129"/>
    <w:rsid w:val="001D1654"/>
    <w:rsid w:val="001D1817"/>
    <w:rsid w:val="001D26FA"/>
    <w:rsid w:val="001D573C"/>
    <w:rsid w:val="001D5B6B"/>
    <w:rsid w:val="001D6D2D"/>
    <w:rsid w:val="001D7155"/>
    <w:rsid w:val="001D7B96"/>
    <w:rsid w:val="001E0F6F"/>
    <w:rsid w:val="001E1147"/>
    <w:rsid w:val="001E122D"/>
    <w:rsid w:val="001E2644"/>
    <w:rsid w:val="001E2DAD"/>
    <w:rsid w:val="001E4EDB"/>
    <w:rsid w:val="001E5397"/>
    <w:rsid w:val="001E6E8F"/>
    <w:rsid w:val="001F0198"/>
    <w:rsid w:val="001F01C3"/>
    <w:rsid w:val="001F08FB"/>
    <w:rsid w:val="001F0C31"/>
    <w:rsid w:val="001F2C82"/>
    <w:rsid w:val="001F2D5C"/>
    <w:rsid w:val="001F30DE"/>
    <w:rsid w:val="001F5E41"/>
    <w:rsid w:val="001F5ED2"/>
    <w:rsid w:val="001F61DC"/>
    <w:rsid w:val="001F6CAC"/>
    <w:rsid w:val="001F724D"/>
    <w:rsid w:val="001F7D83"/>
    <w:rsid w:val="00200DE6"/>
    <w:rsid w:val="002013A1"/>
    <w:rsid w:val="002026E9"/>
    <w:rsid w:val="00203D88"/>
    <w:rsid w:val="00204616"/>
    <w:rsid w:val="0020702B"/>
    <w:rsid w:val="0020768A"/>
    <w:rsid w:val="002078CC"/>
    <w:rsid w:val="00210CA6"/>
    <w:rsid w:val="0021319C"/>
    <w:rsid w:val="00213AB9"/>
    <w:rsid w:val="0021417E"/>
    <w:rsid w:val="00214AE3"/>
    <w:rsid w:val="002162C3"/>
    <w:rsid w:val="0021687B"/>
    <w:rsid w:val="00217462"/>
    <w:rsid w:val="002175D1"/>
    <w:rsid w:val="00220082"/>
    <w:rsid w:val="00220CF1"/>
    <w:rsid w:val="00221F95"/>
    <w:rsid w:val="00222C54"/>
    <w:rsid w:val="002244F3"/>
    <w:rsid w:val="002258B4"/>
    <w:rsid w:val="0022716D"/>
    <w:rsid w:val="00232FAA"/>
    <w:rsid w:val="00233149"/>
    <w:rsid w:val="00235677"/>
    <w:rsid w:val="00235718"/>
    <w:rsid w:val="0023573D"/>
    <w:rsid w:val="00235C12"/>
    <w:rsid w:val="002360F7"/>
    <w:rsid w:val="002409C6"/>
    <w:rsid w:val="00240BDA"/>
    <w:rsid w:val="00241277"/>
    <w:rsid w:val="00242317"/>
    <w:rsid w:val="0024371B"/>
    <w:rsid w:val="002437E2"/>
    <w:rsid w:val="00243B9F"/>
    <w:rsid w:val="00244089"/>
    <w:rsid w:val="0024588E"/>
    <w:rsid w:val="00246F84"/>
    <w:rsid w:val="00247421"/>
    <w:rsid w:val="00250939"/>
    <w:rsid w:val="0025167A"/>
    <w:rsid w:val="002522DA"/>
    <w:rsid w:val="0025261A"/>
    <w:rsid w:val="00253402"/>
    <w:rsid w:val="002534EE"/>
    <w:rsid w:val="002541BC"/>
    <w:rsid w:val="00254A00"/>
    <w:rsid w:val="00255214"/>
    <w:rsid w:val="00256C4B"/>
    <w:rsid w:val="002571C0"/>
    <w:rsid w:val="002606A3"/>
    <w:rsid w:val="00261881"/>
    <w:rsid w:val="0026190E"/>
    <w:rsid w:val="00261F00"/>
    <w:rsid w:val="00262800"/>
    <w:rsid w:val="0026285A"/>
    <w:rsid w:val="0026678E"/>
    <w:rsid w:val="00266CB1"/>
    <w:rsid w:val="002672A2"/>
    <w:rsid w:val="00267E96"/>
    <w:rsid w:val="00267FAE"/>
    <w:rsid w:val="00270B63"/>
    <w:rsid w:val="00271814"/>
    <w:rsid w:val="00272844"/>
    <w:rsid w:val="00272C70"/>
    <w:rsid w:val="00273213"/>
    <w:rsid w:val="00273549"/>
    <w:rsid w:val="0027396C"/>
    <w:rsid w:val="00273A00"/>
    <w:rsid w:val="00273BA9"/>
    <w:rsid w:val="0027401E"/>
    <w:rsid w:val="002811F6"/>
    <w:rsid w:val="00282D0E"/>
    <w:rsid w:val="00282EDF"/>
    <w:rsid w:val="00284EE7"/>
    <w:rsid w:val="002857E4"/>
    <w:rsid w:val="00285A20"/>
    <w:rsid w:val="00286D30"/>
    <w:rsid w:val="00287743"/>
    <w:rsid w:val="00290069"/>
    <w:rsid w:val="002932E3"/>
    <w:rsid w:val="00293B8F"/>
    <w:rsid w:val="00294F3D"/>
    <w:rsid w:val="00295B59"/>
    <w:rsid w:val="00296074"/>
    <w:rsid w:val="00297061"/>
    <w:rsid w:val="00297A9C"/>
    <w:rsid w:val="002A1103"/>
    <w:rsid w:val="002A1BB9"/>
    <w:rsid w:val="002A2966"/>
    <w:rsid w:val="002A34E6"/>
    <w:rsid w:val="002A4FEE"/>
    <w:rsid w:val="002B19CF"/>
    <w:rsid w:val="002B2111"/>
    <w:rsid w:val="002B2851"/>
    <w:rsid w:val="002B3A3A"/>
    <w:rsid w:val="002B4310"/>
    <w:rsid w:val="002B5172"/>
    <w:rsid w:val="002B52EC"/>
    <w:rsid w:val="002B60E2"/>
    <w:rsid w:val="002B652E"/>
    <w:rsid w:val="002B67D0"/>
    <w:rsid w:val="002B73CF"/>
    <w:rsid w:val="002B7F8C"/>
    <w:rsid w:val="002C20D2"/>
    <w:rsid w:val="002C2866"/>
    <w:rsid w:val="002C2D31"/>
    <w:rsid w:val="002C3B16"/>
    <w:rsid w:val="002C3BB2"/>
    <w:rsid w:val="002C4E5B"/>
    <w:rsid w:val="002C580F"/>
    <w:rsid w:val="002C6C9E"/>
    <w:rsid w:val="002C79B0"/>
    <w:rsid w:val="002D082E"/>
    <w:rsid w:val="002D119C"/>
    <w:rsid w:val="002D17D9"/>
    <w:rsid w:val="002D18EC"/>
    <w:rsid w:val="002D2F33"/>
    <w:rsid w:val="002D43AF"/>
    <w:rsid w:val="002D463F"/>
    <w:rsid w:val="002D47C8"/>
    <w:rsid w:val="002D4FC8"/>
    <w:rsid w:val="002D5CEC"/>
    <w:rsid w:val="002D5E76"/>
    <w:rsid w:val="002D6531"/>
    <w:rsid w:val="002E2A0B"/>
    <w:rsid w:val="002E4C70"/>
    <w:rsid w:val="002E5784"/>
    <w:rsid w:val="002E6839"/>
    <w:rsid w:val="002F01BD"/>
    <w:rsid w:val="002F0DD6"/>
    <w:rsid w:val="002F0E38"/>
    <w:rsid w:val="002F15C4"/>
    <w:rsid w:val="002F1CBD"/>
    <w:rsid w:val="002F225B"/>
    <w:rsid w:val="002F23F8"/>
    <w:rsid w:val="002F336E"/>
    <w:rsid w:val="002F37E4"/>
    <w:rsid w:val="002F3F17"/>
    <w:rsid w:val="002F40C6"/>
    <w:rsid w:val="002F500B"/>
    <w:rsid w:val="002F62A6"/>
    <w:rsid w:val="002F702B"/>
    <w:rsid w:val="002F74D4"/>
    <w:rsid w:val="00300CBA"/>
    <w:rsid w:val="003040F1"/>
    <w:rsid w:val="003046CE"/>
    <w:rsid w:val="0030657A"/>
    <w:rsid w:val="00310F18"/>
    <w:rsid w:val="00311216"/>
    <w:rsid w:val="00311B9B"/>
    <w:rsid w:val="00312158"/>
    <w:rsid w:val="003132DD"/>
    <w:rsid w:val="00313DE1"/>
    <w:rsid w:val="0031468E"/>
    <w:rsid w:val="00314E2C"/>
    <w:rsid w:val="00315436"/>
    <w:rsid w:val="0031655F"/>
    <w:rsid w:val="00317140"/>
    <w:rsid w:val="00317510"/>
    <w:rsid w:val="003207E7"/>
    <w:rsid w:val="00321BAB"/>
    <w:rsid w:val="00321E20"/>
    <w:rsid w:val="00323060"/>
    <w:rsid w:val="003232FD"/>
    <w:rsid w:val="00323751"/>
    <w:rsid w:val="003239D7"/>
    <w:rsid w:val="003239FD"/>
    <w:rsid w:val="00324425"/>
    <w:rsid w:val="003252C7"/>
    <w:rsid w:val="00325808"/>
    <w:rsid w:val="00325BAA"/>
    <w:rsid w:val="00325C05"/>
    <w:rsid w:val="00327C00"/>
    <w:rsid w:val="0033037C"/>
    <w:rsid w:val="003313FE"/>
    <w:rsid w:val="0033393D"/>
    <w:rsid w:val="00333E5A"/>
    <w:rsid w:val="0033412F"/>
    <w:rsid w:val="0033447D"/>
    <w:rsid w:val="003351C3"/>
    <w:rsid w:val="00335443"/>
    <w:rsid w:val="003358E6"/>
    <w:rsid w:val="00335B85"/>
    <w:rsid w:val="00335E62"/>
    <w:rsid w:val="0033606E"/>
    <w:rsid w:val="00337FC8"/>
    <w:rsid w:val="003400E1"/>
    <w:rsid w:val="0034036E"/>
    <w:rsid w:val="00341832"/>
    <w:rsid w:val="003419BA"/>
    <w:rsid w:val="00342279"/>
    <w:rsid w:val="00344CDC"/>
    <w:rsid w:val="00344F18"/>
    <w:rsid w:val="003450A7"/>
    <w:rsid w:val="00345610"/>
    <w:rsid w:val="00345CCB"/>
    <w:rsid w:val="00346DF0"/>
    <w:rsid w:val="00346F99"/>
    <w:rsid w:val="003506F3"/>
    <w:rsid w:val="00351083"/>
    <w:rsid w:val="003510CE"/>
    <w:rsid w:val="00352249"/>
    <w:rsid w:val="003547B9"/>
    <w:rsid w:val="003560E6"/>
    <w:rsid w:val="003603C7"/>
    <w:rsid w:val="00361B19"/>
    <w:rsid w:val="003641D1"/>
    <w:rsid w:val="00364FAD"/>
    <w:rsid w:val="00365D2A"/>
    <w:rsid w:val="00366F98"/>
    <w:rsid w:val="003671DA"/>
    <w:rsid w:val="00367749"/>
    <w:rsid w:val="003707FE"/>
    <w:rsid w:val="003718AC"/>
    <w:rsid w:val="00371B60"/>
    <w:rsid w:val="003738A6"/>
    <w:rsid w:val="00373D43"/>
    <w:rsid w:val="0037553F"/>
    <w:rsid w:val="00376554"/>
    <w:rsid w:val="0037763C"/>
    <w:rsid w:val="00377867"/>
    <w:rsid w:val="003779BB"/>
    <w:rsid w:val="003810C5"/>
    <w:rsid w:val="00381697"/>
    <w:rsid w:val="00381E67"/>
    <w:rsid w:val="00382610"/>
    <w:rsid w:val="00383506"/>
    <w:rsid w:val="00383C4C"/>
    <w:rsid w:val="003849B9"/>
    <w:rsid w:val="00385A6D"/>
    <w:rsid w:val="00386B08"/>
    <w:rsid w:val="00387161"/>
    <w:rsid w:val="003908F6"/>
    <w:rsid w:val="0039175E"/>
    <w:rsid w:val="00392C04"/>
    <w:rsid w:val="00392C57"/>
    <w:rsid w:val="0039331F"/>
    <w:rsid w:val="00393834"/>
    <w:rsid w:val="00393AE8"/>
    <w:rsid w:val="003943D7"/>
    <w:rsid w:val="00394B6C"/>
    <w:rsid w:val="003958DA"/>
    <w:rsid w:val="003959D8"/>
    <w:rsid w:val="0039641C"/>
    <w:rsid w:val="003972E5"/>
    <w:rsid w:val="003A0D11"/>
    <w:rsid w:val="003A13FC"/>
    <w:rsid w:val="003A20C3"/>
    <w:rsid w:val="003A2714"/>
    <w:rsid w:val="003A3D45"/>
    <w:rsid w:val="003A4212"/>
    <w:rsid w:val="003A6833"/>
    <w:rsid w:val="003A7DFD"/>
    <w:rsid w:val="003A7E77"/>
    <w:rsid w:val="003B1824"/>
    <w:rsid w:val="003B22A3"/>
    <w:rsid w:val="003B22B6"/>
    <w:rsid w:val="003B22EC"/>
    <w:rsid w:val="003B2AD1"/>
    <w:rsid w:val="003B37DB"/>
    <w:rsid w:val="003B56F6"/>
    <w:rsid w:val="003B577A"/>
    <w:rsid w:val="003B6C24"/>
    <w:rsid w:val="003B7051"/>
    <w:rsid w:val="003B7325"/>
    <w:rsid w:val="003B7BA9"/>
    <w:rsid w:val="003C0BD5"/>
    <w:rsid w:val="003C1FE2"/>
    <w:rsid w:val="003C3100"/>
    <w:rsid w:val="003C3CA8"/>
    <w:rsid w:val="003C42E5"/>
    <w:rsid w:val="003C44C9"/>
    <w:rsid w:val="003C4902"/>
    <w:rsid w:val="003C4BC5"/>
    <w:rsid w:val="003C5177"/>
    <w:rsid w:val="003C7372"/>
    <w:rsid w:val="003D0D76"/>
    <w:rsid w:val="003D14F9"/>
    <w:rsid w:val="003D33A9"/>
    <w:rsid w:val="003D4120"/>
    <w:rsid w:val="003D479E"/>
    <w:rsid w:val="003D4F6B"/>
    <w:rsid w:val="003D731A"/>
    <w:rsid w:val="003E0D98"/>
    <w:rsid w:val="003E1500"/>
    <w:rsid w:val="003E1574"/>
    <w:rsid w:val="003E1D04"/>
    <w:rsid w:val="003E1E37"/>
    <w:rsid w:val="003E2490"/>
    <w:rsid w:val="003E296E"/>
    <w:rsid w:val="003E45AF"/>
    <w:rsid w:val="003E4E71"/>
    <w:rsid w:val="003E5599"/>
    <w:rsid w:val="003E633C"/>
    <w:rsid w:val="003F02CD"/>
    <w:rsid w:val="003F1AF5"/>
    <w:rsid w:val="003F28D7"/>
    <w:rsid w:val="003F2924"/>
    <w:rsid w:val="003F36F7"/>
    <w:rsid w:val="003F40B4"/>
    <w:rsid w:val="003F4FC4"/>
    <w:rsid w:val="003F58B9"/>
    <w:rsid w:val="003F677C"/>
    <w:rsid w:val="003F7D47"/>
    <w:rsid w:val="00401B95"/>
    <w:rsid w:val="00403A2F"/>
    <w:rsid w:val="00403A96"/>
    <w:rsid w:val="00403EC2"/>
    <w:rsid w:val="00404AD8"/>
    <w:rsid w:val="0040651F"/>
    <w:rsid w:val="004079CB"/>
    <w:rsid w:val="00407A50"/>
    <w:rsid w:val="00407C81"/>
    <w:rsid w:val="00407CBD"/>
    <w:rsid w:val="00410010"/>
    <w:rsid w:val="00410E97"/>
    <w:rsid w:val="004115D6"/>
    <w:rsid w:val="00411880"/>
    <w:rsid w:val="00412E28"/>
    <w:rsid w:val="00413321"/>
    <w:rsid w:val="00413834"/>
    <w:rsid w:val="0041487A"/>
    <w:rsid w:val="00415A05"/>
    <w:rsid w:val="00415C79"/>
    <w:rsid w:val="00416693"/>
    <w:rsid w:val="004178F8"/>
    <w:rsid w:val="0042082E"/>
    <w:rsid w:val="004209FC"/>
    <w:rsid w:val="00420ED1"/>
    <w:rsid w:val="00422088"/>
    <w:rsid w:val="0042281A"/>
    <w:rsid w:val="00423426"/>
    <w:rsid w:val="004240FA"/>
    <w:rsid w:val="004244D4"/>
    <w:rsid w:val="0042455A"/>
    <w:rsid w:val="0042516D"/>
    <w:rsid w:val="004254AB"/>
    <w:rsid w:val="004258B1"/>
    <w:rsid w:val="00426673"/>
    <w:rsid w:val="004269DE"/>
    <w:rsid w:val="004271EF"/>
    <w:rsid w:val="0042733D"/>
    <w:rsid w:val="004277FB"/>
    <w:rsid w:val="004278A8"/>
    <w:rsid w:val="00431173"/>
    <w:rsid w:val="0043208E"/>
    <w:rsid w:val="00434809"/>
    <w:rsid w:val="004349D9"/>
    <w:rsid w:val="00434A8E"/>
    <w:rsid w:val="00435186"/>
    <w:rsid w:val="00436746"/>
    <w:rsid w:val="004369C7"/>
    <w:rsid w:val="00440657"/>
    <w:rsid w:val="004406DA"/>
    <w:rsid w:val="004421E8"/>
    <w:rsid w:val="004427AC"/>
    <w:rsid w:val="00442997"/>
    <w:rsid w:val="00443B02"/>
    <w:rsid w:val="00443DF0"/>
    <w:rsid w:val="0044529F"/>
    <w:rsid w:val="004467E5"/>
    <w:rsid w:val="004501D5"/>
    <w:rsid w:val="00450233"/>
    <w:rsid w:val="0045124B"/>
    <w:rsid w:val="00451C6D"/>
    <w:rsid w:val="004521C5"/>
    <w:rsid w:val="0045255F"/>
    <w:rsid w:val="004528C5"/>
    <w:rsid w:val="00453010"/>
    <w:rsid w:val="004551B0"/>
    <w:rsid w:val="00455358"/>
    <w:rsid w:val="004565CD"/>
    <w:rsid w:val="0045687F"/>
    <w:rsid w:val="004572BB"/>
    <w:rsid w:val="00457E37"/>
    <w:rsid w:val="00460909"/>
    <w:rsid w:val="00461144"/>
    <w:rsid w:val="004615BE"/>
    <w:rsid w:val="00461720"/>
    <w:rsid w:val="004627C0"/>
    <w:rsid w:val="00463B40"/>
    <w:rsid w:val="0046404B"/>
    <w:rsid w:val="00464221"/>
    <w:rsid w:val="00466315"/>
    <w:rsid w:val="004668E2"/>
    <w:rsid w:val="00470641"/>
    <w:rsid w:val="0047095D"/>
    <w:rsid w:val="00472548"/>
    <w:rsid w:val="0047288C"/>
    <w:rsid w:val="00472B84"/>
    <w:rsid w:val="0047677A"/>
    <w:rsid w:val="00477A8D"/>
    <w:rsid w:val="00480360"/>
    <w:rsid w:val="004823F8"/>
    <w:rsid w:val="00484652"/>
    <w:rsid w:val="004848DD"/>
    <w:rsid w:val="00484D60"/>
    <w:rsid w:val="00485518"/>
    <w:rsid w:val="004862E6"/>
    <w:rsid w:val="004872B7"/>
    <w:rsid w:val="00487781"/>
    <w:rsid w:val="004878AC"/>
    <w:rsid w:val="004917E7"/>
    <w:rsid w:val="00492790"/>
    <w:rsid w:val="00492BC7"/>
    <w:rsid w:val="00493424"/>
    <w:rsid w:val="0049370F"/>
    <w:rsid w:val="00493815"/>
    <w:rsid w:val="00494504"/>
    <w:rsid w:val="00494877"/>
    <w:rsid w:val="0049568B"/>
    <w:rsid w:val="00495869"/>
    <w:rsid w:val="00495D51"/>
    <w:rsid w:val="0049751F"/>
    <w:rsid w:val="004977AC"/>
    <w:rsid w:val="00497BC0"/>
    <w:rsid w:val="004A0177"/>
    <w:rsid w:val="004A0676"/>
    <w:rsid w:val="004A0BAC"/>
    <w:rsid w:val="004A0E99"/>
    <w:rsid w:val="004A117E"/>
    <w:rsid w:val="004A4879"/>
    <w:rsid w:val="004A4D9F"/>
    <w:rsid w:val="004A6A76"/>
    <w:rsid w:val="004A6D8E"/>
    <w:rsid w:val="004A709C"/>
    <w:rsid w:val="004A7229"/>
    <w:rsid w:val="004B01C8"/>
    <w:rsid w:val="004B05E1"/>
    <w:rsid w:val="004B1A6A"/>
    <w:rsid w:val="004B389F"/>
    <w:rsid w:val="004B4D80"/>
    <w:rsid w:val="004B556A"/>
    <w:rsid w:val="004B5943"/>
    <w:rsid w:val="004B5DCF"/>
    <w:rsid w:val="004B5ED2"/>
    <w:rsid w:val="004B615C"/>
    <w:rsid w:val="004B6640"/>
    <w:rsid w:val="004B67C7"/>
    <w:rsid w:val="004B6D09"/>
    <w:rsid w:val="004C00E8"/>
    <w:rsid w:val="004C0A18"/>
    <w:rsid w:val="004C1D67"/>
    <w:rsid w:val="004C20A0"/>
    <w:rsid w:val="004C2993"/>
    <w:rsid w:val="004C2B37"/>
    <w:rsid w:val="004C543D"/>
    <w:rsid w:val="004C56AD"/>
    <w:rsid w:val="004C5850"/>
    <w:rsid w:val="004C59EB"/>
    <w:rsid w:val="004C7176"/>
    <w:rsid w:val="004C7FD8"/>
    <w:rsid w:val="004D057F"/>
    <w:rsid w:val="004D07B4"/>
    <w:rsid w:val="004D1112"/>
    <w:rsid w:val="004D1332"/>
    <w:rsid w:val="004D18F0"/>
    <w:rsid w:val="004D1E20"/>
    <w:rsid w:val="004D275F"/>
    <w:rsid w:val="004D2924"/>
    <w:rsid w:val="004D3969"/>
    <w:rsid w:val="004D6383"/>
    <w:rsid w:val="004D66B8"/>
    <w:rsid w:val="004D7447"/>
    <w:rsid w:val="004D7AB4"/>
    <w:rsid w:val="004E1933"/>
    <w:rsid w:val="004E1CA9"/>
    <w:rsid w:val="004E531D"/>
    <w:rsid w:val="004E568B"/>
    <w:rsid w:val="004E5E2B"/>
    <w:rsid w:val="004E5F09"/>
    <w:rsid w:val="004E6F00"/>
    <w:rsid w:val="004E7F49"/>
    <w:rsid w:val="004F0C57"/>
    <w:rsid w:val="004F10D8"/>
    <w:rsid w:val="004F1D31"/>
    <w:rsid w:val="004F3194"/>
    <w:rsid w:val="004F45A7"/>
    <w:rsid w:val="004F5C84"/>
    <w:rsid w:val="004F69F0"/>
    <w:rsid w:val="004F7120"/>
    <w:rsid w:val="004F7513"/>
    <w:rsid w:val="004F7902"/>
    <w:rsid w:val="00501387"/>
    <w:rsid w:val="00502FC4"/>
    <w:rsid w:val="005039F4"/>
    <w:rsid w:val="0050662C"/>
    <w:rsid w:val="00506C9C"/>
    <w:rsid w:val="005072F0"/>
    <w:rsid w:val="0051029C"/>
    <w:rsid w:val="005104AE"/>
    <w:rsid w:val="0051205A"/>
    <w:rsid w:val="00512900"/>
    <w:rsid w:val="00512956"/>
    <w:rsid w:val="00513EF2"/>
    <w:rsid w:val="005146B5"/>
    <w:rsid w:val="00514BC1"/>
    <w:rsid w:val="00514E0B"/>
    <w:rsid w:val="00515A4B"/>
    <w:rsid w:val="00516CA9"/>
    <w:rsid w:val="005204C5"/>
    <w:rsid w:val="005209AE"/>
    <w:rsid w:val="00521110"/>
    <w:rsid w:val="00522778"/>
    <w:rsid w:val="00522D28"/>
    <w:rsid w:val="0052414C"/>
    <w:rsid w:val="00525566"/>
    <w:rsid w:val="00525F17"/>
    <w:rsid w:val="00526467"/>
    <w:rsid w:val="00526510"/>
    <w:rsid w:val="00527FC5"/>
    <w:rsid w:val="00530CFA"/>
    <w:rsid w:val="0053136A"/>
    <w:rsid w:val="00531584"/>
    <w:rsid w:val="00531E39"/>
    <w:rsid w:val="0053250D"/>
    <w:rsid w:val="00532D61"/>
    <w:rsid w:val="00532E37"/>
    <w:rsid w:val="00534298"/>
    <w:rsid w:val="005345D4"/>
    <w:rsid w:val="005352F4"/>
    <w:rsid w:val="00536036"/>
    <w:rsid w:val="005368BA"/>
    <w:rsid w:val="00536CB7"/>
    <w:rsid w:val="00540CAD"/>
    <w:rsid w:val="00541269"/>
    <w:rsid w:val="00541355"/>
    <w:rsid w:val="005413BB"/>
    <w:rsid w:val="00545A32"/>
    <w:rsid w:val="00545DAC"/>
    <w:rsid w:val="00545F8F"/>
    <w:rsid w:val="005460B9"/>
    <w:rsid w:val="005465EF"/>
    <w:rsid w:val="00546B79"/>
    <w:rsid w:val="0055118F"/>
    <w:rsid w:val="005511CC"/>
    <w:rsid w:val="00551632"/>
    <w:rsid w:val="00551783"/>
    <w:rsid w:val="005533F3"/>
    <w:rsid w:val="0055355E"/>
    <w:rsid w:val="005537EC"/>
    <w:rsid w:val="00556A5C"/>
    <w:rsid w:val="00557EBA"/>
    <w:rsid w:val="0056047D"/>
    <w:rsid w:val="00560CD7"/>
    <w:rsid w:val="00561A87"/>
    <w:rsid w:val="00561B39"/>
    <w:rsid w:val="00561D21"/>
    <w:rsid w:val="005621F3"/>
    <w:rsid w:val="00562B40"/>
    <w:rsid w:val="005641EC"/>
    <w:rsid w:val="00564AF9"/>
    <w:rsid w:val="00564FEE"/>
    <w:rsid w:val="0056676B"/>
    <w:rsid w:val="0056771D"/>
    <w:rsid w:val="0056785A"/>
    <w:rsid w:val="00567B70"/>
    <w:rsid w:val="00567CBC"/>
    <w:rsid w:val="00570990"/>
    <w:rsid w:val="005711FE"/>
    <w:rsid w:val="00571280"/>
    <w:rsid w:val="00572648"/>
    <w:rsid w:val="0057292E"/>
    <w:rsid w:val="00573A21"/>
    <w:rsid w:val="00573BB8"/>
    <w:rsid w:val="00574A30"/>
    <w:rsid w:val="00574C98"/>
    <w:rsid w:val="00575262"/>
    <w:rsid w:val="005762AE"/>
    <w:rsid w:val="005769CF"/>
    <w:rsid w:val="00576C09"/>
    <w:rsid w:val="00580017"/>
    <w:rsid w:val="00580341"/>
    <w:rsid w:val="00581B53"/>
    <w:rsid w:val="00582EFF"/>
    <w:rsid w:val="005837E2"/>
    <w:rsid w:val="0058394D"/>
    <w:rsid w:val="00584885"/>
    <w:rsid w:val="00584FD7"/>
    <w:rsid w:val="00585012"/>
    <w:rsid w:val="00585277"/>
    <w:rsid w:val="005858C6"/>
    <w:rsid w:val="00585CBC"/>
    <w:rsid w:val="0058617C"/>
    <w:rsid w:val="005879E4"/>
    <w:rsid w:val="00590617"/>
    <w:rsid w:val="0059090A"/>
    <w:rsid w:val="0059207D"/>
    <w:rsid w:val="005927AA"/>
    <w:rsid w:val="005937C6"/>
    <w:rsid w:val="00593C53"/>
    <w:rsid w:val="00593F7D"/>
    <w:rsid w:val="00596E18"/>
    <w:rsid w:val="005A0875"/>
    <w:rsid w:val="005A1BB9"/>
    <w:rsid w:val="005A2319"/>
    <w:rsid w:val="005A2938"/>
    <w:rsid w:val="005A3FD3"/>
    <w:rsid w:val="005A41C5"/>
    <w:rsid w:val="005A65A8"/>
    <w:rsid w:val="005A6621"/>
    <w:rsid w:val="005A6B40"/>
    <w:rsid w:val="005A7197"/>
    <w:rsid w:val="005A71DA"/>
    <w:rsid w:val="005A72C9"/>
    <w:rsid w:val="005A7E21"/>
    <w:rsid w:val="005B00D7"/>
    <w:rsid w:val="005B089C"/>
    <w:rsid w:val="005B0DE1"/>
    <w:rsid w:val="005B1112"/>
    <w:rsid w:val="005B1C0A"/>
    <w:rsid w:val="005B27A8"/>
    <w:rsid w:val="005B41DE"/>
    <w:rsid w:val="005B4D1F"/>
    <w:rsid w:val="005B6827"/>
    <w:rsid w:val="005B771C"/>
    <w:rsid w:val="005B7EE5"/>
    <w:rsid w:val="005C04E3"/>
    <w:rsid w:val="005C0549"/>
    <w:rsid w:val="005C0984"/>
    <w:rsid w:val="005C0D53"/>
    <w:rsid w:val="005C0F58"/>
    <w:rsid w:val="005C0FBC"/>
    <w:rsid w:val="005C111D"/>
    <w:rsid w:val="005C1FE3"/>
    <w:rsid w:val="005C2AA4"/>
    <w:rsid w:val="005C3985"/>
    <w:rsid w:val="005C4E50"/>
    <w:rsid w:val="005C5B47"/>
    <w:rsid w:val="005C772E"/>
    <w:rsid w:val="005C7DEF"/>
    <w:rsid w:val="005D01C6"/>
    <w:rsid w:val="005D0E4B"/>
    <w:rsid w:val="005D182C"/>
    <w:rsid w:val="005D1A66"/>
    <w:rsid w:val="005D1DAE"/>
    <w:rsid w:val="005D1F98"/>
    <w:rsid w:val="005D27CA"/>
    <w:rsid w:val="005D38E7"/>
    <w:rsid w:val="005D3FA7"/>
    <w:rsid w:val="005D4263"/>
    <w:rsid w:val="005D4C64"/>
    <w:rsid w:val="005D59CC"/>
    <w:rsid w:val="005D7504"/>
    <w:rsid w:val="005E08E7"/>
    <w:rsid w:val="005E1251"/>
    <w:rsid w:val="005E1DB4"/>
    <w:rsid w:val="005E2B39"/>
    <w:rsid w:val="005E3F30"/>
    <w:rsid w:val="005E445F"/>
    <w:rsid w:val="005E4CE7"/>
    <w:rsid w:val="005E4FD3"/>
    <w:rsid w:val="005E533F"/>
    <w:rsid w:val="005F2082"/>
    <w:rsid w:val="005F563A"/>
    <w:rsid w:val="005F635C"/>
    <w:rsid w:val="005F7DA6"/>
    <w:rsid w:val="006008F3"/>
    <w:rsid w:val="00600D6B"/>
    <w:rsid w:val="00600E6D"/>
    <w:rsid w:val="00600F37"/>
    <w:rsid w:val="006025E0"/>
    <w:rsid w:val="0060285D"/>
    <w:rsid w:val="00602980"/>
    <w:rsid w:val="006048A6"/>
    <w:rsid w:val="00604BF3"/>
    <w:rsid w:val="006056B8"/>
    <w:rsid w:val="00606970"/>
    <w:rsid w:val="00606A86"/>
    <w:rsid w:val="00611778"/>
    <w:rsid w:val="00611AFD"/>
    <w:rsid w:val="00611B6B"/>
    <w:rsid w:val="00611C38"/>
    <w:rsid w:val="0061278C"/>
    <w:rsid w:val="00613E4E"/>
    <w:rsid w:val="00616633"/>
    <w:rsid w:val="006169A2"/>
    <w:rsid w:val="0061725D"/>
    <w:rsid w:val="006175CC"/>
    <w:rsid w:val="006200F1"/>
    <w:rsid w:val="0062086A"/>
    <w:rsid w:val="00621D2B"/>
    <w:rsid w:val="00622014"/>
    <w:rsid w:val="00622566"/>
    <w:rsid w:val="00622B92"/>
    <w:rsid w:val="0062333D"/>
    <w:rsid w:val="00623A56"/>
    <w:rsid w:val="006241AB"/>
    <w:rsid w:val="006242A0"/>
    <w:rsid w:val="00625D58"/>
    <w:rsid w:val="0062634D"/>
    <w:rsid w:val="0062676F"/>
    <w:rsid w:val="00626C57"/>
    <w:rsid w:val="006278C2"/>
    <w:rsid w:val="00627EFD"/>
    <w:rsid w:val="00630820"/>
    <w:rsid w:val="00631707"/>
    <w:rsid w:val="00632908"/>
    <w:rsid w:val="00632EF3"/>
    <w:rsid w:val="0063300D"/>
    <w:rsid w:val="006331D6"/>
    <w:rsid w:val="00634016"/>
    <w:rsid w:val="00634097"/>
    <w:rsid w:val="006340DE"/>
    <w:rsid w:val="00635E20"/>
    <w:rsid w:val="006360A7"/>
    <w:rsid w:val="00636703"/>
    <w:rsid w:val="00636AF0"/>
    <w:rsid w:val="00636BA2"/>
    <w:rsid w:val="00637336"/>
    <w:rsid w:val="00637E34"/>
    <w:rsid w:val="006421CD"/>
    <w:rsid w:val="00642554"/>
    <w:rsid w:val="006425C8"/>
    <w:rsid w:val="006433A7"/>
    <w:rsid w:val="006433DC"/>
    <w:rsid w:val="00643F00"/>
    <w:rsid w:val="00643F30"/>
    <w:rsid w:val="00644206"/>
    <w:rsid w:val="00645410"/>
    <w:rsid w:val="00647A98"/>
    <w:rsid w:val="00647D76"/>
    <w:rsid w:val="006504D4"/>
    <w:rsid w:val="006534DC"/>
    <w:rsid w:val="00653C5B"/>
    <w:rsid w:val="00654A98"/>
    <w:rsid w:val="00655325"/>
    <w:rsid w:val="006553CE"/>
    <w:rsid w:val="00655A34"/>
    <w:rsid w:val="006564FA"/>
    <w:rsid w:val="006567C6"/>
    <w:rsid w:val="00657C98"/>
    <w:rsid w:val="00660B1C"/>
    <w:rsid w:val="00660CDF"/>
    <w:rsid w:val="006610D6"/>
    <w:rsid w:val="006618E5"/>
    <w:rsid w:val="00663255"/>
    <w:rsid w:val="006653E5"/>
    <w:rsid w:val="006660F8"/>
    <w:rsid w:val="006661C7"/>
    <w:rsid w:val="00666B39"/>
    <w:rsid w:val="00666F7F"/>
    <w:rsid w:val="00667216"/>
    <w:rsid w:val="006678AD"/>
    <w:rsid w:val="0067057F"/>
    <w:rsid w:val="00671717"/>
    <w:rsid w:val="006725AB"/>
    <w:rsid w:val="006742D3"/>
    <w:rsid w:val="00676053"/>
    <w:rsid w:val="0067619F"/>
    <w:rsid w:val="00676525"/>
    <w:rsid w:val="0067658F"/>
    <w:rsid w:val="00676BDE"/>
    <w:rsid w:val="00677947"/>
    <w:rsid w:val="0068078A"/>
    <w:rsid w:val="00680C92"/>
    <w:rsid w:val="006816D0"/>
    <w:rsid w:val="00682C4B"/>
    <w:rsid w:val="00682CE0"/>
    <w:rsid w:val="00683032"/>
    <w:rsid w:val="006838A9"/>
    <w:rsid w:val="00684F73"/>
    <w:rsid w:val="00686DD3"/>
    <w:rsid w:val="006879A8"/>
    <w:rsid w:val="00690DCA"/>
    <w:rsid w:val="00691998"/>
    <w:rsid w:val="006937F8"/>
    <w:rsid w:val="006944F8"/>
    <w:rsid w:val="006949A8"/>
    <w:rsid w:val="00695AFD"/>
    <w:rsid w:val="006965BB"/>
    <w:rsid w:val="0069690C"/>
    <w:rsid w:val="00696C5F"/>
    <w:rsid w:val="00697967"/>
    <w:rsid w:val="006A0A81"/>
    <w:rsid w:val="006A13AE"/>
    <w:rsid w:val="006A1DDE"/>
    <w:rsid w:val="006A3CC5"/>
    <w:rsid w:val="006A4036"/>
    <w:rsid w:val="006A44B1"/>
    <w:rsid w:val="006A46AE"/>
    <w:rsid w:val="006A55B8"/>
    <w:rsid w:val="006A5893"/>
    <w:rsid w:val="006A70E6"/>
    <w:rsid w:val="006A73F5"/>
    <w:rsid w:val="006A7765"/>
    <w:rsid w:val="006B0B5C"/>
    <w:rsid w:val="006B0D93"/>
    <w:rsid w:val="006B2182"/>
    <w:rsid w:val="006B228B"/>
    <w:rsid w:val="006B2BB8"/>
    <w:rsid w:val="006B2E90"/>
    <w:rsid w:val="006B310E"/>
    <w:rsid w:val="006B45A3"/>
    <w:rsid w:val="006B4FEB"/>
    <w:rsid w:val="006B55F5"/>
    <w:rsid w:val="006B5A79"/>
    <w:rsid w:val="006B5CA4"/>
    <w:rsid w:val="006B5F3A"/>
    <w:rsid w:val="006B5F4A"/>
    <w:rsid w:val="006B6376"/>
    <w:rsid w:val="006B6D63"/>
    <w:rsid w:val="006B7780"/>
    <w:rsid w:val="006B787B"/>
    <w:rsid w:val="006B7DA9"/>
    <w:rsid w:val="006C01FB"/>
    <w:rsid w:val="006C1CAD"/>
    <w:rsid w:val="006C1FF4"/>
    <w:rsid w:val="006C2522"/>
    <w:rsid w:val="006C2A12"/>
    <w:rsid w:val="006C3052"/>
    <w:rsid w:val="006C3BC5"/>
    <w:rsid w:val="006C537C"/>
    <w:rsid w:val="006C547C"/>
    <w:rsid w:val="006C57C4"/>
    <w:rsid w:val="006C5DC0"/>
    <w:rsid w:val="006D02A2"/>
    <w:rsid w:val="006D0AB1"/>
    <w:rsid w:val="006D1662"/>
    <w:rsid w:val="006D37AF"/>
    <w:rsid w:val="006D4D11"/>
    <w:rsid w:val="006D520D"/>
    <w:rsid w:val="006D5602"/>
    <w:rsid w:val="006E06DE"/>
    <w:rsid w:val="006E0A53"/>
    <w:rsid w:val="006E19AC"/>
    <w:rsid w:val="006E22EF"/>
    <w:rsid w:val="006E29F8"/>
    <w:rsid w:val="006E439B"/>
    <w:rsid w:val="006E5D42"/>
    <w:rsid w:val="006E5FC2"/>
    <w:rsid w:val="006E6A13"/>
    <w:rsid w:val="006E6B4E"/>
    <w:rsid w:val="006E6B6E"/>
    <w:rsid w:val="006E706E"/>
    <w:rsid w:val="006E7FED"/>
    <w:rsid w:val="006F0045"/>
    <w:rsid w:val="006F07A4"/>
    <w:rsid w:val="006F0872"/>
    <w:rsid w:val="006F110A"/>
    <w:rsid w:val="006F198B"/>
    <w:rsid w:val="006F2221"/>
    <w:rsid w:val="006F2D93"/>
    <w:rsid w:val="006F3156"/>
    <w:rsid w:val="006F3963"/>
    <w:rsid w:val="006F517F"/>
    <w:rsid w:val="006F6AC2"/>
    <w:rsid w:val="006F79DF"/>
    <w:rsid w:val="00702BFE"/>
    <w:rsid w:val="00704D89"/>
    <w:rsid w:val="00705376"/>
    <w:rsid w:val="007064AE"/>
    <w:rsid w:val="0070713F"/>
    <w:rsid w:val="007078E8"/>
    <w:rsid w:val="00710F19"/>
    <w:rsid w:val="0071159C"/>
    <w:rsid w:val="0071264F"/>
    <w:rsid w:val="00713380"/>
    <w:rsid w:val="00713E4F"/>
    <w:rsid w:val="0071560B"/>
    <w:rsid w:val="007159D9"/>
    <w:rsid w:val="00715DA1"/>
    <w:rsid w:val="00716078"/>
    <w:rsid w:val="00720F28"/>
    <w:rsid w:val="0072130B"/>
    <w:rsid w:val="00721A9D"/>
    <w:rsid w:val="00722D82"/>
    <w:rsid w:val="0072496D"/>
    <w:rsid w:val="007265D1"/>
    <w:rsid w:val="0072672B"/>
    <w:rsid w:val="00726B0E"/>
    <w:rsid w:val="0072758D"/>
    <w:rsid w:val="007275D5"/>
    <w:rsid w:val="007307D2"/>
    <w:rsid w:val="007331A7"/>
    <w:rsid w:val="007339CE"/>
    <w:rsid w:val="00734B03"/>
    <w:rsid w:val="00734B6A"/>
    <w:rsid w:val="0073692F"/>
    <w:rsid w:val="007379A3"/>
    <w:rsid w:val="007408F8"/>
    <w:rsid w:val="00742D4E"/>
    <w:rsid w:val="00743F9E"/>
    <w:rsid w:val="007459F9"/>
    <w:rsid w:val="00745CD8"/>
    <w:rsid w:val="00746A79"/>
    <w:rsid w:val="00746E92"/>
    <w:rsid w:val="00750D11"/>
    <w:rsid w:val="00753428"/>
    <w:rsid w:val="00753A00"/>
    <w:rsid w:val="00753F42"/>
    <w:rsid w:val="00754131"/>
    <w:rsid w:val="00754978"/>
    <w:rsid w:val="00754B21"/>
    <w:rsid w:val="007552E9"/>
    <w:rsid w:val="00756723"/>
    <w:rsid w:val="0075753F"/>
    <w:rsid w:val="007577A9"/>
    <w:rsid w:val="0075799C"/>
    <w:rsid w:val="007601DA"/>
    <w:rsid w:val="00763062"/>
    <w:rsid w:val="00765D16"/>
    <w:rsid w:val="00767949"/>
    <w:rsid w:val="007679AB"/>
    <w:rsid w:val="007679EC"/>
    <w:rsid w:val="00770478"/>
    <w:rsid w:val="00770665"/>
    <w:rsid w:val="007706CC"/>
    <w:rsid w:val="0077116C"/>
    <w:rsid w:val="00771890"/>
    <w:rsid w:val="00771C0E"/>
    <w:rsid w:val="0077339C"/>
    <w:rsid w:val="00773E7D"/>
    <w:rsid w:val="00773F0D"/>
    <w:rsid w:val="0077525E"/>
    <w:rsid w:val="00775734"/>
    <w:rsid w:val="00775824"/>
    <w:rsid w:val="00775841"/>
    <w:rsid w:val="0077658C"/>
    <w:rsid w:val="00777148"/>
    <w:rsid w:val="0077757C"/>
    <w:rsid w:val="007807D7"/>
    <w:rsid w:val="00780E85"/>
    <w:rsid w:val="00781AF1"/>
    <w:rsid w:val="007820D4"/>
    <w:rsid w:val="00783514"/>
    <w:rsid w:val="00784D05"/>
    <w:rsid w:val="00785270"/>
    <w:rsid w:val="007855E7"/>
    <w:rsid w:val="007856B2"/>
    <w:rsid w:val="00786847"/>
    <w:rsid w:val="00787ADE"/>
    <w:rsid w:val="00791B91"/>
    <w:rsid w:val="00792DA3"/>
    <w:rsid w:val="00793710"/>
    <w:rsid w:val="0079375E"/>
    <w:rsid w:val="00793CC1"/>
    <w:rsid w:val="00795547"/>
    <w:rsid w:val="00795735"/>
    <w:rsid w:val="00795E43"/>
    <w:rsid w:val="00796386"/>
    <w:rsid w:val="007963F7"/>
    <w:rsid w:val="007A04C2"/>
    <w:rsid w:val="007A1CC7"/>
    <w:rsid w:val="007A20DA"/>
    <w:rsid w:val="007A2420"/>
    <w:rsid w:val="007A431F"/>
    <w:rsid w:val="007A45C4"/>
    <w:rsid w:val="007A556F"/>
    <w:rsid w:val="007A6263"/>
    <w:rsid w:val="007A6268"/>
    <w:rsid w:val="007A678E"/>
    <w:rsid w:val="007B01BA"/>
    <w:rsid w:val="007B078B"/>
    <w:rsid w:val="007B0B08"/>
    <w:rsid w:val="007B0C38"/>
    <w:rsid w:val="007B10E5"/>
    <w:rsid w:val="007B185C"/>
    <w:rsid w:val="007B1C76"/>
    <w:rsid w:val="007B1FAD"/>
    <w:rsid w:val="007B2629"/>
    <w:rsid w:val="007B2B0A"/>
    <w:rsid w:val="007B2BB6"/>
    <w:rsid w:val="007B3840"/>
    <w:rsid w:val="007B45F8"/>
    <w:rsid w:val="007B5D7E"/>
    <w:rsid w:val="007B6F4C"/>
    <w:rsid w:val="007B7393"/>
    <w:rsid w:val="007B77BE"/>
    <w:rsid w:val="007B7C75"/>
    <w:rsid w:val="007C0180"/>
    <w:rsid w:val="007C1711"/>
    <w:rsid w:val="007C1BD8"/>
    <w:rsid w:val="007C213D"/>
    <w:rsid w:val="007C2832"/>
    <w:rsid w:val="007C44F7"/>
    <w:rsid w:val="007C48D8"/>
    <w:rsid w:val="007C519F"/>
    <w:rsid w:val="007C6883"/>
    <w:rsid w:val="007C7076"/>
    <w:rsid w:val="007D053E"/>
    <w:rsid w:val="007D0860"/>
    <w:rsid w:val="007D3859"/>
    <w:rsid w:val="007D4449"/>
    <w:rsid w:val="007D61AB"/>
    <w:rsid w:val="007D6346"/>
    <w:rsid w:val="007D64F1"/>
    <w:rsid w:val="007D74A5"/>
    <w:rsid w:val="007D7C35"/>
    <w:rsid w:val="007E1042"/>
    <w:rsid w:val="007E1B44"/>
    <w:rsid w:val="007E230A"/>
    <w:rsid w:val="007E3D24"/>
    <w:rsid w:val="007E4DA4"/>
    <w:rsid w:val="007E4E15"/>
    <w:rsid w:val="007E60A7"/>
    <w:rsid w:val="007E7339"/>
    <w:rsid w:val="007E7802"/>
    <w:rsid w:val="007E7AF6"/>
    <w:rsid w:val="007F09E6"/>
    <w:rsid w:val="007F1EA9"/>
    <w:rsid w:val="007F2294"/>
    <w:rsid w:val="007F23CB"/>
    <w:rsid w:val="007F3B85"/>
    <w:rsid w:val="007F4255"/>
    <w:rsid w:val="007F5C4A"/>
    <w:rsid w:val="007F67EA"/>
    <w:rsid w:val="007F6DBC"/>
    <w:rsid w:val="007F781C"/>
    <w:rsid w:val="007F7A05"/>
    <w:rsid w:val="00800A22"/>
    <w:rsid w:val="00800F4F"/>
    <w:rsid w:val="008011D6"/>
    <w:rsid w:val="0080160A"/>
    <w:rsid w:val="00801BF9"/>
    <w:rsid w:val="00802F60"/>
    <w:rsid w:val="0080365F"/>
    <w:rsid w:val="00804DDD"/>
    <w:rsid w:val="0080562D"/>
    <w:rsid w:val="00805D3C"/>
    <w:rsid w:val="00806473"/>
    <w:rsid w:val="00806935"/>
    <w:rsid w:val="00806950"/>
    <w:rsid w:val="00806C0F"/>
    <w:rsid w:val="00806C70"/>
    <w:rsid w:val="008077A1"/>
    <w:rsid w:val="00807C49"/>
    <w:rsid w:val="008115FF"/>
    <w:rsid w:val="008117D3"/>
    <w:rsid w:val="008123C5"/>
    <w:rsid w:val="008124AD"/>
    <w:rsid w:val="00814DDA"/>
    <w:rsid w:val="00816BAD"/>
    <w:rsid w:val="00820747"/>
    <w:rsid w:val="0082079C"/>
    <w:rsid w:val="008214AE"/>
    <w:rsid w:val="008223F6"/>
    <w:rsid w:val="00822948"/>
    <w:rsid w:val="00823C08"/>
    <w:rsid w:val="00825559"/>
    <w:rsid w:val="00826009"/>
    <w:rsid w:val="00826C76"/>
    <w:rsid w:val="00826CE6"/>
    <w:rsid w:val="00827DF6"/>
    <w:rsid w:val="0083217B"/>
    <w:rsid w:val="00834621"/>
    <w:rsid w:val="00834C4C"/>
    <w:rsid w:val="008352BD"/>
    <w:rsid w:val="008353DF"/>
    <w:rsid w:val="00835DFD"/>
    <w:rsid w:val="00837742"/>
    <w:rsid w:val="00842CC6"/>
    <w:rsid w:val="00843696"/>
    <w:rsid w:val="00843826"/>
    <w:rsid w:val="00843F6D"/>
    <w:rsid w:val="0084477D"/>
    <w:rsid w:val="00845DB8"/>
    <w:rsid w:val="008460C7"/>
    <w:rsid w:val="008468F7"/>
    <w:rsid w:val="00846F89"/>
    <w:rsid w:val="008474EA"/>
    <w:rsid w:val="0084775E"/>
    <w:rsid w:val="0085032F"/>
    <w:rsid w:val="00851651"/>
    <w:rsid w:val="00851767"/>
    <w:rsid w:val="00851D80"/>
    <w:rsid w:val="0085295A"/>
    <w:rsid w:val="0085412F"/>
    <w:rsid w:val="008542E8"/>
    <w:rsid w:val="00854405"/>
    <w:rsid w:val="00854698"/>
    <w:rsid w:val="008549FE"/>
    <w:rsid w:val="0085613A"/>
    <w:rsid w:val="008569B7"/>
    <w:rsid w:val="00857D24"/>
    <w:rsid w:val="0086052A"/>
    <w:rsid w:val="008610A7"/>
    <w:rsid w:val="00861539"/>
    <w:rsid w:val="00861C4F"/>
    <w:rsid w:val="00862C34"/>
    <w:rsid w:val="00863791"/>
    <w:rsid w:val="0086381B"/>
    <w:rsid w:val="00864261"/>
    <w:rsid w:val="00867BB7"/>
    <w:rsid w:val="00870112"/>
    <w:rsid w:val="00870678"/>
    <w:rsid w:val="00871C68"/>
    <w:rsid w:val="00874E95"/>
    <w:rsid w:val="00875964"/>
    <w:rsid w:val="00875BDD"/>
    <w:rsid w:val="00877DC4"/>
    <w:rsid w:val="00880A69"/>
    <w:rsid w:val="008821A1"/>
    <w:rsid w:val="0088224D"/>
    <w:rsid w:val="00882451"/>
    <w:rsid w:val="008828FB"/>
    <w:rsid w:val="00882CE0"/>
    <w:rsid w:val="00883A4E"/>
    <w:rsid w:val="00883ECC"/>
    <w:rsid w:val="0088470A"/>
    <w:rsid w:val="00885431"/>
    <w:rsid w:val="00886599"/>
    <w:rsid w:val="0088660A"/>
    <w:rsid w:val="008869D8"/>
    <w:rsid w:val="00886B15"/>
    <w:rsid w:val="00886DAC"/>
    <w:rsid w:val="008870EA"/>
    <w:rsid w:val="00887552"/>
    <w:rsid w:val="00887CF1"/>
    <w:rsid w:val="008901B9"/>
    <w:rsid w:val="00890F3E"/>
    <w:rsid w:val="0089106F"/>
    <w:rsid w:val="00891BD5"/>
    <w:rsid w:val="00892257"/>
    <w:rsid w:val="008925CE"/>
    <w:rsid w:val="0089265C"/>
    <w:rsid w:val="00893D84"/>
    <w:rsid w:val="0089421A"/>
    <w:rsid w:val="008955B9"/>
    <w:rsid w:val="00895B87"/>
    <w:rsid w:val="00896A8D"/>
    <w:rsid w:val="00896E82"/>
    <w:rsid w:val="00897D8D"/>
    <w:rsid w:val="008A1214"/>
    <w:rsid w:val="008A1533"/>
    <w:rsid w:val="008A1A1A"/>
    <w:rsid w:val="008A2C01"/>
    <w:rsid w:val="008A2C0B"/>
    <w:rsid w:val="008A2C3A"/>
    <w:rsid w:val="008A2F29"/>
    <w:rsid w:val="008A3843"/>
    <w:rsid w:val="008A65DD"/>
    <w:rsid w:val="008A6810"/>
    <w:rsid w:val="008A7219"/>
    <w:rsid w:val="008A7741"/>
    <w:rsid w:val="008B1830"/>
    <w:rsid w:val="008B1EC2"/>
    <w:rsid w:val="008B2715"/>
    <w:rsid w:val="008B451B"/>
    <w:rsid w:val="008B45AA"/>
    <w:rsid w:val="008B4CCA"/>
    <w:rsid w:val="008B6085"/>
    <w:rsid w:val="008B60D1"/>
    <w:rsid w:val="008B6265"/>
    <w:rsid w:val="008B7852"/>
    <w:rsid w:val="008C0E49"/>
    <w:rsid w:val="008C1380"/>
    <w:rsid w:val="008C2133"/>
    <w:rsid w:val="008C302E"/>
    <w:rsid w:val="008C30E3"/>
    <w:rsid w:val="008C50B7"/>
    <w:rsid w:val="008C631F"/>
    <w:rsid w:val="008C7191"/>
    <w:rsid w:val="008D0026"/>
    <w:rsid w:val="008D0158"/>
    <w:rsid w:val="008D184E"/>
    <w:rsid w:val="008D22B5"/>
    <w:rsid w:val="008D39EF"/>
    <w:rsid w:val="008D3B69"/>
    <w:rsid w:val="008D43BB"/>
    <w:rsid w:val="008D4CAB"/>
    <w:rsid w:val="008D53FE"/>
    <w:rsid w:val="008D620F"/>
    <w:rsid w:val="008D73E7"/>
    <w:rsid w:val="008E0C09"/>
    <w:rsid w:val="008E120F"/>
    <w:rsid w:val="008E2556"/>
    <w:rsid w:val="008E379F"/>
    <w:rsid w:val="008E436E"/>
    <w:rsid w:val="008E45F5"/>
    <w:rsid w:val="008E6048"/>
    <w:rsid w:val="008F00FD"/>
    <w:rsid w:val="008F0A10"/>
    <w:rsid w:val="008F1189"/>
    <w:rsid w:val="008F1548"/>
    <w:rsid w:val="008F1676"/>
    <w:rsid w:val="008F1E49"/>
    <w:rsid w:val="008F2698"/>
    <w:rsid w:val="008F380F"/>
    <w:rsid w:val="008F3E59"/>
    <w:rsid w:val="008F4E44"/>
    <w:rsid w:val="008F5426"/>
    <w:rsid w:val="008F58C7"/>
    <w:rsid w:val="008F5A9E"/>
    <w:rsid w:val="008F6308"/>
    <w:rsid w:val="008F64A2"/>
    <w:rsid w:val="008F6F0D"/>
    <w:rsid w:val="00900720"/>
    <w:rsid w:val="00900B56"/>
    <w:rsid w:val="00901034"/>
    <w:rsid w:val="00901CF2"/>
    <w:rsid w:val="0090212C"/>
    <w:rsid w:val="00902297"/>
    <w:rsid w:val="009051AA"/>
    <w:rsid w:val="009057D4"/>
    <w:rsid w:val="0090595D"/>
    <w:rsid w:val="00911699"/>
    <w:rsid w:val="00911C3F"/>
    <w:rsid w:val="00914696"/>
    <w:rsid w:val="009150F2"/>
    <w:rsid w:val="00915EBC"/>
    <w:rsid w:val="00916254"/>
    <w:rsid w:val="00917351"/>
    <w:rsid w:val="00917C60"/>
    <w:rsid w:val="00920085"/>
    <w:rsid w:val="00920827"/>
    <w:rsid w:val="00920B4F"/>
    <w:rsid w:val="0092254A"/>
    <w:rsid w:val="00923384"/>
    <w:rsid w:val="00924976"/>
    <w:rsid w:val="00925B72"/>
    <w:rsid w:val="009261B2"/>
    <w:rsid w:val="00926458"/>
    <w:rsid w:val="00927739"/>
    <w:rsid w:val="00930961"/>
    <w:rsid w:val="00931CDE"/>
    <w:rsid w:val="00931D3F"/>
    <w:rsid w:val="00932425"/>
    <w:rsid w:val="009324E0"/>
    <w:rsid w:val="00932CB6"/>
    <w:rsid w:val="00933791"/>
    <w:rsid w:val="009338F2"/>
    <w:rsid w:val="00933FAF"/>
    <w:rsid w:val="0093401C"/>
    <w:rsid w:val="00934302"/>
    <w:rsid w:val="00934CBB"/>
    <w:rsid w:val="00937399"/>
    <w:rsid w:val="00940F51"/>
    <w:rsid w:val="00941777"/>
    <w:rsid w:val="00941AC2"/>
    <w:rsid w:val="00943B4C"/>
    <w:rsid w:val="00943ED0"/>
    <w:rsid w:val="0094405B"/>
    <w:rsid w:val="0094519B"/>
    <w:rsid w:val="0094538E"/>
    <w:rsid w:val="00945998"/>
    <w:rsid w:val="00950992"/>
    <w:rsid w:val="0095120C"/>
    <w:rsid w:val="00951681"/>
    <w:rsid w:val="009528B8"/>
    <w:rsid w:val="00952F38"/>
    <w:rsid w:val="00952FC0"/>
    <w:rsid w:val="00953233"/>
    <w:rsid w:val="009548E4"/>
    <w:rsid w:val="0095581C"/>
    <w:rsid w:val="00957819"/>
    <w:rsid w:val="00960686"/>
    <w:rsid w:val="009606DA"/>
    <w:rsid w:val="0096094E"/>
    <w:rsid w:val="00960A39"/>
    <w:rsid w:val="00960E98"/>
    <w:rsid w:val="00961EE2"/>
    <w:rsid w:val="009633C3"/>
    <w:rsid w:val="00963CD6"/>
    <w:rsid w:val="00963FBC"/>
    <w:rsid w:val="009640C6"/>
    <w:rsid w:val="00964E1F"/>
    <w:rsid w:val="00965157"/>
    <w:rsid w:val="0096555C"/>
    <w:rsid w:val="009656B4"/>
    <w:rsid w:val="009669F6"/>
    <w:rsid w:val="009673A2"/>
    <w:rsid w:val="009723D4"/>
    <w:rsid w:val="009752A3"/>
    <w:rsid w:val="009753A8"/>
    <w:rsid w:val="00976ADB"/>
    <w:rsid w:val="00976DA8"/>
    <w:rsid w:val="00976DB6"/>
    <w:rsid w:val="00977936"/>
    <w:rsid w:val="00977BFB"/>
    <w:rsid w:val="00980D04"/>
    <w:rsid w:val="00981737"/>
    <w:rsid w:val="00981FB1"/>
    <w:rsid w:val="0098455E"/>
    <w:rsid w:val="00984A80"/>
    <w:rsid w:val="00984B5B"/>
    <w:rsid w:val="0098557B"/>
    <w:rsid w:val="00986C2A"/>
    <w:rsid w:val="009872CC"/>
    <w:rsid w:val="00987BE3"/>
    <w:rsid w:val="00991D83"/>
    <w:rsid w:val="00992A05"/>
    <w:rsid w:val="00992E72"/>
    <w:rsid w:val="00992E78"/>
    <w:rsid w:val="00993523"/>
    <w:rsid w:val="009945BE"/>
    <w:rsid w:val="00994D6D"/>
    <w:rsid w:val="00994E85"/>
    <w:rsid w:val="00995271"/>
    <w:rsid w:val="009953BB"/>
    <w:rsid w:val="00995FF9"/>
    <w:rsid w:val="00996552"/>
    <w:rsid w:val="009A0673"/>
    <w:rsid w:val="009A0EC0"/>
    <w:rsid w:val="009A1576"/>
    <w:rsid w:val="009A397F"/>
    <w:rsid w:val="009A39BE"/>
    <w:rsid w:val="009A4E2D"/>
    <w:rsid w:val="009A65C2"/>
    <w:rsid w:val="009B0A69"/>
    <w:rsid w:val="009B306E"/>
    <w:rsid w:val="009B3209"/>
    <w:rsid w:val="009B3D3B"/>
    <w:rsid w:val="009B4136"/>
    <w:rsid w:val="009B4ECA"/>
    <w:rsid w:val="009B6DCF"/>
    <w:rsid w:val="009B7CFE"/>
    <w:rsid w:val="009C20D9"/>
    <w:rsid w:val="009C2639"/>
    <w:rsid w:val="009C28C5"/>
    <w:rsid w:val="009C2F17"/>
    <w:rsid w:val="009C3766"/>
    <w:rsid w:val="009C4D1A"/>
    <w:rsid w:val="009C6603"/>
    <w:rsid w:val="009C6D4A"/>
    <w:rsid w:val="009D06C4"/>
    <w:rsid w:val="009D090E"/>
    <w:rsid w:val="009D1171"/>
    <w:rsid w:val="009D1DC2"/>
    <w:rsid w:val="009D2918"/>
    <w:rsid w:val="009D2AC6"/>
    <w:rsid w:val="009D3823"/>
    <w:rsid w:val="009D4009"/>
    <w:rsid w:val="009D4FF6"/>
    <w:rsid w:val="009D5BAB"/>
    <w:rsid w:val="009E0267"/>
    <w:rsid w:val="009E20CF"/>
    <w:rsid w:val="009E2219"/>
    <w:rsid w:val="009E2F11"/>
    <w:rsid w:val="009E4020"/>
    <w:rsid w:val="009E4AAC"/>
    <w:rsid w:val="009E535A"/>
    <w:rsid w:val="009E5FFA"/>
    <w:rsid w:val="009E6FD5"/>
    <w:rsid w:val="009F0181"/>
    <w:rsid w:val="009F0835"/>
    <w:rsid w:val="009F0C2E"/>
    <w:rsid w:val="009F0D52"/>
    <w:rsid w:val="009F0E31"/>
    <w:rsid w:val="009F1F1B"/>
    <w:rsid w:val="009F223B"/>
    <w:rsid w:val="009F320A"/>
    <w:rsid w:val="009F3401"/>
    <w:rsid w:val="009F3E6B"/>
    <w:rsid w:val="009F47A6"/>
    <w:rsid w:val="009F4F07"/>
    <w:rsid w:val="009F5C35"/>
    <w:rsid w:val="009F6192"/>
    <w:rsid w:val="009F6317"/>
    <w:rsid w:val="009F6D5D"/>
    <w:rsid w:val="009F7404"/>
    <w:rsid w:val="009F78FB"/>
    <w:rsid w:val="00A003DC"/>
    <w:rsid w:val="00A0069D"/>
    <w:rsid w:val="00A01038"/>
    <w:rsid w:val="00A025A4"/>
    <w:rsid w:val="00A03811"/>
    <w:rsid w:val="00A0385C"/>
    <w:rsid w:val="00A05F66"/>
    <w:rsid w:val="00A060FA"/>
    <w:rsid w:val="00A0629B"/>
    <w:rsid w:val="00A06947"/>
    <w:rsid w:val="00A07B1B"/>
    <w:rsid w:val="00A10357"/>
    <w:rsid w:val="00A10CFE"/>
    <w:rsid w:val="00A12D4A"/>
    <w:rsid w:val="00A13366"/>
    <w:rsid w:val="00A14388"/>
    <w:rsid w:val="00A14610"/>
    <w:rsid w:val="00A14B4A"/>
    <w:rsid w:val="00A14E24"/>
    <w:rsid w:val="00A15A61"/>
    <w:rsid w:val="00A15ADE"/>
    <w:rsid w:val="00A16F2F"/>
    <w:rsid w:val="00A1772B"/>
    <w:rsid w:val="00A1791C"/>
    <w:rsid w:val="00A20192"/>
    <w:rsid w:val="00A205C0"/>
    <w:rsid w:val="00A20BA8"/>
    <w:rsid w:val="00A21C39"/>
    <w:rsid w:val="00A2313B"/>
    <w:rsid w:val="00A23389"/>
    <w:rsid w:val="00A23EE2"/>
    <w:rsid w:val="00A24FAD"/>
    <w:rsid w:val="00A25958"/>
    <w:rsid w:val="00A25F49"/>
    <w:rsid w:val="00A260FA"/>
    <w:rsid w:val="00A266E1"/>
    <w:rsid w:val="00A26840"/>
    <w:rsid w:val="00A2760E"/>
    <w:rsid w:val="00A27B69"/>
    <w:rsid w:val="00A300A3"/>
    <w:rsid w:val="00A31A1D"/>
    <w:rsid w:val="00A31C67"/>
    <w:rsid w:val="00A31C8C"/>
    <w:rsid w:val="00A33B4C"/>
    <w:rsid w:val="00A34125"/>
    <w:rsid w:val="00A35319"/>
    <w:rsid w:val="00A360A2"/>
    <w:rsid w:val="00A366AA"/>
    <w:rsid w:val="00A37273"/>
    <w:rsid w:val="00A37EB4"/>
    <w:rsid w:val="00A400FC"/>
    <w:rsid w:val="00A40650"/>
    <w:rsid w:val="00A41766"/>
    <w:rsid w:val="00A4200D"/>
    <w:rsid w:val="00A4215B"/>
    <w:rsid w:val="00A42763"/>
    <w:rsid w:val="00A4278A"/>
    <w:rsid w:val="00A4291F"/>
    <w:rsid w:val="00A435C2"/>
    <w:rsid w:val="00A43B61"/>
    <w:rsid w:val="00A43E95"/>
    <w:rsid w:val="00A445DB"/>
    <w:rsid w:val="00A4470F"/>
    <w:rsid w:val="00A448E9"/>
    <w:rsid w:val="00A44BC5"/>
    <w:rsid w:val="00A455A0"/>
    <w:rsid w:val="00A46090"/>
    <w:rsid w:val="00A46E92"/>
    <w:rsid w:val="00A47662"/>
    <w:rsid w:val="00A47A10"/>
    <w:rsid w:val="00A47CEC"/>
    <w:rsid w:val="00A5095F"/>
    <w:rsid w:val="00A50B80"/>
    <w:rsid w:val="00A51743"/>
    <w:rsid w:val="00A51B29"/>
    <w:rsid w:val="00A521A0"/>
    <w:rsid w:val="00A53497"/>
    <w:rsid w:val="00A53E3B"/>
    <w:rsid w:val="00A54A3C"/>
    <w:rsid w:val="00A54E94"/>
    <w:rsid w:val="00A55ED4"/>
    <w:rsid w:val="00A5644E"/>
    <w:rsid w:val="00A56883"/>
    <w:rsid w:val="00A569A6"/>
    <w:rsid w:val="00A57051"/>
    <w:rsid w:val="00A57768"/>
    <w:rsid w:val="00A578F9"/>
    <w:rsid w:val="00A57D5B"/>
    <w:rsid w:val="00A6117A"/>
    <w:rsid w:val="00A6136B"/>
    <w:rsid w:val="00A61D1C"/>
    <w:rsid w:val="00A62007"/>
    <w:rsid w:val="00A626D7"/>
    <w:rsid w:val="00A645E4"/>
    <w:rsid w:val="00A648DA"/>
    <w:rsid w:val="00A66D3C"/>
    <w:rsid w:val="00A672AC"/>
    <w:rsid w:val="00A703AD"/>
    <w:rsid w:val="00A709E6"/>
    <w:rsid w:val="00A70F1A"/>
    <w:rsid w:val="00A71393"/>
    <w:rsid w:val="00A71CF9"/>
    <w:rsid w:val="00A73071"/>
    <w:rsid w:val="00A74E8B"/>
    <w:rsid w:val="00A75F13"/>
    <w:rsid w:val="00A8125A"/>
    <w:rsid w:val="00A820D0"/>
    <w:rsid w:val="00A830AE"/>
    <w:rsid w:val="00A842AB"/>
    <w:rsid w:val="00A84A17"/>
    <w:rsid w:val="00A84ECA"/>
    <w:rsid w:val="00A86184"/>
    <w:rsid w:val="00A8643D"/>
    <w:rsid w:val="00A867D3"/>
    <w:rsid w:val="00A87283"/>
    <w:rsid w:val="00A87668"/>
    <w:rsid w:val="00A907D8"/>
    <w:rsid w:val="00A90BC1"/>
    <w:rsid w:val="00A90CB6"/>
    <w:rsid w:val="00A915D2"/>
    <w:rsid w:val="00A91632"/>
    <w:rsid w:val="00A9378E"/>
    <w:rsid w:val="00A94875"/>
    <w:rsid w:val="00A954B1"/>
    <w:rsid w:val="00A95631"/>
    <w:rsid w:val="00A96A69"/>
    <w:rsid w:val="00A96F57"/>
    <w:rsid w:val="00A97E3F"/>
    <w:rsid w:val="00AA06E0"/>
    <w:rsid w:val="00AA0929"/>
    <w:rsid w:val="00AA0BF1"/>
    <w:rsid w:val="00AA29D3"/>
    <w:rsid w:val="00AA3546"/>
    <w:rsid w:val="00AA40A9"/>
    <w:rsid w:val="00AA6C75"/>
    <w:rsid w:val="00AB44A5"/>
    <w:rsid w:val="00AB50A6"/>
    <w:rsid w:val="00AB521E"/>
    <w:rsid w:val="00AB567D"/>
    <w:rsid w:val="00AB73D3"/>
    <w:rsid w:val="00AC19CB"/>
    <w:rsid w:val="00AC1A58"/>
    <w:rsid w:val="00AC1DC5"/>
    <w:rsid w:val="00AC3158"/>
    <w:rsid w:val="00AC3FB7"/>
    <w:rsid w:val="00AC4B35"/>
    <w:rsid w:val="00AC4C00"/>
    <w:rsid w:val="00AC50DE"/>
    <w:rsid w:val="00AC542A"/>
    <w:rsid w:val="00AC6B11"/>
    <w:rsid w:val="00AC7010"/>
    <w:rsid w:val="00AD0B14"/>
    <w:rsid w:val="00AD30A7"/>
    <w:rsid w:val="00AD3A79"/>
    <w:rsid w:val="00AD42F9"/>
    <w:rsid w:val="00AD440F"/>
    <w:rsid w:val="00AD490C"/>
    <w:rsid w:val="00AD4B55"/>
    <w:rsid w:val="00AD5110"/>
    <w:rsid w:val="00AD5B20"/>
    <w:rsid w:val="00AD5B9B"/>
    <w:rsid w:val="00AD5BD0"/>
    <w:rsid w:val="00AD63FC"/>
    <w:rsid w:val="00AD6561"/>
    <w:rsid w:val="00AE04A9"/>
    <w:rsid w:val="00AE106F"/>
    <w:rsid w:val="00AE1F0A"/>
    <w:rsid w:val="00AE21AD"/>
    <w:rsid w:val="00AE2CAA"/>
    <w:rsid w:val="00AE3383"/>
    <w:rsid w:val="00AE4627"/>
    <w:rsid w:val="00AE494C"/>
    <w:rsid w:val="00AE55D9"/>
    <w:rsid w:val="00AE684B"/>
    <w:rsid w:val="00AE6B51"/>
    <w:rsid w:val="00AE6C76"/>
    <w:rsid w:val="00AF29B6"/>
    <w:rsid w:val="00AF29CF"/>
    <w:rsid w:val="00AF35D9"/>
    <w:rsid w:val="00AF3F5C"/>
    <w:rsid w:val="00AF6AAA"/>
    <w:rsid w:val="00AF76DA"/>
    <w:rsid w:val="00AF7743"/>
    <w:rsid w:val="00AF78B4"/>
    <w:rsid w:val="00B00643"/>
    <w:rsid w:val="00B00975"/>
    <w:rsid w:val="00B01193"/>
    <w:rsid w:val="00B018B9"/>
    <w:rsid w:val="00B01E21"/>
    <w:rsid w:val="00B028E5"/>
    <w:rsid w:val="00B03B9F"/>
    <w:rsid w:val="00B0441E"/>
    <w:rsid w:val="00B052EE"/>
    <w:rsid w:val="00B0550E"/>
    <w:rsid w:val="00B05739"/>
    <w:rsid w:val="00B05BBD"/>
    <w:rsid w:val="00B06D0A"/>
    <w:rsid w:val="00B11AF4"/>
    <w:rsid w:val="00B12641"/>
    <w:rsid w:val="00B12C75"/>
    <w:rsid w:val="00B1396D"/>
    <w:rsid w:val="00B14982"/>
    <w:rsid w:val="00B157C8"/>
    <w:rsid w:val="00B16F5C"/>
    <w:rsid w:val="00B17FAF"/>
    <w:rsid w:val="00B225E8"/>
    <w:rsid w:val="00B23862"/>
    <w:rsid w:val="00B25E89"/>
    <w:rsid w:val="00B26AB5"/>
    <w:rsid w:val="00B27359"/>
    <w:rsid w:val="00B27A22"/>
    <w:rsid w:val="00B300C1"/>
    <w:rsid w:val="00B302F7"/>
    <w:rsid w:val="00B31949"/>
    <w:rsid w:val="00B33533"/>
    <w:rsid w:val="00B33BBA"/>
    <w:rsid w:val="00B34CEA"/>
    <w:rsid w:val="00B352A9"/>
    <w:rsid w:val="00B35D78"/>
    <w:rsid w:val="00B36C93"/>
    <w:rsid w:val="00B36E65"/>
    <w:rsid w:val="00B37743"/>
    <w:rsid w:val="00B411FB"/>
    <w:rsid w:val="00B4140F"/>
    <w:rsid w:val="00B427A8"/>
    <w:rsid w:val="00B44BFF"/>
    <w:rsid w:val="00B46B7F"/>
    <w:rsid w:val="00B47CFF"/>
    <w:rsid w:val="00B50D2B"/>
    <w:rsid w:val="00B50EE3"/>
    <w:rsid w:val="00B51623"/>
    <w:rsid w:val="00B51BE4"/>
    <w:rsid w:val="00B52B82"/>
    <w:rsid w:val="00B53714"/>
    <w:rsid w:val="00B53EA4"/>
    <w:rsid w:val="00B54C7D"/>
    <w:rsid w:val="00B55D28"/>
    <w:rsid w:val="00B5682F"/>
    <w:rsid w:val="00B60A2E"/>
    <w:rsid w:val="00B61A21"/>
    <w:rsid w:val="00B61BA2"/>
    <w:rsid w:val="00B61E8A"/>
    <w:rsid w:val="00B6252A"/>
    <w:rsid w:val="00B638C4"/>
    <w:rsid w:val="00B63D4F"/>
    <w:rsid w:val="00B64705"/>
    <w:rsid w:val="00B65B2B"/>
    <w:rsid w:val="00B70497"/>
    <w:rsid w:val="00B70C68"/>
    <w:rsid w:val="00B71CDE"/>
    <w:rsid w:val="00B72A2A"/>
    <w:rsid w:val="00B731CD"/>
    <w:rsid w:val="00B73200"/>
    <w:rsid w:val="00B7322F"/>
    <w:rsid w:val="00B73413"/>
    <w:rsid w:val="00B744CF"/>
    <w:rsid w:val="00B75D52"/>
    <w:rsid w:val="00B76116"/>
    <w:rsid w:val="00B76AB0"/>
    <w:rsid w:val="00B77154"/>
    <w:rsid w:val="00B778E1"/>
    <w:rsid w:val="00B80B86"/>
    <w:rsid w:val="00B80C45"/>
    <w:rsid w:val="00B8195E"/>
    <w:rsid w:val="00B81E87"/>
    <w:rsid w:val="00B828D2"/>
    <w:rsid w:val="00B8319A"/>
    <w:rsid w:val="00B83230"/>
    <w:rsid w:val="00B84EE8"/>
    <w:rsid w:val="00B8567E"/>
    <w:rsid w:val="00B8675E"/>
    <w:rsid w:val="00B86F74"/>
    <w:rsid w:val="00B87178"/>
    <w:rsid w:val="00B87F55"/>
    <w:rsid w:val="00B901CC"/>
    <w:rsid w:val="00B90BF4"/>
    <w:rsid w:val="00B90D9A"/>
    <w:rsid w:val="00B94769"/>
    <w:rsid w:val="00B953CF"/>
    <w:rsid w:val="00B95C32"/>
    <w:rsid w:val="00B96146"/>
    <w:rsid w:val="00B962CC"/>
    <w:rsid w:val="00B96370"/>
    <w:rsid w:val="00B96A73"/>
    <w:rsid w:val="00B9768B"/>
    <w:rsid w:val="00B979C9"/>
    <w:rsid w:val="00B97EAB"/>
    <w:rsid w:val="00BA02B2"/>
    <w:rsid w:val="00BA08AF"/>
    <w:rsid w:val="00BA096E"/>
    <w:rsid w:val="00BA0994"/>
    <w:rsid w:val="00BA09B0"/>
    <w:rsid w:val="00BA0BE0"/>
    <w:rsid w:val="00BA0DBF"/>
    <w:rsid w:val="00BA0F4D"/>
    <w:rsid w:val="00BA2A86"/>
    <w:rsid w:val="00BA330C"/>
    <w:rsid w:val="00BA38EC"/>
    <w:rsid w:val="00BA4ECC"/>
    <w:rsid w:val="00BA61AB"/>
    <w:rsid w:val="00BA713C"/>
    <w:rsid w:val="00BA72B6"/>
    <w:rsid w:val="00BA786B"/>
    <w:rsid w:val="00BB1608"/>
    <w:rsid w:val="00BB1673"/>
    <w:rsid w:val="00BB1A24"/>
    <w:rsid w:val="00BB20F7"/>
    <w:rsid w:val="00BB2216"/>
    <w:rsid w:val="00BB2441"/>
    <w:rsid w:val="00BB27C2"/>
    <w:rsid w:val="00BB27CA"/>
    <w:rsid w:val="00BB4C2B"/>
    <w:rsid w:val="00BB507A"/>
    <w:rsid w:val="00BB5C05"/>
    <w:rsid w:val="00BB609D"/>
    <w:rsid w:val="00BB6561"/>
    <w:rsid w:val="00BB7866"/>
    <w:rsid w:val="00BB7C7A"/>
    <w:rsid w:val="00BC0A08"/>
    <w:rsid w:val="00BC0EFD"/>
    <w:rsid w:val="00BC12EB"/>
    <w:rsid w:val="00BC20DF"/>
    <w:rsid w:val="00BC2835"/>
    <w:rsid w:val="00BC2B73"/>
    <w:rsid w:val="00BC3EAD"/>
    <w:rsid w:val="00BC5767"/>
    <w:rsid w:val="00BC58A6"/>
    <w:rsid w:val="00BC5DFC"/>
    <w:rsid w:val="00BC5F1B"/>
    <w:rsid w:val="00BC63A8"/>
    <w:rsid w:val="00BC79A8"/>
    <w:rsid w:val="00BC7FDB"/>
    <w:rsid w:val="00BD0B83"/>
    <w:rsid w:val="00BD1378"/>
    <w:rsid w:val="00BD3BD1"/>
    <w:rsid w:val="00BD67D4"/>
    <w:rsid w:val="00BD7126"/>
    <w:rsid w:val="00BD7E1A"/>
    <w:rsid w:val="00BE0148"/>
    <w:rsid w:val="00BE0E1C"/>
    <w:rsid w:val="00BE1751"/>
    <w:rsid w:val="00BE2644"/>
    <w:rsid w:val="00BE2BBB"/>
    <w:rsid w:val="00BE2F68"/>
    <w:rsid w:val="00BE3030"/>
    <w:rsid w:val="00BE36D2"/>
    <w:rsid w:val="00BE5DB8"/>
    <w:rsid w:val="00BE7988"/>
    <w:rsid w:val="00BE7E0A"/>
    <w:rsid w:val="00BF030E"/>
    <w:rsid w:val="00BF08DF"/>
    <w:rsid w:val="00BF0DA0"/>
    <w:rsid w:val="00BF1067"/>
    <w:rsid w:val="00BF3632"/>
    <w:rsid w:val="00BF382B"/>
    <w:rsid w:val="00BF4201"/>
    <w:rsid w:val="00BF4969"/>
    <w:rsid w:val="00BF54CA"/>
    <w:rsid w:val="00BF6AEF"/>
    <w:rsid w:val="00BF7779"/>
    <w:rsid w:val="00BF79C7"/>
    <w:rsid w:val="00BF79E2"/>
    <w:rsid w:val="00BF7BCB"/>
    <w:rsid w:val="00C01047"/>
    <w:rsid w:val="00C010A9"/>
    <w:rsid w:val="00C01815"/>
    <w:rsid w:val="00C02718"/>
    <w:rsid w:val="00C029AD"/>
    <w:rsid w:val="00C02FCB"/>
    <w:rsid w:val="00C040AD"/>
    <w:rsid w:val="00C04492"/>
    <w:rsid w:val="00C046A8"/>
    <w:rsid w:val="00C04790"/>
    <w:rsid w:val="00C04AD1"/>
    <w:rsid w:val="00C04E79"/>
    <w:rsid w:val="00C07A04"/>
    <w:rsid w:val="00C107C2"/>
    <w:rsid w:val="00C120F5"/>
    <w:rsid w:val="00C12136"/>
    <w:rsid w:val="00C12AF0"/>
    <w:rsid w:val="00C13E08"/>
    <w:rsid w:val="00C1421E"/>
    <w:rsid w:val="00C15190"/>
    <w:rsid w:val="00C1522F"/>
    <w:rsid w:val="00C15288"/>
    <w:rsid w:val="00C1541A"/>
    <w:rsid w:val="00C171F9"/>
    <w:rsid w:val="00C20319"/>
    <w:rsid w:val="00C20637"/>
    <w:rsid w:val="00C20CC2"/>
    <w:rsid w:val="00C22237"/>
    <w:rsid w:val="00C22354"/>
    <w:rsid w:val="00C2256E"/>
    <w:rsid w:val="00C22837"/>
    <w:rsid w:val="00C23391"/>
    <w:rsid w:val="00C23E3F"/>
    <w:rsid w:val="00C25AD0"/>
    <w:rsid w:val="00C27CDF"/>
    <w:rsid w:val="00C312FB"/>
    <w:rsid w:val="00C31E51"/>
    <w:rsid w:val="00C338E3"/>
    <w:rsid w:val="00C33A40"/>
    <w:rsid w:val="00C33C5C"/>
    <w:rsid w:val="00C34975"/>
    <w:rsid w:val="00C36096"/>
    <w:rsid w:val="00C37105"/>
    <w:rsid w:val="00C40067"/>
    <w:rsid w:val="00C40175"/>
    <w:rsid w:val="00C413A4"/>
    <w:rsid w:val="00C41433"/>
    <w:rsid w:val="00C418E5"/>
    <w:rsid w:val="00C443B5"/>
    <w:rsid w:val="00C46E14"/>
    <w:rsid w:val="00C512BC"/>
    <w:rsid w:val="00C52670"/>
    <w:rsid w:val="00C535A5"/>
    <w:rsid w:val="00C55A9C"/>
    <w:rsid w:val="00C563E3"/>
    <w:rsid w:val="00C56C6B"/>
    <w:rsid w:val="00C57970"/>
    <w:rsid w:val="00C57A53"/>
    <w:rsid w:val="00C60CFC"/>
    <w:rsid w:val="00C61ED3"/>
    <w:rsid w:val="00C62EEB"/>
    <w:rsid w:val="00C634F2"/>
    <w:rsid w:val="00C63DA9"/>
    <w:rsid w:val="00C64BDE"/>
    <w:rsid w:val="00C65C25"/>
    <w:rsid w:val="00C666C1"/>
    <w:rsid w:val="00C7058D"/>
    <w:rsid w:val="00C70AB5"/>
    <w:rsid w:val="00C70AF3"/>
    <w:rsid w:val="00C70FEC"/>
    <w:rsid w:val="00C71184"/>
    <w:rsid w:val="00C72357"/>
    <w:rsid w:val="00C72643"/>
    <w:rsid w:val="00C73844"/>
    <w:rsid w:val="00C742AE"/>
    <w:rsid w:val="00C7503F"/>
    <w:rsid w:val="00C7614B"/>
    <w:rsid w:val="00C7693A"/>
    <w:rsid w:val="00C76D03"/>
    <w:rsid w:val="00C77427"/>
    <w:rsid w:val="00C77769"/>
    <w:rsid w:val="00C807F0"/>
    <w:rsid w:val="00C8080B"/>
    <w:rsid w:val="00C80914"/>
    <w:rsid w:val="00C82DE5"/>
    <w:rsid w:val="00C856A6"/>
    <w:rsid w:val="00C857A7"/>
    <w:rsid w:val="00C85F5B"/>
    <w:rsid w:val="00C86F1B"/>
    <w:rsid w:val="00C87F20"/>
    <w:rsid w:val="00C92043"/>
    <w:rsid w:val="00C93347"/>
    <w:rsid w:val="00C94061"/>
    <w:rsid w:val="00C95497"/>
    <w:rsid w:val="00C957E4"/>
    <w:rsid w:val="00C9637F"/>
    <w:rsid w:val="00C97A1E"/>
    <w:rsid w:val="00CA180E"/>
    <w:rsid w:val="00CA1931"/>
    <w:rsid w:val="00CA1C31"/>
    <w:rsid w:val="00CA298F"/>
    <w:rsid w:val="00CA2B16"/>
    <w:rsid w:val="00CA2D85"/>
    <w:rsid w:val="00CA2FD2"/>
    <w:rsid w:val="00CA518F"/>
    <w:rsid w:val="00CA5A57"/>
    <w:rsid w:val="00CA5D94"/>
    <w:rsid w:val="00CB05D7"/>
    <w:rsid w:val="00CB0D5B"/>
    <w:rsid w:val="00CB14DA"/>
    <w:rsid w:val="00CB353C"/>
    <w:rsid w:val="00CB3871"/>
    <w:rsid w:val="00CB3D15"/>
    <w:rsid w:val="00CB4D7D"/>
    <w:rsid w:val="00CB53E1"/>
    <w:rsid w:val="00CB5887"/>
    <w:rsid w:val="00CB632D"/>
    <w:rsid w:val="00CB6946"/>
    <w:rsid w:val="00CB6CB5"/>
    <w:rsid w:val="00CB7773"/>
    <w:rsid w:val="00CC08C3"/>
    <w:rsid w:val="00CC1532"/>
    <w:rsid w:val="00CC199C"/>
    <w:rsid w:val="00CC1E30"/>
    <w:rsid w:val="00CC2D79"/>
    <w:rsid w:val="00CC4C3D"/>
    <w:rsid w:val="00CC7D95"/>
    <w:rsid w:val="00CD000E"/>
    <w:rsid w:val="00CD044C"/>
    <w:rsid w:val="00CD0B78"/>
    <w:rsid w:val="00CD267A"/>
    <w:rsid w:val="00CD2E73"/>
    <w:rsid w:val="00CD2F5A"/>
    <w:rsid w:val="00CD457B"/>
    <w:rsid w:val="00CD460D"/>
    <w:rsid w:val="00CD6B9C"/>
    <w:rsid w:val="00CE1118"/>
    <w:rsid w:val="00CE2E7C"/>
    <w:rsid w:val="00CE412D"/>
    <w:rsid w:val="00CE720B"/>
    <w:rsid w:val="00CE7B20"/>
    <w:rsid w:val="00CF01E4"/>
    <w:rsid w:val="00CF05A5"/>
    <w:rsid w:val="00CF30D6"/>
    <w:rsid w:val="00CF4005"/>
    <w:rsid w:val="00CF4455"/>
    <w:rsid w:val="00CF55D8"/>
    <w:rsid w:val="00CF5A8A"/>
    <w:rsid w:val="00CF5A91"/>
    <w:rsid w:val="00CF6822"/>
    <w:rsid w:val="00CF7490"/>
    <w:rsid w:val="00CF7D1D"/>
    <w:rsid w:val="00D006F1"/>
    <w:rsid w:val="00D02C78"/>
    <w:rsid w:val="00D02E97"/>
    <w:rsid w:val="00D0343C"/>
    <w:rsid w:val="00D03C38"/>
    <w:rsid w:val="00D03CA9"/>
    <w:rsid w:val="00D040E6"/>
    <w:rsid w:val="00D05450"/>
    <w:rsid w:val="00D07289"/>
    <w:rsid w:val="00D078A1"/>
    <w:rsid w:val="00D10319"/>
    <w:rsid w:val="00D10514"/>
    <w:rsid w:val="00D107C4"/>
    <w:rsid w:val="00D11110"/>
    <w:rsid w:val="00D118FF"/>
    <w:rsid w:val="00D14AC3"/>
    <w:rsid w:val="00D1518F"/>
    <w:rsid w:val="00D155EE"/>
    <w:rsid w:val="00D1642F"/>
    <w:rsid w:val="00D17102"/>
    <w:rsid w:val="00D17736"/>
    <w:rsid w:val="00D2003F"/>
    <w:rsid w:val="00D20522"/>
    <w:rsid w:val="00D2270B"/>
    <w:rsid w:val="00D229C9"/>
    <w:rsid w:val="00D22FEA"/>
    <w:rsid w:val="00D23277"/>
    <w:rsid w:val="00D236B5"/>
    <w:rsid w:val="00D241F7"/>
    <w:rsid w:val="00D25134"/>
    <w:rsid w:val="00D2597B"/>
    <w:rsid w:val="00D27B40"/>
    <w:rsid w:val="00D30378"/>
    <w:rsid w:val="00D30DEC"/>
    <w:rsid w:val="00D31207"/>
    <w:rsid w:val="00D3197C"/>
    <w:rsid w:val="00D3248B"/>
    <w:rsid w:val="00D32FC7"/>
    <w:rsid w:val="00D3423D"/>
    <w:rsid w:val="00D3433D"/>
    <w:rsid w:val="00D354F0"/>
    <w:rsid w:val="00D37044"/>
    <w:rsid w:val="00D37069"/>
    <w:rsid w:val="00D370D2"/>
    <w:rsid w:val="00D37B4F"/>
    <w:rsid w:val="00D41BA8"/>
    <w:rsid w:val="00D42726"/>
    <w:rsid w:val="00D42EC0"/>
    <w:rsid w:val="00D43929"/>
    <w:rsid w:val="00D45FE5"/>
    <w:rsid w:val="00D462E4"/>
    <w:rsid w:val="00D474D8"/>
    <w:rsid w:val="00D51233"/>
    <w:rsid w:val="00D5232B"/>
    <w:rsid w:val="00D52711"/>
    <w:rsid w:val="00D53255"/>
    <w:rsid w:val="00D5367B"/>
    <w:rsid w:val="00D53C1F"/>
    <w:rsid w:val="00D53F4E"/>
    <w:rsid w:val="00D54CD2"/>
    <w:rsid w:val="00D54EE1"/>
    <w:rsid w:val="00D55D68"/>
    <w:rsid w:val="00D560F5"/>
    <w:rsid w:val="00D568EF"/>
    <w:rsid w:val="00D6126C"/>
    <w:rsid w:val="00D62F3D"/>
    <w:rsid w:val="00D63841"/>
    <w:rsid w:val="00D6394A"/>
    <w:rsid w:val="00D63A0A"/>
    <w:rsid w:val="00D64365"/>
    <w:rsid w:val="00D64AF8"/>
    <w:rsid w:val="00D65593"/>
    <w:rsid w:val="00D66513"/>
    <w:rsid w:val="00D66BCF"/>
    <w:rsid w:val="00D66D11"/>
    <w:rsid w:val="00D67334"/>
    <w:rsid w:val="00D67E99"/>
    <w:rsid w:val="00D71351"/>
    <w:rsid w:val="00D725CB"/>
    <w:rsid w:val="00D73BD9"/>
    <w:rsid w:val="00D74068"/>
    <w:rsid w:val="00D7420C"/>
    <w:rsid w:val="00D766FE"/>
    <w:rsid w:val="00D76E7A"/>
    <w:rsid w:val="00D80220"/>
    <w:rsid w:val="00D8205A"/>
    <w:rsid w:val="00D827D3"/>
    <w:rsid w:val="00D85739"/>
    <w:rsid w:val="00D85AB0"/>
    <w:rsid w:val="00D85AD4"/>
    <w:rsid w:val="00D85B8F"/>
    <w:rsid w:val="00D85F92"/>
    <w:rsid w:val="00D8661F"/>
    <w:rsid w:val="00D86DFB"/>
    <w:rsid w:val="00D875EB"/>
    <w:rsid w:val="00D87AB7"/>
    <w:rsid w:val="00D87B39"/>
    <w:rsid w:val="00D90334"/>
    <w:rsid w:val="00D903E6"/>
    <w:rsid w:val="00D90561"/>
    <w:rsid w:val="00D91AEF"/>
    <w:rsid w:val="00D93B9E"/>
    <w:rsid w:val="00D94C24"/>
    <w:rsid w:val="00D94CEB"/>
    <w:rsid w:val="00D95DE4"/>
    <w:rsid w:val="00D965F8"/>
    <w:rsid w:val="00D977B5"/>
    <w:rsid w:val="00D9794B"/>
    <w:rsid w:val="00D979D8"/>
    <w:rsid w:val="00D97A42"/>
    <w:rsid w:val="00DA072C"/>
    <w:rsid w:val="00DA257C"/>
    <w:rsid w:val="00DA2A28"/>
    <w:rsid w:val="00DA3AD5"/>
    <w:rsid w:val="00DA71AC"/>
    <w:rsid w:val="00DA77C5"/>
    <w:rsid w:val="00DB0331"/>
    <w:rsid w:val="00DB0471"/>
    <w:rsid w:val="00DB05EB"/>
    <w:rsid w:val="00DB0F3F"/>
    <w:rsid w:val="00DB179D"/>
    <w:rsid w:val="00DB1C61"/>
    <w:rsid w:val="00DB2A6D"/>
    <w:rsid w:val="00DB2F21"/>
    <w:rsid w:val="00DB3514"/>
    <w:rsid w:val="00DB3F38"/>
    <w:rsid w:val="00DB44BD"/>
    <w:rsid w:val="00DB4628"/>
    <w:rsid w:val="00DB514B"/>
    <w:rsid w:val="00DB5315"/>
    <w:rsid w:val="00DB540E"/>
    <w:rsid w:val="00DC0357"/>
    <w:rsid w:val="00DC0691"/>
    <w:rsid w:val="00DC06A0"/>
    <w:rsid w:val="00DC1B4A"/>
    <w:rsid w:val="00DC27BF"/>
    <w:rsid w:val="00DC4B14"/>
    <w:rsid w:val="00DC55F1"/>
    <w:rsid w:val="00DC5D77"/>
    <w:rsid w:val="00DC6E58"/>
    <w:rsid w:val="00DC7056"/>
    <w:rsid w:val="00DD016B"/>
    <w:rsid w:val="00DD0517"/>
    <w:rsid w:val="00DD1183"/>
    <w:rsid w:val="00DD1238"/>
    <w:rsid w:val="00DD1CC4"/>
    <w:rsid w:val="00DD2729"/>
    <w:rsid w:val="00DD288D"/>
    <w:rsid w:val="00DD2C29"/>
    <w:rsid w:val="00DD4A6A"/>
    <w:rsid w:val="00DD4A6F"/>
    <w:rsid w:val="00DD4ADB"/>
    <w:rsid w:val="00DD545C"/>
    <w:rsid w:val="00DD7C59"/>
    <w:rsid w:val="00DE0F37"/>
    <w:rsid w:val="00DE10D4"/>
    <w:rsid w:val="00DE1505"/>
    <w:rsid w:val="00DE18B3"/>
    <w:rsid w:val="00DE2218"/>
    <w:rsid w:val="00DE2520"/>
    <w:rsid w:val="00DE292C"/>
    <w:rsid w:val="00DE3568"/>
    <w:rsid w:val="00DE35ED"/>
    <w:rsid w:val="00DE3762"/>
    <w:rsid w:val="00DE46B6"/>
    <w:rsid w:val="00DE504F"/>
    <w:rsid w:val="00DE5117"/>
    <w:rsid w:val="00DE5545"/>
    <w:rsid w:val="00DE671C"/>
    <w:rsid w:val="00DE6902"/>
    <w:rsid w:val="00DE6F8D"/>
    <w:rsid w:val="00DE77E2"/>
    <w:rsid w:val="00DF06DC"/>
    <w:rsid w:val="00DF154A"/>
    <w:rsid w:val="00DF3B32"/>
    <w:rsid w:val="00DF42F0"/>
    <w:rsid w:val="00DF4C2B"/>
    <w:rsid w:val="00DF57F3"/>
    <w:rsid w:val="00DF5E3C"/>
    <w:rsid w:val="00DF6111"/>
    <w:rsid w:val="00DF7EA6"/>
    <w:rsid w:val="00E001D8"/>
    <w:rsid w:val="00E003F7"/>
    <w:rsid w:val="00E01027"/>
    <w:rsid w:val="00E01671"/>
    <w:rsid w:val="00E04195"/>
    <w:rsid w:val="00E04799"/>
    <w:rsid w:val="00E05461"/>
    <w:rsid w:val="00E0547F"/>
    <w:rsid w:val="00E05D7B"/>
    <w:rsid w:val="00E06348"/>
    <w:rsid w:val="00E100E1"/>
    <w:rsid w:val="00E12728"/>
    <w:rsid w:val="00E16149"/>
    <w:rsid w:val="00E16F98"/>
    <w:rsid w:val="00E17086"/>
    <w:rsid w:val="00E17277"/>
    <w:rsid w:val="00E1748D"/>
    <w:rsid w:val="00E17628"/>
    <w:rsid w:val="00E20204"/>
    <w:rsid w:val="00E20A21"/>
    <w:rsid w:val="00E22949"/>
    <w:rsid w:val="00E248E4"/>
    <w:rsid w:val="00E24A6A"/>
    <w:rsid w:val="00E24BFF"/>
    <w:rsid w:val="00E25B68"/>
    <w:rsid w:val="00E25B85"/>
    <w:rsid w:val="00E263C2"/>
    <w:rsid w:val="00E2729E"/>
    <w:rsid w:val="00E31940"/>
    <w:rsid w:val="00E32AC2"/>
    <w:rsid w:val="00E32D58"/>
    <w:rsid w:val="00E338FB"/>
    <w:rsid w:val="00E33E33"/>
    <w:rsid w:val="00E34BE7"/>
    <w:rsid w:val="00E37269"/>
    <w:rsid w:val="00E37E02"/>
    <w:rsid w:val="00E37E0D"/>
    <w:rsid w:val="00E37EC1"/>
    <w:rsid w:val="00E406EE"/>
    <w:rsid w:val="00E430C5"/>
    <w:rsid w:val="00E452F5"/>
    <w:rsid w:val="00E45C2B"/>
    <w:rsid w:val="00E46028"/>
    <w:rsid w:val="00E46E70"/>
    <w:rsid w:val="00E46F6D"/>
    <w:rsid w:val="00E47AAB"/>
    <w:rsid w:val="00E47D84"/>
    <w:rsid w:val="00E51075"/>
    <w:rsid w:val="00E5115C"/>
    <w:rsid w:val="00E512E1"/>
    <w:rsid w:val="00E5269B"/>
    <w:rsid w:val="00E55643"/>
    <w:rsid w:val="00E55A82"/>
    <w:rsid w:val="00E55CA8"/>
    <w:rsid w:val="00E566D6"/>
    <w:rsid w:val="00E567D9"/>
    <w:rsid w:val="00E570C4"/>
    <w:rsid w:val="00E573F1"/>
    <w:rsid w:val="00E57D8F"/>
    <w:rsid w:val="00E619A9"/>
    <w:rsid w:val="00E6409E"/>
    <w:rsid w:val="00E64351"/>
    <w:rsid w:val="00E643EA"/>
    <w:rsid w:val="00E64B4A"/>
    <w:rsid w:val="00E64F0B"/>
    <w:rsid w:val="00E6704A"/>
    <w:rsid w:val="00E67FBF"/>
    <w:rsid w:val="00E71D76"/>
    <w:rsid w:val="00E738E0"/>
    <w:rsid w:val="00E74675"/>
    <w:rsid w:val="00E758A5"/>
    <w:rsid w:val="00E75D38"/>
    <w:rsid w:val="00E776EC"/>
    <w:rsid w:val="00E7798C"/>
    <w:rsid w:val="00E8083C"/>
    <w:rsid w:val="00E80E7E"/>
    <w:rsid w:val="00E81B1B"/>
    <w:rsid w:val="00E81B76"/>
    <w:rsid w:val="00E81BEB"/>
    <w:rsid w:val="00E82A97"/>
    <w:rsid w:val="00E836AF"/>
    <w:rsid w:val="00E84024"/>
    <w:rsid w:val="00E8713F"/>
    <w:rsid w:val="00E87671"/>
    <w:rsid w:val="00E87F2F"/>
    <w:rsid w:val="00E95699"/>
    <w:rsid w:val="00E95C06"/>
    <w:rsid w:val="00E95CBD"/>
    <w:rsid w:val="00E95E52"/>
    <w:rsid w:val="00E967D2"/>
    <w:rsid w:val="00E9702D"/>
    <w:rsid w:val="00E976AE"/>
    <w:rsid w:val="00EA0C1F"/>
    <w:rsid w:val="00EA1C03"/>
    <w:rsid w:val="00EA1CF6"/>
    <w:rsid w:val="00EA1EB3"/>
    <w:rsid w:val="00EA1F4C"/>
    <w:rsid w:val="00EA21CF"/>
    <w:rsid w:val="00EA233B"/>
    <w:rsid w:val="00EA2701"/>
    <w:rsid w:val="00EA2C0D"/>
    <w:rsid w:val="00EA43A0"/>
    <w:rsid w:val="00EA53F4"/>
    <w:rsid w:val="00EA59FD"/>
    <w:rsid w:val="00EA5F1F"/>
    <w:rsid w:val="00EA6A9A"/>
    <w:rsid w:val="00EB068D"/>
    <w:rsid w:val="00EB19F8"/>
    <w:rsid w:val="00EB1EBF"/>
    <w:rsid w:val="00EB1FD0"/>
    <w:rsid w:val="00EB40D5"/>
    <w:rsid w:val="00EB6F61"/>
    <w:rsid w:val="00EB78C3"/>
    <w:rsid w:val="00EC0A78"/>
    <w:rsid w:val="00EC0E38"/>
    <w:rsid w:val="00EC208D"/>
    <w:rsid w:val="00EC25FA"/>
    <w:rsid w:val="00EC3154"/>
    <w:rsid w:val="00EC3BE0"/>
    <w:rsid w:val="00EC5391"/>
    <w:rsid w:val="00EC611A"/>
    <w:rsid w:val="00EC6228"/>
    <w:rsid w:val="00EC6E6F"/>
    <w:rsid w:val="00ED0011"/>
    <w:rsid w:val="00ED0923"/>
    <w:rsid w:val="00ED15F7"/>
    <w:rsid w:val="00ED22F7"/>
    <w:rsid w:val="00ED2359"/>
    <w:rsid w:val="00ED26C1"/>
    <w:rsid w:val="00ED2CF2"/>
    <w:rsid w:val="00ED3418"/>
    <w:rsid w:val="00ED445F"/>
    <w:rsid w:val="00ED465D"/>
    <w:rsid w:val="00ED5CBD"/>
    <w:rsid w:val="00ED6EB7"/>
    <w:rsid w:val="00EE0C15"/>
    <w:rsid w:val="00EE1349"/>
    <w:rsid w:val="00EE18FE"/>
    <w:rsid w:val="00EE348C"/>
    <w:rsid w:val="00EE360C"/>
    <w:rsid w:val="00EE4719"/>
    <w:rsid w:val="00EE4A2D"/>
    <w:rsid w:val="00EE4C1F"/>
    <w:rsid w:val="00EE4F94"/>
    <w:rsid w:val="00EE6C22"/>
    <w:rsid w:val="00EE7485"/>
    <w:rsid w:val="00EE7EE4"/>
    <w:rsid w:val="00EF080A"/>
    <w:rsid w:val="00EF1001"/>
    <w:rsid w:val="00EF1657"/>
    <w:rsid w:val="00EF2D00"/>
    <w:rsid w:val="00EF3143"/>
    <w:rsid w:val="00EF345E"/>
    <w:rsid w:val="00EF351F"/>
    <w:rsid w:val="00EF3930"/>
    <w:rsid w:val="00EF4259"/>
    <w:rsid w:val="00EF506B"/>
    <w:rsid w:val="00EF667A"/>
    <w:rsid w:val="00EF6D28"/>
    <w:rsid w:val="00EF7C7B"/>
    <w:rsid w:val="00EF7E83"/>
    <w:rsid w:val="00F00D09"/>
    <w:rsid w:val="00F00F46"/>
    <w:rsid w:val="00F01177"/>
    <w:rsid w:val="00F015B5"/>
    <w:rsid w:val="00F0230A"/>
    <w:rsid w:val="00F02E16"/>
    <w:rsid w:val="00F04E3B"/>
    <w:rsid w:val="00F053CB"/>
    <w:rsid w:val="00F07BB5"/>
    <w:rsid w:val="00F07E4E"/>
    <w:rsid w:val="00F11642"/>
    <w:rsid w:val="00F1168C"/>
    <w:rsid w:val="00F14345"/>
    <w:rsid w:val="00F143E0"/>
    <w:rsid w:val="00F14CDD"/>
    <w:rsid w:val="00F14F5B"/>
    <w:rsid w:val="00F1511A"/>
    <w:rsid w:val="00F15725"/>
    <w:rsid w:val="00F1675B"/>
    <w:rsid w:val="00F209F1"/>
    <w:rsid w:val="00F22078"/>
    <w:rsid w:val="00F22694"/>
    <w:rsid w:val="00F22E15"/>
    <w:rsid w:val="00F2368B"/>
    <w:rsid w:val="00F25424"/>
    <w:rsid w:val="00F258BB"/>
    <w:rsid w:val="00F26DE9"/>
    <w:rsid w:val="00F30C83"/>
    <w:rsid w:val="00F30E46"/>
    <w:rsid w:val="00F313E0"/>
    <w:rsid w:val="00F327D9"/>
    <w:rsid w:val="00F3330F"/>
    <w:rsid w:val="00F35A9A"/>
    <w:rsid w:val="00F35CF6"/>
    <w:rsid w:val="00F35E23"/>
    <w:rsid w:val="00F366A0"/>
    <w:rsid w:val="00F41AE2"/>
    <w:rsid w:val="00F42857"/>
    <w:rsid w:val="00F4338D"/>
    <w:rsid w:val="00F438C3"/>
    <w:rsid w:val="00F454A4"/>
    <w:rsid w:val="00F45D58"/>
    <w:rsid w:val="00F510CA"/>
    <w:rsid w:val="00F51161"/>
    <w:rsid w:val="00F51383"/>
    <w:rsid w:val="00F526F7"/>
    <w:rsid w:val="00F54071"/>
    <w:rsid w:val="00F54089"/>
    <w:rsid w:val="00F540E0"/>
    <w:rsid w:val="00F549B0"/>
    <w:rsid w:val="00F54D07"/>
    <w:rsid w:val="00F55790"/>
    <w:rsid w:val="00F55B73"/>
    <w:rsid w:val="00F567E1"/>
    <w:rsid w:val="00F573BE"/>
    <w:rsid w:val="00F577EB"/>
    <w:rsid w:val="00F577F7"/>
    <w:rsid w:val="00F57959"/>
    <w:rsid w:val="00F6083A"/>
    <w:rsid w:val="00F6230B"/>
    <w:rsid w:val="00F625F3"/>
    <w:rsid w:val="00F63215"/>
    <w:rsid w:val="00F64A6B"/>
    <w:rsid w:val="00F65E46"/>
    <w:rsid w:val="00F66615"/>
    <w:rsid w:val="00F67038"/>
    <w:rsid w:val="00F72B2E"/>
    <w:rsid w:val="00F72F3D"/>
    <w:rsid w:val="00F73E14"/>
    <w:rsid w:val="00F73FC0"/>
    <w:rsid w:val="00F74C33"/>
    <w:rsid w:val="00F74C6C"/>
    <w:rsid w:val="00F76949"/>
    <w:rsid w:val="00F81569"/>
    <w:rsid w:val="00F81632"/>
    <w:rsid w:val="00F82608"/>
    <w:rsid w:val="00F82873"/>
    <w:rsid w:val="00F829FC"/>
    <w:rsid w:val="00F8374F"/>
    <w:rsid w:val="00F840F9"/>
    <w:rsid w:val="00F851C7"/>
    <w:rsid w:val="00F869C6"/>
    <w:rsid w:val="00F919F8"/>
    <w:rsid w:val="00F91B67"/>
    <w:rsid w:val="00F93328"/>
    <w:rsid w:val="00F93B44"/>
    <w:rsid w:val="00F93D5E"/>
    <w:rsid w:val="00F93F91"/>
    <w:rsid w:val="00F94471"/>
    <w:rsid w:val="00F96480"/>
    <w:rsid w:val="00F96569"/>
    <w:rsid w:val="00F97473"/>
    <w:rsid w:val="00F97EC2"/>
    <w:rsid w:val="00FA014C"/>
    <w:rsid w:val="00FA2418"/>
    <w:rsid w:val="00FA3206"/>
    <w:rsid w:val="00FA354A"/>
    <w:rsid w:val="00FA5911"/>
    <w:rsid w:val="00FA64C8"/>
    <w:rsid w:val="00FA6D8B"/>
    <w:rsid w:val="00FA75CC"/>
    <w:rsid w:val="00FB008B"/>
    <w:rsid w:val="00FB00CE"/>
    <w:rsid w:val="00FB24ED"/>
    <w:rsid w:val="00FB262E"/>
    <w:rsid w:val="00FB4454"/>
    <w:rsid w:val="00FB481F"/>
    <w:rsid w:val="00FB587D"/>
    <w:rsid w:val="00FB64D7"/>
    <w:rsid w:val="00FB75DD"/>
    <w:rsid w:val="00FB7CDF"/>
    <w:rsid w:val="00FC0854"/>
    <w:rsid w:val="00FC10AF"/>
    <w:rsid w:val="00FC2EE6"/>
    <w:rsid w:val="00FC3350"/>
    <w:rsid w:val="00FC36D0"/>
    <w:rsid w:val="00FC43FA"/>
    <w:rsid w:val="00FC4617"/>
    <w:rsid w:val="00FC4796"/>
    <w:rsid w:val="00FC4F90"/>
    <w:rsid w:val="00FC5599"/>
    <w:rsid w:val="00FC7295"/>
    <w:rsid w:val="00FD02B1"/>
    <w:rsid w:val="00FD11C7"/>
    <w:rsid w:val="00FD14DB"/>
    <w:rsid w:val="00FD14FB"/>
    <w:rsid w:val="00FD241D"/>
    <w:rsid w:val="00FD2435"/>
    <w:rsid w:val="00FD3134"/>
    <w:rsid w:val="00FD48D7"/>
    <w:rsid w:val="00FD4AFB"/>
    <w:rsid w:val="00FD52E6"/>
    <w:rsid w:val="00FD5944"/>
    <w:rsid w:val="00FD5BF7"/>
    <w:rsid w:val="00FD7C67"/>
    <w:rsid w:val="00FE04CE"/>
    <w:rsid w:val="00FE09A3"/>
    <w:rsid w:val="00FE0A07"/>
    <w:rsid w:val="00FE0E2E"/>
    <w:rsid w:val="00FE388C"/>
    <w:rsid w:val="00FE4F27"/>
    <w:rsid w:val="00FE5F71"/>
    <w:rsid w:val="00FE6830"/>
    <w:rsid w:val="00FF1ABD"/>
    <w:rsid w:val="00FF243B"/>
    <w:rsid w:val="00FF26DF"/>
    <w:rsid w:val="00FF283E"/>
    <w:rsid w:val="00FF2CBE"/>
    <w:rsid w:val="00FF3E41"/>
    <w:rsid w:val="00FF3E95"/>
    <w:rsid w:val="00FF61CE"/>
    <w:rsid w:val="00FF64D4"/>
    <w:rsid w:val="00FF6B3F"/>
    <w:rsid w:val="00FF6B47"/>
    <w:rsid w:val="00FF6E99"/>
    <w:rsid w:val="00FF71CF"/>
    <w:rsid w:val="00FF78C5"/>
    <w:rsid w:val="00FF796B"/>
    <w:rsid w:val="00FF7F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AB8FD9"/>
  <w15:docId w15:val="{940406F9-3A96-4E3B-9971-B84F928F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7AB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a1">
    <w:name w:val="목록 단락"/>
    <w:basedOn w:val="Normal"/>
    <w:uiPriority w:val="99"/>
    <w:pPr>
      <w:ind w:leftChars="400" w:left="800"/>
    </w:pPr>
    <w:rPr>
      <w:rFonts w:eastAsia="Batang"/>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TABLE">
    <w:name w:val="TABLE"/>
    <w:basedOn w:val="BodyTextIndent"/>
    <w:next w:val="BodyTextFirstIndent"/>
    <w:autoRedefine/>
    <w:uiPriority w:val="99"/>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14"/>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50"/>
      </w:numPr>
      <w:contextualSpacing/>
    </w:pPr>
  </w:style>
  <w:style w:type="paragraph" w:styleId="ListBullet5">
    <w:name w:val="List Bullet 5"/>
    <w:basedOn w:val="Normal"/>
    <w:uiPriority w:val="99"/>
    <w:semiHidden/>
    <w:unhideWhenUsed/>
    <w:rsid w:val="00C1421E"/>
    <w:pPr>
      <w:numPr>
        <w:numId w:val="51"/>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52"/>
      </w:numPr>
      <w:contextualSpacing/>
    </w:pPr>
  </w:style>
  <w:style w:type="paragraph" w:styleId="ListNumber5">
    <w:name w:val="List Number 5"/>
    <w:basedOn w:val="Normal"/>
    <w:uiPriority w:val="99"/>
    <w:semiHidden/>
    <w:unhideWhenUsed/>
    <w:rsid w:val="00C1421E"/>
    <w:pPr>
      <w:numPr>
        <w:numId w:val="53"/>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
    <w:name w:val="Unresolved Mention"/>
    <w:basedOn w:val="DefaultParagraphFont"/>
    <w:uiPriority w:val="99"/>
    <w:semiHidden/>
    <w:unhideWhenUsed/>
    <w:rsid w:val="00515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1347757026">
          <w:marLeft w:val="0"/>
          <w:marRight w:val="0"/>
          <w:marTop w:val="0"/>
          <w:marBottom w:val="0"/>
          <w:divBdr>
            <w:top w:val="none" w:sz="0" w:space="0" w:color="auto"/>
            <w:left w:val="none" w:sz="0" w:space="0" w:color="auto"/>
            <w:bottom w:val="none" w:sz="0" w:space="0" w:color="auto"/>
            <w:right w:val="none" w:sz="0" w:space="0" w:color="auto"/>
          </w:divBdr>
        </w:div>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1773548556">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916746453">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479926550">
          <w:marLeft w:val="0"/>
          <w:marRight w:val="0"/>
          <w:marTop w:val="0"/>
          <w:marBottom w:val="0"/>
          <w:divBdr>
            <w:top w:val="none" w:sz="0" w:space="0" w:color="auto"/>
            <w:left w:val="none" w:sz="0" w:space="0" w:color="auto"/>
            <w:bottom w:val="none" w:sz="0" w:space="0" w:color="auto"/>
            <w:right w:val="none" w:sz="0" w:space="0" w:color="auto"/>
          </w:divBdr>
        </w:div>
        <w:div w:id="101416671">
          <w:marLeft w:val="0"/>
          <w:marRight w:val="0"/>
          <w:marTop w:val="0"/>
          <w:marBottom w:val="0"/>
          <w:divBdr>
            <w:top w:val="none" w:sz="0" w:space="0" w:color="auto"/>
            <w:left w:val="none" w:sz="0" w:space="0" w:color="auto"/>
            <w:bottom w:val="none" w:sz="0" w:space="0" w:color="auto"/>
            <w:right w:val="none" w:sz="0" w:space="0" w:color="auto"/>
          </w:divBdr>
        </w:div>
      </w:divsChild>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1832214615">
          <w:marLeft w:val="0"/>
          <w:marRight w:val="0"/>
          <w:marTop w:val="0"/>
          <w:marBottom w:val="0"/>
          <w:divBdr>
            <w:top w:val="none" w:sz="0" w:space="0" w:color="auto"/>
            <w:left w:val="none" w:sz="0" w:space="0" w:color="auto"/>
            <w:bottom w:val="none" w:sz="0" w:space="0" w:color="auto"/>
            <w:right w:val="none" w:sz="0" w:space="0" w:color="auto"/>
          </w:divBdr>
        </w:div>
        <w:div w:id="41709219">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359160336">
          <w:marLeft w:val="0"/>
          <w:marRight w:val="0"/>
          <w:marTop w:val="0"/>
          <w:marBottom w:val="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26296715">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1934851208">
          <w:marLeft w:val="0"/>
          <w:marRight w:val="0"/>
          <w:marTop w:val="0"/>
          <w:marBottom w:val="0"/>
          <w:divBdr>
            <w:top w:val="none" w:sz="0" w:space="0" w:color="auto"/>
            <w:left w:val="none" w:sz="0" w:space="0" w:color="auto"/>
            <w:bottom w:val="none" w:sz="0" w:space="0" w:color="auto"/>
            <w:right w:val="none" w:sz="0" w:space="0" w:color="auto"/>
          </w:divBdr>
        </w:div>
        <w:div w:id="725110745">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1863786183">
          <w:marLeft w:val="0"/>
          <w:marRight w:val="0"/>
          <w:marTop w:val="0"/>
          <w:marBottom w:val="0"/>
          <w:divBdr>
            <w:top w:val="none" w:sz="0" w:space="0" w:color="auto"/>
            <w:left w:val="none" w:sz="0" w:space="0" w:color="auto"/>
            <w:bottom w:val="none" w:sz="0" w:space="0" w:color="auto"/>
            <w:right w:val="none" w:sz="0" w:space="0" w:color="auto"/>
          </w:divBdr>
        </w:div>
        <w:div w:id="987903528">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 w:id="30350577">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1180437922">
          <w:marLeft w:val="0"/>
          <w:marRight w:val="0"/>
          <w:marTop w:val="0"/>
          <w:marBottom w:val="0"/>
          <w:divBdr>
            <w:top w:val="none" w:sz="0" w:space="0" w:color="auto"/>
            <w:left w:val="none" w:sz="0" w:space="0" w:color="auto"/>
            <w:bottom w:val="none" w:sz="0" w:space="0" w:color="auto"/>
            <w:right w:val="none" w:sz="0" w:space="0" w:color="auto"/>
          </w:divBdr>
        </w:div>
        <w:div w:id="26029706">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iforgood.itu.int/" TargetMode="External"/><Relationship Id="rId21" Type="http://schemas.openxmlformats.org/officeDocument/2006/relationships/hyperlink" Target="https://www.itu.int/en/journal/002/Pages/default.aspx" TargetMode="External"/><Relationship Id="rId42" Type="http://schemas.openxmlformats.org/officeDocument/2006/relationships/hyperlink" Target="https://www.itu.int/en/ITU-T/studygroups/2017-2020/20/Pages/exec-sum-dec18.aspx" TargetMode="External"/><Relationship Id="rId63" Type="http://schemas.openxmlformats.org/officeDocument/2006/relationships/hyperlink" Target="https://www.itu.int/en/ITU-T/focusgroups/dfc/Pages/default.aspx" TargetMode="External"/><Relationship Id="rId84" Type="http://schemas.openxmlformats.org/officeDocument/2006/relationships/hyperlink" Target="https://news.itu.int/itu-stanford-university-launch-new-partnership-supporting-pilots-digital-fiat-currency/" TargetMode="External"/><Relationship Id="rId138" Type="http://schemas.openxmlformats.org/officeDocument/2006/relationships/hyperlink" Target="https://news.itu.int/how-can-digital-health-serve-everyone-submit-your-paper-to-kaleidoscope-2019/" TargetMode="External"/><Relationship Id="rId159" Type="http://schemas.openxmlformats.org/officeDocument/2006/relationships/hyperlink" Target="http://www.itu.int/ITU-T/inr/index.html" TargetMode="External"/><Relationship Id="rId170" Type="http://schemas.openxmlformats.org/officeDocument/2006/relationships/hyperlink" Target="https://www.itu.int/md/S17-CL-C-0134/en" TargetMode="External"/><Relationship Id="rId191" Type="http://schemas.openxmlformats.org/officeDocument/2006/relationships/hyperlink" Target="https://www.itu.int/en/ITU-D/Regional-Presence/Europe/Pages/Events/2019/eServices/enhancing-human-life-using-e-services.aspx" TargetMode="External"/><Relationship Id="rId205" Type="http://schemas.openxmlformats.org/officeDocument/2006/relationships/hyperlink" Target="https://www.itu.int/en/ITU-T/Workshops-and-Seminars/20190311/Pages/default.aspx" TargetMode="External"/><Relationship Id="rId226" Type="http://schemas.openxmlformats.org/officeDocument/2006/relationships/hyperlink" Target="https://www.itu.int/en/ITU-T/Workshops-and-Seminars/201812/Pages/default.aspx" TargetMode="External"/><Relationship Id="rId247" Type="http://schemas.openxmlformats.org/officeDocument/2006/relationships/hyperlink" Target="https://itu.int/rec/T-REC-A" TargetMode="External"/><Relationship Id="rId107" Type="http://schemas.openxmlformats.org/officeDocument/2006/relationships/hyperlink" Target="https://www.itu.int/net4/ITU-T/landscape" TargetMode="External"/><Relationship Id="rId11" Type="http://schemas.openxmlformats.org/officeDocument/2006/relationships/image" Target="media/image1.gif"/><Relationship Id="rId32" Type="http://schemas.openxmlformats.org/officeDocument/2006/relationships/hyperlink" Target="https://www.itu.int/en/ITU-T/studygroups/2017-2020/12/Pages/1905-summary.aspx" TargetMode="External"/><Relationship Id="rId53" Type="http://schemas.openxmlformats.org/officeDocument/2006/relationships/hyperlink" Target="https://www.itu.int/net4/ITU-T/landscape" TargetMode="External"/><Relationship Id="rId74" Type="http://schemas.openxmlformats.org/officeDocument/2006/relationships/hyperlink" Target="https://www.itu.int/en/ITU-T/jca/ahf/Pages/default.aspx" TargetMode="External"/><Relationship Id="rId128" Type="http://schemas.openxmlformats.org/officeDocument/2006/relationships/hyperlink" Target="http://academy.itu.int" TargetMode="External"/><Relationship Id="rId149" Type="http://schemas.openxmlformats.org/officeDocument/2006/relationships/hyperlink" Target="https://www.itu.int/en/ITU-T/extcoop/Pages/sdo.aspx" TargetMode="External"/><Relationship Id="rId5" Type="http://schemas.openxmlformats.org/officeDocument/2006/relationships/numbering" Target="numbering.xml"/><Relationship Id="rId95" Type="http://schemas.openxmlformats.org/officeDocument/2006/relationships/hyperlink" Target="https://www.itu.int/en/mediacentre/Pages/2019-PR08.aspx" TargetMode="External"/><Relationship Id="rId160" Type="http://schemas.openxmlformats.org/officeDocument/2006/relationships/hyperlink" Target="https://www.itu.int/net4/ITU-T/landscape" TargetMode="External"/><Relationship Id="rId181" Type="http://schemas.openxmlformats.org/officeDocument/2006/relationships/hyperlink" Target="https://extranet.itu.int/sites/itu-t/focusgroups/vm/" TargetMode="External"/><Relationship Id="rId216" Type="http://schemas.openxmlformats.org/officeDocument/2006/relationships/hyperlink" Target="https://www.itu.int/en/ITU-T/Workshops-and-Seminars/bsg/20190218/Pages/default.aspx" TargetMode="External"/><Relationship Id="rId237" Type="http://schemas.openxmlformats.org/officeDocument/2006/relationships/hyperlink" Target="https://www.itu.int/en/ITU-T/academia/kaleidoscope/2018/Pages/default.aspx" TargetMode="External"/><Relationship Id="rId258" Type="http://schemas.openxmlformats.org/officeDocument/2006/relationships/glossaryDocument" Target="glossary/document.xml"/><Relationship Id="rId22" Type="http://schemas.openxmlformats.org/officeDocument/2006/relationships/hyperlink" Target="http://www.itu.int/net/itu-t/cdb/ConformityDB.aspx" TargetMode="External"/><Relationship Id="rId43" Type="http://schemas.openxmlformats.org/officeDocument/2006/relationships/hyperlink" Target="https://news.itu.int/5g-transport-new-clarity/" TargetMode="External"/><Relationship Id="rId64" Type="http://schemas.openxmlformats.org/officeDocument/2006/relationships/hyperlink" Target="https://www.itu.int/en/ITU-T/focusgroups/dlt/Pages/default.aspx" TargetMode="External"/><Relationship Id="rId118" Type="http://schemas.openxmlformats.org/officeDocument/2006/relationships/hyperlink" Target="https://www.itu.int/en/ITU-T/Workshops-and-Seminars/20190402/Pages/default.aspx" TargetMode="External"/><Relationship Id="rId139" Type="http://schemas.openxmlformats.org/officeDocument/2006/relationships/hyperlink" Target="https://www.itu.int/en/journal/002/Pages/default.aspx" TargetMode="External"/><Relationship Id="rId85" Type="http://schemas.openxmlformats.org/officeDocument/2006/relationships/hyperlink" Target="https://www.itu.int/en/ITU-T/focusgroups/dlt/Pages/default.aspx" TargetMode="External"/><Relationship Id="rId150" Type="http://schemas.openxmlformats.org/officeDocument/2006/relationships/hyperlink" Target="https://www.itu.int/ITU-T/aap/AAPSearch.aspx" TargetMode="External"/><Relationship Id="rId171" Type="http://schemas.openxmlformats.org/officeDocument/2006/relationships/hyperlink" Target="https://extranet.itu.int/sites/ITU-T/" TargetMode="External"/><Relationship Id="rId192" Type="http://schemas.openxmlformats.org/officeDocument/2006/relationships/hyperlink" Target="https://www.itu.int/en/ITU-T/Workshops-and-Seminars/20190617/Pages/default.aspx" TargetMode="External"/><Relationship Id="rId206" Type="http://schemas.openxmlformats.org/officeDocument/2006/relationships/hyperlink" Target="https://www.itu.int/en/fnc/2019/Pages/default.aspx" TargetMode="External"/><Relationship Id="rId227" Type="http://schemas.openxmlformats.org/officeDocument/2006/relationships/hyperlink" Target="https://www.itu.int/en/ITU-T/Workshops-and-Seminars/bsg/2019040405/Pages/default.aspx" TargetMode="External"/><Relationship Id="rId248" Type="http://schemas.openxmlformats.org/officeDocument/2006/relationships/hyperlink" Target="https://www.itu.int/net4/wsis/sdg/" TargetMode="External"/><Relationship Id="rId12" Type="http://schemas.openxmlformats.org/officeDocument/2006/relationships/hyperlink" Target="mailto:tsbtsag@itu.int" TargetMode="External"/><Relationship Id="rId33" Type="http://schemas.openxmlformats.org/officeDocument/2006/relationships/hyperlink" Target="https://www.itu.int/en/ITU-T/studygroups/2017-2020/12/Pages/1811-summary.aspx" TargetMode="External"/><Relationship Id="rId108" Type="http://schemas.openxmlformats.org/officeDocument/2006/relationships/hyperlink" Target="https://news.itu.int/database-harmonizing-intelligent-transport-standards/" TargetMode="External"/><Relationship Id="rId129" Type="http://schemas.openxmlformats.org/officeDocument/2006/relationships/hyperlink" Target="https://www.itu.int/pub/T-TUT" TargetMode="External"/><Relationship Id="rId54" Type="http://schemas.openxmlformats.org/officeDocument/2006/relationships/hyperlink" Target="https://news.itu.int/database-harmonizing-intelligent-transport-standards/" TargetMode="External"/><Relationship Id="rId75" Type="http://schemas.openxmlformats.org/officeDocument/2006/relationships/hyperlink" Target="https://www.itu.int/net4/wsis/forum/2019/Agenda/ViewSession/147" TargetMode="External"/><Relationship Id="rId96" Type="http://schemas.openxmlformats.org/officeDocument/2006/relationships/hyperlink" Target="https://www.itu.int/en/ITU-T/studygroups/2017-2020/09/Pages/workshops.aspx" TargetMode="External"/><Relationship Id="rId140" Type="http://schemas.openxmlformats.org/officeDocument/2006/relationships/hyperlink" Target="https://news.itu.int/journal-issue-2/" TargetMode="External"/><Relationship Id="rId161" Type="http://schemas.openxmlformats.org/officeDocument/2006/relationships/hyperlink" Target="https://www.itu.int/en/ITU-T/studygroups/com17/ict/Pages/default.aspx" TargetMode="External"/><Relationship Id="rId182" Type="http://schemas.openxmlformats.org/officeDocument/2006/relationships/hyperlink" Target="https://extranet.itu.int/sites/itu-t/focusgroups/ai4ee/" TargetMode="External"/><Relationship Id="rId217" Type="http://schemas.openxmlformats.org/officeDocument/2006/relationships/hyperlink" Target="https://www.itu.int/en/ITU-T/Workshops-and-Seminars/qos/201908/Pages/default.asp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itu.int/en/ITU-T/Workshops-and-Seminars/ai4h/20190122/Pages/default.aspx" TargetMode="External"/><Relationship Id="rId233" Type="http://schemas.openxmlformats.org/officeDocument/2006/relationships/hyperlink" Target="https://www.itu.int/en/ITU-T/Workshops-and-Seminars/bsg/20190327/Pages/default.aspx" TargetMode="External"/><Relationship Id="rId238" Type="http://schemas.openxmlformats.org/officeDocument/2006/relationships/hyperlink" Target="https://www.itu.int/en/ITU-T/Workshops-and-Seminars/201811/Pages/default.aspx" TargetMode="External"/><Relationship Id="rId254" Type="http://schemas.openxmlformats.org/officeDocument/2006/relationships/hyperlink" Target="http://ec.europa.eu/environment/waste/shipments/legis.htm" TargetMode="External"/><Relationship Id="rId259" Type="http://schemas.openxmlformats.org/officeDocument/2006/relationships/theme" Target="theme/theme1.xml"/><Relationship Id="rId23" Type="http://schemas.openxmlformats.org/officeDocument/2006/relationships/hyperlink" Target="https://www.itu.int/net4/ITU-T/myworkspace/" TargetMode="External"/><Relationship Id="rId28" Type="http://schemas.openxmlformats.org/officeDocument/2006/relationships/hyperlink" Target="https://www.itu.int/en/ITU-T/studygroups/2017-2020/03/Documents/SG3%20Executive%20Summary%202019.pdf" TargetMode="External"/><Relationship Id="rId49" Type="http://schemas.openxmlformats.org/officeDocument/2006/relationships/hyperlink" Target="https://www.itu.int/en/ITU-T/studygroups/2017-2020/05/Pages/exec-sum.aspx" TargetMode="External"/><Relationship Id="rId114" Type="http://schemas.openxmlformats.org/officeDocument/2006/relationships/hyperlink" Target="https://news.itu.int/category/et/digital-finance/" TargetMode="External"/><Relationship Id="rId119" Type="http://schemas.openxmlformats.org/officeDocument/2006/relationships/hyperlink" Target="https://www.itu.int/en/fnc/2019/Pages/default.aspx" TargetMode="External"/><Relationship Id="rId44" Type="http://schemas.openxmlformats.org/officeDocument/2006/relationships/hyperlink" Target="https://news.itu.int/new-itu-standard-machine-learning-5g-networks/" TargetMode="External"/><Relationship Id="rId60" Type="http://schemas.openxmlformats.org/officeDocument/2006/relationships/hyperlink" Target="https://news.itu.int/new-itu-recommendation-provides-parameters-for-a-collaborative-framework-for-otts/" TargetMode="External"/><Relationship Id="rId65" Type="http://schemas.openxmlformats.org/officeDocument/2006/relationships/hyperlink" Target="https://www.itu.int/en/ITU-T/focusgroups/ai4h/Pages/default.aspx" TargetMode="External"/><Relationship Id="rId81" Type="http://schemas.openxmlformats.org/officeDocument/2006/relationships/hyperlink" Target="https://news.itu.int/itu-ngmn-promoting-level-playing-field-5g-intellectual-property/" TargetMode="External"/><Relationship Id="rId86" Type="http://schemas.openxmlformats.org/officeDocument/2006/relationships/hyperlink" Target="https://www.itu.int/en/ITU-T/focusgroups/ml5g/Pages/default.aspx" TargetMode="External"/><Relationship Id="rId130" Type="http://schemas.openxmlformats.org/officeDocument/2006/relationships/hyperlink" Target="https://news.itu.int/itu-celebrates-world-telecommunication-and-information-society-day/" TargetMode="External"/><Relationship Id="rId135" Type="http://schemas.openxmlformats.org/officeDocument/2006/relationships/hyperlink" Target="https://www.itu.int/en/ITU-T/focusgroups/ml5g/Pages/default.aspx" TargetMode="External"/><Relationship Id="rId151" Type="http://schemas.openxmlformats.org/officeDocument/2006/relationships/hyperlink" Target="https://www.itu.int/net/ITU-T/lists/t-approval.aspx" TargetMode="External"/><Relationship Id="rId156" Type="http://schemas.openxmlformats.org/officeDocument/2006/relationships/hyperlink" Target="http://www.itu.int/ITU-T/formal-language/index.html" TargetMode="External"/><Relationship Id="rId177" Type="http://schemas.openxmlformats.org/officeDocument/2006/relationships/hyperlink" Target="https://extranet.itu.int/sites/itu-t/focusgroups/fgdlt/" TargetMode="External"/><Relationship Id="rId198" Type="http://schemas.openxmlformats.org/officeDocument/2006/relationships/hyperlink" Target="https://www.itu.int/en/ITU-T/studygroups/2017-2020/05/Pages/event-20190515.aspx" TargetMode="External"/><Relationship Id="rId172" Type="http://schemas.openxmlformats.org/officeDocument/2006/relationships/hyperlink" Target="https://extranet.itu.int/sites/itu-t/studygroups/2017-2020" TargetMode="External"/><Relationship Id="rId193" Type="http://schemas.openxmlformats.org/officeDocument/2006/relationships/hyperlink" Target="https://www.itu.int/en/ITU-T/Workshops-and-Seminars/201906/Pages/default.aspx" TargetMode="External"/><Relationship Id="rId202" Type="http://schemas.openxmlformats.org/officeDocument/2006/relationships/hyperlink" Target="https://www.itu.int/net4/wsis/forum/2019/Agenda/ViewSession/296" TargetMode="External"/><Relationship Id="rId207" Type="http://schemas.openxmlformats.org/officeDocument/2006/relationships/hyperlink" Target="https://www.itu.int/en/ITU-T/Workshops-and-Seminars/itu-ngmn/Pages/20190129.aspx" TargetMode="External"/><Relationship Id="rId223" Type="http://schemas.openxmlformats.org/officeDocument/2006/relationships/hyperlink" Target="https://www.itu.int/en/ITU-T/Workshops-and-Seminars/20190123/Pages/default.aspx" TargetMode="External"/><Relationship Id="rId228" Type="http://schemas.openxmlformats.org/officeDocument/2006/relationships/hyperlink" Target="https://www.itu.int/en/ITU-T/extcoop/figisymposium/2019/Pages/default.aspx" TargetMode="External"/><Relationship Id="rId244" Type="http://schemas.openxmlformats.org/officeDocument/2006/relationships/hyperlink" Target="https://www.itu.int/en/ITU-D/Regional-Presence/CIS/Pages/EVENTS/2019/02_Minsk/02_Minsk.aspx" TargetMode="External"/><Relationship Id="rId249" Type="http://schemas.openxmlformats.org/officeDocument/2006/relationships/hyperlink" Target="http://www.itu.int/md/T13-TSAG-160201-TD-GEN-0419/en" TargetMode="External"/><Relationship Id="rId13" Type="http://schemas.openxmlformats.org/officeDocument/2006/relationships/hyperlink" Target="https://www.itu.int/en/ITU-T/ssc/united/Pages/default.aspx" TargetMode="External"/><Relationship Id="rId18" Type="http://schemas.openxmlformats.org/officeDocument/2006/relationships/hyperlink" Target="https://aiforgood.itu.int/" TargetMode="External"/><Relationship Id="rId39" Type="http://schemas.openxmlformats.org/officeDocument/2006/relationships/hyperlink" Target="https://www.itu.int/en/ITU-T/studygroups/2017-2020/16/Pages/results-1810.aspx" TargetMode="External"/><Relationship Id="rId109" Type="http://schemas.openxmlformats.org/officeDocument/2006/relationships/hyperlink" Target="https://www.frontiersin.org/articles/10.3389/fmars.2019.00424/full" TargetMode="External"/><Relationship Id="rId34" Type="http://schemas.openxmlformats.org/officeDocument/2006/relationships/hyperlink" Target="https://www.itu.int/en/ITU-T/studygroups/2017-2020/13/Pages/exec-sum.aspx" TargetMode="External"/><Relationship Id="rId50" Type="http://schemas.openxmlformats.org/officeDocument/2006/relationships/hyperlink" Target="https://news.itu.int/new-itu-standards-to-overcome-the-security-limitations-of-passwords/" TargetMode="External"/><Relationship Id="rId55" Type="http://schemas.openxmlformats.org/officeDocument/2006/relationships/hyperlink" Target="https://news.itu.int/webinar-itu-standards-measure-ip-performance-4g-voice-quality/" TargetMode="External"/><Relationship Id="rId76" Type="http://schemas.openxmlformats.org/officeDocument/2006/relationships/hyperlink" Target="https://www.itu.int/net4/wsis/forum/2019/Agenda/ViewSession/171" TargetMode="External"/><Relationship Id="rId97" Type="http://schemas.openxmlformats.org/officeDocument/2006/relationships/hyperlink" Target="https://www.itu.int/en/ITU-T/Workshops-and-Seminars/201811/Pages/default.aspx" TargetMode="External"/><Relationship Id="rId104" Type="http://schemas.openxmlformats.org/officeDocument/2006/relationships/hyperlink" Target="https://news.itu.int/ctos-china-japan-korea-highlight-standardization-priorities/" TargetMode="External"/><Relationship Id="rId120" Type="http://schemas.openxmlformats.org/officeDocument/2006/relationships/hyperlink" Target="https://www.itu.int/en/ITU-T/Workshops-and-Seminars/itu-ngmn/Pages/20190129.aspx" TargetMode="External"/><Relationship Id="rId125" Type="http://schemas.openxmlformats.org/officeDocument/2006/relationships/image" Target="media/image2.png"/><Relationship Id="rId141" Type="http://schemas.openxmlformats.org/officeDocument/2006/relationships/hyperlink" Target="https://news.itu.int/navigating-crowded-spectrum-itu-journal-invites-research-on-advances-in-radiowave-propagation/" TargetMode="External"/><Relationship Id="rId146" Type="http://schemas.openxmlformats.org/officeDocument/2006/relationships/hyperlink" Target="http://news.itu.int/" TargetMode="External"/><Relationship Id="rId167" Type="http://schemas.openxmlformats.org/officeDocument/2006/relationships/hyperlink" Target="https://www.itu.int/net4/itu-t/nnp" TargetMode="External"/><Relationship Id="rId188" Type="http://schemas.openxmlformats.org/officeDocument/2006/relationships/hyperlink" Target="https://www.itu.int/en/ITU-T/Workshops-and-Seminars/20190826/Pages/default.aspx" TargetMode="External"/><Relationship Id="rId7" Type="http://schemas.openxmlformats.org/officeDocument/2006/relationships/settings" Target="settings.xml"/><Relationship Id="rId71" Type="http://schemas.openxmlformats.org/officeDocument/2006/relationships/hyperlink" Target="http://www.itu.int/net/itu-t/cdb/ConformityDB.aspx" TargetMode="External"/><Relationship Id="rId92" Type="http://schemas.openxmlformats.org/officeDocument/2006/relationships/hyperlink" Target="https://www.thelancet.com/journals/lancet/article/PIIS0140-6736(19)30762-7/fulltext?dgcid=raven_jbs_etoc_email" TargetMode="External"/><Relationship Id="rId162" Type="http://schemas.openxmlformats.org/officeDocument/2006/relationships/hyperlink" Target="https://www.itu.int/net4/ITU-T/search/Landing" TargetMode="External"/><Relationship Id="rId183" Type="http://schemas.openxmlformats.org/officeDocument/2006/relationships/hyperlink" Target="https://extranet.itu.int/ITU-T/support/" TargetMode="External"/><Relationship Id="rId213" Type="http://schemas.openxmlformats.org/officeDocument/2006/relationships/hyperlink" Target="https://www.itu.int/en/ITU-D/Regional-Presence/Europe/Pages/Events/2018/5GForum/Towards_5G_Enabled_Gigabit_Society.aspx" TargetMode="External"/><Relationship Id="rId218" Type="http://schemas.openxmlformats.org/officeDocument/2006/relationships/hyperlink" Target="https://www.itu.int/en/ITU-T/tsbdir/cto/Pages/default.aspx" TargetMode="External"/><Relationship Id="rId234" Type="http://schemas.openxmlformats.org/officeDocument/2006/relationships/hyperlink" Target="https://www.itu.int/en/ITU-T/Workshops-and-Seminars/2019032526/Pages/default.aspx" TargetMode="External"/><Relationship Id="rId239" Type="http://schemas.openxmlformats.org/officeDocument/2006/relationships/hyperlink" Target="https://www.itu.int/en/ITU-T/Workshops-and-Seminars/20181114/Pages/default.aspx" TargetMode="External"/><Relationship Id="rId2" Type="http://schemas.openxmlformats.org/officeDocument/2006/relationships/customXml" Target="../customXml/item2.xml"/><Relationship Id="rId29" Type="http://schemas.openxmlformats.org/officeDocument/2006/relationships/hyperlink" Target="https://www.itu.int/en/ITU-T/studygroups/2017-2020/05/Pages/exec-sum.aspx" TargetMode="External"/><Relationship Id="rId250" Type="http://schemas.openxmlformats.org/officeDocument/2006/relationships/hyperlink" Target="https://www.itu.int/md/meetingdoc.asp?lang=en&amp;parent=T17-SG13-190304-TD-PLEN-0172" TargetMode="External"/><Relationship Id="rId255" Type="http://schemas.openxmlformats.org/officeDocument/2006/relationships/hyperlink" Target="http://ec.europa.eu/&#8204;environment/waste/weee/index_en.htm" TargetMode="External"/><Relationship Id="rId24" Type="http://schemas.openxmlformats.org/officeDocument/2006/relationships/hyperlink" Target="https://www.itu.int/net4/ITU-T/search/Landing" TargetMode="External"/><Relationship Id="rId40" Type="http://schemas.openxmlformats.org/officeDocument/2006/relationships/hyperlink" Target="https://www.itu.int/en/ITU-T/studygroups/2017-2020/17/Pages/1901-summary.aspx" TargetMode="External"/><Relationship Id="rId45" Type="http://schemas.openxmlformats.org/officeDocument/2006/relationships/hyperlink" Target="https://news.itu.int/new-standard-visible-light-communication/" TargetMode="External"/><Relationship Id="rId66" Type="http://schemas.openxmlformats.org/officeDocument/2006/relationships/hyperlink" Target="https://www.itu.int/en/ITU-T/focusgroups/ml5g/Pages/default.aspx" TargetMode="External"/><Relationship Id="rId87" Type="http://schemas.openxmlformats.org/officeDocument/2006/relationships/hyperlink" Target="https://www.itu.int/ITU-T/recommendations/rec.aspx?rec=13894&amp;lang=en" TargetMode="External"/><Relationship Id="rId110" Type="http://schemas.openxmlformats.org/officeDocument/2006/relationships/hyperlink" Target="https://www.itu.int/en/ITU-T/Workshops-and-Seminars/gsw/201910/Pages/default.aspx" TargetMode="External"/><Relationship Id="rId115" Type="http://schemas.openxmlformats.org/officeDocument/2006/relationships/hyperlink" Target="https://news.itu.int/itu-stanford-university-launch-new-partnership-supporting-pilots-digital-fiat-currency/" TargetMode="External"/><Relationship Id="rId131" Type="http://schemas.openxmlformats.org/officeDocument/2006/relationships/hyperlink" Target="https://news.itu.int/itu-celebrates-world-telecommunication-and-information-society-day/" TargetMode="External"/><Relationship Id="rId136" Type="http://schemas.openxmlformats.org/officeDocument/2006/relationships/hyperlink" Target="https://www.itu.int/en/ITU-T/academia/kaleidoscope/2019/Pages/default.aspx" TargetMode="External"/><Relationship Id="rId157" Type="http://schemas.openxmlformats.org/officeDocument/2006/relationships/hyperlink" Target="http://www.itu.int/net/itu-t/sigdb/menu.htm" TargetMode="External"/><Relationship Id="rId178" Type="http://schemas.openxmlformats.org/officeDocument/2006/relationships/hyperlink" Target="https://extranet.itu.int/sites/itu-t/focusgroups/ML5G/" TargetMode="External"/><Relationship Id="rId61" Type="http://schemas.openxmlformats.org/officeDocument/2006/relationships/hyperlink" Target="https://www.itu.int/en/ITU-T/studygroups/2017-2020/11/Pages/exec-sum-201903.aspx" TargetMode="External"/><Relationship Id="rId82" Type="http://schemas.openxmlformats.org/officeDocument/2006/relationships/hyperlink" Target="https://www.itu.int/en/ITU-T/focusgroups/dpm/Pages/default.aspx" TargetMode="External"/><Relationship Id="rId152" Type="http://schemas.openxmlformats.org/officeDocument/2006/relationships/hyperlink" Target="http://www.itu.int/itu-t/recommendations" TargetMode="External"/><Relationship Id="rId173" Type="http://schemas.openxmlformats.org/officeDocument/2006/relationships/hyperlink" Target="https://extranet.itu.int/sites/itu-t/initiatives/U4SSC/" TargetMode="External"/><Relationship Id="rId194" Type="http://schemas.openxmlformats.org/officeDocument/2006/relationships/hyperlink" Target="https://www.itu.int/en/ITU-T/Workshops-and-Seminars/20190607/Pages/default.aspx" TargetMode="External"/><Relationship Id="rId199" Type="http://schemas.openxmlformats.org/officeDocument/2006/relationships/hyperlink" Target="https://www.itu.int/en/ITU-T/studygroups/2017-2020/05/Pages/event-20190520.aspx" TargetMode="External"/><Relationship Id="rId203" Type="http://schemas.openxmlformats.org/officeDocument/2006/relationships/hyperlink" Target="https://www.itu.int/net4/wsis/forum/2019/Agenda/ViewSession/277" TargetMode="External"/><Relationship Id="rId208" Type="http://schemas.openxmlformats.org/officeDocument/2006/relationships/hyperlink" Target="https://www.itu.int/en/ITU-T/Workshops-and-Seminars/20190121/Pages/default.aspx" TargetMode="External"/><Relationship Id="rId229" Type="http://schemas.openxmlformats.org/officeDocument/2006/relationships/hyperlink" Target="https://www.itu.int/en/ITU-T/Workshops-and-Seminars/bsg/20181217/Pages/default.aspx" TargetMode="External"/><Relationship Id="rId19" Type="http://schemas.openxmlformats.org/officeDocument/2006/relationships/hyperlink" Target="https://www.itu.int/en/ITU-T/extcoop/figisymposium/Pages/default.aspx" TargetMode="External"/><Relationship Id="rId224" Type="http://schemas.openxmlformats.org/officeDocument/2006/relationships/hyperlink" Target="https://www.itu.int/en/ITU-T/Workshops-and-Seminars/201901/Pages/default.aspx" TargetMode="External"/><Relationship Id="rId240" Type="http://schemas.openxmlformats.org/officeDocument/2006/relationships/hyperlink" Target="https://www.itu.int/en/ITU-T/Workshops-and-Seminars/20181008/Pages/default.aspx" TargetMode="External"/><Relationship Id="rId245" Type="http://schemas.openxmlformats.org/officeDocument/2006/relationships/hyperlink" Target="http://www.itu.int/pub/T-RES" TargetMode="External"/><Relationship Id="rId14" Type="http://schemas.openxmlformats.org/officeDocument/2006/relationships/hyperlink" Target="https://itu.int/go/safelistening/toolkit" TargetMode="External"/><Relationship Id="rId30" Type="http://schemas.openxmlformats.org/officeDocument/2006/relationships/hyperlink" Target="https://www.itu.int/en/ITU-T/studygroups/2017-2020/09/Documents/Executive-summary-2017-05-Hangzhou.pdf" TargetMode="External"/><Relationship Id="rId35" Type="http://schemas.openxmlformats.org/officeDocument/2006/relationships/hyperlink" Target="https://www.itu.int/en/ITU-T/studygroups/2017-2020/15/Pages/exec-sum.aspx" TargetMode="External"/><Relationship Id="rId56" Type="http://schemas.openxmlformats.org/officeDocument/2006/relationships/hyperlink" Target="https://news.itu.int/why-quantum-specialists-join-itu/" TargetMode="External"/><Relationship Id="rId77" Type="http://schemas.openxmlformats.org/officeDocument/2006/relationships/hyperlink" Target="http://www.itu.int/en/ITU-T/ipr/Pages/adhoc.aspx" TargetMode="External"/><Relationship Id="rId100" Type="http://schemas.openxmlformats.org/officeDocument/2006/relationships/hyperlink" Target="http://www.itu.int/en/ITU-T/gsc/Pages/meetings.aspx" TargetMode="External"/><Relationship Id="rId105" Type="http://schemas.openxmlformats.org/officeDocument/2006/relationships/hyperlink" Target="https://news.itu.int/introducing-ai-commons/" TargetMode="External"/><Relationship Id="rId126" Type="http://schemas.openxmlformats.org/officeDocument/2006/relationships/hyperlink" Target="https://www.itu.int/en/ITU-T/Workshops-and-Seminars/bsg/20181217/Pages/default.aspx" TargetMode="External"/><Relationship Id="rId147" Type="http://schemas.openxmlformats.org/officeDocument/2006/relationships/hyperlink" Target="https://news.itu.int/category/standards/" TargetMode="External"/><Relationship Id="rId168" Type="http://schemas.openxmlformats.org/officeDocument/2006/relationships/hyperlink" Target="http://www.itu.int/pub/T-SP-OB" TargetMode="External"/><Relationship Id="rId8" Type="http://schemas.openxmlformats.org/officeDocument/2006/relationships/webSettings" Target="webSettings.xml"/><Relationship Id="rId51" Type="http://schemas.openxmlformats.org/officeDocument/2006/relationships/hyperlink" Target="https://news.itu.int/new-report-next-generation-authentication/" TargetMode="External"/><Relationship Id="rId72" Type="http://schemas.openxmlformats.org/officeDocument/2006/relationships/hyperlink" Target="http://www.itu.int/pub/T-TUT-IPTV-2015-H721" TargetMode="External"/><Relationship Id="rId93" Type="http://schemas.openxmlformats.org/officeDocument/2006/relationships/hyperlink" Target="https://www.itu.int/en/ITU-T/focusgroups/vm/Pages/default.aspx" TargetMode="External"/><Relationship Id="rId98" Type="http://schemas.openxmlformats.org/officeDocument/2006/relationships/hyperlink" Target="https://www.itu.int/en/ITU-D/Regional-Presence/Europe/Pages/Events/2018/FCTV/The-Future-of-Cable-TV.aspx" TargetMode="External"/><Relationship Id="rId121" Type="http://schemas.openxmlformats.org/officeDocument/2006/relationships/hyperlink" Target="https://www.itu.int/en/ITU-T/Workshops-and-Seminars/20190123/Pages/default.aspx" TargetMode="External"/><Relationship Id="rId142" Type="http://schemas.openxmlformats.org/officeDocument/2006/relationships/hyperlink" Target="https://www.itu.int/en/journal/2020/001/Pages/default.aspx" TargetMode="External"/><Relationship Id="rId163" Type="http://schemas.openxmlformats.org/officeDocument/2006/relationships/hyperlink" Target="http://tsbtech.itu.int/" TargetMode="External"/><Relationship Id="rId184" Type="http://schemas.openxmlformats.org/officeDocument/2006/relationships/image" Target="media/image4.png"/><Relationship Id="rId189" Type="http://schemas.openxmlformats.org/officeDocument/2006/relationships/hyperlink" Target="https://www.itu.int/en/ITU-T/Workshops-and-Seminars/201908/Pages/default.aspx" TargetMode="External"/><Relationship Id="rId219" Type="http://schemas.openxmlformats.org/officeDocument/2006/relationships/hyperlink" Target="https://www.itu.int/en/ITU-T/Workshops-and-Seminars/2019060507/Pages/default.aspx" TargetMode="External"/><Relationship Id="rId3" Type="http://schemas.openxmlformats.org/officeDocument/2006/relationships/customXml" Target="../customXml/item3.xml"/><Relationship Id="rId214" Type="http://schemas.openxmlformats.org/officeDocument/2006/relationships/hyperlink" Target="https://www.itu.int/en/ITU-T/climatechange/Pages/1st-Digital-African-Week.aspx" TargetMode="External"/><Relationship Id="rId230" Type="http://schemas.openxmlformats.org/officeDocument/2006/relationships/hyperlink" Target="https://www.itu.int/en/ITU-T/Workshops-and-Seminars/2018120204/Pages/default.aspx" TargetMode="External"/><Relationship Id="rId235" Type="http://schemas.openxmlformats.org/officeDocument/2006/relationships/hyperlink" Target="https://www.itu.int/en/ITU-T/focusgroups/dlt/Pages/default.aspx" TargetMode="External"/><Relationship Id="rId251" Type="http://schemas.openxmlformats.org/officeDocument/2006/relationships/hyperlink" Target="https://www.itu.int/md/meetingdoc.asp?lang=en&amp;parent=T17-SG13-190304-TD-PLEN-0170" TargetMode="External"/><Relationship Id="rId256" Type="http://schemas.openxmlformats.org/officeDocument/2006/relationships/header" Target="header1.xml"/><Relationship Id="rId25" Type="http://schemas.openxmlformats.org/officeDocument/2006/relationships/hyperlink" Target="http://tsbtech.itu.int/" TargetMode="External"/><Relationship Id="rId46" Type="http://schemas.openxmlformats.org/officeDocument/2006/relationships/hyperlink" Target="https://news.itu.int/first-multi-vendor-interoperable-100g-coherent-line-interfaces/" TargetMode="External"/><Relationship Id="rId67" Type="http://schemas.openxmlformats.org/officeDocument/2006/relationships/hyperlink" Target="https://www.itu.int/en/ITU-T/focusgroups/vm/Pages/default.aspx" TargetMode="External"/><Relationship Id="rId116" Type="http://schemas.openxmlformats.org/officeDocument/2006/relationships/hyperlink" Target="https://aiforgood.itu.int/programme/day-2/" TargetMode="External"/><Relationship Id="rId137" Type="http://schemas.openxmlformats.org/officeDocument/2006/relationships/hyperlink" Target="https://www.thelancet.com/journals/landig/home" TargetMode="External"/><Relationship Id="rId158" Type="http://schemas.openxmlformats.org/officeDocument/2006/relationships/hyperlink" Target="http://www.itu.int/ITU-R/go/terminology-database" TargetMode="External"/><Relationship Id="rId20" Type="http://schemas.openxmlformats.org/officeDocument/2006/relationships/hyperlink" Target="https://www.itu.int/en/ITU-T/academia/kaleidoscope/2018/Pages/default.aspx" TargetMode="External"/><Relationship Id="rId41" Type="http://schemas.openxmlformats.org/officeDocument/2006/relationships/hyperlink" Target="https://www.itu.int/en/ITU-T/studygroups/2017-2020/20/Pages/exec-sum-april19.aspx" TargetMode="External"/><Relationship Id="rId62" Type="http://schemas.openxmlformats.org/officeDocument/2006/relationships/hyperlink" Target="https://www.itu.int/en/ITU-T/focusgroups/dpm/Pages/default.aspx" TargetMode="External"/><Relationship Id="rId83" Type="http://schemas.openxmlformats.org/officeDocument/2006/relationships/hyperlink" Target="https://www.itu.int/en/ITU-T/focusgroups/dfc/Pages/default.aspx" TargetMode="External"/><Relationship Id="rId88" Type="http://schemas.openxmlformats.org/officeDocument/2006/relationships/hyperlink" Target="https://news.itu.int/new-itu-standard-machine-learning-5g-networks/" TargetMode="External"/><Relationship Id="rId111" Type="http://schemas.openxmlformats.org/officeDocument/2006/relationships/hyperlink" Target="http://www.itu.int/en/ITU-T/ssc/united/Pages/default.aspx" TargetMode="External"/><Relationship Id="rId132" Type="http://schemas.openxmlformats.org/officeDocument/2006/relationships/chart" Target="charts/chart1.xml"/><Relationship Id="rId153" Type="http://schemas.openxmlformats.org/officeDocument/2006/relationships/hyperlink" Target="http://www.itu.int/net/itu-t/ls/" TargetMode="External"/><Relationship Id="rId174" Type="http://schemas.openxmlformats.org/officeDocument/2006/relationships/hyperlink" Target="https://extranet.itu.int/sites/itu-t/initiatives/sitwg/" TargetMode="External"/><Relationship Id="rId179" Type="http://schemas.openxmlformats.org/officeDocument/2006/relationships/hyperlink" Target="https://extranet.itu.int/sites/itu-t/focusgroups/net-2030/" TargetMode="External"/><Relationship Id="rId195" Type="http://schemas.openxmlformats.org/officeDocument/2006/relationships/hyperlink" Target="https://aiforgood.itu.int/programme/day-2/" TargetMode="External"/><Relationship Id="rId209" Type="http://schemas.openxmlformats.org/officeDocument/2006/relationships/hyperlink" Target="https://www.itu.int/en/ITU-T/Workshops-and-Seminars/qos/201811/Pages/default.aspx" TargetMode="External"/><Relationship Id="rId190" Type="http://schemas.openxmlformats.org/officeDocument/2006/relationships/hyperlink" Target="https://www.itu.int/en/ITU-T/Workshops-and-Seminars/20190719/Pages/default.aspx" TargetMode="External"/><Relationship Id="rId204" Type="http://schemas.openxmlformats.org/officeDocument/2006/relationships/hyperlink" Target="https://itu.int/en/ITU-D/Regional-Presence/Europe/Pages/Events/2019/eServices/enhancing-human-life-using-e-services.aspx" TargetMode="External"/><Relationship Id="rId220" Type="http://schemas.openxmlformats.org/officeDocument/2006/relationships/hyperlink" Target="https://www.itu.int/en/ITU-T/studygroups/2017-2020/09/Wuhan-WSP/Pages/default.aspx" TargetMode="External"/><Relationship Id="rId225" Type="http://schemas.openxmlformats.org/officeDocument/2006/relationships/hyperlink" Target="https://www.itu.int/en/ITU-T/Workshops-and-Seminars/20181218/Pages/default.aspx" TargetMode="External"/><Relationship Id="rId241" Type="http://schemas.openxmlformats.org/officeDocument/2006/relationships/hyperlink" Target="https://www.itu.int/en/ITU-T/Workshops-and-Seminars/201810/Pages/default.aspx" TargetMode="External"/><Relationship Id="rId246" Type="http://schemas.openxmlformats.org/officeDocument/2006/relationships/hyperlink" Target="https://www.itu.int/md/T17-TSAG-181210-TD-GEN-0292" TargetMode="External"/><Relationship Id="rId15" Type="http://schemas.openxmlformats.org/officeDocument/2006/relationships/hyperlink" Target="https://www.itu.int/en/ITU-T/gap/Documents/nss-rep-may.pdf" TargetMode="External"/><Relationship Id="rId36" Type="http://schemas.openxmlformats.org/officeDocument/2006/relationships/hyperlink" Target="https://www.itu.int/en/ITU-T/studygroups/2017-2020/15/Pages/exec-sum-201810.aspx" TargetMode="External"/><Relationship Id="rId57" Type="http://schemas.openxmlformats.org/officeDocument/2006/relationships/hyperlink" Target="https://news.itu.int/how-can-quantum-technologies-make-networking-more-secure-itu-workshop-in-shanghai/" TargetMode="External"/><Relationship Id="rId106" Type="http://schemas.openxmlformats.org/officeDocument/2006/relationships/hyperlink" Target="http://www.itu.int/en/ITU-T/extcoop/cits/Pages/default.aspx" TargetMode="External"/><Relationship Id="rId127" Type="http://schemas.openxmlformats.org/officeDocument/2006/relationships/hyperlink" Target="https://www.itu.int/en/ITU-T/gap/Documents/nss-rep-may.pdf" TargetMode="External"/><Relationship Id="rId10" Type="http://schemas.openxmlformats.org/officeDocument/2006/relationships/endnotes" Target="endnotes.xml"/><Relationship Id="rId31" Type="http://schemas.openxmlformats.org/officeDocument/2006/relationships/hyperlink" Target="https://www.itu.int/en/ITU-T/studygroups/2017-2020/11/Pages/exec-sum-201903.aspx" TargetMode="External"/><Relationship Id="rId52" Type="http://schemas.openxmlformats.org/officeDocument/2006/relationships/hyperlink" Target="https://news.itu.int/celebrating-power-music-and-safe-listening-itu-who/" TargetMode="External"/><Relationship Id="rId73" Type="http://schemas.openxmlformats.org/officeDocument/2006/relationships/hyperlink" Target="http://www.itu.int/pub/T-TUT-IPTV-2017-H702" TargetMode="External"/><Relationship Id="rId78" Type="http://schemas.openxmlformats.org/officeDocument/2006/relationships/hyperlink" Target="http://www.itu.int/en/ITU-T/ipr/Pages/revpatent.aspx" TargetMode="External"/><Relationship Id="rId94" Type="http://schemas.openxmlformats.org/officeDocument/2006/relationships/hyperlink" Target="https://www.itu.int/en/ITU-T/focusgroups/ai4ee/Pages/default.aspx" TargetMode="External"/><Relationship Id="rId99" Type="http://schemas.openxmlformats.org/officeDocument/2006/relationships/hyperlink" Target="https://www.itu.int/en/ITU-T/gsc/22/Pages/default.aspx" TargetMode="External"/><Relationship Id="rId101" Type="http://schemas.openxmlformats.org/officeDocument/2006/relationships/hyperlink" Target="http://www.itu.int/en/ITU-T/gsc/Pages/default.aspx" TargetMode="External"/><Relationship Id="rId122" Type="http://schemas.openxmlformats.org/officeDocument/2006/relationships/hyperlink" Target="https://www.itu.int/en/ITU-T/Workshops-and-Seminars/ai4h/20190122/Pages/default.aspx" TargetMode="External"/><Relationship Id="rId143" Type="http://schemas.openxmlformats.org/officeDocument/2006/relationships/hyperlink" Target="https://news.itu.int/itu-journal-future-video-immersive-media/" TargetMode="External"/><Relationship Id="rId148" Type="http://schemas.openxmlformats.org/officeDocument/2006/relationships/hyperlink" Target="http://www.itu.int/ITU-T/workprog" TargetMode="External"/><Relationship Id="rId164" Type="http://schemas.openxmlformats.org/officeDocument/2006/relationships/hyperlink" Target="http://itu.int/go/itu-t/rgm" TargetMode="External"/><Relationship Id="rId169" Type="http://schemas.openxmlformats.org/officeDocument/2006/relationships/hyperlink" Target="https://www.itu.int/md/S17-CL-C-0133/en" TargetMode="External"/><Relationship Id="rId185" Type="http://schemas.openxmlformats.org/officeDocument/2006/relationships/image" Target="cid:image001.png@01D542EB.CA05E77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sites/itu-t/focusgroups/ai4h/" TargetMode="External"/><Relationship Id="rId210" Type="http://schemas.openxmlformats.org/officeDocument/2006/relationships/hyperlink" Target="https://www.itu.int/en/ITU-T/focusgroups/dlt/Documents/20190401-workshop-agenda.pdf" TargetMode="External"/><Relationship Id="rId215" Type="http://schemas.openxmlformats.org/officeDocument/2006/relationships/hyperlink" Target="https://www.itu.int/en/ITU-T/Workshops-and-Seminars/qos/201903/Pages/default.aspx" TargetMode="External"/><Relationship Id="rId236" Type="http://schemas.openxmlformats.org/officeDocument/2006/relationships/hyperlink" Target="https://www.worldsmartcity.org/" TargetMode="External"/><Relationship Id="rId257" Type="http://schemas.openxmlformats.org/officeDocument/2006/relationships/fontTable" Target="fontTable.xml"/><Relationship Id="rId26" Type="http://schemas.openxmlformats.org/officeDocument/2006/relationships/hyperlink" Target="https://www.itu.int/en/ITU-T/studygroups/Pages/default.aspx" TargetMode="External"/><Relationship Id="rId231" Type="http://schemas.openxmlformats.org/officeDocument/2006/relationships/hyperlink" Target="https://www.itu.int/en/ITU-T/climatechange/Pages/20190709.aspx" TargetMode="External"/><Relationship Id="rId252" Type="http://schemas.openxmlformats.org/officeDocument/2006/relationships/hyperlink" Target="https://www.oasis-open.org/committees/tc_home.php?wg_abbrev=cti" TargetMode="External"/><Relationship Id="rId47" Type="http://schemas.openxmlformats.org/officeDocument/2006/relationships/hyperlink" Target="https://news.itu.int/new-standards-broadband-mount-everest/" TargetMode="External"/><Relationship Id="rId68" Type="http://schemas.openxmlformats.org/officeDocument/2006/relationships/hyperlink" Target="https://www.itu.int/en/ITU-T/focusgroups/net2030/Pages/default.aspx" TargetMode="External"/><Relationship Id="rId89" Type="http://schemas.openxmlformats.org/officeDocument/2006/relationships/hyperlink" Target="https://www.itu.int/en/ITU-T/focusgroups/net2030/Pages/default.aspx" TargetMode="External"/><Relationship Id="rId112" Type="http://schemas.openxmlformats.org/officeDocument/2006/relationships/hyperlink" Target="https://news.itu.int/new-itu-standards-to-overcome-the-security-limitations-of-passwords/" TargetMode="External"/><Relationship Id="rId133" Type="http://schemas.openxmlformats.org/officeDocument/2006/relationships/hyperlink" Target="https://www.itu.int/en/ITU-T/academia/kaleidoscope/2018/Pages/default.aspx" TargetMode="External"/><Relationship Id="rId154" Type="http://schemas.openxmlformats.org/officeDocument/2006/relationships/hyperlink" Target="http://www.itu.int/ipr/" TargetMode="External"/><Relationship Id="rId175" Type="http://schemas.openxmlformats.org/officeDocument/2006/relationships/hyperlink" Target="https://extranet.itu.int/sites/itu-t/focusgroups/dpm/" TargetMode="External"/><Relationship Id="rId196" Type="http://schemas.openxmlformats.org/officeDocument/2006/relationships/hyperlink" Target="https://aiforgood.itu.int/" TargetMode="External"/><Relationship Id="rId200" Type="http://schemas.openxmlformats.org/officeDocument/2006/relationships/hyperlink" Target="https://www.itu.int/net4/wsis/forum/2019/Agenda/ViewSession/254" TargetMode="External"/><Relationship Id="rId16" Type="http://schemas.openxmlformats.org/officeDocument/2006/relationships/hyperlink" Target="https://www.itu.int/en/ITU-T/gap/Pages/default.aspx" TargetMode="External"/><Relationship Id="rId221" Type="http://schemas.openxmlformats.org/officeDocument/2006/relationships/hyperlink" Target="https://www.itu.int/en/ITU-T/Workshops-and-Seminars/20190402/Pages/default.aspx" TargetMode="External"/><Relationship Id="rId242" Type="http://schemas.openxmlformats.org/officeDocument/2006/relationships/hyperlink" Target="https://www.itu.int/en/ITU-T/Workshops-and-Seminars/201905/Pages/default.aspx" TargetMode="External"/><Relationship Id="rId37" Type="http://schemas.openxmlformats.org/officeDocument/2006/relationships/hyperlink" Target="https://www.itu.int/en/ITU-T/studygroups/2017-2020/16/Pages/results-1906.aspx" TargetMode="External"/><Relationship Id="rId58" Type="http://schemas.openxmlformats.org/officeDocument/2006/relationships/hyperlink" Target="https://news.itu.int/ctos-china-japan-korea-highlight-standardization-priorities/" TargetMode="External"/><Relationship Id="rId79" Type="http://schemas.openxmlformats.org/officeDocument/2006/relationships/hyperlink" Target="http://www.itu.int/en/ITU-T/publications/Pages/recs.aspx" TargetMode="External"/><Relationship Id="rId102" Type="http://schemas.openxmlformats.org/officeDocument/2006/relationships/hyperlink" Target="https://www.itu.int/en/ITU-T/extcoop/Documents/mou/ARSO-ITU.pdf" TargetMode="External"/><Relationship Id="rId123" Type="http://schemas.openxmlformats.org/officeDocument/2006/relationships/hyperlink" Target="https://www.worldsmartcity.org/" TargetMode="External"/><Relationship Id="rId144" Type="http://schemas.openxmlformats.org/officeDocument/2006/relationships/image" Target="media/image3.gif"/><Relationship Id="rId90" Type="http://schemas.openxmlformats.org/officeDocument/2006/relationships/hyperlink" Target="https://www.itu.int/en/ITU-T/focusgroups/net2030/Documents/White_Paper.pdf" TargetMode="External"/><Relationship Id="rId165" Type="http://schemas.openxmlformats.org/officeDocument/2006/relationships/hyperlink" Target="http://itu.int/go/itu-t/rgm-support" TargetMode="External"/><Relationship Id="rId186" Type="http://schemas.openxmlformats.org/officeDocument/2006/relationships/hyperlink" Target="https://www.itu.int/md/S17-CL-C-0127/en" TargetMode="External"/><Relationship Id="rId211" Type="http://schemas.openxmlformats.org/officeDocument/2006/relationships/hyperlink" Target="https://www.itu.int/en/ITU-T/Workshops-and-Seminars/20190218/Pages/default.aspx" TargetMode="External"/><Relationship Id="rId232" Type="http://schemas.openxmlformats.org/officeDocument/2006/relationships/hyperlink" Target="https://www.itu.int/en/ITU-T/Workshops-and-Seminars/20190412/Pages/default.aspx" TargetMode="External"/><Relationship Id="rId253" Type="http://schemas.openxmlformats.org/officeDocument/2006/relationships/hyperlink" Target="https://itu.int/en/ITU-T" TargetMode="External"/><Relationship Id="rId27" Type="http://schemas.openxmlformats.org/officeDocument/2006/relationships/hyperlink" Target="https://www.itu.int/md/meetingdoc.asp?lang=en&amp;parent=T17-SG02-R-0012" TargetMode="External"/><Relationship Id="rId48" Type="http://schemas.openxmlformats.org/officeDocument/2006/relationships/hyperlink" Target="https://www.itu.int/en/mediacentre/Pages/2018-PR34.aspx" TargetMode="External"/><Relationship Id="rId69" Type="http://schemas.openxmlformats.org/officeDocument/2006/relationships/hyperlink" Target="https://www.itu.int/en/ITU-T/focusgroups/ai4ee/Pages/default.aspx" TargetMode="External"/><Relationship Id="rId113" Type="http://schemas.openxmlformats.org/officeDocument/2006/relationships/hyperlink" Target="https://news.itu.int/itu-ngmn-promoting-level-playing-field-5g-intellectual-property/" TargetMode="External"/><Relationship Id="rId134" Type="http://schemas.openxmlformats.org/officeDocument/2006/relationships/hyperlink" Target="https://news.itu.int/1st-prize-at-kaleidoscope-2018/" TargetMode="External"/><Relationship Id="rId80" Type="http://schemas.openxmlformats.org/officeDocument/2006/relationships/hyperlink" Target="https://itu.int/en/ITU-T/ipr/Pages/adhoc.aspx" TargetMode="External"/><Relationship Id="rId155" Type="http://schemas.openxmlformats.org/officeDocument/2006/relationships/hyperlink" Target="http://www.itu.int/net/itu-t/cdb/ConformityDB.aspx" TargetMode="External"/><Relationship Id="rId176" Type="http://schemas.openxmlformats.org/officeDocument/2006/relationships/hyperlink" Target="https://extranet.itu.int/sites/itu-t/focusgroups/dfc/" TargetMode="External"/><Relationship Id="rId197" Type="http://schemas.openxmlformats.org/officeDocument/2006/relationships/hyperlink" Target="https://www.itu.int/en/ITU-T/climatechange/symposia/201905/Pages/default.aspx" TargetMode="External"/><Relationship Id="rId201" Type="http://schemas.openxmlformats.org/officeDocument/2006/relationships/hyperlink" Target="https://www.itu.int/net4/wsis/forum/2019/Agenda/ViewSession/240" TargetMode="External"/><Relationship Id="rId222" Type="http://schemas.openxmlformats.org/officeDocument/2006/relationships/hyperlink" Target="https://www.itu.int/en/ITU-T/Workshops-and-Seminars/201903/Pages/default.aspx" TargetMode="External"/><Relationship Id="rId243" Type="http://schemas.openxmlformats.org/officeDocument/2006/relationships/hyperlink" Target="https://www.itu.int/en/ITU-D/Regional-Presence/CIS/Pages/EVENTS/2019/02_Minsk/02_Minsk.aspx" TargetMode="External"/><Relationship Id="rId17" Type="http://schemas.openxmlformats.org/officeDocument/2006/relationships/hyperlink" Target="https://news.itu.int/itu-celebrates-world-telecommunication-and-information-society-day/" TargetMode="External"/><Relationship Id="rId38" Type="http://schemas.openxmlformats.org/officeDocument/2006/relationships/hyperlink" Target="https://www.itu.int/en/ITU-T/studygroups/2017-2020/16/Pages/results-1903.aspx" TargetMode="External"/><Relationship Id="rId59" Type="http://schemas.openxmlformats.org/officeDocument/2006/relationships/hyperlink" Target="https://news.itu.int/itu-stanford-university-launch-new-partnership-supporting-pilots-digital-fiat-currency/" TargetMode="External"/><Relationship Id="rId103" Type="http://schemas.openxmlformats.org/officeDocument/2006/relationships/hyperlink" Target="http://www.itu.int/en/ITU-T/tsbdir/cto/Pages/default.aspx" TargetMode="External"/><Relationship Id="rId124" Type="http://schemas.openxmlformats.org/officeDocument/2006/relationships/hyperlink" Target="https://www.itu.int/en/ITU-T/Workshops-and-Seminars/20181008/Pages/default.aspx" TargetMode="External"/><Relationship Id="rId70" Type="http://schemas.openxmlformats.org/officeDocument/2006/relationships/hyperlink" Target="https://www.itu.int/en/ITU-T/studygroups/2013-2016/11/Pages/CASC.aspx" TargetMode="External"/><Relationship Id="rId91" Type="http://schemas.openxmlformats.org/officeDocument/2006/relationships/hyperlink" Target="https://www.itu.int/en/ITU-T/focusgroups/ai4h" TargetMode="External"/><Relationship Id="rId145" Type="http://schemas.openxmlformats.org/officeDocument/2006/relationships/image" Target="cid:image003.png@01D56254.1E0D9840" TargetMode="External"/><Relationship Id="rId166" Type="http://schemas.openxmlformats.org/officeDocument/2006/relationships/hyperlink" Target="http://itu.int/go/itu-t/rgm-guide" TargetMode="External"/><Relationship Id="rId187" Type="http://schemas.openxmlformats.org/officeDocument/2006/relationships/hyperlink" Target="https://www.itu.int/en/ITU-T/studygroups/2017-2020/17/Pages/mini-workshop_I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Sheet1!$B$2:$B$15</c:f>
              <c:numCache>
                <c:formatCode>General</c:formatCode>
                <c:ptCount val="14"/>
                <c:pt idx="0">
                  <c:v>344</c:v>
                </c:pt>
                <c:pt idx="1">
                  <c:v>314</c:v>
                </c:pt>
                <c:pt idx="2">
                  <c:v>309</c:v>
                </c:pt>
                <c:pt idx="3">
                  <c:v>294</c:v>
                </c:pt>
                <c:pt idx="4">
                  <c:v>273</c:v>
                </c:pt>
                <c:pt idx="5">
                  <c:v>271</c:v>
                </c:pt>
                <c:pt idx="6">
                  <c:v>278</c:v>
                </c:pt>
                <c:pt idx="7">
                  <c:v>284</c:v>
                </c:pt>
                <c:pt idx="8">
                  <c:v>274</c:v>
                </c:pt>
                <c:pt idx="9">
                  <c:v>267</c:v>
                </c:pt>
                <c:pt idx="10">
                  <c:v>254</c:v>
                </c:pt>
                <c:pt idx="11">
                  <c:v>258</c:v>
                </c:pt>
                <c:pt idx="12">
                  <c:v>261</c:v>
                </c:pt>
                <c:pt idx="13">
                  <c:v>267</c:v>
                </c:pt>
              </c:numCache>
            </c:numRef>
          </c:val>
          <c:smooth val="0"/>
          <c:extLst xmlns:c16r2="http://schemas.microsoft.com/office/drawing/2015/06/chart">
            <c:ext xmlns:c16="http://schemas.microsoft.com/office/drawing/2014/chart" uri="{C3380CC4-5D6E-409C-BE32-E72D297353CC}">
              <c16:uniqueId val="{00000000-2098-4934-A68F-EFD4218E3C65}"/>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Sheet1!$C$2:$C$15</c:f>
              <c:numCache>
                <c:formatCode>General</c:formatCode>
                <c:ptCount val="14"/>
                <c:pt idx="0">
                  <c:v>112</c:v>
                </c:pt>
                <c:pt idx="1">
                  <c:v>116</c:v>
                </c:pt>
                <c:pt idx="2">
                  <c:v>134</c:v>
                </c:pt>
                <c:pt idx="3">
                  <c:v>128</c:v>
                </c:pt>
                <c:pt idx="4">
                  <c:v>125</c:v>
                </c:pt>
                <c:pt idx="5">
                  <c:v>136</c:v>
                </c:pt>
                <c:pt idx="6">
                  <c:v>144</c:v>
                </c:pt>
                <c:pt idx="7">
                  <c:v>139</c:v>
                </c:pt>
                <c:pt idx="8">
                  <c:v>134</c:v>
                </c:pt>
                <c:pt idx="9">
                  <c:v>134</c:v>
                </c:pt>
                <c:pt idx="10">
                  <c:v>130</c:v>
                </c:pt>
                <c:pt idx="11">
                  <c:v>139</c:v>
                </c:pt>
                <c:pt idx="12">
                  <c:v>162</c:v>
                </c:pt>
                <c:pt idx="13">
                  <c:v>178</c:v>
                </c:pt>
              </c:numCache>
            </c:numRef>
          </c:val>
          <c:smooth val="0"/>
          <c:extLst xmlns:c16r2="http://schemas.microsoft.com/office/drawing/2015/06/chart">
            <c:ext xmlns:c16="http://schemas.microsoft.com/office/drawing/2014/chart" uri="{C3380CC4-5D6E-409C-BE32-E72D297353CC}">
              <c16:uniqueId val="{00000001-2098-4934-A68F-EFD4218E3C65}"/>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Sheet1!$D$2:$D$15</c:f>
              <c:numCache>
                <c:formatCode>General</c:formatCode>
                <c:ptCount val="14"/>
                <c:pt idx="5">
                  <c:v>25</c:v>
                </c:pt>
                <c:pt idx="6">
                  <c:v>36</c:v>
                </c:pt>
                <c:pt idx="7">
                  <c:v>45</c:v>
                </c:pt>
                <c:pt idx="8">
                  <c:v>86</c:v>
                </c:pt>
                <c:pt idx="9">
                  <c:v>109</c:v>
                </c:pt>
                <c:pt idx="10">
                  <c:v>107</c:v>
                </c:pt>
                <c:pt idx="11">
                  <c:v>125</c:v>
                </c:pt>
                <c:pt idx="12">
                  <c:v>155</c:v>
                </c:pt>
                <c:pt idx="13">
                  <c:v>159</c:v>
                </c:pt>
              </c:numCache>
            </c:numRef>
          </c:val>
          <c:smooth val="0"/>
          <c:extLst xmlns:c16r2="http://schemas.microsoft.com/office/drawing/2015/06/chart">
            <c:ext xmlns:c16="http://schemas.microsoft.com/office/drawing/2014/chart" uri="{C3380CC4-5D6E-409C-BE32-E72D297353CC}">
              <c16:uniqueId val="{00000002-2098-4934-A68F-EFD4218E3C65}"/>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Sheet1!$E$2:$E$15</c:f>
              <c:numCache>
                <c:formatCode>General</c:formatCode>
                <c:ptCount val="14"/>
                <c:pt idx="0">
                  <c:v>456</c:v>
                </c:pt>
                <c:pt idx="1">
                  <c:v>430</c:v>
                </c:pt>
                <c:pt idx="2">
                  <c:v>443</c:v>
                </c:pt>
                <c:pt idx="3">
                  <c:v>422</c:v>
                </c:pt>
                <c:pt idx="4">
                  <c:v>398</c:v>
                </c:pt>
                <c:pt idx="5">
                  <c:v>432</c:v>
                </c:pt>
                <c:pt idx="6">
                  <c:v>458</c:v>
                </c:pt>
                <c:pt idx="7">
                  <c:v>468</c:v>
                </c:pt>
                <c:pt idx="8">
                  <c:v>494</c:v>
                </c:pt>
                <c:pt idx="9">
                  <c:v>510</c:v>
                </c:pt>
                <c:pt idx="10">
                  <c:v>491</c:v>
                </c:pt>
                <c:pt idx="11">
                  <c:v>522</c:v>
                </c:pt>
                <c:pt idx="12">
                  <c:v>578</c:v>
                </c:pt>
                <c:pt idx="13">
                  <c:v>605</c:v>
                </c:pt>
              </c:numCache>
            </c:numRef>
          </c:val>
          <c:smooth val="0"/>
          <c:extLst xmlns:c16r2="http://schemas.microsoft.com/office/drawing/2015/06/chart">
            <c:ext xmlns:c16="http://schemas.microsoft.com/office/drawing/2014/chart" uri="{C3380CC4-5D6E-409C-BE32-E72D297353CC}">
              <c16:uniqueId val="{00000003-2098-4934-A68F-EFD4218E3C65}"/>
            </c:ext>
          </c:extLst>
        </c:ser>
        <c:dLbls>
          <c:showLegendKey val="0"/>
          <c:showVal val="0"/>
          <c:showCatName val="0"/>
          <c:showSerName val="0"/>
          <c:showPercent val="0"/>
          <c:showBubbleSize val="0"/>
        </c:dLbls>
        <c:smooth val="0"/>
        <c:axId val="574189088"/>
        <c:axId val="574189480"/>
      </c:lineChart>
      <c:catAx>
        <c:axId val="57418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89480"/>
        <c:crosses val="autoZero"/>
        <c:auto val="1"/>
        <c:lblAlgn val="ctr"/>
        <c:lblOffset val="100"/>
        <c:noMultiLvlLbl val="0"/>
      </c:catAx>
      <c:valAx>
        <c:axId val="574189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89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F"/>
    <w:rsid w:val="00007F57"/>
    <w:rsid w:val="00045D53"/>
    <w:rsid w:val="00051733"/>
    <w:rsid w:val="00056E2E"/>
    <w:rsid w:val="00062358"/>
    <w:rsid w:val="000640F4"/>
    <w:rsid w:val="000A187B"/>
    <w:rsid w:val="000A6E0C"/>
    <w:rsid w:val="000F3FCC"/>
    <w:rsid w:val="001304C5"/>
    <w:rsid w:val="0017462A"/>
    <w:rsid w:val="00181927"/>
    <w:rsid w:val="001B199D"/>
    <w:rsid w:val="001B6FB2"/>
    <w:rsid w:val="001D3012"/>
    <w:rsid w:val="001F7D9E"/>
    <w:rsid w:val="00220DB0"/>
    <w:rsid w:val="00242F72"/>
    <w:rsid w:val="0026026B"/>
    <w:rsid w:val="00266154"/>
    <w:rsid w:val="00291D2B"/>
    <w:rsid w:val="00295839"/>
    <w:rsid w:val="002C18D7"/>
    <w:rsid w:val="0030662F"/>
    <w:rsid w:val="00306BFB"/>
    <w:rsid w:val="00323BA2"/>
    <w:rsid w:val="003339F1"/>
    <w:rsid w:val="003515D3"/>
    <w:rsid w:val="00357BB5"/>
    <w:rsid w:val="0036158A"/>
    <w:rsid w:val="00364AFC"/>
    <w:rsid w:val="0037233E"/>
    <w:rsid w:val="003851EE"/>
    <w:rsid w:val="00394A2A"/>
    <w:rsid w:val="003B5A8D"/>
    <w:rsid w:val="00460C35"/>
    <w:rsid w:val="004777DC"/>
    <w:rsid w:val="004A38FD"/>
    <w:rsid w:val="004C2B5B"/>
    <w:rsid w:val="0054647D"/>
    <w:rsid w:val="005A41FA"/>
    <w:rsid w:val="005C399A"/>
    <w:rsid w:val="005C61BF"/>
    <w:rsid w:val="00600DF0"/>
    <w:rsid w:val="0060489C"/>
    <w:rsid w:val="006277CD"/>
    <w:rsid w:val="00633D42"/>
    <w:rsid w:val="00634F0D"/>
    <w:rsid w:val="00655FEF"/>
    <w:rsid w:val="0067214C"/>
    <w:rsid w:val="00687AC0"/>
    <w:rsid w:val="0069691A"/>
    <w:rsid w:val="006A36B7"/>
    <w:rsid w:val="006A557C"/>
    <w:rsid w:val="006B44EE"/>
    <w:rsid w:val="006D7720"/>
    <w:rsid w:val="00713821"/>
    <w:rsid w:val="007227CA"/>
    <w:rsid w:val="00733213"/>
    <w:rsid w:val="00751AEA"/>
    <w:rsid w:val="007525A2"/>
    <w:rsid w:val="00762E99"/>
    <w:rsid w:val="007B08DC"/>
    <w:rsid w:val="007B0FDA"/>
    <w:rsid w:val="007B456B"/>
    <w:rsid w:val="007C0258"/>
    <w:rsid w:val="007D6B89"/>
    <w:rsid w:val="007E4E44"/>
    <w:rsid w:val="007E5CEE"/>
    <w:rsid w:val="00810A93"/>
    <w:rsid w:val="00812B97"/>
    <w:rsid w:val="00813ED7"/>
    <w:rsid w:val="00816154"/>
    <w:rsid w:val="00825B45"/>
    <w:rsid w:val="00826442"/>
    <w:rsid w:val="00843B72"/>
    <w:rsid w:val="00866C70"/>
    <w:rsid w:val="00884AD4"/>
    <w:rsid w:val="0089158E"/>
    <w:rsid w:val="008A3ED4"/>
    <w:rsid w:val="008E0E6D"/>
    <w:rsid w:val="008F7972"/>
    <w:rsid w:val="0090252F"/>
    <w:rsid w:val="00903FED"/>
    <w:rsid w:val="00952CD2"/>
    <w:rsid w:val="0098527D"/>
    <w:rsid w:val="009937CD"/>
    <w:rsid w:val="009A0F9B"/>
    <w:rsid w:val="009A766A"/>
    <w:rsid w:val="009B2421"/>
    <w:rsid w:val="009C7968"/>
    <w:rsid w:val="009E31DF"/>
    <w:rsid w:val="009E7B31"/>
    <w:rsid w:val="009F1986"/>
    <w:rsid w:val="00A11C42"/>
    <w:rsid w:val="00A31A35"/>
    <w:rsid w:val="00A432EA"/>
    <w:rsid w:val="00A64101"/>
    <w:rsid w:val="00A80F1B"/>
    <w:rsid w:val="00A85CD5"/>
    <w:rsid w:val="00AA1B75"/>
    <w:rsid w:val="00AA44C5"/>
    <w:rsid w:val="00AB6B24"/>
    <w:rsid w:val="00AF1076"/>
    <w:rsid w:val="00AF3630"/>
    <w:rsid w:val="00B225C0"/>
    <w:rsid w:val="00B300E3"/>
    <w:rsid w:val="00B406C8"/>
    <w:rsid w:val="00B722E6"/>
    <w:rsid w:val="00B81036"/>
    <w:rsid w:val="00BA55D5"/>
    <w:rsid w:val="00BA5794"/>
    <w:rsid w:val="00BB4BF1"/>
    <w:rsid w:val="00BC3B1C"/>
    <w:rsid w:val="00BC5FA1"/>
    <w:rsid w:val="00BE4B1B"/>
    <w:rsid w:val="00BF349E"/>
    <w:rsid w:val="00C01AF4"/>
    <w:rsid w:val="00C042CD"/>
    <w:rsid w:val="00C103E2"/>
    <w:rsid w:val="00C1420B"/>
    <w:rsid w:val="00C1510C"/>
    <w:rsid w:val="00C25430"/>
    <w:rsid w:val="00C26667"/>
    <w:rsid w:val="00C2711C"/>
    <w:rsid w:val="00C308C0"/>
    <w:rsid w:val="00C70686"/>
    <w:rsid w:val="00C94540"/>
    <w:rsid w:val="00CA401D"/>
    <w:rsid w:val="00CA45D1"/>
    <w:rsid w:val="00CA5487"/>
    <w:rsid w:val="00CB0DC8"/>
    <w:rsid w:val="00CB4B45"/>
    <w:rsid w:val="00CC047F"/>
    <w:rsid w:val="00CC169B"/>
    <w:rsid w:val="00CC3AFA"/>
    <w:rsid w:val="00CC3D76"/>
    <w:rsid w:val="00D001A3"/>
    <w:rsid w:val="00D0251D"/>
    <w:rsid w:val="00D03C0E"/>
    <w:rsid w:val="00D36D60"/>
    <w:rsid w:val="00D51374"/>
    <w:rsid w:val="00D60A7E"/>
    <w:rsid w:val="00D62C3D"/>
    <w:rsid w:val="00DA4B6E"/>
    <w:rsid w:val="00DA6F65"/>
    <w:rsid w:val="00DA73E5"/>
    <w:rsid w:val="00E333A7"/>
    <w:rsid w:val="00E76DF8"/>
    <w:rsid w:val="00E800E1"/>
    <w:rsid w:val="00E920BD"/>
    <w:rsid w:val="00EB05D1"/>
    <w:rsid w:val="00EB2B73"/>
    <w:rsid w:val="00EE3336"/>
    <w:rsid w:val="00F20FD3"/>
    <w:rsid w:val="00F23C80"/>
    <w:rsid w:val="00F43C6E"/>
    <w:rsid w:val="00F50376"/>
    <w:rsid w:val="00F5450E"/>
    <w:rsid w:val="00F60BBE"/>
    <w:rsid w:val="00F774C9"/>
    <w:rsid w:val="00F95D9D"/>
    <w:rsid w:val="00FA48B2"/>
    <w:rsid w:val="00FC31C6"/>
    <w:rsid w:val="00FD06CD"/>
    <w:rsid w:val="00FD226D"/>
    <w:rsid w:val="00FE48E9"/>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F9D3-AD49-4CE1-A7D6-D6613B533E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d1600e8-004f-4c6f-afe8-0c63f3945779"/>
    <ds:schemaRef ds:uri="http://www.w3.org/XML/1998/namespace"/>
    <ds:schemaRef ds:uri="http://purl.org/dc/dcmitype/"/>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524E0-41A1-4C5E-9039-3DDB2AB3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12</TotalTime>
  <Pages>84</Pages>
  <Words>39733</Words>
  <Characters>265974</Characters>
  <Application>Microsoft Office Word</Application>
  <DocSecurity>0</DocSecurity>
  <Lines>2216</Lines>
  <Paragraphs>610</Paragraphs>
  <ScaleCrop>false</ScaleCrop>
  <HeadingPairs>
    <vt:vector size="2" baseType="variant">
      <vt:variant>
        <vt:lpstr>Title</vt:lpstr>
      </vt:variant>
      <vt:variant>
        <vt:i4>1</vt:i4>
      </vt:variant>
    </vt:vector>
  </HeadingPairs>
  <TitlesOfParts>
    <vt:vector size="1" baseType="lpstr">
      <vt:lpstr>Report of activities in ITU-T (from October 2018 to July 2019)</vt:lpstr>
    </vt:vector>
  </TitlesOfParts>
  <Manager>ITU-T</Manager>
  <Company>International Telecommunication Union (ITU)</Company>
  <LinksUpToDate>false</LinksUpToDate>
  <CharactersWithSpaces>305097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October 2018 to July 2019)</dc:title>
  <dc:subject/>
  <dc:creator>OTA, Hiroshi</dc:creator>
  <cp:keywords/>
  <dc:description/>
  <cp:lastModifiedBy>Al-Mnini, Lara</cp:lastModifiedBy>
  <cp:revision>6</cp:revision>
  <cp:lastPrinted>2018-10-10T15:17:00Z</cp:lastPrinted>
  <dcterms:created xsi:type="dcterms:W3CDTF">2019-09-05T07:44:00Z</dcterms:created>
  <dcterms:modified xsi:type="dcterms:W3CDTF">2019-09-13T13:28:00Z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67 – E</vt:lpwstr>
  </property>
  <property fmtid="{D5CDD505-2E9C-101B-9397-08002B2CF9AE}" pid="3" name="Docdate">
    <vt:lpwstr>October 2016</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
  </property>
  <property fmtid="{D5CDD505-2E9C-101B-9397-08002B2CF9AE}" pid="7" name="Docauthor">
    <vt:lpwstr>STUDY GROUP 17 (Geneva, 29 August – 7 September 2016)</vt:lpwstr>
  </property>
  <property fmtid="{D5CDD505-2E9C-101B-9397-08002B2CF9AE}" pid="8" name="ContentTypeId">
    <vt:lpwstr>0x010100714706B5C8C0E7438BEF2951889CCA4F</vt:lpwstr>
  </property>
</Properties>
</file>