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bookmarkStart w:id="0" w:name="_GoBack"/>
            <w:bookmarkEnd w:id="0"/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1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:rsidR="00D55AF9" w:rsidRPr="00280AFA" w:rsidRDefault="00527B64" w:rsidP="00C556BC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-R</w:t>
            </w:r>
            <w:r w:rsidR="00C556BC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3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EE32CC">
              <w:rPr>
                <w:szCs w:val="24"/>
              </w:rPr>
              <w:t xml:space="preserve"> Adhoc and drafting sessions are 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BC6EB3">
        <w:rPr>
          <w:highlight w:val="yellow"/>
        </w:rPr>
        <w:t>1</w:t>
      </w:r>
      <w:r w:rsidR="005162B4">
        <w:rPr>
          <w:highlight w:val="yellow"/>
        </w:rPr>
        <w:t>2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Pr="008C0A3B">
        <w:rPr>
          <w:highlight w:val="yellow"/>
        </w:rPr>
        <w:t>, 1</w:t>
      </w:r>
      <w:r w:rsidR="005162B4">
        <w:rPr>
          <w:highlight w:val="yellow"/>
        </w:rPr>
        <w:t>7</w:t>
      </w:r>
      <w:r w:rsidRPr="008C0A3B">
        <w:rPr>
          <w:highlight w:val="yellow"/>
        </w:rPr>
        <w:t>:</w:t>
      </w:r>
      <w:r w:rsidR="005162B4">
        <w:rPr>
          <w:highlight w:val="yellow"/>
        </w:rPr>
        <w:t>3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 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0A6574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0A6574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 xml:space="preserve">Joint meeting of TSAG Rapporteur Groups on Strengthening Cooperation 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thinDiagStripe" w:color="C5E0B3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Joint meeting of </w:t>
            </w:r>
            <w:r w:rsidRPr="00AB793C">
              <w:rPr>
                <w:sz w:val="16"/>
                <w:szCs w:val="16"/>
                <w:lang w:eastAsia="zh-CN"/>
              </w:rPr>
              <w:t>TSAG Rapporteur Group</w:t>
            </w:r>
            <w:r>
              <w:rPr>
                <w:sz w:val="16"/>
                <w:szCs w:val="16"/>
                <w:lang w:eastAsia="zh-CN"/>
              </w:rPr>
              <w:t>s</w:t>
            </w:r>
            <w:r w:rsidRPr="00AB793C">
              <w:rPr>
                <w:sz w:val="16"/>
                <w:szCs w:val="16"/>
                <w:lang w:eastAsia="zh-CN"/>
              </w:rPr>
              <w:t xml:space="preserve"> on Standardization Strategy</w:t>
            </w:r>
            <w:r>
              <w:rPr>
                <w:sz w:val="16"/>
                <w:szCs w:val="16"/>
                <w:lang w:eastAsia="zh-CN"/>
              </w:rPr>
              <w:t xml:space="preserve"> and on </w:t>
            </w:r>
            <w:r w:rsidRPr="00AB793C">
              <w:rPr>
                <w:sz w:val="16"/>
                <w:szCs w:val="16"/>
                <w:lang w:eastAsia="zh-CN"/>
              </w:rPr>
              <w:t>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Cooperation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18:00 - 19:30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>Schedule of adhoc/drafting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419"/>
      </w:tblGrid>
      <w:tr w:rsidR="00EE32CC" w:rsidTr="00EE32CC">
        <w:tc>
          <w:tcPr>
            <w:tcW w:w="3114" w:type="dxa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Date</w:t>
            </w:r>
          </w:p>
        </w:tc>
        <w:tc>
          <w:tcPr>
            <w:tcW w:w="1701" w:type="dxa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Time</w:t>
            </w:r>
          </w:p>
        </w:tc>
        <w:tc>
          <w:tcPr>
            <w:tcW w:w="4961" w:type="dxa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Title</w:t>
            </w:r>
          </w:p>
        </w:tc>
        <w:tc>
          <w:tcPr>
            <w:tcW w:w="1419" w:type="dxa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Room</w:t>
            </w:r>
          </w:p>
        </w:tc>
      </w:tr>
      <w:tr w:rsidR="00EE32CC" w:rsidTr="00EE32CC">
        <w:tc>
          <w:tcPr>
            <w:tcW w:w="3114" w:type="dxa"/>
          </w:tcPr>
          <w:p w:rsidR="00EE32CC" w:rsidRPr="00EE32CC" w:rsidRDefault="006C6873" w:rsidP="00EE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Wednesday, 25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 xml:space="preserve"> September 2019</w:t>
            </w:r>
          </w:p>
        </w:tc>
        <w:tc>
          <w:tcPr>
            <w:tcW w:w="1701" w:type="dxa"/>
          </w:tcPr>
          <w:p w:rsidR="00EE32CC" w:rsidRPr="00EE32CC" w:rsidRDefault="006C6873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08:00 – 09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>:30</w:t>
            </w:r>
          </w:p>
        </w:tc>
        <w:tc>
          <w:tcPr>
            <w:tcW w:w="496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EE32CC">
              <w:rPr>
                <w:rFonts w:asciiTheme="majorBidi" w:hAnsiTheme="majorBidi" w:cstheme="majorBidi"/>
                <w:szCs w:val="24"/>
              </w:rPr>
              <w:t>AHG on TSAG-C083</w:t>
            </w:r>
          </w:p>
        </w:tc>
        <w:tc>
          <w:tcPr>
            <w:tcW w:w="1419" w:type="dxa"/>
          </w:tcPr>
          <w:p w:rsidR="00EE32CC" w:rsidRPr="00EE32CC" w:rsidRDefault="000A350D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EE32CC" w:rsidTr="00EE32CC">
        <w:tc>
          <w:tcPr>
            <w:tcW w:w="3114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0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96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9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E32CC" w:rsidTr="00EE32CC">
        <w:tc>
          <w:tcPr>
            <w:tcW w:w="3114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0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96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9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E32CC" w:rsidTr="00EE32CC">
        <w:tc>
          <w:tcPr>
            <w:tcW w:w="3114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70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961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419" w:type="dxa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EE32CC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2B" w:rsidRDefault="007A372B">
      <w:pPr>
        <w:spacing w:before="0"/>
      </w:pPr>
      <w:r>
        <w:separator/>
      </w:r>
    </w:p>
  </w:endnote>
  <w:endnote w:type="continuationSeparator" w:id="0">
    <w:p w:rsidR="007A372B" w:rsidRDefault="007A37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2B" w:rsidRDefault="007A372B">
      <w:pPr>
        <w:spacing w:before="0"/>
      </w:pPr>
      <w:r>
        <w:separator/>
      </w:r>
    </w:p>
  </w:footnote>
  <w:footnote w:type="continuationSeparator" w:id="0">
    <w:p w:rsidR="007A372B" w:rsidRDefault="007A37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79A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-R2</w:t>
        </w:r>
      </w:p>
      <w:p w:rsidR="001644B2" w:rsidRPr="00280AFA" w:rsidRDefault="007A372B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79A">
          <w:rPr>
            <w:noProof/>
          </w:rPr>
          <w:t>- 3 -</w:t>
        </w:r>
        <w:r>
          <w:rPr>
            <w:noProof/>
          </w:rPr>
          <w:fldChar w:fldCharType="end"/>
        </w:r>
        <w:r>
          <w:rPr>
            <w:noProof/>
          </w:rPr>
          <w:br/>
          <w:t>TSAG-TD448-R2</w:t>
        </w:r>
      </w:p>
      <w:p w:rsidR="001644B2" w:rsidRPr="008B43C5" w:rsidRDefault="007A372B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0AD7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A37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79A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AF6B38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72DD"/>
    <w:rsid w:val="00B6758F"/>
    <w:rsid w:val="00B67640"/>
    <w:rsid w:val="00B678FA"/>
    <w:rsid w:val="00B7415E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4B08-AB2B-4B70-9A1A-598C2A5B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2018-02-20T13:51:00Z</cp:lastPrinted>
  <dcterms:created xsi:type="dcterms:W3CDTF">2019-09-12T19:13:00Z</dcterms:created>
  <dcterms:modified xsi:type="dcterms:W3CDTF">2019-09-12T19:13:00Z</dcterms:modified>
</cp:coreProperties>
</file>