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964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34"/>
        <w:gridCol w:w="284"/>
        <w:gridCol w:w="3667"/>
        <w:gridCol w:w="160"/>
        <w:gridCol w:w="284"/>
        <w:gridCol w:w="4111"/>
      </w:tblGrid>
      <w:tr w:rsidR="00A50418">
        <w:trPr>
          <w:trHeight w:val="346"/>
        </w:trPr>
        <w:tc>
          <w:tcPr>
            <w:tcW w:w="1134" w:type="dxa"/>
            <w:vMerge w:val="restart"/>
            <w:tcBorders>
              <w:top w:val="nil"/>
              <w:left w:val="nil"/>
              <w:bottom w:val="single" w:sz="12" w:space="0" w:color="000000"/>
              <w:right w:val="nil"/>
            </w:tcBorders>
            <w:shd w:val="clear" w:color="auto" w:fill="auto"/>
            <w:tcMar>
              <w:top w:w="80" w:type="dxa"/>
              <w:left w:w="80" w:type="dxa"/>
              <w:bottom w:w="80" w:type="dxa"/>
              <w:right w:w="80" w:type="dxa"/>
            </w:tcMar>
            <w:vAlign w:val="center"/>
          </w:tcPr>
          <w:p w:rsidR="00A50418" w:rsidRDefault="004C1E0C">
            <w:pPr>
              <w:pStyle w:val="Body"/>
              <w:jc w:val="center"/>
            </w:pPr>
            <w:bookmarkStart w:id="0" w:name="dnum" w:colFirst="2" w:colLast="2"/>
            <w:bookmarkStart w:id="1" w:name="dsg" w:colFirst="1" w:colLast="1"/>
            <w:bookmarkStart w:id="2" w:name="dtableau"/>
            <w:r>
              <w:rPr>
                <w:noProof/>
                <w:sz w:val="20"/>
                <w:szCs w:val="20"/>
              </w:rPr>
              <w:drawing>
                <wp:inline distT="0" distB="0" distL="0" distR="0">
                  <wp:extent cx="645612" cy="731063"/>
                  <wp:effectExtent l="0" t="0" r="0" b="0"/>
                  <wp:docPr id="1073741825" name="officeArt object" descr="ITU Logo&#10;&#10;ITU Logo"/>
                  <wp:cNvGraphicFramePr/>
                  <a:graphic xmlns:a="http://schemas.openxmlformats.org/drawingml/2006/main">
                    <a:graphicData uri="http://schemas.openxmlformats.org/drawingml/2006/picture">
                      <pic:pic xmlns:pic="http://schemas.openxmlformats.org/drawingml/2006/picture">
                        <pic:nvPicPr>
                          <pic:cNvPr id="1073741825" name="ITU Logo&#10;&#10;ITU Logo" descr="ITU LogoITU Logo"/>
                          <pic:cNvPicPr>
                            <a:picLocks noChangeAspect="1"/>
                          </pic:cNvPicPr>
                        </pic:nvPicPr>
                        <pic:blipFill>
                          <a:blip r:embed="rId7">
                            <a:extLst/>
                          </a:blip>
                          <a:srcRect/>
                          <a:stretch>
                            <a:fillRect/>
                          </a:stretch>
                        </pic:blipFill>
                        <pic:spPr>
                          <a:xfrm>
                            <a:off x="0" y="0"/>
                            <a:ext cx="645612" cy="731063"/>
                          </a:xfrm>
                          <a:prstGeom prst="rect">
                            <a:avLst/>
                          </a:prstGeom>
                          <a:ln w="12700" cap="flat">
                            <a:noFill/>
                            <a:miter lim="400000"/>
                          </a:ln>
                          <a:effectLst/>
                        </pic:spPr>
                      </pic:pic>
                    </a:graphicData>
                  </a:graphic>
                </wp:inline>
              </w:drawing>
            </w:r>
          </w:p>
        </w:tc>
        <w:tc>
          <w:tcPr>
            <w:tcW w:w="3951" w:type="dxa"/>
            <w:gridSpan w:val="2"/>
            <w:vMerge w:val="restart"/>
            <w:tcBorders>
              <w:top w:val="nil"/>
              <w:left w:val="nil"/>
              <w:bottom w:val="single" w:sz="12" w:space="0" w:color="000000"/>
              <w:right w:val="nil"/>
            </w:tcBorders>
            <w:shd w:val="clear" w:color="auto" w:fill="auto"/>
            <w:tcMar>
              <w:top w:w="80" w:type="dxa"/>
              <w:left w:w="80" w:type="dxa"/>
              <w:bottom w:w="80" w:type="dxa"/>
              <w:right w:w="80" w:type="dxa"/>
            </w:tcMar>
          </w:tcPr>
          <w:p w:rsidR="00A50418" w:rsidRDefault="004C1E0C">
            <w:pPr>
              <w:pStyle w:val="Body"/>
              <w:rPr>
                <w:sz w:val="16"/>
                <w:szCs w:val="16"/>
              </w:rPr>
            </w:pPr>
            <w:r>
              <w:rPr>
                <w:sz w:val="16"/>
                <w:szCs w:val="16"/>
              </w:rPr>
              <w:t>INTERNATIONAL TELECOMMUNICATION UNION</w:t>
            </w:r>
          </w:p>
          <w:p w:rsidR="00A50418" w:rsidRDefault="004C1E0C">
            <w:pPr>
              <w:pStyle w:val="Body"/>
              <w:rPr>
                <w:b/>
                <w:bCs/>
                <w:sz w:val="26"/>
                <w:szCs w:val="26"/>
              </w:rPr>
            </w:pPr>
            <w:r>
              <w:rPr>
                <w:b/>
                <w:bCs/>
                <w:sz w:val="26"/>
                <w:szCs w:val="26"/>
              </w:rPr>
              <w:t>TELECOMMUNICATION</w:t>
            </w:r>
            <w:r>
              <w:rPr>
                <w:rFonts w:ascii="Arial Unicode MS" w:eastAsia="Arial Unicode MS" w:hAnsi="Arial Unicode MS" w:cs="Arial Unicode MS"/>
                <w:sz w:val="26"/>
                <w:szCs w:val="26"/>
              </w:rPr>
              <w:br/>
            </w:r>
            <w:r>
              <w:rPr>
                <w:b/>
                <w:bCs/>
                <w:sz w:val="26"/>
                <w:szCs w:val="26"/>
              </w:rPr>
              <w:t>STANDARDIZATION SECTOR</w:t>
            </w:r>
          </w:p>
          <w:p w:rsidR="00A50418" w:rsidRDefault="004C1E0C">
            <w:pPr>
              <w:pStyle w:val="Body"/>
            </w:pPr>
            <w:r>
              <w:rPr>
                <w:sz w:val="20"/>
                <w:szCs w:val="20"/>
              </w:rPr>
              <w:t>STUDY PERIOD 2017-2020</w:t>
            </w:r>
          </w:p>
        </w:tc>
        <w:tc>
          <w:tcPr>
            <w:tcW w:w="4555" w:type="dxa"/>
            <w:gridSpan w:val="3"/>
            <w:tcBorders>
              <w:top w:val="nil"/>
              <w:left w:val="nil"/>
              <w:bottom w:val="nil"/>
              <w:right w:val="nil"/>
            </w:tcBorders>
            <w:shd w:val="clear" w:color="auto" w:fill="auto"/>
            <w:tcMar>
              <w:top w:w="80" w:type="dxa"/>
              <w:left w:w="80" w:type="dxa"/>
              <w:bottom w:w="80" w:type="dxa"/>
              <w:right w:w="80" w:type="dxa"/>
            </w:tcMar>
            <w:vAlign w:val="center"/>
          </w:tcPr>
          <w:p w:rsidR="00A50418" w:rsidRDefault="004C1E0C" w:rsidP="00FA31E6">
            <w:pPr>
              <w:pStyle w:val="Docnumber"/>
            </w:pPr>
            <w:r>
              <w:rPr>
                <w:lang w:val="pt-PT"/>
              </w:rPr>
              <w:t>SG12-</w:t>
            </w:r>
            <w:r>
              <w:t>TD</w:t>
            </w:r>
            <w:r w:rsidR="00FA31E6">
              <w:rPr>
                <w:lang w:val="pt-PT"/>
              </w:rPr>
              <w:t>712</w:t>
            </w:r>
          </w:p>
        </w:tc>
      </w:tr>
      <w:bookmarkEnd w:id="0"/>
      <w:tr w:rsidR="00A50418">
        <w:trPr>
          <w:trHeight w:val="308"/>
        </w:trPr>
        <w:tc>
          <w:tcPr>
            <w:tcW w:w="1134" w:type="dxa"/>
            <w:vMerge/>
            <w:tcBorders>
              <w:top w:val="nil"/>
              <w:left w:val="nil"/>
              <w:bottom w:val="single" w:sz="12" w:space="0" w:color="000000"/>
              <w:right w:val="nil"/>
            </w:tcBorders>
            <w:shd w:val="clear" w:color="auto" w:fill="auto"/>
          </w:tcPr>
          <w:p w:rsidR="00A50418" w:rsidRDefault="00A50418"/>
        </w:tc>
        <w:tc>
          <w:tcPr>
            <w:tcW w:w="3951" w:type="dxa"/>
            <w:gridSpan w:val="2"/>
            <w:vMerge/>
            <w:tcBorders>
              <w:top w:val="nil"/>
              <w:left w:val="nil"/>
              <w:bottom w:val="single" w:sz="12" w:space="0" w:color="000000"/>
              <w:right w:val="nil"/>
            </w:tcBorders>
            <w:shd w:val="clear" w:color="auto" w:fill="auto"/>
          </w:tcPr>
          <w:p w:rsidR="00A50418" w:rsidRDefault="00A50418"/>
        </w:tc>
        <w:tc>
          <w:tcPr>
            <w:tcW w:w="4555" w:type="dxa"/>
            <w:gridSpan w:val="3"/>
            <w:tcBorders>
              <w:top w:val="nil"/>
              <w:left w:val="nil"/>
              <w:bottom w:val="nil"/>
              <w:right w:val="nil"/>
            </w:tcBorders>
            <w:shd w:val="clear" w:color="auto" w:fill="auto"/>
            <w:tcMar>
              <w:top w:w="80" w:type="dxa"/>
              <w:left w:w="80" w:type="dxa"/>
              <w:bottom w:w="80" w:type="dxa"/>
              <w:right w:w="80" w:type="dxa"/>
            </w:tcMar>
          </w:tcPr>
          <w:p w:rsidR="00A50418" w:rsidRDefault="004C1E0C">
            <w:pPr>
              <w:pStyle w:val="Body"/>
              <w:jc w:val="right"/>
            </w:pPr>
            <w:r>
              <w:rPr>
                <w:b/>
                <w:bCs/>
                <w:sz w:val="28"/>
                <w:szCs w:val="28"/>
                <w:lang w:val="pt-PT"/>
              </w:rPr>
              <w:t>STUDY GROUP 12</w:t>
            </w:r>
          </w:p>
        </w:tc>
      </w:tr>
      <w:tr w:rsidR="00A50418">
        <w:trPr>
          <w:trHeight w:val="323"/>
        </w:trPr>
        <w:tc>
          <w:tcPr>
            <w:tcW w:w="1134" w:type="dxa"/>
            <w:vMerge/>
            <w:tcBorders>
              <w:top w:val="nil"/>
              <w:left w:val="nil"/>
              <w:bottom w:val="single" w:sz="12" w:space="0" w:color="000000"/>
              <w:right w:val="nil"/>
            </w:tcBorders>
            <w:shd w:val="clear" w:color="auto" w:fill="auto"/>
          </w:tcPr>
          <w:p w:rsidR="00A50418" w:rsidRDefault="00A50418"/>
        </w:tc>
        <w:tc>
          <w:tcPr>
            <w:tcW w:w="3951" w:type="dxa"/>
            <w:gridSpan w:val="2"/>
            <w:vMerge/>
            <w:tcBorders>
              <w:top w:val="nil"/>
              <w:left w:val="nil"/>
              <w:bottom w:val="single" w:sz="12" w:space="0" w:color="000000"/>
              <w:right w:val="nil"/>
            </w:tcBorders>
            <w:shd w:val="clear" w:color="auto" w:fill="auto"/>
          </w:tcPr>
          <w:p w:rsidR="00A50418" w:rsidRDefault="00A50418"/>
        </w:tc>
        <w:tc>
          <w:tcPr>
            <w:tcW w:w="4555" w:type="dxa"/>
            <w:gridSpan w:val="3"/>
            <w:tcBorders>
              <w:top w:val="nil"/>
              <w:left w:val="nil"/>
              <w:bottom w:val="single" w:sz="12" w:space="0" w:color="000000"/>
              <w:right w:val="nil"/>
            </w:tcBorders>
            <w:shd w:val="clear" w:color="auto" w:fill="auto"/>
            <w:tcMar>
              <w:top w:w="80" w:type="dxa"/>
              <w:left w:w="80" w:type="dxa"/>
              <w:bottom w:w="80" w:type="dxa"/>
              <w:right w:w="80" w:type="dxa"/>
            </w:tcMar>
            <w:vAlign w:val="center"/>
          </w:tcPr>
          <w:p w:rsidR="00A50418" w:rsidRDefault="004C1E0C">
            <w:pPr>
              <w:pStyle w:val="Body"/>
              <w:jc w:val="right"/>
            </w:pPr>
            <w:r>
              <w:rPr>
                <w:b/>
                <w:bCs/>
                <w:sz w:val="28"/>
                <w:szCs w:val="28"/>
              </w:rPr>
              <w:t>Original: English</w:t>
            </w:r>
          </w:p>
        </w:tc>
      </w:tr>
      <w:tr w:rsidR="00A50418">
        <w:trPr>
          <w:trHeight w:val="305"/>
        </w:trPr>
        <w:tc>
          <w:tcPr>
            <w:tcW w:w="1418" w:type="dxa"/>
            <w:gridSpan w:val="2"/>
            <w:tcBorders>
              <w:top w:val="single" w:sz="12" w:space="0" w:color="000000"/>
              <w:left w:val="nil"/>
              <w:bottom w:val="nil"/>
              <w:right w:val="nil"/>
            </w:tcBorders>
            <w:shd w:val="clear" w:color="auto" w:fill="auto"/>
            <w:tcMar>
              <w:top w:w="80" w:type="dxa"/>
              <w:left w:w="80" w:type="dxa"/>
              <w:bottom w:w="80" w:type="dxa"/>
              <w:right w:w="80" w:type="dxa"/>
            </w:tcMar>
          </w:tcPr>
          <w:p w:rsidR="00A50418" w:rsidRDefault="004C1E0C">
            <w:pPr>
              <w:pStyle w:val="Body"/>
            </w:pPr>
            <w:bookmarkStart w:id="3" w:name="dbluepink" w:colFirst="1" w:colLast="1"/>
            <w:bookmarkStart w:id="4" w:name="dmeeting" w:colFirst="2" w:colLast="2"/>
            <w:bookmarkEnd w:id="1"/>
            <w:r>
              <w:rPr>
                <w:b/>
                <w:bCs/>
              </w:rPr>
              <w:t>Question(s):</w:t>
            </w:r>
          </w:p>
        </w:tc>
        <w:tc>
          <w:tcPr>
            <w:tcW w:w="3827" w:type="dxa"/>
            <w:gridSpan w:val="2"/>
            <w:tcBorders>
              <w:top w:val="single" w:sz="12" w:space="0" w:color="000000"/>
              <w:left w:val="nil"/>
              <w:bottom w:val="nil"/>
              <w:right w:val="nil"/>
            </w:tcBorders>
            <w:shd w:val="clear" w:color="auto" w:fill="auto"/>
            <w:tcMar>
              <w:top w:w="80" w:type="dxa"/>
              <w:left w:w="80" w:type="dxa"/>
              <w:bottom w:w="80" w:type="dxa"/>
              <w:right w:w="80" w:type="dxa"/>
            </w:tcMar>
          </w:tcPr>
          <w:p w:rsidR="00A50418" w:rsidRDefault="004C1E0C">
            <w:pPr>
              <w:pStyle w:val="Body"/>
            </w:pPr>
            <w:r>
              <w:rPr>
                <w:rFonts w:eastAsia="Arial Unicode MS" w:cs="Arial Unicode MS"/>
                <w:lang w:val="pt-PT"/>
              </w:rPr>
              <w:t>12/12</w:t>
            </w:r>
          </w:p>
        </w:tc>
        <w:tc>
          <w:tcPr>
            <w:tcW w:w="4395" w:type="dxa"/>
            <w:gridSpan w:val="2"/>
            <w:tcBorders>
              <w:top w:val="single" w:sz="12" w:space="0" w:color="000000"/>
              <w:left w:val="nil"/>
              <w:bottom w:val="nil"/>
              <w:right w:val="nil"/>
            </w:tcBorders>
            <w:shd w:val="clear" w:color="auto" w:fill="auto"/>
            <w:tcMar>
              <w:top w:w="80" w:type="dxa"/>
              <w:left w:w="80" w:type="dxa"/>
              <w:bottom w:w="80" w:type="dxa"/>
              <w:right w:w="80" w:type="dxa"/>
            </w:tcMar>
          </w:tcPr>
          <w:p w:rsidR="00A50418" w:rsidRDefault="004C1E0C">
            <w:pPr>
              <w:pStyle w:val="Body"/>
              <w:jc w:val="right"/>
            </w:pPr>
            <w:r>
              <w:t>Geneva, 27 November - 6 December 2018</w:t>
            </w:r>
          </w:p>
        </w:tc>
      </w:tr>
      <w:tr w:rsidR="00A50418" w:rsidTr="00FA31E6">
        <w:trPr>
          <w:trHeight w:val="218"/>
        </w:trPr>
        <w:tc>
          <w:tcPr>
            <w:tcW w:w="9640" w:type="dxa"/>
            <w:gridSpan w:val="6"/>
            <w:tcBorders>
              <w:top w:val="nil"/>
              <w:left w:val="nil"/>
              <w:bottom w:val="nil"/>
              <w:right w:val="nil"/>
            </w:tcBorders>
            <w:shd w:val="clear" w:color="auto" w:fill="auto"/>
            <w:tcMar>
              <w:top w:w="80" w:type="dxa"/>
              <w:left w:w="80" w:type="dxa"/>
              <w:bottom w:w="80" w:type="dxa"/>
              <w:right w:w="80" w:type="dxa"/>
            </w:tcMar>
          </w:tcPr>
          <w:p w:rsidR="00A50418" w:rsidRDefault="004C1E0C">
            <w:pPr>
              <w:pStyle w:val="Body"/>
              <w:jc w:val="center"/>
            </w:pPr>
            <w:bookmarkStart w:id="5" w:name="dtitle" w:colFirst="0" w:colLast="0"/>
            <w:bookmarkEnd w:id="3"/>
            <w:bookmarkEnd w:id="4"/>
            <w:r>
              <w:rPr>
                <w:b/>
                <w:bCs/>
                <w:lang w:val="pt-PT"/>
              </w:rPr>
              <w:t>TD</w:t>
            </w:r>
          </w:p>
        </w:tc>
      </w:tr>
      <w:tr w:rsidR="00A50418" w:rsidTr="00FA31E6">
        <w:trPr>
          <w:trHeight w:val="226"/>
        </w:trPr>
        <w:tc>
          <w:tcPr>
            <w:tcW w:w="1418" w:type="dxa"/>
            <w:gridSpan w:val="2"/>
            <w:tcBorders>
              <w:top w:val="nil"/>
              <w:left w:val="nil"/>
              <w:bottom w:val="nil"/>
              <w:right w:val="nil"/>
            </w:tcBorders>
            <w:shd w:val="clear" w:color="auto" w:fill="auto"/>
            <w:tcMar>
              <w:top w:w="80" w:type="dxa"/>
              <w:left w:w="80" w:type="dxa"/>
              <w:bottom w:w="80" w:type="dxa"/>
              <w:right w:w="80" w:type="dxa"/>
            </w:tcMar>
          </w:tcPr>
          <w:p w:rsidR="00A50418" w:rsidRDefault="004C1E0C">
            <w:pPr>
              <w:pStyle w:val="Body"/>
            </w:pPr>
            <w:bookmarkStart w:id="6" w:name="dsource" w:colFirst="1" w:colLast="1"/>
            <w:bookmarkEnd w:id="5"/>
            <w:r>
              <w:rPr>
                <w:b/>
                <w:bCs/>
              </w:rPr>
              <w:t>Source:</w:t>
            </w:r>
          </w:p>
        </w:tc>
        <w:tc>
          <w:tcPr>
            <w:tcW w:w="8222" w:type="dxa"/>
            <w:gridSpan w:val="4"/>
            <w:tcBorders>
              <w:top w:val="nil"/>
              <w:left w:val="nil"/>
              <w:bottom w:val="nil"/>
              <w:right w:val="nil"/>
            </w:tcBorders>
            <w:shd w:val="clear" w:color="auto" w:fill="auto"/>
            <w:tcMar>
              <w:top w:w="80" w:type="dxa"/>
              <w:left w:w="80" w:type="dxa"/>
              <w:bottom w:w="80" w:type="dxa"/>
              <w:right w:w="80" w:type="dxa"/>
            </w:tcMar>
          </w:tcPr>
          <w:p w:rsidR="00A50418" w:rsidRDefault="004C1E0C" w:rsidP="00FA31E6">
            <w:pPr>
              <w:pStyle w:val="Body"/>
            </w:pPr>
            <w:r>
              <w:rPr>
                <w:rFonts w:eastAsia="Arial Unicode MS" w:cs="Arial Unicode MS"/>
                <w:lang w:val="pt-PT"/>
              </w:rPr>
              <w:t>Editor</w:t>
            </w:r>
            <w:r w:rsidR="000C7B13">
              <w:rPr>
                <w:rFonts w:eastAsia="Arial Unicode MS" w:cs="Arial Unicode MS"/>
                <w:lang w:val="pt-PT"/>
              </w:rPr>
              <w:t xml:space="preserve"> </w:t>
            </w:r>
            <w:r>
              <w:rPr>
                <w:rFonts w:eastAsia="Arial Unicode MS" w:cs="Arial Unicode MS"/>
                <w:lang w:val="pt-PT"/>
              </w:rPr>
              <w:t>E.RQUAL</w:t>
            </w:r>
          </w:p>
        </w:tc>
      </w:tr>
      <w:tr w:rsidR="00A50418" w:rsidTr="00FA31E6">
        <w:trPr>
          <w:trHeight w:val="92"/>
        </w:trPr>
        <w:tc>
          <w:tcPr>
            <w:tcW w:w="1418" w:type="dxa"/>
            <w:gridSpan w:val="2"/>
            <w:tcBorders>
              <w:top w:val="nil"/>
              <w:left w:val="nil"/>
              <w:bottom w:val="single" w:sz="6" w:space="0" w:color="000000"/>
              <w:right w:val="nil"/>
            </w:tcBorders>
            <w:shd w:val="clear" w:color="auto" w:fill="auto"/>
            <w:tcMar>
              <w:top w:w="80" w:type="dxa"/>
              <w:left w:w="80" w:type="dxa"/>
              <w:bottom w:w="80" w:type="dxa"/>
              <w:right w:w="80" w:type="dxa"/>
            </w:tcMar>
          </w:tcPr>
          <w:p w:rsidR="00A50418" w:rsidRDefault="004C1E0C">
            <w:pPr>
              <w:pStyle w:val="Body"/>
            </w:pPr>
            <w:bookmarkStart w:id="7" w:name="dtitle1" w:colFirst="1" w:colLast="1"/>
            <w:bookmarkEnd w:id="6"/>
            <w:r>
              <w:rPr>
                <w:rFonts w:eastAsia="Arial Unicode MS" w:cs="Arial Unicode MS"/>
                <w:b/>
                <w:bCs/>
              </w:rPr>
              <w:t>Title:</w:t>
            </w:r>
          </w:p>
        </w:tc>
        <w:tc>
          <w:tcPr>
            <w:tcW w:w="8222" w:type="dxa"/>
            <w:gridSpan w:val="4"/>
            <w:tcBorders>
              <w:top w:val="nil"/>
              <w:left w:val="nil"/>
              <w:bottom w:val="single" w:sz="6" w:space="0" w:color="000000"/>
              <w:right w:val="nil"/>
            </w:tcBorders>
            <w:shd w:val="clear" w:color="auto" w:fill="auto"/>
            <w:tcMar>
              <w:top w:w="80" w:type="dxa"/>
              <w:left w:w="80" w:type="dxa"/>
              <w:bottom w:w="80" w:type="dxa"/>
              <w:right w:w="80" w:type="dxa"/>
            </w:tcMar>
          </w:tcPr>
          <w:p w:rsidR="00A50418" w:rsidRDefault="00FA31E6">
            <w:pPr>
              <w:pStyle w:val="Body"/>
            </w:pPr>
            <w:bookmarkStart w:id="8" w:name="_GoBack"/>
            <w:r w:rsidRPr="00FA31E6">
              <w:rPr>
                <w:rFonts w:eastAsia="Arial Unicode MS" w:cs="Arial Unicode MS"/>
              </w:rPr>
              <w:t xml:space="preserve">Revised </w:t>
            </w:r>
            <w:proofErr w:type="spellStart"/>
            <w:r w:rsidRPr="00FA31E6">
              <w:rPr>
                <w:rFonts w:eastAsia="Arial Unicode MS" w:cs="Arial Unicode MS"/>
              </w:rPr>
              <w:t>basetext</w:t>
            </w:r>
            <w:proofErr w:type="spellEnd"/>
            <w:r w:rsidRPr="00FA31E6">
              <w:rPr>
                <w:rFonts w:eastAsia="Arial Unicode MS" w:cs="Arial Unicode MS"/>
              </w:rPr>
              <w:t xml:space="preserve"> E.RQUAL</w:t>
            </w:r>
            <w:bookmarkEnd w:id="8"/>
          </w:p>
        </w:tc>
      </w:tr>
      <w:bookmarkEnd w:id="2"/>
      <w:bookmarkEnd w:id="7"/>
      <w:tr w:rsidR="00A50418">
        <w:trPr>
          <w:trHeight w:val="905"/>
        </w:trPr>
        <w:tc>
          <w:tcPr>
            <w:tcW w:w="1418" w:type="dxa"/>
            <w:gridSpan w:val="2"/>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A50418" w:rsidRDefault="004C1E0C">
            <w:pPr>
              <w:pStyle w:val="Body"/>
            </w:pPr>
            <w:r>
              <w:rPr>
                <w:b/>
                <w:bCs/>
              </w:rPr>
              <w:t>Contact:</w:t>
            </w:r>
          </w:p>
        </w:tc>
        <w:tc>
          <w:tcPr>
            <w:tcW w:w="4111"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A50418" w:rsidRDefault="004C1E0C">
            <w:pPr>
              <w:pStyle w:val="Body"/>
            </w:pPr>
            <w:r>
              <w:rPr>
                <w:rFonts w:eastAsia="Arial Unicode MS" w:cs="Arial Unicode MS"/>
                <w:lang w:val="pt-PT"/>
              </w:rPr>
              <w:t>Tiago Sousa Prado</w:t>
            </w:r>
            <w:r>
              <w:rPr>
                <w:rFonts w:ascii="Arial Unicode MS" w:eastAsia="Arial Unicode MS" w:hAnsi="Arial Unicode MS" w:cs="Arial Unicode MS"/>
                <w:lang w:val="pt-PT"/>
              </w:rPr>
              <w:br/>
            </w:r>
            <w:r>
              <w:rPr>
                <w:rFonts w:eastAsia="Arial Unicode MS" w:cs="Arial Unicode MS"/>
                <w:lang w:val="pt-PT"/>
              </w:rPr>
              <w:t>National Telecommunications Agency</w:t>
            </w:r>
            <w:r>
              <w:rPr>
                <w:rFonts w:ascii="Arial Unicode MS" w:eastAsia="Arial Unicode MS" w:hAnsi="Arial Unicode MS" w:cs="Arial Unicode MS"/>
                <w:lang w:val="pt-PT"/>
              </w:rPr>
              <w:br/>
            </w:r>
            <w:r>
              <w:rPr>
                <w:rFonts w:eastAsia="Arial Unicode MS" w:cs="Arial Unicode MS"/>
                <w:lang w:val="pt-PT"/>
              </w:rPr>
              <w:t>Brazil</w:t>
            </w:r>
          </w:p>
        </w:tc>
        <w:tc>
          <w:tcPr>
            <w:tcW w:w="4111"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A50418" w:rsidRDefault="004C1E0C">
            <w:pPr>
              <w:pStyle w:val="Body"/>
            </w:pPr>
            <w:r>
              <w:rPr>
                <w:rFonts w:eastAsia="Arial Unicode MS" w:cs="Arial Unicode MS"/>
                <w:lang w:val="pt-PT"/>
              </w:rPr>
              <w:t xml:space="preserve">Tel: </w:t>
            </w:r>
            <w:r>
              <w:rPr>
                <w:rFonts w:eastAsia="Arial Unicode MS" w:cs="Arial Unicode MS"/>
                <w:lang w:val="pt-PT"/>
              </w:rPr>
              <w:tab/>
              <w:t>+55 61 2312-2617</w:t>
            </w:r>
            <w:r>
              <w:rPr>
                <w:rFonts w:ascii="Arial Unicode MS" w:eastAsia="Arial Unicode MS" w:hAnsi="Arial Unicode MS" w:cs="Arial Unicode MS"/>
                <w:lang w:val="pt-PT"/>
              </w:rPr>
              <w:br/>
            </w:r>
            <w:r>
              <w:rPr>
                <w:rFonts w:eastAsia="Arial Unicode MS" w:cs="Arial Unicode MS"/>
                <w:lang w:val="pt-PT"/>
              </w:rPr>
              <w:t xml:space="preserve">Fax: </w:t>
            </w:r>
            <w:r>
              <w:rPr>
                <w:rFonts w:eastAsia="Arial Unicode MS" w:cs="Arial Unicode MS"/>
                <w:lang w:val="pt-PT"/>
              </w:rPr>
              <w:tab/>
              <w:t>+55 61 2312-2793</w:t>
            </w:r>
            <w:r>
              <w:rPr>
                <w:rFonts w:ascii="Arial Unicode MS" w:eastAsia="Arial Unicode MS" w:hAnsi="Arial Unicode MS" w:cs="Arial Unicode MS"/>
                <w:lang w:val="pt-PT"/>
              </w:rPr>
              <w:br/>
            </w:r>
            <w:r>
              <w:rPr>
                <w:rFonts w:eastAsia="Arial Unicode MS" w:cs="Arial Unicode MS"/>
                <w:lang w:val="pt-PT"/>
              </w:rPr>
              <w:t xml:space="preserve">E-mail: </w:t>
            </w:r>
            <w:hyperlink r:id="rId8" w:history="1">
              <w:r>
                <w:rPr>
                  <w:rStyle w:val="Hyperlink0"/>
                  <w:rFonts w:eastAsia="Arial Unicode MS" w:cs="Arial Unicode MS"/>
                </w:rPr>
                <w:t>tiago.prado@anatel.gov.br</w:t>
              </w:r>
            </w:hyperlink>
          </w:p>
        </w:tc>
      </w:tr>
    </w:tbl>
    <w:p w:rsidR="00A50418" w:rsidRDefault="00A50418">
      <w:pPr>
        <w:pStyle w:val="Body"/>
      </w:pPr>
    </w:p>
    <w:tbl>
      <w:tblPr>
        <w:tblW w:w="964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8"/>
        <w:gridCol w:w="8222"/>
      </w:tblGrid>
      <w:tr w:rsidR="00A50418">
        <w:trPr>
          <w:trHeight w:val="290"/>
        </w:trPr>
        <w:tc>
          <w:tcPr>
            <w:tcW w:w="1418" w:type="dxa"/>
            <w:tcBorders>
              <w:top w:val="nil"/>
              <w:left w:val="nil"/>
              <w:bottom w:val="nil"/>
              <w:right w:val="nil"/>
            </w:tcBorders>
            <w:shd w:val="clear" w:color="auto" w:fill="auto"/>
            <w:tcMar>
              <w:top w:w="80" w:type="dxa"/>
              <w:left w:w="80" w:type="dxa"/>
              <w:bottom w:w="80" w:type="dxa"/>
              <w:right w:w="80" w:type="dxa"/>
            </w:tcMar>
          </w:tcPr>
          <w:p w:rsidR="00A50418" w:rsidRDefault="004C1E0C">
            <w:pPr>
              <w:pStyle w:val="Body"/>
            </w:pPr>
            <w:r>
              <w:rPr>
                <w:b/>
                <w:bCs/>
              </w:rPr>
              <w:t>Keywords:</w:t>
            </w:r>
          </w:p>
        </w:tc>
        <w:tc>
          <w:tcPr>
            <w:tcW w:w="8222" w:type="dxa"/>
            <w:tcBorders>
              <w:top w:val="nil"/>
              <w:left w:val="nil"/>
              <w:bottom w:val="nil"/>
              <w:right w:val="nil"/>
            </w:tcBorders>
            <w:shd w:val="clear" w:color="auto" w:fill="auto"/>
            <w:tcMar>
              <w:top w:w="80" w:type="dxa"/>
              <w:left w:w="80" w:type="dxa"/>
              <w:bottom w:w="80" w:type="dxa"/>
              <w:right w:w="80" w:type="dxa"/>
            </w:tcMar>
          </w:tcPr>
          <w:p w:rsidR="00A50418" w:rsidRDefault="004C1E0C">
            <w:pPr>
              <w:pStyle w:val="Body"/>
            </w:pPr>
            <w:r>
              <w:rPr>
                <w:rFonts w:eastAsia="Arial Unicode MS" w:cs="Arial Unicode MS"/>
              </w:rPr>
              <w:t>QoS; quality of service</w:t>
            </w:r>
          </w:p>
        </w:tc>
      </w:tr>
      <w:tr w:rsidR="00A50418" w:rsidTr="005D288F">
        <w:trPr>
          <w:trHeight w:val="853"/>
        </w:trPr>
        <w:tc>
          <w:tcPr>
            <w:tcW w:w="1418" w:type="dxa"/>
            <w:tcBorders>
              <w:top w:val="nil"/>
              <w:left w:val="nil"/>
              <w:bottom w:val="nil"/>
              <w:right w:val="nil"/>
            </w:tcBorders>
            <w:shd w:val="clear" w:color="auto" w:fill="auto"/>
            <w:tcMar>
              <w:top w:w="80" w:type="dxa"/>
              <w:left w:w="80" w:type="dxa"/>
              <w:bottom w:w="80" w:type="dxa"/>
              <w:right w:w="80" w:type="dxa"/>
            </w:tcMar>
          </w:tcPr>
          <w:p w:rsidR="00A50418" w:rsidRDefault="004C1E0C">
            <w:pPr>
              <w:pStyle w:val="Body"/>
            </w:pPr>
            <w:r>
              <w:rPr>
                <w:b/>
                <w:bCs/>
              </w:rPr>
              <w:t>Abstract:</w:t>
            </w:r>
          </w:p>
        </w:tc>
        <w:tc>
          <w:tcPr>
            <w:tcW w:w="8222" w:type="dxa"/>
            <w:tcBorders>
              <w:top w:val="nil"/>
              <w:left w:val="nil"/>
              <w:bottom w:val="nil"/>
              <w:right w:val="nil"/>
            </w:tcBorders>
            <w:shd w:val="clear" w:color="auto" w:fill="auto"/>
            <w:tcMar>
              <w:top w:w="80" w:type="dxa"/>
              <w:left w:w="80" w:type="dxa"/>
              <w:bottom w:w="80" w:type="dxa"/>
              <w:right w:w="80" w:type="dxa"/>
            </w:tcMar>
          </w:tcPr>
          <w:p w:rsidR="00A50418" w:rsidRDefault="004C1E0C" w:rsidP="00E80476">
            <w:pPr>
              <w:pStyle w:val="Body"/>
              <w:jc w:val="both"/>
            </w:pPr>
            <w:r>
              <w:t>Th</w:t>
            </w:r>
            <w:r w:rsidR="00E80476">
              <w:t xml:space="preserve">is document contains the </w:t>
            </w:r>
            <w:proofErr w:type="spellStart"/>
            <w:r w:rsidR="00E80476">
              <w:t>basetext</w:t>
            </w:r>
            <w:proofErr w:type="spellEnd"/>
            <w:r w:rsidR="00E80476">
              <w:t xml:space="preserve"> of work item E.RQUAL: </w:t>
            </w:r>
            <w:r w:rsidR="00E80476" w:rsidRPr="00E80476">
              <w:t>Strategies to Establish Quality Regulatory Frameworks</w:t>
            </w:r>
            <w:r w:rsidR="00E80476">
              <w:t>.</w:t>
            </w:r>
          </w:p>
        </w:tc>
      </w:tr>
    </w:tbl>
    <w:p w:rsidR="00A50418" w:rsidRDefault="00A50418">
      <w:pPr>
        <w:pStyle w:val="Body"/>
        <w:jc w:val="both"/>
      </w:pPr>
    </w:p>
    <w:p w:rsidR="00A50418" w:rsidRDefault="004C1E0C" w:rsidP="000C7B13">
      <w:pPr>
        <w:pStyle w:val="Body"/>
        <w:jc w:val="both"/>
        <w:rPr>
          <w:b/>
          <w:bCs/>
        </w:rPr>
      </w:pPr>
      <w:r>
        <w:t>This TD is the latest ve</w:t>
      </w:r>
      <w:r w:rsidR="000C7B13">
        <w:t>rsion of the Draft Rec. E.RQUAL</w:t>
      </w:r>
      <w:r w:rsidR="00123E84">
        <w:t>,</w:t>
      </w:r>
      <w:r>
        <w:t xml:space="preserve"> refl</w:t>
      </w:r>
      <w:r w:rsidR="000C7B13">
        <w:t>ect</w:t>
      </w:r>
      <w:r w:rsidR="00123E84">
        <w:t>ing</w:t>
      </w:r>
      <w:r w:rsidR="000C7B13">
        <w:t xml:space="preserve"> the Q12/12 discussions on c</w:t>
      </w:r>
      <w:r>
        <w:t>ontribution</w:t>
      </w:r>
      <w:r w:rsidR="000C7B13">
        <w:t>s SG12-C252 and</w:t>
      </w:r>
      <w:r>
        <w:t xml:space="preserve"> SG12-C314R1 </w:t>
      </w:r>
      <w:r w:rsidR="00123E84">
        <w:t xml:space="preserve">during the SG 12 meeting hold </w:t>
      </w:r>
      <w:r>
        <w:t xml:space="preserve">in Geneva, </w:t>
      </w:r>
      <w:r w:rsidR="00123E84">
        <w:t>from 27 November to</w:t>
      </w:r>
      <w:r>
        <w:t xml:space="preserve"> 6 December 2018</w:t>
      </w:r>
      <w:r w:rsidR="00123E84">
        <w:t>. The text is in tracking changes over the TD434R1</w:t>
      </w:r>
      <w:r>
        <w:t>.</w:t>
      </w:r>
    </w:p>
    <w:p w:rsidR="000C7B13" w:rsidRDefault="000C7B13" w:rsidP="000C7B13">
      <w:pPr>
        <w:pStyle w:val="Body"/>
      </w:pPr>
    </w:p>
    <w:p w:rsidR="000C7B13" w:rsidRDefault="000C7B13">
      <w:pPr>
        <w:rPr>
          <w:rFonts w:eastAsia="Times New Roman"/>
          <w:color w:val="000000"/>
          <w:u w:color="000000"/>
        </w:rPr>
      </w:pPr>
      <w:r>
        <w:br w:type="page"/>
      </w:r>
    </w:p>
    <w:p w:rsidR="00123E84" w:rsidRPr="00123E84" w:rsidRDefault="00123E84" w:rsidP="00123E84">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jc w:val="center"/>
        <w:textAlignment w:val="baseline"/>
        <w:rPr>
          <w:rFonts w:eastAsia="SimSun"/>
          <w:b/>
          <w:sz w:val="28"/>
          <w:szCs w:val="20"/>
          <w:bdr w:val="none" w:sz="0" w:space="0" w:color="auto"/>
          <w:lang w:val="en-GB" w:eastAsia="ja-JP"/>
        </w:rPr>
      </w:pPr>
      <w:r w:rsidRPr="00123E84">
        <w:rPr>
          <w:rFonts w:eastAsia="SimSun"/>
          <w:b/>
          <w:sz w:val="28"/>
          <w:szCs w:val="20"/>
          <w:bdr w:val="none" w:sz="0" w:space="0" w:color="auto"/>
          <w:lang w:val="en-GB" w:eastAsia="ja-JP"/>
        </w:rPr>
        <w:lastRenderedPageBreak/>
        <w:t>Draft Recommendation E.RQUAL</w:t>
      </w:r>
    </w:p>
    <w:p w:rsidR="00123E84" w:rsidRPr="00123E84" w:rsidRDefault="00123E84" w:rsidP="00123E84">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jc w:val="center"/>
        <w:textAlignment w:val="baseline"/>
        <w:rPr>
          <w:rFonts w:eastAsia="SimSun"/>
          <w:b/>
          <w:sz w:val="28"/>
          <w:szCs w:val="20"/>
          <w:bdr w:val="none" w:sz="0" w:space="0" w:color="auto"/>
          <w:lang w:val="en-GB" w:eastAsia="ja-JP"/>
        </w:rPr>
      </w:pPr>
      <w:r w:rsidRPr="00123E84">
        <w:rPr>
          <w:rFonts w:eastAsia="SimSun"/>
          <w:b/>
          <w:sz w:val="28"/>
          <w:szCs w:val="20"/>
          <w:bdr w:val="none" w:sz="0" w:space="0" w:color="auto"/>
          <w:lang w:val="en-GB" w:eastAsia="ja-JP"/>
        </w:rPr>
        <w:t>Strategies to Establish Quality Regulatory Frameworks</w:t>
      </w:r>
    </w:p>
    <w:p w:rsidR="00123E84" w:rsidRPr="00123E84" w:rsidRDefault="00123E84" w:rsidP="00123E84">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60"/>
        <w:textAlignment w:val="baseline"/>
        <w:rPr>
          <w:rFonts w:eastAsia="Times New Roman"/>
          <w:b/>
          <w:szCs w:val="20"/>
          <w:bdr w:val="none" w:sz="0" w:space="0" w:color="auto"/>
          <w:lang w:val="en-GB"/>
        </w:rPr>
      </w:pPr>
    </w:p>
    <w:p w:rsidR="00123E84" w:rsidRPr="00123E84" w:rsidRDefault="00123E84" w:rsidP="00123E84">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60"/>
        <w:textAlignment w:val="baseline"/>
        <w:rPr>
          <w:rFonts w:eastAsia="Times New Roman"/>
          <w:b/>
          <w:szCs w:val="20"/>
          <w:bdr w:val="none" w:sz="0" w:space="0" w:color="auto"/>
          <w:lang w:val="en-GB"/>
        </w:rPr>
      </w:pPr>
      <w:r w:rsidRPr="00123E84">
        <w:rPr>
          <w:rFonts w:eastAsia="Times New Roman"/>
          <w:b/>
          <w:szCs w:val="20"/>
          <w:bdr w:val="none" w:sz="0" w:space="0" w:color="auto"/>
          <w:lang w:val="en-GB"/>
        </w:rPr>
        <w:t>Summary</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val="en-GB" w:eastAsia="ja-JP"/>
        </w:rPr>
      </w:pPr>
      <w:r w:rsidRPr="00123E84">
        <w:rPr>
          <w:rFonts w:eastAsia="SimSun"/>
          <w:bdr w:val="none" w:sz="0" w:space="0" w:color="auto"/>
          <w:lang w:val="en-GB" w:eastAsia="ja-JP"/>
        </w:rPr>
        <w:t>The WTSA Resolution 95 (</w:t>
      </w:r>
      <w:proofErr w:type="spellStart"/>
      <w:r w:rsidRPr="00123E84">
        <w:rPr>
          <w:rFonts w:eastAsia="SimSun"/>
          <w:bdr w:val="none" w:sz="0" w:space="0" w:color="auto"/>
          <w:lang w:val="en-GB" w:eastAsia="ja-JP"/>
        </w:rPr>
        <w:t>Hammamet</w:t>
      </w:r>
      <w:proofErr w:type="spellEnd"/>
      <w:r w:rsidRPr="00123E84">
        <w:rPr>
          <w:rFonts w:eastAsia="SimSun"/>
          <w:bdr w:val="none" w:sz="0" w:space="0" w:color="auto"/>
          <w:lang w:val="en-GB" w:eastAsia="ja-JP"/>
        </w:rPr>
        <w:t xml:space="preserve">, 2016) resolves </w:t>
      </w:r>
      <w:r w:rsidRPr="00123E84">
        <w:rPr>
          <w:rFonts w:eastAsia="SimSun" w:hint="eastAsia"/>
          <w:bdr w:val="none" w:sz="0" w:space="0" w:color="auto"/>
          <w:lang w:val="en-GB" w:eastAsia="ja-JP"/>
        </w:rPr>
        <w:t xml:space="preserve">that the ITU Telecommunication Standardization Sector, </w:t>
      </w:r>
      <w:r w:rsidRPr="00123E84">
        <w:rPr>
          <w:rFonts w:eastAsia="SimSun"/>
          <w:bdr w:val="none" w:sz="0" w:space="0" w:color="auto"/>
          <w:lang w:val="en-GB" w:eastAsia="ja-JP"/>
        </w:rPr>
        <w:t xml:space="preserve">in close collaboration with ITU-D and the ITU regional offices, provides references that assist developing and least developed countries in establishing a national quality measurement framework suitable to perform QoS and QoE measurement. The same WTSA Resolution also </w:t>
      </w:r>
      <w:r w:rsidRPr="00123E84">
        <w:rPr>
          <w:rFonts w:eastAsia="SimSun" w:hint="eastAsia"/>
          <w:bdr w:val="none" w:sz="0" w:space="0" w:color="auto"/>
          <w:lang w:val="en-GB" w:eastAsia="ja-JP"/>
        </w:rPr>
        <w:t xml:space="preserve">instructs study groups of the ITU Telecommunication Standardization Sector, according to their mandate, </w:t>
      </w:r>
      <w:r w:rsidRPr="00123E84">
        <w:rPr>
          <w:rFonts w:eastAsia="SimSun"/>
          <w:bdr w:val="none" w:sz="0" w:space="0" w:color="auto"/>
          <w:lang w:val="en-GB" w:eastAsia="ja-JP"/>
        </w:rPr>
        <w:t>to elaborate Recommendations providing guidance to regulators in regard to defining strategies and testing methodologies to monitor and measure QoS and QoE. In this regard, this recommendation creates a useful international reference to be considered by governments aiming to establish national or regional quality regulatory frameworks.</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val="en-GB" w:eastAsia="ja-JP"/>
        </w:rPr>
      </w:pPr>
    </w:p>
    <w:p w:rsidR="00123E84" w:rsidRPr="00123E84" w:rsidRDefault="00123E84" w:rsidP="00123E84">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60"/>
        <w:textAlignment w:val="baseline"/>
        <w:rPr>
          <w:rFonts w:eastAsia="Times New Roman"/>
          <w:b/>
          <w:szCs w:val="20"/>
          <w:bdr w:val="none" w:sz="0" w:space="0" w:color="auto"/>
          <w:lang w:val="en-GB"/>
        </w:rPr>
      </w:pPr>
      <w:r w:rsidRPr="00123E84">
        <w:rPr>
          <w:rFonts w:eastAsia="Times New Roman"/>
          <w:b/>
          <w:szCs w:val="20"/>
          <w:bdr w:val="none" w:sz="0" w:space="0" w:color="auto"/>
          <w:lang w:val="en-GB"/>
        </w:rPr>
        <w:t>Keywords</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bdr w:val="none" w:sz="0" w:space="0" w:color="auto"/>
          <w:lang w:val="en-GB" w:eastAsia="ja-JP"/>
        </w:rPr>
      </w:pPr>
      <w:r w:rsidRPr="00123E84">
        <w:rPr>
          <w:rFonts w:eastAsia="SimSun"/>
          <w:bdr w:val="none" w:sz="0" w:space="0" w:color="auto"/>
          <w:lang w:val="en-GB" w:eastAsia="ja-JP"/>
        </w:rPr>
        <w:t>QoS, QoE, User’s Satisfaction, Service Quality, Regulatory Framework.</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bdr w:val="none" w:sz="0" w:space="0" w:color="auto"/>
          <w:lang w:val="en-GB" w:eastAsia="ja-JP"/>
        </w:rPr>
      </w:pP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val="en" w:eastAsia="ja-JP"/>
        </w:rPr>
        <w:sectPr w:rsidR="00123E84" w:rsidRPr="00123E84" w:rsidSect="008E53B4">
          <w:headerReference w:type="default" r:id="rId9"/>
          <w:pgSz w:w="11907" w:h="16840"/>
          <w:pgMar w:top="1417" w:right="1134" w:bottom="1417" w:left="1134" w:header="720" w:footer="720" w:gutter="0"/>
          <w:cols w:space="720"/>
          <w:titlePg/>
          <w:docGrid w:linePitch="326"/>
        </w:sectPr>
      </w:pP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rPr>
          <w:rFonts w:eastAsia="SimSun"/>
          <w:b/>
          <w:bdr w:val="none" w:sz="0" w:space="0" w:color="auto"/>
          <w:lang w:val="en-GB" w:eastAsia="ja-JP"/>
        </w:rPr>
      </w:pPr>
      <w:r w:rsidRPr="00123E84">
        <w:rPr>
          <w:rFonts w:eastAsia="SimSun"/>
          <w:b/>
          <w:bdr w:val="none" w:sz="0" w:space="0" w:color="auto"/>
          <w:lang w:val="en-GB" w:eastAsia="ja-JP"/>
        </w:rPr>
        <w:lastRenderedPageBreak/>
        <w:t>CONTENTS</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rPr>
          <w:rFonts w:eastAsia="SimSun"/>
          <w:b/>
          <w:bdr w:val="none" w:sz="0" w:space="0" w:color="auto"/>
          <w:lang w:val="en-GB" w:eastAsia="ja-JP"/>
        </w:rPr>
      </w:pP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bdr w:val="none" w:sz="0" w:space="0" w:color="auto"/>
          <w:lang w:val="en-GB" w:eastAsia="ja-JP"/>
        </w:rPr>
      </w:pPr>
    </w:p>
    <w:sdt>
      <w:sdtPr>
        <w:rPr>
          <w:rFonts w:eastAsia="Times New Roman"/>
          <w:bCs/>
          <w:szCs w:val="20"/>
          <w:bdr w:val="none" w:sz="0" w:space="0" w:color="auto"/>
          <w:lang w:val="en-GB"/>
        </w:rPr>
        <w:id w:val="-1417541255"/>
        <w:docPartObj>
          <w:docPartGallery w:val="Table of Contents"/>
          <w:docPartUnique/>
        </w:docPartObj>
      </w:sdtPr>
      <w:sdtEndPr>
        <w:rPr>
          <w:rFonts w:eastAsia="SimSun"/>
          <w:bCs w:val="0"/>
          <w:noProof/>
          <w:szCs w:val="24"/>
          <w:lang w:eastAsia="ja-JP"/>
        </w:rPr>
      </w:sdtEndPr>
      <w:sdtContent>
        <w:p w:rsidR="00123E84" w:rsidRPr="00123E84" w:rsidRDefault="00123E84" w:rsidP="00123E8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Calibri Light" w:eastAsia="SimSun" w:hAnsi="Calibri Light"/>
              <w:color w:val="2E74B5"/>
              <w:sz w:val="32"/>
              <w:szCs w:val="32"/>
              <w:bdr w:val="none" w:sz="0" w:space="0" w:color="auto"/>
              <w:lang w:val="en-GB" w:eastAsia="ja-JP"/>
            </w:rPr>
          </w:pP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ascii="Calibri Light" w:eastAsia="SimSun" w:hAnsi="Calibri Light"/>
              <w:b/>
              <w:bCs/>
              <w:caps/>
              <w:noProof/>
              <w:szCs w:val="20"/>
              <w:bdr w:val="none" w:sz="0" w:space="0" w:color="auto"/>
              <w:lang w:val="en-GB"/>
            </w:rPr>
            <w:fldChar w:fldCharType="begin"/>
          </w:r>
          <w:r w:rsidRPr="00123E84">
            <w:rPr>
              <w:rFonts w:eastAsia="Batang"/>
              <w:noProof/>
              <w:szCs w:val="20"/>
              <w:bdr w:val="none" w:sz="0" w:space="0" w:color="auto"/>
              <w:lang w:val="en-GB"/>
            </w:rPr>
            <w:instrText xml:space="preserve"> TOC \o "1-2" </w:instrText>
          </w:r>
          <w:r w:rsidRPr="00123E84">
            <w:rPr>
              <w:rFonts w:ascii="Calibri Light" w:eastAsia="SimSun" w:hAnsi="Calibri Light"/>
              <w:b/>
              <w:bCs/>
              <w:caps/>
              <w:noProof/>
              <w:szCs w:val="20"/>
              <w:bdr w:val="none" w:sz="0" w:space="0" w:color="auto"/>
              <w:lang w:val="en-GB"/>
            </w:rPr>
            <w:fldChar w:fldCharType="separate"/>
          </w:r>
          <w:r w:rsidRPr="00123E84">
            <w:rPr>
              <w:rFonts w:eastAsia="Batang"/>
              <w:noProof/>
              <w:szCs w:val="20"/>
              <w:bdr w:val="none" w:sz="0" w:space="0" w:color="auto"/>
              <w:lang w:val="en-GB"/>
            </w:rPr>
            <w:t>1.</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Scope</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_Toc513403450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5</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2.</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References</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_Toc513403451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5</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3.</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Definitions</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_Toc513403452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5</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3.1.</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Terms defined elsewhere</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_Toc513403453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5</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3.2.</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Terms defined in this Recommendation</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_Toc513403454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6</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4.</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Abbreviations and acronyms</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_Toc513403455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6</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5.</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Conventions</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_Toc513403456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6</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SimSun"/>
              <w:noProof/>
              <w:szCs w:val="20"/>
              <w:bdr w:val="none" w:sz="0" w:space="0" w:color="auto"/>
              <w:lang w:val="en-GB" w:eastAsia="ja-JP"/>
            </w:rPr>
            <w:t>Operator: recognized operating agency (ROA) or operating agency licensed to provide telecommunications services.</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_Toc513403457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6</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6.</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Approaches for service quality regulation</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_Toc513403458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6</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6.1.</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Quality regulation better fits retail market</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_Toc513403459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6</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6.2.</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Quality regulation impacts competition</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_Toc513403460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7</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6.3.</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Responsive regulation reduces litigation and raise enforcement effectiveness</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_Toc513403461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8</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6.4.</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Convergent networks and services reduce the number of KRIs needed</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_Toc513403462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9</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6.5.</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KRIs targets reliable choices demand knowledge on current delivered  service quality</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_Toc513403463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9</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6.6.</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Granularity and accuracy of KRIs better inform the consumers</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_Toc513403464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10</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6.7.</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Consumer’s satisfaction and perceived service quality complement QoS assessment</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_Toc513403465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10</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6.8.</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Measurement tools and sampling plans are better defined hearing all stakeholders</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_Toc513403466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10</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rPr>
            <w:t>7.</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Enforcement strategies</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_Toc513403467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11</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8.</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Assessing and comparing QoS</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_Toc513403468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12</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9.</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Assessing and comparing QoE</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_Toc513403469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12</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10.</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Strategies to raise consumer’s awareness</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_Toc513403470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12</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10.1.</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Effective publication of consumer-friendly service quality results</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_Toc513403471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12</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lastRenderedPageBreak/>
            <w:t>10.2.</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Including service quality conditions in the retail contracts</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_Toc513403472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13</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10.3.</w:t>
          </w:r>
          <w:r w:rsidRPr="00123E84">
            <w:rPr>
              <w:rFonts w:ascii="Calibri" w:eastAsia="SimSun" w:hAnsi="Calibri" w:cs="Arial"/>
              <w:noProof/>
              <w:bdr w:val="none" w:sz="0" w:space="0" w:color="auto"/>
              <w:lang w:eastAsia="pt-BR"/>
            </w:rPr>
            <w:tab/>
          </w:r>
          <w:r w:rsidRPr="00123E84">
            <w:rPr>
              <w:rFonts w:eastAsia="Batang"/>
              <w:noProof/>
              <w:szCs w:val="20"/>
              <w:bdr w:val="none" w:sz="0" w:space="0" w:color="auto"/>
              <w:lang w:val="en-GB"/>
            </w:rPr>
            <w:t>Consumer’s awareness campaigns</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_Toc513403473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13</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rPr>
            <w:t>Annex A  &lt;Annex Title&gt;</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_Toc513403474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14</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Appendix I  &lt;Appendix Title&gt;</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_Toc513403475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15</w:t>
          </w:r>
          <w:r w:rsidRPr="00123E84">
            <w:rPr>
              <w:rFonts w:eastAsia="Batang"/>
              <w:noProof/>
              <w:szCs w:val="20"/>
              <w:bdr w:val="none" w:sz="0" w:space="0" w:color="auto"/>
              <w:lang w:val="en-GB"/>
            </w:rPr>
            <w:fldChar w:fldCharType="end"/>
          </w:r>
        </w:p>
        <w:p w:rsidR="00123E84" w:rsidRPr="00123E84" w:rsidRDefault="00123E84" w:rsidP="00123E84">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rPr>
              <w:rFonts w:ascii="Calibri" w:eastAsia="SimSun" w:hAnsi="Calibri" w:cs="Arial"/>
              <w:noProof/>
              <w:bdr w:val="none" w:sz="0" w:space="0" w:color="auto"/>
              <w:lang w:eastAsia="pt-BR"/>
            </w:rPr>
          </w:pPr>
          <w:r w:rsidRPr="00123E84">
            <w:rPr>
              <w:rFonts w:eastAsia="Batang"/>
              <w:noProof/>
              <w:szCs w:val="20"/>
              <w:bdr w:val="none" w:sz="0" w:space="0" w:color="auto"/>
              <w:lang w:val="en-GB"/>
            </w:rPr>
            <w:t>Bibliography</w:t>
          </w:r>
          <w:r w:rsidRPr="00123E84">
            <w:rPr>
              <w:rFonts w:eastAsia="Batang"/>
              <w:noProof/>
              <w:szCs w:val="20"/>
              <w:bdr w:val="none" w:sz="0" w:space="0" w:color="auto"/>
              <w:lang w:val="en-GB"/>
            </w:rPr>
            <w:tab/>
          </w:r>
          <w:r w:rsidRPr="00123E84">
            <w:rPr>
              <w:rFonts w:eastAsia="Batang"/>
              <w:noProof/>
              <w:szCs w:val="20"/>
              <w:bdr w:val="none" w:sz="0" w:space="0" w:color="auto"/>
              <w:lang w:val="en-GB"/>
            </w:rPr>
            <w:fldChar w:fldCharType="begin"/>
          </w:r>
          <w:r w:rsidRPr="00123E84">
            <w:rPr>
              <w:rFonts w:eastAsia="Batang"/>
              <w:noProof/>
              <w:szCs w:val="20"/>
              <w:bdr w:val="none" w:sz="0" w:space="0" w:color="auto"/>
              <w:lang w:val="en-GB"/>
            </w:rPr>
            <w:instrText xml:space="preserve"> PAGEREF _Toc513403476 \h </w:instrText>
          </w:r>
          <w:r w:rsidRPr="00123E84">
            <w:rPr>
              <w:rFonts w:eastAsia="Batang"/>
              <w:noProof/>
              <w:szCs w:val="20"/>
              <w:bdr w:val="none" w:sz="0" w:space="0" w:color="auto"/>
              <w:lang w:val="en-GB"/>
            </w:rPr>
          </w:r>
          <w:r w:rsidRPr="00123E84">
            <w:rPr>
              <w:rFonts w:eastAsia="Batang"/>
              <w:noProof/>
              <w:szCs w:val="20"/>
              <w:bdr w:val="none" w:sz="0" w:space="0" w:color="auto"/>
              <w:lang w:val="en-GB"/>
            </w:rPr>
            <w:fldChar w:fldCharType="separate"/>
          </w:r>
          <w:r w:rsidRPr="00123E84">
            <w:rPr>
              <w:rFonts w:eastAsia="Batang"/>
              <w:noProof/>
              <w:szCs w:val="20"/>
              <w:bdr w:val="none" w:sz="0" w:space="0" w:color="auto"/>
              <w:lang w:val="en-GB"/>
            </w:rPr>
            <w:t>16</w:t>
          </w:r>
          <w:r w:rsidRPr="00123E84">
            <w:rPr>
              <w:rFonts w:eastAsia="Batang"/>
              <w:noProof/>
              <w:szCs w:val="20"/>
              <w:bdr w:val="none" w:sz="0" w:space="0" w:color="auto"/>
              <w:lang w:val="en-GB"/>
            </w:rPr>
            <w:fldChar w:fldCharType="end"/>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noProof/>
              <w:bdr w:val="none" w:sz="0" w:space="0" w:color="auto"/>
              <w:lang w:val="en-GB" w:eastAsia="ja-JP"/>
            </w:rPr>
          </w:pPr>
          <w:r w:rsidRPr="00123E84">
            <w:rPr>
              <w:rFonts w:eastAsia="Batang"/>
              <w:bdr w:val="none" w:sz="0" w:space="0" w:color="auto"/>
              <w:lang w:val="en-GB" w:eastAsia="ja-JP"/>
            </w:rPr>
            <w:fldChar w:fldCharType="end"/>
          </w:r>
        </w:p>
      </w:sdtContent>
    </w:sdt>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b/>
          <w:bdr w:val="none" w:sz="0" w:space="0" w:color="auto"/>
          <w:lang w:val="en-GB" w:eastAsia="ja-JP"/>
        </w:rPr>
        <w:sectPr w:rsidR="00123E84" w:rsidRPr="00123E84" w:rsidSect="008E53B4">
          <w:pgSz w:w="11907" w:h="16840"/>
          <w:pgMar w:top="1417" w:right="1134" w:bottom="1417" w:left="1134" w:header="720" w:footer="720" w:gutter="0"/>
          <w:cols w:space="720"/>
          <w:docGrid w:linePitch="326"/>
        </w:sectPr>
      </w:pPr>
    </w:p>
    <w:p w:rsidR="00123E84" w:rsidRPr="00123E84" w:rsidRDefault="00123E84" w:rsidP="00123E84">
      <w:pPr>
        <w:keepNext/>
        <w:keepLines/>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9" w:name="_Toc494107055"/>
      <w:bookmarkStart w:id="10" w:name="_Toc513403450"/>
      <w:r w:rsidRPr="00123E84">
        <w:rPr>
          <w:rFonts w:eastAsia="Times New Roman"/>
          <w:b/>
          <w:szCs w:val="20"/>
          <w:bdr w:val="none" w:sz="0" w:space="0" w:color="auto"/>
          <w:lang w:val="en-GB"/>
        </w:rPr>
        <w:lastRenderedPageBreak/>
        <w:t>Scope</w:t>
      </w:r>
      <w:bookmarkEnd w:id="9"/>
      <w:bookmarkEnd w:id="10"/>
    </w:p>
    <w:p w:rsidR="00123E84" w:rsidRPr="00123E84" w:rsidRDefault="00123E84" w:rsidP="00123E84">
      <w:pPr>
        <w:keepNext/>
        <w:pBdr>
          <w:top w:val="none" w:sz="0" w:space="0" w:color="auto"/>
          <w:left w:val="none" w:sz="0" w:space="0" w:color="auto"/>
          <w:bottom w:val="none" w:sz="0" w:space="0" w:color="auto"/>
          <w:right w:val="none" w:sz="0" w:space="0" w:color="auto"/>
          <w:between w:val="none" w:sz="0" w:space="0" w:color="auto"/>
          <w:bar w:val="none" w:sz="0" w:color="auto"/>
        </w:pBdr>
        <w:spacing w:before="160"/>
        <w:jc w:val="both"/>
        <w:rPr>
          <w:rFonts w:eastAsia="SimSun"/>
          <w:bdr w:val="none" w:sz="0" w:space="0" w:color="auto"/>
          <w:lang w:val="en-GB" w:eastAsia="ja-JP"/>
        </w:rPr>
      </w:pPr>
      <w:r w:rsidRPr="00123E84">
        <w:rPr>
          <w:rFonts w:eastAsia="SimSun"/>
          <w:bdr w:val="none" w:sz="0" w:space="0" w:color="auto"/>
          <w:lang w:val="en-GB" w:eastAsia="ja-JP"/>
        </w:rPr>
        <w:t>T</w:t>
      </w:r>
      <w:r w:rsidRPr="00123E84">
        <w:rPr>
          <w:rFonts w:eastAsia="SimSun" w:hint="eastAsia"/>
          <w:bdr w:val="none" w:sz="0" w:space="0" w:color="auto"/>
          <w:lang w:val="en-GB" w:eastAsia="ja-JP"/>
        </w:rPr>
        <w:t xml:space="preserve">his Recommendation </w:t>
      </w:r>
      <w:r w:rsidRPr="00123E84">
        <w:rPr>
          <w:rFonts w:eastAsia="SimSun"/>
          <w:bdr w:val="none" w:sz="0" w:space="0" w:color="auto"/>
          <w:lang w:val="en-GB" w:eastAsia="ja-JP"/>
        </w:rPr>
        <w:t xml:space="preserve">addresses the necessity to provide references for regulators on service quality regulatory frameworks suitable to assess, compare and give transparency on subscription voice, video and/or IP-based communication </w:t>
      </w:r>
      <w:r w:rsidRPr="00123E84">
        <w:rPr>
          <w:rFonts w:eastAsia="SimSun"/>
          <w:bdr w:val="none" w:sz="0" w:space="0" w:color="auto"/>
          <w:lang w:val="en" w:eastAsia="ja-JP"/>
        </w:rPr>
        <w:t>service quality achieved by operators, service quality as perceived by end-users and user’s satisfaction for differing operators</w:t>
      </w:r>
      <w:r w:rsidRPr="00123E84">
        <w:rPr>
          <w:rFonts w:eastAsia="SimSun"/>
          <w:bdr w:val="none" w:sz="0" w:space="0" w:color="auto"/>
          <w:lang w:val="en-GB" w:eastAsia="ja-JP"/>
        </w:rPr>
        <w:t>.</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ko-KR"/>
        </w:rPr>
      </w:pPr>
      <w:r w:rsidRPr="00123E84">
        <w:rPr>
          <w:rFonts w:eastAsia="SimSun" w:hint="eastAsia"/>
          <w:bdr w:val="none" w:sz="0" w:space="0" w:color="auto"/>
          <w:lang w:val="en-GB" w:eastAsia="ko-KR"/>
        </w:rPr>
        <w:t xml:space="preserve">This Recommendation covers the following: </w:t>
      </w:r>
    </w:p>
    <w:p w:rsidR="00123E84" w:rsidRPr="00123E84" w:rsidRDefault="00123E84" w:rsidP="00123E84">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before="120" w:after="200" w:line="276" w:lineRule="auto"/>
        <w:contextualSpacing/>
        <w:jc w:val="both"/>
        <w:rPr>
          <w:rFonts w:eastAsia="SimSun"/>
          <w:bdr w:val="none" w:sz="0" w:space="0" w:color="auto"/>
          <w:lang w:val="en"/>
        </w:rPr>
      </w:pPr>
      <w:r w:rsidRPr="00123E84">
        <w:rPr>
          <w:rFonts w:eastAsia="SimSun"/>
          <w:bdr w:val="none" w:sz="0" w:space="0" w:color="auto"/>
          <w:lang w:val="en"/>
        </w:rPr>
        <w:t>High-level quality regulatory approaches and enforcement strategies, for example there are several different approaches to attain quality improvements where needed and to help consumers make informed choices;</w:t>
      </w:r>
    </w:p>
    <w:p w:rsidR="00123E84" w:rsidRPr="00123E84" w:rsidRDefault="00123E84" w:rsidP="00123E84">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before="120" w:after="200" w:line="276" w:lineRule="auto"/>
        <w:contextualSpacing/>
        <w:jc w:val="both"/>
        <w:rPr>
          <w:rFonts w:eastAsia="SimSun"/>
          <w:i/>
          <w:bdr w:val="none" w:sz="0" w:space="0" w:color="auto"/>
          <w:lang w:val="en"/>
        </w:rPr>
      </w:pPr>
      <w:r w:rsidRPr="00123E84">
        <w:rPr>
          <w:rFonts w:eastAsia="SimSun"/>
          <w:bdr w:val="none" w:sz="0" w:space="0" w:color="auto"/>
          <w:lang w:val="en"/>
        </w:rPr>
        <w:t>Strategies to empower end-users with useful information based on results of the aforementioned key regulatory indicators measurements, such as standardized service labels that tabulate key aspects of service quality.</w:t>
      </w:r>
    </w:p>
    <w:p w:rsidR="00123E84" w:rsidRPr="00123E84" w:rsidRDefault="00123E84" w:rsidP="00123E84">
      <w:pPr>
        <w:keepNext/>
        <w:keepLines/>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11" w:name="_Toc492484267"/>
      <w:bookmarkStart w:id="12" w:name="_Toc492484300"/>
      <w:bookmarkStart w:id="13" w:name="_Toc492484268"/>
      <w:bookmarkStart w:id="14" w:name="_Toc492484301"/>
      <w:bookmarkStart w:id="15" w:name="_Toc494107056"/>
      <w:bookmarkStart w:id="16" w:name="_Toc513403451"/>
      <w:bookmarkEnd w:id="11"/>
      <w:bookmarkEnd w:id="12"/>
      <w:bookmarkEnd w:id="13"/>
      <w:bookmarkEnd w:id="14"/>
      <w:r w:rsidRPr="00123E84">
        <w:rPr>
          <w:rFonts w:eastAsia="Times New Roman"/>
          <w:b/>
          <w:szCs w:val="20"/>
          <w:bdr w:val="none" w:sz="0" w:space="0" w:color="auto"/>
          <w:lang w:val="en-GB"/>
        </w:rPr>
        <w:t>References</w:t>
      </w:r>
      <w:bookmarkEnd w:id="15"/>
      <w:bookmarkEnd w:id="16"/>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bdr w:val="none" w:sz="0" w:space="0" w:color="auto"/>
          <w:lang w:val="en-GB" w:eastAsia="ja-JP"/>
        </w:rPr>
      </w:pPr>
      <w:r w:rsidRPr="00123E84">
        <w:rPr>
          <w:rFonts w:eastAsia="SimSun"/>
          <w:bdr w:val="none" w:sz="0" w:space="0" w:color="auto"/>
          <w:lang w:val="en-GB" w:eastAsia="ja-JP"/>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123E84" w:rsidRPr="00123E84" w:rsidRDefault="00123E84" w:rsidP="00123E84">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ind w:left="2268" w:hanging="2268"/>
        <w:textAlignment w:val="baseline"/>
        <w:rPr>
          <w:rFonts w:eastAsia="Times New Roman"/>
          <w:szCs w:val="20"/>
          <w:bdr w:val="none" w:sz="0" w:space="0" w:color="auto"/>
          <w:lang w:val="fr-CH"/>
        </w:rPr>
      </w:pPr>
      <w:r w:rsidRPr="00123E84">
        <w:rPr>
          <w:rFonts w:eastAsia="Times New Roman"/>
          <w:szCs w:val="20"/>
          <w:bdr w:val="none" w:sz="0" w:space="0" w:color="auto"/>
          <w:lang w:val="fr-CH"/>
        </w:rPr>
        <w:t xml:space="preserve">[ITU-T </w:t>
      </w:r>
      <w:proofErr w:type="spellStart"/>
      <w:r w:rsidRPr="00123E84">
        <w:rPr>
          <w:rFonts w:eastAsia="Times New Roman"/>
          <w:szCs w:val="20"/>
          <w:bdr w:val="none" w:sz="0" w:space="0" w:color="auto"/>
          <w:lang w:val="fr-CH"/>
        </w:rPr>
        <w:t>X.yyy</w:t>
      </w:r>
      <w:proofErr w:type="spellEnd"/>
      <w:r w:rsidRPr="00123E84">
        <w:rPr>
          <w:rFonts w:eastAsia="Times New Roman"/>
          <w:szCs w:val="20"/>
          <w:bdr w:val="none" w:sz="0" w:space="0" w:color="auto"/>
          <w:lang w:val="fr-CH"/>
        </w:rPr>
        <w:t>]</w:t>
      </w:r>
      <w:r w:rsidRPr="00123E84">
        <w:rPr>
          <w:rFonts w:eastAsia="Times New Roman"/>
          <w:szCs w:val="20"/>
          <w:bdr w:val="none" w:sz="0" w:space="0" w:color="auto"/>
          <w:lang w:val="fr-CH"/>
        </w:rPr>
        <w:tab/>
      </w:r>
      <w:proofErr w:type="spellStart"/>
      <w:r w:rsidRPr="00123E84">
        <w:rPr>
          <w:rFonts w:eastAsia="Times New Roman"/>
          <w:szCs w:val="20"/>
          <w:bdr w:val="none" w:sz="0" w:space="0" w:color="auto"/>
          <w:lang w:val="fr-CH"/>
        </w:rPr>
        <w:t>Recommendation</w:t>
      </w:r>
      <w:proofErr w:type="spellEnd"/>
      <w:r w:rsidRPr="00123E84">
        <w:rPr>
          <w:rFonts w:eastAsia="Times New Roman"/>
          <w:szCs w:val="20"/>
          <w:bdr w:val="none" w:sz="0" w:space="0" w:color="auto"/>
          <w:lang w:val="fr-CH"/>
        </w:rPr>
        <w:t xml:space="preserve"> ITU-T </w:t>
      </w:r>
      <w:proofErr w:type="spellStart"/>
      <w:r w:rsidRPr="00123E84">
        <w:rPr>
          <w:rFonts w:eastAsia="Times New Roman"/>
          <w:szCs w:val="20"/>
          <w:bdr w:val="none" w:sz="0" w:space="0" w:color="auto"/>
          <w:lang w:val="fr-CH"/>
        </w:rPr>
        <w:t>X.yyy</w:t>
      </w:r>
      <w:proofErr w:type="spellEnd"/>
      <w:r w:rsidRPr="00123E84">
        <w:rPr>
          <w:rFonts w:eastAsia="Times New Roman"/>
          <w:szCs w:val="20"/>
          <w:bdr w:val="none" w:sz="0" w:space="0" w:color="auto"/>
          <w:lang w:val="fr-CH"/>
        </w:rPr>
        <w:t xml:space="preserve"> (date), </w:t>
      </w:r>
      <w:proofErr w:type="spellStart"/>
      <w:r w:rsidRPr="00123E84">
        <w:rPr>
          <w:rFonts w:eastAsia="Times New Roman"/>
          <w:i/>
          <w:iCs/>
          <w:szCs w:val="20"/>
          <w:bdr w:val="none" w:sz="0" w:space="0" w:color="auto"/>
          <w:lang w:val="fr-CH"/>
        </w:rPr>
        <w:t>Title</w:t>
      </w:r>
      <w:proofErr w:type="spellEnd"/>
      <w:r w:rsidRPr="00123E84">
        <w:rPr>
          <w:rFonts w:eastAsia="Times New Roman"/>
          <w:szCs w:val="20"/>
          <w:bdr w:val="none" w:sz="0" w:space="0" w:color="auto"/>
          <w:lang w:val="fr-CH"/>
        </w:rPr>
        <w:t>.</w:t>
      </w:r>
    </w:p>
    <w:p w:rsidR="00123E84" w:rsidRPr="00123E84" w:rsidRDefault="00123E84" w:rsidP="00123E84">
      <w:pPr>
        <w:keepNext/>
        <w:keepLines/>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17" w:name="_Toc494107057"/>
      <w:bookmarkStart w:id="18" w:name="_Toc513403452"/>
      <w:r w:rsidRPr="00123E84">
        <w:rPr>
          <w:rFonts w:eastAsia="Times New Roman"/>
          <w:b/>
          <w:szCs w:val="20"/>
          <w:bdr w:val="none" w:sz="0" w:space="0" w:color="auto"/>
          <w:lang w:val="en-GB"/>
        </w:rPr>
        <w:t>Definitions</w:t>
      </w:r>
      <w:bookmarkEnd w:id="17"/>
      <w:bookmarkEnd w:id="18"/>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bdr w:val="none" w:sz="0" w:space="0" w:color="auto"/>
          <w:lang w:val="en-GB" w:eastAsia="ja-JP"/>
        </w:rPr>
      </w:pPr>
      <w:r w:rsidRPr="00123E84">
        <w:rPr>
          <w:rFonts w:eastAsia="SimSun"/>
          <w:bdr w:val="none" w:sz="0" w:space="0" w:color="auto"/>
          <w:lang w:val="en-GB" w:eastAsia="ja-JP"/>
        </w:rPr>
        <w:t xml:space="preserve">&lt;Check in the ITU-T terms and definitions database at </w:t>
      </w:r>
      <w:hyperlink r:id="rId10" w:history="1">
        <w:r w:rsidRPr="00123E84">
          <w:rPr>
            <w:rFonts w:eastAsia="SimSun"/>
            <w:bdr w:val="none" w:sz="0" w:space="0" w:color="auto"/>
            <w:lang w:val="en-GB" w:eastAsia="ja-JP"/>
          </w:rPr>
          <w:t>www.itu.int/go/terminology-database</w:t>
        </w:r>
      </w:hyperlink>
      <w:r w:rsidRPr="00123E84">
        <w:rPr>
          <w:rFonts w:eastAsia="SimSun"/>
          <w:bdr w:val="none" w:sz="0" w:space="0" w:color="auto"/>
          <w:lang w:val="en-GB" w:eastAsia="ja-JP"/>
        </w:rPr>
        <w:t xml:space="preserve"> whether the term has already been defined in another Recommendation. It would be more consistent to refer to such a definition rather than to redefine the term&gt;</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bdr w:val="none" w:sz="0" w:space="0" w:color="auto"/>
          <w:lang w:val="en-GB" w:eastAsia="ja-JP"/>
        </w:rPr>
      </w:pPr>
      <w:r w:rsidRPr="00123E84">
        <w:rPr>
          <w:rFonts w:eastAsia="SimSun"/>
          <w:bdr w:val="none" w:sz="0" w:space="0" w:color="auto"/>
          <w:lang w:val="en-GB" w:eastAsia="ja-JP"/>
        </w:rPr>
        <w:t>Key regulatory indicator:  a quantifiable measure defined by the regulator as a representation of the delivered service   quality or perceived by end-users, including their overall satisfaction.</w:t>
      </w:r>
    </w:p>
    <w:p w:rsidR="00123E84" w:rsidRPr="00123E84" w:rsidRDefault="00123E84" w:rsidP="00123E84">
      <w:pPr>
        <w:keepNext/>
        <w:keepLines/>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19" w:name="_Toc494107058"/>
      <w:bookmarkStart w:id="20" w:name="_Toc513403453"/>
      <w:r w:rsidRPr="00123E84">
        <w:rPr>
          <w:rFonts w:eastAsia="Times New Roman"/>
          <w:b/>
          <w:szCs w:val="20"/>
          <w:bdr w:val="none" w:sz="0" w:space="0" w:color="auto"/>
          <w:lang w:val="en-GB"/>
        </w:rPr>
        <w:t>Terms defined elsewhere</w:t>
      </w:r>
      <w:bookmarkEnd w:id="19"/>
      <w:bookmarkEnd w:id="20"/>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bdr w:val="none" w:sz="0" w:space="0" w:color="auto"/>
          <w:lang w:val="en-GB" w:eastAsia="ja-JP"/>
        </w:rPr>
      </w:pPr>
      <w:r w:rsidRPr="00123E84">
        <w:rPr>
          <w:rFonts w:eastAsia="SimSun"/>
          <w:bdr w:val="none" w:sz="0" w:space="0" w:color="auto"/>
          <w:lang w:val="en-GB" w:eastAsia="ja-JP"/>
        </w:rPr>
        <w:t>&lt;Normally, terms defined elsewhere will simply refer to the defining document. In certain cases, it may be desirable to quote the definition to allow for a stand-alone document&gt;</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bdr w:val="none" w:sz="0" w:space="0" w:color="auto"/>
          <w:lang w:val="en-GB" w:eastAsia="ja-JP"/>
        </w:rPr>
      </w:pPr>
      <w:r w:rsidRPr="00123E84">
        <w:rPr>
          <w:rFonts w:eastAsia="SimSun"/>
          <w:bdr w:val="none" w:sz="0" w:space="0" w:color="auto"/>
          <w:lang w:val="en-GB" w:eastAsia="ja-JP"/>
        </w:rPr>
        <w:t>This Recommendation uses the following terms defined elsewhere:</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rPr>
          <w:rFonts w:eastAsia="SimSun"/>
          <w:bdr w:val="none" w:sz="0" w:space="0" w:color="auto"/>
          <w:lang w:val="en-GB" w:eastAsia="ja-JP"/>
        </w:rPr>
      </w:pPr>
      <w:r w:rsidRPr="00123E84">
        <w:rPr>
          <w:rFonts w:eastAsia="Times New Roman"/>
          <w:b/>
          <w:szCs w:val="20"/>
          <w:bdr w:val="none" w:sz="0" w:space="0" w:color="auto"/>
          <w:lang w:val="en-GB" w:eastAsia="ja-JP"/>
        </w:rPr>
        <w:tab/>
        <w:t>3.1.1</w:t>
      </w:r>
      <w:r w:rsidRPr="00123E84">
        <w:rPr>
          <w:rFonts w:eastAsia="SimSun"/>
          <w:b/>
          <w:bCs/>
          <w:bdr w:val="none" w:sz="0" w:space="0" w:color="auto"/>
          <w:lang w:val="en-GB" w:eastAsia="ja-JP"/>
        </w:rPr>
        <w:tab/>
        <w:t>&lt;Term 1&gt;</w:t>
      </w:r>
      <w:r w:rsidRPr="00123E84">
        <w:rPr>
          <w:rFonts w:eastAsia="SimSun"/>
          <w:bdr w:val="none" w:sz="0" w:space="0" w:color="auto"/>
          <w:lang w:val="en-GB" w:eastAsia="ja-JP"/>
        </w:rPr>
        <w:t xml:space="preserve"> [Reference</w:t>
      </w:r>
      <w:proofErr w:type="gramStart"/>
      <w:r w:rsidRPr="00123E84">
        <w:rPr>
          <w:rFonts w:eastAsia="SimSun"/>
          <w:bdr w:val="none" w:sz="0" w:space="0" w:color="auto"/>
          <w:lang w:val="en-GB" w:eastAsia="ja-JP"/>
        </w:rPr>
        <w:t>]:</w:t>
      </w:r>
      <w:proofErr w:type="gramEnd"/>
      <w:r w:rsidRPr="00123E84">
        <w:rPr>
          <w:rFonts w:eastAsia="SimSun"/>
          <w:bdr w:val="none" w:sz="0" w:space="0" w:color="auto"/>
          <w:lang w:val="en-GB" w:eastAsia="ja-JP"/>
        </w:rPr>
        <w:t xml:space="preserve"> &lt;optional quoted definition&gt;.</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rPr>
          <w:rFonts w:eastAsia="SimSun"/>
          <w:bdr w:val="none" w:sz="0" w:space="0" w:color="auto"/>
          <w:lang w:val="en-GB" w:eastAsia="ja-JP"/>
        </w:rPr>
      </w:pPr>
      <w:r w:rsidRPr="00123E84">
        <w:rPr>
          <w:rFonts w:eastAsia="SimSun"/>
          <w:b/>
          <w:bCs/>
          <w:bdr w:val="none" w:sz="0" w:space="0" w:color="auto"/>
          <w:lang w:val="en-GB" w:eastAsia="ja-JP"/>
        </w:rPr>
        <w:tab/>
        <w:t>3.1.2</w:t>
      </w:r>
      <w:r w:rsidRPr="00123E84">
        <w:rPr>
          <w:rFonts w:eastAsia="SimSun"/>
          <w:b/>
          <w:bCs/>
          <w:bdr w:val="none" w:sz="0" w:space="0" w:color="auto"/>
          <w:lang w:val="en-GB" w:eastAsia="ja-JP"/>
        </w:rPr>
        <w:tab/>
        <w:t>&lt;Term 2&gt;</w:t>
      </w:r>
      <w:r w:rsidRPr="00123E84">
        <w:rPr>
          <w:rFonts w:eastAsia="SimSun"/>
          <w:bdr w:val="none" w:sz="0" w:space="0" w:color="auto"/>
          <w:lang w:val="en-GB" w:eastAsia="ja-JP"/>
        </w:rPr>
        <w:t xml:space="preserve"> [Reference</w:t>
      </w:r>
      <w:proofErr w:type="gramStart"/>
      <w:r w:rsidRPr="00123E84">
        <w:rPr>
          <w:rFonts w:eastAsia="SimSun"/>
          <w:bdr w:val="none" w:sz="0" w:space="0" w:color="auto"/>
          <w:lang w:val="en-GB" w:eastAsia="ja-JP"/>
        </w:rPr>
        <w:t>]:</w:t>
      </w:r>
      <w:proofErr w:type="gramEnd"/>
      <w:r w:rsidRPr="00123E84">
        <w:rPr>
          <w:rFonts w:eastAsia="SimSun"/>
          <w:bdr w:val="none" w:sz="0" w:space="0" w:color="auto"/>
          <w:lang w:val="en-GB" w:eastAsia="ja-JP"/>
        </w:rPr>
        <w:t xml:space="preserve"> &lt;optional quoted definition&gt;.</w:t>
      </w:r>
    </w:p>
    <w:p w:rsidR="00123E84" w:rsidRPr="00123E84" w:rsidRDefault="00123E84" w:rsidP="00123E84">
      <w:pPr>
        <w:keepNext/>
        <w:keepLines/>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21" w:name="_Toc494107059"/>
      <w:bookmarkStart w:id="22" w:name="_Toc513403454"/>
      <w:r w:rsidRPr="00123E84">
        <w:rPr>
          <w:rFonts w:eastAsia="Times New Roman"/>
          <w:b/>
          <w:szCs w:val="20"/>
          <w:bdr w:val="none" w:sz="0" w:space="0" w:color="auto"/>
          <w:lang w:val="en-GB"/>
        </w:rPr>
        <w:t>Terms defined in this Recommendation</w:t>
      </w:r>
      <w:bookmarkEnd w:id="21"/>
      <w:bookmarkEnd w:id="22"/>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bdr w:val="none" w:sz="0" w:space="0" w:color="auto"/>
          <w:lang w:val="en-GB" w:eastAsia="ja-JP"/>
        </w:rPr>
      </w:pPr>
      <w:r w:rsidRPr="00123E84">
        <w:rPr>
          <w:rFonts w:eastAsia="SimSun"/>
          <w:bdr w:val="none" w:sz="0" w:space="0" w:color="auto"/>
          <w:lang w:val="en-GB" w:eastAsia="ja-JP"/>
        </w:rPr>
        <w:t>This Recommendation defines the following terms:</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rPr>
          <w:rFonts w:eastAsia="SimSun"/>
          <w:bdr w:val="none" w:sz="0" w:space="0" w:color="auto"/>
          <w:lang w:val="en-GB" w:eastAsia="ja-JP"/>
        </w:rPr>
      </w:pPr>
      <w:r w:rsidRPr="00123E84">
        <w:rPr>
          <w:rFonts w:eastAsia="SimSun"/>
          <w:b/>
          <w:bCs/>
          <w:bdr w:val="none" w:sz="0" w:space="0" w:color="auto"/>
          <w:lang w:val="en-GB" w:eastAsia="ja-JP"/>
        </w:rPr>
        <w:tab/>
        <w:t>3.2.1</w:t>
      </w:r>
      <w:r w:rsidRPr="00123E84">
        <w:rPr>
          <w:rFonts w:eastAsia="SimSun"/>
          <w:b/>
          <w:bCs/>
          <w:bdr w:val="none" w:sz="0" w:space="0" w:color="auto"/>
          <w:lang w:val="en-GB" w:eastAsia="ja-JP"/>
        </w:rPr>
        <w:tab/>
        <w:t>&lt;Term 3</w:t>
      </w:r>
      <w:proofErr w:type="gramStart"/>
      <w:r w:rsidRPr="00123E84">
        <w:rPr>
          <w:rFonts w:eastAsia="SimSun"/>
          <w:b/>
          <w:bCs/>
          <w:bdr w:val="none" w:sz="0" w:space="0" w:color="auto"/>
          <w:lang w:val="en-GB" w:eastAsia="ja-JP"/>
        </w:rPr>
        <w:t>&gt;</w:t>
      </w:r>
      <w:r w:rsidRPr="00123E84">
        <w:rPr>
          <w:rFonts w:eastAsia="SimSun"/>
          <w:bdr w:val="none" w:sz="0" w:space="0" w:color="auto"/>
          <w:lang w:val="en-GB" w:eastAsia="ja-JP"/>
        </w:rPr>
        <w:t>:</w:t>
      </w:r>
      <w:proofErr w:type="gramEnd"/>
      <w:r w:rsidRPr="00123E84">
        <w:rPr>
          <w:rFonts w:eastAsia="SimSun"/>
          <w:bdr w:val="none" w:sz="0" w:space="0" w:color="auto"/>
          <w:lang w:val="en-GB" w:eastAsia="ja-JP"/>
        </w:rPr>
        <w:t xml:space="preserve"> &lt;definition&gt;.</w:t>
      </w:r>
    </w:p>
    <w:p w:rsidR="00123E84" w:rsidRPr="00123E84" w:rsidRDefault="00123E84" w:rsidP="00123E84">
      <w:pPr>
        <w:keepNext/>
        <w:keepLines/>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23" w:name="_Toc494107060"/>
      <w:bookmarkStart w:id="24" w:name="_Toc513403455"/>
      <w:r w:rsidRPr="00123E84">
        <w:rPr>
          <w:rFonts w:eastAsia="Times New Roman"/>
          <w:b/>
          <w:szCs w:val="20"/>
          <w:bdr w:val="none" w:sz="0" w:space="0" w:color="auto"/>
          <w:lang w:val="en-GB"/>
        </w:rPr>
        <w:t>Abbreviations and acronyms</w:t>
      </w:r>
      <w:bookmarkEnd w:id="23"/>
      <w:bookmarkEnd w:id="24"/>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bdr w:val="none" w:sz="0" w:space="0" w:color="auto"/>
          <w:lang w:val="en-GB" w:eastAsia="ja-JP"/>
        </w:rPr>
      </w:pPr>
      <w:r w:rsidRPr="00123E84">
        <w:rPr>
          <w:rFonts w:eastAsia="SimSun"/>
          <w:bdr w:val="none" w:sz="0" w:space="0" w:color="auto"/>
          <w:lang w:val="en-GB" w:eastAsia="ja-JP"/>
        </w:rPr>
        <w:t>This Recommendation uses the following abbreviations and acronyms:</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bdr w:val="none" w:sz="0" w:space="0" w:color="auto"/>
          <w:lang w:val="en-GB" w:eastAsia="ja-JP"/>
        </w:rPr>
      </w:pPr>
      <w:r w:rsidRPr="00123E84">
        <w:rPr>
          <w:rFonts w:eastAsia="SimSun"/>
          <w:bdr w:val="none" w:sz="0" w:space="0" w:color="auto"/>
          <w:lang w:val="en-GB" w:eastAsia="ja-JP"/>
        </w:rPr>
        <w:lastRenderedPageBreak/>
        <w:t>&lt;</w:t>
      </w:r>
      <w:proofErr w:type="spellStart"/>
      <w:proofErr w:type="gramStart"/>
      <w:r w:rsidRPr="00123E84">
        <w:rPr>
          <w:rFonts w:eastAsia="SimSun"/>
          <w:bdr w:val="none" w:sz="0" w:space="0" w:color="auto"/>
          <w:lang w:val="en-GB" w:eastAsia="ja-JP"/>
        </w:rPr>
        <w:t>abbr</w:t>
      </w:r>
      <w:proofErr w:type="spellEnd"/>
      <w:proofErr w:type="gramEnd"/>
      <w:r w:rsidRPr="00123E84">
        <w:rPr>
          <w:rFonts w:eastAsia="SimSun"/>
          <w:bdr w:val="none" w:sz="0" w:space="0" w:color="auto"/>
          <w:lang w:val="en-GB" w:eastAsia="ja-JP"/>
        </w:rPr>
        <w:t>&gt;</w:t>
      </w:r>
      <w:r w:rsidRPr="00123E84">
        <w:rPr>
          <w:rFonts w:eastAsia="SimSun"/>
          <w:bdr w:val="none" w:sz="0" w:space="0" w:color="auto"/>
          <w:lang w:val="en-GB" w:eastAsia="ja-JP"/>
        </w:rPr>
        <w:tab/>
        <w:t>&lt;expansion&gt;</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bdr w:val="none" w:sz="0" w:space="0" w:color="auto"/>
          <w:lang w:val="en-GB" w:eastAsia="ja-JP"/>
        </w:rPr>
      </w:pPr>
      <w:r w:rsidRPr="00123E84">
        <w:rPr>
          <w:rFonts w:eastAsia="SimSun"/>
          <w:bdr w:val="none" w:sz="0" w:space="0" w:color="auto"/>
          <w:lang w:val="en-GB" w:eastAsia="ja-JP"/>
        </w:rPr>
        <w:t>&lt;Include all abbreviations and acronyms used in this Recommendation&gt;</w:t>
      </w:r>
    </w:p>
    <w:p w:rsidR="00123E84" w:rsidRPr="00123E84" w:rsidRDefault="00123E84" w:rsidP="00123E84">
      <w:pPr>
        <w:keepNext/>
        <w:keepLines/>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25" w:name="_Toc494107061"/>
      <w:bookmarkStart w:id="26" w:name="_Toc513403456"/>
      <w:r w:rsidRPr="00123E84">
        <w:rPr>
          <w:rFonts w:eastAsia="Times New Roman"/>
          <w:b/>
          <w:szCs w:val="20"/>
          <w:bdr w:val="none" w:sz="0" w:space="0" w:color="auto"/>
          <w:lang w:val="en-GB"/>
        </w:rPr>
        <w:t>Conventions</w:t>
      </w:r>
      <w:bookmarkEnd w:id="25"/>
      <w:bookmarkEnd w:id="26"/>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val="en-GB" w:eastAsia="ja-JP"/>
        </w:rPr>
      </w:pPr>
      <w:r w:rsidRPr="00123E84">
        <w:rPr>
          <w:rFonts w:eastAsia="SimSun"/>
          <w:b/>
          <w:bdr w:val="none" w:sz="0" w:space="0" w:color="auto"/>
          <w:lang w:val="en-GB" w:eastAsia="ja-JP"/>
        </w:rPr>
        <w:t>Regulator:</w:t>
      </w:r>
      <w:r w:rsidRPr="00123E84">
        <w:rPr>
          <w:rFonts w:eastAsia="SimSun"/>
          <w:bdr w:val="none" w:sz="0" w:space="0" w:color="auto"/>
          <w:lang w:val="en-GB" w:eastAsia="ja-JP"/>
        </w:rPr>
        <w:t xml:space="preserve"> telecommunications regulatory governmental body, for example a telecommunications agency, authority or ministry. </w:t>
      </w:r>
    </w:p>
    <w:p w:rsidR="00123E84" w:rsidRPr="00123E84" w:rsidRDefault="00123E84" w:rsidP="00123E84">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SimSun"/>
          <w:b/>
          <w:bdr w:val="none" w:sz="0" w:space="0" w:color="auto"/>
          <w:lang w:val="en-GB" w:eastAsia="ja-JP"/>
        </w:rPr>
      </w:pPr>
      <w:bookmarkStart w:id="27" w:name="_Toc513403457"/>
      <w:r w:rsidRPr="00123E84">
        <w:rPr>
          <w:rFonts w:eastAsia="SimSun"/>
          <w:b/>
          <w:bdr w:val="none" w:sz="0" w:space="0" w:color="auto"/>
          <w:lang w:val="en-GB" w:eastAsia="ja-JP"/>
        </w:rPr>
        <w:t xml:space="preserve">Operator: </w:t>
      </w:r>
      <w:r w:rsidRPr="00123E84">
        <w:rPr>
          <w:rFonts w:eastAsia="SimSun"/>
          <w:bdr w:val="none" w:sz="0" w:space="0" w:color="auto"/>
          <w:lang w:val="en-GB" w:eastAsia="ja-JP"/>
        </w:rPr>
        <w:t>recognized operating agency (ROA) or operating agency licensed to provide telecommunications services.</w:t>
      </w:r>
      <w:bookmarkStart w:id="28" w:name="_Toc494107062"/>
      <w:bookmarkEnd w:id="27"/>
    </w:p>
    <w:p w:rsidR="00123E84" w:rsidRPr="00123E84" w:rsidRDefault="00123E84" w:rsidP="00123E84">
      <w:pPr>
        <w:keepNext/>
        <w:keepLines/>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29" w:name="_Toc513403458"/>
      <w:r w:rsidRPr="00123E84">
        <w:rPr>
          <w:rFonts w:eastAsia="Times New Roman"/>
          <w:b/>
          <w:szCs w:val="20"/>
          <w:bdr w:val="none" w:sz="0" w:space="0" w:color="auto"/>
          <w:lang w:val="en-GB"/>
        </w:rPr>
        <w:t>Approaches for service quality regulation</w:t>
      </w:r>
      <w:bookmarkEnd w:id="28"/>
      <w:bookmarkEnd w:id="29"/>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val="en-GB" w:eastAsia="ja-JP"/>
        </w:rPr>
      </w:pPr>
      <w:r w:rsidRPr="00123E84">
        <w:rPr>
          <w:rFonts w:eastAsia="SimSun"/>
          <w:bdr w:val="none" w:sz="0" w:space="0" w:color="auto"/>
          <w:lang w:val="en-GB" w:eastAsia="ja-JP"/>
        </w:rPr>
        <w:t xml:space="preserve">Based on the motivation already introduced by the ITU-T Recommendation G.1000 and E.800 Series Supplements 9 and 10, after analysing telecommunications market and enforcement environment in their countries, regulators may decide to establish </w:t>
      </w:r>
      <w:r w:rsidR="00BF5E96" w:rsidRPr="00123E84">
        <w:rPr>
          <w:rFonts w:eastAsia="SimSun"/>
          <w:bdr w:val="none" w:sz="0" w:space="0" w:color="auto"/>
          <w:lang w:val="en-GB" w:eastAsia="ja-JP"/>
        </w:rPr>
        <w:t>a regulatory framework</w:t>
      </w:r>
      <w:r w:rsidRPr="00123E84">
        <w:rPr>
          <w:rFonts w:eastAsia="SimSun"/>
          <w:bdr w:val="none" w:sz="0" w:space="0" w:color="auto"/>
          <w:lang w:val="en-GB" w:eastAsia="ja-JP"/>
        </w:rPr>
        <w:t xml:space="preserve"> aiming to foster investments in raising service provision quality to the consumers. Firstly, it is important to recognize that there are several different approaches that can be used to attain quality improvements where needed and mechanisms to help consumers make informed choices, depending on the market maturity, level of competition, consumers rights awareness, enforcement of the regulator, etc. </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val="en-GB" w:eastAsia="ja-JP"/>
        </w:rPr>
      </w:pPr>
      <w:r w:rsidRPr="00123E84">
        <w:rPr>
          <w:rFonts w:eastAsia="SimSun"/>
          <w:bdr w:val="none" w:sz="0" w:space="0" w:color="auto"/>
          <w:lang w:val="en-GB" w:eastAsia="ja-JP"/>
        </w:rPr>
        <w:t>Regulatory approaches on quality have been undertaken by governments around the world for many years, in regulatory processes varying between unilateral decisions made by central governments and  multi</w:t>
      </w:r>
      <w:r w:rsidR="00BF5E96">
        <w:rPr>
          <w:rFonts w:eastAsia="SimSun"/>
          <w:bdr w:val="none" w:sz="0" w:space="0" w:color="auto"/>
          <w:lang w:val="en-GB" w:eastAsia="ja-JP"/>
        </w:rPr>
        <w:t>-</w:t>
      </w:r>
      <w:r w:rsidRPr="00123E84">
        <w:rPr>
          <w:rFonts w:eastAsia="SimSun"/>
          <w:bdr w:val="none" w:sz="0" w:space="0" w:color="auto"/>
          <w:lang w:val="en-GB" w:eastAsia="ja-JP"/>
        </w:rPr>
        <w:t xml:space="preserve">stakeholder and collaborative decision making processes that gather government, service providers and network suppliers towards setting regulatory solution with greater chances of success. Throughout the years, the common approach of setting </w:t>
      </w:r>
      <w:proofErr w:type="gramStart"/>
      <w:r w:rsidRPr="00123E84">
        <w:rPr>
          <w:rFonts w:eastAsia="SimSun"/>
          <w:bdr w:val="none" w:sz="0" w:space="0" w:color="auto"/>
          <w:lang w:val="en-GB" w:eastAsia="ja-JP"/>
        </w:rPr>
        <w:t>thresholds  and</w:t>
      </w:r>
      <w:proofErr w:type="gramEnd"/>
      <w:r w:rsidRPr="00123E84">
        <w:rPr>
          <w:rFonts w:eastAsia="SimSun"/>
          <w:bdr w:val="none" w:sz="0" w:space="0" w:color="auto"/>
          <w:lang w:val="en-GB" w:eastAsia="ja-JP"/>
        </w:rPr>
        <w:t xml:space="preserve"> applying penalties (fines, for example) to non-compliance results has been evolving to newer and more effective regulatory mechanisms, to create real incentives for  fast quality improvements. </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val="en-GB" w:eastAsia="ja-JP"/>
        </w:rPr>
      </w:pPr>
      <w:r w:rsidRPr="00123E84">
        <w:rPr>
          <w:rFonts w:eastAsia="SimSun"/>
          <w:bdr w:val="none" w:sz="0" w:space="0" w:color="auto"/>
          <w:lang w:val="en-GB" w:eastAsia="ja-JP"/>
        </w:rPr>
        <w:t xml:space="preserve">Based on this discussion, regulators around the world seek for guidance on which regulatory approaches better fits the challenges faced by the countries in raising not just telecommunications networks quality but mainly the perceived quality and the overall </w:t>
      </w:r>
      <w:proofErr w:type="gramStart"/>
      <w:r w:rsidRPr="00123E84">
        <w:rPr>
          <w:rFonts w:eastAsia="SimSun"/>
          <w:bdr w:val="none" w:sz="0" w:space="0" w:color="auto"/>
          <w:lang w:val="en-GB" w:eastAsia="ja-JP"/>
        </w:rPr>
        <w:t>users</w:t>
      </w:r>
      <w:proofErr w:type="gramEnd"/>
      <w:r w:rsidRPr="00123E84">
        <w:rPr>
          <w:rFonts w:eastAsia="SimSun"/>
          <w:bdr w:val="none" w:sz="0" w:space="0" w:color="auto"/>
          <w:lang w:val="en-GB" w:eastAsia="ja-JP"/>
        </w:rPr>
        <w:t xml:space="preserve"> satisfaction. In this regard, the following regulatory approaches are recommended to those aiming to establish or revise their own national quality regulatory frameworks.</w:t>
      </w:r>
    </w:p>
    <w:p w:rsidR="00123E84" w:rsidRPr="00123E84" w:rsidRDefault="00123E84" w:rsidP="00123E84">
      <w:pPr>
        <w:keepNext/>
        <w:keepLines/>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30" w:name="_Toc494107063"/>
      <w:bookmarkStart w:id="31" w:name="_Toc513403459"/>
      <w:r w:rsidRPr="00123E84">
        <w:rPr>
          <w:rFonts w:eastAsia="Times New Roman"/>
          <w:b/>
          <w:szCs w:val="20"/>
          <w:bdr w:val="none" w:sz="0" w:space="0" w:color="auto"/>
          <w:lang w:val="en-GB"/>
        </w:rPr>
        <w:t>Quality regulation better fits retail market</w:t>
      </w:r>
      <w:bookmarkEnd w:id="30"/>
      <w:bookmarkEnd w:id="31"/>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val="en-GB" w:eastAsia="ja-JP"/>
        </w:rPr>
      </w:pPr>
      <w:r w:rsidRPr="00123E84">
        <w:rPr>
          <w:rFonts w:eastAsia="SimSun"/>
          <w:bdr w:val="none" w:sz="0" w:space="0" w:color="auto"/>
          <w:lang w:val="en-GB" w:eastAsia="ja-JP"/>
        </w:rPr>
        <w:t>One of the market failures identified by the economic literature on the telecommunications service provision is the information asymmetry between operators and the consumers. Among the main aspects in which this asymmetry is recognized as a big issue impacting the level of well-fare experienced by the society with the use of telecommunication services is about service quality conditions</w:t>
      </w:r>
      <w:r w:rsidRPr="00123E84">
        <w:rPr>
          <w:rFonts w:eastAsia="SimSun"/>
          <w:bdr w:val="none" w:sz="0" w:space="0" w:color="auto"/>
          <w:lang w:eastAsia="ja-JP"/>
        </w:rPr>
        <w:t xml:space="preserve"> (e.g. availability, coverage, QoS, QoE, repair time, etc.).</w:t>
      </w:r>
      <w:r w:rsidRPr="00123E84">
        <w:rPr>
          <w:rFonts w:eastAsia="SimSun"/>
          <w:bdr w:val="none" w:sz="0" w:space="0" w:color="auto"/>
          <w:lang w:val="en-GB" w:eastAsia="ja-JP"/>
        </w:rPr>
        <w:t xml:space="preserve"> In </w:t>
      </w:r>
      <w:proofErr w:type="gramStart"/>
      <w:r w:rsidRPr="00123E84">
        <w:rPr>
          <w:rFonts w:eastAsia="SimSun"/>
          <w:bdr w:val="none" w:sz="0" w:space="0" w:color="auto"/>
          <w:lang w:val="en-GB" w:eastAsia="ja-JP"/>
        </w:rPr>
        <w:t>fact ,</w:t>
      </w:r>
      <w:proofErr w:type="gramEnd"/>
      <w:r w:rsidRPr="00123E84">
        <w:rPr>
          <w:rFonts w:eastAsia="SimSun"/>
          <w:bdr w:val="none" w:sz="0" w:space="0" w:color="auto"/>
          <w:lang w:val="en-GB" w:eastAsia="ja-JP"/>
        </w:rPr>
        <w:t xml:space="preserve"> prior to contract a service and use it, the consumers have only expectations on the effective delivered service  quality, what is mainly driven by operator’s marketing strategies.</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val="en-GB" w:eastAsia="ja-JP"/>
        </w:rPr>
      </w:pPr>
      <w:r w:rsidRPr="00123E84">
        <w:rPr>
          <w:rFonts w:eastAsia="SimSun"/>
          <w:bdr w:val="none" w:sz="0" w:space="0" w:color="auto"/>
          <w:lang w:val="en-GB" w:eastAsia="ja-JP"/>
        </w:rPr>
        <w:t xml:space="preserve">On the other hand, this market failure is not commonly identified in the wholesale relations between operators due to the high level of technical expertise and awareness of their rights observed in both sides. Furthermore, wholesale contracts among operators generally include SLAs (service level agreements) to guarantee the network performance and the quick response in case of service interruption or degradation. In this relation, the compliance with the contracted quality conditions is usually guaranteed by auto-regulation or by the justice, since the laws covering private relations are normally well known and stable, making telecommunications regulation over such wholesale contracts unneeded. However, there may be cases where the entities entering wholesale contracts </w:t>
      </w:r>
      <w:r w:rsidRPr="00123E84">
        <w:rPr>
          <w:rFonts w:eastAsia="SimSun"/>
          <w:bdr w:val="none" w:sz="0" w:space="0" w:color="auto"/>
          <w:lang w:val="en-GB" w:eastAsia="ja-JP"/>
        </w:rPr>
        <w:lastRenderedPageBreak/>
        <w:t>have different market power. In this case, the entity with higher power may use it to skew the agreement in its favour. This may lead to sub-optimal delivery of services in the wholesale segment with impact on retail customers of the weaker entity.</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val="en-GB" w:eastAsia="ja-JP"/>
        </w:rPr>
        <w:t xml:space="preserve">Consequently, regulators are recommended to set frameworks targeting the quality offered in the retail market, by undertaken measures to guarantee the transparency on the coverage figures </w:t>
      </w:r>
      <w:proofErr w:type="gramStart"/>
      <w:r w:rsidRPr="00123E84">
        <w:rPr>
          <w:rFonts w:eastAsia="SimSun"/>
          <w:bdr w:val="none" w:sz="0" w:space="0" w:color="auto"/>
          <w:lang w:val="en-GB" w:eastAsia="ja-JP"/>
        </w:rPr>
        <w:t>and  on</w:t>
      </w:r>
      <w:proofErr w:type="gramEnd"/>
      <w:r w:rsidRPr="00123E84">
        <w:rPr>
          <w:rFonts w:eastAsia="SimSun"/>
          <w:bdr w:val="none" w:sz="0" w:space="0" w:color="auto"/>
          <w:lang w:val="en-GB" w:eastAsia="ja-JP"/>
        </w:rPr>
        <w:t xml:space="preserve"> the overall quality results, the compliance with the capacity and/or quality advertised comparing the service quality effectively delivered by the main competitors, in order to help consumers make informed choices. The quality issues on the wholesale markets can in most of cases be auto-regulated by the market, with the regulator acting only in disputes settling among operators on interconnection contracts. On the other hand, in some cases, to prevent abuse of market power with potential negative impacts on QoS delivery to retail customers, steps are recommended to be taken to ensure agreements reached (as much as is possible and practicable) in the wholesale segments does not compromise optimum QoS delivery.</w:t>
      </w:r>
    </w:p>
    <w:p w:rsidR="00123E84" w:rsidRPr="00123E84" w:rsidRDefault="00123E84" w:rsidP="00123E84">
      <w:pPr>
        <w:keepNext/>
        <w:keepLines/>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32" w:name="_Toc494107064"/>
      <w:bookmarkStart w:id="33" w:name="_Toc513403460"/>
      <w:r w:rsidRPr="00123E84">
        <w:rPr>
          <w:rFonts w:eastAsia="Times New Roman"/>
          <w:b/>
          <w:szCs w:val="20"/>
          <w:bdr w:val="none" w:sz="0" w:space="0" w:color="auto"/>
          <w:lang w:val="en-GB"/>
        </w:rPr>
        <w:t>Quality regulation impacts competition</w:t>
      </w:r>
      <w:bookmarkEnd w:id="32"/>
      <w:bookmarkEnd w:id="33"/>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The service quality regulation, as many other measures undertaken by the government to regulate the telecommunications market, impacts telecommunications service provision, mostly by increasing operational costs. The level of impact on each player in the market can vary, especially for small operators and newcomers. The cost with data collection, consolidation and publication of service quality results can be impracticable. This creates an entrance barrier and results in less competition in the market.</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 xml:space="preserve">In the past, many countries’ experiences, have shown an inverse relationship between the level of competition in the market and the necessity of service quality regulation. In highly competitive environment in telecommunications service provision the operators are pushed to differentiate their services by price and quality in order to raise customer acquisition and loyalty. Thus, regulators are recommended to avoid the creation of costly measurement frameworks which can potentially hinder competition in the market. </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 xml:space="preserve">Regulators are also recommended to carefully analyze the competition figures in their countries in order to adjust the level of service quality regulation they need. In addition, it is recommended to study and predict the impact of the regulatory measures proposed over the competition environment in the near future, identifying which players are more impacted and which will benefit from the regulatory measures. </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 xml:space="preserve">For example, regulators should consider </w:t>
      </w:r>
      <w:r w:rsidR="00F258E8" w:rsidRPr="00123E84">
        <w:rPr>
          <w:rFonts w:eastAsia="SimSun"/>
          <w:bdr w:val="none" w:sz="0" w:space="0" w:color="auto"/>
          <w:lang w:eastAsia="ja-JP"/>
        </w:rPr>
        <w:t>exempting</w:t>
      </w:r>
      <w:r w:rsidRPr="00123E84">
        <w:rPr>
          <w:rFonts w:eastAsia="SimSun"/>
          <w:bdr w:val="none" w:sz="0" w:space="0" w:color="auto"/>
          <w:lang w:eastAsia="ja-JP"/>
        </w:rPr>
        <w:t xml:space="preserve"> (in total or partially) small operators and newcomers</w:t>
      </w:r>
      <w:r w:rsidRPr="00123E84">
        <w:rPr>
          <w:rFonts w:eastAsia="SimSun"/>
          <w:position w:val="6"/>
          <w:sz w:val="18"/>
          <w:bdr w:val="none" w:sz="0" w:space="0" w:color="auto"/>
          <w:lang w:eastAsia="ja-JP"/>
        </w:rPr>
        <w:footnoteReference w:id="2"/>
      </w:r>
      <w:r w:rsidRPr="00123E84">
        <w:rPr>
          <w:rFonts w:eastAsia="SimSun"/>
          <w:bdr w:val="none" w:sz="0" w:space="0" w:color="auto"/>
          <w:lang w:eastAsia="ja-JP"/>
        </w:rPr>
        <w:t xml:space="preserve"> to comply with service quality regulation, since they already have all the market incentives to be better than traditional operators established aiming to attract the customers. Using the level of competition as a basis, service quality regulation may be lighter in regions where the competition in the retail markets is very high, focusing in transparency of quality results, while strictly monitored in regions with less competition.</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Such approaches can guarantee a national quality regulatory frameworks coordinated with the efforts undertaken by the governments on raising competition and attracting new players to invest in telecommunications service provision.</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u w:val="single"/>
          <w:bdr w:val="none" w:sz="0" w:space="0" w:color="auto"/>
          <w:lang w:eastAsia="ja-JP"/>
        </w:rPr>
      </w:pPr>
      <w:r w:rsidRPr="00123E84">
        <w:rPr>
          <w:rFonts w:eastAsia="SimSun"/>
          <w:u w:val="single"/>
          <w:bdr w:val="none" w:sz="0" w:space="0" w:color="auto"/>
          <w:lang w:eastAsia="ja-JP"/>
        </w:rPr>
        <w:t xml:space="preserve">NOTE: </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val="en-GB" w:eastAsia="ja-JP"/>
        </w:rPr>
      </w:pPr>
      <w:r w:rsidRPr="00123E84">
        <w:rPr>
          <w:rFonts w:eastAsia="SimSun"/>
          <w:bdr w:val="none" w:sz="0" w:space="0" w:color="auto"/>
          <w:lang w:val="en-GB" w:eastAsia="ja-JP"/>
        </w:rPr>
        <w:lastRenderedPageBreak/>
        <w:t xml:space="preserve">There are other factors which can be used by regulators to </w:t>
      </w:r>
      <w:r w:rsidRPr="00123E84">
        <w:rPr>
          <w:rFonts w:eastAsia="SimSun"/>
          <w:bdr w:val="none" w:sz="0" w:space="0" w:color="auto"/>
          <w:lang w:eastAsia="ja-JP"/>
        </w:rPr>
        <w:t xml:space="preserve">adjust the level of service quality regulation. For example, </w:t>
      </w:r>
      <w:r w:rsidRPr="00123E84">
        <w:rPr>
          <w:rFonts w:eastAsia="SimSun"/>
          <w:bdr w:val="none" w:sz="0" w:space="0" w:color="auto"/>
          <w:lang w:val="en-GB" w:eastAsia="ja-JP"/>
        </w:rPr>
        <w:t>an alternative to utilizing competition as a determining factor in adjusting quality of service regulation may be to utilize the quantity of traffic generated and terminated by each service provider in a particular area (Town/City/Region/State etc</w:t>
      </w:r>
      <w:r w:rsidR="00F258E8">
        <w:rPr>
          <w:rFonts w:eastAsia="SimSun"/>
          <w:bdr w:val="none" w:sz="0" w:space="0" w:color="auto"/>
          <w:lang w:val="en-GB" w:eastAsia="ja-JP"/>
        </w:rPr>
        <w:t>.</w:t>
      </w:r>
      <w:r w:rsidRPr="00123E84">
        <w:rPr>
          <w:rFonts w:eastAsia="SimSun"/>
          <w:bdr w:val="none" w:sz="0" w:space="0" w:color="auto"/>
          <w:lang w:val="en-GB" w:eastAsia="ja-JP"/>
        </w:rPr>
        <w:t xml:space="preserve">). This information can then be used to determine the level of focus to be placed on different regions. Regions with higher traffic may experience higher focus from the regulator due to the number of people that may be impacted if a negative issue impacting quality of service occurs. </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val="en-GB" w:eastAsia="ja-JP"/>
        </w:rPr>
      </w:pPr>
      <w:r w:rsidRPr="00123E84">
        <w:rPr>
          <w:rFonts w:eastAsia="SimSun"/>
          <w:bdr w:val="none" w:sz="0" w:space="0" w:color="auto"/>
          <w:lang w:eastAsia="ja-JP"/>
        </w:rPr>
        <w:t>If quantifying competition levels in different regions is cumbersome, the alternative of using the total traffic generated and terminated in different regions to determine level of service regulation to apply may be used. In this case, more regulatory focus is placed on service providers in regions with higher total traffic compared to those with lower total traffic for example.</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p>
    <w:p w:rsidR="00123E84" w:rsidRPr="00123E84" w:rsidRDefault="00123E84" w:rsidP="00123E84">
      <w:pPr>
        <w:keepNext/>
        <w:keepLines/>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34" w:name="_Toc494107065"/>
      <w:bookmarkStart w:id="35" w:name="_Toc513403461"/>
      <w:r w:rsidRPr="00123E84">
        <w:rPr>
          <w:rFonts w:eastAsia="Times New Roman"/>
          <w:b/>
          <w:szCs w:val="20"/>
          <w:bdr w:val="none" w:sz="0" w:space="0" w:color="auto"/>
          <w:lang w:val="en-GB"/>
        </w:rPr>
        <w:t>Responsive regulation reduces litigation and raise enforcement effectiveness</w:t>
      </w:r>
      <w:bookmarkEnd w:id="34"/>
      <w:bookmarkEnd w:id="35"/>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Traditional enforcement approaches of operator’s ex-post penalization (e.g. fines) for poor quality results and/or non-compliance with minimal thresholds defined for key regulatory indicators has proven to be inefficient in fostering quick improvements in QoS/QoE figures. The penalization established by the regulators are usually disputed administratively and/or in justice for years, making this traditional approach a true litigation industry impacting the credibility of the regulator in pushing operators to delivery better services.</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val="en-GB" w:eastAsia="ja-JP"/>
        </w:rPr>
      </w:pPr>
      <w:r w:rsidRPr="00123E84">
        <w:rPr>
          <w:rFonts w:eastAsia="SimSun"/>
          <w:bdr w:val="none" w:sz="0" w:space="0" w:color="auto"/>
          <w:lang w:eastAsia="ja-JP"/>
        </w:rPr>
        <w:t>In this scenario, regulators are recommended to adopt responsive</w:t>
      </w:r>
      <w:r w:rsidRPr="00123E84">
        <w:rPr>
          <w:rFonts w:eastAsia="SimSun"/>
          <w:position w:val="6"/>
          <w:sz w:val="18"/>
          <w:bdr w:val="none" w:sz="0" w:space="0" w:color="auto"/>
          <w:lang w:eastAsia="ja-JP"/>
        </w:rPr>
        <w:footnoteReference w:id="3"/>
      </w:r>
      <w:r w:rsidRPr="00123E84">
        <w:rPr>
          <w:rFonts w:eastAsia="SimSun"/>
          <w:bdr w:val="none" w:sz="0" w:space="0" w:color="auto"/>
          <w:lang w:eastAsia="ja-JP"/>
        </w:rPr>
        <w:t xml:space="preserve"> approaches on quality regulation, by </w:t>
      </w:r>
      <w:r w:rsidRPr="00123E84">
        <w:rPr>
          <w:rFonts w:eastAsia="SimSun"/>
          <w:bdr w:val="none" w:sz="0" w:space="0" w:color="auto"/>
          <w:lang w:val="en-GB" w:eastAsia="ja-JP"/>
        </w:rPr>
        <w:t>making possible to differentiate the enforcement strategies based on the behaviour and compliance history of each operator and making this clear for them, thus creating incentives to operators improve their compliance and cooperate with regulators, aiming to less burdensome oversight.</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val="en-GB" w:eastAsia="ja-JP"/>
        </w:rPr>
      </w:pPr>
      <w:r w:rsidRPr="00123E84">
        <w:rPr>
          <w:rFonts w:eastAsia="SimSun"/>
          <w:bdr w:val="none" w:sz="0" w:space="0" w:color="auto"/>
          <w:lang w:val="en-GB" w:eastAsia="ja-JP"/>
        </w:rPr>
        <w:t>In this approach, regulators are recommended to set some differing enforcement strategies:</w:t>
      </w:r>
    </w:p>
    <w:p w:rsidR="00123E84" w:rsidRPr="00123E84" w:rsidRDefault="00123E84" w:rsidP="00123E84">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before="120" w:after="200" w:line="276" w:lineRule="auto"/>
        <w:contextualSpacing/>
        <w:jc w:val="both"/>
        <w:rPr>
          <w:rFonts w:eastAsia="SimSun"/>
          <w:bdr w:val="none" w:sz="0" w:space="0" w:color="auto"/>
          <w:lang w:val="en-GB"/>
        </w:rPr>
      </w:pPr>
      <w:r w:rsidRPr="00123E84">
        <w:rPr>
          <w:rFonts w:eastAsia="SimSun"/>
          <w:bdr w:val="none" w:sz="0" w:space="0" w:color="auto"/>
          <w:lang w:val="en-GB"/>
        </w:rPr>
        <w:t xml:space="preserve">Operators which have a history of compliance should be gradually inspected less often (their risk level being rated lower) – and for first-time violations, regulators should also generally start with improvement/warning notices or (in the case of lesser violations) formal warnings, except in cases of major, imminent hazard; </w:t>
      </w:r>
    </w:p>
    <w:p w:rsidR="00123E84" w:rsidRPr="00123E84" w:rsidRDefault="00123E84" w:rsidP="00123E84">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before="120" w:after="200" w:line="276" w:lineRule="auto"/>
        <w:contextualSpacing/>
        <w:jc w:val="both"/>
        <w:rPr>
          <w:rFonts w:eastAsia="SimSun"/>
          <w:bdr w:val="none" w:sz="0" w:space="0" w:color="auto"/>
          <w:lang w:val="en-GB"/>
        </w:rPr>
      </w:pPr>
      <w:r w:rsidRPr="00123E84">
        <w:rPr>
          <w:rFonts w:eastAsia="SimSun"/>
          <w:bdr w:val="none" w:sz="0" w:space="0" w:color="auto"/>
          <w:lang w:val="en-GB"/>
        </w:rPr>
        <w:t xml:space="preserve">Operators that show a pattern of systematic and repeated violations of regulations are assigned to a vigilance regime, being accordingly checked more frequently; </w:t>
      </w:r>
    </w:p>
    <w:p w:rsidR="00123E84" w:rsidRPr="00123E84" w:rsidRDefault="00123E84" w:rsidP="00123E84">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before="120" w:after="200" w:line="276" w:lineRule="auto"/>
        <w:contextualSpacing/>
        <w:jc w:val="both"/>
        <w:rPr>
          <w:rFonts w:eastAsia="SimSun"/>
          <w:bdr w:val="none" w:sz="0" w:space="0" w:color="auto"/>
          <w:lang w:val="en-GB"/>
        </w:rPr>
      </w:pPr>
      <w:r w:rsidRPr="00123E84">
        <w:rPr>
          <w:rFonts w:eastAsia="SimSun"/>
          <w:bdr w:val="none" w:sz="0" w:space="0" w:color="auto"/>
          <w:lang w:val="en-GB"/>
        </w:rPr>
        <w:t xml:space="preserve">Operators which commit repeated and systematic violations are showed no leniency when significant violations are found, and enforcement may immediately escalate to sanctions, like suspension of sales and fines, rather than just giving an improvement notice; </w:t>
      </w:r>
    </w:p>
    <w:p w:rsidR="00123E84" w:rsidRPr="00123E84" w:rsidRDefault="00123E84" w:rsidP="00123E84">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before="120" w:after="200" w:line="276" w:lineRule="auto"/>
        <w:contextualSpacing/>
        <w:jc w:val="both"/>
        <w:rPr>
          <w:rFonts w:eastAsia="SimSun"/>
          <w:bdr w:val="none" w:sz="0" w:space="0" w:color="auto"/>
          <w:lang w:val="en-GB"/>
        </w:rPr>
      </w:pPr>
      <w:r w:rsidRPr="00123E84">
        <w:rPr>
          <w:rFonts w:eastAsia="SimSun"/>
          <w:bdr w:val="none" w:sz="0" w:space="0" w:color="auto"/>
          <w:lang w:val="en-GB"/>
        </w:rPr>
        <w:lastRenderedPageBreak/>
        <w:t>Small and recently created operators should be similarly first given a chance to improve, rather than immediately resorting to sanctions, so as to promote a culture of openness on their side (except, once again, if violations are seen to be particularly dangerous and/or were clearly committed intentionally, on purpose).</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 xml:space="preserve">Examples of regulatory measures to be undertaken depending on the </w:t>
      </w:r>
      <w:r w:rsidR="00F258E8" w:rsidRPr="00123E84">
        <w:rPr>
          <w:rFonts w:eastAsia="SimSun"/>
          <w:bdr w:val="none" w:sz="0" w:space="0" w:color="auto"/>
          <w:lang w:eastAsia="ja-JP"/>
        </w:rPr>
        <w:t>operator’s</w:t>
      </w:r>
      <w:r w:rsidRPr="00123E84">
        <w:rPr>
          <w:rFonts w:eastAsia="SimSun"/>
          <w:bdr w:val="none" w:sz="0" w:space="0" w:color="auto"/>
          <w:lang w:eastAsia="ja-JP"/>
        </w:rPr>
        <w:t xml:space="preserve"> behavior and compliance history are:</w:t>
      </w:r>
    </w:p>
    <w:p w:rsidR="00123E84" w:rsidRPr="00123E84" w:rsidRDefault="00123E84" w:rsidP="00123E84">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200" w:line="276" w:lineRule="auto"/>
        <w:contextualSpacing/>
        <w:jc w:val="both"/>
        <w:rPr>
          <w:rFonts w:eastAsia="SimSun"/>
          <w:bdr w:val="none" w:sz="0" w:space="0" w:color="auto"/>
          <w:lang w:val="en-GB"/>
        </w:rPr>
      </w:pPr>
      <w:r w:rsidRPr="00123E84">
        <w:rPr>
          <w:rFonts w:eastAsia="SimSun"/>
          <w:bdr w:val="none" w:sz="0" w:space="0" w:color="auto"/>
          <w:lang w:val="en-GB"/>
        </w:rPr>
        <w:t>Asking action plans for quick quality improvements;</w:t>
      </w:r>
    </w:p>
    <w:p w:rsidR="00123E84" w:rsidRPr="00123E84" w:rsidRDefault="00123E84" w:rsidP="00123E84">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200" w:line="276" w:lineRule="auto"/>
        <w:contextualSpacing/>
        <w:jc w:val="both"/>
        <w:rPr>
          <w:rFonts w:eastAsia="SimSun"/>
          <w:bdr w:val="none" w:sz="0" w:space="0" w:color="auto"/>
          <w:lang w:val="en-GB"/>
        </w:rPr>
      </w:pPr>
      <w:r w:rsidRPr="00123E84">
        <w:rPr>
          <w:rFonts w:eastAsia="SimSun"/>
          <w:bdr w:val="none" w:sz="0" w:space="0" w:color="auto"/>
          <w:lang w:val="en-GB"/>
        </w:rPr>
        <w:t>Highlighting to end-users the poor results of a specific operator (naming and shame);</w:t>
      </w:r>
    </w:p>
    <w:p w:rsidR="00123E84" w:rsidRPr="00123E84" w:rsidRDefault="00123E84" w:rsidP="00123E84">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200" w:line="276" w:lineRule="auto"/>
        <w:contextualSpacing/>
        <w:jc w:val="both"/>
        <w:rPr>
          <w:rFonts w:eastAsia="SimSun"/>
          <w:bdr w:val="none" w:sz="0" w:space="0" w:color="auto"/>
          <w:lang w:val="en-GB"/>
        </w:rPr>
      </w:pPr>
      <w:r w:rsidRPr="00123E84">
        <w:rPr>
          <w:rFonts w:eastAsia="SimSun"/>
          <w:bdr w:val="none" w:sz="0" w:space="0" w:color="auto"/>
          <w:lang w:val="en-GB"/>
        </w:rPr>
        <w:t>Providing end-users compensation;</w:t>
      </w:r>
    </w:p>
    <w:p w:rsidR="00123E84" w:rsidRPr="00123E84" w:rsidRDefault="00123E84" w:rsidP="00123E84">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200" w:line="276" w:lineRule="auto"/>
        <w:contextualSpacing/>
        <w:jc w:val="both"/>
        <w:rPr>
          <w:rFonts w:eastAsia="SimSun"/>
          <w:bdr w:val="none" w:sz="0" w:space="0" w:color="auto"/>
          <w:lang w:val="en-GB"/>
        </w:rPr>
      </w:pPr>
      <w:r w:rsidRPr="00123E84">
        <w:rPr>
          <w:rFonts w:eastAsia="SimSun"/>
          <w:bdr w:val="none" w:sz="0" w:space="0" w:color="auto"/>
          <w:lang w:val="en-GB"/>
        </w:rPr>
        <w:t>Suspension of sales for a specific period in a given region;</w:t>
      </w:r>
    </w:p>
    <w:p w:rsidR="00123E84" w:rsidRPr="00123E84" w:rsidRDefault="00123E84" w:rsidP="00123E84">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200" w:line="276" w:lineRule="auto"/>
        <w:contextualSpacing/>
        <w:jc w:val="both"/>
        <w:rPr>
          <w:rFonts w:eastAsia="SimSun"/>
          <w:bdr w:val="none" w:sz="0" w:space="0" w:color="auto"/>
          <w:lang w:val="en-GB"/>
        </w:rPr>
      </w:pPr>
      <w:r w:rsidRPr="00123E84">
        <w:rPr>
          <w:rFonts w:eastAsia="SimSun"/>
          <w:bdr w:val="none" w:sz="0" w:space="0" w:color="auto"/>
          <w:lang w:val="en-GB"/>
        </w:rPr>
        <w:t>Applying fines, as the last alternative;</w:t>
      </w:r>
    </w:p>
    <w:p w:rsidR="00123E84" w:rsidRPr="00123E84" w:rsidRDefault="00123E84" w:rsidP="00123E84">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200" w:line="276" w:lineRule="auto"/>
        <w:contextualSpacing/>
        <w:jc w:val="both"/>
        <w:rPr>
          <w:rFonts w:eastAsia="SimSun"/>
          <w:bdr w:val="none" w:sz="0" w:space="0" w:color="auto"/>
          <w:lang w:val="en-GB"/>
        </w:rPr>
      </w:pPr>
      <w:r w:rsidRPr="00123E84">
        <w:rPr>
          <w:rFonts w:eastAsia="SimSun"/>
          <w:bdr w:val="none" w:sz="0" w:space="0" w:color="auto"/>
          <w:lang w:val="en-GB"/>
        </w:rPr>
        <w:t>Termination of the license to operate a given telecommunications service.</w:t>
      </w:r>
    </w:p>
    <w:p w:rsidR="00123E84" w:rsidRPr="00123E84" w:rsidRDefault="00123E84" w:rsidP="00123E84">
      <w:pPr>
        <w:keepNext/>
        <w:keepLines/>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36" w:name="_Toc492484280"/>
      <w:bookmarkStart w:id="37" w:name="_Toc492484313"/>
      <w:bookmarkStart w:id="38" w:name="_Toc494107066"/>
      <w:bookmarkStart w:id="39" w:name="_Toc513403462"/>
      <w:bookmarkEnd w:id="36"/>
      <w:bookmarkEnd w:id="37"/>
      <w:r w:rsidRPr="00123E84">
        <w:rPr>
          <w:rFonts w:eastAsia="Times New Roman"/>
          <w:b/>
          <w:szCs w:val="20"/>
          <w:bdr w:val="none" w:sz="0" w:space="0" w:color="auto"/>
          <w:lang w:val="en-GB"/>
        </w:rPr>
        <w:t>Convergent networks and services reduce the number of KRIs needed</w:t>
      </w:r>
      <w:bookmarkEnd w:id="38"/>
      <w:bookmarkEnd w:id="39"/>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Economies of scope brought by network convergence create the necessity to have regulatory frameworks adapted to a scenario where the telecommunications network, the customer service platforms, the billing systems, the operation and maintenance teams are mostly the same throughout the services.</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As a result, regulators are recommended to carefully set key regulatory indicators considering the risk of monitoring duplication among the services and the necessity to keep monitoring focused in KRIs that better reflect poor consumer’s experience, mainly availability, level of complaints from end-users and level of non-compliance with the services offered (speed, latency, etc.).</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 xml:space="preserve">Furthermore, regulators are recommended to consider that some KRIs are important to empower the consumers but do not need to have minimum and/or maximum targets. For example, KRIs measuring coverage, average installation and repairing time, average waiting time in the call center, average network speed, </w:t>
      </w:r>
      <w:proofErr w:type="gramStart"/>
      <w:r w:rsidRPr="00123E84">
        <w:rPr>
          <w:rFonts w:eastAsia="SimSun"/>
          <w:bdr w:val="none" w:sz="0" w:space="0" w:color="auto"/>
          <w:lang w:eastAsia="ja-JP"/>
        </w:rPr>
        <w:t>average</w:t>
      </w:r>
      <w:proofErr w:type="gramEnd"/>
      <w:r w:rsidRPr="00123E84">
        <w:rPr>
          <w:rFonts w:eastAsia="SimSun"/>
          <w:bdr w:val="none" w:sz="0" w:space="0" w:color="auto"/>
          <w:lang w:eastAsia="ja-JP"/>
        </w:rPr>
        <w:t xml:space="preserve"> performance of using popular Over-the-top applications are important information to be provided for the consumers and do not need specific targets.</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Regulators are also recommended to avoid setting technology oriented KRIs in order to keep quality</w:t>
      </w:r>
      <w:r w:rsidRPr="00123E84">
        <w:rPr>
          <w:rFonts w:eastAsia="SimSun"/>
          <w:bdr w:val="none" w:sz="0" w:space="0" w:color="auto"/>
          <w:lang w:val="en-GB" w:eastAsia="ja-JP"/>
        </w:rPr>
        <w:t xml:space="preserve"> regulation standing throughout the technology evolution and to choose </w:t>
      </w:r>
      <w:r w:rsidRPr="00123E84">
        <w:rPr>
          <w:rFonts w:eastAsia="SimSun"/>
          <w:bdr w:val="none" w:sz="0" w:space="0" w:color="auto"/>
          <w:lang w:eastAsia="ja-JP"/>
        </w:rPr>
        <w:t>KRIs more general and easily understandable by the consumers</w:t>
      </w:r>
      <w:r w:rsidRPr="00123E84">
        <w:rPr>
          <w:rFonts w:eastAsia="SimSun"/>
          <w:bdr w:val="none" w:sz="0" w:space="0" w:color="auto"/>
          <w:lang w:val="en-GB" w:eastAsia="ja-JP"/>
        </w:rPr>
        <w:t xml:space="preserve">. For example, </w:t>
      </w:r>
      <w:r w:rsidRPr="00123E84">
        <w:rPr>
          <w:rFonts w:eastAsia="SimSun"/>
          <w:bdr w:val="none" w:sz="0" w:space="0" w:color="auto"/>
          <w:lang w:eastAsia="ja-JP"/>
        </w:rPr>
        <w:t>refers to “site” instead of “e-</w:t>
      </w:r>
      <w:proofErr w:type="spellStart"/>
      <w:r w:rsidRPr="00123E84">
        <w:rPr>
          <w:rFonts w:eastAsia="SimSun"/>
          <w:bdr w:val="none" w:sz="0" w:space="0" w:color="auto"/>
          <w:lang w:eastAsia="ja-JP"/>
        </w:rPr>
        <w:t>NodeB</w:t>
      </w:r>
      <w:proofErr w:type="spellEnd"/>
      <w:r w:rsidRPr="00123E84">
        <w:rPr>
          <w:rFonts w:eastAsia="SimSun"/>
          <w:bdr w:val="none" w:sz="0" w:space="0" w:color="auto"/>
          <w:lang w:eastAsia="ja-JP"/>
        </w:rPr>
        <w:t>” in the regulation can make a KRI applicable to any mobile network technology present in the country.</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
          <w:bdr w:val="none" w:sz="0" w:space="0" w:color="auto"/>
          <w:lang w:eastAsia="ja-JP"/>
        </w:rPr>
      </w:pPr>
      <w:r w:rsidRPr="00123E84">
        <w:rPr>
          <w:rFonts w:eastAsia="SimSun"/>
          <w:bdr w:val="none" w:sz="0" w:space="0" w:color="auto"/>
          <w:lang w:eastAsia="ja-JP"/>
        </w:rPr>
        <w:t>Finally, regulators are recommended to set glide paths for the KRI’s targets, thus stimulating continual improvements in the service quality figures towards the desired level in an acceptable timeframe.</w:t>
      </w:r>
    </w:p>
    <w:p w:rsidR="00123E84" w:rsidRPr="00123E84" w:rsidRDefault="00123E84" w:rsidP="00123E84">
      <w:pPr>
        <w:keepNext/>
        <w:keepLines/>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40" w:name="_Toc492484282"/>
      <w:bookmarkStart w:id="41" w:name="_Toc492484315"/>
      <w:bookmarkStart w:id="42" w:name="_Toc492484283"/>
      <w:bookmarkStart w:id="43" w:name="_Toc492484316"/>
      <w:bookmarkStart w:id="44" w:name="_Toc492484284"/>
      <w:bookmarkStart w:id="45" w:name="_Toc492484317"/>
      <w:bookmarkStart w:id="46" w:name="_Toc492484285"/>
      <w:bookmarkStart w:id="47" w:name="_Toc492484318"/>
      <w:bookmarkStart w:id="48" w:name="_Toc492484286"/>
      <w:bookmarkStart w:id="49" w:name="_Toc492484319"/>
      <w:bookmarkStart w:id="50" w:name="_Toc492484287"/>
      <w:bookmarkStart w:id="51" w:name="_Toc492484320"/>
      <w:bookmarkStart w:id="52" w:name="_Toc513403463"/>
      <w:bookmarkStart w:id="53" w:name="_Toc494107067"/>
      <w:bookmarkEnd w:id="40"/>
      <w:bookmarkEnd w:id="41"/>
      <w:bookmarkEnd w:id="42"/>
      <w:bookmarkEnd w:id="43"/>
      <w:bookmarkEnd w:id="44"/>
      <w:bookmarkEnd w:id="45"/>
      <w:bookmarkEnd w:id="46"/>
      <w:bookmarkEnd w:id="47"/>
      <w:bookmarkEnd w:id="48"/>
      <w:bookmarkEnd w:id="49"/>
      <w:bookmarkEnd w:id="50"/>
      <w:bookmarkEnd w:id="51"/>
      <w:r w:rsidRPr="00123E84">
        <w:rPr>
          <w:rFonts w:eastAsia="Times New Roman"/>
          <w:b/>
          <w:szCs w:val="20"/>
          <w:bdr w:val="none" w:sz="0" w:space="0" w:color="auto"/>
          <w:lang w:val="en-GB"/>
        </w:rPr>
        <w:t>KRIs targets reliable choices demand knowledge on current delivered service quality</w:t>
      </w:r>
      <w:bookmarkEnd w:id="52"/>
      <w:r w:rsidRPr="00123E84">
        <w:rPr>
          <w:rFonts w:eastAsia="Times New Roman"/>
          <w:b/>
          <w:szCs w:val="20"/>
          <w:bdr w:val="none" w:sz="0" w:space="0" w:color="auto"/>
          <w:lang w:val="en-GB"/>
        </w:rPr>
        <w:t xml:space="preserve"> </w:t>
      </w:r>
      <w:bookmarkEnd w:id="53"/>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 xml:space="preserve">One of the main characteristics of the telecommunications market is the fast network technologies evolution, which requires intense investments in capacity and coverage. In such evolving scenario, regulators aiming to establish key regulatory indicators with minimum and/or maximum target values for them are recommended to firstly take into account the last network capacities and then define the KRI’s targets. In addition, the target values definition is recommended to be done after a very open debate with society and the operators, in order to guarantee their feasibility and effectiveness to represent the delivered service </w:t>
      </w:r>
      <w:proofErr w:type="gramStart"/>
      <w:r w:rsidRPr="00123E84">
        <w:rPr>
          <w:rFonts w:eastAsia="SimSun"/>
          <w:bdr w:val="none" w:sz="0" w:space="0" w:color="auto"/>
          <w:lang w:eastAsia="ja-JP"/>
        </w:rPr>
        <w:t>quality .</w:t>
      </w:r>
      <w:proofErr w:type="gramEnd"/>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 xml:space="preserve">For this, regulators are also recommended to measure the KRIs in a first cycle (which may cover a short period of time) and then make a final decision based on the minimum and/or maximum reference targets. At the end, the targets are recommended to be included in a secondary instrument, </w:t>
      </w:r>
      <w:r w:rsidRPr="00123E84">
        <w:rPr>
          <w:rFonts w:eastAsia="SimSun"/>
          <w:bdr w:val="none" w:sz="0" w:space="0" w:color="auto"/>
          <w:lang w:eastAsia="ja-JP"/>
        </w:rPr>
        <w:lastRenderedPageBreak/>
        <w:t>instead of the main regulatory bill, thus contributing to expand regulation lifetime and enabling regulators to evolve the targets when needed (end-user’s quality requirements always increase).</w:t>
      </w:r>
    </w:p>
    <w:p w:rsidR="00123E84" w:rsidRPr="00123E84" w:rsidRDefault="00123E84" w:rsidP="00123E84">
      <w:pPr>
        <w:keepNext/>
        <w:keepLines/>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54" w:name="_Toc494107068"/>
      <w:bookmarkStart w:id="55" w:name="_Toc513403464"/>
      <w:r w:rsidRPr="00123E84">
        <w:rPr>
          <w:rFonts w:eastAsia="Times New Roman"/>
          <w:b/>
          <w:szCs w:val="20"/>
          <w:bdr w:val="none" w:sz="0" w:space="0" w:color="auto"/>
          <w:lang w:val="en-GB"/>
        </w:rPr>
        <w:t>Granularity and accuracy of KRIs better inform the consumers</w:t>
      </w:r>
      <w:bookmarkEnd w:id="54"/>
      <w:bookmarkEnd w:id="55"/>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 xml:space="preserve">On one hand, the rising </w:t>
      </w:r>
      <w:proofErr w:type="gramStart"/>
      <w:r w:rsidRPr="00123E84">
        <w:rPr>
          <w:rFonts w:eastAsia="SimSun"/>
          <w:bdr w:val="none" w:sz="0" w:space="0" w:color="auto"/>
          <w:lang w:eastAsia="ja-JP"/>
        </w:rPr>
        <w:t>consumers</w:t>
      </w:r>
      <w:proofErr w:type="gramEnd"/>
      <w:r w:rsidRPr="00123E84">
        <w:rPr>
          <w:rFonts w:eastAsia="SimSun"/>
          <w:bdr w:val="none" w:sz="0" w:space="0" w:color="auto"/>
          <w:lang w:eastAsia="ja-JP"/>
        </w:rPr>
        <w:t xml:space="preserve"> necessity to use the telecommunications services wherever they are and whenever they need requires information on service quality to reflect as much as possible consumers experiences. In such scenario, the more granular the measures, the more the KRIs results will be useful to help consumers to make informed choices. However, it is important to be noted that the more granular QoS measurements are taken, the more the impact of negative occurrences (e.g. site outages, frequency spectrum interferences, etc.) have on the QoS results.</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 xml:space="preserve">On the other hand, it is important to guarantee statistical validation of the measurements in order to avoid litigation on quality assessment results, which leads to a trade-off between greater granularity and reasonable operational costs with the measurement strategy. </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Consequently, regulators are recommended to set measurement strategies with greater granularity but keeping the statistical validation of them, by using testing solutions and tools that lower operational costs of measurements, like crowdsourcing and CPE/smartphone embedded testing applications.</w:t>
      </w:r>
    </w:p>
    <w:p w:rsidR="00123E84" w:rsidRPr="00123E84" w:rsidRDefault="00123E84" w:rsidP="00123E84">
      <w:pPr>
        <w:keepNext/>
        <w:keepLines/>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56" w:name="_Toc494107069"/>
      <w:bookmarkStart w:id="57" w:name="_Toc513403465"/>
      <w:r w:rsidRPr="00123E84">
        <w:rPr>
          <w:rFonts w:eastAsia="Times New Roman"/>
          <w:b/>
          <w:szCs w:val="20"/>
          <w:bdr w:val="none" w:sz="0" w:space="0" w:color="auto"/>
          <w:lang w:val="en-GB"/>
        </w:rPr>
        <w:t>Consumer’s satisfaction and perceived service quality complement QoS assessment</w:t>
      </w:r>
      <w:bookmarkEnd w:id="56"/>
      <w:bookmarkEnd w:id="57"/>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Satisfactory results in technical KRIs may hinder poor quality perception by the consumers. However, poor quality of customer care services and lower accuracy of the billing systems have the potential to affect directly the consumers experience even in a scenario where the networks are delivering very good QoS results.</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In this regard, regulators are recommended to run surveys among the consumers in order to measure the perceived service quality by them and to evaluate their overall satisfaction with the telecommunications services provided. After that, the survey results are recommended to be used to ponder the actions to be undertaken by the regulator in response to poor technical KRIs results of some operator. For example, a customer satisfaction or perceived quality positive variation between two measurement cycles may lower the pressure from regulator towards improvements in network quality. There may also be a situation where technical KRI targets are being met by a service provider/s, but the survey results are mostly negative. Hence, it is important that survey questions are properly crafted to enable apportionment of technical and non-technical issues.</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 xml:space="preserve">Also, the survey results are recommended to be extensively published throughout the consumers. The results publication aims to give information </w:t>
      </w:r>
      <w:r w:rsidRPr="00123E84">
        <w:rPr>
          <w:rFonts w:eastAsia="SimSun"/>
          <w:bdr w:val="none" w:sz="0" w:space="0" w:color="auto"/>
          <w:lang w:val="en-GB" w:eastAsia="ja-JP"/>
        </w:rPr>
        <w:t>on the different levels of quality experienced in average by the consumers of each operator, helping them to make better choices.</w:t>
      </w:r>
    </w:p>
    <w:p w:rsidR="00123E84" w:rsidRPr="00123E84" w:rsidRDefault="00123E84" w:rsidP="00123E84">
      <w:pPr>
        <w:keepNext/>
        <w:keepLines/>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58" w:name="_Toc494107070"/>
      <w:bookmarkStart w:id="59" w:name="_Toc513403466"/>
      <w:r w:rsidRPr="00123E84">
        <w:rPr>
          <w:rFonts w:eastAsia="Times New Roman"/>
          <w:b/>
          <w:szCs w:val="20"/>
          <w:bdr w:val="none" w:sz="0" w:space="0" w:color="auto"/>
          <w:lang w:val="en-GB"/>
        </w:rPr>
        <w:t>Measurement tools and sampling plans are better defined hearing all stakeholders</w:t>
      </w:r>
      <w:bookmarkEnd w:id="58"/>
      <w:bookmarkEnd w:id="59"/>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rPr>
      </w:pPr>
      <w:r w:rsidRPr="00123E84">
        <w:rPr>
          <w:rFonts w:eastAsia="SimSun"/>
          <w:bdr w:val="none" w:sz="0" w:space="0" w:color="auto"/>
          <w:lang w:eastAsia="ja-JP"/>
        </w:rPr>
        <w:t xml:space="preserve">In order to set efficient measurement strategies and choose the best testing solutions/tools, regulators are recommended to establish, after the regulation issuance, a quality management group gathering regulator, operators and measurement solution providers, to discuss the market proposals based </w:t>
      </w:r>
      <w:r w:rsidR="00DC1D2D" w:rsidRPr="00123E84">
        <w:rPr>
          <w:rFonts w:eastAsia="SimSun"/>
          <w:bdr w:val="none" w:sz="0" w:space="0" w:color="auto"/>
          <w:lang w:eastAsia="ja-JP"/>
        </w:rPr>
        <w:t>on their</w:t>
      </w:r>
      <w:r w:rsidRPr="00123E84">
        <w:rPr>
          <w:rFonts w:eastAsia="SimSun"/>
          <w:bdr w:val="none" w:sz="0" w:space="0" w:color="auto"/>
          <w:lang w:eastAsia="ja-JP"/>
        </w:rPr>
        <w:t xml:space="preserve"> specific needs and networks. Such management group should remain active during the whole regulation lifecycle to focus on defining detailed operational guidelines, tools, sampling plans, requirements, databases, sources, criteria and collecting procedures</w:t>
      </w:r>
      <w:r w:rsidRPr="00123E84">
        <w:rPr>
          <w:rFonts w:eastAsia="SimSun"/>
          <w:bdr w:val="none" w:sz="0" w:space="0" w:color="auto"/>
        </w:rPr>
        <w:t>.</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
          <w:bdr w:val="none" w:sz="0" w:space="0" w:color="auto"/>
          <w:lang w:eastAsia="ja-JP"/>
        </w:rPr>
      </w:pPr>
    </w:p>
    <w:p w:rsidR="00123E84" w:rsidRPr="00123E84" w:rsidRDefault="00123E84" w:rsidP="00123E84">
      <w:pPr>
        <w:keepNext/>
        <w:keepLines/>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rPr>
      </w:pPr>
      <w:bookmarkStart w:id="60" w:name="_Toc513403467"/>
      <w:bookmarkStart w:id="61" w:name="_Toc494107072"/>
      <w:r w:rsidRPr="00123E84">
        <w:rPr>
          <w:rFonts w:eastAsia="Times New Roman"/>
          <w:b/>
          <w:szCs w:val="20"/>
          <w:bdr w:val="none" w:sz="0" w:space="0" w:color="auto"/>
          <w:lang w:val="en-GB"/>
        </w:rPr>
        <w:lastRenderedPageBreak/>
        <w:t>Enforcement strategies</w:t>
      </w:r>
      <w:bookmarkEnd w:id="60"/>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20"/>
        <w:jc w:val="both"/>
        <w:textAlignment w:val="baseline"/>
        <w:rPr>
          <w:rFonts w:eastAsia="SimSun"/>
          <w:bdr w:val="none" w:sz="0" w:space="0" w:color="auto"/>
        </w:rPr>
      </w:pPr>
      <w:r w:rsidRPr="00123E84">
        <w:rPr>
          <w:rFonts w:eastAsia="SimSun"/>
          <w:bdr w:val="none" w:sz="0" w:space="0" w:color="auto"/>
        </w:rPr>
        <w:t xml:space="preserve">It is important to recognize, beforehand, that any enforcement strategy to be followed by a given regulator intrinsically depends on the context of the country in terms of economic aspects, legal certainty, culture, level of competition, consumer awareness, among others. However, whatever the context, some principles can be identified in order to set up enhanced and efficient enforcement strategies to compel operators to deliver better service quality. </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In regions with greater competition among telecommunications service providers, it is recommended that regulators adopt less quality control. In this scenario, providing comparative performance information is likely to move consumers to opt for the most cost-effective offerings, leading all players to a competition for the best quality, although additional rules may also be adopted, such as consumer protection rules to avoid abusive practices.</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On the other hand, in regions with lack of competition, it is recommended that the regulatory bodies establish and monitor the minimum parameters of quality of service delivered. In this case, a model should be sought that will encourage operators to continuously improve their performance. This should be without substantially reducing economic attractiveness or entering in long-term judicial litigation.</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It is understood that in an industry where the need for investment is constant due to the fast evolution of technology, enforcement models should reduce legal uncertainties, litigation, and seek to improve performance through commitments of temporal evolution of results, with measures well established and known by the consumers in case of non-compliance. Such measures should always seek to keep the resources and investment in the telecommunications sector, avoiding the imposition of fines which may be hard to collect and may be redirected to other sectors of the government. Furthermore, the enforcement models should be calibrated responsively, being aggravated when the operator's responses in terms of service quality improvement are slow and attenuated when their responses are fast.</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 xml:space="preserve">Based on this rationale, instead of automatically sanctioning operators for the non-compliance with the KRIs targets established, it is recommended that the failure to comply with one or a set of KRIs in a given region triggers a Surveillance Period over an operator or a group of operators. This special monitoring regime comprises a well-defined period of time in which the targeted operator must implement a clear schedule of service quality improvements and compensatory measures. These measures should be adopted in the regions or municipalities affected by the </w:t>
      </w:r>
      <w:r w:rsidR="00F258E8" w:rsidRPr="00123E84">
        <w:rPr>
          <w:rFonts w:eastAsia="SimSun"/>
          <w:bdr w:val="none" w:sz="0" w:space="0" w:color="auto"/>
          <w:lang w:eastAsia="ja-JP"/>
        </w:rPr>
        <w:t>poor-quality</w:t>
      </w:r>
      <w:r w:rsidRPr="00123E84">
        <w:rPr>
          <w:rFonts w:eastAsia="SimSun"/>
          <w:bdr w:val="none" w:sz="0" w:space="0" w:color="auto"/>
          <w:lang w:eastAsia="ja-JP"/>
        </w:rPr>
        <w:t xml:space="preserve"> results.</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 xml:space="preserve">The compensatory measures are recommended to be organized in ascending enforcement steps, following the paradigm of the responsive regulation, whereas incentives are set up to stimulate compliance. These measures may also be modulated based on factors such as </w:t>
      </w:r>
      <w:r w:rsidRPr="00123E84">
        <w:rPr>
          <w:rFonts w:eastAsia="SimSun"/>
          <w:bdr w:val="none" w:sz="0" w:space="0" w:color="auto"/>
          <w:lang w:val="en-GB" w:eastAsia="ja-JP"/>
        </w:rPr>
        <w:t xml:space="preserve">market maturity, level of competition, </w:t>
      </w:r>
      <w:proofErr w:type="gramStart"/>
      <w:r w:rsidRPr="00123E84">
        <w:rPr>
          <w:rFonts w:eastAsia="SimSun"/>
          <w:bdr w:val="none" w:sz="0" w:space="0" w:color="auto"/>
          <w:lang w:val="en-GB" w:eastAsia="ja-JP"/>
        </w:rPr>
        <w:t>consumers</w:t>
      </w:r>
      <w:proofErr w:type="gramEnd"/>
      <w:r w:rsidRPr="00123E84">
        <w:rPr>
          <w:rFonts w:eastAsia="SimSun"/>
          <w:bdr w:val="none" w:sz="0" w:space="0" w:color="auto"/>
          <w:lang w:val="en-GB" w:eastAsia="ja-JP"/>
        </w:rPr>
        <w:t xml:space="preserve"> rights awareness, enforcement of the regulator, etc</w:t>
      </w:r>
      <w:r w:rsidR="00F258E8">
        <w:rPr>
          <w:rFonts w:eastAsia="SimSun"/>
          <w:bdr w:val="none" w:sz="0" w:space="0" w:color="auto"/>
          <w:lang w:val="en-GB" w:eastAsia="ja-JP"/>
        </w:rPr>
        <w:t>.</w:t>
      </w:r>
      <w:r w:rsidRPr="00123E84">
        <w:rPr>
          <w:rFonts w:eastAsia="SimSun"/>
          <w:bdr w:val="none" w:sz="0" w:space="0" w:color="auto"/>
          <w:lang w:val="en-GB" w:eastAsia="ja-JP"/>
        </w:rPr>
        <w:t>,</w:t>
      </w:r>
      <w:r w:rsidRPr="00123E84">
        <w:rPr>
          <w:rFonts w:eastAsia="SimSun"/>
          <w:bdr w:val="none" w:sz="0" w:space="0" w:color="auto"/>
          <w:lang w:eastAsia="ja-JP"/>
        </w:rPr>
        <w:t xml:space="preserve"> in the affected region or municipality. </w:t>
      </w:r>
      <w:r w:rsidR="00F258E8" w:rsidRPr="00123E84">
        <w:rPr>
          <w:rFonts w:eastAsia="SimSun"/>
          <w:bdr w:val="none" w:sz="0" w:space="0" w:color="auto"/>
          <w:lang w:eastAsia="ja-JP"/>
        </w:rPr>
        <w:t>Non-exhaustive</w:t>
      </w:r>
      <w:r w:rsidRPr="00123E84">
        <w:rPr>
          <w:rFonts w:eastAsia="SimSun"/>
          <w:bdr w:val="none" w:sz="0" w:space="0" w:color="auto"/>
          <w:lang w:eastAsia="ja-JP"/>
        </w:rPr>
        <w:t xml:space="preserve"> examples of compensatory measures to be established by regulators are:</w:t>
      </w:r>
    </w:p>
    <w:p w:rsidR="00123E84" w:rsidRPr="00123E84" w:rsidRDefault="00123E84" w:rsidP="00123E84">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20"/>
        <w:jc w:val="both"/>
        <w:textAlignment w:val="baseline"/>
        <w:rPr>
          <w:rFonts w:eastAsia="SimSun"/>
          <w:bdr w:val="none" w:sz="0" w:space="0" w:color="auto"/>
        </w:rPr>
      </w:pPr>
      <w:r w:rsidRPr="00123E84">
        <w:rPr>
          <w:rFonts w:eastAsia="SimSun"/>
          <w:bdr w:val="none" w:sz="0" w:space="0" w:color="auto"/>
        </w:rPr>
        <w:t>Inform consumers: extensive publication to end users on the poor service quality results of a particular operator, highlighting the beginning of the Surveillance Period over it;</w:t>
      </w:r>
    </w:p>
    <w:p w:rsidR="00123E84" w:rsidRPr="00123E84" w:rsidRDefault="00123E84" w:rsidP="00123E84">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20"/>
        <w:jc w:val="both"/>
        <w:textAlignment w:val="baseline"/>
        <w:rPr>
          <w:rFonts w:eastAsia="SimSun"/>
          <w:bdr w:val="none" w:sz="0" w:space="0" w:color="auto"/>
        </w:rPr>
      </w:pPr>
      <w:r w:rsidRPr="00123E84">
        <w:rPr>
          <w:rFonts w:eastAsia="SimSun"/>
          <w:bdr w:val="none" w:sz="0" w:space="0" w:color="auto"/>
        </w:rPr>
        <w:t>Monetary compensation: obligation of the operator to reimburse the consumers due to the poor quality of the services provided;</w:t>
      </w:r>
    </w:p>
    <w:p w:rsidR="00123E84" w:rsidRPr="00123E84" w:rsidRDefault="00123E84" w:rsidP="00123E84">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20"/>
        <w:jc w:val="both"/>
        <w:textAlignment w:val="baseline"/>
        <w:rPr>
          <w:rFonts w:eastAsia="SimSun"/>
          <w:bdr w:val="none" w:sz="0" w:space="0" w:color="auto"/>
        </w:rPr>
      </w:pPr>
      <w:r w:rsidRPr="00123E84">
        <w:rPr>
          <w:rFonts w:eastAsia="SimSun"/>
          <w:bdr w:val="none" w:sz="0" w:space="0" w:color="auto"/>
        </w:rPr>
        <w:t>Breaking of loyalty contracts: consumers affected by the poor quality of the services can have their loyalty contracts broken and be able to move to another operator without having to pay penalties;</w:t>
      </w:r>
    </w:p>
    <w:p w:rsidR="00123E84" w:rsidRPr="00123E84" w:rsidRDefault="00123E84" w:rsidP="00123E84">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20"/>
        <w:jc w:val="both"/>
        <w:textAlignment w:val="baseline"/>
        <w:rPr>
          <w:rFonts w:eastAsia="SimSun"/>
          <w:bdr w:val="none" w:sz="0" w:space="0" w:color="auto"/>
        </w:rPr>
      </w:pPr>
      <w:r w:rsidRPr="00123E84">
        <w:rPr>
          <w:rFonts w:eastAsia="SimSun"/>
          <w:bdr w:val="none" w:sz="0" w:space="0" w:color="auto"/>
        </w:rPr>
        <w:t>Suspension of sales: the operator would be suspended from selling additional subscriptions and/or launching new promotions until it recovers the quality effectively delivered to the end user.</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This Surveillance Period is recommended to be terminated if any of the following is met:</w:t>
      </w:r>
    </w:p>
    <w:p w:rsidR="00123E84" w:rsidRPr="00123E84" w:rsidRDefault="00123E84" w:rsidP="00123E84">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20"/>
        <w:jc w:val="both"/>
        <w:textAlignment w:val="baseline"/>
        <w:rPr>
          <w:rFonts w:eastAsia="SimSun"/>
          <w:bdr w:val="none" w:sz="0" w:space="0" w:color="auto"/>
        </w:rPr>
      </w:pPr>
      <w:r w:rsidRPr="00123E84">
        <w:rPr>
          <w:rFonts w:eastAsia="SimSun"/>
          <w:bdr w:val="none" w:sz="0" w:space="0" w:color="auto"/>
        </w:rPr>
        <w:t>The recovery of the targeted operator to the acceptable KRIs levels, also having the operator adopt all the compensatory measures established by the regulator, mitigating the risk of sanction and long-term litigation;</w:t>
      </w:r>
    </w:p>
    <w:p w:rsidR="00123E84" w:rsidRPr="00123E84" w:rsidRDefault="00123E84" w:rsidP="00123E84">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20"/>
        <w:jc w:val="both"/>
        <w:textAlignment w:val="baseline"/>
        <w:rPr>
          <w:rFonts w:eastAsia="SimSun"/>
          <w:bdr w:val="none" w:sz="0" w:space="0" w:color="auto"/>
        </w:rPr>
      </w:pPr>
      <w:r w:rsidRPr="00123E84">
        <w:rPr>
          <w:rFonts w:eastAsia="SimSun"/>
          <w:bdr w:val="none" w:sz="0" w:space="0" w:color="auto"/>
        </w:rPr>
        <w:t>The operator refuses or fails to adopt the compensatory measures or fails to recover and comply with the acceptable KRIs levels established at the end of the Surveillance Period, even when the corresponding compensatory measures are adopted by the operator. In this second case, the imposition of severe sanctions to the targeted operator should be strongly considered.</w:t>
      </w:r>
    </w:p>
    <w:bookmarkEnd w:id="61"/>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20"/>
        <w:ind w:left="360" w:firstLineChars="200" w:firstLine="480"/>
        <w:textAlignment w:val="baseline"/>
        <w:rPr>
          <w:rFonts w:eastAsia="Times New Roman"/>
          <w:i/>
          <w:bdr w:val="none" w:sz="0" w:space="0" w:color="auto"/>
          <w:lang w:val="en"/>
        </w:rPr>
      </w:pPr>
    </w:p>
    <w:p w:rsidR="00123E84" w:rsidRPr="00123E84" w:rsidRDefault="00123E84" w:rsidP="00123E84">
      <w:pPr>
        <w:keepNext/>
        <w:keepLines/>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62" w:name="_Toc509477010"/>
      <w:bookmarkStart w:id="63" w:name="_Toc513403470"/>
      <w:bookmarkEnd w:id="62"/>
      <w:r w:rsidRPr="00123E84">
        <w:rPr>
          <w:rFonts w:eastAsia="Times New Roman"/>
          <w:b/>
          <w:szCs w:val="20"/>
          <w:bdr w:val="none" w:sz="0" w:space="0" w:color="auto"/>
          <w:lang w:val="en-GB"/>
        </w:rPr>
        <w:t>Strategies to raise consumer’s awareness</w:t>
      </w:r>
      <w:bookmarkEnd w:id="63"/>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eastAsia="ja-JP"/>
        </w:rPr>
      </w:pPr>
      <w:r w:rsidRPr="00123E84">
        <w:rPr>
          <w:rFonts w:eastAsia="SimSun"/>
          <w:bdr w:val="none" w:sz="0" w:space="0" w:color="auto"/>
          <w:lang w:eastAsia="ja-JP"/>
        </w:rPr>
        <w:t xml:space="preserve">The quality measurement framework generates valuable information which could reduce asymmetric information in consumer relations and also provide consumers with elements that could support them when choosing the best provider. To do so, regulators are recommended to undertake some strategies, such as those </w:t>
      </w:r>
      <w:r w:rsidRPr="00123E84">
        <w:rPr>
          <w:rFonts w:eastAsia="SimSun"/>
          <w:bdr w:val="none" w:sz="0" w:space="0" w:color="auto"/>
          <w:lang w:val="en" w:eastAsia="ja-JP"/>
        </w:rPr>
        <w:t>detailed</w:t>
      </w:r>
      <w:r w:rsidRPr="00123E84">
        <w:rPr>
          <w:rFonts w:eastAsia="SimSun"/>
          <w:bdr w:val="none" w:sz="0" w:space="0" w:color="auto"/>
          <w:lang w:val="en-GB" w:eastAsia="zh-CN"/>
        </w:rPr>
        <w:t xml:space="preserve"> in this section.</w:t>
      </w:r>
      <w:r w:rsidRPr="00123E84">
        <w:rPr>
          <w:rFonts w:eastAsia="SimSun"/>
          <w:position w:val="6"/>
          <w:sz w:val="18"/>
          <w:bdr w:val="none" w:sz="0" w:space="0" w:color="auto"/>
          <w:lang w:val="en-GB" w:eastAsia="zh-CN"/>
        </w:rPr>
        <w:footnoteReference w:id="4"/>
      </w:r>
    </w:p>
    <w:p w:rsidR="00123E84" w:rsidRPr="00123E84" w:rsidRDefault="00123E84" w:rsidP="00123E84">
      <w:pPr>
        <w:keepNext/>
        <w:keepLines/>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bdr w:val="none" w:sz="0" w:space="0" w:color="auto"/>
          <w:lang w:val="en-GB"/>
        </w:rPr>
      </w:pPr>
      <w:bookmarkStart w:id="64" w:name="_Toc513403471"/>
      <w:r w:rsidRPr="00123E84">
        <w:rPr>
          <w:rFonts w:eastAsia="Times New Roman"/>
          <w:b/>
          <w:szCs w:val="20"/>
          <w:bdr w:val="none" w:sz="0" w:space="0" w:color="auto"/>
          <w:lang w:val="en-GB"/>
        </w:rPr>
        <w:t>Effective publication of consumer-friendly service quality results</w:t>
      </w:r>
      <w:bookmarkEnd w:id="64"/>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rPr>
      </w:pPr>
      <w:r w:rsidRPr="00123E84">
        <w:rPr>
          <w:rFonts w:eastAsia="SimSun"/>
          <w:bdr w:val="none" w:sz="0" w:space="0" w:color="auto"/>
          <w:lang w:eastAsia="ja-JP"/>
        </w:rPr>
        <w:t>An effective publication of service quality measurement results impacts operator’s marketing and investment strategies. Publication of service quality results, especially ranking the operators is a very important action to be undertaken by regulators in order to foster the raising of investments towards service quality improvement</w:t>
      </w:r>
      <w:r w:rsidRPr="00123E84">
        <w:rPr>
          <w:rFonts w:eastAsia="SimSun"/>
          <w:bdr w:val="none" w:sz="0" w:space="0" w:color="auto"/>
        </w:rPr>
        <w:t>.</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rPr>
          <w:rFonts w:eastAsia="SimSun"/>
          <w:bdr w:val="none" w:sz="0" w:space="0" w:color="auto"/>
          <w:lang w:val="en-GB" w:eastAsia="zh-CN"/>
        </w:rPr>
      </w:pPr>
      <w:r w:rsidRPr="00123E84">
        <w:rPr>
          <w:rFonts w:eastAsia="SimSun"/>
          <w:bdr w:val="none" w:sz="0" w:space="0" w:color="auto"/>
          <w:lang w:val="en-GB" w:eastAsia="zh-CN"/>
        </w:rPr>
        <w:t>Thus, the dissemination of clear, conspicuous, and complete information about service quality effectively delivered as near as possible of the consumer’s context of use is the main action recommended to the regulators. The massive results publication should be done by using as many communication vehicles as possible. For example, the results can be published in regulators and operators web sites, in social media and general/specialized press, through official quality measurement apps, etc.</w:t>
      </w:r>
    </w:p>
    <w:p w:rsidR="00123E84" w:rsidRPr="00123E84" w:rsidRDefault="00123E84" w:rsidP="00123E84">
      <w:pPr>
        <w:keepNext/>
        <w:keepLines/>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szCs w:val="20"/>
          <w:bdr w:val="none" w:sz="0" w:space="0" w:color="auto"/>
          <w:lang w:val="en-GB"/>
        </w:rPr>
      </w:pPr>
      <w:bookmarkStart w:id="65" w:name="_Toc511663321"/>
      <w:bookmarkStart w:id="66" w:name="_Toc511663322"/>
      <w:bookmarkStart w:id="67" w:name="_Toc511663323"/>
      <w:bookmarkStart w:id="68" w:name="_Toc513403472"/>
      <w:bookmarkEnd w:id="65"/>
      <w:bookmarkEnd w:id="66"/>
      <w:bookmarkEnd w:id="67"/>
      <w:r w:rsidRPr="00123E84">
        <w:rPr>
          <w:rFonts w:eastAsia="Times New Roman"/>
          <w:b/>
          <w:szCs w:val="20"/>
          <w:bdr w:val="none" w:sz="0" w:space="0" w:color="auto"/>
          <w:lang w:val="en-GB"/>
        </w:rPr>
        <w:t>Including service quality conditions in the retail contracts</w:t>
      </w:r>
      <w:bookmarkEnd w:id="68"/>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20"/>
        <w:jc w:val="both"/>
        <w:textAlignment w:val="baseline"/>
        <w:rPr>
          <w:rFonts w:eastAsia="SimSun"/>
          <w:bdr w:val="none" w:sz="0" w:space="0" w:color="auto"/>
        </w:rPr>
      </w:pPr>
      <w:r w:rsidRPr="00123E84">
        <w:rPr>
          <w:rFonts w:eastAsia="SimSun"/>
          <w:bdr w:val="none" w:sz="0" w:space="0" w:color="auto"/>
          <w:lang w:val="en-GB"/>
        </w:rPr>
        <w:t>According to the countries’ telecommunication’s related legal framework and enforcement boundaries, regulators are recommended to set in service</w:t>
      </w:r>
      <w:r w:rsidRPr="00123E84">
        <w:rPr>
          <w:rFonts w:eastAsia="SimSun"/>
          <w:bdr w:val="none" w:sz="0" w:space="0" w:color="auto"/>
        </w:rPr>
        <w:t xml:space="preserve"> quality regulation that operators must clarify in retail contracts the service quality level offered, based on KRIs targets defined in the regulation (if applicable). This enables the consumers to request contract breaking with fees exemption in case of poor quality results. </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20"/>
        <w:jc w:val="both"/>
        <w:textAlignment w:val="baseline"/>
        <w:rPr>
          <w:rFonts w:eastAsia="SimSun"/>
          <w:bdr w:val="none" w:sz="0" w:space="0" w:color="auto"/>
        </w:rPr>
      </w:pPr>
      <w:r w:rsidRPr="00123E84">
        <w:rPr>
          <w:rFonts w:eastAsia="SimSun"/>
          <w:bdr w:val="none" w:sz="0" w:space="0" w:color="auto"/>
        </w:rPr>
        <w:t xml:space="preserve">Depending on national legislation on consumer protection, this strategy may also make possible for the consumers to requests compensation from operators in case of non-compliance with the service quality levels contracted. For example, in mobile services, where the operator’s customers affected by the </w:t>
      </w:r>
      <w:r w:rsidR="00F258E8" w:rsidRPr="00123E84">
        <w:rPr>
          <w:rFonts w:eastAsia="SimSun"/>
          <w:bdr w:val="none" w:sz="0" w:space="0" w:color="auto"/>
        </w:rPr>
        <w:t>poor-quality</w:t>
      </w:r>
      <w:r w:rsidRPr="00123E84">
        <w:rPr>
          <w:rFonts w:eastAsia="SimSun"/>
          <w:bdr w:val="none" w:sz="0" w:space="0" w:color="auto"/>
        </w:rPr>
        <w:t xml:space="preserve"> figures are hard to be defined due to their mobility, compensation’s campaigns may target the customers of one specific operator in a given municipality or neighborhood.</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20"/>
        <w:jc w:val="both"/>
        <w:textAlignment w:val="baseline"/>
        <w:rPr>
          <w:rFonts w:eastAsia="SimSun"/>
          <w:b/>
          <w:bdr w:val="none" w:sz="0" w:space="0" w:color="auto"/>
          <w:lang w:eastAsia="zh-CN"/>
        </w:rPr>
      </w:pPr>
      <w:r w:rsidRPr="00123E84">
        <w:rPr>
          <w:rFonts w:eastAsia="SimSun"/>
          <w:bdr w:val="none" w:sz="0" w:space="0" w:color="auto"/>
        </w:rPr>
        <w:lastRenderedPageBreak/>
        <w:t>Therefore, more than wait for an action of the regulator in the responsive enforcement strategy detailed in Section 9, the inclusion of the service quality conditions in the retail contract make possible for the consumers to request the compliance with their rights by themselves, complementing the regulatory enforcement actions.</w:t>
      </w:r>
    </w:p>
    <w:p w:rsidR="00123E84" w:rsidRPr="00123E84" w:rsidRDefault="00123E84" w:rsidP="00123E84">
      <w:pPr>
        <w:keepNext/>
        <w:keepLines/>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szCs w:val="20"/>
          <w:bdr w:val="none" w:sz="0" w:space="0" w:color="auto"/>
          <w:lang w:val="en-GB"/>
        </w:rPr>
      </w:pPr>
      <w:bookmarkStart w:id="69" w:name="_Toc513403473"/>
      <w:r w:rsidRPr="00123E84">
        <w:rPr>
          <w:rFonts w:eastAsia="Times New Roman"/>
          <w:b/>
          <w:szCs w:val="20"/>
          <w:bdr w:val="none" w:sz="0" w:space="0" w:color="auto"/>
          <w:lang w:val="en-GB"/>
        </w:rPr>
        <w:t>Consumer’s awareness campaigns</w:t>
      </w:r>
      <w:bookmarkEnd w:id="69"/>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20"/>
        <w:jc w:val="both"/>
        <w:textAlignment w:val="baseline"/>
        <w:rPr>
          <w:rFonts w:eastAsia="SimSun"/>
          <w:bdr w:val="none" w:sz="0" w:space="0" w:color="auto"/>
          <w:lang w:eastAsia="ja-JP"/>
        </w:rPr>
      </w:pPr>
      <w:r w:rsidRPr="00123E84">
        <w:rPr>
          <w:rFonts w:eastAsia="SimSun"/>
          <w:bdr w:val="none" w:sz="0" w:space="0" w:color="auto"/>
          <w:lang w:eastAsia="ja-JP"/>
        </w:rPr>
        <w:t xml:space="preserve">Regulators are recommended to take consumer’s awareness campaigns aiming to increase their knowledge on what is service quality and why it is important to keep informed of it. These campaigns should also clarify for the consumers on what are the minimum service quality conditions established by the current regulatory framework. For example, what are the KRI’s established, their meaning and thresholds which operators must comply with are relevant information to make the consumers aware of. In the absence of service quality regulatory frameworks, consumers should be alerted on the importance to know what </w:t>
      </w:r>
      <w:proofErr w:type="gramStart"/>
      <w:r w:rsidRPr="00123E84">
        <w:rPr>
          <w:rFonts w:eastAsia="SimSun"/>
          <w:bdr w:val="none" w:sz="0" w:space="0" w:color="auto"/>
          <w:lang w:eastAsia="ja-JP"/>
        </w:rPr>
        <w:t>are the quality conditions contracted with the operators</w:t>
      </w:r>
      <w:proofErr w:type="gramEnd"/>
      <w:r w:rsidRPr="00123E84">
        <w:rPr>
          <w:rFonts w:eastAsia="SimSun"/>
          <w:bdr w:val="none" w:sz="0" w:space="0" w:color="auto"/>
          <w:lang w:eastAsia="ja-JP"/>
        </w:rPr>
        <w:t xml:space="preserve">. </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20"/>
        <w:jc w:val="both"/>
        <w:textAlignment w:val="baseline"/>
        <w:rPr>
          <w:rFonts w:eastAsia="SimSun"/>
          <w:bdr w:val="none" w:sz="0" w:space="0" w:color="auto"/>
          <w:lang w:eastAsia="ja-JP"/>
        </w:rPr>
      </w:pPr>
      <w:r w:rsidRPr="00123E84">
        <w:rPr>
          <w:rFonts w:eastAsia="SimSun"/>
          <w:bdr w:val="none" w:sz="0" w:space="0" w:color="auto"/>
          <w:lang w:eastAsia="ja-JP"/>
        </w:rPr>
        <w:t>Furthermore, these campaigns should provide the consumers with information on how they can freely measure the service quality effectively delivered to them, what to do with the results and how to complain to the operator and/or to the regulator in the case of poor service quality results. Also, it is important to raise awareness on which contexts QoS measures should be or not be taken, avoiding missing measurements as, for example, in public Wi-Fi networks and in underground non-covered environments.</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20"/>
        <w:jc w:val="both"/>
        <w:textAlignment w:val="baseline"/>
        <w:rPr>
          <w:rFonts w:eastAsia="SimSun"/>
          <w:bdr w:val="none" w:sz="0" w:space="0" w:color="auto"/>
          <w:lang w:eastAsia="ja-JP"/>
        </w:rPr>
      </w:pPr>
      <w:r w:rsidRPr="00123E84">
        <w:rPr>
          <w:rFonts w:eastAsia="SimSun"/>
          <w:bdr w:val="none" w:sz="0" w:space="0" w:color="auto"/>
          <w:lang w:eastAsia="ja-JP"/>
        </w:rPr>
        <w:t>Finally, the consumer’s awareness campaigns should inform on when and where the results of the regional and/or national QoS and/or QoE assessment made by the regulator is published. This is important to help them make informed choices on what services and operators to contract based on the experience faced by the current operator’s customers in average.</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i/>
          <w:bdr w:val="none" w:sz="0" w:space="0" w:color="auto"/>
          <w:lang w:val="en-GB" w:eastAsia="ja-JP"/>
        </w:rPr>
      </w:pPr>
    </w:p>
    <w:p w:rsidR="00123E84" w:rsidRPr="00123E84" w:rsidRDefault="00123E84" w:rsidP="00123E84">
      <w:pPr>
        <w:keepNext/>
        <w:keepLines/>
        <w:pageBreakBefore/>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480"/>
        <w:jc w:val="center"/>
        <w:textAlignment w:val="baseline"/>
        <w:outlineLvl w:val="0"/>
        <w:rPr>
          <w:rFonts w:eastAsia="Times New Roman"/>
          <w:b/>
          <w:sz w:val="28"/>
          <w:szCs w:val="20"/>
          <w:bdr w:val="none" w:sz="0" w:space="0" w:color="auto"/>
        </w:rPr>
      </w:pPr>
      <w:bookmarkStart w:id="70" w:name="_Toc494107075"/>
      <w:bookmarkStart w:id="71" w:name="_Toc513403474"/>
      <w:r w:rsidRPr="00123E84">
        <w:rPr>
          <w:rFonts w:eastAsia="Times New Roman"/>
          <w:szCs w:val="20"/>
          <w:bdr w:val="none" w:sz="0" w:space="0" w:color="auto"/>
        </w:rPr>
        <w:lastRenderedPageBreak/>
        <w:t xml:space="preserve">Annex </w:t>
      </w:r>
      <w:proofErr w:type="gramStart"/>
      <w:r w:rsidRPr="00123E84">
        <w:rPr>
          <w:rFonts w:eastAsia="Times New Roman"/>
          <w:szCs w:val="20"/>
          <w:bdr w:val="none" w:sz="0" w:space="0" w:color="auto"/>
        </w:rPr>
        <w:t>A</w:t>
      </w:r>
      <w:bookmarkEnd w:id="70"/>
      <w:proofErr w:type="gramEnd"/>
      <w:r w:rsidRPr="00123E84">
        <w:rPr>
          <w:rFonts w:eastAsia="Times New Roman"/>
          <w:szCs w:val="20"/>
          <w:bdr w:val="none" w:sz="0" w:space="0" w:color="auto"/>
        </w:rPr>
        <w:br/>
      </w:r>
      <w:r w:rsidRPr="00123E84">
        <w:rPr>
          <w:rFonts w:eastAsia="Times New Roman"/>
          <w:b/>
          <w:sz w:val="28"/>
          <w:szCs w:val="20"/>
          <w:bdr w:val="none" w:sz="0" w:space="0" w:color="auto"/>
        </w:rPr>
        <w:br/>
        <w:t>&lt;Annex Title&gt;</w:t>
      </w:r>
      <w:bookmarkEnd w:id="71"/>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rPr>
          <w:rFonts w:eastAsia="SimSun"/>
          <w:bdr w:val="none" w:sz="0" w:space="0" w:color="auto"/>
          <w:lang w:val="en-GB" w:eastAsia="ja-JP"/>
        </w:rPr>
      </w:pPr>
      <w:r w:rsidRPr="00123E84">
        <w:rPr>
          <w:rFonts w:eastAsia="SimSun"/>
          <w:bdr w:val="none" w:sz="0" w:space="0" w:color="auto"/>
          <w:lang w:val="en-GB" w:eastAsia="ja-JP"/>
        </w:rPr>
        <w:t>(This annex forms an integral part of this Recommendation.)</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bdr w:val="none" w:sz="0" w:space="0" w:color="auto"/>
          <w:lang w:val="en-GB" w:eastAsia="ja-JP"/>
        </w:rPr>
      </w:pPr>
      <w:r w:rsidRPr="00123E84">
        <w:rPr>
          <w:rFonts w:eastAsia="SimSun"/>
          <w:bdr w:val="none" w:sz="0" w:space="0" w:color="auto"/>
          <w:lang w:val="en-GB" w:eastAsia="ja-JP"/>
        </w:rPr>
        <w:t>&lt;Body of annex A&gt;</w:t>
      </w:r>
    </w:p>
    <w:p w:rsidR="00123E84" w:rsidRPr="00123E84" w:rsidRDefault="00123E84" w:rsidP="00123E84">
      <w:pPr>
        <w:keepNext/>
        <w:keepLines/>
        <w:pageBreakBefore/>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480"/>
        <w:jc w:val="center"/>
        <w:textAlignment w:val="baseline"/>
        <w:outlineLvl w:val="0"/>
        <w:rPr>
          <w:rFonts w:eastAsia="Times New Roman"/>
          <w:b/>
          <w:sz w:val="28"/>
          <w:szCs w:val="20"/>
          <w:bdr w:val="none" w:sz="0" w:space="0" w:color="auto"/>
          <w:lang w:val="en-GB"/>
        </w:rPr>
      </w:pPr>
      <w:bookmarkStart w:id="72" w:name="_Toc494107076"/>
      <w:bookmarkStart w:id="73" w:name="_Toc513403475"/>
      <w:r w:rsidRPr="00123E84">
        <w:rPr>
          <w:rFonts w:eastAsia="Times New Roman"/>
          <w:szCs w:val="20"/>
          <w:bdr w:val="none" w:sz="0" w:space="0" w:color="auto"/>
          <w:lang w:val="en-GB"/>
        </w:rPr>
        <w:lastRenderedPageBreak/>
        <w:t>Appendix I</w:t>
      </w:r>
      <w:bookmarkEnd w:id="72"/>
      <w:r w:rsidRPr="00123E84">
        <w:rPr>
          <w:rFonts w:eastAsia="Times New Roman"/>
          <w:szCs w:val="20"/>
          <w:bdr w:val="none" w:sz="0" w:space="0" w:color="auto"/>
          <w:lang w:val="en-GB"/>
        </w:rPr>
        <w:br/>
      </w:r>
      <w:r w:rsidRPr="00123E84">
        <w:rPr>
          <w:rFonts w:eastAsia="Times New Roman"/>
          <w:b/>
          <w:sz w:val="28"/>
          <w:szCs w:val="20"/>
          <w:bdr w:val="none" w:sz="0" w:space="0" w:color="auto"/>
          <w:lang w:val="en-GB"/>
        </w:rPr>
        <w:br/>
        <w:t>&lt;Appendix Title&gt;</w:t>
      </w:r>
      <w:bookmarkEnd w:id="73"/>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rPr>
          <w:rFonts w:eastAsia="SimSun"/>
          <w:bdr w:val="none" w:sz="0" w:space="0" w:color="auto"/>
          <w:lang w:val="en-GB" w:eastAsia="ja-JP"/>
        </w:rPr>
      </w:pPr>
      <w:r w:rsidRPr="00123E84">
        <w:rPr>
          <w:rFonts w:eastAsia="SimSun"/>
          <w:bdr w:val="none" w:sz="0" w:space="0" w:color="auto"/>
          <w:lang w:val="en-GB" w:eastAsia="ja-JP"/>
        </w:rPr>
        <w:t>(This appendix does not form an integral part of this Recommendation.)</w:t>
      </w:r>
      <w:r w:rsidRPr="00123E84">
        <w:rPr>
          <w:rFonts w:eastAsia="SimSun"/>
          <w:bdr w:val="none" w:sz="0" w:space="0" w:color="auto"/>
          <w:lang w:val="en-GB" w:eastAsia="ja-JP"/>
        </w:rPr>
        <w:br/>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bdr w:val="none" w:sz="0" w:space="0" w:color="auto"/>
          <w:lang w:val="en-GB" w:eastAsia="ja-JP"/>
        </w:rPr>
      </w:pPr>
      <w:r w:rsidRPr="00123E84">
        <w:rPr>
          <w:rFonts w:eastAsia="SimSun"/>
          <w:bdr w:val="none" w:sz="0" w:space="0" w:color="auto"/>
          <w:lang w:val="en-GB" w:eastAsia="ja-JP"/>
        </w:rPr>
        <w:t>&lt;Body of appendix I&gt;</w:t>
      </w:r>
    </w:p>
    <w:p w:rsidR="00123E84" w:rsidRPr="00F258E8" w:rsidRDefault="00123E84" w:rsidP="00123E84">
      <w:pPr>
        <w:keepNext/>
        <w:keepLines/>
        <w:pageBreakBefore/>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480"/>
        <w:jc w:val="center"/>
        <w:textAlignment w:val="baseline"/>
        <w:outlineLvl w:val="0"/>
        <w:rPr>
          <w:rFonts w:eastAsia="Times New Roman"/>
          <w:b/>
          <w:szCs w:val="20"/>
          <w:bdr w:val="none" w:sz="0" w:space="0" w:color="auto"/>
          <w:lang w:val="en-GB"/>
        </w:rPr>
      </w:pPr>
      <w:bookmarkStart w:id="74" w:name="_Toc494107077"/>
      <w:bookmarkStart w:id="75" w:name="_Toc513403476"/>
      <w:r w:rsidRPr="00F258E8">
        <w:rPr>
          <w:rFonts w:eastAsia="Times New Roman"/>
          <w:b/>
          <w:szCs w:val="20"/>
          <w:bdr w:val="none" w:sz="0" w:space="0" w:color="auto"/>
          <w:lang w:val="en-GB"/>
        </w:rPr>
        <w:lastRenderedPageBreak/>
        <w:t>Bibliography</w:t>
      </w:r>
      <w:bookmarkEnd w:id="74"/>
      <w:bookmarkEnd w:id="75"/>
    </w:p>
    <w:p w:rsidR="00123E84" w:rsidRPr="00123E84" w:rsidRDefault="00DC1D2D" w:rsidP="007237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textAlignment w:val="baseline"/>
        <w:rPr>
          <w:rFonts w:eastAsia="Times New Roman"/>
          <w:szCs w:val="20"/>
          <w:bdr w:val="none" w:sz="0" w:space="0" w:color="auto"/>
        </w:rPr>
      </w:pPr>
      <w:r w:rsidRPr="003E0474">
        <w:t>I. Ayres and J. Braithwaite</w:t>
      </w:r>
      <w:r w:rsidRPr="003E0474">
        <w:rPr>
          <w:i/>
        </w:rPr>
        <w:t xml:space="preserve">, Responsive Regulation: Transcending the Deregulation Debate, </w:t>
      </w:r>
      <w:r w:rsidRPr="003E0474">
        <w:t>Oxford University Press, Oxford, 1992</w:t>
      </w:r>
    </w:p>
    <w:p w:rsidR="00123E84" w:rsidRPr="00123E84" w:rsidRDefault="00123E84" w:rsidP="00123E84">
      <w:pPr>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SimSun"/>
          <w:bdr w:val="none" w:sz="0" w:space="0" w:color="auto"/>
          <w:lang w:eastAsia="ja-JP"/>
        </w:rPr>
      </w:pPr>
    </w:p>
    <w:p w:rsidR="000C7B13" w:rsidRPr="000C7B13" w:rsidRDefault="000C7B13" w:rsidP="000C7B13">
      <w:pPr>
        <w:pStyle w:val="Body"/>
        <w:jc w:val="center"/>
      </w:pPr>
    </w:p>
    <w:p w:rsidR="00A50418" w:rsidRDefault="00A50418">
      <w:pPr>
        <w:pStyle w:val="Reftext"/>
      </w:pPr>
    </w:p>
    <w:sectPr w:rsidR="00A50418">
      <w:headerReference w:type="even" r:id="rId11"/>
      <w:headerReference w:type="default" r:id="rId12"/>
      <w:footerReference w:type="even" r:id="rId13"/>
      <w:footerReference w:type="default" r:id="rId14"/>
      <w:headerReference w:type="first" r:id="rId15"/>
      <w:footerReference w:type="first" r:id="rId16"/>
      <w:pgSz w:w="11900" w:h="16840"/>
      <w:pgMar w:top="1134" w:right="1134" w:bottom="1134" w:left="1134"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135" w:rsidRDefault="003B3135">
      <w:r>
        <w:separator/>
      </w:r>
    </w:p>
  </w:endnote>
  <w:endnote w:type="continuationSeparator" w:id="0">
    <w:p w:rsidR="003B3135" w:rsidRDefault="003B3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Malgun Gothic"/>
    <w:charset w:val="00"/>
    <w:family w:val="auto"/>
    <w:pitch w:val="variable"/>
    <w:sig w:usb0="00000003" w:usb1="500079DB" w:usb2="00000010" w:usb3="00000000" w:csb0="0000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B13" w:rsidRDefault="000C7B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418" w:rsidRDefault="00A50418">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418" w:rsidRDefault="00A50418">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135" w:rsidRDefault="003B3135">
      <w:r>
        <w:separator/>
      </w:r>
    </w:p>
  </w:footnote>
  <w:footnote w:type="continuationSeparator" w:id="0">
    <w:p w:rsidR="003B3135" w:rsidRDefault="003B3135">
      <w:r>
        <w:continuationSeparator/>
      </w:r>
    </w:p>
  </w:footnote>
  <w:footnote w:type="continuationNotice" w:id="1">
    <w:p w:rsidR="003B3135" w:rsidRDefault="003B3135"/>
  </w:footnote>
  <w:footnote w:id="2">
    <w:p w:rsidR="00123E84" w:rsidRPr="00EF60A6" w:rsidRDefault="00123E84" w:rsidP="00123E84">
      <w:pPr>
        <w:pStyle w:val="FootnoteText"/>
        <w:jc w:val="both"/>
      </w:pPr>
      <w:r>
        <w:rPr>
          <w:rStyle w:val="FootnoteReference"/>
        </w:rPr>
        <w:footnoteRef/>
      </w:r>
      <w:r>
        <w:t xml:space="preserve"> Telecommunications companies with less than a particular number of customers, for example. This number may vary depending on the countries market size and the average size of the operators already established.</w:t>
      </w:r>
    </w:p>
  </w:footnote>
  <w:footnote w:id="3">
    <w:p w:rsidR="00123E84" w:rsidRPr="00DE0140" w:rsidRDefault="00123E84" w:rsidP="00123E84">
      <w:pPr>
        <w:pStyle w:val="FootnoteText"/>
        <w:ind w:firstLine="1"/>
        <w:jc w:val="both"/>
      </w:pPr>
      <w:r>
        <w:rPr>
          <w:rStyle w:val="FootnoteReference"/>
        </w:rPr>
        <w:footnoteRef/>
      </w:r>
      <w:r>
        <w:t xml:space="preserve"> </w:t>
      </w:r>
      <w:r w:rsidRPr="001C736F">
        <w:t xml:space="preserve">“Responsive Regulation” is an approach that was formalized in 1992 </w:t>
      </w:r>
      <w:r w:rsidRPr="003E0474">
        <w:t>by I. Ayres and J. Braithwaite and suggests that the most effective enforcement strategy will be one that does not treat all regulated subjects in a uniform way, or all similar violations in the same manner. Instead, differentiation should be based on the overall</w:t>
      </w:r>
      <w:r w:rsidRPr="001C736F">
        <w:t xml:space="preserve"> </w:t>
      </w:r>
      <w:r w:rsidR="00F258E8" w:rsidRPr="001C736F">
        <w:t>behavior</w:t>
      </w:r>
      <w:r w:rsidRPr="001C736F">
        <w:t xml:space="preserve"> of the regulated subject (generally compliant, or ready to become so – or on the contrary uncooperative), on the pattern of violations (rare or repeated), etc. Per this approach, not only should each inspector deal with businesses it visits on this basis, but regulatory enforcement agencies should publicly announce this approach, because knowing this will provide an additional incentive for businesses to be as much as possible </w:t>
      </w:r>
      <w:r w:rsidRPr="003E0474">
        <w:t>compliant, as this will also mean inspectors will be relatively more lenient if some problem or mistake does happen. (cf. I. Ayres and J. Braithwaite</w:t>
      </w:r>
      <w:r w:rsidRPr="003E0474">
        <w:rPr>
          <w:i/>
        </w:rPr>
        <w:t xml:space="preserve">, Responsive Regulation: Transcending the Deregulation Debate, </w:t>
      </w:r>
      <w:r w:rsidRPr="003E0474">
        <w:t>Oxford University Press, Oxford, 1992).</w:t>
      </w:r>
    </w:p>
  </w:footnote>
  <w:footnote w:id="4">
    <w:p w:rsidR="00123E84" w:rsidRPr="00806557" w:rsidRDefault="00123E84" w:rsidP="00123E84">
      <w:pPr>
        <w:pStyle w:val="FootnoteText"/>
        <w:jc w:val="both"/>
      </w:pPr>
      <w:r>
        <w:rPr>
          <w:rStyle w:val="FootnoteReference"/>
        </w:rPr>
        <w:footnoteRef/>
      </w:r>
      <w:r>
        <w:t xml:space="preserve"> </w:t>
      </w:r>
      <w:r w:rsidRPr="00806557">
        <w:rPr>
          <w:sz w:val="20"/>
        </w:rPr>
        <w:t xml:space="preserve">The three main </w:t>
      </w:r>
      <w:r>
        <w:rPr>
          <w:sz w:val="20"/>
        </w:rPr>
        <w:t>strategies</w:t>
      </w:r>
      <w:r w:rsidRPr="00806557">
        <w:rPr>
          <w:sz w:val="20"/>
        </w:rPr>
        <w:t xml:space="preserve"> recommended in this section are defined based on best practices currently adopted by some regulators. However, the effective impact of them in raising consumer’s awareness need to be confirmed by empirical research.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E84" w:rsidRPr="000E1DEE" w:rsidRDefault="00123E84" w:rsidP="008E53B4">
    <w:pPr>
      <w:pStyle w:val="Header"/>
    </w:pPr>
    <w:r w:rsidRPr="000E1DEE">
      <w:t xml:space="preserve">- </w:t>
    </w:r>
    <w:r w:rsidRPr="000E1DEE">
      <w:fldChar w:fldCharType="begin"/>
    </w:r>
    <w:r w:rsidRPr="000E1DEE">
      <w:instrText xml:space="preserve"> PAGE  \* MERGEFORMAT </w:instrText>
    </w:r>
    <w:r w:rsidRPr="000E1DEE">
      <w:fldChar w:fldCharType="separate"/>
    </w:r>
    <w:r w:rsidR="0072370D">
      <w:rPr>
        <w:noProof/>
      </w:rPr>
      <w:t>4</w:t>
    </w:r>
    <w:r w:rsidRPr="000E1DEE">
      <w:fldChar w:fldCharType="end"/>
    </w:r>
    <w:r w:rsidRPr="000E1DEE">
      <w:t xml:space="preserve"> -</w:t>
    </w:r>
  </w:p>
  <w:p w:rsidR="00123E84" w:rsidRPr="000E1DEE" w:rsidRDefault="005D288F" w:rsidP="008E53B4">
    <w:pPr>
      <w:pStyle w:val="Header"/>
      <w:spacing w:after="240"/>
    </w:pPr>
    <w:r>
      <w:rPr>
        <w:noProof/>
      </w:rPr>
      <w:fldChar w:fldCharType="begin"/>
    </w:r>
    <w:r>
      <w:rPr>
        <w:noProof/>
      </w:rPr>
      <w:instrText xml:space="preserve"> STYLEREF  Docnumber  </w:instrText>
    </w:r>
    <w:r>
      <w:rPr>
        <w:noProof/>
      </w:rPr>
      <w:fldChar w:fldCharType="separate"/>
    </w:r>
    <w:r w:rsidR="0072370D">
      <w:rPr>
        <w:noProof/>
      </w:rPr>
      <w:t>SG12-TD712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B13" w:rsidRDefault="000C7B13">
    <w:pPr>
      <w:pStyle w:val="Header"/>
    </w:pPr>
  </w:p>
  <w:p w:rsidR="00017BFD" w:rsidRDefault="00017BF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418" w:rsidRDefault="004C1E0C">
    <w:pPr>
      <w:pStyle w:val="Header"/>
    </w:pPr>
    <w:r>
      <w:t xml:space="preserve">- </w:t>
    </w:r>
    <w:r>
      <w:fldChar w:fldCharType="begin"/>
    </w:r>
    <w:r>
      <w:instrText xml:space="preserve"> PAGE </w:instrText>
    </w:r>
    <w:r>
      <w:fldChar w:fldCharType="separate"/>
    </w:r>
    <w:r w:rsidR="0072370D">
      <w:rPr>
        <w:noProof/>
      </w:rPr>
      <w:t>16</w:t>
    </w:r>
    <w:r>
      <w:fldChar w:fldCharType="end"/>
    </w:r>
    <w:r>
      <w:t xml:space="preserve"> -</w:t>
    </w:r>
  </w:p>
  <w:p w:rsidR="00A50418" w:rsidRDefault="004C1E0C" w:rsidP="00E80476">
    <w:pPr>
      <w:pStyle w:val="Header"/>
    </w:pPr>
    <w:r>
      <w:t>SG12-</w:t>
    </w:r>
    <w:r w:rsidR="00E80476">
      <w:t>TD712</w:t>
    </w:r>
  </w:p>
  <w:p w:rsidR="00017BFD" w:rsidRDefault="00017BFD"/>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418" w:rsidRDefault="00A50418">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1" w15:restartNumberingAfterBreak="0">
    <w:nsid w:val="05C62B1A"/>
    <w:multiLevelType w:val="hybridMultilevel"/>
    <w:tmpl w:val="738E95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ADD7260"/>
    <w:multiLevelType w:val="multilevel"/>
    <w:tmpl w:val="92AEC16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904353"/>
    <w:multiLevelType w:val="hybridMultilevel"/>
    <w:tmpl w:val="107E03F0"/>
    <w:numStyleLink w:val="ImportedStyle2"/>
  </w:abstractNum>
  <w:abstractNum w:abstractNumId="4" w15:restartNumberingAfterBreak="0">
    <w:nsid w:val="142D47E3"/>
    <w:multiLevelType w:val="multilevel"/>
    <w:tmpl w:val="37AC3F2C"/>
    <w:numStyleLink w:val="ImportedStyle1"/>
  </w:abstractNum>
  <w:abstractNum w:abstractNumId="5" w15:restartNumberingAfterBreak="0">
    <w:nsid w:val="17A968EB"/>
    <w:multiLevelType w:val="hybridMultilevel"/>
    <w:tmpl w:val="B9988182"/>
    <w:lvl w:ilvl="0" w:tplc="0409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CF650A3"/>
    <w:multiLevelType w:val="hybridMultilevel"/>
    <w:tmpl w:val="4B66F87E"/>
    <w:numStyleLink w:val="ImportedStyle6"/>
  </w:abstractNum>
  <w:abstractNum w:abstractNumId="7" w15:restartNumberingAfterBreak="0">
    <w:nsid w:val="1E2C3866"/>
    <w:multiLevelType w:val="multilevel"/>
    <w:tmpl w:val="F790DA5C"/>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91" w:hanging="471"/>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588" w:hanging="50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588" w:hanging="148"/>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985" w:hanging="185"/>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EEF5DE6"/>
    <w:multiLevelType w:val="hybridMultilevel"/>
    <w:tmpl w:val="107E03F0"/>
    <w:styleLink w:val="ImportedStyle2"/>
    <w:lvl w:ilvl="0" w:tplc="823466B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6547C7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328020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1AC29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A4C33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568A2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BD8AE6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7B8408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2C0081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2069181A"/>
    <w:multiLevelType w:val="hybridMultilevel"/>
    <w:tmpl w:val="C23646D4"/>
    <w:numStyleLink w:val="ImportedStyle4"/>
  </w:abstractNum>
  <w:abstractNum w:abstractNumId="10" w15:restartNumberingAfterBreak="0">
    <w:nsid w:val="22903022"/>
    <w:multiLevelType w:val="multilevel"/>
    <w:tmpl w:val="37AC3F2C"/>
    <w:styleLink w:val="ImportedStyle1"/>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91" w:hanging="471"/>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588" w:hanging="50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588" w:hanging="148"/>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985" w:hanging="185"/>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4045801"/>
    <w:multiLevelType w:val="hybridMultilevel"/>
    <w:tmpl w:val="B730483C"/>
    <w:lvl w:ilvl="0" w:tplc="04160013">
      <w:start w:val="1"/>
      <w:numFmt w:val="upperRoman"/>
      <w:lvlText w:val="%1."/>
      <w:lvlJc w:val="right"/>
      <w:pPr>
        <w:ind w:left="783" w:hanging="360"/>
      </w:pPr>
    </w:lvl>
    <w:lvl w:ilvl="1" w:tplc="04160019" w:tentative="1">
      <w:start w:val="1"/>
      <w:numFmt w:val="lowerLetter"/>
      <w:lvlText w:val="%2."/>
      <w:lvlJc w:val="left"/>
      <w:pPr>
        <w:ind w:left="1503" w:hanging="360"/>
      </w:pPr>
    </w:lvl>
    <w:lvl w:ilvl="2" w:tplc="0416001B" w:tentative="1">
      <w:start w:val="1"/>
      <w:numFmt w:val="lowerRoman"/>
      <w:lvlText w:val="%3."/>
      <w:lvlJc w:val="right"/>
      <w:pPr>
        <w:ind w:left="2223" w:hanging="180"/>
      </w:pPr>
    </w:lvl>
    <w:lvl w:ilvl="3" w:tplc="0416000F" w:tentative="1">
      <w:start w:val="1"/>
      <w:numFmt w:val="decimal"/>
      <w:lvlText w:val="%4."/>
      <w:lvlJc w:val="left"/>
      <w:pPr>
        <w:ind w:left="2943" w:hanging="360"/>
      </w:pPr>
    </w:lvl>
    <w:lvl w:ilvl="4" w:tplc="04160019" w:tentative="1">
      <w:start w:val="1"/>
      <w:numFmt w:val="lowerLetter"/>
      <w:lvlText w:val="%5."/>
      <w:lvlJc w:val="left"/>
      <w:pPr>
        <w:ind w:left="3663" w:hanging="360"/>
      </w:pPr>
    </w:lvl>
    <w:lvl w:ilvl="5" w:tplc="0416001B" w:tentative="1">
      <w:start w:val="1"/>
      <w:numFmt w:val="lowerRoman"/>
      <w:lvlText w:val="%6."/>
      <w:lvlJc w:val="right"/>
      <w:pPr>
        <w:ind w:left="4383" w:hanging="180"/>
      </w:pPr>
    </w:lvl>
    <w:lvl w:ilvl="6" w:tplc="0416000F" w:tentative="1">
      <w:start w:val="1"/>
      <w:numFmt w:val="decimal"/>
      <w:lvlText w:val="%7."/>
      <w:lvlJc w:val="left"/>
      <w:pPr>
        <w:ind w:left="5103" w:hanging="360"/>
      </w:pPr>
    </w:lvl>
    <w:lvl w:ilvl="7" w:tplc="04160019" w:tentative="1">
      <w:start w:val="1"/>
      <w:numFmt w:val="lowerLetter"/>
      <w:lvlText w:val="%8."/>
      <w:lvlJc w:val="left"/>
      <w:pPr>
        <w:ind w:left="5823" w:hanging="360"/>
      </w:pPr>
    </w:lvl>
    <w:lvl w:ilvl="8" w:tplc="0416001B" w:tentative="1">
      <w:start w:val="1"/>
      <w:numFmt w:val="lowerRoman"/>
      <w:lvlText w:val="%9."/>
      <w:lvlJc w:val="right"/>
      <w:pPr>
        <w:ind w:left="6543" w:hanging="180"/>
      </w:pPr>
    </w:lvl>
  </w:abstractNum>
  <w:abstractNum w:abstractNumId="12" w15:restartNumberingAfterBreak="0">
    <w:nsid w:val="26D21071"/>
    <w:multiLevelType w:val="hybridMultilevel"/>
    <w:tmpl w:val="DEF600BA"/>
    <w:numStyleLink w:val="ImportedStyle3"/>
  </w:abstractNum>
  <w:abstractNum w:abstractNumId="13" w15:restartNumberingAfterBreak="0">
    <w:nsid w:val="296677C2"/>
    <w:multiLevelType w:val="hybridMultilevel"/>
    <w:tmpl w:val="22461EB2"/>
    <w:styleLink w:val="ImportedStyle5"/>
    <w:lvl w:ilvl="0" w:tplc="E7D451B2">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A1A6B3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2A2E70A">
      <w:start w:val="1"/>
      <w:numFmt w:val="lowerRoman"/>
      <w:suff w:val="nothing"/>
      <w:lvlText w:val="%3."/>
      <w:lvlJc w:val="left"/>
      <w:pPr>
        <w:ind w:left="1985" w:hanging="125"/>
      </w:pPr>
      <w:rPr>
        <w:rFonts w:hAnsi="Arial Unicode MS"/>
        <w:caps w:val="0"/>
        <w:smallCaps w:val="0"/>
        <w:strike w:val="0"/>
        <w:dstrike w:val="0"/>
        <w:outline w:val="0"/>
        <w:emboss w:val="0"/>
        <w:imprint w:val="0"/>
        <w:spacing w:val="0"/>
        <w:w w:val="100"/>
        <w:kern w:val="0"/>
        <w:position w:val="0"/>
        <w:highlight w:val="none"/>
        <w:vertAlign w:val="baseline"/>
      </w:rPr>
    </w:lvl>
    <w:lvl w:ilvl="3" w:tplc="07B872F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456A9A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8128890">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9D7872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45E813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FBED34A">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3AD94FC8"/>
    <w:multiLevelType w:val="hybridMultilevel"/>
    <w:tmpl w:val="C23646D4"/>
    <w:styleLink w:val="ImportedStyle4"/>
    <w:lvl w:ilvl="0" w:tplc="BDA8808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434273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F34C9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02D81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F067D1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748B4F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E8F4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634D49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6268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4F941A2D"/>
    <w:multiLevelType w:val="hybridMultilevel"/>
    <w:tmpl w:val="DEF600BA"/>
    <w:styleLink w:val="ImportedStyle3"/>
    <w:lvl w:ilvl="0" w:tplc="3B58288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500D0E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DA833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BCC3E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90616A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0FCFE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DE6898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19AE5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464A40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571C1EB0"/>
    <w:multiLevelType w:val="multilevel"/>
    <w:tmpl w:val="37AC3F2C"/>
    <w:numStyleLink w:val="ImportedStyle1"/>
  </w:abstractNum>
  <w:abstractNum w:abstractNumId="17" w15:restartNumberingAfterBreak="0">
    <w:nsid w:val="5FC431E5"/>
    <w:multiLevelType w:val="hybridMultilevel"/>
    <w:tmpl w:val="AA5893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96A6411"/>
    <w:multiLevelType w:val="hybridMultilevel"/>
    <w:tmpl w:val="4B66F87E"/>
    <w:styleLink w:val="ImportedStyle6"/>
    <w:lvl w:ilvl="0" w:tplc="8A463AF6">
      <w:start w:val="1"/>
      <w:numFmt w:val="upperRoman"/>
      <w:lvlText w:val="%1."/>
      <w:lvlJc w:val="left"/>
      <w:pPr>
        <w:ind w:left="783"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829E8A72">
      <w:start w:val="1"/>
      <w:numFmt w:val="lowerLetter"/>
      <w:lvlText w:val="%2."/>
      <w:lvlJc w:val="left"/>
      <w:pPr>
        <w:ind w:left="1503"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027F02">
      <w:start w:val="1"/>
      <w:numFmt w:val="lowerRoman"/>
      <w:lvlText w:val="%3."/>
      <w:lvlJc w:val="left"/>
      <w:pPr>
        <w:ind w:left="2223"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DB3AD416">
      <w:start w:val="1"/>
      <w:numFmt w:val="decimal"/>
      <w:lvlText w:val="%4."/>
      <w:lvlJc w:val="left"/>
      <w:pPr>
        <w:ind w:left="2943"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EC047EA">
      <w:start w:val="1"/>
      <w:numFmt w:val="lowerLetter"/>
      <w:lvlText w:val="%5."/>
      <w:lvlJc w:val="left"/>
      <w:pPr>
        <w:ind w:left="3663"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4AC0492">
      <w:start w:val="1"/>
      <w:numFmt w:val="lowerRoman"/>
      <w:lvlText w:val="%6."/>
      <w:lvlJc w:val="left"/>
      <w:pPr>
        <w:ind w:left="4383"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7DA7554">
      <w:start w:val="1"/>
      <w:numFmt w:val="decimal"/>
      <w:lvlText w:val="%7."/>
      <w:lvlJc w:val="left"/>
      <w:pPr>
        <w:ind w:left="5103"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1664E88">
      <w:start w:val="1"/>
      <w:numFmt w:val="lowerLetter"/>
      <w:lvlText w:val="%8."/>
      <w:lvlJc w:val="left"/>
      <w:pPr>
        <w:ind w:left="5823"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87E569E">
      <w:start w:val="1"/>
      <w:numFmt w:val="lowerRoman"/>
      <w:lvlText w:val="%9."/>
      <w:lvlJc w:val="left"/>
      <w:pPr>
        <w:ind w:left="6543"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782B4EFA"/>
    <w:multiLevelType w:val="hybridMultilevel"/>
    <w:tmpl w:val="113EDC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CE23188"/>
    <w:multiLevelType w:val="hybridMultilevel"/>
    <w:tmpl w:val="22461EB2"/>
    <w:numStyleLink w:val="ImportedStyle5"/>
  </w:abstractNum>
  <w:num w:numId="1">
    <w:abstractNumId w:val="10"/>
  </w:num>
  <w:num w:numId="2">
    <w:abstractNumId w:val="16"/>
  </w:num>
  <w:num w:numId="3">
    <w:abstractNumId w:val="8"/>
  </w:num>
  <w:num w:numId="4">
    <w:abstractNumId w:val="3"/>
  </w:num>
  <w:num w:numId="5">
    <w:abstractNumId w:val="16"/>
    <w:lvlOverride w:ilvl="0">
      <w:startOverride w:val="2"/>
    </w:lvlOverride>
  </w:num>
  <w:num w:numId="6">
    <w:abstractNumId w:val="15"/>
  </w:num>
  <w:num w:numId="7">
    <w:abstractNumId w:val="12"/>
  </w:num>
  <w:num w:numId="8">
    <w:abstractNumId w:val="14"/>
  </w:num>
  <w:num w:numId="9">
    <w:abstractNumId w:val="9"/>
  </w:num>
  <w:num w:numId="10">
    <w:abstractNumId w:val="16"/>
    <w:lvlOverride w:ilvl="1">
      <w:startOverride w:val="4"/>
    </w:lvlOverride>
  </w:num>
  <w:num w:numId="11">
    <w:abstractNumId w:val="13"/>
  </w:num>
  <w:num w:numId="12">
    <w:abstractNumId w:val="20"/>
  </w:num>
  <w:num w:numId="13">
    <w:abstractNumId w:val="18"/>
  </w:num>
  <w:num w:numId="14">
    <w:abstractNumId w:val="6"/>
  </w:num>
  <w:num w:numId="15">
    <w:abstractNumId w:val="16"/>
    <w:lvlOverride w:ilvl="0">
      <w:startOverride w:val="8"/>
    </w:lvlOverride>
  </w:num>
  <w:num w:numId="16">
    <w:abstractNumId w:val="0"/>
  </w:num>
  <w:num w:numId="17">
    <w:abstractNumId w:val="2"/>
  </w:num>
  <w:num w:numId="18">
    <w:abstractNumId w:val="7"/>
  </w:num>
  <w:num w:numId="19">
    <w:abstractNumId w:val="5"/>
  </w:num>
  <w:num w:numId="20">
    <w:abstractNumId w:val="4"/>
  </w:num>
  <w:num w:numId="21">
    <w:abstractNumId w:val="19"/>
  </w:num>
  <w:num w:numId="22">
    <w:abstractNumId w:val="1"/>
  </w:num>
  <w:num w:numId="23">
    <w:abstractNumId w:val="17"/>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activeWritingStyle w:appName="MSWord" w:lang="fr-CH"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418"/>
    <w:rsid w:val="00017BFD"/>
    <w:rsid w:val="000C7B13"/>
    <w:rsid w:val="00123E84"/>
    <w:rsid w:val="003B3135"/>
    <w:rsid w:val="004C1E0C"/>
    <w:rsid w:val="005D288F"/>
    <w:rsid w:val="006064E2"/>
    <w:rsid w:val="0072370D"/>
    <w:rsid w:val="008B7E25"/>
    <w:rsid w:val="00A50418"/>
    <w:rsid w:val="00B108DF"/>
    <w:rsid w:val="00B56B86"/>
    <w:rsid w:val="00BF5E96"/>
    <w:rsid w:val="00DC1D2D"/>
    <w:rsid w:val="00DF43DF"/>
    <w:rsid w:val="00E80476"/>
    <w:rsid w:val="00F2180D"/>
    <w:rsid w:val="00F258E8"/>
    <w:rsid w:val="00FA31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79B9C7EA-3CE8-F448-A44A-42C6D76AF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paragraph" w:styleId="Heading1">
    <w:name w:val="heading 1"/>
    <w:basedOn w:val="Normal"/>
    <w:next w:val="Normal"/>
    <w:link w:val="Heading1Char"/>
    <w:uiPriority w:val="9"/>
    <w:qFormat/>
    <w:rsid w:val="000C7B1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6">
    <w:name w:val="heading 6"/>
    <w:next w:val="Body"/>
    <w:pPr>
      <w:keepNext/>
      <w:keepLines/>
      <w:tabs>
        <w:tab w:val="left" w:pos="1588"/>
        <w:tab w:val="left" w:pos="1985"/>
      </w:tabs>
      <w:spacing w:before="160"/>
      <w:ind w:left="1588" w:hanging="1588"/>
      <w:outlineLvl w:val="5"/>
    </w:pPr>
    <w:rPr>
      <w:rFonts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link w:val="HeaderChar"/>
    <w:pPr>
      <w:tabs>
        <w:tab w:val="center" w:pos="4680"/>
        <w:tab w:val="right" w:pos="9360"/>
      </w:tabs>
      <w:jc w:val="center"/>
    </w:pPr>
    <w:rPr>
      <w:rFonts w:cs="Arial Unicode MS"/>
      <w:color w:val="000000"/>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
    <w:name w:val="Body"/>
    <w:pPr>
      <w:spacing w:before="120"/>
    </w:pPr>
    <w:rPr>
      <w:rFonts w:eastAsia="Times New Roman"/>
      <w:color w:val="000000"/>
      <w:sz w:val="24"/>
      <w:szCs w:val="24"/>
      <w:u w:color="000000"/>
    </w:rPr>
  </w:style>
  <w:style w:type="paragraph" w:customStyle="1" w:styleId="Docnumber">
    <w:name w:val="Docnumber"/>
    <w:pPr>
      <w:tabs>
        <w:tab w:val="left" w:pos="794"/>
        <w:tab w:val="left" w:pos="1191"/>
        <w:tab w:val="left" w:pos="1588"/>
        <w:tab w:val="left" w:pos="1985"/>
      </w:tabs>
      <w:spacing w:before="120"/>
      <w:jc w:val="right"/>
    </w:pPr>
    <w:rPr>
      <w:rFonts w:cs="Arial Unicode MS"/>
      <w:b/>
      <w:bCs/>
      <w:color w:val="000000"/>
      <w:sz w:val="32"/>
      <w:szCs w:val="32"/>
      <w:u w:color="000000"/>
    </w:rPr>
  </w:style>
  <w:style w:type="character" w:customStyle="1" w:styleId="Link">
    <w:name w:val="Link"/>
    <w:rPr>
      <w:rFonts w:ascii="Calibri Light" w:eastAsia="Calibri Light" w:hAnsi="Calibri Light" w:cs="Calibri Light"/>
      <w:b w:val="0"/>
      <w:bCs w:val="0"/>
      <w:i w:val="0"/>
      <w:iCs w:val="0"/>
      <w:color w:val="0000FF"/>
      <w:u w:val="single" w:color="0000FF"/>
    </w:rPr>
  </w:style>
  <w:style w:type="character" w:customStyle="1" w:styleId="Hyperlink0">
    <w:name w:val="Hyperlink.0"/>
    <w:basedOn w:val="Link"/>
    <w:rPr>
      <w:rFonts w:ascii="Times New Roman" w:eastAsia="Times New Roman" w:hAnsi="Times New Roman" w:cs="Times New Roman"/>
      <w:b w:val="0"/>
      <w:bCs w:val="0"/>
      <w:i w:val="0"/>
      <w:iCs w:val="0"/>
      <w:color w:val="0000FF"/>
      <w:u w:val="single" w:color="0000FF"/>
      <w:lang w:val="pt-PT"/>
    </w:rPr>
  </w:style>
  <w:style w:type="character" w:customStyle="1" w:styleId="Hyperlink1">
    <w:name w:val="Hyperlink.1"/>
    <w:basedOn w:val="Link"/>
    <w:rPr>
      <w:rFonts w:ascii="Times New Roman" w:eastAsia="Times New Roman" w:hAnsi="Times New Roman" w:cs="Times New Roman"/>
      <w:b w:val="0"/>
      <w:bCs w:val="0"/>
      <w:i w:val="0"/>
      <w:iCs w:val="0"/>
      <w:color w:val="0000FF"/>
      <w:u w:val="single" w:color="0000FF"/>
    </w:rPr>
  </w:style>
  <w:style w:type="paragraph" w:customStyle="1" w:styleId="Heading">
    <w:name w:val="Heading"/>
    <w:next w:val="Body"/>
    <w:pPr>
      <w:keepNext/>
      <w:keepLines/>
      <w:tabs>
        <w:tab w:val="left" w:pos="794"/>
        <w:tab w:val="left" w:pos="1191"/>
        <w:tab w:val="left" w:pos="1588"/>
        <w:tab w:val="left" w:pos="1985"/>
      </w:tabs>
      <w:spacing w:before="360"/>
      <w:ind w:left="794" w:hanging="794"/>
      <w:outlineLvl w:val="0"/>
    </w:pPr>
    <w:rPr>
      <w:rFonts w:cs="Arial Unicode MS"/>
      <w:b/>
      <w:bCs/>
      <w:color w:val="000000"/>
      <w:sz w:val="24"/>
      <w:szCs w:val="24"/>
      <w:u w:color="000000"/>
      <w:lang w:val="it-IT"/>
    </w:rPr>
  </w:style>
  <w:style w:type="numbering" w:customStyle="1" w:styleId="ImportedStyle1">
    <w:name w:val="Imported Style 1"/>
    <w:pPr>
      <w:numPr>
        <w:numId w:val="1"/>
      </w:numPr>
    </w:pPr>
  </w:style>
  <w:style w:type="paragraph" w:styleId="ListParagraph">
    <w:name w:val="List Paragraph"/>
    <w:pPr>
      <w:tabs>
        <w:tab w:val="left" w:pos="794"/>
        <w:tab w:val="left" w:pos="1191"/>
        <w:tab w:val="left" w:pos="1588"/>
        <w:tab w:val="left" w:pos="1985"/>
      </w:tabs>
      <w:spacing w:before="120"/>
      <w:ind w:firstLine="420"/>
    </w:pPr>
    <w:rPr>
      <w:rFonts w:cs="Arial Unicode MS"/>
      <w:color w:val="000000"/>
      <w:sz w:val="24"/>
      <w:szCs w:val="24"/>
      <w:u w:color="000000"/>
    </w:rPr>
  </w:style>
  <w:style w:type="numbering" w:customStyle="1" w:styleId="ImportedStyle2">
    <w:name w:val="Imported Style 2"/>
    <w:pPr>
      <w:numPr>
        <w:numId w:val="3"/>
      </w:numPr>
    </w:pPr>
  </w:style>
  <w:style w:type="paragraph" w:customStyle="1" w:styleId="Reftext">
    <w:name w:val="Ref_text"/>
    <w:pPr>
      <w:spacing w:before="120"/>
      <w:ind w:left="2268" w:hanging="2268"/>
    </w:pPr>
    <w:rPr>
      <w:rFonts w:cs="Arial Unicode MS"/>
      <w:color w:val="000000"/>
      <w:sz w:val="24"/>
      <w:szCs w:val="24"/>
      <w:u w:color="000000"/>
    </w:rPr>
  </w:style>
  <w:style w:type="paragraph" w:styleId="FootnoteText">
    <w:name w:val="footnote text"/>
    <w:pPr>
      <w:keepLines/>
      <w:tabs>
        <w:tab w:val="left" w:pos="255"/>
        <w:tab w:val="left" w:pos="794"/>
        <w:tab w:val="left" w:pos="1191"/>
        <w:tab w:val="left" w:pos="1588"/>
        <w:tab w:val="left" w:pos="1985"/>
      </w:tabs>
      <w:spacing w:before="80"/>
      <w:ind w:left="255" w:hanging="255"/>
    </w:pPr>
    <w:rPr>
      <w:rFonts w:eastAsia="Times New Roman"/>
      <w:color w:val="000000"/>
      <w:sz w:val="24"/>
      <w:szCs w:val="24"/>
      <w:u w:color="000000"/>
    </w:rPr>
  </w:style>
  <w:style w:type="numbering" w:customStyle="1" w:styleId="ImportedStyle3">
    <w:name w:val="Imported Style 3"/>
    <w:pPr>
      <w:numPr>
        <w:numId w:val="6"/>
      </w:numPr>
    </w:pPr>
  </w:style>
  <w:style w:type="numbering" w:customStyle="1" w:styleId="ImportedStyle4">
    <w:name w:val="Imported Style 4"/>
    <w:pPr>
      <w:numPr>
        <w:numId w:val="8"/>
      </w:numPr>
    </w:pPr>
  </w:style>
  <w:style w:type="numbering" w:customStyle="1" w:styleId="ImportedStyle5">
    <w:name w:val="Imported Style 5"/>
    <w:pPr>
      <w:numPr>
        <w:numId w:val="11"/>
      </w:numPr>
    </w:pPr>
  </w:style>
  <w:style w:type="numbering" w:customStyle="1" w:styleId="ImportedStyle6">
    <w:name w:val="Imported Style 6"/>
    <w:pPr>
      <w:numPr>
        <w:numId w:val="13"/>
      </w:numPr>
    </w:pPr>
  </w:style>
  <w:style w:type="character" w:styleId="FootnoteReference">
    <w:name w:val="footnote reference"/>
    <w:rPr>
      <w:position w:val="12"/>
      <w:sz w:val="18"/>
      <w:szCs w:val="18"/>
    </w:rPr>
  </w:style>
  <w:style w:type="paragraph" w:customStyle="1" w:styleId="AnnexNotitle">
    <w:name w:val="Annex_No &amp; title"/>
    <w:next w:val="Body"/>
    <w:pPr>
      <w:keepNext/>
      <w:keepLines/>
      <w:tabs>
        <w:tab w:val="left" w:pos="794"/>
        <w:tab w:val="left" w:pos="1191"/>
        <w:tab w:val="left" w:pos="1588"/>
        <w:tab w:val="left" w:pos="1985"/>
      </w:tabs>
      <w:spacing w:before="480"/>
      <w:jc w:val="center"/>
      <w:outlineLvl w:val="0"/>
    </w:pPr>
    <w:rPr>
      <w:rFonts w:cs="Arial Unicode MS"/>
      <w:b/>
      <w:bCs/>
      <w:color w:val="000000"/>
      <w:sz w:val="28"/>
      <w:szCs w:val="28"/>
      <w:u w:color="000000"/>
    </w:rPr>
  </w:style>
  <w:style w:type="paragraph" w:customStyle="1" w:styleId="AppendixNotitle">
    <w:name w:val="Appendix_No &amp; title"/>
    <w:next w:val="Body"/>
    <w:pPr>
      <w:keepNext/>
      <w:keepLines/>
      <w:tabs>
        <w:tab w:val="left" w:pos="794"/>
        <w:tab w:val="left" w:pos="1191"/>
        <w:tab w:val="left" w:pos="1588"/>
        <w:tab w:val="left" w:pos="1985"/>
      </w:tabs>
      <w:spacing w:before="480"/>
      <w:jc w:val="center"/>
      <w:outlineLvl w:val="0"/>
    </w:pPr>
    <w:rPr>
      <w:rFonts w:cs="Arial Unicode MS"/>
      <w:b/>
      <w:bCs/>
      <w:color w:val="000000"/>
      <w:sz w:val="28"/>
      <w:szCs w:val="28"/>
      <w:u w:color="000000"/>
    </w:rPr>
  </w:style>
  <w:style w:type="paragraph" w:styleId="Footer">
    <w:name w:val="footer"/>
    <w:basedOn w:val="Normal"/>
    <w:link w:val="FooterChar"/>
    <w:uiPriority w:val="99"/>
    <w:unhideWhenUsed/>
    <w:rsid w:val="000C7B13"/>
    <w:pPr>
      <w:tabs>
        <w:tab w:val="center" w:pos="4680"/>
        <w:tab w:val="right" w:pos="9360"/>
      </w:tabs>
    </w:pPr>
  </w:style>
  <w:style w:type="character" w:customStyle="1" w:styleId="FooterChar">
    <w:name w:val="Footer Char"/>
    <w:basedOn w:val="DefaultParagraphFont"/>
    <w:link w:val="Footer"/>
    <w:uiPriority w:val="99"/>
    <w:rsid w:val="000C7B13"/>
    <w:rPr>
      <w:sz w:val="24"/>
      <w:szCs w:val="24"/>
    </w:rPr>
  </w:style>
  <w:style w:type="character" w:customStyle="1" w:styleId="Heading1Char">
    <w:name w:val="Heading 1 Char"/>
    <w:basedOn w:val="DefaultParagraphFont"/>
    <w:link w:val="Heading1"/>
    <w:uiPriority w:val="9"/>
    <w:rsid w:val="000C7B13"/>
    <w:rPr>
      <w:rFonts w:asciiTheme="majorHAnsi" w:eastAsiaTheme="majorEastAsia" w:hAnsiTheme="majorHAnsi" w:cstheme="majorBidi"/>
      <w:color w:val="2E74B5" w:themeColor="accent1" w:themeShade="BF"/>
      <w:sz w:val="32"/>
      <w:szCs w:val="32"/>
    </w:rPr>
  </w:style>
  <w:style w:type="paragraph" w:customStyle="1" w:styleId="Headingb">
    <w:name w:val="Heading_b"/>
    <w:basedOn w:val="Normal"/>
    <w:next w:val="Normal"/>
    <w:qFormat/>
    <w:rsid w:val="000C7B13"/>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bdr w:val="none" w:sz="0" w:space="0" w:color="auto"/>
      <w:lang w:val="en-GB"/>
    </w:rPr>
  </w:style>
  <w:style w:type="paragraph" w:customStyle="1" w:styleId="Rectitle">
    <w:name w:val="Rec_title"/>
    <w:basedOn w:val="Normal"/>
    <w:next w:val="Normal"/>
    <w:rsid w:val="000C7B13"/>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EastAsia"/>
      <w:b/>
      <w:sz w:val="28"/>
      <w:szCs w:val="20"/>
      <w:bdr w:val="none" w:sz="0" w:space="0" w:color="auto"/>
      <w:lang w:val="en-GB" w:eastAsia="ja-JP"/>
    </w:rPr>
  </w:style>
  <w:style w:type="paragraph" w:styleId="TOC1">
    <w:name w:val="toc 1"/>
    <w:basedOn w:val="Normal"/>
    <w:uiPriority w:val="39"/>
    <w:rsid w:val="000C7B13"/>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bdr w:val="none" w:sz="0" w:space="0" w:color="auto"/>
      <w:lang w:val="en-GB"/>
    </w:rPr>
  </w:style>
  <w:style w:type="character" w:customStyle="1" w:styleId="HeaderChar">
    <w:name w:val="Header Char"/>
    <w:basedOn w:val="DefaultParagraphFont"/>
    <w:link w:val="Header"/>
    <w:rsid w:val="000C7B13"/>
    <w:rPr>
      <w:rFonts w:cs="Arial Unicode MS"/>
      <w:color w:val="000000"/>
      <w:u w:color="000000"/>
    </w:rPr>
  </w:style>
  <w:style w:type="paragraph" w:styleId="TOCHeading">
    <w:name w:val="TOC Heading"/>
    <w:basedOn w:val="Heading1"/>
    <w:next w:val="Normal"/>
    <w:uiPriority w:val="39"/>
    <w:semiHidden/>
    <w:unhideWhenUsed/>
    <w:qFormat/>
    <w:rsid w:val="000C7B13"/>
    <w:pPr>
      <w:pBdr>
        <w:top w:val="none" w:sz="0" w:space="0" w:color="auto"/>
        <w:left w:val="none" w:sz="0" w:space="0" w:color="auto"/>
        <w:bottom w:val="none" w:sz="0" w:space="0" w:color="auto"/>
        <w:right w:val="none" w:sz="0" w:space="0" w:color="auto"/>
        <w:between w:val="none" w:sz="0" w:space="0" w:color="auto"/>
        <w:bar w:val="none" w:sz="0" w:color="auto"/>
      </w:pBdr>
      <w:outlineLvl w:val="9"/>
    </w:pPr>
    <w:rPr>
      <w:bdr w:val="none" w:sz="0" w:space="0" w:color="auto"/>
      <w:lang w:val="en-GB" w:eastAsia="ja-JP"/>
    </w:rPr>
  </w:style>
  <w:style w:type="paragraph" w:styleId="BalloonText">
    <w:name w:val="Balloon Text"/>
    <w:basedOn w:val="Normal"/>
    <w:link w:val="BalloonTextChar"/>
    <w:uiPriority w:val="99"/>
    <w:semiHidden/>
    <w:unhideWhenUsed/>
    <w:rsid w:val="00F258E8"/>
    <w:rPr>
      <w:sz w:val="18"/>
      <w:szCs w:val="18"/>
    </w:rPr>
  </w:style>
  <w:style w:type="character" w:customStyle="1" w:styleId="BalloonTextChar">
    <w:name w:val="Balloon Text Char"/>
    <w:basedOn w:val="DefaultParagraphFont"/>
    <w:link w:val="BalloonText"/>
    <w:uiPriority w:val="99"/>
    <w:semiHidden/>
    <w:rsid w:val="00F258E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849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iago.prado@anatel.gov.b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www.itu.int/go/terminology-database"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4615</Words>
  <Characters>28295</Characters>
  <Application>Microsoft Office Word</Application>
  <DocSecurity>0</DocSecurity>
  <Lines>1347</Lines>
  <Paragraphs>671</Paragraphs>
  <ScaleCrop>false</ScaleCrop>
  <HeadingPairs>
    <vt:vector size="2" baseType="variant">
      <vt:variant>
        <vt:lpstr>Title</vt:lpstr>
      </vt:variant>
      <vt:variant>
        <vt:i4>1</vt:i4>
      </vt:variant>
    </vt:vector>
  </HeadingPairs>
  <TitlesOfParts>
    <vt:vector size="1" baseType="lpstr">
      <vt:lpstr>Revised basetext E.RQUAL</vt:lpstr>
    </vt:vector>
  </TitlesOfParts>
  <Manager>ITU-T</Manager>
  <Company>International Telecommunication Union (ITU)</Company>
  <LinksUpToDate>false</LinksUpToDate>
  <CharactersWithSpaces>32239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basetext E.RQUAL</dc:title>
  <dc:creator>Editor E.RQUAL</dc:creator>
  <dc:description>SG12-TD712  For: Geneva, 27 November - 6 December 2018_x000d_Document date: _x000d_Saved by ITU51011775 at 18:47:46 on 02/12/2018</dc:description>
  <cp:lastModifiedBy>Adolph, Martin</cp:lastModifiedBy>
  <cp:revision>4</cp:revision>
  <dcterms:created xsi:type="dcterms:W3CDTF">2018-12-07T10:15:00Z</dcterms:created>
  <dcterms:modified xsi:type="dcterms:W3CDTF">2018-12-07T10:32:00Z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SG12-TD712</vt:lpwstr>
  </property>
  <property fmtid="{D5CDD505-2E9C-101B-9397-08002B2CF9AE}" pid="3" name="Docdate">
    <vt:lpwstr/>
  </property>
  <property fmtid="{D5CDD505-2E9C-101B-9397-08002B2CF9AE}" pid="4" name="Docorlang">
    <vt:lpwstr/>
  </property>
  <property fmtid="{D5CDD505-2E9C-101B-9397-08002B2CF9AE}" pid="5" name="Docbluepink">
    <vt:lpwstr>12/12</vt:lpwstr>
  </property>
  <property fmtid="{D5CDD505-2E9C-101B-9397-08002B2CF9AE}" pid="6" name="Docdest">
    <vt:lpwstr>Geneva, 27 November - 6 December 2018</vt:lpwstr>
  </property>
  <property fmtid="{D5CDD505-2E9C-101B-9397-08002B2CF9AE}" pid="7" name="Docauthor">
    <vt:lpwstr>Editor E.RQUAL</vt:lpwstr>
  </property>
</Properties>
</file>