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1D6AC6" w:rsidRPr="00E34660" w:rsidTr="009A1C86">
        <w:trPr>
          <w:cantSplit/>
        </w:trPr>
        <w:tc>
          <w:tcPr>
            <w:tcW w:w="1191" w:type="dxa"/>
            <w:vMerge w:val="restart"/>
          </w:tcPr>
          <w:p w:rsidR="001D6AC6" w:rsidRPr="00E34660" w:rsidRDefault="001D6AC6" w:rsidP="009A1C86">
            <w:pPr>
              <w:rPr>
                <w:sz w:val="20"/>
              </w:rPr>
            </w:pPr>
            <w:bookmarkStart w:id="0" w:name="dnum" w:colFirst="2" w:colLast="2"/>
            <w:bookmarkStart w:id="1" w:name="dtableau"/>
            <w:r w:rsidRPr="00E34660">
              <w:rPr>
                <w:noProof/>
                <w:sz w:val="20"/>
                <w:lang w:eastAsia="zh-CN"/>
              </w:rPr>
              <w:drawing>
                <wp:inline distT="0" distB="0" distL="0" distR="0" wp14:anchorId="23B09AD5" wp14:editId="4930962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1D6AC6" w:rsidRPr="00E34660" w:rsidRDefault="001D6AC6" w:rsidP="009A1C86">
            <w:pPr>
              <w:rPr>
                <w:sz w:val="16"/>
                <w:szCs w:val="16"/>
              </w:rPr>
            </w:pPr>
            <w:r w:rsidRPr="00E34660">
              <w:rPr>
                <w:sz w:val="16"/>
                <w:szCs w:val="16"/>
              </w:rPr>
              <w:t>INTERNATIONAL TELECOMMUNICATION UNION</w:t>
            </w:r>
          </w:p>
          <w:p w:rsidR="001D6AC6" w:rsidRPr="00E34660" w:rsidRDefault="001D6AC6" w:rsidP="009A1C86">
            <w:pPr>
              <w:rPr>
                <w:b/>
                <w:bCs/>
                <w:sz w:val="26"/>
                <w:szCs w:val="26"/>
              </w:rPr>
            </w:pPr>
            <w:r w:rsidRPr="00E34660">
              <w:rPr>
                <w:b/>
                <w:bCs/>
                <w:sz w:val="26"/>
                <w:szCs w:val="26"/>
              </w:rPr>
              <w:t>TELECOMMUNICATION</w:t>
            </w:r>
            <w:r w:rsidRPr="00E34660">
              <w:rPr>
                <w:b/>
                <w:bCs/>
                <w:sz w:val="26"/>
                <w:szCs w:val="26"/>
              </w:rPr>
              <w:br/>
              <w:t>STANDARDIZATION SECTOR</w:t>
            </w:r>
          </w:p>
          <w:p w:rsidR="001D6AC6" w:rsidRPr="00E34660" w:rsidRDefault="001D6AC6" w:rsidP="009A1C86">
            <w:pPr>
              <w:rPr>
                <w:sz w:val="20"/>
              </w:rPr>
            </w:pPr>
            <w:r w:rsidRPr="00E34660">
              <w:rPr>
                <w:sz w:val="20"/>
              </w:rPr>
              <w:t xml:space="preserve">STUDY PERIOD </w:t>
            </w:r>
            <w:bookmarkStart w:id="2" w:name="dstudyperiod"/>
            <w:r w:rsidRPr="00E34660">
              <w:rPr>
                <w:sz w:val="20"/>
              </w:rPr>
              <w:t>2017-2020</w:t>
            </w:r>
            <w:bookmarkEnd w:id="2"/>
          </w:p>
        </w:tc>
        <w:tc>
          <w:tcPr>
            <w:tcW w:w="4681" w:type="dxa"/>
            <w:gridSpan w:val="2"/>
            <w:vAlign w:val="center"/>
          </w:tcPr>
          <w:p w:rsidR="001D6AC6" w:rsidRPr="00E34660" w:rsidRDefault="001D6AC6" w:rsidP="009A1C86">
            <w:pPr>
              <w:pStyle w:val="Docnumber"/>
              <w:rPr>
                <w:sz w:val="32"/>
              </w:rPr>
            </w:pPr>
            <w:r>
              <w:rPr>
                <w:sz w:val="32"/>
              </w:rPr>
              <w:t>TSAG-TD397</w:t>
            </w:r>
          </w:p>
        </w:tc>
      </w:tr>
      <w:tr w:rsidR="001D6AC6" w:rsidRPr="00E34660" w:rsidTr="009A1C86">
        <w:trPr>
          <w:cantSplit/>
        </w:trPr>
        <w:tc>
          <w:tcPr>
            <w:tcW w:w="1191" w:type="dxa"/>
            <w:vMerge/>
          </w:tcPr>
          <w:p w:rsidR="001D6AC6" w:rsidRPr="00E34660" w:rsidRDefault="001D6AC6" w:rsidP="009A1C86">
            <w:pPr>
              <w:rPr>
                <w:smallCaps/>
                <w:sz w:val="20"/>
              </w:rPr>
            </w:pPr>
            <w:bookmarkStart w:id="3" w:name="dsg" w:colFirst="2" w:colLast="2"/>
            <w:bookmarkEnd w:id="0"/>
          </w:p>
        </w:tc>
        <w:tc>
          <w:tcPr>
            <w:tcW w:w="4051" w:type="dxa"/>
            <w:gridSpan w:val="2"/>
            <w:vMerge/>
          </w:tcPr>
          <w:p w:rsidR="001D6AC6" w:rsidRPr="00E34660" w:rsidRDefault="001D6AC6" w:rsidP="009A1C86">
            <w:pPr>
              <w:rPr>
                <w:smallCaps/>
                <w:sz w:val="20"/>
              </w:rPr>
            </w:pPr>
          </w:p>
        </w:tc>
        <w:tc>
          <w:tcPr>
            <w:tcW w:w="4681" w:type="dxa"/>
            <w:gridSpan w:val="2"/>
          </w:tcPr>
          <w:p w:rsidR="001D6AC6" w:rsidRPr="00E34660" w:rsidRDefault="001D6AC6" w:rsidP="009A1C86">
            <w:pPr>
              <w:jc w:val="right"/>
              <w:rPr>
                <w:b/>
                <w:bCs/>
                <w:smallCaps/>
                <w:sz w:val="28"/>
                <w:szCs w:val="28"/>
              </w:rPr>
            </w:pPr>
            <w:r>
              <w:rPr>
                <w:b/>
                <w:bCs/>
                <w:smallCaps/>
                <w:sz w:val="28"/>
                <w:szCs w:val="28"/>
              </w:rPr>
              <w:t>TSAG</w:t>
            </w:r>
          </w:p>
        </w:tc>
      </w:tr>
      <w:bookmarkEnd w:id="3"/>
      <w:tr w:rsidR="001D6AC6" w:rsidRPr="00E34660" w:rsidTr="009A1C86">
        <w:trPr>
          <w:cantSplit/>
        </w:trPr>
        <w:tc>
          <w:tcPr>
            <w:tcW w:w="1191" w:type="dxa"/>
            <w:vMerge/>
            <w:tcBorders>
              <w:bottom w:val="single" w:sz="12" w:space="0" w:color="auto"/>
            </w:tcBorders>
          </w:tcPr>
          <w:p w:rsidR="001D6AC6" w:rsidRPr="00E34660" w:rsidRDefault="001D6AC6" w:rsidP="009A1C86">
            <w:pPr>
              <w:rPr>
                <w:b/>
                <w:bCs/>
                <w:sz w:val="26"/>
              </w:rPr>
            </w:pPr>
          </w:p>
        </w:tc>
        <w:tc>
          <w:tcPr>
            <w:tcW w:w="4051" w:type="dxa"/>
            <w:gridSpan w:val="2"/>
            <w:vMerge/>
            <w:tcBorders>
              <w:bottom w:val="single" w:sz="12" w:space="0" w:color="auto"/>
            </w:tcBorders>
          </w:tcPr>
          <w:p w:rsidR="001D6AC6" w:rsidRPr="00E34660" w:rsidRDefault="001D6AC6" w:rsidP="009A1C86">
            <w:pPr>
              <w:rPr>
                <w:b/>
                <w:bCs/>
                <w:sz w:val="26"/>
              </w:rPr>
            </w:pPr>
          </w:p>
        </w:tc>
        <w:tc>
          <w:tcPr>
            <w:tcW w:w="4681" w:type="dxa"/>
            <w:gridSpan w:val="2"/>
            <w:tcBorders>
              <w:bottom w:val="single" w:sz="12" w:space="0" w:color="auto"/>
            </w:tcBorders>
            <w:vAlign w:val="center"/>
          </w:tcPr>
          <w:p w:rsidR="001D6AC6" w:rsidRPr="00E34660" w:rsidRDefault="001D6AC6" w:rsidP="009A1C86">
            <w:pPr>
              <w:jc w:val="right"/>
              <w:rPr>
                <w:b/>
                <w:bCs/>
                <w:sz w:val="28"/>
                <w:szCs w:val="28"/>
              </w:rPr>
            </w:pPr>
            <w:r w:rsidRPr="00E34660">
              <w:rPr>
                <w:b/>
                <w:bCs/>
                <w:sz w:val="28"/>
                <w:szCs w:val="28"/>
              </w:rPr>
              <w:t>Original: English</w:t>
            </w:r>
          </w:p>
        </w:tc>
      </w:tr>
      <w:tr w:rsidR="001D6AC6" w:rsidRPr="00E34660" w:rsidTr="009A1C86">
        <w:trPr>
          <w:cantSplit/>
        </w:trPr>
        <w:tc>
          <w:tcPr>
            <w:tcW w:w="1617" w:type="dxa"/>
            <w:gridSpan w:val="2"/>
          </w:tcPr>
          <w:p w:rsidR="001D6AC6" w:rsidRPr="00E34660" w:rsidRDefault="001D6AC6" w:rsidP="009A1C86">
            <w:pPr>
              <w:rPr>
                <w:b/>
                <w:bCs/>
                <w:szCs w:val="24"/>
              </w:rPr>
            </w:pPr>
            <w:bookmarkStart w:id="4" w:name="dbluepink" w:colFirst="1" w:colLast="1"/>
            <w:bookmarkStart w:id="5" w:name="dmeeting" w:colFirst="2" w:colLast="2"/>
            <w:r w:rsidRPr="00E34660">
              <w:rPr>
                <w:b/>
                <w:bCs/>
                <w:szCs w:val="24"/>
              </w:rPr>
              <w:t>Question(s):</w:t>
            </w:r>
          </w:p>
        </w:tc>
        <w:tc>
          <w:tcPr>
            <w:tcW w:w="3625" w:type="dxa"/>
          </w:tcPr>
          <w:p w:rsidR="001D6AC6" w:rsidRPr="00E34660" w:rsidRDefault="001D6AC6" w:rsidP="009A1C86">
            <w:pPr>
              <w:rPr>
                <w:szCs w:val="24"/>
              </w:rPr>
            </w:pPr>
            <w:r w:rsidRPr="00E34660">
              <w:rPr>
                <w:szCs w:val="24"/>
              </w:rPr>
              <w:t>N/A</w:t>
            </w:r>
          </w:p>
        </w:tc>
        <w:tc>
          <w:tcPr>
            <w:tcW w:w="4681" w:type="dxa"/>
            <w:gridSpan w:val="2"/>
          </w:tcPr>
          <w:p w:rsidR="001D6AC6" w:rsidRPr="00E34660" w:rsidRDefault="001D6AC6" w:rsidP="009A1C86">
            <w:pPr>
              <w:jc w:val="right"/>
              <w:rPr>
                <w:szCs w:val="24"/>
              </w:rPr>
            </w:pPr>
            <w:r w:rsidRPr="00E34660">
              <w:rPr>
                <w:szCs w:val="24"/>
              </w:rPr>
              <w:t>Geneva, 10-14 December 2018</w:t>
            </w:r>
          </w:p>
        </w:tc>
      </w:tr>
      <w:tr w:rsidR="001D6AC6" w:rsidRPr="00E34660" w:rsidTr="009A1C86">
        <w:trPr>
          <w:cantSplit/>
        </w:trPr>
        <w:tc>
          <w:tcPr>
            <w:tcW w:w="9923" w:type="dxa"/>
            <w:gridSpan w:val="5"/>
          </w:tcPr>
          <w:p w:rsidR="001D6AC6" w:rsidRPr="00E34660" w:rsidRDefault="001D6AC6" w:rsidP="009A1C86">
            <w:pPr>
              <w:jc w:val="center"/>
              <w:rPr>
                <w:b/>
                <w:bCs/>
                <w:szCs w:val="24"/>
              </w:rPr>
            </w:pPr>
            <w:bookmarkStart w:id="6" w:name="ddoctype" w:colFirst="0" w:colLast="0"/>
            <w:bookmarkEnd w:id="4"/>
            <w:bookmarkEnd w:id="5"/>
            <w:r w:rsidRPr="00E34660">
              <w:rPr>
                <w:b/>
                <w:bCs/>
                <w:szCs w:val="24"/>
              </w:rPr>
              <w:t>TD</w:t>
            </w:r>
          </w:p>
        </w:tc>
      </w:tr>
      <w:tr w:rsidR="001D6AC6" w:rsidRPr="00E34660" w:rsidTr="009A1C86">
        <w:trPr>
          <w:cantSplit/>
        </w:trPr>
        <w:tc>
          <w:tcPr>
            <w:tcW w:w="1617" w:type="dxa"/>
            <w:gridSpan w:val="2"/>
          </w:tcPr>
          <w:p w:rsidR="001D6AC6" w:rsidRPr="00E34660" w:rsidRDefault="001D6AC6" w:rsidP="009A1C86">
            <w:pPr>
              <w:rPr>
                <w:b/>
                <w:bCs/>
                <w:szCs w:val="24"/>
              </w:rPr>
            </w:pPr>
            <w:bookmarkStart w:id="7" w:name="dsource" w:colFirst="1" w:colLast="1"/>
            <w:bookmarkEnd w:id="6"/>
            <w:r w:rsidRPr="00E34660">
              <w:rPr>
                <w:b/>
                <w:bCs/>
                <w:szCs w:val="24"/>
              </w:rPr>
              <w:t>Source:</w:t>
            </w:r>
          </w:p>
        </w:tc>
        <w:tc>
          <w:tcPr>
            <w:tcW w:w="8306" w:type="dxa"/>
            <w:gridSpan w:val="3"/>
          </w:tcPr>
          <w:p w:rsidR="001D6AC6" w:rsidRPr="00E34660" w:rsidRDefault="001D6AC6" w:rsidP="009A1C86">
            <w:pPr>
              <w:rPr>
                <w:szCs w:val="24"/>
              </w:rPr>
            </w:pPr>
            <w:r w:rsidRPr="00E34660">
              <w:rPr>
                <w:szCs w:val="24"/>
              </w:rPr>
              <w:t xml:space="preserve">ITU-T representative to the </w:t>
            </w:r>
            <w:proofErr w:type="spellStart"/>
            <w:r w:rsidRPr="00E34660">
              <w:rPr>
                <w:szCs w:val="24"/>
              </w:rPr>
              <w:t>MoU</w:t>
            </w:r>
            <w:proofErr w:type="spellEnd"/>
            <w:r w:rsidRPr="00E34660">
              <w:rPr>
                <w:szCs w:val="24"/>
              </w:rPr>
              <w:t>/MG on e-business</w:t>
            </w:r>
          </w:p>
        </w:tc>
      </w:tr>
      <w:tr w:rsidR="001D6AC6" w:rsidRPr="00E34660" w:rsidTr="009A1C86">
        <w:trPr>
          <w:cantSplit/>
        </w:trPr>
        <w:tc>
          <w:tcPr>
            <w:tcW w:w="1617" w:type="dxa"/>
            <w:gridSpan w:val="2"/>
          </w:tcPr>
          <w:p w:rsidR="001D6AC6" w:rsidRPr="00E34660" w:rsidRDefault="001D6AC6" w:rsidP="009A1C86">
            <w:pPr>
              <w:rPr>
                <w:szCs w:val="24"/>
              </w:rPr>
            </w:pPr>
            <w:bookmarkStart w:id="8" w:name="dtitle1" w:colFirst="1" w:colLast="1"/>
            <w:bookmarkEnd w:id="7"/>
            <w:r w:rsidRPr="00E34660">
              <w:rPr>
                <w:b/>
                <w:bCs/>
                <w:szCs w:val="24"/>
              </w:rPr>
              <w:t>Title:</w:t>
            </w:r>
          </w:p>
        </w:tc>
        <w:tc>
          <w:tcPr>
            <w:tcW w:w="8306" w:type="dxa"/>
            <w:gridSpan w:val="3"/>
          </w:tcPr>
          <w:p w:rsidR="001D6AC6" w:rsidRPr="00E34660" w:rsidRDefault="001D6AC6" w:rsidP="009A1C86">
            <w:pPr>
              <w:rPr>
                <w:szCs w:val="24"/>
              </w:rPr>
            </w:pPr>
            <w:r w:rsidRPr="00E34660">
              <w:rPr>
                <w:szCs w:val="24"/>
              </w:rPr>
              <w:t xml:space="preserve">Resolutions and actions of the Management Group of the </w:t>
            </w:r>
            <w:proofErr w:type="spellStart"/>
            <w:r w:rsidRPr="00E34660">
              <w:rPr>
                <w:szCs w:val="24"/>
              </w:rPr>
              <w:t>MoU</w:t>
            </w:r>
            <w:proofErr w:type="spellEnd"/>
            <w:r w:rsidRPr="00E34660">
              <w:rPr>
                <w:szCs w:val="24"/>
              </w:rPr>
              <w:t xml:space="preserve"> on e-business</w:t>
            </w:r>
          </w:p>
        </w:tc>
      </w:tr>
      <w:tr w:rsidR="001D6AC6" w:rsidRPr="00E34660" w:rsidTr="009A1C86">
        <w:trPr>
          <w:cantSplit/>
        </w:trPr>
        <w:tc>
          <w:tcPr>
            <w:tcW w:w="1617" w:type="dxa"/>
            <w:gridSpan w:val="2"/>
            <w:tcBorders>
              <w:bottom w:val="single" w:sz="4" w:space="0" w:color="auto"/>
            </w:tcBorders>
          </w:tcPr>
          <w:p w:rsidR="001D6AC6" w:rsidRPr="00E34660" w:rsidRDefault="001D6AC6" w:rsidP="009A1C86">
            <w:pPr>
              <w:rPr>
                <w:b/>
                <w:bCs/>
                <w:szCs w:val="24"/>
              </w:rPr>
            </w:pPr>
            <w:bookmarkStart w:id="9" w:name="dpurpose" w:colFirst="1" w:colLast="1"/>
            <w:bookmarkEnd w:id="8"/>
            <w:r w:rsidRPr="00490B58">
              <w:rPr>
                <w:b/>
                <w:bCs/>
                <w:szCs w:val="24"/>
              </w:rPr>
              <w:t>Purpose</w:t>
            </w:r>
            <w:r w:rsidRPr="00E34660">
              <w:rPr>
                <w:b/>
                <w:bCs/>
                <w:szCs w:val="24"/>
              </w:rPr>
              <w:t>:</w:t>
            </w:r>
          </w:p>
        </w:tc>
        <w:tc>
          <w:tcPr>
            <w:tcW w:w="8306" w:type="dxa"/>
            <w:gridSpan w:val="3"/>
            <w:tcBorders>
              <w:bottom w:val="single" w:sz="4" w:space="0" w:color="auto"/>
            </w:tcBorders>
          </w:tcPr>
          <w:p w:rsidR="001D6AC6" w:rsidRPr="00E34660" w:rsidRDefault="00490B58" w:rsidP="00490B58">
            <w:pPr>
              <w:rPr>
                <w:szCs w:val="24"/>
              </w:rPr>
            </w:pPr>
            <w:r>
              <w:rPr>
                <w:szCs w:val="24"/>
              </w:rPr>
              <w:t>Information, Action</w:t>
            </w:r>
          </w:p>
        </w:tc>
      </w:tr>
      <w:tr w:rsidR="001D6AC6" w:rsidRPr="00E34660" w:rsidTr="009A1C86">
        <w:trPr>
          <w:cantSplit/>
        </w:trPr>
        <w:tc>
          <w:tcPr>
            <w:tcW w:w="1617" w:type="dxa"/>
            <w:gridSpan w:val="2"/>
            <w:tcBorders>
              <w:top w:val="single" w:sz="4" w:space="0" w:color="auto"/>
              <w:bottom w:val="single" w:sz="8" w:space="0" w:color="auto"/>
            </w:tcBorders>
          </w:tcPr>
          <w:p w:rsidR="001D6AC6" w:rsidRPr="00E34660" w:rsidRDefault="001D6AC6" w:rsidP="009A1C86">
            <w:pPr>
              <w:rPr>
                <w:b/>
                <w:bCs/>
                <w:szCs w:val="24"/>
              </w:rPr>
            </w:pPr>
            <w:r w:rsidRPr="00E34660">
              <w:rPr>
                <w:b/>
                <w:bCs/>
                <w:szCs w:val="24"/>
              </w:rPr>
              <w:t>Contact:</w:t>
            </w:r>
          </w:p>
        </w:tc>
        <w:tc>
          <w:tcPr>
            <w:tcW w:w="4153" w:type="dxa"/>
            <w:gridSpan w:val="2"/>
            <w:tcBorders>
              <w:top w:val="single" w:sz="4" w:space="0" w:color="auto"/>
              <w:bottom w:val="single" w:sz="8" w:space="0" w:color="auto"/>
            </w:tcBorders>
          </w:tcPr>
          <w:p w:rsidR="001D6AC6" w:rsidRPr="00E34660" w:rsidRDefault="001D6AC6" w:rsidP="009A1C86">
            <w:pPr>
              <w:rPr>
                <w:szCs w:val="24"/>
              </w:rPr>
            </w:pPr>
            <w:r w:rsidRPr="00E34660">
              <w:rPr>
                <w:szCs w:val="24"/>
              </w:rPr>
              <w:t xml:space="preserve">Olivier </w:t>
            </w:r>
            <w:proofErr w:type="spellStart"/>
            <w:r w:rsidRPr="00E34660">
              <w:rPr>
                <w:szCs w:val="24"/>
              </w:rPr>
              <w:t>Dubuisson</w:t>
            </w:r>
            <w:proofErr w:type="spellEnd"/>
          </w:p>
          <w:p w:rsidR="001D6AC6" w:rsidRPr="00E34660" w:rsidRDefault="001D6AC6" w:rsidP="009A1C86">
            <w:pPr>
              <w:spacing w:before="0"/>
              <w:rPr>
                <w:szCs w:val="24"/>
              </w:rPr>
            </w:pPr>
            <w:r w:rsidRPr="00E34660">
              <w:rPr>
                <w:szCs w:val="24"/>
              </w:rPr>
              <w:t>Orange</w:t>
            </w:r>
          </w:p>
          <w:p w:rsidR="001D6AC6" w:rsidRPr="00E34660" w:rsidRDefault="001D6AC6" w:rsidP="009A1C86">
            <w:pPr>
              <w:spacing w:before="0"/>
              <w:rPr>
                <w:szCs w:val="24"/>
              </w:rPr>
            </w:pPr>
            <w:r w:rsidRPr="00E34660">
              <w:rPr>
                <w:szCs w:val="24"/>
              </w:rPr>
              <w:t>France</w:t>
            </w:r>
          </w:p>
        </w:tc>
        <w:tc>
          <w:tcPr>
            <w:tcW w:w="4153" w:type="dxa"/>
            <w:tcBorders>
              <w:top w:val="single" w:sz="4" w:space="0" w:color="auto"/>
              <w:bottom w:val="single" w:sz="8" w:space="0" w:color="auto"/>
            </w:tcBorders>
          </w:tcPr>
          <w:p w:rsidR="001D6AC6" w:rsidRPr="00E34660" w:rsidRDefault="001D6AC6" w:rsidP="009A1C86">
            <w:pPr>
              <w:rPr>
                <w:szCs w:val="24"/>
                <w:lang w:val="fr-FR"/>
              </w:rPr>
            </w:pPr>
            <w:r w:rsidRPr="00E34660">
              <w:rPr>
                <w:szCs w:val="24"/>
                <w:lang w:val="fr-FR"/>
              </w:rPr>
              <w:t>Tel: +33 2 96 07 38 50</w:t>
            </w:r>
          </w:p>
          <w:p w:rsidR="001D6AC6" w:rsidRPr="00E34660" w:rsidRDefault="001D6AC6" w:rsidP="009A1C86">
            <w:pPr>
              <w:spacing w:before="0"/>
              <w:rPr>
                <w:szCs w:val="24"/>
                <w:lang w:val="fr-FR"/>
              </w:rPr>
            </w:pPr>
            <w:r w:rsidRPr="00E34660">
              <w:rPr>
                <w:szCs w:val="24"/>
                <w:lang w:val="fr-FR"/>
              </w:rPr>
              <w:t xml:space="preserve">E-mail: </w:t>
            </w:r>
            <w:hyperlink r:id="rId9" w:history="1">
              <w:r w:rsidRPr="00E34660">
                <w:rPr>
                  <w:rStyle w:val="Hyperlink"/>
                  <w:szCs w:val="24"/>
                  <w:lang w:val="fr-FR"/>
                </w:rPr>
                <w:t>olivier.dubuisson@orange.com</w:t>
              </w:r>
            </w:hyperlink>
            <w:r w:rsidRPr="00E34660">
              <w:rPr>
                <w:szCs w:val="24"/>
                <w:lang w:val="fr-FR"/>
              </w:rPr>
              <w:t xml:space="preserve"> </w:t>
            </w:r>
          </w:p>
        </w:tc>
      </w:tr>
    </w:tbl>
    <w:p w:rsidR="001D6AC6" w:rsidRDefault="001D6AC6" w:rsidP="001D6AC6"/>
    <w:tbl>
      <w:tblPr>
        <w:tblW w:w="9923" w:type="dxa"/>
        <w:tblInd w:w="57" w:type="dxa"/>
        <w:tblLayout w:type="fixed"/>
        <w:tblCellMar>
          <w:left w:w="57" w:type="dxa"/>
          <w:right w:w="57" w:type="dxa"/>
        </w:tblCellMar>
        <w:tblLook w:val="0000" w:firstRow="0" w:lastRow="0" w:firstColumn="0" w:lastColumn="0" w:noHBand="0" w:noVBand="0"/>
      </w:tblPr>
      <w:tblGrid>
        <w:gridCol w:w="1607"/>
        <w:gridCol w:w="8316"/>
      </w:tblGrid>
      <w:tr w:rsidR="001D6AC6" w:rsidRPr="00401AE8" w:rsidTr="009A1C86">
        <w:trPr>
          <w:cantSplit/>
        </w:trPr>
        <w:tc>
          <w:tcPr>
            <w:tcW w:w="1607" w:type="dxa"/>
          </w:tcPr>
          <w:bookmarkEnd w:id="1"/>
          <w:bookmarkEnd w:id="9"/>
          <w:p w:rsidR="001D6AC6" w:rsidRPr="00E96D28" w:rsidRDefault="001D6AC6" w:rsidP="009A1C86">
            <w:pPr>
              <w:rPr>
                <w:b/>
                <w:bCs/>
                <w:highlight w:val="yellow"/>
              </w:rPr>
            </w:pPr>
            <w:r w:rsidRPr="00490B58">
              <w:rPr>
                <w:b/>
                <w:bCs/>
              </w:rPr>
              <w:t>Keywords:</w:t>
            </w:r>
          </w:p>
        </w:tc>
        <w:tc>
          <w:tcPr>
            <w:tcW w:w="8316" w:type="dxa"/>
          </w:tcPr>
          <w:p w:rsidR="001D6AC6" w:rsidRPr="00401AE8" w:rsidRDefault="00490B58" w:rsidP="00CD2874">
            <w:proofErr w:type="spellStart"/>
            <w:r>
              <w:t>MoU</w:t>
            </w:r>
            <w:proofErr w:type="spellEnd"/>
            <w:r>
              <w:t xml:space="preserve"> on e-business</w:t>
            </w:r>
            <w:r w:rsidR="00CD2874">
              <w:t>;</w:t>
            </w:r>
            <w:r>
              <w:t xml:space="preserve"> </w:t>
            </w:r>
            <w:proofErr w:type="spellStart"/>
            <w:r w:rsidRPr="009C2DBB">
              <w:t>eAccessibility</w:t>
            </w:r>
            <w:proofErr w:type="spellEnd"/>
            <w:r w:rsidRPr="009C2DBB">
              <w:t xml:space="preserve"> and </w:t>
            </w:r>
            <w:proofErr w:type="spellStart"/>
            <w:r w:rsidRPr="009C2DBB">
              <w:t>eInclusion</w:t>
            </w:r>
            <w:proofErr w:type="spellEnd"/>
            <w:r w:rsidR="00CD2874">
              <w:t>;</w:t>
            </w:r>
            <w:r>
              <w:t xml:space="preserve"> </w:t>
            </w:r>
            <w:r>
              <w:rPr>
                <w:rFonts w:asciiTheme="majorBidi" w:hAnsiTheme="majorBidi" w:cstheme="majorBidi"/>
                <w:szCs w:val="24"/>
              </w:rPr>
              <w:t>ISO 8601</w:t>
            </w:r>
            <w:r w:rsidR="00CD2874">
              <w:rPr>
                <w:rFonts w:asciiTheme="majorBidi" w:hAnsiTheme="majorBidi" w:cstheme="majorBidi"/>
                <w:szCs w:val="24"/>
              </w:rPr>
              <w:t>;</w:t>
            </w:r>
            <w:r>
              <w:rPr>
                <w:rFonts w:asciiTheme="majorBidi" w:hAnsiTheme="majorBidi" w:cstheme="majorBidi"/>
                <w:szCs w:val="24"/>
              </w:rPr>
              <w:t xml:space="preserve"> </w:t>
            </w:r>
            <w:r w:rsidR="00CD2874">
              <w:rPr>
                <w:bCs/>
                <w:szCs w:val="24"/>
              </w:rPr>
              <w:t>quantum computing;</w:t>
            </w:r>
            <w:r w:rsidRPr="009C2DBB">
              <w:rPr>
                <w:bCs/>
                <w:szCs w:val="24"/>
              </w:rPr>
              <w:t xml:space="preserve"> smart manufacturing</w:t>
            </w:r>
            <w:r w:rsidR="00CD2874">
              <w:rPr>
                <w:bCs/>
                <w:szCs w:val="24"/>
              </w:rPr>
              <w:t>;</w:t>
            </w:r>
            <w:bookmarkStart w:id="10" w:name="_GoBack"/>
            <w:bookmarkEnd w:id="10"/>
          </w:p>
        </w:tc>
      </w:tr>
      <w:tr w:rsidR="001D6AC6" w:rsidRPr="00401AE8" w:rsidTr="009A1C86">
        <w:trPr>
          <w:cantSplit/>
        </w:trPr>
        <w:tc>
          <w:tcPr>
            <w:tcW w:w="1607" w:type="dxa"/>
          </w:tcPr>
          <w:p w:rsidR="001D6AC6" w:rsidRPr="00401AE8" w:rsidRDefault="001D6AC6" w:rsidP="009A1C86">
            <w:pPr>
              <w:rPr>
                <w:b/>
                <w:bCs/>
              </w:rPr>
            </w:pPr>
            <w:r w:rsidRPr="00401AE8">
              <w:rPr>
                <w:b/>
                <w:bCs/>
              </w:rPr>
              <w:t>Abstract:</w:t>
            </w:r>
          </w:p>
        </w:tc>
        <w:sdt>
          <w:sdtPr>
            <w:alias w:val="Abstract"/>
            <w:tag w:val="Abstract"/>
            <w:id w:val="-939903723"/>
            <w:placeholder>
              <w:docPart w:val="CF3263F2061746CFA8EFFB14CB04C91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1D6AC6" w:rsidRPr="00C93CAA" w:rsidRDefault="001D6AC6" w:rsidP="009A1C86">
                <w:r w:rsidRPr="00E96D28">
                  <w:t>This document gathers relevant resolutions and actions taken at the 40th meeting of the Management Group of the ISO, IEC, ITU, UN/ECE memorandum of understanding (</w:t>
                </w:r>
                <w:proofErr w:type="spellStart"/>
                <w:r w:rsidRPr="00E96D28">
                  <w:t>MoU</w:t>
                </w:r>
                <w:proofErr w:type="spellEnd"/>
                <w:r w:rsidRPr="00E96D28">
                  <w:t>) on e-business, hosted by UN/CEFACT (Geneva, Switzerland), on 5 December 2018.</w:t>
                </w:r>
              </w:p>
            </w:tc>
          </w:sdtContent>
        </w:sdt>
      </w:tr>
    </w:tbl>
    <w:p w:rsidR="001D6AC6" w:rsidRDefault="001D6AC6" w:rsidP="00A80CC1">
      <w:pPr>
        <w:jc w:val="both"/>
        <w:rPr>
          <w:b/>
        </w:rPr>
      </w:pPr>
    </w:p>
    <w:p w:rsidR="003D2A59" w:rsidRPr="00205674" w:rsidRDefault="00D07C04" w:rsidP="003D2A59">
      <w:pPr>
        <w:pStyle w:val="Heading1"/>
        <w:rPr>
          <w:szCs w:val="24"/>
        </w:rPr>
      </w:pPr>
      <w:r w:rsidRPr="00205674">
        <w:rPr>
          <w:szCs w:val="24"/>
        </w:rPr>
        <w:t>Background</w:t>
      </w:r>
    </w:p>
    <w:p w:rsidR="003D2A59" w:rsidRPr="00205674" w:rsidRDefault="003D2A59" w:rsidP="003D2A59">
      <w:pPr>
        <w:tabs>
          <w:tab w:val="left" w:pos="7307"/>
          <w:tab w:val="right" w:pos="9639"/>
        </w:tabs>
        <w:jc w:val="both"/>
        <w:rPr>
          <w:bCs/>
          <w:szCs w:val="24"/>
        </w:rPr>
      </w:pPr>
      <w:r w:rsidRPr="00205674">
        <w:rPr>
          <w:bCs/>
          <w:szCs w:val="24"/>
        </w:rPr>
        <w:t xml:space="preserve">The purpose of the </w:t>
      </w:r>
      <w:proofErr w:type="spellStart"/>
      <w:r w:rsidRPr="00205674">
        <w:rPr>
          <w:szCs w:val="24"/>
        </w:rPr>
        <w:t>MoU</w:t>
      </w:r>
      <w:proofErr w:type="spellEnd"/>
      <w:r w:rsidRPr="00205674">
        <w:rPr>
          <w:szCs w:val="24"/>
        </w:rPr>
        <w:t xml:space="preserve"> on electronic business between IEC, ISO, ITU, and UN/ECE</w:t>
      </w:r>
      <w:r w:rsidRPr="00205674">
        <w:rPr>
          <w:bCs/>
          <w:szCs w:val="24"/>
        </w:rPr>
        <w:t xml:space="preserve"> is to minimize the risk of divergent and competitive approaches to standardization, avoid duplication of efforts and avoid confusion amongst users in the field of e-business.</w:t>
      </w:r>
    </w:p>
    <w:p w:rsidR="003D2A59" w:rsidRPr="00205674" w:rsidRDefault="003D2A59" w:rsidP="003D2A59">
      <w:pPr>
        <w:tabs>
          <w:tab w:val="left" w:pos="7307"/>
          <w:tab w:val="right" w:pos="9639"/>
        </w:tabs>
        <w:jc w:val="both"/>
        <w:rPr>
          <w:bCs/>
          <w:szCs w:val="24"/>
        </w:rPr>
      </w:pPr>
      <w:r w:rsidRPr="00205674">
        <w:rPr>
          <w:bCs/>
          <w:szCs w:val="24"/>
        </w:rPr>
        <w:t xml:space="preserve">The </w:t>
      </w:r>
      <w:proofErr w:type="spellStart"/>
      <w:r w:rsidRPr="00205674">
        <w:rPr>
          <w:bCs/>
          <w:szCs w:val="24"/>
        </w:rPr>
        <w:t>MoU</w:t>
      </w:r>
      <w:proofErr w:type="spellEnd"/>
      <w:r w:rsidRPr="00205674">
        <w:rPr>
          <w:bCs/>
          <w:szCs w:val="24"/>
        </w:rPr>
        <w:t xml:space="preserve"> establishes a coordination mechanism under a unique cooperative model to produce mutually supportive standards required in business transactions (data interchange and interoperability) as well as products design and manufacturing to meet the urgent needs of both the industry and the end-users. E</w:t>
      </w:r>
      <w:r w:rsidRPr="00205674">
        <w:rPr>
          <w:bCs/>
          <w:szCs w:val="24"/>
        </w:rPr>
        <w:noBreakHyphen/>
        <w:t>business covers the information definition and exchange requirements within and between enterprises, including customers.</w:t>
      </w:r>
    </w:p>
    <w:p w:rsidR="003D2A59" w:rsidRPr="00205674" w:rsidRDefault="003D2A59" w:rsidP="003D2A59">
      <w:pPr>
        <w:tabs>
          <w:tab w:val="left" w:pos="7307"/>
          <w:tab w:val="right" w:pos="9639"/>
        </w:tabs>
        <w:jc w:val="both"/>
        <w:rPr>
          <w:bCs/>
          <w:szCs w:val="24"/>
        </w:rPr>
      </w:pPr>
      <w:r w:rsidRPr="00205674">
        <w:rPr>
          <w:bCs/>
          <w:szCs w:val="24"/>
        </w:rPr>
        <w:t xml:space="preserve">Under the </w:t>
      </w:r>
      <w:proofErr w:type="spellStart"/>
      <w:r w:rsidRPr="00205674">
        <w:rPr>
          <w:bCs/>
          <w:szCs w:val="24"/>
        </w:rPr>
        <w:t>MoU</w:t>
      </w:r>
      <w:proofErr w:type="spellEnd"/>
      <w:r w:rsidRPr="00205674">
        <w:rPr>
          <w:bCs/>
          <w:szCs w:val="24"/>
        </w:rPr>
        <w:t>, the four organizations undertake to review their standardization activities and develop a joint, coordinated programme for standards development and publication which will benefit the marketplace.</w:t>
      </w:r>
    </w:p>
    <w:p w:rsidR="003D2A59" w:rsidRPr="00205674" w:rsidRDefault="003D2A59" w:rsidP="003D2A59">
      <w:pPr>
        <w:tabs>
          <w:tab w:val="left" w:pos="7307"/>
          <w:tab w:val="right" w:pos="9639"/>
        </w:tabs>
        <w:jc w:val="both"/>
        <w:rPr>
          <w:bCs/>
          <w:szCs w:val="24"/>
        </w:rPr>
      </w:pPr>
      <w:r w:rsidRPr="00205674">
        <w:rPr>
          <w:bCs/>
          <w:szCs w:val="24"/>
        </w:rPr>
        <w:t xml:space="preserve">The </w:t>
      </w:r>
      <w:proofErr w:type="spellStart"/>
      <w:r w:rsidRPr="00205674">
        <w:rPr>
          <w:bCs/>
          <w:szCs w:val="24"/>
        </w:rPr>
        <w:t>MoU</w:t>
      </w:r>
      <w:proofErr w:type="spellEnd"/>
      <w:r w:rsidRPr="00205674">
        <w:rPr>
          <w:bCs/>
          <w:szCs w:val="24"/>
        </w:rPr>
        <w:t xml:space="preserve"> is open to other international, regional, governmental, industry and consumer organizations whose core mission involves standards-setting.</w:t>
      </w:r>
    </w:p>
    <w:p w:rsidR="00805530" w:rsidRPr="00205674" w:rsidRDefault="00805530" w:rsidP="00A80CC1">
      <w:pPr>
        <w:jc w:val="both"/>
        <w:rPr>
          <w:szCs w:val="24"/>
        </w:rPr>
      </w:pPr>
      <w:r w:rsidRPr="00205674">
        <w:rPr>
          <w:szCs w:val="24"/>
        </w:rPr>
        <w:t>In agreement with the TSB Director</w:t>
      </w:r>
      <w:r w:rsidR="007476C9">
        <w:rPr>
          <w:szCs w:val="24"/>
        </w:rPr>
        <w:t xml:space="preserve">, Mr. Olivier </w:t>
      </w:r>
      <w:proofErr w:type="spellStart"/>
      <w:r w:rsidR="007476C9">
        <w:rPr>
          <w:szCs w:val="24"/>
        </w:rPr>
        <w:t>Dubuisson</w:t>
      </w:r>
      <w:proofErr w:type="spellEnd"/>
      <w:r w:rsidR="007476C9">
        <w:rPr>
          <w:szCs w:val="24"/>
        </w:rPr>
        <w:t xml:space="preserve"> (</w:t>
      </w:r>
      <w:r w:rsidRPr="00205674">
        <w:rPr>
          <w:szCs w:val="24"/>
        </w:rPr>
        <w:t xml:space="preserve">Orange, France) is the ITU-T representative at the </w:t>
      </w:r>
      <w:proofErr w:type="spellStart"/>
      <w:r w:rsidRPr="00205674">
        <w:rPr>
          <w:szCs w:val="24"/>
        </w:rPr>
        <w:t>MoU</w:t>
      </w:r>
      <w:proofErr w:type="spellEnd"/>
      <w:r w:rsidRPr="00205674">
        <w:rPr>
          <w:szCs w:val="24"/>
        </w:rPr>
        <w:t>/MG</w:t>
      </w:r>
      <w:r w:rsidR="00BE4406">
        <w:rPr>
          <w:szCs w:val="24"/>
        </w:rPr>
        <w:t xml:space="preserve"> together wi</w:t>
      </w:r>
      <w:r w:rsidR="00114AC4">
        <w:rPr>
          <w:szCs w:val="24"/>
        </w:rPr>
        <w:t>th Mr. Martin Euchner</w:t>
      </w:r>
      <w:r w:rsidR="00F7108A">
        <w:rPr>
          <w:szCs w:val="24"/>
        </w:rPr>
        <w:t xml:space="preserve"> (TSB)</w:t>
      </w:r>
      <w:r w:rsidRPr="00205674">
        <w:rPr>
          <w:szCs w:val="24"/>
        </w:rPr>
        <w:t>.</w:t>
      </w:r>
    </w:p>
    <w:p w:rsidR="003D2A59" w:rsidRPr="00205674" w:rsidRDefault="003D2A59" w:rsidP="00BE4406">
      <w:pPr>
        <w:tabs>
          <w:tab w:val="left" w:pos="7307"/>
          <w:tab w:val="right" w:pos="9639"/>
        </w:tabs>
        <w:ind w:left="709" w:hanging="709"/>
        <w:jc w:val="both"/>
        <w:rPr>
          <w:bCs/>
          <w:szCs w:val="24"/>
        </w:rPr>
      </w:pPr>
      <w:r w:rsidRPr="00205674">
        <w:rPr>
          <w:szCs w:val="24"/>
        </w:rPr>
        <w:t xml:space="preserve">More information at </w:t>
      </w:r>
      <w:hyperlink r:id="rId10" w:history="1">
        <w:r w:rsidR="00BE4406" w:rsidRPr="001B532F">
          <w:rPr>
            <w:rStyle w:val="Hyperlink"/>
            <w:bCs/>
            <w:szCs w:val="24"/>
          </w:rPr>
          <w:t>http://itu.int/ITU-T/e-business/mou/</w:t>
        </w:r>
      </w:hyperlink>
    </w:p>
    <w:p w:rsidR="003D2A59" w:rsidRDefault="00613B1F" w:rsidP="00F06122">
      <w:pPr>
        <w:pStyle w:val="Heading1"/>
        <w:keepLines w:val="0"/>
        <w:pageBreakBefore/>
        <w:rPr>
          <w:szCs w:val="24"/>
        </w:rPr>
      </w:pPr>
      <w:r>
        <w:rPr>
          <w:szCs w:val="24"/>
        </w:rPr>
        <w:lastRenderedPageBreak/>
        <w:t>Information</w:t>
      </w:r>
      <w:r w:rsidR="00D07C04" w:rsidRPr="00205674">
        <w:rPr>
          <w:szCs w:val="24"/>
        </w:rPr>
        <w:t xml:space="preserve"> of relevance to</w:t>
      </w:r>
      <w:r w:rsidR="00EC3465">
        <w:rPr>
          <w:szCs w:val="24"/>
        </w:rPr>
        <w:t xml:space="preserve"> </w:t>
      </w:r>
      <w:r w:rsidR="00675B2B">
        <w:rPr>
          <w:szCs w:val="24"/>
        </w:rPr>
        <w:t>TSAG</w:t>
      </w:r>
    </w:p>
    <w:p w:rsidR="00350DD5" w:rsidRPr="00350DD5" w:rsidRDefault="00350DD5" w:rsidP="00F740C2">
      <w:pPr>
        <w:spacing w:before="0"/>
      </w:pPr>
    </w:p>
    <w:tbl>
      <w:tblPr>
        <w:tblStyle w:val="TableGrid"/>
        <w:tblW w:w="0" w:type="auto"/>
        <w:tblLook w:val="04A0" w:firstRow="1" w:lastRow="0" w:firstColumn="1" w:lastColumn="0" w:noHBand="0" w:noVBand="1"/>
      </w:tblPr>
      <w:tblGrid>
        <w:gridCol w:w="9629"/>
      </w:tblGrid>
      <w:tr w:rsidR="00350DD5" w:rsidTr="00350DD5">
        <w:tc>
          <w:tcPr>
            <w:tcW w:w="9855" w:type="dxa"/>
          </w:tcPr>
          <w:p w:rsidR="00350DD5" w:rsidRDefault="00350DD5" w:rsidP="00350DD5">
            <w:pPr>
              <w:spacing w:before="0"/>
              <w:rPr>
                <w:rFonts w:asciiTheme="majorBidi" w:hAnsiTheme="majorBidi" w:cstheme="majorBidi"/>
                <w:b/>
                <w:bCs/>
                <w:i/>
                <w:iCs/>
                <w:szCs w:val="24"/>
                <w:u w:val="single"/>
              </w:rPr>
            </w:pPr>
            <w:r>
              <w:rPr>
                <w:rFonts w:asciiTheme="majorBidi" w:hAnsiTheme="majorBidi" w:cstheme="majorBidi"/>
                <w:b/>
                <w:bCs/>
                <w:i/>
                <w:iCs/>
                <w:szCs w:val="24"/>
                <w:u w:val="single"/>
              </w:rPr>
              <w:t>Resolution 18/01</w:t>
            </w:r>
          </w:p>
          <w:p w:rsidR="00350DD5" w:rsidRDefault="00350DD5" w:rsidP="00350DD5">
            <w:pPr>
              <w:pStyle w:val="NormalWeb"/>
              <w:spacing w:before="120" w:beforeAutospacing="0" w:after="0" w:afterAutospacing="0"/>
            </w:pPr>
            <w:r>
              <w:t xml:space="preserve">Given the fact that due to the high number of persons with disabilities (about 1 </w:t>
            </w:r>
            <w:proofErr w:type="spellStart"/>
            <w:r>
              <w:t>bn</w:t>
            </w:r>
            <w:proofErr w:type="spellEnd"/>
            <w:r>
              <w:t xml:space="preserve"> today) and its forecasted further increase in the course of aging societies, standards on </w:t>
            </w:r>
            <w:proofErr w:type="spellStart"/>
            <w:r w:rsidRPr="00F740C2">
              <w:rPr>
                <w:b/>
              </w:rPr>
              <w:t>eAccessibility</w:t>
            </w:r>
            <w:proofErr w:type="spellEnd"/>
            <w:r w:rsidRPr="00F740C2">
              <w:rPr>
                <w:b/>
              </w:rPr>
              <w:t xml:space="preserve"> and </w:t>
            </w:r>
            <w:proofErr w:type="spellStart"/>
            <w:r w:rsidRPr="00F740C2">
              <w:rPr>
                <w:b/>
              </w:rPr>
              <w:t>eInclusion</w:t>
            </w:r>
            <w:proofErr w:type="spellEnd"/>
            <w:r>
              <w:t xml:space="preserve"> (and the respective standardization activities) figure high on the political agenda and in legislation world-wide. Increasingly laws refer to accessibility standards which are thus becoming part of the law. Thus these standards have an impact on more or less all societal aspects in general, and broadly on industry and trade – especially in conjunction with public procurement – in particular. This also implies that the aspect of </w:t>
            </w:r>
            <w:proofErr w:type="spellStart"/>
            <w:r>
              <w:t>eAccessibility</w:t>
            </w:r>
            <w:proofErr w:type="spellEnd"/>
            <w:r>
              <w:t xml:space="preserve"> and </w:t>
            </w:r>
            <w:proofErr w:type="spellStart"/>
            <w:r>
              <w:t>eInclusion</w:t>
            </w:r>
            <w:proofErr w:type="spellEnd"/>
            <w:r>
              <w:t xml:space="preserve"> necessarily needs to be considered in the standardization activities in more or less all technical committees.</w:t>
            </w:r>
          </w:p>
          <w:p w:rsidR="00350DD5" w:rsidRDefault="00350DD5" w:rsidP="00350DD5">
            <w:pPr>
              <w:pStyle w:val="NormalWeb"/>
              <w:spacing w:before="120" w:beforeAutospacing="0" w:after="0" w:afterAutospacing="0"/>
            </w:pPr>
            <w:r>
              <w:t xml:space="preserve">Therefore, the </w:t>
            </w:r>
            <w:proofErr w:type="spellStart"/>
            <w:r>
              <w:t>MoU</w:t>
            </w:r>
            <w:proofErr w:type="spellEnd"/>
            <w:r>
              <w:t>/MG resolves</w:t>
            </w:r>
            <w:r w:rsidR="00B370A6">
              <w:t>:</w:t>
            </w:r>
          </w:p>
          <w:p w:rsidR="00350DD5" w:rsidRPr="009F2ACF" w:rsidRDefault="00350DD5" w:rsidP="00350DD5">
            <w:pPr>
              <w:numPr>
                <w:ilvl w:val="0"/>
                <w:numId w:val="14"/>
              </w:numPr>
              <w:tabs>
                <w:tab w:val="clear" w:pos="794"/>
                <w:tab w:val="clear" w:pos="1191"/>
                <w:tab w:val="clear" w:pos="1588"/>
                <w:tab w:val="clear" w:pos="1985"/>
              </w:tabs>
              <w:overflowPunct/>
              <w:autoSpaceDE/>
              <w:autoSpaceDN/>
              <w:adjustRightInd/>
              <w:ind w:left="714" w:hanging="357"/>
              <w:textAlignment w:val="auto"/>
              <w:rPr>
                <w:szCs w:val="24"/>
              </w:rPr>
            </w:pPr>
            <w:r w:rsidRPr="009F2ACF">
              <w:rPr>
                <w:szCs w:val="24"/>
              </w:rPr>
              <w:t xml:space="preserve">to take up the topic of </w:t>
            </w:r>
            <w:proofErr w:type="spellStart"/>
            <w:r w:rsidRPr="009F2ACF">
              <w:rPr>
                <w:szCs w:val="24"/>
              </w:rPr>
              <w:t>eAccessibility</w:t>
            </w:r>
            <w:proofErr w:type="spellEnd"/>
            <w:r w:rsidRPr="009F2ACF">
              <w:rPr>
                <w:szCs w:val="24"/>
              </w:rPr>
              <w:t xml:space="preserve"> and </w:t>
            </w:r>
            <w:proofErr w:type="spellStart"/>
            <w:r w:rsidRPr="009F2ACF">
              <w:rPr>
                <w:szCs w:val="24"/>
              </w:rPr>
              <w:t>eInclusion</w:t>
            </w:r>
            <w:proofErr w:type="spellEnd"/>
            <w:r>
              <w:rPr>
                <w:szCs w:val="24"/>
              </w:rPr>
              <w:t>, including the aspects of e-procurement and electronic invoicing</w:t>
            </w:r>
            <w:r w:rsidRPr="009F2ACF">
              <w:rPr>
                <w:szCs w:val="24"/>
              </w:rPr>
              <w:t xml:space="preserve"> as a theme that needs coordination</w:t>
            </w:r>
            <w:r>
              <w:rPr>
                <w:szCs w:val="24"/>
              </w:rPr>
              <w:t>;</w:t>
            </w:r>
          </w:p>
          <w:p w:rsidR="00350DD5" w:rsidRDefault="00350DD5" w:rsidP="00350DD5">
            <w:pPr>
              <w:numPr>
                <w:ilvl w:val="0"/>
                <w:numId w:val="14"/>
              </w:numPr>
              <w:tabs>
                <w:tab w:val="clear" w:pos="794"/>
                <w:tab w:val="clear" w:pos="1191"/>
                <w:tab w:val="clear" w:pos="1588"/>
                <w:tab w:val="clear" w:pos="1985"/>
              </w:tabs>
              <w:overflowPunct/>
              <w:autoSpaceDE/>
              <w:autoSpaceDN/>
              <w:adjustRightInd/>
              <w:ind w:left="714" w:hanging="357"/>
              <w:textAlignment w:val="auto"/>
              <w:rPr>
                <w:szCs w:val="24"/>
              </w:rPr>
            </w:pPr>
            <w:r w:rsidRPr="009F2ACF">
              <w:rPr>
                <w:szCs w:val="24"/>
              </w:rPr>
              <w:t xml:space="preserve">to endorse Recommendation 2016 </w:t>
            </w:r>
            <w:r>
              <w:rPr>
                <w:szCs w:val="24"/>
              </w:rPr>
              <w:t xml:space="preserve">[see Annex A to this TD] </w:t>
            </w:r>
            <w:r w:rsidRPr="009F2ACF">
              <w:rPr>
                <w:szCs w:val="24"/>
              </w:rPr>
              <w:t xml:space="preserve">concerning standards on </w:t>
            </w:r>
            <w:proofErr w:type="spellStart"/>
            <w:r w:rsidRPr="009F2ACF">
              <w:rPr>
                <w:szCs w:val="24"/>
              </w:rPr>
              <w:t>eAccessibility</w:t>
            </w:r>
            <w:proofErr w:type="spellEnd"/>
            <w:r w:rsidRPr="009F2ACF">
              <w:rPr>
                <w:szCs w:val="24"/>
              </w:rPr>
              <w:t xml:space="preserve"> and </w:t>
            </w:r>
            <w:proofErr w:type="spellStart"/>
            <w:r w:rsidRPr="009F2ACF">
              <w:rPr>
                <w:szCs w:val="24"/>
              </w:rPr>
              <w:t>eInclusion</w:t>
            </w:r>
            <w:proofErr w:type="spellEnd"/>
            <w:r>
              <w:rPr>
                <w:szCs w:val="24"/>
              </w:rPr>
              <w:t>;</w:t>
            </w:r>
          </w:p>
          <w:p w:rsidR="00350DD5" w:rsidRDefault="00350DD5" w:rsidP="00350DD5">
            <w:pPr>
              <w:numPr>
                <w:ilvl w:val="0"/>
                <w:numId w:val="14"/>
              </w:numPr>
              <w:tabs>
                <w:tab w:val="clear" w:pos="794"/>
                <w:tab w:val="clear" w:pos="1191"/>
                <w:tab w:val="clear" w:pos="1588"/>
                <w:tab w:val="clear" w:pos="1985"/>
              </w:tabs>
              <w:overflowPunct/>
              <w:autoSpaceDE/>
              <w:autoSpaceDN/>
              <w:adjustRightInd/>
              <w:ind w:left="714" w:hanging="357"/>
              <w:textAlignment w:val="auto"/>
              <w:rPr>
                <w:rFonts w:asciiTheme="majorBidi" w:hAnsiTheme="majorBidi" w:cstheme="majorBidi"/>
                <w:b/>
                <w:bCs/>
                <w:iCs/>
                <w:szCs w:val="24"/>
                <w:u w:val="single"/>
              </w:rPr>
            </w:pPr>
            <w:r w:rsidRPr="009F2ACF">
              <w:rPr>
                <w:szCs w:val="24"/>
              </w:rPr>
              <w:t xml:space="preserve">to consider an online webinar or similar for the </w:t>
            </w:r>
            <w:proofErr w:type="spellStart"/>
            <w:r w:rsidRPr="009F2ACF">
              <w:rPr>
                <w:szCs w:val="24"/>
              </w:rPr>
              <w:t>MoU</w:t>
            </w:r>
            <w:proofErr w:type="spellEnd"/>
            <w:r w:rsidRPr="009F2ACF">
              <w:rPr>
                <w:szCs w:val="24"/>
              </w:rPr>
              <w:t xml:space="preserve">/MG to discuss the impact of </w:t>
            </w:r>
            <w:proofErr w:type="spellStart"/>
            <w:r w:rsidRPr="009F2ACF">
              <w:rPr>
                <w:szCs w:val="24"/>
              </w:rPr>
              <w:t>eAccessibilty</w:t>
            </w:r>
            <w:proofErr w:type="spellEnd"/>
            <w:r w:rsidRPr="009F2ACF">
              <w:rPr>
                <w:szCs w:val="24"/>
              </w:rPr>
              <w:t xml:space="preserve"> and </w:t>
            </w:r>
            <w:proofErr w:type="spellStart"/>
            <w:r w:rsidRPr="009F2ACF">
              <w:rPr>
                <w:szCs w:val="24"/>
              </w:rPr>
              <w:t>eInclusion</w:t>
            </w:r>
            <w:proofErr w:type="spellEnd"/>
            <w:r w:rsidRPr="009F2ACF">
              <w:rPr>
                <w:szCs w:val="24"/>
              </w:rPr>
              <w:t xml:space="preserve"> on all stakeholders, organizations involved and technical committees represented.</w:t>
            </w:r>
          </w:p>
        </w:tc>
      </w:tr>
    </w:tbl>
    <w:p w:rsidR="00350DD5" w:rsidRPr="00B370A6" w:rsidRDefault="00803438" w:rsidP="00350DD5">
      <w:pPr>
        <w:spacing w:before="0"/>
        <w:rPr>
          <w:rFonts w:asciiTheme="majorBidi" w:hAnsiTheme="majorBidi" w:cstheme="majorBidi"/>
          <w:bCs/>
          <w:iCs/>
          <w:szCs w:val="24"/>
        </w:rPr>
      </w:pPr>
      <w:r w:rsidRPr="00B370A6">
        <w:rPr>
          <w:rFonts w:asciiTheme="majorBidi" w:hAnsiTheme="majorBidi" w:cstheme="majorBidi"/>
          <w:b/>
          <w:bCs/>
          <w:i/>
          <w:iCs/>
          <w:szCs w:val="24"/>
        </w:rPr>
        <w:t>Proposed action</w:t>
      </w:r>
      <w:r w:rsidRPr="00B370A6">
        <w:rPr>
          <w:rFonts w:asciiTheme="majorBidi" w:hAnsiTheme="majorBidi" w:cstheme="majorBidi"/>
          <w:b/>
          <w:bCs/>
          <w:iCs/>
          <w:szCs w:val="24"/>
        </w:rPr>
        <w:t xml:space="preserve">: </w:t>
      </w:r>
      <w:r w:rsidR="00162D29">
        <w:rPr>
          <w:rFonts w:asciiTheme="majorBidi" w:hAnsiTheme="majorBidi" w:cstheme="majorBidi"/>
          <w:bCs/>
          <w:iCs/>
          <w:szCs w:val="24"/>
        </w:rPr>
        <w:t>ITU-T J</w:t>
      </w:r>
      <w:r w:rsidR="005819ED">
        <w:rPr>
          <w:rFonts w:asciiTheme="majorBidi" w:hAnsiTheme="majorBidi" w:cstheme="majorBidi"/>
          <w:bCs/>
          <w:iCs/>
          <w:szCs w:val="24"/>
        </w:rPr>
        <w:t>C</w:t>
      </w:r>
      <w:r w:rsidR="00162D29">
        <w:rPr>
          <w:rFonts w:asciiTheme="majorBidi" w:hAnsiTheme="majorBidi" w:cstheme="majorBidi"/>
          <w:bCs/>
          <w:iCs/>
          <w:szCs w:val="24"/>
        </w:rPr>
        <w:t>A</w:t>
      </w:r>
      <w:r w:rsidR="005819ED">
        <w:rPr>
          <w:rFonts w:asciiTheme="majorBidi" w:hAnsiTheme="majorBidi" w:cstheme="majorBidi"/>
          <w:bCs/>
          <w:iCs/>
          <w:szCs w:val="24"/>
        </w:rPr>
        <w:t xml:space="preserve">-AHF </w:t>
      </w:r>
      <w:r w:rsidR="00B370A6">
        <w:rPr>
          <w:rFonts w:asciiTheme="majorBidi" w:hAnsiTheme="majorBidi" w:cstheme="majorBidi"/>
          <w:bCs/>
          <w:iCs/>
          <w:szCs w:val="24"/>
        </w:rPr>
        <w:t>to take appropriate measures.</w:t>
      </w:r>
    </w:p>
    <w:p w:rsidR="00803438" w:rsidRDefault="00803438" w:rsidP="00350DD5">
      <w:pPr>
        <w:spacing w:before="0"/>
        <w:rPr>
          <w:rFonts w:asciiTheme="majorBidi" w:hAnsiTheme="majorBidi" w:cstheme="majorBidi"/>
          <w:b/>
          <w:bCs/>
          <w:iCs/>
          <w:szCs w:val="24"/>
          <w:u w:val="single"/>
        </w:rPr>
      </w:pPr>
    </w:p>
    <w:tbl>
      <w:tblPr>
        <w:tblStyle w:val="TableGrid"/>
        <w:tblW w:w="0" w:type="auto"/>
        <w:tblLook w:val="04A0" w:firstRow="1" w:lastRow="0" w:firstColumn="1" w:lastColumn="0" w:noHBand="0" w:noVBand="1"/>
      </w:tblPr>
      <w:tblGrid>
        <w:gridCol w:w="9629"/>
      </w:tblGrid>
      <w:tr w:rsidR="00350DD5" w:rsidTr="00350DD5">
        <w:tc>
          <w:tcPr>
            <w:tcW w:w="9855" w:type="dxa"/>
          </w:tcPr>
          <w:p w:rsidR="00350DD5" w:rsidRDefault="00350DD5" w:rsidP="00350DD5">
            <w:pPr>
              <w:spacing w:before="0" w:after="120"/>
              <w:rPr>
                <w:rFonts w:asciiTheme="majorBidi" w:hAnsiTheme="majorBidi" w:cstheme="majorBidi"/>
                <w:b/>
                <w:bCs/>
                <w:i/>
                <w:iCs/>
                <w:szCs w:val="24"/>
                <w:u w:val="single"/>
              </w:rPr>
            </w:pPr>
            <w:r>
              <w:rPr>
                <w:rFonts w:asciiTheme="majorBidi" w:hAnsiTheme="majorBidi" w:cstheme="majorBidi"/>
                <w:b/>
                <w:bCs/>
                <w:i/>
                <w:iCs/>
                <w:szCs w:val="24"/>
                <w:u w:val="single"/>
              </w:rPr>
              <w:t>Resolution 18/04</w:t>
            </w:r>
          </w:p>
          <w:p w:rsidR="00350DD5" w:rsidRDefault="00350DD5" w:rsidP="00350DD5">
            <w:pPr>
              <w:spacing w:before="0"/>
              <w:rPr>
                <w:rFonts w:asciiTheme="majorBidi" w:hAnsiTheme="majorBidi" w:cstheme="majorBidi"/>
                <w:b/>
                <w:bCs/>
                <w:iCs/>
                <w:szCs w:val="24"/>
                <w:u w:val="single"/>
              </w:rPr>
            </w:pPr>
            <w:proofErr w:type="spellStart"/>
            <w:r>
              <w:rPr>
                <w:rFonts w:asciiTheme="majorBidi" w:hAnsiTheme="majorBidi" w:cstheme="majorBidi"/>
                <w:szCs w:val="24"/>
              </w:rPr>
              <w:t>MoU</w:t>
            </w:r>
            <w:proofErr w:type="spellEnd"/>
            <w:r>
              <w:rPr>
                <w:rFonts w:asciiTheme="majorBidi" w:hAnsiTheme="majorBidi" w:cstheme="majorBidi"/>
                <w:szCs w:val="24"/>
              </w:rPr>
              <w:t xml:space="preserve">/MG encourages its members to reference in their standards the revised ISO 8601 series of standards on </w:t>
            </w:r>
            <w:r w:rsidRPr="00F740C2">
              <w:rPr>
                <w:rFonts w:asciiTheme="majorBidi" w:hAnsiTheme="majorBidi" w:cstheme="majorBidi"/>
                <w:b/>
                <w:szCs w:val="24"/>
              </w:rPr>
              <w:t>date and time</w:t>
            </w:r>
            <w:r>
              <w:rPr>
                <w:rFonts w:asciiTheme="majorBidi" w:hAnsiTheme="majorBidi" w:cstheme="majorBidi"/>
                <w:szCs w:val="24"/>
              </w:rPr>
              <w:t>.</w:t>
            </w:r>
          </w:p>
        </w:tc>
      </w:tr>
    </w:tbl>
    <w:p w:rsidR="00B370A6" w:rsidRPr="00B370A6" w:rsidRDefault="00B370A6" w:rsidP="00B370A6">
      <w:pPr>
        <w:spacing w:before="0"/>
        <w:rPr>
          <w:rFonts w:asciiTheme="majorBidi" w:hAnsiTheme="majorBidi" w:cstheme="majorBidi"/>
          <w:bCs/>
          <w:iCs/>
          <w:szCs w:val="24"/>
        </w:rPr>
      </w:pPr>
      <w:r w:rsidRPr="00B370A6">
        <w:rPr>
          <w:rFonts w:asciiTheme="majorBidi" w:hAnsiTheme="majorBidi" w:cstheme="majorBidi"/>
          <w:b/>
          <w:bCs/>
          <w:i/>
          <w:iCs/>
          <w:szCs w:val="24"/>
        </w:rPr>
        <w:t>Proposed action</w:t>
      </w:r>
      <w:r w:rsidRPr="00B370A6">
        <w:rPr>
          <w:rFonts w:asciiTheme="majorBidi" w:hAnsiTheme="majorBidi" w:cstheme="majorBidi"/>
          <w:b/>
          <w:bCs/>
          <w:iCs/>
          <w:szCs w:val="24"/>
        </w:rPr>
        <w:t xml:space="preserve">: </w:t>
      </w:r>
      <w:r>
        <w:rPr>
          <w:rFonts w:asciiTheme="majorBidi" w:hAnsiTheme="majorBidi" w:cstheme="majorBidi"/>
          <w:bCs/>
          <w:iCs/>
          <w:szCs w:val="24"/>
        </w:rPr>
        <w:t>Study groups to note.</w:t>
      </w:r>
    </w:p>
    <w:p w:rsidR="00350DD5" w:rsidRPr="00F740C2" w:rsidRDefault="00350DD5" w:rsidP="00F740C2">
      <w:pPr>
        <w:spacing w:before="0"/>
      </w:pPr>
    </w:p>
    <w:tbl>
      <w:tblPr>
        <w:tblStyle w:val="TableGrid"/>
        <w:tblW w:w="0" w:type="auto"/>
        <w:tblLook w:val="04A0" w:firstRow="1" w:lastRow="0" w:firstColumn="1" w:lastColumn="0" w:noHBand="0" w:noVBand="1"/>
      </w:tblPr>
      <w:tblGrid>
        <w:gridCol w:w="9629"/>
      </w:tblGrid>
      <w:tr w:rsidR="00F740C2" w:rsidTr="00F740C2">
        <w:tc>
          <w:tcPr>
            <w:tcW w:w="9855" w:type="dxa"/>
          </w:tcPr>
          <w:p w:rsidR="00F740C2" w:rsidRPr="00F740C2" w:rsidRDefault="00F740C2" w:rsidP="00F740C2">
            <w:pPr>
              <w:spacing w:before="0" w:after="120"/>
              <w:rPr>
                <w:rFonts w:asciiTheme="majorBidi" w:hAnsiTheme="majorBidi" w:cstheme="majorBidi"/>
                <w:b/>
                <w:bCs/>
                <w:i/>
                <w:iCs/>
                <w:szCs w:val="24"/>
                <w:u w:val="single"/>
              </w:rPr>
            </w:pPr>
            <w:r w:rsidRPr="00F740C2">
              <w:rPr>
                <w:rFonts w:asciiTheme="majorBidi" w:hAnsiTheme="majorBidi" w:cstheme="majorBidi"/>
                <w:b/>
                <w:bCs/>
                <w:i/>
                <w:iCs/>
                <w:szCs w:val="24"/>
                <w:u w:val="single"/>
              </w:rPr>
              <w:t>Action</w:t>
            </w:r>
            <w:r>
              <w:rPr>
                <w:b/>
                <w:szCs w:val="24"/>
                <w:u w:val="single"/>
              </w:rPr>
              <w:t xml:space="preserve"> </w:t>
            </w:r>
            <w:r w:rsidRPr="00F740C2">
              <w:rPr>
                <w:rFonts w:asciiTheme="majorBidi" w:hAnsiTheme="majorBidi" w:cstheme="majorBidi"/>
                <w:b/>
                <w:bCs/>
                <w:i/>
                <w:iCs/>
                <w:szCs w:val="24"/>
                <w:u w:val="single"/>
              </w:rPr>
              <w:t>18/01</w:t>
            </w:r>
          </w:p>
          <w:p w:rsidR="00F740C2" w:rsidRPr="00F740C2" w:rsidRDefault="00F740C2" w:rsidP="00350DD5">
            <w:pPr>
              <w:rPr>
                <w:bCs/>
                <w:szCs w:val="24"/>
              </w:rPr>
            </w:pPr>
            <w:proofErr w:type="spellStart"/>
            <w:r>
              <w:rPr>
                <w:bCs/>
                <w:szCs w:val="24"/>
              </w:rPr>
              <w:t>MoU</w:t>
            </w:r>
            <w:proofErr w:type="spellEnd"/>
            <w:r>
              <w:rPr>
                <w:bCs/>
                <w:szCs w:val="24"/>
              </w:rPr>
              <w:t xml:space="preserve">/MG invites its members to provide inputs to the next </w:t>
            </w:r>
            <w:proofErr w:type="spellStart"/>
            <w:r>
              <w:rPr>
                <w:bCs/>
                <w:szCs w:val="24"/>
              </w:rPr>
              <w:t>MoU</w:t>
            </w:r>
            <w:proofErr w:type="spellEnd"/>
            <w:r>
              <w:rPr>
                <w:bCs/>
                <w:szCs w:val="24"/>
              </w:rPr>
              <w:t xml:space="preserve">/MG meeting [4 Dec 2019] on the subject of </w:t>
            </w:r>
            <w:r w:rsidRPr="00F740C2">
              <w:rPr>
                <w:b/>
                <w:bCs/>
                <w:szCs w:val="24"/>
              </w:rPr>
              <w:t>quantum computing</w:t>
            </w:r>
            <w:r>
              <w:rPr>
                <w:bCs/>
                <w:szCs w:val="24"/>
              </w:rPr>
              <w:t xml:space="preserve"> in the scope of electronic business.</w:t>
            </w:r>
          </w:p>
        </w:tc>
      </w:tr>
    </w:tbl>
    <w:p w:rsidR="00B370A6" w:rsidRPr="00B370A6" w:rsidRDefault="00B370A6" w:rsidP="00B370A6">
      <w:pPr>
        <w:spacing w:before="0"/>
        <w:rPr>
          <w:rFonts w:asciiTheme="majorBidi" w:hAnsiTheme="majorBidi" w:cstheme="majorBidi"/>
          <w:bCs/>
          <w:iCs/>
          <w:szCs w:val="24"/>
        </w:rPr>
      </w:pPr>
      <w:r w:rsidRPr="00B370A6">
        <w:rPr>
          <w:rFonts w:asciiTheme="majorBidi" w:hAnsiTheme="majorBidi" w:cstheme="majorBidi"/>
          <w:b/>
          <w:bCs/>
          <w:i/>
          <w:iCs/>
          <w:szCs w:val="24"/>
        </w:rPr>
        <w:t>Proposed action</w:t>
      </w:r>
      <w:r w:rsidRPr="00B370A6">
        <w:rPr>
          <w:rFonts w:asciiTheme="majorBidi" w:hAnsiTheme="majorBidi" w:cstheme="majorBidi"/>
          <w:b/>
          <w:bCs/>
          <w:iCs/>
          <w:szCs w:val="24"/>
        </w:rPr>
        <w:t xml:space="preserve">: </w:t>
      </w:r>
      <w:r>
        <w:rPr>
          <w:rFonts w:asciiTheme="majorBidi" w:hAnsiTheme="majorBidi" w:cstheme="majorBidi"/>
          <w:bCs/>
          <w:iCs/>
          <w:szCs w:val="24"/>
        </w:rPr>
        <w:t xml:space="preserve">SG13 and SG17, in particular, to inform the ITU-T representative to the </w:t>
      </w:r>
      <w:proofErr w:type="spellStart"/>
      <w:r>
        <w:rPr>
          <w:rFonts w:asciiTheme="majorBidi" w:hAnsiTheme="majorBidi" w:cstheme="majorBidi"/>
          <w:bCs/>
          <w:iCs/>
          <w:szCs w:val="24"/>
        </w:rPr>
        <w:t>MoU</w:t>
      </w:r>
      <w:proofErr w:type="spellEnd"/>
      <w:r>
        <w:rPr>
          <w:rFonts w:asciiTheme="majorBidi" w:hAnsiTheme="majorBidi" w:cstheme="majorBidi"/>
          <w:bCs/>
          <w:iCs/>
          <w:szCs w:val="24"/>
        </w:rPr>
        <w:t>/MG on e-business in due course.</w:t>
      </w:r>
    </w:p>
    <w:p w:rsidR="00F740C2" w:rsidRPr="00F740C2" w:rsidRDefault="00F740C2" w:rsidP="00F740C2">
      <w:pPr>
        <w:spacing w:before="0"/>
      </w:pPr>
    </w:p>
    <w:tbl>
      <w:tblPr>
        <w:tblStyle w:val="TableGrid"/>
        <w:tblW w:w="0" w:type="auto"/>
        <w:tblLook w:val="04A0" w:firstRow="1" w:lastRow="0" w:firstColumn="1" w:lastColumn="0" w:noHBand="0" w:noVBand="1"/>
      </w:tblPr>
      <w:tblGrid>
        <w:gridCol w:w="9629"/>
      </w:tblGrid>
      <w:tr w:rsidR="00F740C2" w:rsidTr="00F740C2">
        <w:tc>
          <w:tcPr>
            <w:tcW w:w="9855" w:type="dxa"/>
          </w:tcPr>
          <w:p w:rsidR="00F740C2" w:rsidRPr="00F740C2" w:rsidRDefault="00F740C2" w:rsidP="00F740C2">
            <w:pPr>
              <w:spacing w:before="0" w:after="120"/>
              <w:rPr>
                <w:rFonts w:asciiTheme="majorBidi" w:hAnsiTheme="majorBidi" w:cstheme="majorBidi"/>
                <w:b/>
                <w:bCs/>
                <w:i/>
                <w:iCs/>
                <w:szCs w:val="24"/>
                <w:u w:val="single"/>
              </w:rPr>
            </w:pPr>
            <w:r w:rsidRPr="00F740C2">
              <w:rPr>
                <w:rFonts w:asciiTheme="majorBidi" w:hAnsiTheme="majorBidi" w:cstheme="majorBidi"/>
                <w:b/>
                <w:bCs/>
                <w:i/>
                <w:iCs/>
                <w:szCs w:val="24"/>
                <w:u w:val="single"/>
              </w:rPr>
              <w:t>Action</w:t>
            </w:r>
            <w:r>
              <w:rPr>
                <w:b/>
                <w:szCs w:val="24"/>
                <w:u w:val="single"/>
              </w:rPr>
              <w:t xml:space="preserve"> </w:t>
            </w:r>
            <w:r w:rsidRPr="00F740C2">
              <w:rPr>
                <w:rFonts w:asciiTheme="majorBidi" w:hAnsiTheme="majorBidi" w:cstheme="majorBidi"/>
                <w:b/>
                <w:bCs/>
                <w:i/>
                <w:iCs/>
                <w:szCs w:val="24"/>
                <w:u w:val="single"/>
              </w:rPr>
              <w:t>18/02</w:t>
            </w:r>
          </w:p>
          <w:p w:rsidR="00F740C2" w:rsidRPr="00F740C2" w:rsidRDefault="00F740C2" w:rsidP="00350DD5">
            <w:pPr>
              <w:rPr>
                <w:bCs/>
                <w:szCs w:val="24"/>
              </w:rPr>
            </w:pPr>
            <w:proofErr w:type="spellStart"/>
            <w:r>
              <w:rPr>
                <w:bCs/>
                <w:szCs w:val="24"/>
              </w:rPr>
              <w:t>MoU</w:t>
            </w:r>
            <w:proofErr w:type="spellEnd"/>
            <w:r>
              <w:rPr>
                <w:bCs/>
                <w:szCs w:val="24"/>
              </w:rPr>
              <w:t xml:space="preserve">/MG invites its members to provide inputs to the next </w:t>
            </w:r>
            <w:proofErr w:type="spellStart"/>
            <w:r>
              <w:rPr>
                <w:bCs/>
                <w:szCs w:val="24"/>
              </w:rPr>
              <w:t>MoU</w:t>
            </w:r>
            <w:proofErr w:type="spellEnd"/>
            <w:r>
              <w:rPr>
                <w:bCs/>
                <w:szCs w:val="24"/>
              </w:rPr>
              <w:t xml:space="preserve">/MG meeting [4 Dec 2019] on the subject of </w:t>
            </w:r>
            <w:r w:rsidRPr="00F740C2">
              <w:rPr>
                <w:b/>
                <w:bCs/>
                <w:szCs w:val="24"/>
              </w:rPr>
              <w:t>smart manufacturing</w:t>
            </w:r>
            <w:r>
              <w:rPr>
                <w:bCs/>
                <w:szCs w:val="24"/>
              </w:rPr>
              <w:t xml:space="preserve"> in the scope of electronic business.</w:t>
            </w:r>
          </w:p>
        </w:tc>
      </w:tr>
    </w:tbl>
    <w:p w:rsidR="00B370A6" w:rsidRPr="00B370A6" w:rsidRDefault="00B370A6" w:rsidP="00B370A6">
      <w:pPr>
        <w:spacing w:before="0"/>
        <w:rPr>
          <w:rFonts w:asciiTheme="majorBidi" w:hAnsiTheme="majorBidi" w:cstheme="majorBidi"/>
          <w:bCs/>
          <w:iCs/>
          <w:szCs w:val="24"/>
        </w:rPr>
      </w:pPr>
      <w:r w:rsidRPr="00B370A6">
        <w:rPr>
          <w:rFonts w:asciiTheme="majorBidi" w:hAnsiTheme="majorBidi" w:cstheme="majorBidi"/>
          <w:b/>
          <w:bCs/>
          <w:i/>
          <w:iCs/>
          <w:szCs w:val="24"/>
        </w:rPr>
        <w:t>Proposed action</w:t>
      </w:r>
      <w:r w:rsidRPr="00B370A6">
        <w:rPr>
          <w:rFonts w:asciiTheme="majorBidi" w:hAnsiTheme="majorBidi" w:cstheme="majorBidi"/>
          <w:b/>
          <w:bCs/>
          <w:iCs/>
          <w:szCs w:val="24"/>
        </w:rPr>
        <w:t xml:space="preserve">: </w:t>
      </w:r>
      <w:r>
        <w:rPr>
          <w:rFonts w:asciiTheme="majorBidi" w:hAnsiTheme="majorBidi" w:cstheme="majorBidi"/>
          <w:bCs/>
          <w:iCs/>
          <w:szCs w:val="24"/>
        </w:rPr>
        <w:t xml:space="preserve">SG20, in particular, to inform the ITU-T representative to the </w:t>
      </w:r>
      <w:proofErr w:type="spellStart"/>
      <w:r>
        <w:rPr>
          <w:rFonts w:asciiTheme="majorBidi" w:hAnsiTheme="majorBidi" w:cstheme="majorBidi"/>
          <w:bCs/>
          <w:iCs/>
          <w:szCs w:val="24"/>
        </w:rPr>
        <w:t>MoU</w:t>
      </w:r>
      <w:proofErr w:type="spellEnd"/>
      <w:r>
        <w:rPr>
          <w:rFonts w:asciiTheme="majorBidi" w:hAnsiTheme="majorBidi" w:cstheme="majorBidi"/>
          <w:bCs/>
          <w:iCs/>
          <w:szCs w:val="24"/>
        </w:rPr>
        <w:t>/MG on e-business if appropriate.</w:t>
      </w:r>
    </w:p>
    <w:p w:rsidR="00350DD5" w:rsidRPr="00350DD5" w:rsidRDefault="00350DD5" w:rsidP="00350DD5">
      <w:pPr>
        <w:pageBreakBefore/>
        <w:spacing w:line="276" w:lineRule="auto"/>
        <w:ind w:right="-289"/>
        <w:jc w:val="center"/>
        <w:rPr>
          <w:b/>
          <w:sz w:val="28"/>
          <w:szCs w:val="28"/>
          <w:lang w:val="en-US"/>
        </w:rPr>
      </w:pPr>
      <w:r w:rsidRPr="00350DD5">
        <w:rPr>
          <w:b/>
          <w:sz w:val="28"/>
          <w:szCs w:val="28"/>
          <w:lang w:val="en-US"/>
        </w:rPr>
        <w:lastRenderedPageBreak/>
        <w:t>Annex A:</w:t>
      </w:r>
      <w:r w:rsidRPr="00350DD5">
        <w:rPr>
          <w:b/>
          <w:sz w:val="28"/>
          <w:szCs w:val="28"/>
          <w:lang w:val="en-US"/>
        </w:rPr>
        <w:br/>
        <w:t xml:space="preserve">Recommendation 2016 </w:t>
      </w:r>
      <w:bookmarkStart w:id="11" w:name="_Hlk486287621"/>
      <w:r w:rsidRPr="00350DD5">
        <w:rPr>
          <w:b/>
          <w:sz w:val="28"/>
          <w:szCs w:val="28"/>
          <w:lang w:val="en-US"/>
        </w:rPr>
        <w:t>concerning standards on</w:t>
      </w:r>
      <w:r w:rsidRPr="00350DD5">
        <w:rPr>
          <w:b/>
          <w:sz w:val="28"/>
          <w:szCs w:val="28"/>
          <w:lang w:val="en-US"/>
        </w:rPr>
        <w:br/>
      </w:r>
      <w:proofErr w:type="spellStart"/>
      <w:r w:rsidRPr="00350DD5">
        <w:rPr>
          <w:b/>
          <w:sz w:val="28"/>
          <w:szCs w:val="28"/>
          <w:lang w:val="en-US"/>
        </w:rPr>
        <w:t>eAccessibility</w:t>
      </w:r>
      <w:proofErr w:type="spellEnd"/>
      <w:r w:rsidRPr="00350DD5">
        <w:rPr>
          <w:b/>
          <w:sz w:val="28"/>
          <w:szCs w:val="28"/>
          <w:lang w:val="en-US"/>
        </w:rPr>
        <w:t xml:space="preserve"> and </w:t>
      </w:r>
      <w:proofErr w:type="spellStart"/>
      <w:r w:rsidRPr="00350DD5">
        <w:rPr>
          <w:b/>
          <w:sz w:val="28"/>
          <w:szCs w:val="28"/>
          <w:lang w:val="en-US"/>
        </w:rPr>
        <w:t>eInclusion</w:t>
      </w:r>
      <w:bookmarkEnd w:id="11"/>
      <w:proofErr w:type="spellEnd"/>
    </w:p>
    <w:p w:rsidR="00350DD5" w:rsidRPr="00350DD5" w:rsidRDefault="00350DD5" w:rsidP="00350DD5">
      <w:pPr>
        <w:ind w:right="-292"/>
        <w:jc w:val="center"/>
        <w:rPr>
          <w:i/>
          <w:szCs w:val="24"/>
          <w:lang w:val="en-US"/>
        </w:rPr>
      </w:pPr>
      <w:r w:rsidRPr="00350DD5">
        <w:rPr>
          <w:i/>
          <w:szCs w:val="24"/>
          <w:lang w:val="en-US"/>
        </w:rPr>
        <w:t xml:space="preserve">(drafted at the IN LIFE </w:t>
      </w:r>
      <w:r>
        <w:rPr>
          <w:i/>
          <w:szCs w:val="24"/>
          <w:lang w:val="en-US"/>
        </w:rPr>
        <w:t>Workshop "</w:t>
      </w:r>
      <w:r w:rsidRPr="00350DD5">
        <w:rPr>
          <w:i/>
          <w:szCs w:val="24"/>
          <w:lang w:val="en-US"/>
        </w:rPr>
        <w:t xml:space="preserve">Strategic Standardization Issues Concerning </w:t>
      </w:r>
      <w:proofErr w:type="spellStart"/>
      <w:r w:rsidRPr="00350DD5">
        <w:rPr>
          <w:i/>
          <w:szCs w:val="24"/>
          <w:lang w:val="en-US"/>
        </w:rPr>
        <w:t>eAccessibility</w:t>
      </w:r>
      <w:proofErr w:type="spellEnd"/>
      <w:r w:rsidRPr="00350DD5">
        <w:rPr>
          <w:i/>
          <w:szCs w:val="24"/>
          <w:lang w:val="en-US"/>
        </w:rPr>
        <w:t xml:space="preserve"> &amp; </w:t>
      </w:r>
      <w:proofErr w:type="spellStart"/>
      <w:r w:rsidRPr="00350DD5">
        <w:rPr>
          <w:i/>
          <w:szCs w:val="24"/>
          <w:lang w:val="en-US"/>
        </w:rPr>
        <w:t>eInclusion</w:t>
      </w:r>
      <w:proofErr w:type="spellEnd"/>
      <w:r>
        <w:rPr>
          <w:i/>
          <w:szCs w:val="24"/>
          <w:lang w:val="en-US"/>
        </w:rPr>
        <w:t>"</w:t>
      </w:r>
      <w:r w:rsidRPr="00350DD5">
        <w:rPr>
          <w:i/>
          <w:szCs w:val="24"/>
          <w:lang w:val="en-US"/>
        </w:rPr>
        <w:t xml:space="preserve"> at the 15th International Conference on Computers Helping People with Special Needs – ICCHP 2016, in Linz, Austria, in July 2016)</w:t>
      </w:r>
    </w:p>
    <w:p w:rsidR="00350DD5" w:rsidRPr="00350DD5" w:rsidRDefault="00350DD5" w:rsidP="00350DD5">
      <w:pPr>
        <w:spacing w:before="0" w:after="120"/>
        <w:ind w:right="-289"/>
        <w:rPr>
          <w:b/>
          <w:szCs w:val="24"/>
          <w:u w:val="single"/>
          <w:lang w:val="en-US"/>
        </w:rPr>
      </w:pPr>
      <w:r w:rsidRPr="00350DD5">
        <w:rPr>
          <w:b/>
          <w:szCs w:val="24"/>
          <w:u w:val="single"/>
          <w:lang w:val="en-US"/>
        </w:rPr>
        <w:t>Purpose:</w:t>
      </w:r>
    </w:p>
    <w:p w:rsidR="00350DD5" w:rsidRPr="00350DD5" w:rsidRDefault="00350DD5" w:rsidP="00350DD5">
      <w:pPr>
        <w:spacing w:before="0" w:after="120"/>
        <w:ind w:right="-289" w:firstLine="284"/>
        <w:rPr>
          <w:szCs w:val="24"/>
          <w:lang w:val="en-US"/>
        </w:rPr>
      </w:pPr>
      <w:r w:rsidRPr="00350DD5">
        <w:rPr>
          <w:szCs w:val="24"/>
          <w:lang w:val="en-US"/>
        </w:rPr>
        <w:t xml:space="preserve">Increasingly R&amp;D projects and the software industry – especially for mobile technologies – consider the </w:t>
      </w:r>
      <w:r>
        <w:rPr>
          <w:szCs w:val="24"/>
          <w:lang w:val="en-US"/>
        </w:rPr>
        <w:t>"</w:t>
      </w:r>
      <w:r w:rsidRPr="00350DD5">
        <w:rPr>
          <w:szCs w:val="24"/>
          <w:lang w:val="en-US"/>
        </w:rPr>
        <w:t>Recommendation on software and cont</w:t>
      </w:r>
      <w:r>
        <w:rPr>
          <w:szCs w:val="24"/>
          <w:lang w:val="en-US"/>
        </w:rPr>
        <w:t>ent development principles 2010"</w:t>
      </w:r>
      <w:r w:rsidRPr="00350DD5">
        <w:rPr>
          <w:szCs w:val="24"/>
          <w:lang w:val="en-US"/>
        </w:rPr>
        <w:t xml:space="preserve"> whereby</w:t>
      </w:r>
    </w:p>
    <w:p w:rsidR="00350DD5" w:rsidRPr="00350DD5" w:rsidRDefault="00350DD5" w:rsidP="00350DD5">
      <w:pPr>
        <w:spacing w:before="0" w:after="120"/>
        <w:ind w:left="284" w:right="-289"/>
        <w:rPr>
          <w:szCs w:val="24"/>
          <w:lang w:val="en-US"/>
        </w:rPr>
      </w:pPr>
      <w:r>
        <w:rPr>
          <w:i/>
          <w:szCs w:val="24"/>
          <w:lang w:val="en-US"/>
        </w:rPr>
        <w:t>"</w:t>
      </w:r>
      <w:r w:rsidRPr="00350DD5">
        <w:rPr>
          <w:i/>
          <w:szCs w:val="24"/>
          <w:lang w:val="en-US"/>
        </w:rPr>
        <w:t xml:space="preserve">decision makers in public as well as private frameworks, software developers, the content industry and developers of pertinent standards /should be/ aware that </w:t>
      </w:r>
      <w:proofErr w:type="spellStart"/>
      <w:r w:rsidRPr="00350DD5">
        <w:rPr>
          <w:i/>
          <w:szCs w:val="24"/>
          <w:lang w:val="en-US"/>
        </w:rPr>
        <w:t>multilinguality</w:t>
      </w:r>
      <w:proofErr w:type="spellEnd"/>
      <w:r w:rsidRPr="00350DD5">
        <w:rPr>
          <w:i/>
          <w:szCs w:val="24"/>
          <w:lang w:val="en-US"/>
        </w:rPr>
        <w:t xml:space="preserve">, multimodality, </w:t>
      </w:r>
      <w:proofErr w:type="spellStart"/>
      <w:r w:rsidRPr="00350DD5">
        <w:rPr>
          <w:i/>
          <w:szCs w:val="24"/>
          <w:lang w:val="en-US"/>
        </w:rPr>
        <w:t>eInclusion</w:t>
      </w:r>
      <w:proofErr w:type="spellEnd"/>
      <w:r w:rsidRPr="00350DD5">
        <w:rPr>
          <w:i/>
          <w:szCs w:val="24"/>
          <w:lang w:val="en-US"/>
        </w:rPr>
        <w:t xml:space="preserve"> and </w:t>
      </w:r>
      <w:proofErr w:type="spellStart"/>
      <w:r w:rsidRPr="00350DD5">
        <w:rPr>
          <w:i/>
          <w:szCs w:val="24"/>
          <w:lang w:val="en-US"/>
        </w:rPr>
        <w:t>eAccessibility</w:t>
      </w:r>
      <w:proofErr w:type="spellEnd"/>
      <w:r w:rsidRPr="00350DD5">
        <w:rPr>
          <w:i/>
          <w:szCs w:val="24"/>
          <w:lang w:val="en-US"/>
        </w:rPr>
        <w:t xml:space="preserve"> need to be considered from the outset in software and content development. These considerations are required in order to avoid the need for additional or remedial engineering or redesign at the time of adaptation, which tend to be very costly a</w:t>
      </w:r>
      <w:r>
        <w:rPr>
          <w:i/>
          <w:szCs w:val="24"/>
          <w:lang w:val="en-US"/>
        </w:rPr>
        <w:t>nd often prove to be impossible."</w:t>
      </w:r>
    </w:p>
    <w:p w:rsidR="00350DD5" w:rsidRPr="00350DD5" w:rsidRDefault="00350DD5" w:rsidP="00350DD5">
      <w:pPr>
        <w:spacing w:before="0" w:after="120"/>
        <w:ind w:right="-289" w:firstLine="284"/>
        <w:rPr>
          <w:szCs w:val="24"/>
          <w:lang w:val="en-US"/>
        </w:rPr>
      </w:pPr>
      <w:r w:rsidRPr="00350DD5">
        <w:rPr>
          <w:szCs w:val="24"/>
          <w:lang w:val="en-US"/>
        </w:rPr>
        <w:t xml:space="preserve">Since 2010, hundreds of standards about </w:t>
      </w:r>
      <w:proofErr w:type="spellStart"/>
      <w:r w:rsidRPr="00350DD5">
        <w:rPr>
          <w:szCs w:val="24"/>
          <w:lang w:val="en-US"/>
        </w:rPr>
        <w:t>eAccessibility</w:t>
      </w:r>
      <w:proofErr w:type="spellEnd"/>
      <w:r w:rsidRPr="00350DD5">
        <w:rPr>
          <w:szCs w:val="24"/>
          <w:lang w:val="en-US"/>
        </w:rPr>
        <w:t xml:space="preserve"> and </w:t>
      </w:r>
      <w:proofErr w:type="spellStart"/>
      <w:r w:rsidRPr="00350DD5">
        <w:rPr>
          <w:szCs w:val="24"/>
          <w:lang w:val="en-US"/>
        </w:rPr>
        <w:t>eInclusion</w:t>
      </w:r>
      <w:proofErr w:type="spellEnd"/>
      <w:r w:rsidRPr="00350DD5">
        <w:rPr>
          <w:szCs w:val="24"/>
          <w:lang w:val="en-US"/>
        </w:rPr>
        <w:t xml:space="preserve"> were developed or revised by technical committees in standards </w:t>
      </w:r>
      <w:proofErr w:type="spellStart"/>
      <w:r w:rsidRPr="00350DD5">
        <w:rPr>
          <w:szCs w:val="24"/>
          <w:lang w:val="en-US"/>
        </w:rPr>
        <w:t>organisations</w:t>
      </w:r>
      <w:proofErr w:type="spellEnd"/>
      <w:r w:rsidRPr="00350DD5">
        <w:rPr>
          <w:szCs w:val="24"/>
          <w:lang w:val="en-US"/>
        </w:rPr>
        <w:t xml:space="preserve"> at international, European, or national level – not to mention many industry standards developed by other standards developing </w:t>
      </w:r>
      <w:proofErr w:type="spellStart"/>
      <w:r w:rsidRPr="00350DD5">
        <w:rPr>
          <w:szCs w:val="24"/>
          <w:lang w:val="en-US"/>
        </w:rPr>
        <w:t>organisations</w:t>
      </w:r>
      <w:proofErr w:type="spellEnd"/>
      <w:r w:rsidRPr="00350DD5">
        <w:rPr>
          <w:szCs w:val="24"/>
          <w:lang w:val="en-US"/>
        </w:rPr>
        <w:t xml:space="preserve"> (SDO). In addition, there are possibly thousands of standards that have a bearing on persons with disabilities (</w:t>
      </w:r>
      <w:proofErr w:type="spellStart"/>
      <w:r w:rsidRPr="00350DD5">
        <w:rPr>
          <w:szCs w:val="24"/>
          <w:lang w:val="en-US"/>
        </w:rPr>
        <w:t>PwD</w:t>
      </w:r>
      <w:proofErr w:type="spellEnd"/>
      <w:r w:rsidRPr="00350DD5">
        <w:rPr>
          <w:szCs w:val="24"/>
          <w:lang w:val="en-US"/>
        </w:rPr>
        <w:t>). In particular, ‘accessibility’ in a broad sense rarely occurs in the title or in the body of these standards.</w:t>
      </w:r>
    </w:p>
    <w:p w:rsidR="00350DD5" w:rsidRPr="00350DD5" w:rsidRDefault="00350DD5" w:rsidP="00350DD5">
      <w:pPr>
        <w:spacing w:before="0" w:after="120"/>
        <w:ind w:right="-289" w:firstLine="284"/>
        <w:rPr>
          <w:szCs w:val="24"/>
          <w:lang w:val="en-US"/>
        </w:rPr>
      </w:pPr>
      <w:r>
        <w:rPr>
          <w:szCs w:val="24"/>
          <w:lang w:val="en-US"/>
        </w:rPr>
        <w:t>"</w:t>
      </w:r>
      <w:r w:rsidRPr="00350DD5">
        <w:rPr>
          <w:szCs w:val="24"/>
          <w:lang w:val="en-US"/>
        </w:rPr>
        <w:t>Recommendation 2016</w:t>
      </w:r>
      <w:r>
        <w:rPr>
          <w:szCs w:val="24"/>
          <w:lang w:val="en-US"/>
        </w:rPr>
        <w:t>"</w:t>
      </w:r>
      <w:r w:rsidRPr="00350DD5">
        <w:rPr>
          <w:szCs w:val="24"/>
          <w:lang w:val="en-US"/>
        </w:rPr>
        <w:t xml:space="preserve"> addresses critical issues identified in recent conferences, initiatives and projects dealing with </w:t>
      </w:r>
      <w:proofErr w:type="spellStart"/>
      <w:r w:rsidRPr="00350DD5">
        <w:rPr>
          <w:szCs w:val="24"/>
          <w:lang w:val="en-US"/>
        </w:rPr>
        <w:t>eAccessibility</w:t>
      </w:r>
      <w:proofErr w:type="spellEnd"/>
      <w:r w:rsidRPr="00350DD5">
        <w:rPr>
          <w:szCs w:val="24"/>
          <w:lang w:val="en-US"/>
        </w:rPr>
        <w:t xml:space="preserve"> and </w:t>
      </w:r>
      <w:proofErr w:type="spellStart"/>
      <w:r w:rsidRPr="00350DD5">
        <w:rPr>
          <w:szCs w:val="24"/>
          <w:lang w:val="en-US"/>
        </w:rPr>
        <w:t>eInclusion</w:t>
      </w:r>
      <w:proofErr w:type="spellEnd"/>
      <w:r w:rsidRPr="00350DD5">
        <w:rPr>
          <w:szCs w:val="24"/>
          <w:lang w:val="en-US"/>
        </w:rPr>
        <w:t xml:space="preserve"> and related topics concerning the difficulties faced by system developers, their customers, health care providers and end-users when trying to find and apply pertinent standards.</w:t>
      </w:r>
    </w:p>
    <w:p w:rsidR="00350DD5" w:rsidRPr="00350DD5" w:rsidRDefault="00350DD5" w:rsidP="00350DD5">
      <w:pPr>
        <w:spacing w:before="0" w:after="120"/>
        <w:ind w:right="-289" w:firstLine="284"/>
        <w:rPr>
          <w:b/>
          <w:szCs w:val="24"/>
          <w:lang w:val="en-US"/>
        </w:rPr>
      </w:pPr>
      <w:r w:rsidRPr="00350DD5">
        <w:rPr>
          <w:b/>
          <w:szCs w:val="24"/>
          <w:lang w:val="en-US"/>
        </w:rPr>
        <w:t xml:space="preserve">The organizations endorsing Recommendation 2016 call upon stakeholders of </w:t>
      </w:r>
      <w:proofErr w:type="spellStart"/>
      <w:r w:rsidRPr="00350DD5">
        <w:rPr>
          <w:b/>
          <w:szCs w:val="24"/>
          <w:lang w:val="en-US"/>
        </w:rPr>
        <w:t>eAccessibility</w:t>
      </w:r>
      <w:proofErr w:type="spellEnd"/>
      <w:r w:rsidRPr="00350DD5">
        <w:rPr>
          <w:b/>
          <w:szCs w:val="24"/>
          <w:lang w:val="en-US"/>
        </w:rPr>
        <w:t xml:space="preserve"> and </w:t>
      </w:r>
      <w:proofErr w:type="spellStart"/>
      <w:r w:rsidRPr="00350DD5">
        <w:rPr>
          <w:b/>
          <w:szCs w:val="24"/>
          <w:lang w:val="en-US"/>
        </w:rPr>
        <w:t>eInclusion</w:t>
      </w:r>
      <w:proofErr w:type="spellEnd"/>
      <w:r w:rsidRPr="00350DD5">
        <w:rPr>
          <w:b/>
          <w:szCs w:val="24"/>
          <w:lang w:val="en-US"/>
        </w:rPr>
        <w:t>, in particular standards developing organizations (SDOs) to:</w:t>
      </w:r>
    </w:p>
    <w:p w:rsidR="00350DD5" w:rsidRPr="00350DD5" w:rsidRDefault="00350DD5" w:rsidP="00350DD5">
      <w:pPr>
        <w:pStyle w:val="ListParagraph"/>
        <w:numPr>
          <w:ilvl w:val="0"/>
          <w:numId w:val="15"/>
        </w:numPr>
        <w:ind w:left="714" w:right="-289" w:hanging="357"/>
        <w:contextualSpacing w:val="0"/>
      </w:pPr>
      <w:r w:rsidRPr="00350DD5">
        <w:t xml:space="preserve">develop a more refined classification or </w:t>
      </w:r>
      <w:proofErr w:type="spellStart"/>
      <w:r w:rsidRPr="00350DD5">
        <w:t>keywording</w:t>
      </w:r>
      <w:proofErr w:type="spellEnd"/>
      <w:r w:rsidRPr="00350DD5">
        <w:t xml:space="preserve"> approach to identify content in standards with a bearing on </w:t>
      </w:r>
      <w:proofErr w:type="spellStart"/>
      <w:r w:rsidRPr="00350DD5">
        <w:t>eAccessibility</w:t>
      </w:r>
      <w:proofErr w:type="spellEnd"/>
      <w:r w:rsidRPr="00350DD5">
        <w:t xml:space="preserve"> and </w:t>
      </w:r>
      <w:proofErr w:type="spellStart"/>
      <w:r w:rsidRPr="00350DD5">
        <w:t>eInclusion</w:t>
      </w:r>
      <w:proofErr w:type="spellEnd"/>
    </w:p>
    <w:p w:rsidR="00350DD5" w:rsidRPr="00350DD5" w:rsidRDefault="00350DD5" w:rsidP="00350DD5">
      <w:pPr>
        <w:pStyle w:val="ListParagraph"/>
        <w:numPr>
          <w:ilvl w:val="0"/>
          <w:numId w:val="15"/>
        </w:numPr>
        <w:ind w:left="714" w:right="-289" w:hanging="357"/>
        <w:contextualSpacing w:val="0"/>
      </w:pPr>
      <w:r w:rsidRPr="00350DD5">
        <w:t xml:space="preserve">register the potential relevance for </w:t>
      </w:r>
      <w:proofErr w:type="spellStart"/>
      <w:r w:rsidRPr="00350DD5">
        <w:t>eAccessibility</w:t>
      </w:r>
      <w:proofErr w:type="spellEnd"/>
      <w:r w:rsidRPr="00350DD5">
        <w:t xml:space="preserve"> &amp; </w:t>
      </w:r>
      <w:proofErr w:type="spellStart"/>
      <w:r w:rsidRPr="00350DD5">
        <w:t>eInclusion</w:t>
      </w:r>
      <w:proofErr w:type="spellEnd"/>
      <w:r w:rsidRPr="00350DD5">
        <w:t xml:space="preserve"> of an emerging standard right from the beginning of a standardization activity</w:t>
      </w:r>
    </w:p>
    <w:p w:rsidR="00350DD5" w:rsidRPr="00350DD5" w:rsidRDefault="00350DD5" w:rsidP="00350DD5">
      <w:pPr>
        <w:pStyle w:val="ListParagraph"/>
        <w:numPr>
          <w:ilvl w:val="0"/>
          <w:numId w:val="15"/>
        </w:numPr>
        <w:ind w:left="714" w:right="-289" w:hanging="357"/>
        <w:contextualSpacing w:val="0"/>
      </w:pPr>
      <w:r w:rsidRPr="00350DD5">
        <w:t xml:space="preserve">cross-reference standards having a bearing on </w:t>
      </w:r>
      <w:proofErr w:type="spellStart"/>
      <w:r w:rsidRPr="00350DD5">
        <w:t>eAccessibility</w:t>
      </w:r>
      <w:proofErr w:type="spellEnd"/>
      <w:r w:rsidRPr="00350DD5">
        <w:t xml:space="preserve"> and </w:t>
      </w:r>
      <w:proofErr w:type="spellStart"/>
      <w:r w:rsidRPr="00350DD5">
        <w:t>eInclusion</w:t>
      </w:r>
      <w:proofErr w:type="spellEnd"/>
    </w:p>
    <w:p w:rsidR="00350DD5" w:rsidRPr="00350DD5" w:rsidRDefault="00350DD5" w:rsidP="00350DD5">
      <w:pPr>
        <w:pStyle w:val="ListParagraph"/>
        <w:numPr>
          <w:ilvl w:val="0"/>
          <w:numId w:val="15"/>
        </w:numPr>
        <w:ind w:left="714" w:right="-289" w:hanging="357"/>
        <w:contextualSpacing w:val="0"/>
      </w:pPr>
      <w:r w:rsidRPr="00350DD5">
        <w:t>encourage the formulation and use of consistent vocabulary / terminology</w:t>
      </w:r>
    </w:p>
    <w:p w:rsidR="00350DD5" w:rsidRPr="00350DD5" w:rsidRDefault="00350DD5" w:rsidP="00350DD5">
      <w:pPr>
        <w:pStyle w:val="ListParagraph"/>
        <w:numPr>
          <w:ilvl w:val="0"/>
          <w:numId w:val="15"/>
        </w:numPr>
        <w:ind w:left="714" w:right="-289" w:hanging="357"/>
        <w:contextualSpacing w:val="0"/>
      </w:pPr>
      <w:r w:rsidRPr="00350DD5">
        <w:t>implement search functionalities that ease the use of standards</w:t>
      </w:r>
    </w:p>
    <w:p w:rsidR="00350DD5" w:rsidRPr="00350DD5" w:rsidRDefault="00350DD5" w:rsidP="00350DD5">
      <w:pPr>
        <w:pStyle w:val="ListParagraph"/>
        <w:numPr>
          <w:ilvl w:val="0"/>
          <w:numId w:val="15"/>
        </w:numPr>
        <w:spacing w:after="120"/>
        <w:ind w:right="-289"/>
        <w:contextualSpacing w:val="0"/>
      </w:pPr>
      <w:r w:rsidRPr="00350DD5">
        <w:t xml:space="preserve">facilitate the active involvement of </w:t>
      </w:r>
      <w:proofErr w:type="spellStart"/>
      <w:r w:rsidRPr="00350DD5">
        <w:t>PwD</w:t>
      </w:r>
      <w:proofErr w:type="spellEnd"/>
      <w:r w:rsidRPr="00350DD5">
        <w:t xml:space="preserve"> as end-users in standardizing activities among others by providing standards documents in an ‘accessible’ format</w:t>
      </w:r>
    </w:p>
    <w:p w:rsidR="00350DD5" w:rsidRPr="00350DD5" w:rsidRDefault="00350DD5" w:rsidP="00350DD5">
      <w:pPr>
        <w:spacing w:before="0" w:after="120"/>
        <w:ind w:right="-289" w:firstLine="284"/>
        <w:rPr>
          <w:szCs w:val="24"/>
          <w:highlight w:val="yellow"/>
          <w:lang w:val="en-US"/>
        </w:rPr>
      </w:pPr>
      <w:r w:rsidRPr="00350DD5">
        <w:rPr>
          <w:b/>
          <w:szCs w:val="24"/>
          <w:lang w:val="en-US"/>
        </w:rPr>
        <w:t xml:space="preserve">Implementing the above measures would enhance interoperability of </w:t>
      </w:r>
      <w:proofErr w:type="spellStart"/>
      <w:r w:rsidRPr="00350DD5">
        <w:rPr>
          <w:b/>
          <w:szCs w:val="24"/>
          <w:lang w:val="en-US"/>
        </w:rPr>
        <w:t>eAccessibility</w:t>
      </w:r>
      <w:proofErr w:type="spellEnd"/>
      <w:r>
        <w:rPr>
          <w:b/>
          <w:szCs w:val="24"/>
          <w:lang w:val="en-US"/>
        </w:rPr>
        <w:t xml:space="preserve"> </w:t>
      </w:r>
      <w:r w:rsidRPr="00350DD5">
        <w:rPr>
          <w:b/>
          <w:szCs w:val="24"/>
          <w:lang w:val="en-US"/>
        </w:rPr>
        <w:t>&amp;</w:t>
      </w:r>
      <w:r>
        <w:rPr>
          <w:b/>
          <w:szCs w:val="24"/>
          <w:lang w:val="en-US"/>
        </w:rPr>
        <w:t xml:space="preserve"> </w:t>
      </w:r>
      <w:proofErr w:type="spellStart"/>
      <w:r w:rsidRPr="00350DD5">
        <w:rPr>
          <w:b/>
          <w:szCs w:val="24"/>
          <w:lang w:val="en-US"/>
        </w:rPr>
        <w:t>eInclusion</w:t>
      </w:r>
      <w:proofErr w:type="spellEnd"/>
      <w:r w:rsidRPr="00350DD5">
        <w:rPr>
          <w:b/>
          <w:szCs w:val="24"/>
          <w:lang w:val="en-US"/>
        </w:rPr>
        <w:t xml:space="preserve"> related products and services and thus benefit users of standards and standardization </w:t>
      </w:r>
      <w:r w:rsidRPr="00350DD5">
        <w:rPr>
          <w:b/>
          <w:szCs w:val="24"/>
          <w:u w:val="single"/>
          <w:lang w:val="en-US"/>
        </w:rPr>
        <w:t>at large</w:t>
      </w:r>
      <w:r w:rsidRPr="00350DD5">
        <w:rPr>
          <w:b/>
          <w:szCs w:val="24"/>
          <w:lang w:val="en-US"/>
        </w:rPr>
        <w:t>.</w:t>
      </w:r>
    </w:p>
    <w:p w:rsidR="00350DD5" w:rsidRPr="00350DD5" w:rsidRDefault="00350DD5" w:rsidP="00350DD5">
      <w:pPr>
        <w:spacing w:before="0" w:after="120"/>
        <w:ind w:right="-289"/>
        <w:rPr>
          <w:b/>
          <w:szCs w:val="24"/>
          <w:u w:val="single"/>
          <w:lang w:val="en-US"/>
        </w:rPr>
      </w:pPr>
      <w:r w:rsidRPr="00350DD5">
        <w:rPr>
          <w:b/>
          <w:szCs w:val="24"/>
          <w:u w:val="single"/>
          <w:lang w:val="en-US"/>
        </w:rPr>
        <w:t>Recommendation:</w:t>
      </w:r>
    </w:p>
    <w:p w:rsidR="00350DD5" w:rsidRPr="00350DD5" w:rsidRDefault="00350DD5" w:rsidP="00350DD5">
      <w:pPr>
        <w:spacing w:before="0" w:after="120"/>
        <w:ind w:right="-289" w:firstLine="284"/>
        <w:rPr>
          <w:szCs w:val="24"/>
          <w:lang w:val="en-US"/>
        </w:rPr>
      </w:pPr>
      <w:r w:rsidRPr="00350DD5">
        <w:rPr>
          <w:szCs w:val="24"/>
          <w:lang w:val="en-US"/>
        </w:rPr>
        <w:t xml:space="preserve">Standards development processes and monitoring in conjunction with standards about </w:t>
      </w:r>
      <w:proofErr w:type="spellStart"/>
      <w:r w:rsidRPr="00350DD5">
        <w:rPr>
          <w:szCs w:val="24"/>
          <w:lang w:val="en-US"/>
        </w:rPr>
        <w:t>eAccessibility</w:t>
      </w:r>
      <w:proofErr w:type="spellEnd"/>
      <w:r w:rsidRPr="00350DD5">
        <w:rPr>
          <w:szCs w:val="24"/>
          <w:lang w:val="en-US"/>
        </w:rPr>
        <w:t xml:space="preserve"> and </w:t>
      </w:r>
      <w:proofErr w:type="spellStart"/>
      <w:r w:rsidRPr="00350DD5">
        <w:rPr>
          <w:szCs w:val="24"/>
          <w:lang w:val="en-US"/>
        </w:rPr>
        <w:t>eInclusion</w:t>
      </w:r>
      <w:proofErr w:type="spellEnd"/>
      <w:r w:rsidRPr="00350DD5">
        <w:rPr>
          <w:szCs w:val="24"/>
          <w:lang w:val="en-US"/>
        </w:rPr>
        <w:t xml:space="preserve"> and related aspects, should allow the coordination of standardizing activities across technical committees and SDOs, leading to content coherence among standards about similar themes. This would help industry and other organizations to comply with standards’ </w:t>
      </w:r>
      <w:r w:rsidRPr="00350DD5">
        <w:rPr>
          <w:szCs w:val="24"/>
          <w:lang w:val="en-US"/>
        </w:rPr>
        <w:lastRenderedPageBreak/>
        <w:t>requirements referring to corporate social responsibility and risk management, as well as with the latest legal regulations on accessibility in eProcurement and public websites.</w:t>
      </w:r>
    </w:p>
    <w:p w:rsidR="00350DD5" w:rsidRPr="00350DD5" w:rsidRDefault="00350DD5" w:rsidP="00350DD5">
      <w:pPr>
        <w:spacing w:before="0" w:after="120"/>
        <w:ind w:right="-289" w:firstLine="284"/>
        <w:rPr>
          <w:szCs w:val="24"/>
          <w:lang w:val="en-US"/>
        </w:rPr>
      </w:pPr>
      <w:r w:rsidRPr="00350DD5">
        <w:rPr>
          <w:szCs w:val="24"/>
          <w:lang w:val="en-US"/>
        </w:rPr>
        <w:t xml:space="preserve">Supportive measures may be worthwhile pursuing, to (a) promote certification schemes based on standards about </w:t>
      </w:r>
      <w:proofErr w:type="spellStart"/>
      <w:r w:rsidRPr="00350DD5">
        <w:rPr>
          <w:szCs w:val="24"/>
          <w:lang w:val="en-US"/>
        </w:rPr>
        <w:t>eAccessibility</w:t>
      </w:r>
      <w:proofErr w:type="spellEnd"/>
      <w:r w:rsidRPr="00350DD5">
        <w:rPr>
          <w:szCs w:val="24"/>
          <w:lang w:val="en-US"/>
        </w:rPr>
        <w:t xml:space="preserve"> and </w:t>
      </w:r>
      <w:proofErr w:type="spellStart"/>
      <w:r w:rsidRPr="00350DD5">
        <w:rPr>
          <w:szCs w:val="24"/>
          <w:lang w:val="en-US"/>
        </w:rPr>
        <w:t>eInclusion</w:t>
      </w:r>
      <w:proofErr w:type="spellEnd"/>
      <w:r w:rsidRPr="00350DD5">
        <w:rPr>
          <w:szCs w:val="24"/>
          <w:lang w:val="en-US"/>
        </w:rPr>
        <w:t>, (b) encourage education and training activities regarding such standards, and (c) enhance the positive role that media (both institutional and social) and civil society can play here.</w:t>
      </w:r>
    </w:p>
    <w:p w:rsidR="00350DD5" w:rsidRPr="00350DD5" w:rsidRDefault="00350DD5" w:rsidP="00350DD5">
      <w:pPr>
        <w:spacing w:before="0" w:after="120"/>
        <w:ind w:right="-289"/>
        <w:rPr>
          <w:color w:val="0000FF" w:themeColor="hyperlink"/>
          <w:szCs w:val="24"/>
          <w:u w:val="single"/>
          <w:lang w:val="en-US"/>
        </w:rPr>
      </w:pPr>
      <w:r w:rsidRPr="00350DD5">
        <w:rPr>
          <w:b/>
          <w:szCs w:val="24"/>
          <w:lang w:val="en-US"/>
        </w:rPr>
        <w:t xml:space="preserve">Online endorsement: </w:t>
      </w:r>
      <w:hyperlink r:id="rId11" w:history="1">
        <w:r w:rsidRPr="00350DD5">
          <w:rPr>
            <w:rStyle w:val="Hyperlink"/>
            <w:szCs w:val="24"/>
            <w:lang w:val="en-US"/>
          </w:rPr>
          <w:t>aaate-endorsed-the-recommendation-2016-concerning-standards-on-eaccessibility-and-einclusion</w:t>
        </w:r>
      </w:hyperlink>
    </w:p>
    <w:p w:rsidR="009A4691" w:rsidRPr="009A4691" w:rsidRDefault="009A4691" w:rsidP="009A4691">
      <w:pPr>
        <w:keepNext/>
        <w:keepLines/>
        <w:tabs>
          <w:tab w:val="left" w:pos="2340"/>
          <w:tab w:val="right" w:pos="9639"/>
        </w:tabs>
        <w:jc w:val="center"/>
        <w:rPr>
          <w:bCs/>
        </w:rPr>
      </w:pPr>
      <w:r w:rsidRPr="009A4691">
        <w:rPr>
          <w:bCs/>
        </w:rPr>
        <w:t>_______________</w:t>
      </w:r>
    </w:p>
    <w:sectPr w:rsidR="009A4691" w:rsidRPr="009A4691" w:rsidSect="009A4691">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81" w:rsidRDefault="00664081">
      <w:r>
        <w:separator/>
      </w:r>
    </w:p>
  </w:endnote>
  <w:endnote w:type="continuationSeparator" w:id="0">
    <w:p w:rsidR="00664081" w:rsidRDefault="006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45" w:rsidRPr="009A4691" w:rsidRDefault="00C97045" w:rsidP="009A4691">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81" w:rsidRDefault="00664081">
      <w:r>
        <w:separator/>
      </w:r>
    </w:p>
  </w:footnote>
  <w:footnote w:type="continuationSeparator" w:id="0">
    <w:p w:rsidR="00664081" w:rsidRDefault="006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45" w:rsidRPr="009A4691" w:rsidRDefault="00C97045" w:rsidP="001D6AC6">
    <w:pPr>
      <w:pStyle w:val="Header"/>
    </w:pPr>
    <w:r w:rsidRPr="009A4691">
      <w:t xml:space="preserve">- </w:t>
    </w:r>
    <w:r w:rsidRPr="009A4691">
      <w:fldChar w:fldCharType="begin"/>
    </w:r>
    <w:r w:rsidRPr="009A4691">
      <w:instrText xml:space="preserve"> PAGE  \* MERGEFORMAT </w:instrText>
    </w:r>
    <w:r w:rsidRPr="009A4691">
      <w:fldChar w:fldCharType="separate"/>
    </w:r>
    <w:r w:rsidR="00CD2874">
      <w:rPr>
        <w:noProof/>
      </w:rPr>
      <w:t>2</w:t>
    </w:r>
    <w:r w:rsidRPr="009A4691">
      <w:fldChar w:fldCharType="end"/>
    </w:r>
    <w:r w:rsidRPr="009A4691">
      <w:t xml:space="preserve"> -</w:t>
    </w:r>
    <w:r w:rsidR="007D74B4">
      <w:br/>
    </w:r>
    <w:r w:rsidR="001D6AC6">
      <w:t>TSAG-TD397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975B79"/>
    <w:multiLevelType w:val="hybridMultilevel"/>
    <w:tmpl w:val="15C0C8D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B51EA"/>
    <w:multiLevelType w:val="hybridMultilevel"/>
    <w:tmpl w:val="65B0A392"/>
    <w:lvl w:ilvl="0" w:tplc="A36269EE">
      <w:start w:val="1"/>
      <w:numFmt w:val="bullet"/>
      <w:lvlText w:val=""/>
      <w:lvlJc w:val="left"/>
      <w:pPr>
        <w:tabs>
          <w:tab w:val="num" w:pos="720"/>
        </w:tabs>
        <w:ind w:left="720" w:hanging="360"/>
      </w:pPr>
      <w:rPr>
        <w:rFonts w:ascii="Wingdings 3" w:hAnsi="Wingdings 3" w:hint="default"/>
      </w:rPr>
    </w:lvl>
    <w:lvl w:ilvl="1" w:tplc="5EFC63BC">
      <w:start w:val="46"/>
      <w:numFmt w:val="bullet"/>
      <w:lvlText w:val=""/>
      <w:lvlJc w:val="left"/>
      <w:pPr>
        <w:tabs>
          <w:tab w:val="num" w:pos="1440"/>
        </w:tabs>
        <w:ind w:left="1440" w:hanging="360"/>
      </w:pPr>
      <w:rPr>
        <w:rFonts w:ascii="Wingdings 3" w:hAnsi="Wingdings 3" w:hint="default"/>
      </w:rPr>
    </w:lvl>
    <w:lvl w:ilvl="2" w:tplc="9028C472" w:tentative="1">
      <w:start w:val="1"/>
      <w:numFmt w:val="bullet"/>
      <w:lvlText w:val=""/>
      <w:lvlJc w:val="left"/>
      <w:pPr>
        <w:tabs>
          <w:tab w:val="num" w:pos="2160"/>
        </w:tabs>
        <w:ind w:left="2160" w:hanging="360"/>
      </w:pPr>
      <w:rPr>
        <w:rFonts w:ascii="Wingdings 3" w:hAnsi="Wingdings 3" w:hint="default"/>
      </w:rPr>
    </w:lvl>
    <w:lvl w:ilvl="3" w:tplc="BCF82326" w:tentative="1">
      <w:start w:val="1"/>
      <w:numFmt w:val="bullet"/>
      <w:lvlText w:val=""/>
      <w:lvlJc w:val="left"/>
      <w:pPr>
        <w:tabs>
          <w:tab w:val="num" w:pos="2880"/>
        </w:tabs>
        <w:ind w:left="2880" w:hanging="360"/>
      </w:pPr>
      <w:rPr>
        <w:rFonts w:ascii="Wingdings 3" w:hAnsi="Wingdings 3" w:hint="default"/>
      </w:rPr>
    </w:lvl>
    <w:lvl w:ilvl="4" w:tplc="F5CC480E" w:tentative="1">
      <w:start w:val="1"/>
      <w:numFmt w:val="bullet"/>
      <w:lvlText w:val=""/>
      <w:lvlJc w:val="left"/>
      <w:pPr>
        <w:tabs>
          <w:tab w:val="num" w:pos="3600"/>
        </w:tabs>
        <w:ind w:left="3600" w:hanging="360"/>
      </w:pPr>
      <w:rPr>
        <w:rFonts w:ascii="Wingdings 3" w:hAnsi="Wingdings 3" w:hint="default"/>
      </w:rPr>
    </w:lvl>
    <w:lvl w:ilvl="5" w:tplc="B9801538" w:tentative="1">
      <w:start w:val="1"/>
      <w:numFmt w:val="bullet"/>
      <w:lvlText w:val=""/>
      <w:lvlJc w:val="left"/>
      <w:pPr>
        <w:tabs>
          <w:tab w:val="num" w:pos="4320"/>
        </w:tabs>
        <w:ind w:left="4320" w:hanging="360"/>
      </w:pPr>
      <w:rPr>
        <w:rFonts w:ascii="Wingdings 3" w:hAnsi="Wingdings 3" w:hint="default"/>
      </w:rPr>
    </w:lvl>
    <w:lvl w:ilvl="6" w:tplc="7B68AAD6" w:tentative="1">
      <w:start w:val="1"/>
      <w:numFmt w:val="bullet"/>
      <w:lvlText w:val=""/>
      <w:lvlJc w:val="left"/>
      <w:pPr>
        <w:tabs>
          <w:tab w:val="num" w:pos="5040"/>
        </w:tabs>
        <w:ind w:left="5040" w:hanging="360"/>
      </w:pPr>
      <w:rPr>
        <w:rFonts w:ascii="Wingdings 3" w:hAnsi="Wingdings 3" w:hint="default"/>
      </w:rPr>
    </w:lvl>
    <w:lvl w:ilvl="7" w:tplc="48042BB8" w:tentative="1">
      <w:start w:val="1"/>
      <w:numFmt w:val="bullet"/>
      <w:lvlText w:val=""/>
      <w:lvlJc w:val="left"/>
      <w:pPr>
        <w:tabs>
          <w:tab w:val="num" w:pos="5760"/>
        </w:tabs>
        <w:ind w:left="5760" w:hanging="360"/>
      </w:pPr>
      <w:rPr>
        <w:rFonts w:ascii="Wingdings 3" w:hAnsi="Wingdings 3" w:hint="default"/>
      </w:rPr>
    </w:lvl>
    <w:lvl w:ilvl="8" w:tplc="9F120D9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5E7722B"/>
    <w:multiLevelType w:val="hybridMultilevel"/>
    <w:tmpl w:val="760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1A67"/>
    <w:multiLevelType w:val="hybridMultilevel"/>
    <w:tmpl w:val="120E0DE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1A5974FB"/>
    <w:multiLevelType w:val="hybridMultilevel"/>
    <w:tmpl w:val="4670AAF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7884688"/>
    <w:multiLevelType w:val="multilevel"/>
    <w:tmpl w:val="00900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D59CE"/>
    <w:multiLevelType w:val="hybridMultilevel"/>
    <w:tmpl w:val="1E6E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D100E"/>
    <w:multiLevelType w:val="hybridMultilevel"/>
    <w:tmpl w:val="4D7290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D3131"/>
    <w:multiLevelType w:val="hybridMultilevel"/>
    <w:tmpl w:val="D45ED3F8"/>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0" w15:restartNumberingAfterBreak="0">
    <w:nsid w:val="63B7324C"/>
    <w:multiLevelType w:val="hybridMultilevel"/>
    <w:tmpl w:val="AEBABE7C"/>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0"/>
  </w:num>
  <w:num w:numId="8">
    <w:abstractNumId w:val="7"/>
  </w:num>
  <w:num w:numId="9">
    <w:abstractNumId w:val="4"/>
  </w:num>
  <w:num w:numId="10">
    <w:abstractNumId w:val="2"/>
  </w:num>
  <w:num w:numId="11">
    <w:abstractNumId w:val="3"/>
  </w:num>
  <w:num w:numId="12">
    <w:abstractNumId w:val="9"/>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19A"/>
    <w:rsid w:val="00014FF1"/>
    <w:rsid w:val="000156B0"/>
    <w:rsid w:val="00023E28"/>
    <w:rsid w:val="000425D3"/>
    <w:rsid w:val="00045BE8"/>
    <w:rsid w:val="0005626A"/>
    <w:rsid w:val="00081EC1"/>
    <w:rsid w:val="000916E3"/>
    <w:rsid w:val="000B0CB3"/>
    <w:rsid w:val="000B306A"/>
    <w:rsid w:val="000D3827"/>
    <w:rsid w:val="000E4E04"/>
    <w:rsid w:val="001107AB"/>
    <w:rsid w:val="00114AC4"/>
    <w:rsid w:val="00120698"/>
    <w:rsid w:val="0014718C"/>
    <w:rsid w:val="001510A3"/>
    <w:rsid w:val="00162D29"/>
    <w:rsid w:val="001A2968"/>
    <w:rsid w:val="001A6978"/>
    <w:rsid w:val="001C2B82"/>
    <w:rsid w:val="001D6AC6"/>
    <w:rsid w:val="001E30D4"/>
    <w:rsid w:val="00203B88"/>
    <w:rsid w:val="00205674"/>
    <w:rsid w:val="00205C2F"/>
    <w:rsid w:val="00221107"/>
    <w:rsid w:val="0025061C"/>
    <w:rsid w:val="00290C48"/>
    <w:rsid w:val="002B5BFC"/>
    <w:rsid w:val="002D120D"/>
    <w:rsid w:val="002F289E"/>
    <w:rsid w:val="003274E9"/>
    <w:rsid w:val="003336F4"/>
    <w:rsid w:val="00345D75"/>
    <w:rsid w:val="00350DD5"/>
    <w:rsid w:val="00361E19"/>
    <w:rsid w:val="0037202A"/>
    <w:rsid w:val="00382607"/>
    <w:rsid w:val="003926D4"/>
    <w:rsid w:val="00393FA8"/>
    <w:rsid w:val="003B1C3A"/>
    <w:rsid w:val="003B2450"/>
    <w:rsid w:val="003B5EF5"/>
    <w:rsid w:val="003D2A59"/>
    <w:rsid w:val="004131DE"/>
    <w:rsid w:val="004133CF"/>
    <w:rsid w:val="00426D9F"/>
    <w:rsid w:val="00465673"/>
    <w:rsid w:val="004724EA"/>
    <w:rsid w:val="00490305"/>
    <w:rsid w:val="00490B58"/>
    <w:rsid w:val="00494F8D"/>
    <w:rsid w:val="00495307"/>
    <w:rsid w:val="004F624B"/>
    <w:rsid w:val="0050746C"/>
    <w:rsid w:val="00535E95"/>
    <w:rsid w:val="00554F73"/>
    <w:rsid w:val="005723D7"/>
    <w:rsid w:val="005819ED"/>
    <w:rsid w:val="005911F3"/>
    <w:rsid w:val="005A0F86"/>
    <w:rsid w:val="005A72B5"/>
    <w:rsid w:val="005B6F64"/>
    <w:rsid w:val="005D02FE"/>
    <w:rsid w:val="005D260B"/>
    <w:rsid w:val="005D7ED6"/>
    <w:rsid w:val="005E5BC7"/>
    <w:rsid w:val="005E63C6"/>
    <w:rsid w:val="005F5128"/>
    <w:rsid w:val="0061125D"/>
    <w:rsid w:val="00613B1F"/>
    <w:rsid w:val="0062207E"/>
    <w:rsid w:val="0064485D"/>
    <w:rsid w:val="00657477"/>
    <w:rsid w:val="00664081"/>
    <w:rsid w:val="00673690"/>
    <w:rsid w:val="00675B2B"/>
    <w:rsid w:val="006C3D77"/>
    <w:rsid w:val="007046BF"/>
    <w:rsid w:val="007476C9"/>
    <w:rsid w:val="00757E2D"/>
    <w:rsid w:val="00762D9C"/>
    <w:rsid w:val="00762E0E"/>
    <w:rsid w:val="00774C02"/>
    <w:rsid w:val="007824D0"/>
    <w:rsid w:val="007A2F5E"/>
    <w:rsid w:val="007C70AB"/>
    <w:rsid w:val="007D5893"/>
    <w:rsid w:val="007D74B4"/>
    <w:rsid w:val="007E1B3D"/>
    <w:rsid w:val="007F593B"/>
    <w:rsid w:val="00803438"/>
    <w:rsid w:val="00805530"/>
    <w:rsid w:val="00812F3C"/>
    <w:rsid w:val="00873ADA"/>
    <w:rsid w:val="00877452"/>
    <w:rsid w:val="00886703"/>
    <w:rsid w:val="00892F12"/>
    <w:rsid w:val="008B570A"/>
    <w:rsid w:val="008F1E31"/>
    <w:rsid w:val="00907987"/>
    <w:rsid w:val="00913383"/>
    <w:rsid w:val="009146AB"/>
    <w:rsid w:val="00935BA3"/>
    <w:rsid w:val="00940371"/>
    <w:rsid w:val="009415D4"/>
    <w:rsid w:val="00963C33"/>
    <w:rsid w:val="00982A1B"/>
    <w:rsid w:val="009A4691"/>
    <w:rsid w:val="009B3A93"/>
    <w:rsid w:val="009B4DA7"/>
    <w:rsid w:val="009C4760"/>
    <w:rsid w:val="009F696B"/>
    <w:rsid w:val="00A13642"/>
    <w:rsid w:val="00A237F1"/>
    <w:rsid w:val="00A3145E"/>
    <w:rsid w:val="00A37E84"/>
    <w:rsid w:val="00A40910"/>
    <w:rsid w:val="00A504D6"/>
    <w:rsid w:val="00A71267"/>
    <w:rsid w:val="00A73047"/>
    <w:rsid w:val="00A80CC1"/>
    <w:rsid w:val="00A92E8A"/>
    <w:rsid w:val="00AA4D58"/>
    <w:rsid w:val="00AB6423"/>
    <w:rsid w:val="00AD0199"/>
    <w:rsid w:val="00B05090"/>
    <w:rsid w:val="00B370A6"/>
    <w:rsid w:val="00B442FE"/>
    <w:rsid w:val="00B605D1"/>
    <w:rsid w:val="00B82179"/>
    <w:rsid w:val="00B85A3B"/>
    <w:rsid w:val="00BC2393"/>
    <w:rsid w:val="00BD4FC5"/>
    <w:rsid w:val="00BE4406"/>
    <w:rsid w:val="00BF4DBA"/>
    <w:rsid w:val="00C1508A"/>
    <w:rsid w:val="00C43D88"/>
    <w:rsid w:val="00C65833"/>
    <w:rsid w:val="00C7095C"/>
    <w:rsid w:val="00C72028"/>
    <w:rsid w:val="00C97045"/>
    <w:rsid w:val="00CB19E9"/>
    <w:rsid w:val="00CC1A6E"/>
    <w:rsid w:val="00CD2874"/>
    <w:rsid w:val="00CE5EB7"/>
    <w:rsid w:val="00D01621"/>
    <w:rsid w:val="00D07C04"/>
    <w:rsid w:val="00D13534"/>
    <w:rsid w:val="00D154AF"/>
    <w:rsid w:val="00D25F44"/>
    <w:rsid w:val="00D37A52"/>
    <w:rsid w:val="00D610B8"/>
    <w:rsid w:val="00D80114"/>
    <w:rsid w:val="00D84773"/>
    <w:rsid w:val="00D856BE"/>
    <w:rsid w:val="00D86DA2"/>
    <w:rsid w:val="00DA275F"/>
    <w:rsid w:val="00DB6EB3"/>
    <w:rsid w:val="00DC122E"/>
    <w:rsid w:val="00DE06AF"/>
    <w:rsid w:val="00DE503A"/>
    <w:rsid w:val="00DF2E7E"/>
    <w:rsid w:val="00E01FAE"/>
    <w:rsid w:val="00E35CF0"/>
    <w:rsid w:val="00E617AE"/>
    <w:rsid w:val="00EB6DAA"/>
    <w:rsid w:val="00EC3465"/>
    <w:rsid w:val="00ED7082"/>
    <w:rsid w:val="00EF651D"/>
    <w:rsid w:val="00F029CA"/>
    <w:rsid w:val="00F03D2D"/>
    <w:rsid w:val="00F06122"/>
    <w:rsid w:val="00F225A9"/>
    <w:rsid w:val="00F53ABE"/>
    <w:rsid w:val="00F7108A"/>
    <w:rsid w:val="00F740C2"/>
    <w:rsid w:val="00FB1C9D"/>
    <w:rsid w:val="00FB43A1"/>
    <w:rsid w:val="00FD27A5"/>
    <w:rsid w:val="00FD67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7AD26D"/>
  <w15:docId w15:val="{B2080042-4C01-401C-BECB-E3A133E3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uiPriority w:val="99"/>
    <w:rsid w:val="003D2A59"/>
    <w:rPr>
      <w:color w:val="0000FF"/>
      <w:u w:val="single"/>
    </w:rPr>
  </w:style>
  <w:style w:type="paragraph" w:customStyle="1" w:styleId="Default">
    <w:name w:val="Default"/>
    <w:rsid w:val="00A237F1"/>
    <w:pPr>
      <w:autoSpaceDE w:val="0"/>
      <w:autoSpaceDN w:val="0"/>
      <w:adjustRightInd w:val="0"/>
    </w:pPr>
    <w:rPr>
      <w:color w:val="000000"/>
      <w:sz w:val="24"/>
      <w:szCs w:val="24"/>
      <w:lang w:eastAsia="zh-CN"/>
    </w:rPr>
  </w:style>
  <w:style w:type="character" w:styleId="Emphasis">
    <w:name w:val="Emphasis"/>
    <w:aliases w:val="OD comments"/>
    <w:qFormat/>
    <w:rsid w:val="00C65833"/>
    <w:rPr>
      <w:rFonts w:ascii="Times New Roman" w:hAnsi="Times New Roman" w:cs="Times New Roman"/>
      <w:color w:val="F79646"/>
      <w:lang w:val="en-US"/>
    </w:rPr>
  </w:style>
  <w:style w:type="character" w:styleId="HTMLCite">
    <w:name w:val="HTML Cite"/>
    <w:uiPriority w:val="99"/>
    <w:unhideWhenUsed/>
    <w:rsid w:val="00A92E8A"/>
    <w:rPr>
      <w:i/>
      <w:iCs/>
    </w:rPr>
  </w:style>
  <w:style w:type="paragraph" w:styleId="BalloonText">
    <w:name w:val="Balloon Text"/>
    <w:basedOn w:val="Normal"/>
    <w:link w:val="BalloonTextChar"/>
    <w:rsid w:val="001A6978"/>
    <w:pPr>
      <w:spacing w:before="0"/>
    </w:pPr>
    <w:rPr>
      <w:rFonts w:ascii="Tahoma" w:hAnsi="Tahoma" w:cs="Tahoma"/>
      <w:sz w:val="16"/>
      <w:szCs w:val="16"/>
    </w:rPr>
  </w:style>
  <w:style w:type="character" w:customStyle="1" w:styleId="BalloonTextChar">
    <w:name w:val="Balloon Text Char"/>
    <w:link w:val="BalloonText"/>
    <w:rsid w:val="001A6978"/>
    <w:rPr>
      <w:rFonts w:ascii="Tahoma" w:hAnsi="Tahoma" w:cs="Tahoma"/>
      <w:sz w:val="16"/>
      <w:szCs w:val="16"/>
      <w:lang w:val="en-GB" w:eastAsia="en-US"/>
    </w:rPr>
  </w:style>
  <w:style w:type="character" w:customStyle="1" w:styleId="SingleTxtGChar">
    <w:name w:val="_ Single Txt_G Char"/>
    <w:link w:val="SingleTxtG"/>
    <w:locked/>
    <w:rsid w:val="00613B1F"/>
    <w:rPr>
      <w:lang w:eastAsia="en-US"/>
    </w:rPr>
  </w:style>
  <w:style w:type="paragraph" w:customStyle="1" w:styleId="SingleTxtG">
    <w:name w:val="_ Single Txt_G"/>
    <w:basedOn w:val="Normal"/>
    <w:link w:val="SingleTxtGChar"/>
    <w:rsid w:val="00613B1F"/>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sz w:val="20"/>
      <w:lang w:val="fr-FR"/>
    </w:rPr>
  </w:style>
  <w:style w:type="paragraph" w:styleId="ListParagraph">
    <w:name w:val="List Paragraph"/>
    <w:basedOn w:val="Normal"/>
    <w:uiPriority w:val="34"/>
    <w:qFormat/>
    <w:rsid w:val="00657477"/>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character" w:customStyle="1" w:styleId="result--web--title">
    <w:name w:val="result--web--title"/>
    <w:basedOn w:val="DefaultParagraphFont"/>
    <w:rsid w:val="00657477"/>
  </w:style>
  <w:style w:type="character" w:styleId="Strong">
    <w:name w:val="Strong"/>
    <w:basedOn w:val="DefaultParagraphFont"/>
    <w:uiPriority w:val="22"/>
    <w:qFormat/>
    <w:rsid w:val="009C4760"/>
    <w:rPr>
      <w:b/>
      <w:bCs/>
    </w:rPr>
  </w:style>
  <w:style w:type="character" w:styleId="FollowedHyperlink">
    <w:name w:val="FollowedHyperlink"/>
    <w:basedOn w:val="DefaultParagraphFont"/>
    <w:rsid w:val="00F06122"/>
    <w:rPr>
      <w:color w:val="800080" w:themeColor="followedHyperlink"/>
      <w:u w:val="single"/>
    </w:rPr>
  </w:style>
  <w:style w:type="paragraph" w:styleId="NormalWeb">
    <w:name w:val="Normal (Web)"/>
    <w:basedOn w:val="Normal"/>
    <w:uiPriority w:val="99"/>
    <w:unhideWhenUsed/>
    <w:rsid w:val="00350DD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rPr>
  </w:style>
  <w:style w:type="table" w:styleId="TableGrid">
    <w:name w:val="Table Grid"/>
    <w:basedOn w:val="TableNormal"/>
    <w:rsid w:val="0035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1D6AC6"/>
    <w:pPr>
      <w:jc w:val="right"/>
    </w:pPr>
    <w:rPr>
      <w:b/>
      <w:bCs/>
      <w:sz w:val="40"/>
    </w:rPr>
  </w:style>
  <w:style w:type="character" w:customStyle="1" w:styleId="DocnumberChar">
    <w:name w:val="Docnumber Char"/>
    <w:basedOn w:val="DefaultParagraphFont"/>
    <w:link w:val="Docnumber"/>
    <w:rsid w:val="001D6AC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8728">
      <w:bodyDiv w:val="1"/>
      <w:marLeft w:val="0"/>
      <w:marRight w:val="0"/>
      <w:marTop w:val="0"/>
      <w:marBottom w:val="0"/>
      <w:divBdr>
        <w:top w:val="none" w:sz="0" w:space="0" w:color="auto"/>
        <w:left w:val="none" w:sz="0" w:space="0" w:color="auto"/>
        <w:bottom w:val="none" w:sz="0" w:space="0" w:color="auto"/>
        <w:right w:val="none" w:sz="0" w:space="0" w:color="auto"/>
      </w:divBdr>
      <w:divsChild>
        <w:div w:id="544292101">
          <w:marLeft w:val="432"/>
          <w:marRight w:val="0"/>
          <w:marTop w:val="120"/>
          <w:marBottom w:val="0"/>
          <w:divBdr>
            <w:top w:val="none" w:sz="0" w:space="0" w:color="auto"/>
            <w:left w:val="none" w:sz="0" w:space="0" w:color="auto"/>
            <w:bottom w:val="none" w:sz="0" w:space="0" w:color="auto"/>
            <w:right w:val="none" w:sz="0" w:space="0" w:color="auto"/>
          </w:divBdr>
        </w:div>
        <w:div w:id="533545669">
          <w:marLeft w:val="432"/>
          <w:marRight w:val="0"/>
          <w:marTop w:val="120"/>
          <w:marBottom w:val="0"/>
          <w:divBdr>
            <w:top w:val="none" w:sz="0" w:space="0" w:color="auto"/>
            <w:left w:val="none" w:sz="0" w:space="0" w:color="auto"/>
            <w:bottom w:val="none" w:sz="0" w:space="0" w:color="auto"/>
            <w:right w:val="none" w:sz="0" w:space="0" w:color="auto"/>
          </w:divBdr>
        </w:div>
        <w:div w:id="20404435">
          <w:marLeft w:val="864"/>
          <w:marRight w:val="0"/>
          <w:marTop w:val="100"/>
          <w:marBottom w:val="0"/>
          <w:divBdr>
            <w:top w:val="none" w:sz="0" w:space="0" w:color="auto"/>
            <w:left w:val="none" w:sz="0" w:space="0" w:color="auto"/>
            <w:bottom w:val="none" w:sz="0" w:space="0" w:color="auto"/>
            <w:right w:val="none" w:sz="0" w:space="0" w:color="auto"/>
          </w:divBdr>
        </w:div>
        <w:div w:id="1160542467">
          <w:marLeft w:val="864"/>
          <w:marRight w:val="0"/>
          <w:marTop w:val="100"/>
          <w:marBottom w:val="0"/>
          <w:divBdr>
            <w:top w:val="none" w:sz="0" w:space="0" w:color="auto"/>
            <w:left w:val="none" w:sz="0" w:space="0" w:color="auto"/>
            <w:bottom w:val="none" w:sz="0" w:space="0" w:color="auto"/>
            <w:right w:val="none" w:sz="0" w:space="0" w:color="auto"/>
          </w:divBdr>
        </w:div>
      </w:divsChild>
    </w:div>
    <w:div w:id="2003506101">
      <w:bodyDiv w:val="1"/>
      <w:marLeft w:val="0"/>
      <w:marRight w:val="0"/>
      <w:marTop w:val="0"/>
      <w:marBottom w:val="0"/>
      <w:divBdr>
        <w:top w:val="none" w:sz="0" w:space="0" w:color="auto"/>
        <w:left w:val="none" w:sz="0" w:space="0" w:color="auto"/>
        <w:bottom w:val="none" w:sz="0" w:space="0" w:color="auto"/>
        <w:right w:val="none" w:sz="0" w:space="0" w:color="auto"/>
      </w:divBdr>
      <w:divsChild>
        <w:div w:id="980309725">
          <w:marLeft w:val="0"/>
          <w:marRight w:val="0"/>
          <w:marTop w:val="0"/>
          <w:marBottom w:val="0"/>
          <w:divBdr>
            <w:top w:val="none" w:sz="0" w:space="0" w:color="auto"/>
            <w:left w:val="none" w:sz="0" w:space="0" w:color="auto"/>
            <w:bottom w:val="none" w:sz="0" w:space="0" w:color="auto"/>
            <w:right w:val="none" w:sz="0" w:space="0" w:color="auto"/>
          </w:divBdr>
          <w:divsChild>
            <w:div w:id="16999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ate.net/2017/04/14/aaate-endorsed-the-recommendation-2016-concerning-standards-on-eaccessibility-and-einclus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itu.int/ITU-T/e-business/mou/" TargetMode="External"/><Relationship Id="rId4" Type="http://schemas.openxmlformats.org/officeDocument/2006/relationships/settings" Target="settings.xml"/><Relationship Id="rId9" Type="http://schemas.openxmlformats.org/officeDocument/2006/relationships/hyperlink" Target="mailto:olivier.dubuisson@orang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263F2061746CFA8EFFB14CB04C915"/>
        <w:category>
          <w:name w:val="General"/>
          <w:gallery w:val="placeholder"/>
        </w:category>
        <w:types>
          <w:type w:val="bbPlcHdr"/>
        </w:types>
        <w:behaviors>
          <w:behavior w:val="content"/>
        </w:behaviors>
        <w:guid w:val="{2923F665-679F-4013-A5E6-B386B5A05D61}"/>
      </w:docPartPr>
      <w:docPartBody>
        <w:p w:rsidR="00DA68BF" w:rsidRDefault="00224D14" w:rsidP="00224D14">
          <w:pPr>
            <w:pStyle w:val="CF3263F2061746CFA8EFFB14CB04C915"/>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4"/>
    <w:rsid w:val="00224D14"/>
    <w:rsid w:val="00DA68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D14"/>
    <w:rPr>
      <w:rFonts w:ascii="Times New Roman" w:hAnsi="Times New Roman"/>
      <w:color w:val="808080"/>
    </w:rPr>
  </w:style>
  <w:style w:type="paragraph" w:customStyle="1" w:styleId="CF3263F2061746CFA8EFFB14CB04C915">
    <w:name w:val="CF3263F2061746CFA8EFFB14CB04C915"/>
    <w:rsid w:val="00224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C835-A4B4-4C39-B9C3-74CBEC01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4</Pages>
  <Words>1123</Words>
  <Characters>7258</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Information and actions from the Management Group of the MoU on e-business</vt:lpstr>
      <vt:lpstr>Information and actions from the Management Group of the MoU on e-business</vt:lpstr>
    </vt:vector>
  </TitlesOfParts>
  <Manager>ITU-T</Manager>
  <Company>International Telecommunication Union (ITU)</Company>
  <LinksUpToDate>false</LinksUpToDate>
  <CharactersWithSpaces>8365</CharactersWithSpaces>
  <SharedDoc>false</SharedDoc>
  <HLinks>
    <vt:vector size="24" baseType="variant">
      <vt:variant>
        <vt:i4>7209077</vt:i4>
      </vt:variant>
      <vt:variant>
        <vt:i4>6</vt:i4>
      </vt:variant>
      <vt:variant>
        <vt:i4>0</vt:i4>
      </vt:variant>
      <vt:variant>
        <vt:i4>5</vt:i4>
      </vt:variant>
      <vt:variant>
        <vt:lpwstr>https://extranet.itu.int/sites/itu-t/Roadmaps/SitePages/JCA-Cloud-Standard.aspx</vt:lpwstr>
      </vt:variant>
      <vt:variant>
        <vt:lpwstr/>
      </vt:variant>
      <vt:variant>
        <vt:i4>4390986</vt:i4>
      </vt:variant>
      <vt:variant>
        <vt:i4>3</vt:i4>
      </vt:variant>
      <vt:variant>
        <vt:i4>0</vt:i4>
      </vt:variant>
      <vt:variant>
        <vt:i4>5</vt:i4>
      </vt:variant>
      <vt:variant>
        <vt:lpwstr>http://www.itu.int/en/ITU-T/jca/Cloud</vt:lpwstr>
      </vt:variant>
      <vt:variant>
        <vt:lpwstr/>
      </vt:variant>
      <vt:variant>
        <vt:i4>4456539</vt:i4>
      </vt:variant>
      <vt:variant>
        <vt:i4>0</vt:i4>
      </vt:variant>
      <vt:variant>
        <vt:i4>0</vt:i4>
      </vt:variant>
      <vt:variant>
        <vt:i4>5</vt:i4>
      </vt:variant>
      <vt:variant>
        <vt:lpwstr>http://itu.int/ITU-T/e-business/mou/</vt:lpwstr>
      </vt:variant>
      <vt:variant>
        <vt:lpwstr/>
      </vt:variant>
      <vt:variant>
        <vt:i4>2424925</vt:i4>
      </vt:variant>
      <vt:variant>
        <vt:i4>3</vt:i4>
      </vt:variant>
      <vt:variant>
        <vt:i4>0</vt:i4>
      </vt:variant>
      <vt:variant>
        <vt:i4>5</vt:i4>
      </vt:variant>
      <vt:variant>
        <vt:lpwstr>mailto:olivier.dubuisson@orange.com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actions from the Management Group of the MoU on e-business</dc:title>
  <dc:creator>ITU-T representative to the MoU/MG on e-business</dc:creator>
  <cp:keywords>All/17</cp:keywords>
  <dc:description>TD 0686  For: Geneva, 7-16 April 2010_x000d_Document date: _x000d_Saved by ENV106887 at 09:30:24 on 10.11.2009</dc:description>
  <cp:lastModifiedBy>Al-Mnini, Lara</cp:lastModifiedBy>
  <cp:revision>4</cp:revision>
  <cp:lastPrinted>2002-08-01T06:30:00Z</cp:lastPrinted>
  <dcterms:created xsi:type="dcterms:W3CDTF">2018-12-06T10:19:00Z</dcterms:created>
  <dcterms:modified xsi:type="dcterms:W3CDTF">2018-12-06T10:22:00Z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0686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Geneva, 7-16 April 2010</vt:lpwstr>
  </property>
  <property fmtid="{D5CDD505-2E9C-101B-9397-08002B2CF9AE}" pid="7" name="Docauthor">
    <vt:lpwstr>ITU-T representative to the MoU/MG on e-business</vt:lpwstr>
  </property>
</Properties>
</file>