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701B54" w:rsidRPr="00701B54" w14:paraId="2563E441" w14:textId="77777777" w:rsidTr="00F23C36">
        <w:trPr>
          <w:cantSplit/>
        </w:trPr>
        <w:tc>
          <w:tcPr>
            <w:tcW w:w="1191" w:type="dxa"/>
            <w:vMerge w:val="restart"/>
          </w:tcPr>
          <w:p w14:paraId="2D80C30A" w14:textId="77777777" w:rsidR="00701B54" w:rsidRPr="00701B54" w:rsidRDefault="00701B54" w:rsidP="00701B5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1B5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84B3E4D" wp14:editId="39A1DA6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3FC71293" w14:textId="77777777" w:rsidR="00701B54" w:rsidRPr="00701B54" w:rsidRDefault="00701B54" w:rsidP="00701B54">
            <w:pPr>
              <w:rPr>
                <w:sz w:val="16"/>
                <w:szCs w:val="16"/>
              </w:rPr>
            </w:pPr>
            <w:r w:rsidRPr="00701B54">
              <w:rPr>
                <w:sz w:val="16"/>
                <w:szCs w:val="16"/>
              </w:rPr>
              <w:t>INTERNATIONAL TELECOMMUNICATION UNION</w:t>
            </w:r>
          </w:p>
          <w:p w14:paraId="5320773B" w14:textId="77777777" w:rsidR="00701B54" w:rsidRPr="00701B54" w:rsidRDefault="00701B54" w:rsidP="00701B54">
            <w:pPr>
              <w:rPr>
                <w:b/>
                <w:bCs/>
                <w:sz w:val="26"/>
                <w:szCs w:val="26"/>
              </w:rPr>
            </w:pPr>
            <w:r w:rsidRPr="00701B54">
              <w:rPr>
                <w:b/>
                <w:bCs/>
                <w:sz w:val="26"/>
                <w:szCs w:val="26"/>
              </w:rPr>
              <w:t>TELECOMMUNICATION</w:t>
            </w:r>
            <w:r w:rsidRPr="00701B5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AE681" w14:textId="77777777" w:rsidR="00701B54" w:rsidRPr="00701B54" w:rsidRDefault="00701B54" w:rsidP="00701B54">
            <w:pPr>
              <w:rPr>
                <w:sz w:val="20"/>
                <w:szCs w:val="20"/>
              </w:rPr>
            </w:pPr>
            <w:r w:rsidRPr="00701B54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701B54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vAlign w:val="center"/>
          </w:tcPr>
          <w:p w14:paraId="2EB9B510" w14:textId="2E0CCA8F" w:rsidR="00701B54" w:rsidRPr="002F7D92" w:rsidRDefault="005169CD" w:rsidP="001C3E2F">
            <w:pPr>
              <w:pStyle w:val="Docnumber"/>
              <w:rPr>
                <w:sz w:val="32"/>
                <w:szCs w:val="32"/>
              </w:rPr>
            </w:pPr>
            <w:r w:rsidRPr="002F7D92">
              <w:rPr>
                <w:sz w:val="32"/>
                <w:szCs w:val="32"/>
              </w:rPr>
              <w:t>T</w:t>
            </w:r>
            <w:r w:rsidR="002F7D92">
              <w:rPr>
                <w:sz w:val="32"/>
                <w:szCs w:val="32"/>
              </w:rPr>
              <w:t>SAG-T</w:t>
            </w:r>
            <w:r w:rsidRPr="002F7D92">
              <w:rPr>
                <w:sz w:val="32"/>
                <w:szCs w:val="32"/>
              </w:rPr>
              <w:t>D</w:t>
            </w:r>
            <w:r w:rsidR="001C3E2F" w:rsidRPr="002F7D92">
              <w:rPr>
                <w:sz w:val="32"/>
                <w:szCs w:val="32"/>
              </w:rPr>
              <w:t>305</w:t>
            </w:r>
            <w:r w:rsidR="00701B54" w:rsidRPr="002F7D92">
              <w:rPr>
                <w:sz w:val="32"/>
                <w:szCs w:val="32"/>
              </w:rPr>
              <w:t xml:space="preserve"> </w:t>
            </w:r>
          </w:p>
        </w:tc>
      </w:tr>
      <w:bookmarkEnd w:id="0"/>
      <w:tr w:rsidR="00701B54" w:rsidRPr="00701B54" w14:paraId="237D2F31" w14:textId="77777777" w:rsidTr="00F23C36">
        <w:trPr>
          <w:cantSplit/>
        </w:trPr>
        <w:tc>
          <w:tcPr>
            <w:tcW w:w="1191" w:type="dxa"/>
            <w:vMerge/>
          </w:tcPr>
          <w:p w14:paraId="0438695C" w14:textId="77777777" w:rsidR="00701B54" w:rsidRPr="00701B54" w:rsidRDefault="00701B54" w:rsidP="00701B54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032E9670" w14:textId="77777777" w:rsidR="00701B54" w:rsidRPr="00701B54" w:rsidRDefault="00701B54" w:rsidP="00701B54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2D4DFA04" w14:textId="607166ED" w:rsidR="00701B54" w:rsidRPr="00701B54" w:rsidRDefault="00701B54" w:rsidP="00701B5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701B54" w:rsidRPr="00701B54" w14:paraId="28870E53" w14:textId="77777777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4883D13" w14:textId="77777777" w:rsidR="00701B54" w:rsidRPr="00701B54" w:rsidRDefault="00701B54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499BC650" w14:textId="77777777" w:rsidR="00701B54" w:rsidRPr="00701B54" w:rsidRDefault="00701B54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7813BEAE" w14:textId="77777777" w:rsidR="00701B54" w:rsidRPr="00701B54" w:rsidRDefault="00701B54" w:rsidP="00701B54">
            <w:pPr>
              <w:jc w:val="right"/>
              <w:rPr>
                <w:b/>
                <w:bCs/>
                <w:sz w:val="28"/>
                <w:szCs w:val="28"/>
              </w:rPr>
            </w:pPr>
            <w:r w:rsidRPr="00701B5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01B54" w:rsidRPr="00701B54" w14:paraId="126981D5" w14:textId="77777777" w:rsidTr="00F23C36">
        <w:trPr>
          <w:cantSplit/>
        </w:trPr>
        <w:tc>
          <w:tcPr>
            <w:tcW w:w="1617" w:type="dxa"/>
            <w:gridSpan w:val="3"/>
          </w:tcPr>
          <w:p w14:paraId="603D5C65" w14:textId="77777777" w:rsidR="00701B54" w:rsidRPr="00701B54" w:rsidRDefault="00701B54" w:rsidP="00701B5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701B54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2D0E6B28" w14:textId="4876C5DD" w:rsidR="00701B54" w:rsidRPr="00701B54" w:rsidRDefault="00110502" w:rsidP="00701B54">
            <w:r>
              <w:t>N/A</w:t>
            </w:r>
          </w:p>
        </w:tc>
        <w:tc>
          <w:tcPr>
            <w:tcW w:w="4681" w:type="dxa"/>
          </w:tcPr>
          <w:p w14:paraId="1D31968E" w14:textId="17E7F9D6" w:rsidR="00701B54" w:rsidRPr="00701B54" w:rsidRDefault="00701B54" w:rsidP="001C3E2F">
            <w:pPr>
              <w:jc w:val="right"/>
            </w:pPr>
            <w:r w:rsidRPr="00701B54">
              <w:t xml:space="preserve">Geneva, </w:t>
            </w:r>
            <w:r w:rsidR="001C3E2F">
              <w:t>10-14 December</w:t>
            </w:r>
            <w:r w:rsidR="00E6292E">
              <w:t xml:space="preserve"> 2018</w:t>
            </w:r>
          </w:p>
        </w:tc>
      </w:tr>
      <w:tr w:rsidR="00701B54" w:rsidRPr="00701B54" w14:paraId="3223CFA5" w14:textId="77777777" w:rsidTr="00F23C36">
        <w:trPr>
          <w:cantSplit/>
        </w:trPr>
        <w:tc>
          <w:tcPr>
            <w:tcW w:w="9923" w:type="dxa"/>
            <w:gridSpan w:val="5"/>
          </w:tcPr>
          <w:p w14:paraId="74A67D5A" w14:textId="5E7E3F90" w:rsidR="00701B54" w:rsidRPr="00701B54" w:rsidRDefault="00701B54" w:rsidP="00701B54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01B54">
              <w:rPr>
                <w:b/>
                <w:bCs/>
              </w:rPr>
              <w:t>TD</w:t>
            </w:r>
          </w:p>
        </w:tc>
      </w:tr>
      <w:tr w:rsidR="00701B54" w:rsidRPr="00701B54" w14:paraId="2A1230A7" w14:textId="77777777" w:rsidTr="00F23C36">
        <w:trPr>
          <w:cantSplit/>
        </w:trPr>
        <w:tc>
          <w:tcPr>
            <w:tcW w:w="1617" w:type="dxa"/>
            <w:gridSpan w:val="3"/>
          </w:tcPr>
          <w:p w14:paraId="22E1C0CA" w14:textId="77777777" w:rsidR="00701B54" w:rsidRPr="00701B54" w:rsidRDefault="00701B54" w:rsidP="00701B54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01B5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14:paraId="49ADC2AD" w14:textId="7763FEC5" w:rsidR="00701B54" w:rsidRPr="00701B54" w:rsidRDefault="00701B54" w:rsidP="00701B54">
            <w:r w:rsidRPr="00701B54">
              <w:t>Chairman, ITU-T SG12</w:t>
            </w:r>
          </w:p>
        </w:tc>
      </w:tr>
      <w:tr w:rsidR="00701B54" w:rsidRPr="00701B54" w14:paraId="3A56F3A5" w14:textId="77777777" w:rsidTr="00F23C36">
        <w:trPr>
          <w:cantSplit/>
        </w:trPr>
        <w:tc>
          <w:tcPr>
            <w:tcW w:w="1617" w:type="dxa"/>
            <w:gridSpan w:val="3"/>
          </w:tcPr>
          <w:p w14:paraId="16E14D4A" w14:textId="77777777" w:rsidR="00701B54" w:rsidRPr="00701B54" w:rsidRDefault="00701B54" w:rsidP="00701B54">
            <w:bookmarkStart w:id="9" w:name="dtitle1" w:colFirst="1" w:colLast="1"/>
            <w:bookmarkEnd w:id="8"/>
            <w:r w:rsidRPr="00701B5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</w:tcPr>
          <w:p w14:paraId="5C5EC275" w14:textId="39047C9D" w:rsidR="00701B54" w:rsidRPr="00701B54" w:rsidRDefault="00701B54" w:rsidP="00514631">
            <w:r w:rsidRPr="00701B54">
              <w:t xml:space="preserve">Report on </w:t>
            </w:r>
            <w:r w:rsidR="00861E34">
              <w:t xml:space="preserve">ITU-T </w:t>
            </w:r>
            <w:r w:rsidRPr="00701B54">
              <w:t>SG12 lead activities (</w:t>
            </w:r>
            <w:r w:rsidR="001C3E2F">
              <w:t>February</w:t>
            </w:r>
            <w:r w:rsidR="00E6292E">
              <w:t xml:space="preserve"> 201</w:t>
            </w:r>
            <w:r w:rsidR="001C3E2F">
              <w:t>8</w:t>
            </w:r>
            <w:r w:rsidR="00E6292E">
              <w:t xml:space="preserve"> – </w:t>
            </w:r>
            <w:r w:rsidR="001C3E2F">
              <w:t>December</w:t>
            </w:r>
            <w:r w:rsidR="00E6292E">
              <w:t xml:space="preserve"> 2018</w:t>
            </w:r>
            <w:r w:rsidRPr="00701B54">
              <w:t>)</w:t>
            </w:r>
          </w:p>
        </w:tc>
      </w:tr>
      <w:tr w:rsidR="00701B54" w:rsidRPr="00701B54" w14:paraId="1441B862" w14:textId="77777777" w:rsidTr="00F23C36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34CDE56C" w14:textId="77777777" w:rsidR="00701B54" w:rsidRPr="00701B54" w:rsidRDefault="00701B54" w:rsidP="00701B54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01B54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2"/>
            <w:tcBorders>
              <w:bottom w:val="single" w:sz="8" w:space="0" w:color="auto"/>
            </w:tcBorders>
          </w:tcPr>
          <w:p w14:paraId="59E729F6" w14:textId="51D84A50" w:rsidR="00701B54" w:rsidRPr="00701B54" w:rsidRDefault="005169CD" w:rsidP="00701B54">
            <w:r>
              <w:t>Information</w:t>
            </w:r>
          </w:p>
        </w:tc>
      </w:tr>
      <w:bookmarkEnd w:id="2"/>
      <w:bookmarkEnd w:id="10"/>
      <w:tr w:rsidR="002A11C4" w:rsidRPr="005D3265" w14:paraId="574D4B2C" w14:textId="77777777" w:rsidTr="00881C84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63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264DE374" w:rsidR="002A11C4" w:rsidRPr="00136DDD" w:rsidRDefault="00861E34" w:rsidP="008F027C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8F027C" w:rsidRPr="008F027C">
                  <w:rPr>
                    <w:lang w:val="en-US"/>
                  </w:rPr>
                  <w:t xml:space="preserve">Kwame </w:t>
                </w:r>
                <w:proofErr w:type="spellStart"/>
                <w:r w:rsidR="008F027C" w:rsidRPr="008F027C">
                  <w:rPr>
                    <w:lang w:val="en-US"/>
                  </w:rPr>
                  <w:t>Baah-Acheamfuor</w:t>
                </w:r>
                <w:proofErr w:type="spellEnd"/>
                <w:r w:rsidR="008F027C" w:rsidRPr="008F027C">
                  <w:rPr>
                    <w:lang w:val="en-US"/>
                  </w:rPr>
                  <w:br/>
                  <w:t>Na</w:t>
                </w:r>
                <w:r w:rsidR="008F027C">
                  <w:rPr>
                    <w:lang w:val="en-US"/>
                  </w:rPr>
                  <w:t>tional Communications Authority</w:t>
                </w:r>
                <w:r w:rsidR="008F027C" w:rsidRPr="008F027C">
                  <w:rPr>
                    <w:lang w:val="en-US"/>
                  </w:rPr>
                  <w:t xml:space="preserve"> </w:t>
                </w:r>
                <w:r w:rsidR="008F027C" w:rsidRPr="008F027C">
                  <w:rPr>
                    <w:lang w:val="en-US"/>
                  </w:rPr>
                  <w:br/>
                </w:r>
                <w:r w:rsidR="008F027C">
                  <w:rPr>
                    <w:lang w:val="en-US"/>
                  </w:rPr>
                  <w:t>Ghana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67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3554959E" w:rsidR="002A11C4" w:rsidRPr="00FF1151" w:rsidRDefault="002A11C4" w:rsidP="00881C84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Tel: </w:t>
                </w:r>
                <w:r w:rsidR="008F027C" w:rsidRPr="008F027C">
                  <w:rPr>
                    <w:lang w:val="pt-BR"/>
                  </w:rPr>
                  <w:t>+233 24 6375700</w:t>
                </w:r>
                <w:r w:rsidR="008F027C">
                  <w:rPr>
                    <w:lang w:val="pt-BR"/>
                  </w:rPr>
                  <w:br/>
                </w:r>
                <w:r w:rsidRPr="00FF1151">
                  <w:rPr>
                    <w:lang w:val="pt-BR"/>
                  </w:rPr>
                  <w:t xml:space="preserve">E-mail: </w:t>
                </w:r>
                <w:hyperlink r:id="rId11" w:history="1">
                  <w:r w:rsidR="008F027C" w:rsidRPr="00E20068">
                    <w:rPr>
                      <w:rStyle w:val="Hyperlink"/>
                      <w:rFonts w:ascii="Times New Roman" w:hAnsi="Times New Roman"/>
                      <w:lang w:val="pt-BR"/>
                    </w:rPr>
                    <w:t>kwame.baah-acheamfuor@nca.org.gh</w:t>
                  </w:r>
                </w:hyperlink>
                <w:r w:rsidR="008F027C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4D4C2A3E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3B2E1AE1" w14:textId="77777777" w:rsidTr="005571A4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75E3B1EF" w14:textId="165EE98D" w:rsidR="0089088E" w:rsidRPr="00136DDD" w:rsidRDefault="00861E34" w:rsidP="008E2B26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proofErr w:type="spellStart"/>
                <w:r w:rsidR="00EA2C4C">
                  <w:rPr>
                    <w:lang w:val="en-US"/>
                  </w:rPr>
                  <w:t>QoS</w:t>
                </w:r>
                <w:proofErr w:type="spellEnd"/>
                <w:r w:rsidR="00EA2C4C">
                  <w:rPr>
                    <w:lang w:val="en-US"/>
                  </w:rPr>
                  <w:t xml:space="preserve">; </w:t>
                </w:r>
                <w:proofErr w:type="spellStart"/>
                <w:r w:rsidR="00EA2C4C">
                  <w:rPr>
                    <w:lang w:val="en-US"/>
                  </w:rPr>
                  <w:t>QoE</w:t>
                </w:r>
                <w:proofErr w:type="spellEnd"/>
                <w:r w:rsidR="00EA2C4C">
                  <w:rPr>
                    <w:lang w:val="en-US"/>
                  </w:rPr>
                  <w:t>; driver distraction; car communications; video quality;</w:t>
                </w:r>
                <w:r w:rsidR="001C3E2F">
                  <w:rPr>
                    <w:lang w:val="en-US"/>
                  </w:rPr>
                  <w:t xml:space="preserve"> </w:t>
                </w:r>
                <w:r w:rsidR="008E2B26">
                  <w:rPr>
                    <w:lang w:val="en-US"/>
                  </w:rPr>
                  <w:t>SG12</w:t>
                </w:r>
                <w:r>
                  <w:rPr>
                    <w:lang w:val="en-US"/>
                  </w:rPr>
                  <w:t>;</w:t>
                </w:r>
              </w:sdtContent>
            </w:sdt>
          </w:p>
        </w:tc>
      </w:tr>
      <w:tr w:rsidR="0089088E" w:rsidRPr="00136DDD" w14:paraId="7D0F8B1C" w14:textId="77777777" w:rsidTr="005571A4">
        <w:trPr>
          <w:cantSplit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4BE3CBD5" w14:textId="0D3CA533" w:rsidR="0089088E" w:rsidRPr="00136DDD" w:rsidRDefault="007C6288" w:rsidP="005D3265">
                <w:r w:rsidRPr="007C6288">
                  <w:t>In line with WTSA-16 Resolution 1, this report provides updates about the S</w:t>
                </w:r>
                <w:r w:rsidR="005D3265">
                  <w:t xml:space="preserve">G12 </w:t>
                </w:r>
                <w:proofErr w:type="gramStart"/>
                <w:r w:rsidR="005D3265">
                  <w:t>lead study group activities</w:t>
                </w:r>
                <w:proofErr w:type="gramEnd"/>
                <w:r w:rsidRPr="007C6288">
                  <w:t>.</w:t>
                </w:r>
              </w:p>
            </w:tc>
          </w:sdtContent>
        </w:sdt>
      </w:tr>
    </w:tbl>
    <w:p w14:paraId="00577B56" w14:textId="77777777" w:rsidR="007F671C" w:rsidRDefault="007F671C" w:rsidP="00701B54">
      <w:pPr>
        <w:pStyle w:val="Heading2"/>
      </w:pPr>
      <w:r>
        <w:t>Lead study group on quality of service and quality of experience</w:t>
      </w:r>
    </w:p>
    <w:p w14:paraId="55E785BF" w14:textId="4CF43A89" w:rsidR="00E6292E" w:rsidRDefault="00E6292E" w:rsidP="001C3E2F">
      <w:r>
        <w:t xml:space="preserve">In the reporting </w:t>
      </w:r>
      <w:r w:rsidR="0028342B">
        <w:t>period</w:t>
      </w:r>
      <w:r>
        <w:t xml:space="preserve">, SG12 held </w:t>
      </w:r>
      <w:r w:rsidR="001C3E2F">
        <w:t>two</w:t>
      </w:r>
      <w:r>
        <w:t xml:space="preserve"> study group meeting</w:t>
      </w:r>
      <w:r w:rsidR="001C3E2F">
        <w:t>s</w:t>
      </w:r>
      <w:r>
        <w:t xml:space="preserve">; one meeting of its Regional Group </w:t>
      </w:r>
      <w:r w:rsidRPr="00E6292E">
        <w:t xml:space="preserve">on </w:t>
      </w:r>
      <w:proofErr w:type="spellStart"/>
      <w:r w:rsidRPr="00E6292E">
        <w:t>QoS</w:t>
      </w:r>
      <w:proofErr w:type="spellEnd"/>
      <w:r w:rsidRPr="00E6292E">
        <w:t xml:space="preserve"> for the Africa Region </w:t>
      </w:r>
      <w:r>
        <w:t xml:space="preserve">(SG12RG-AFR); one meeting of the Quality of Service Development Group (QSDG); and organized </w:t>
      </w:r>
      <w:r w:rsidR="001C3E2F">
        <w:t>three</w:t>
      </w:r>
      <w:r>
        <w:t xml:space="preserve"> workshops. </w:t>
      </w:r>
    </w:p>
    <w:p w14:paraId="1DFEF47B" w14:textId="4F761D7A" w:rsidR="0028342B" w:rsidRDefault="0028342B" w:rsidP="001C3E2F">
      <w:r>
        <w:t xml:space="preserve">Since the last meeting of TSAG, </w:t>
      </w:r>
      <w:r w:rsidR="001C3E2F">
        <w:t>new</w:t>
      </w:r>
      <w:r>
        <w:t xml:space="preserve"> organizations have enrolled in ITU-T SG12 as new Associates, a positive trend that </w:t>
      </w:r>
      <w:proofErr w:type="gramStart"/>
      <w:r>
        <w:t>can be attributed</w:t>
      </w:r>
      <w:proofErr w:type="gramEnd"/>
      <w:r>
        <w:t xml:space="preserve"> to proactive outreach, </w:t>
      </w:r>
      <w:r w:rsidR="001C3E2F">
        <w:t xml:space="preserve">technically sound </w:t>
      </w:r>
      <w:r>
        <w:t xml:space="preserve">outputs, and constructive and cordial working environment. </w:t>
      </w:r>
    </w:p>
    <w:p w14:paraId="2D83D42A" w14:textId="4D41C4E8" w:rsidR="00110502" w:rsidRDefault="0028342B" w:rsidP="001C3E2F">
      <w:r>
        <w:t xml:space="preserve">The executive summary of the </w:t>
      </w:r>
      <w:r w:rsidR="001C3E2F">
        <w:t>May 2018</w:t>
      </w:r>
      <w:r>
        <w:t xml:space="preserve"> meeting of SG12 </w:t>
      </w:r>
      <w:proofErr w:type="gramStart"/>
      <w:r>
        <w:t>can be found</w:t>
      </w:r>
      <w:proofErr w:type="gramEnd"/>
      <w:r>
        <w:t xml:space="preserve"> at </w:t>
      </w:r>
      <w:r w:rsidR="001C3E2F" w:rsidRPr="001C3E2F">
        <w:rPr>
          <w:rStyle w:val="Hyperlink"/>
          <w:rFonts w:ascii="Times New Roman" w:hAnsi="Times New Roman"/>
        </w:rPr>
        <w:t>https://www.itu.int/en/ITU-T/studygroups/2017-2020/12/Pages/1805-summary.aspx</w:t>
      </w:r>
      <w:r>
        <w:t xml:space="preserve">. </w:t>
      </w:r>
      <w:r w:rsidR="00C14F6D" w:rsidRPr="00C14F6D">
        <w:t>A webinar</w:t>
      </w:r>
      <w:r w:rsidR="001C3E2F">
        <w:t xml:space="preserve"> </w:t>
      </w:r>
      <w:r w:rsidR="001C3E2F" w:rsidRPr="001C3E2F">
        <w:t>(</w:t>
      </w:r>
      <w:hyperlink r:id="rId12" w:history="1">
        <w:r w:rsidR="001C3E2F" w:rsidRPr="001C3E2F">
          <w:rPr>
            <w:rStyle w:val="Hyperlink"/>
            <w:rFonts w:ascii="Times New Roman" w:hAnsi="Times New Roman"/>
          </w:rPr>
          <w:t>announcement</w:t>
        </w:r>
      </w:hyperlink>
      <w:r w:rsidR="001C3E2F" w:rsidRPr="001C3E2F">
        <w:t> | </w:t>
      </w:r>
      <w:hyperlink r:id="rId13" w:history="1">
        <w:r w:rsidR="001C3E2F" w:rsidRPr="001C3E2F">
          <w:rPr>
            <w:rStyle w:val="Hyperlink"/>
            <w:rFonts w:ascii="Times New Roman" w:hAnsi="Times New Roman"/>
          </w:rPr>
          <w:t>recording</w:t>
        </w:r>
      </w:hyperlink>
      <w:r w:rsidR="001C3E2F" w:rsidRPr="001C3E2F">
        <w:t> | </w:t>
      </w:r>
      <w:hyperlink r:id="rId14" w:history="1">
        <w:r w:rsidR="001C3E2F" w:rsidRPr="001C3E2F">
          <w:rPr>
            <w:rStyle w:val="Hyperlink"/>
            <w:rFonts w:ascii="Times New Roman" w:hAnsi="Times New Roman"/>
          </w:rPr>
          <w:t>slides</w:t>
        </w:r>
      </w:hyperlink>
      <w:r w:rsidR="001C3E2F" w:rsidRPr="001C3E2F">
        <w:t>) </w:t>
      </w:r>
      <w:r w:rsidR="00C14F6D" w:rsidRPr="00C14F6D">
        <w:t>was held following the closing plenary, s</w:t>
      </w:r>
      <w:r w:rsidR="001C3E2F">
        <w:t>ummarizing key meeting results.</w:t>
      </w:r>
    </w:p>
    <w:p w14:paraId="6F2BC98A" w14:textId="606CBDFB" w:rsidR="001C3E2F" w:rsidRDefault="001C3E2F" w:rsidP="001C3E2F">
      <w:r>
        <w:t xml:space="preserve">The second meeting of SG12 this year concluded last Thursday, 6 December. The traditional webinar </w:t>
      </w:r>
      <w:r w:rsidRPr="00C14F6D">
        <w:t>was held following the closing plenary, s</w:t>
      </w:r>
      <w:r>
        <w:t>ummarizing key meeting results (</w:t>
      </w:r>
      <w:hyperlink r:id="rId15" w:history="1">
        <w:r w:rsidRPr="001C3E2F">
          <w:rPr>
            <w:rStyle w:val="Hyperlink"/>
            <w:rFonts w:ascii="Times New Roman" w:hAnsi="Times New Roman"/>
          </w:rPr>
          <w:t>announcement</w:t>
        </w:r>
      </w:hyperlink>
      <w:r>
        <w:t xml:space="preserve"> | </w:t>
      </w:r>
      <w:hyperlink r:id="rId16" w:history="1">
        <w:r w:rsidRPr="001C3E2F">
          <w:rPr>
            <w:rStyle w:val="Hyperlink"/>
            <w:rFonts w:ascii="Times New Roman" w:hAnsi="Times New Roman"/>
          </w:rPr>
          <w:t>recording</w:t>
        </w:r>
      </w:hyperlink>
      <w:r>
        <w:t xml:space="preserve"> | </w:t>
      </w:r>
      <w:hyperlink r:id="rId17" w:history="1">
        <w:r w:rsidRPr="001C3E2F">
          <w:rPr>
            <w:rStyle w:val="Hyperlink"/>
            <w:rFonts w:ascii="Times New Roman" w:hAnsi="Times New Roman"/>
          </w:rPr>
          <w:t>slides</w:t>
        </w:r>
      </w:hyperlink>
      <w:r>
        <w:t>).</w:t>
      </w:r>
    </w:p>
    <w:p w14:paraId="7087EFAB" w14:textId="77777777" w:rsidR="001C3E2F" w:rsidRDefault="0028342B" w:rsidP="001C3E2F">
      <w:r>
        <w:t>Among other achievements</w:t>
      </w:r>
      <w:r w:rsidR="001C3E2F">
        <w:t xml:space="preserve"> in the reporting period</w:t>
      </w:r>
      <w:r>
        <w:t xml:space="preserve">, </w:t>
      </w:r>
      <w:r w:rsidR="00E6292E">
        <w:t xml:space="preserve">SG12 </w:t>
      </w:r>
      <w:r w:rsidR="001C3E2F">
        <w:t>revised and amended Recommendations ITU-T E.802 (“</w:t>
      </w:r>
      <w:r w:rsidR="001C3E2F" w:rsidRPr="001C3E2F">
        <w:t xml:space="preserve">Framework and methodologies for the determination and application of </w:t>
      </w:r>
      <w:proofErr w:type="spellStart"/>
      <w:r w:rsidR="001C3E2F" w:rsidRPr="001C3E2F">
        <w:t>QoS</w:t>
      </w:r>
      <w:proofErr w:type="spellEnd"/>
      <w:r w:rsidR="001C3E2F" w:rsidRPr="001C3E2F">
        <w:t xml:space="preserve"> parameters</w:t>
      </w:r>
      <w:r w:rsidR="001C3E2F">
        <w:t>”), P.501 (“</w:t>
      </w:r>
      <w:r w:rsidR="001C3E2F" w:rsidRPr="001C3E2F">
        <w:t xml:space="preserve">Test signals for use in </w:t>
      </w:r>
      <w:proofErr w:type="spellStart"/>
      <w:r w:rsidR="001C3E2F" w:rsidRPr="001C3E2F">
        <w:t>telephonometry</w:t>
      </w:r>
      <w:proofErr w:type="spellEnd"/>
      <w:r w:rsidR="001C3E2F">
        <w:t>”), Y.1543 (“</w:t>
      </w:r>
      <w:r w:rsidR="001C3E2F" w:rsidRPr="001C3E2F">
        <w:t>Measurements in IP networks for inter-domain performance assessment</w:t>
      </w:r>
      <w:r w:rsidR="001C3E2F">
        <w:t>”) and Y.1546 (“</w:t>
      </w:r>
      <w:r w:rsidR="001C3E2F" w:rsidRPr="001C3E2F">
        <w:t>Hand-over performance among multiple access networks”</w:t>
      </w:r>
      <w:r w:rsidR="001C3E2F">
        <w:t>).</w:t>
      </w:r>
    </w:p>
    <w:p w14:paraId="3002D5B9" w14:textId="5AF7A4F5" w:rsidR="00F441E1" w:rsidRDefault="001C3E2F" w:rsidP="001C3E2F">
      <w:r>
        <w:t>New Recommendations address “</w:t>
      </w:r>
      <w:r w:rsidRPr="001C3E2F">
        <w:t>Artificial noise-fields in laboratory conditions</w:t>
      </w:r>
      <w:r>
        <w:t>” (ITU-T P.</w:t>
      </w:r>
      <w:r w:rsidR="00F441E1">
        <w:t>570 (06/18)), “</w:t>
      </w:r>
      <w:r w:rsidR="00F441E1" w:rsidRPr="00F441E1">
        <w:t>Subjective evaluation of speech quality with a crowdsourcing approach</w:t>
      </w:r>
      <w:r w:rsidR="00F441E1">
        <w:t>” (ITU-T P.808 (06/18)), “</w:t>
      </w:r>
      <w:r w:rsidR="00F441E1" w:rsidRPr="00F441E1">
        <w:t>Statistical framework for end to end network-performance benchmark scoring and ranking</w:t>
      </w:r>
      <w:r w:rsidR="00F441E1">
        <w:t>” (ITU-T E.840 (06/18)).</w:t>
      </w:r>
    </w:p>
    <w:p w14:paraId="69803BD8" w14:textId="30220BEC" w:rsidR="00F441E1" w:rsidRDefault="00F441E1" w:rsidP="00F441E1">
      <w:r>
        <w:lastRenderedPageBreak/>
        <w:t>The recent SG12 meeting consented a revision to ITU-T G.191 “</w:t>
      </w:r>
      <w:r w:rsidRPr="00F441E1">
        <w:t>Software tools for speech and audio coding standardization</w:t>
      </w:r>
      <w:r>
        <w:t xml:space="preserve">”. </w:t>
      </w:r>
      <w:r w:rsidRPr="00F441E1">
        <w:t xml:space="preserve">The revision represents a major overhaul of the software tool library and </w:t>
      </w:r>
      <w:proofErr w:type="gramStart"/>
      <w:r w:rsidRPr="00F441E1">
        <w:t>was developed</w:t>
      </w:r>
      <w:proofErr w:type="gramEnd"/>
      <w:r w:rsidRPr="00F441E1">
        <w:t xml:space="preserve"> in an open source software project on GitHub, </w:t>
      </w:r>
      <w:hyperlink r:id="rId18" w:history="1">
        <w:r w:rsidRPr="008C5D56">
          <w:rPr>
            <w:rStyle w:val="Hyperlink"/>
            <w:rFonts w:ascii="Times New Roman" w:hAnsi="Times New Roman"/>
          </w:rPr>
          <w:t>https://github.com/openitu/STL</w:t>
        </w:r>
      </w:hyperlink>
      <w:r>
        <w:t xml:space="preserve">. </w:t>
      </w:r>
    </w:p>
    <w:p w14:paraId="25302172" w14:textId="6BB69C8C" w:rsidR="00F441E1" w:rsidRDefault="00F441E1" w:rsidP="00373BEA">
      <w:r>
        <w:t>The meeting also gave consent to Recommendation ITU-T Y.</w:t>
      </w:r>
      <w:r w:rsidR="00373BEA">
        <w:t>1550</w:t>
      </w:r>
      <w:r>
        <w:t xml:space="preserve"> “Considerations for realizing virtual measurement systems”, the first in a series of Recommendations on virtual measurement systems studied under Question 8/12 (Virtualized deployment of recommended methods for network performance, </w:t>
      </w:r>
      <w:proofErr w:type="spellStart"/>
      <w:r>
        <w:t>QoS</w:t>
      </w:r>
      <w:proofErr w:type="spellEnd"/>
      <w:r>
        <w:t xml:space="preserve"> and </w:t>
      </w:r>
      <w:proofErr w:type="spellStart"/>
      <w:r>
        <w:t>QoE</w:t>
      </w:r>
      <w:proofErr w:type="spellEnd"/>
      <w:r>
        <w:t xml:space="preserve"> assessment), established by WTSA-16.</w:t>
      </w:r>
    </w:p>
    <w:p w14:paraId="1EA8E43B" w14:textId="3538AC2B" w:rsidR="00F441E1" w:rsidRDefault="00373BEA" w:rsidP="00373BEA">
      <w:pPr>
        <w:rPr>
          <w:lang w:val="en-US"/>
        </w:rPr>
      </w:pPr>
      <w:r>
        <w:rPr>
          <w:lang w:val="en-US"/>
        </w:rPr>
        <w:t>SG12 also finalized work on a “</w:t>
      </w:r>
      <w:r w:rsidRPr="00373BEA">
        <w:rPr>
          <w:lang w:val="en-US"/>
        </w:rPr>
        <w:t>Subjective test methodology for evaluating speech oriented stereo communication systems over headphones</w:t>
      </w:r>
      <w:r>
        <w:rPr>
          <w:lang w:val="en-US"/>
        </w:rPr>
        <w:t>” which will be known as P.811.</w:t>
      </w:r>
    </w:p>
    <w:p w14:paraId="5A31B6E6" w14:textId="4CBE2E9B" w:rsidR="00373BEA" w:rsidRDefault="00373BEA" w:rsidP="00373BEA">
      <w:pPr>
        <w:rPr>
          <w:lang w:val="en-US"/>
        </w:rPr>
      </w:pPr>
      <w:r>
        <w:rPr>
          <w:lang w:val="en-US"/>
        </w:rPr>
        <w:t xml:space="preserve">Achievements related to video communications and applications </w:t>
      </w:r>
      <w:proofErr w:type="gramStart"/>
      <w:r>
        <w:rPr>
          <w:lang w:val="en-US"/>
        </w:rPr>
        <w:t>will be discussed</w:t>
      </w:r>
      <w:proofErr w:type="gramEnd"/>
      <w:r>
        <w:rPr>
          <w:lang w:val="en-US"/>
        </w:rPr>
        <w:t xml:space="preserve"> below.</w:t>
      </w:r>
    </w:p>
    <w:p w14:paraId="370ED2D7" w14:textId="77777777" w:rsidR="005D3265" w:rsidRPr="00F441E1" w:rsidRDefault="005D3265" w:rsidP="00373BEA">
      <w:pPr>
        <w:rPr>
          <w:lang w:val="en-US"/>
        </w:rPr>
      </w:pPr>
    </w:p>
    <w:p w14:paraId="372351C8" w14:textId="77777777" w:rsidR="007F671C" w:rsidRDefault="007F671C" w:rsidP="00701B54">
      <w:pPr>
        <w:pStyle w:val="Heading2"/>
      </w:pPr>
      <w:r>
        <w:t>Lead study group on driver distraction and voice aspects of car communications</w:t>
      </w:r>
    </w:p>
    <w:p w14:paraId="550F32DC" w14:textId="77777777" w:rsidR="00373BEA" w:rsidRDefault="00012A0A" w:rsidP="00373BEA">
      <w:r>
        <w:t>Q4/12 on o</w:t>
      </w:r>
      <w:r w:rsidRPr="00012A0A">
        <w:t xml:space="preserve">bjective methods for speech and audio evaluation in vehicles </w:t>
      </w:r>
      <w:r>
        <w:t xml:space="preserve">held </w:t>
      </w:r>
      <w:r w:rsidR="00373BEA">
        <w:t>one</w:t>
      </w:r>
      <w:r>
        <w:t xml:space="preserve"> rapporteur group meeting in the reporting period. </w:t>
      </w:r>
    </w:p>
    <w:p w14:paraId="7A78C062" w14:textId="64560096" w:rsidR="00373BEA" w:rsidRDefault="00373BEA" w:rsidP="00373BEA">
      <w:r>
        <w:t>R</w:t>
      </w:r>
      <w:r w:rsidR="00012A0A">
        <w:t xml:space="preserve">evisions to </w:t>
      </w:r>
      <w:r w:rsidR="00AB782D" w:rsidRPr="00AB782D">
        <w:t xml:space="preserve">Recommendations </w:t>
      </w:r>
      <w:r w:rsidR="00012A0A">
        <w:t xml:space="preserve">ITU-T P.1100 and P.1110 on </w:t>
      </w:r>
      <w:r w:rsidR="00012A0A" w:rsidRPr="00012A0A">
        <w:t>hands-free communication in motor vehicles</w:t>
      </w:r>
      <w:r>
        <w:t xml:space="preserve"> were consented on 6 December 2018</w:t>
      </w:r>
      <w:r w:rsidR="00012A0A">
        <w:t xml:space="preserve">. </w:t>
      </w:r>
    </w:p>
    <w:p w14:paraId="191505A3" w14:textId="77777777" w:rsidR="00373BEA" w:rsidRDefault="00012A0A" w:rsidP="00373BEA">
      <w:r>
        <w:t xml:space="preserve">The </w:t>
      </w:r>
      <w:r w:rsidR="00AB782D">
        <w:t>work item on t</w:t>
      </w:r>
      <w:r w:rsidR="00AB782D" w:rsidRPr="00AB782D">
        <w:t>ransmission characteristics for in car communication (P.ICC)</w:t>
      </w:r>
      <w:r w:rsidR="00AB782D">
        <w:t xml:space="preserve"> </w:t>
      </w:r>
      <w:r w:rsidR="00373BEA">
        <w:t xml:space="preserve">is seeing great interest from the automotive industry and </w:t>
      </w:r>
      <w:r>
        <w:t xml:space="preserve">remains a key </w:t>
      </w:r>
      <w:r w:rsidR="00373BEA">
        <w:t xml:space="preserve">priority for SG12. Completion </w:t>
      </w:r>
      <w:proofErr w:type="gramStart"/>
      <w:r w:rsidR="00373BEA">
        <w:t>is targeted</w:t>
      </w:r>
      <w:proofErr w:type="gramEnd"/>
      <w:r w:rsidR="00373BEA">
        <w:t xml:space="preserve"> for 2019</w:t>
      </w:r>
      <w:r w:rsidR="00AB782D">
        <w:t>.</w:t>
      </w:r>
      <w:r w:rsidR="00373BEA">
        <w:t xml:space="preserve"> </w:t>
      </w:r>
    </w:p>
    <w:p w14:paraId="6F837404" w14:textId="4139630F" w:rsidR="00AB782D" w:rsidRDefault="00373BEA" w:rsidP="00373BEA">
      <w:r>
        <w:t xml:space="preserve">SG12 is liaising with the newly established Focus Group on </w:t>
      </w:r>
      <w:r w:rsidRPr="00373BEA">
        <w:t>Vehicular Multimedia</w:t>
      </w:r>
      <w:r>
        <w:t>.</w:t>
      </w:r>
    </w:p>
    <w:p w14:paraId="519A1469" w14:textId="77777777" w:rsidR="005D3265" w:rsidRPr="00373BEA" w:rsidRDefault="005D3265" w:rsidP="00373BEA">
      <w:pPr>
        <w:rPr>
          <w:lang w:val="en-US"/>
        </w:rPr>
      </w:pPr>
    </w:p>
    <w:p w14:paraId="6F02D08A" w14:textId="610540B2" w:rsidR="007F671C" w:rsidRDefault="007F671C" w:rsidP="00701B54">
      <w:pPr>
        <w:pStyle w:val="Heading2"/>
      </w:pPr>
      <w:r>
        <w:t>Lead study group on quality assessment of video communications and applications</w:t>
      </w:r>
    </w:p>
    <w:p w14:paraId="463F3F8E" w14:textId="46A0B0FA" w:rsidR="00373BEA" w:rsidRDefault="00373BEA" w:rsidP="00E61956">
      <w:proofErr w:type="gramStart"/>
      <w:r>
        <w:t xml:space="preserve">Several Recommendations discussing on quality assessment of video communications and applications were </w:t>
      </w:r>
      <w:r w:rsidR="00E61956">
        <w:t>revised</w:t>
      </w:r>
      <w:r>
        <w:t xml:space="preserve"> by </w:t>
      </w:r>
      <w:r w:rsidR="00067FDC">
        <w:t xml:space="preserve">SG12 </w:t>
      </w:r>
      <w:r>
        <w:t>in the reporting timeframe: This includes revisions to the “</w:t>
      </w:r>
      <w:r w:rsidRPr="00373BEA">
        <w:t>Opinion model fo</w:t>
      </w:r>
      <w:r>
        <w:t>r video-telephony applications” (ITU-T G.1070 (06/18))</w:t>
      </w:r>
      <w:r w:rsidR="00E61956">
        <w:t xml:space="preserve"> and to</w:t>
      </w:r>
      <w:r>
        <w:t xml:space="preserve"> two modules of the </w:t>
      </w:r>
      <w:r w:rsidRPr="00067FDC">
        <w:t xml:space="preserve">“Parametric </w:t>
      </w:r>
      <w:proofErr w:type="spellStart"/>
      <w:r w:rsidRPr="00067FDC">
        <w:t>bitstream</w:t>
      </w:r>
      <w:proofErr w:type="spellEnd"/>
      <w:r w:rsidRPr="00067FDC">
        <w:t xml:space="preserve">-based quality assessment of progressive download and adaptive </w:t>
      </w:r>
      <w:proofErr w:type="spellStart"/>
      <w:r w:rsidRPr="00067FDC">
        <w:t>audiovisual</w:t>
      </w:r>
      <w:proofErr w:type="spellEnd"/>
      <w:r w:rsidRPr="00067FDC">
        <w:t xml:space="preserve"> streaming s</w:t>
      </w:r>
      <w:r>
        <w:t>ervices over reliable transport” suite of Recommendations (P.1203.1 and P.1203.3, consented on 6 December 2018)</w:t>
      </w:r>
      <w:r w:rsidR="00E61956">
        <w:t>, and an Amendment to the “</w:t>
      </w:r>
      <w:r w:rsidR="00E61956" w:rsidRPr="00E61956">
        <w:t xml:space="preserve">Hybrid perceptual </w:t>
      </w:r>
      <w:proofErr w:type="spellStart"/>
      <w:r w:rsidR="00E61956" w:rsidRPr="00E61956">
        <w:t>bitstream</w:t>
      </w:r>
      <w:proofErr w:type="spellEnd"/>
      <w:r w:rsidR="00E61956" w:rsidRPr="00E61956">
        <w:t xml:space="preserve"> models for objective video quality measurements</w:t>
      </w:r>
      <w:r w:rsidR="00E61956">
        <w:t>” (J.343).</w:t>
      </w:r>
      <w:proofErr w:type="gramEnd"/>
    </w:p>
    <w:p w14:paraId="33B5CC63" w14:textId="19649747" w:rsidR="00E61956" w:rsidRPr="00E61956" w:rsidRDefault="00E61956" w:rsidP="00E61956">
      <w:pPr>
        <w:rPr>
          <w:lang w:val="en-US"/>
        </w:rPr>
      </w:pPr>
      <w:r>
        <w:t>New work addresses “</w:t>
      </w:r>
      <w:r w:rsidRPr="00E61956">
        <w:t>Subjective evalua</w:t>
      </w:r>
      <w:r>
        <w:t>tion methods for gaming quality” (P.809 (06/18)), “</w:t>
      </w:r>
      <w:r w:rsidRPr="00E61956">
        <w:t xml:space="preserve">End-to-end </w:t>
      </w:r>
      <w:proofErr w:type="spellStart"/>
      <w:r w:rsidRPr="00E61956">
        <w:t>QoS</w:t>
      </w:r>
      <w:proofErr w:type="spellEnd"/>
      <w:r w:rsidRPr="00E61956">
        <w:t xml:space="preserve"> for Video Telephony over 4G mobile networks</w:t>
      </w:r>
      <w:r>
        <w:t>” (G.1028.1, consented on 6 December 2018), and a “</w:t>
      </w:r>
      <w:r w:rsidRPr="00E61956">
        <w:t>Subjective test methodology for assessing impact of initial loading delay on Quality of Experience</w:t>
      </w:r>
      <w:r>
        <w:t>” (P.917, consented on 6 December 2018)</w:t>
      </w:r>
    </w:p>
    <w:p w14:paraId="11F87F73" w14:textId="7E88DE3B" w:rsidR="00EA2C4C" w:rsidRDefault="00A01ED5" w:rsidP="00A01ED5">
      <w:r>
        <w:t xml:space="preserve">Under the leadership of Q14/12 on </w:t>
      </w:r>
      <w:r w:rsidRPr="00A01ED5">
        <w:t>models and tools for multimedia quality assessment of packet-based video services</w:t>
      </w:r>
      <w:r>
        <w:t xml:space="preserve">, </w:t>
      </w:r>
      <w:r w:rsidR="00067FDC">
        <w:t>SG12</w:t>
      </w:r>
      <w:r>
        <w:t xml:space="preserve">, in collaboration with </w:t>
      </w:r>
      <w:r w:rsidRPr="000F3E8D">
        <w:t>the Video Quality Experts Group (VQEG)</w:t>
      </w:r>
      <w:r>
        <w:t>, is progressing</w:t>
      </w:r>
      <w:r w:rsidR="00EA2C4C">
        <w:t xml:space="preserve"> work to </w:t>
      </w:r>
      <w:r w:rsidR="00EA2C4C" w:rsidRPr="00EA2C4C">
        <w:t xml:space="preserve">extend </w:t>
      </w:r>
      <w:r>
        <w:t xml:space="preserve">P.1203 </w:t>
      </w:r>
      <w:r w:rsidR="00EA2C4C" w:rsidRPr="00EA2C4C">
        <w:t>to provide support for ‘4K’ UHD video</w:t>
      </w:r>
      <w:r w:rsidR="00EA2C4C">
        <w:t xml:space="preserve"> (work item </w:t>
      </w:r>
      <w:r w:rsidR="00EA2C4C" w:rsidRPr="00EA2C4C">
        <w:t>P.NATS Phase II</w:t>
      </w:r>
      <w:r w:rsidR="00EA2C4C">
        <w:t>)</w:t>
      </w:r>
      <w:r w:rsidR="00EA2C4C" w:rsidRPr="00EA2C4C">
        <w:t>.</w:t>
      </w:r>
    </w:p>
    <w:p w14:paraId="63C7263E" w14:textId="02D76A8A" w:rsidR="00E61956" w:rsidRPr="005D3265" w:rsidRDefault="00E61956" w:rsidP="005D3265">
      <w:r>
        <w:t xml:space="preserve">A table covering important elements of the work on this topic </w:t>
      </w:r>
      <w:proofErr w:type="gramStart"/>
      <w:r>
        <w:t>is made</w:t>
      </w:r>
      <w:proofErr w:type="gramEnd"/>
      <w:r>
        <w:t xml:space="preserve"> available in Annex.</w:t>
      </w:r>
      <w:r>
        <w:rPr>
          <w:rFonts w:eastAsia="SimSun"/>
          <w:b/>
          <w:i/>
          <w:iCs/>
          <w:lang w:val="en-US" w:eastAsia="zh-CN"/>
        </w:rPr>
        <w:br w:type="page"/>
      </w:r>
    </w:p>
    <w:p w14:paraId="4A5621FE" w14:textId="58DE509B" w:rsidR="00E61956" w:rsidRPr="000B575C" w:rsidRDefault="00E61956" w:rsidP="00E61956">
      <w:pPr>
        <w:pStyle w:val="Caption"/>
        <w:jc w:val="center"/>
        <w:rPr>
          <w:rFonts w:eastAsia="SimSun"/>
          <w:b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eastAsia="SimSun"/>
          <w:b/>
          <w:i w:val="0"/>
          <w:iCs w:val="0"/>
          <w:color w:val="auto"/>
          <w:sz w:val="24"/>
          <w:szCs w:val="24"/>
          <w:lang w:val="en-US" w:eastAsia="zh-CN"/>
        </w:rPr>
        <w:lastRenderedPageBreak/>
        <w:t>Annex: Recommendations and Work Items</w:t>
      </w:r>
      <w:r>
        <w:rPr>
          <w:rFonts w:eastAsia="SimSun" w:hint="eastAsia"/>
          <w:b/>
          <w:i w:val="0"/>
          <w:iCs w:val="0"/>
          <w:color w:val="auto"/>
          <w:sz w:val="24"/>
          <w:szCs w:val="24"/>
          <w:lang w:val="en-US" w:eastAsia="zh-CN"/>
        </w:rPr>
        <w:t xml:space="preserve"> for </w:t>
      </w:r>
      <w:r>
        <w:rPr>
          <w:rFonts w:eastAsia="SimSun"/>
          <w:b/>
          <w:i w:val="0"/>
          <w:iCs w:val="0"/>
          <w:color w:val="auto"/>
          <w:sz w:val="24"/>
          <w:szCs w:val="24"/>
          <w:lang w:val="en-US" w:eastAsia="zh-CN"/>
        </w:rPr>
        <w:t>Video Services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508"/>
        <w:gridCol w:w="1882"/>
        <w:gridCol w:w="2559"/>
        <w:gridCol w:w="3680"/>
      </w:tblGrid>
      <w:tr w:rsidR="00E61956" w:rsidRPr="003C3660" w14:paraId="01C64768" w14:textId="77777777" w:rsidTr="007B23ED">
        <w:trPr>
          <w:trHeight w:val="600"/>
          <w:tblHeader/>
        </w:trPr>
        <w:tc>
          <w:tcPr>
            <w:tcW w:w="1508" w:type="dxa"/>
          </w:tcPr>
          <w:p w14:paraId="6562F1AD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  <w:hideMark/>
          </w:tcPr>
          <w:p w14:paraId="1FDE62F9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Recommendation </w:t>
            </w:r>
          </w:p>
        </w:tc>
        <w:tc>
          <w:tcPr>
            <w:tcW w:w="2559" w:type="dxa"/>
            <w:noWrap/>
            <w:hideMark/>
          </w:tcPr>
          <w:p w14:paraId="3187BE3A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T</w:t>
            </w:r>
            <w:r w:rsidRPr="003C3660"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/>
              </w:rPr>
              <w:t>itle</w:t>
            </w:r>
          </w:p>
        </w:tc>
        <w:tc>
          <w:tcPr>
            <w:tcW w:w="3680" w:type="dxa"/>
          </w:tcPr>
          <w:p w14:paraId="3F9993C2" w14:textId="77777777" w:rsidR="00E61956" w:rsidRPr="003C3660" w:rsidRDefault="00E61956" w:rsidP="007B23ED">
            <w:pPr>
              <w:spacing w:before="0"/>
              <w:jc w:val="center"/>
              <w:rPr>
                <w:rFonts w:eastAsia="MS Mincho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C3660">
              <w:rPr>
                <w:rFonts w:eastAsia="MS Mincho" w:hint="eastAsia"/>
                <w:b/>
                <w:bCs/>
                <w:color w:val="000000"/>
                <w:sz w:val="22"/>
                <w:szCs w:val="22"/>
                <w:lang w:val="en-US"/>
              </w:rPr>
              <w:t>Summary</w:t>
            </w:r>
          </w:p>
        </w:tc>
      </w:tr>
      <w:tr w:rsidR="00E61956" w:rsidRPr="003C3660" w14:paraId="2896A14D" w14:textId="77777777" w:rsidTr="007B23ED">
        <w:trPr>
          <w:trHeight w:val="575"/>
        </w:trPr>
        <w:tc>
          <w:tcPr>
            <w:tcW w:w="1508" w:type="dxa"/>
            <w:vMerge w:val="restart"/>
          </w:tcPr>
          <w:p w14:paraId="2EAE10A9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 xml:space="preserve">Factors or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Measurement parameters</w:t>
            </w:r>
          </w:p>
        </w:tc>
        <w:tc>
          <w:tcPr>
            <w:tcW w:w="1882" w:type="dxa"/>
            <w:noWrap/>
            <w:hideMark/>
          </w:tcPr>
          <w:p w14:paraId="66C1FFDB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G.1010</w:t>
            </w:r>
          </w:p>
        </w:tc>
        <w:tc>
          <w:tcPr>
            <w:tcW w:w="2559" w:type="dxa"/>
            <w:hideMark/>
          </w:tcPr>
          <w:p w14:paraId="3B816AF2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End-user multimedia </w:t>
            </w:r>
            <w:proofErr w:type="spellStart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QoS</w:t>
            </w:r>
            <w:proofErr w:type="spellEnd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categories</w:t>
            </w:r>
          </w:p>
        </w:tc>
        <w:tc>
          <w:tcPr>
            <w:tcW w:w="3680" w:type="dxa"/>
          </w:tcPr>
          <w:p w14:paraId="6EF09F73" w14:textId="77777777" w:rsidR="00E61956" w:rsidRPr="003C3660" w:rsidRDefault="00E61956" w:rsidP="007B23E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</w:pPr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This Recommendation defines a model for multimedia </w:t>
            </w:r>
            <w:proofErr w:type="spellStart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>QoS</w:t>
            </w:r>
            <w:proofErr w:type="spellEnd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 categories from an</w:t>
            </w:r>
          </w:p>
          <w:p w14:paraId="2022014E" w14:textId="77777777" w:rsidR="00E61956" w:rsidRPr="003C3660" w:rsidRDefault="00E61956" w:rsidP="007B23E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</w:pPr>
            <w:proofErr w:type="gramStart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>end-user</w:t>
            </w:r>
            <w:proofErr w:type="gramEnd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 viewpoint. By considering user expectations for a range of multimedia applications, eight</w:t>
            </w:r>
          </w:p>
          <w:p w14:paraId="5398D0FF" w14:textId="77777777" w:rsidR="00E61956" w:rsidRPr="003C3660" w:rsidRDefault="00E61956" w:rsidP="007B23E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gramStart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>distinct</w:t>
            </w:r>
            <w:proofErr w:type="gramEnd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 categories are identified, based on tolerance to information loss and delay. </w:t>
            </w:r>
          </w:p>
        </w:tc>
      </w:tr>
      <w:tr w:rsidR="00E61956" w:rsidRPr="003C3660" w14:paraId="37F8FE12" w14:textId="77777777" w:rsidTr="007B23ED">
        <w:trPr>
          <w:trHeight w:val="575"/>
        </w:trPr>
        <w:tc>
          <w:tcPr>
            <w:tcW w:w="1508" w:type="dxa"/>
            <w:vMerge/>
          </w:tcPr>
          <w:p w14:paraId="35B6D892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429F2B76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G.1032</w:t>
            </w:r>
          </w:p>
        </w:tc>
        <w:tc>
          <w:tcPr>
            <w:tcW w:w="2559" w:type="dxa"/>
          </w:tcPr>
          <w:p w14:paraId="6F532036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Influence factors on gaming quality of experience</w:t>
            </w:r>
          </w:p>
        </w:tc>
        <w:tc>
          <w:tcPr>
            <w:tcW w:w="3680" w:type="dxa"/>
          </w:tcPr>
          <w:p w14:paraId="6307A95B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This Recommendation describes the </w:t>
            </w:r>
            <w:proofErr w:type="spellStart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factors of video gaming</w:t>
            </w:r>
          </w:p>
        </w:tc>
      </w:tr>
      <w:tr w:rsidR="00E61956" w:rsidRPr="003C3660" w14:paraId="3B3043C2" w14:textId="77777777" w:rsidTr="007B23ED">
        <w:trPr>
          <w:trHeight w:val="600"/>
        </w:trPr>
        <w:tc>
          <w:tcPr>
            <w:tcW w:w="1508" w:type="dxa"/>
            <w:vMerge/>
          </w:tcPr>
          <w:p w14:paraId="6637D599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  <w:hideMark/>
          </w:tcPr>
          <w:p w14:paraId="070A3F5A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G.1080</w:t>
            </w:r>
          </w:p>
        </w:tc>
        <w:tc>
          <w:tcPr>
            <w:tcW w:w="2559" w:type="dxa"/>
            <w:hideMark/>
          </w:tcPr>
          <w:p w14:paraId="2F2D2155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Quality of experience requirements for IPTV services</w:t>
            </w:r>
          </w:p>
        </w:tc>
        <w:tc>
          <w:tcPr>
            <w:tcW w:w="3680" w:type="dxa"/>
          </w:tcPr>
          <w:p w14:paraId="71649836" w14:textId="77777777" w:rsidR="00E61956" w:rsidRPr="003247AA" w:rsidRDefault="00E61956" w:rsidP="007B23ED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</w:pPr>
            <w:r w:rsidRPr="003C3660">
              <w:rPr>
                <w:rFonts w:ascii="timesnewroman" w:eastAsia="MS Mincho" w:hAnsi="timesnewroman" w:cs="timesnewroman" w:hint="eastAsia"/>
                <w:sz w:val="22"/>
                <w:szCs w:val="22"/>
                <w:lang w:val="en-US"/>
              </w:rPr>
              <w:t xml:space="preserve">This </w:t>
            </w:r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Recommendation defines user requirements for </w:t>
            </w:r>
            <w:proofErr w:type="spellStart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>QoE</w:t>
            </w:r>
            <w:proofErr w:type="spellEnd"/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 for</w:t>
            </w:r>
            <w:r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 xml:space="preserve"> IPTV </w:t>
            </w:r>
            <w:r w:rsidRPr="003C3660">
              <w:rPr>
                <w:rFonts w:ascii="timesnewroman" w:hAnsi="timesnewroman" w:cs="timesnewroman"/>
                <w:sz w:val="22"/>
                <w:szCs w:val="22"/>
                <w:lang w:val="en-US" w:eastAsia="zh-CN"/>
              </w:rPr>
              <w:t>services.</w:t>
            </w:r>
          </w:p>
        </w:tc>
      </w:tr>
      <w:tr w:rsidR="00E61956" w:rsidRPr="003C3660" w14:paraId="2D3F20B3" w14:textId="77777777" w:rsidTr="007B23ED">
        <w:trPr>
          <w:trHeight w:val="600"/>
        </w:trPr>
        <w:tc>
          <w:tcPr>
            <w:tcW w:w="1508" w:type="dxa"/>
            <w:vMerge/>
          </w:tcPr>
          <w:p w14:paraId="45A431EF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  <w:hideMark/>
          </w:tcPr>
          <w:p w14:paraId="471C6A1A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G.QoE</w:t>
            </w:r>
            <w:proofErr w:type="spellEnd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-VR</w:t>
            </w:r>
          </w:p>
          <w:p w14:paraId="281F3DD7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(ongoing)</w:t>
            </w:r>
          </w:p>
        </w:tc>
        <w:tc>
          <w:tcPr>
            <w:tcW w:w="2559" w:type="dxa"/>
            <w:hideMark/>
          </w:tcPr>
          <w:p w14:paraId="51942524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Influence factors on virtual reality service quality of experience</w:t>
            </w:r>
          </w:p>
        </w:tc>
        <w:tc>
          <w:tcPr>
            <w:tcW w:w="3680" w:type="dxa"/>
          </w:tcPr>
          <w:p w14:paraId="3B61AD38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E61956" w:rsidRPr="003C3660" w14:paraId="688E8F31" w14:textId="77777777" w:rsidTr="007B23ED">
        <w:trPr>
          <w:trHeight w:val="600"/>
        </w:trPr>
        <w:tc>
          <w:tcPr>
            <w:tcW w:w="1508" w:type="dxa"/>
            <w:vMerge/>
          </w:tcPr>
          <w:p w14:paraId="69D64752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5C7AFBE4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G.QoE</w:t>
            </w:r>
            <w:proofErr w:type="spellEnd"/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-AR</w:t>
            </w:r>
          </w:p>
          <w:p w14:paraId="751E3144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(ongoing)</w:t>
            </w:r>
          </w:p>
        </w:tc>
        <w:tc>
          <w:tcPr>
            <w:tcW w:w="2559" w:type="dxa"/>
          </w:tcPr>
          <w:p w14:paraId="2254FCEF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3C3660">
              <w:rPr>
                <w:sz w:val="22"/>
                <w:szCs w:val="22"/>
              </w:rPr>
              <w:t>QoE</w:t>
            </w:r>
            <w:proofErr w:type="spellEnd"/>
            <w:r w:rsidRPr="003C3660">
              <w:rPr>
                <w:sz w:val="22"/>
                <w:szCs w:val="22"/>
              </w:rPr>
              <w:t xml:space="preserve"> factors of Augmented Reality (AR)</w:t>
            </w:r>
          </w:p>
        </w:tc>
        <w:tc>
          <w:tcPr>
            <w:tcW w:w="3680" w:type="dxa"/>
          </w:tcPr>
          <w:p w14:paraId="317820C9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E61956" w:rsidRPr="003C3660" w14:paraId="61132B91" w14:textId="77777777" w:rsidTr="007B23ED">
        <w:trPr>
          <w:trHeight w:val="600"/>
        </w:trPr>
        <w:tc>
          <w:tcPr>
            <w:tcW w:w="1508" w:type="dxa"/>
            <w:vMerge/>
          </w:tcPr>
          <w:p w14:paraId="40183247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7B4DA1B6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G.IPTV-M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P</w:t>
            </w:r>
          </w:p>
          <w:p w14:paraId="6C41ADBD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(ongoing)</w:t>
            </w:r>
          </w:p>
        </w:tc>
        <w:tc>
          <w:tcPr>
            <w:tcW w:w="2559" w:type="dxa"/>
          </w:tcPr>
          <w:p w14:paraId="2EB317C8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IPTV monitoring parameters</w:t>
            </w:r>
          </w:p>
        </w:tc>
        <w:tc>
          <w:tcPr>
            <w:tcW w:w="3680" w:type="dxa"/>
          </w:tcPr>
          <w:p w14:paraId="27A431B1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 xml:space="preserve">This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work will define different monitoring parameters for IPTV services at different monitoring points</w:t>
            </w:r>
          </w:p>
        </w:tc>
      </w:tr>
      <w:tr w:rsidR="00E61956" w:rsidRPr="003C3660" w14:paraId="465FED84" w14:textId="77777777" w:rsidTr="007B23ED">
        <w:trPr>
          <w:trHeight w:val="600"/>
        </w:trPr>
        <w:tc>
          <w:tcPr>
            <w:tcW w:w="1508" w:type="dxa"/>
            <w:vMerge/>
          </w:tcPr>
          <w:p w14:paraId="377B3277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82" w:type="dxa"/>
            <w:noWrap/>
          </w:tcPr>
          <w:p w14:paraId="0C4BE270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G.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MDKT</w:t>
            </w:r>
          </w:p>
          <w:p w14:paraId="563AA90B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(ongoing)</w:t>
            </w:r>
          </w:p>
        </w:tc>
        <w:tc>
          <w:tcPr>
            <w:tcW w:w="2559" w:type="dxa"/>
          </w:tcPr>
          <w:p w14:paraId="2373FA57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sz w:val="22"/>
                <w:szCs w:val="22"/>
              </w:rPr>
              <w:t xml:space="preserve">Methodology for Determining </w:t>
            </w:r>
            <w:proofErr w:type="spellStart"/>
            <w:r w:rsidRPr="003C3660">
              <w:rPr>
                <w:sz w:val="22"/>
                <w:szCs w:val="22"/>
              </w:rPr>
              <w:t>QoE</w:t>
            </w:r>
            <w:proofErr w:type="spellEnd"/>
            <w:r w:rsidRPr="003C3660">
              <w:rPr>
                <w:sz w:val="22"/>
                <w:szCs w:val="22"/>
              </w:rPr>
              <w:t>-</w:t>
            </w:r>
            <w:r w:rsidRPr="003C3660">
              <w:rPr>
                <w:rFonts w:hint="eastAsia"/>
                <w:sz w:val="22"/>
                <w:szCs w:val="22"/>
                <w:lang w:eastAsia="zh-CN"/>
              </w:rPr>
              <w:t>r</w:t>
            </w:r>
            <w:r w:rsidRPr="003C3660">
              <w:rPr>
                <w:sz w:val="22"/>
                <w:szCs w:val="22"/>
              </w:rPr>
              <w:t>elevant KPI Thresholds</w:t>
            </w:r>
          </w:p>
        </w:tc>
        <w:tc>
          <w:tcPr>
            <w:tcW w:w="3680" w:type="dxa"/>
          </w:tcPr>
          <w:p w14:paraId="3357B24C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This Recommendation will </w:t>
            </w:r>
            <w:r w:rsidRPr="003C3660">
              <w:rPr>
                <w:color w:val="000000"/>
                <w:sz w:val="22"/>
                <w:szCs w:val="22"/>
                <w:lang w:val="en-US" w:eastAsia="zh-CN"/>
              </w:rPr>
              <w:t xml:space="preserve">provide a methodology for selecting </w:t>
            </w:r>
            <w:proofErr w:type="spellStart"/>
            <w:r w:rsidRPr="003C3660">
              <w:rPr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  <w:r w:rsidRPr="003C3660">
              <w:rPr>
                <w:color w:val="000000"/>
                <w:sz w:val="22"/>
                <w:szCs w:val="22"/>
                <w:lang w:val="en-US" w:eastAsia="zh-CN"/>
              </w:rPr>
              <w:t xml:space="preserve">-relevant KPIs (e.g. throughput) as independent variables and the per-session MOS predicted with a </w:t>
            </w:r>
            <w:proofErr w:type="spellStart"/>
            <w:r w:rsidRPr="003C3660">
              <w:rPr>
                <w:color w:val="000000"/>
                <w:sz w:val="22"/>
                <w:szCs w:val="22"/>
                <w:lang w:val="en-US" w:eastAsia="zh-CN"/>
              </w:rPr>
              <w:t>QoE</w:t>
            </w:r>
            <w:proofErr w:type="spellEnd"/>
            <w:r w:rsidRPr="003C3660">
              <w:rPr>
                <w:color w:val="000000"/>
                <w:sz w:val="22"/>
                <w:szCs w:val="22"/>
                <w:lang w:val="en-US" w:eastAsia="zh-CN"/>
              </w:rPr>
              <w:t xml:space="preserve"> model as a dependent variable</w:t>
            </w:r>
          </w:p>
        </w:tc>
      </w:tr>
      <w:tr w:rsidR="00E61956" w:rsidRPr="003C3660" w14:paraId="4B8DDEFD" w14:textId="77777777" w:rsidTr="007B23ED">
        <w:trPr>
          <w:trHeight w:val="600"/>
        </w:trPr>
        <w:tc>
          <w:tcPr>
            <w:tcW w:w="1508" w:type="dxa"/>
            <w:vMerge w:val="restart"/>
          </w:tcPr>
          <w:p w14:paraId="6927CDF9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Planning models</w:t>
            </w:r>
          </w:p>
        </w:tc>
        <w:tc>
          <w:tcPr>
            <w:tcW w:w="1882" w:type="dxa"/>
            <w:noWrap/>
            <w:hideMark/>
          </w:tcPr>
          <w:p w14:paraId="3715AE50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G.1071</w:t>
            </w:r>
          </w:p>
        </w:tc>
        <w:tc>
          <w:tcPr>
            <w:tcW w:w="2559" w:type="dxa"/>
            <w:hideMark/>
          </w:tcPr>
          <w:p w14:paraId="55CCF945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Opinion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model for network planning of video and audio streaming applications</w:t>
            </w:r>
          </w:p>
        </w:tc>
        <w:tc>
          <w:tcPr>
            <w:tcW w:w="3680" w:type="dxa"/>
          </w:tcPr>
          <w:p w14:paraId="3383AD79" w14:textId="77777777" w:rsidR="00E61956" w:rsidRPr="003C3660" w:rsidRDefault="00E61956" w:rsidP="007B23ED">
            <w:pPr>
              <w:pStyle w:val="Default"/>
              <w:rPr>
                <w:sz w:val="22"/>
                <w:szCs w:val="22"/>
              </w:rPr>
            </w:pPr>
            <w:r w:rsidRPr="003C3660">
              <w:rPr>
                <w:rFonts w:eastAsia="MS Mincho" w:hint="eastAsia"/>
                <w:sz w:val="22"/>
                <w:szCs w:val="22"/>
                <w:lang w:eastAsia="ja-JP"/>
              </w:rPr>
              <w:t xml:space="preserve">This </w:t>
            </w:r>
            <w:r w:rsidRPr="003C3660">
              <w:rPr>
                <w:sz w:val="22"/>
                <w:szCs w:val="22"/>
              </w:rPr>
              <w:t xml:space="preserve">Recommendation provides algorithmic models for network planning of video and audio quality of IP-based video services. </w:t>
            </w:r>
          </w:p>
          <w:p w14:paraId="5DA2D9E4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E61956" w:rsidRPr="003C3660" w14:paraId="6D1E9AD1" w14:textId="77777777" w:rsidTr="007B23ED">
        <w:trPr>
          <w:trHeight w:val="600"/>
        </w:trPr>
        <w:tc>
          <w:tcPr>
            <w:tcW w:w="1508" w:type="dxa"/>
            <w:vMerge/>
          </w:tcPr>
          <w:p w14:paraId="1CB05D9D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  <w:hideMark/>
          </w:tcPr>
          <w:p w14:paraId="35041160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G.1070</w:t>
            </w:r>
          </w:p>
        </w:tc>
        <w:tc>
          <w:tcPr>
            <w:tcW w:w="2559" w:type="dxa"/>
            <w:hideMark/>
          </w:tcPr>
          <w:p w14:paraId="781B5255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Opinion model for video-telephony applications</w:t>
            </w:r>
          </w:p>
        </w:tc>
        <w:tc>
          <w:tcPr>
            <w:tcW w:w="3680" w:type="dxa"/>
          </w:tcPr>
          <w:p w14:paraId="4B328B80" w14:textId="77777777" w:rsidR="00E61956" w:rsidRPr="003C3660" w:rsidRDefault="00E61956" w:rsidP="007B23ED">
            <w:pPr>
              <w:pStyle w:val="Default"/>
              <w:rPr>
                <w:rFonts w:eastAsia="SimSun"/>
                <w:sz w:val="22"/>
                <w:szCs w:val="22"/>
              </w:rPr>
            </w:pPr>
            <w:r w:rsidRPr="003C3660">
              <w:rPr>
                <w:rFonts w:eastAsia="MS Mincho" w:hint="eastAsia"/>
                <w:sz w:val="22"/>
                <w:szCs w:val="22"/>
                <w:lang w:eastAsia="ja-JP"/>
              </w:rPr>
              <w:t xml:space="preserve">This </w:t>
            </w:r>
            <w:r w:rsidRPr="003C3660">
              <w:rPr>
                <w:sz w:val="22"/>
                <w:szCs w:val="22"/>
              </w:rPr>
              <w:t xml:space="preserve">Recommendation defines an algorithm that estimates videophone quality for </w:t>
            </w:r>
            <w:proofErr w:type="spellStart"/>
            <w:r>
              <w:rPr>
                <w:sz w:val="22"/>
                <w:szCs w:val="22"/>
              </w:rPr>
              <w:t>QoE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QoS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C3660">
              <w:rPr>
                <w:sz w:val="22"/>
                <w:szCs w:val="22"/>
              </w:rPr>
              <w:t xml:space="preserve">planners. </w:t>
            </w:r>
            <w:proofErr w:type="gramStart"/>
            <w:r w:rsidRPr="003C3660">
              <w:rPr>
                <w:sz w:val="22"/>
                <w:szCs w:val="22"/>
              </w:rPr>
              <w:t xml:space="preserve">This model can be used by </w:t>
            </w:r>
            <w:proofErr w:type="spellStart"/>
            <w:r w:rsidRPr="003C3660">
              <w:rPr>
                <w:sz w:val="22"/>
                <w:szCs w:val="22"/>
              </w:rPr>
              <w:t>QoE</w:t>
            </w:r>
            <w:proofErr w:type="spellEnd"/>
            <w:r w:rsidRPr="003C3660">
              <w:rPr>
                <w:sz w:val="22"/>
                <w:szCs w:val="22"/>
              </w:rPr>
              <w:t>/</w:t>
            </w:r>
            <w:proofErr w:type="spellStart"/>
            <w:r w:rsidRPr="003C3660">
              <w:rPr>
                <w:sz w:val="22"/>
                <w:szCs w:val="22"/>
              </w:rPr>
              <w:t>QoS</w:t>
            </w:r>
            <w:proofErr w:type="spellEnd"/>
            <w:r w:rsidRPr="003C3660">
              <w:rPr>
                <w:sz w:val="22"/>
                <w:szCs w:val="22"/>
              </w:rPr>
              <w:t xml:space="preserve"> planners to help ensure that users will be satisfied with end-to-end service quality</w:t>
            </w:r>
            <w:proofErr w:type="gramEnd"/>
            <w:r w:rsidRPr="003C3660">
              <w:rPr>
                <w:sz w:val="22"/>
                <w:szCs w:val="22"/>
              </w:rPr>
              <w:t xml:space="preserve">. </w:t>
            </w:r>
            <w:r w:rsidRPr="003C3660">
              <w:rPr>
                <w:rFonts w:eastAsia="SimSun"/>
                <w:sz w:val="22"/>
                <w:szCs w:val="22"/>
              </w:rPr>
              <w:t xml:space="preserve"> </w:t>
            </w:r>
          </w:p>
        </w:tc>
      </w:tr>
      <w:tr w:rsidR="00E61956" w:rsidRPr="003C3660" w14:paraId="7099B8A0" w14:textId="77777777" w:rsidTr="007B23ED">
        <w:trPr>
          <w:trHeight w:val="600"/>
        </w:trPr>
        <w:tc>
          <w:tcPr>
            <w:tcW w:w="1508" w:type="dxa"/>
            <w:vMerge w:val="restart"/>
          </w:tcPr>
          <w:p w14:paraId="4A2644A7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Monitoring models</w:t>
            </w:r>
          </w:p>
        </w:tc>
        <w:tc>
          <w:tcPr>
            <w:tcW w:w="1882" w:type="dxa"/>
            <w:noWrap/>
            <w:hideMark/>
          </w:tcPr>
          <w:p w14:paraId="392496E8" w14:textId="77777777" w:rsidR="00E61956" w:rsidRPr="003C3660" w:rsidRDefault="00E61956" w:rsidP="007B23ED">
            <w:pPr>
              <w:spacing w:before="0"/>
              <w:jc w:val="center"/>
              <w:rPr>
                <w:rFonts w:eastAsia="MS Mincho"/>
                <w:color w:val="000000"/>
                <w:sz w:val="22"/>
                <w:szCs w:val="22"/>
                <w:lang w:val="en-US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P.1201</w:t>
            </w: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 (PNAMS)</w:t>
            </w:r>
          </w:p>
        </w:tc>
        <w:tc>
          <w:tcPr>
            <w:tcW w:w="2559" w:type="dxa"/>
            <w:hideMark/>
          </w:tcPr>
          <w:p w14:paraId="4BBE0CC2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Parametric non-intrusive assessment of audiovisual media streaming quality</w:t>
            </w:r>
          </w:p>
        </w:tc>
        <w:tc>
          <w:tcPr>
            <w:tcW w:w="3680" w:type="dxa"/>
          </w:tcPr>
          <w:p w14:paraId="54FC5D72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This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Recommendation provides an algorithmic model for non-intrusive</w:t>
            </w: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monitoring of the audio, video and audiovisual quality of IP-based video services based on</w:t>
            </w: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packet-header information. Video resolution should be HD or below.</w:t>
            </w:r>
          </w:p>
        </w:tc>
      </w:tr>
      <w:tr w:rsidR="00E61956" w:rsidRPr="003C3660" w14:paraId="2974E3EB" w14:textId="77777777" w:rsidTr="007B23ED">
        <w:trPr>
          <w:trHeight w:val="600"/>
        </w:trPr>
        <w:tc>
          <w:tcPr>
            <w:tcW w:w="1508" w:type="dxa"/>
            <w:vMerge/>
          </w:tcPr>
          <w:p w14:paraId="544CC6A3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  <w:hideMark/>
          </w:tcPr>
          <w:p w14:paraId="206D4671" w14:textId="77777777" w:rsidR="00E61956" w:rsidRPr="003C3660" w:rsidRDefault="00E61956" w:rsidP="007B23ED">
            <w:pPr>
              <w:spacing w:before="0"/>
              <w:jc w:val="center"/>
              <w:rPr>
                <w:rFonts w:eastAsia="MS Mincho"/>
                <w:color w:val="000000"/>
                <w:sz w:val="22"/>
                <w:szCs w:val="22"/>
                <w:lang w:val="en-US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P.1203</w:t>
            </w: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 xml:space="preserve"> (PNATS)</w:t>
            </w:r>
          </w:p>
        </w:tc>
        <w:tc>
          <w:tcPr>
            <w:tcW w:w="2559" w:type="dxa"/>
            <w:hideMark/>
          </w:tcPr>
          <w:p w14:paraId="1B340DC2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Parametric </w:t>
            </w:r>
            <w:proofErr w:type="spellStart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bitstream</w:t>
            </w:r>
            <w:proofErr w:type="spellEnd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-based quality assessment of progressive download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lastRenderedPageBreak/>
              <w:t>and adaptive audiovisual streaming services over reliable transport</w:t>
            </w:r>
          </w:p>
        </w:tc>
        <w:tc>
          <w:tcPr>
            <w:tcW w:w="3680" w:type="dxa"/>
          </w:tcPr>
          <w:p w14:paraId="37008180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lastRenderedPageBreak/>
              <w:t xml:space="preserve">This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Recommendation provides model algorithms for monitoring the integral media session quality for TCP-type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lastRenderedPageBreak/>
              <w:t xml:space="preserve">video streaming. </w:t>
            </w:r>
            <w:r w:rsidRPr="003C3660">
              <w:rPr>
                <w:rFonts w:eastAsia="MS Mincho" w:hint="eastAsia"/>
                <w:color w:val="000000"/>
                <w:sz w:val="22"/>
                <w:szCs w:val="22"/>
                <w:lang w:val="en-US"/>
              </w:rPr>
              <w:t>Supported v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ideo resolution should be HD or below.</w:t>
            </w:r>
          </w:p>
        </w:tc>
      </w:tr>
      <w:tr w:rsidR="00E61956" w:rsidRPr="003C3660" w14:paraId="0A3CDAD0" w14:textId="77777777" w:rsidTr="007B23ED">
        <w:trPr>
          <w:trHeight w:val="600"/>
        </w:trPr>
        <w:tc>
          <w:tcPr>
            <w:tcW w:w="1508" w:type="dxa"/>
            <w:vMerge/>
          </w:tcPr>
          <w:p w14:paraId="04586EBD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4F9CFD42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P.NATS-PH2</w:t>
            </w:r>
          </w:p>
          <w:p w14:paraId="54ACBA72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 in Q14, Recommendation planned end of 2019)</w:t>
            </w:r>
          </w:p>
        </w:tc>
        <w:tc>
          <w:tcPr>
            <w:tcW w:w="2559" w:type="dxa"/>
          </w:tcPr>
          <w:p w14:paraId="01798FB8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sz w:val="22"/>
                <w:szCs w:val="22"/>
              </w:rPr>
              <w:t xml:space="preserve">Parametric </w:t>
            </w:r>
            <w:proofErr w:type="spellStart"/>
            <w:r w:rsidRPr="003C3660">
              <w:rPr>
                <w:sz w:val="22"/>
                <w:szCs w:val="22"/>
              </w:rPr>
              <w:t>bitstream</w:t>
            </w:r>
            <w:proofErr w:type="spellEnd"/>
            <w:r w:rsidRPr="003C3660">
              <w:rPr>
                <w:sz w:val="22"/>
                <w:szCs w:val="22"/>
              </w:rPr>
              <w:t xml:space="preserve">-based and pixel based quality assessment of progressive download and adaptive </w:t>
            </w:r>
            <w:proofErr w:type="spellStart"/>
            <w:r w:rsidRPr="003C3660">
              <w:rPr>
                <w:sz w:val="22"/>
                <w:szCs w:val="22"/>
              </w:rPr>
              <w:t>audiovisual</w:t>
            </w:r>
            <w:proofErr w:type="spellEnd"/>
            <w:r w:rsidRPr="003C3660">
              <w:rPr>
                <w:sz w:val="22"/>
                <w:szCs w:val="22"/>
              </w:rPr>
              <w:t xml:space="preserve"> streaming services over reliable transport for HEVC and UHD</w:t>
            </w:r>
          </w:p>
        </w:tc>
        <w:tc>
          <w:tcPr>
            <w:tcW w:w="3680" w:type="dxa"/>
          </w:tcPr>
          <w:p w14:paraId="2F8B3354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 xml:space="preserve">This work </w:t>
            </w: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extends P.1203 to UHD, </w:t>
            </w:r>
            <w:proofErr w:type="gramStart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and also</w:t>
            </w:r>
            <w:proofErr w:type="gramEnd"/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 xml:space="preserve"> includes pixel-based and hybrid model types.</w:t>
            </w:r>
          </w:p>
        </w:tc>
      </w:tr>
      <w:tr w:rsidR="00E61956" w:rsidRPr="003C3660" w14:paraId="34D11B53" w14:textId="77777777" w:rsidTr="007B23ED">
        <w:trPr>
          <w:trHeight w:val="1402"/>
        </w:trPr>
        <w:tc>
          <w:tcPr>
            <w:tcW w:w="1508" w:type="dxa"/>
            <w:vMerge/>
          </w:tcPr>
          <w:p w14:paraId="5BA30C81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82" w:type="dxa"/>
            <w:noWrap/>
          </w:tcPr>
          <w:p w14:paraId="19239622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P.NAMS-PH2</w:t>
            </w:r>
          </w:p>
          <w:p w14:paraId="0543494F" w14:textId="77777777" w:rsidR="00E61956" w:rsidRPr="003C3660" w:rsidRDefault="00E61956" w:rsidP="007B23ED">
            <w:pPr>
              <w:spacing w:before="0"/>
              <w:jc w:val="center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  <w:t>(ongoing in Q14)</w:t>
            </w:r>
          </w:p>
        </w:tc>
        <w:tc>
          <w:tcPr>
            <w:tcW w:w="2559" w:type="dxa"/>
          </w:tcPr>
          <w:p w14:paraId="015FFC99" w14:textId="77777777" w:rsidR="00E61956" w:rsidRPr="003C3660" w:rsidRDefault="00E61956" w:rsidP="007B23ED">
            <w:pPr>
              <w:spacing w:before="0"/>
              <w:rPr>
                <w:sz w:val="22"/>
                <w:szCs w:val="22"/>
              </w:rPr>
            </w:pPr>
            <w:r w:rsidRPr="003C3660">
              <w:rPr>
                <w:sz w:val="22"/>
                <w:szCs w:val="22"/>
              </w:rPr>
              <w:t xml:space="preserve">Parametric Non-intrusive </w:t>
            </w:r>
            <w:proofErr w:type="spellStart"/>
            <w:r w:rsidRPr="003C3660">
              <w:rPr>
                <w:sz w:val="22"/>
                <w:szCs w:val="22"/>
              </w:rPr>
              <w:t>Bitstream</w:t>
            </w:r>
            <w:proofErr w:type="spellEnd"/>
            <w:r w:rsidRPr="003C3660">
              <w:rPr>
                <w:sz w:val="22"/>
                <w:szCs w:val="22"/>
              </w:rPr>
              <w:t xml:space="preserve"> Assessment for High Efficiency Video Coding (HEVC) and 4K Media Streaming Quality over UDP</w:t>
            </w:r>
          </w:p>
        </w:tc>
        <w:tc>
          <w:tcPr>
            <w:tcW w:w="3680" w:type="dxa"/>
          </w:tcPr>
          <w:p w14:paraId="5A6A2317" w14:textId="77777777" w:rsidR="00E61956" w:rsidRPr="003C3660" w:rsidRDefault="00E61956" w:rsidP="007B23ED">
            <w:pPr>
              <w:spacing w:before="0"/>
              <w:rPr>
                <w:rFonts w:eastAsia="SimSun"/>
                <w:color w:val="000000"/>
                <w:sz w:val="22"/>
                <w:szCs w:val="22"/>
                <w:lang w:val="en-US" w:eastAsia="zh-CN"/>
              </w:rPr>
            </w:pPr>
            <w:r w:rsidRPr="003C3660">
              <w:rPr>
                <w:rFonts w:eastAsia="SimSun" w:hint="eastAsia"/>
                <w:color w:val="000000"/>
                <w:sz w:val="22"/>
                <w:szCs w:val="22"/>
                <w:lang w:val="en-US" w:eastAsia="zh-CN"/>
              </w:rPr>
              <w:t>This work extends P.1201 to UHD</w:t>
            </w:r>
          </w:p>
        </w:tc>
      </w:tr>
    </w:tbl>
    <w:p w14:paraId="13D32785" w14:textId="77777777" w:rsidR="00E61956" w:rsidRDefault="00E61956" w:rsidP="00A01ED5"/>
    <w:p w14:paraId="2B3B28A6" w14:textId="31FD783D" w:rsidR="00794F4F" w:rsidRDefault="00394DBF" w:rsidP="001200A6">
      <w:pPr>
        <w:jc w:val="center"/>
      </w:pPr>
      <w:r>
        <w:t>_______________________</w:t>
      </w:r>
    </w:p>
    <w:sectPr w:rsidR="00794F4F" w:rsidSect="00701B5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8246B" w14:textId="77777777" w:rsidR="00D31686" w:rsidRDefault="00D31686" w:rsidP="00C42125">
      <w:pPr>
        <w:spacing w:before="0"/>
      </w:pPr>
      <w:r>
        <w:separator/>
      </w:r>
    </w:p>
  </w:endnote>
  <w:endnote w:type="continuationSeparator" w:id="0">
    <w:p w14:paraId="565FF537" w14:textId="77777777" w:rsidR="00D31686" w:rsidRDefault="00D3168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B9992" w14:textId="77777777" w:rsidR="006E0C38" w:rsidRDefault="006E0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162CE" w14:textId="77777777" w:rsidR="006E0C38" w:rsidRDefault="006E0C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8E037" w14:textId="77777777" w:rsidR="006E0C38" w:rsidRDefault="006E0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5C005" w14:textId="77777777" w:rsidR="00D31686" w:rsidRDefault="00D31686" w:rsidP="00C42125">
      <w:pPr>
        <w:spacing w:before="0"/>
      </w:pPr>
      <w:r>
        <w:separator/>
      </w:r>
    </w:p>
  </w:footnote>
  <w:footnote w:type="continuationSeparator" w:id="0">
    <w:p w14:paraId="53EC240E" w14:textId="77777777" w:rsidR="00D31686" w:rsidRDefault="00D3168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3282C" w14:textId="77777777" w:rsidR="006E0C38" w:rsidRDefault="006E0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C4F5C" w14:textId="55475DDA" w:rsidR="005976A1" w:rsidRPr="00701B54" w:rsidRDefault="00701B54" w:rsidP="00701B54">
    <w:pPr>
      <w:pStyle w:val="Header"/>
      <w:rPr>
        <w:sz w:val="18"/>
      </w:rPr>
    </w:pPr>
    <w:r w:rsidRPr="00701B54">
      <w:rPr>
        <w:sz w:val="18"/>
      </w:rPr>
      <w:t xml:space="preserve">- </w:t>
    </w:r>
    <w:r w:rsidRPr="00701B54">
      <w:rPr>
        <w:sz w:val="18"/>
      </w:rPr>
      <w:fldChar w:fldCharType="begin"/>
    </w:r>
    <w:r w:rsidRPr="00701B54">
      <w:rPr>
        <w:sz w:val="18"/>
      </w:rPr>
      <w:instrText xml:space="preserve"> PAGE  \* MERGEFORMAT </w:instrText>
    </w:r>
    <w:r w:rsidRPr="00701B54">
      <w:rPr>
        <w:sz w:val="18"/>
      </w:rPr>
      <w:fldChar w:fldCharType="separate"/>
    </w:r>
    <w:r w:rsidR="00861E34">
      <w:rPr>
        <w:noProof/>
        <w:sz w:val="18"/>
      </w:rPr>
      <w:t>4</w:t>
    </w:r>
    <w:r w:rsidRPr="00701B54">
      <w:rPr>
        <w:sz w:val="18"/>
      </w:rPr>
      <w:fldChar w:fldCharType="end"/>
    </w:r>
    <w:r w:rsidRPr="00701B54">
      <w:rPr>
        <w:sz w:val="18"/>
      </w:rPr>
      <w:t xml:space="preserve"> -</w:t>
    </w:r>
  </w:p>
  <w:p w14:paraId="1B838249" w14:textId="454B5254" w:rsidR="00701B54" w:rsidRPr="00701B54" w:rsidRDefault="00701B54" w:rsidP="00701B54">
    <w:pPr>
      <w:pStyle w:val="Header"/>
      <w:spacing w:after="240"/>
      <w:rPr>
        <w:sz w:val="18"/>
      </w:rPr>
    </w:pPr>
    <w:r w:rsidRPr="00701B54">
      <w:rPr>
        <w:sz w:val="18"/>
      </w:rPr>
      <w:fldChar w:fldCharType="begin"/>
    </w:r>
    <w:r w:rsidRPr="00701B54">
      <w:rPr>
        <w:sz w:val="18"/>
      </w:rPr>
      <w:instrText xml:space="preserve"> STYLEREF  Docnumber  </w:instrText>
    </w:r>
    <w:r w:rsidRPr="00701B54">
      <w:rPr>
        <w:sz w:val="18"/>
      </w:rPr>
      <w:fldChar w:fldCharType="separate"/>
    </w:r>
    <w:r w:rsidR="00861E34">
      <w:rPr>
        <w:noProof/>
        <w:sz w:val="18"/>
      </w:rPr>
      <w:t>TSAG-TD305</w:t>
    </w:r>
    <w:r w:rsidRPr="00701B54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AB225" w14:textId="77777777" w:rsidR="006E0C38" w:rsidRDefault="006E0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" o:bullet="t">
        <v:imagedata r:id="rId1" o:title="art7F90"/>
      </v:shape>
    </w:pict>
  </w:numPicBullet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2A0A"/>
    <w:rsid w:val="00014F69"/>
    <w:rsid w:val="000171DB"/>
    <w:rsid w:val="00023D9A"/>
    <w:rsid w:val="00027BC5"/>
    <w:rsid w:val="0003582E"/>
    <w:rsid w:val="00043D75"/>
    <w:rsid w:val="00057000"/>
    <w:rsid w:val="000640E0"/>
    <w:rsid w:val="00067FDC"/>
    <w:rsid w:val="00086D80"/>
    <w:rsid w:val="000966A8"/>
    <w:rsid w:val="000A5CA2"/>
    <w:rsid w:val="000E6083"/>
    <w:rsid w:val="000E6125"/>
    <w:rsid w:val="000F3E8D"/>
    <w:rsid w:val="00100BAF"/>
    <w:rsid w:val="00110502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3E2F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8342B"/>
    <w:rsid w:val="002A11C4"/>
    <w:rsid w:val="002A399B"/>
    <w:rsid w:val="002C26C0"/>
    <w:rsid w:val="002C2BC5"/>
    <w:rsid w:val="002C48F1"/>
    <w:rsid w:val="002E0407"/>
    <w:rsid w:val="002E79CB"/>
    <w:rsid w:val="002F0471"/>
    <w:rsid w:val="002F1714"/>
    <w:rsid w:val="002F7D92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73BEA"/>
    <w:rsid w:val="00385B9C"/>
    <w:rsid w:val="00385FB5"/>
    <w:rsid w:val="0038715D"/>
    <w:rsid w:val="00392E84"/>
    <w:rsid w:val="00394DBF"/>
    <w:rsid w:val="003957A6"/>
    <w:rsid w:val="003A43EF"/>
    <w:rsid w:val="003C7445"/>
    <w:rsid w:val="003E39A2"/>
    <w:rsid w:val="003E57AB"/>
    <w:rsid w:val="003F2BED"/>
    <w:rsid w:val="00400B49"/>
    <w:rsid w:val="00443878"/>
    <w:rsid w:val="004539A8"/>
    <w:rsid w:val="004712CA"/>
    <w:rsid w:val="0047422E"/>
    <w:rsid w:val="0049674B"/>
    <w:rsid w:val="004C0673"/>
    <w:rsid w:val="004C4E4E"/>
    <w:rsid w:val="004F3816"/>
    <w:rsid w:val="004F500A"/>
    <w:rsid w:val="00514631"/>
    <w:rsid w:val="005169CD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3265"/>
    <w:rsid w:val="005D4FEB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E0C38"/>
    <w:rsid w:val="006F7DEE"/>
    <w:rsid w:val="00701B54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6288"/>
    <w:rsid w:val="007C7122"/>
    <w:rsid w:val="007D3F11"/>
    <w:rsid w:val="007E2C69"/>
    <w:rsid w:val="007E53E4"/>
    <w:rsid w:val="007E656A"/>
    <w:rsid w:val="007F3CAA"/>
    <w:rsid w:val="007F664D"/>
    <w:rsid w:val="007F671C"/>
    <w:rsid w:val="00837203"/>
    <w:rsid w:val="00842137"/>
    <w:rsid w:val="00846EB8"/>
    <w:rsid w:val="00853F5F"/>
    <w:rsid w:val="00861E34"/>
    <w:rsid w:val="008623ED"/>
    <w:rsid w:val="00875AA6"/>
    <w:rsid w:val="00880944"/>
    <w:rsid w:val="00881C84"/>
    <w:rsid w:val="0089088E"/>
    <w:rsid w:val="00892297"/>
    <w:rsid w:val="008964D6"/>
    <w:rsid w:val="008B5123"/>
    <w:rsid w:val="008E0172"/>
    <w:rsid w:val="008E2B26"/>
    <w:rsid w:val="008F027C"/>
    <w:rsid w:val="00936852"/>
    <w:rsid w:val="0094045D"/>
    <w:rsid w:val="009406B5"/>
    <w:rsid w:val="00946166"/>
    <w:rsid w:val="009646A6"/>
    <w:rsid w:val="00983164"/>
    <w:rsid w:val="009972EF"/>
    <w:rsid w:val="009B5035"/>
    <w:rsid w:val="009C3160"/>
    <w:rsid w:val="009D644B"/>
    <w:rsid w:val="009E766E"/>
    <w:rsid w:val="009F1960"/>
    <w:rsid w:val="009F715E"/>
    <w:rsid w:val="00A01ED5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186"/>
    <w:rsid w:val="00AA1F22"/>
    <w:rsid w:val="00AB782D"/>
    <w:rsid w:val="00B05821"/>
    <w:rsid w:val="00B100D6"/>
    <w:rsid w:val="00B164C9"/>
    <w:rsid w:val="00B20E36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C14F6D"/>
    <w:rsid w:val="00C42125"/>
    <w:rsid w:val="00C62814"/>
    <w:rsid w:val="00C67B25"/>
    <w:rsid w:val="00C748F7"/>
    <w:rsid w:val="00C74937"/>
    <w:rsid w:val="00C82876"/>
    <w:rsid w:val="00CB2599"/>
    <w:rsid w:val="00CD0970"/>
    <w:rsid w:val="00CD2139"/>
    <w:rsid w:val="00CE5986"/>
    <w:rsid w:val="00D31686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61956"/>
    <w:rsid w:val="00E6292E"/>
    <w:rsid w:val="00EA0BE7"/>
    <w:rsid w:val="00EA2C4C"/>
    <w:rsid w:val="00EB444D"/>
    <w:rsid w:val="00EE1A06"/>
    <w:rsid w:val="00EE5C0D"/>
    <w:rsid w:val="00EF4792"/>
    <w:rsid w:val="00F02294"/>
    <w:rsid w:val="00F07BB8"/>
    <w:rsid w:val="00F30DE7"/>
    <w:rsid w:val="00F35F57"/>
    <w:rsid w:val="00F441E1"/>
    <w:rsid w:val="00F50467"/>
    <w:rsid w:val="00F562A0"/>
    <w:rsid w:val="00F57FA4"/>
    <w:rsid w:val="00FA02CB"/>
    <w:rsid w:val="00FA2177"/>
    <w:rsid w:val="00FB0783"/>
    <w:rsid w:val="00FB5B35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paragraph" w:styleId="ListParagraph">
    <w:name w:val="List Paragraph"/>
    <w:basedOn w:val="Normal"/>
    <w:uiPriority w:val="34"/>
    <w:qFormat/>
    <w:rsid w:val="00CD09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4F6D"/>
  </w:style>
  <w:style w:type="table" w:styleId="TableGrid">
    <w:name w:val="Table Grid"/>
    <w:basedOn w:val="TableNormal"/>
    <w:uiPriority w:val="39"/>
    <w:rsid w:val="00E6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28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288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semiHidden/>
    <w:rsid w:val="007C6288"/>
    <w:rPr>
      <w:position w:val="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59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en/ITU-T/studygroups/2017-2020/12/Documents/2018-05-10-webinar.mp4" TargetMode="External"/><Relationship Id="rId18" Type="http://schemas.openxmlformats.org/officeDocument/2006/relationships/hyperlink" Target="https://github.com/openitu/STL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news.itu.int/new-itu-standards-for-video-gaming-experience-webinar/" TargetMode="External"/><Relationship Id="rId17" Type="http://schemas.openxmlformats.org/officeDocument/2006/relationships/hyperlink" Target="https://www.itu.int/md/T17-SG12-181127-TD-GEN-0744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en/ITU-T/studygroups/2017-2020/12/Documents/2018-12-06-webinar.mp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wame.baah-acheamfuor@nca.org.gh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news.itu.int/standards-webinar-sg12/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gif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SG12-180501-TD-GEN-0575/en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EB6760" w:rsidP="00EB6760">
          <w:pPr>
            <w:pStyle w:val="0747E8C3C0B94E57A2B87F941A299AA02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EB6760" w:rsidP="00EB6760">
          <w:pPr>
            <w:pStyle w:val="AC14B36049EE4F7F9B8ACAEB3B0ACAED2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50609"/>
    <w:rsid w:val="00061607"/>
    <w:rsid w:val="000E25BB"/>
    <w:rsid w:val="00144428"/>
    <w:rsid w:val="001A1C4C"/>
    <w:rsid w:val="00256D54"/>
    <w:rsid w:val="00271D92"/>
    <w:rsid w:val="002A0AE4"/>
    <w:rsid w:val="00300983"/>
    <w:rsid w:val="00325284"/>
    <w:rsid w:val="00325869"/>
    <w:rsid w:val="003962CD"/>
    <w:rsid w:val="003A0E86"/>
    <w:rsid w:val="003F520B"/>
    <w:rsid w:val="00400FFE"/>
    <w:rsid w:val="00403A9C"/>
    <w:rsid w:val="00464382"/>
    <w:rsid w:val="004D3A5B"/>
    <w:rsid w:val="004E07FF"/>
    <w:rsid w:val="004E2252"/>
    <w:rsid w:val="004F124B"/>
    <w:rsid w:val="0058155E"/>
    <w:rsid w:val="005B0AEB"/>
    <w:rsid w:val="005B38F3"/>
    <w:rsid w:val="005F6CD5"/>
    <w:rsid w:val="0061653B"/>
    <w:rsid w:val="006431B1"/>
    <w:rsid w:val="006B688A"/>
    <w:rsid w:val="006D2486"/>
    <w:rsid w:val="006F6568"/>
    <w:rsid w:val="00726DDE"/>
    <w:rsid w:val="00731377"/>
    <w:rsid w:val="00747A76"/>
    <w:rsid w:val="00841C9F"/>
    <w:rsid w:val="00891F17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F3CAC"/>
    <w:rsid w:val="00B375F3"/>
    <w:rsid w:val="00B603E6"/>
    <w:rsid w:val="00BF10DB"/>
    <w:rsid w:val="00BF3BC1"/>
    <w:rsid w:val="00C27CFD"/>
    <w:rsid w:val="00C7519D"/>
    <w:rsid w:val="00C95AFF"/>
    <w:rsid w:val="00CE3714"/>
    <w:rsid w:val="00D13A99"/>
    <w:rsid w:val="00D352FB"/>
    <w:rsid w:val="00D40096"/>
    <w:rsid w:val="00D677E6"/>
    <w:rsid w:val="00DA366A"/>
    <w:rsid w:val="00DB774F"/>
    <w:rsid w:val="00DD7F58"/>
    <w:rsid w:val="00E24248"/>
    <w:rsid w:val="00E32D0C"/>
    <w:rsid w:val="00E66F7A"/>
    <w:rsid w:val="00EB6760"/>
    <w:rsid w:val="00EE281E"/>
    <w:rsid w:val="00F176CB"/>
    <w:rsid w:val="00F32DA0"/>
    <w:rsid w:val="00F869EF"/>
    <w:rsid w:val="00F940EE"/>
    <w:rsid w:val="00F96566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760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">
    <w:name w:val="DDDA5E3DD2C94785B556D7BC8421B96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">
    <w:name w:val="24635ECA0EAF4CF9B31C2407330D62E2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">
    <w:name w:val="CDF9D542E8A84EEEBAD509350CAF549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">
    <w:name w:val="04A5D664061D443D9804D85B7992234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E32D0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1">
    <w:name w:val="DDDA5E3DD2C94785B556D7BC8421B961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1">
    <w:name w:val="24635ECA0EAF4CF9B31C2407330D62E2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1">
    <w:name w:val="CDF9D542E8A84EEEBAD509350CAF549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1">
    <w:name w:val="04A5D664061D443D9804D85B7992234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2">
    <w:name w:val="DDDA5E3DD2C94785B556D7BC8421B961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2">
    <w:name w:val="24635ECA0EAF4CF9B31C2407330D62E2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3">
    <w:name w:val="CDD51279900B4252B2D0D289877D02EA3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2">
    <w:name w:val="CDF9D542E8A84EEEBAD509350CAF549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2">
    <w:name w:val="04A5D664061D443D9804D85B7992234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3CF2A362197E4BCB95A6F46CC9E10302">
    <w:name w:val="3CF2A362197E4BCB95A6F46CC9E10302"/>
    <w:rsid w:val="00F32DA0"/>
  </w:style>
  <w:style w:type="paragraph" w:customStyle="1" w:styleId="ADFAA714186A4A3B9599E1C108162BCA">
    <w:name w:val="ADFAA714186A4A3B9599E1C108162BCA"/>
    <w:rsid w:val="00F32DA0"/>
  </w:style>
  <w:style w:type="paragraph" w:customStyle="1" w:styleId="7A367C34FDC14E518B0C1003DB5D6790">
    <w:name w:val="7A367C34FDC14E518B0C1003DB5D6790"/>
    <w:rsid w:val="00F32DA0"/>
  </w:style>
  <w:style w:type="paragraph" w:customStyle="1" w:styleId="F724F7E1AF2A48808624A81F09F34B77">
    <w:name w:val="F724F7E1AF2A48808624A81F09F34B77"/>
    <w:rsid w:val="00F32DA0"/>
  </w:style>
  <w:style w:type="paragraph" w:customStyle="1" w:styleId="78568DB62A1D4BF996A71BC11798AC15">
    <w:name w:val="78568DB62A1D4BF996A71BC11798AC15"/>
    <w:rsid w:val="00F32DA0"/>
  </w:style>
  <w:style w:type="paragraph" w:customStyle="1" w:styleId="C985284391F84432B3E15321E89B4E92">
    <w:name w:val="C985284391F84432B3E15321E89B4E92"/>
    <w:rsid w:val="00F32DA0"/>
  </w:style>
  <w:style w:type="paragraph" w:customStyle="1" w:styleId="DDDA5E3DD2C94785B556D7BC8421B9613">
    <w:name w:val="DDDA5E3DD2C94785B556D7BC8421B961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3">
    <w:name w:val="24635ECA0EAF4CF9B31C2407330D62E2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635A5D730D9499F954705C83EB7CD19">
    <w:name w:val="D635A5D730D9499F954705C83EB7CD19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3">
    <w:name w:val="CDF9D542E8A84EEEBAD509350CAF549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3">
    <w:name w:val="04A5D664061D443D9804D85B7992234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1">
    <w:name w:val="272FBD78AB1F4582865B443E8080462B11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6">
    <w:name w:val="0747E8C3C0B94E57A2B87F941A299AA0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6">
    <w:name w:val="AC14B36049EE4F7F9B8ACAEB3B0ACAED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8">
    <w:name w:val="38A333F0FDB64DFC85824C3547C1B1B118"/>
    <w:rsid w:val="00C95AFF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4">
    <w:name w:val="DDDA5E3DD2C94785B556D7BC8421B961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4">
    <w:name w:val="24635ECA0EAF4CF9B31C2407330D62E2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7027B879D5D04D61855793B64D8B5B12">
    <w:name w:val="7027B879D5D04D61855793B64D8B5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4">
    <w:name w:val="CDF9D542E8A84EEEBAD509350CAF549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4">
    <w:name w:val="04A5D664061D443D9804D85B7992234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2">
    <w:name w:val="272FBD78AB1F4582865B443E8080462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7">
    <w:name w:val="0747E8C3C0B94E57A2B87F941A299AA0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7">
    <w:name w:val="AC14B36049EE4F7F9B8ACAEB3B0ACAED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9">
    <w:name w:val="38A333F0FDB64DFC85824C3547C1B1B119"/>
    <w:rsid w:val="00EB676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In line with WTSA-16 Resolution 1, this report provides updates about the SG12 lead study group activities.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Chairman, ITU-T SG12  </DocumentSour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purl.org/dc/elements/1.1/"/>
    <ds:schemaRef ds:uri="http://purl.org/dc/dcmitype/"/>
    <ds:schemaRef ds:uri="3f6fad35-1f81-480e-a4e5-6e5474dcfb96"/>
    <ds:schemaRef ds:uri="http://schemas.microsoft.com/sharepoint.v3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SG12 lead activities (February 2018 – December 2018)</vt:lpstr>
    </vt:vector>
  </TitlesOfParts>
  <Manager>ITU-T</Manager>
  <Company>International Telecommunication Union (ITU)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SG12 lead activities (February 2018 – December 2018)</dc:title>
  <dc:subject/>
  <dc:creator>Chairman, ITU-T SG12</dc:creator>
  <cp:keywords>QoS; QoE; driver distraction; car communications; video quality; SG12;</cp:keywords>
  <dc:description>TD305  For: Geneva, 10-14 December 2018_x000d_Document date: _x000d_Saved by ITU51011775 at 17:32:06 on 07/12/2018</dc:description>
  <cp:lastModifiedBy>Al-Mnini, Lara</cp:lastModifiedBy>
  <cp:revision>4</cp:revision>
  <cp:lastPrinted>2016-12-23T12:52:00Z</cp:lastPrinted>
  <dcterms:created xsi:type="dcterms:W3CDTF">2018-12-07T20:33:00Z</dcterms:created>
  <dcterms:modified xsi:type="dcterms:W3CDTF">2018-12-07T20:35:00Z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TD305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Chairman, ITU-T SG12</vt:lpwstr>
  </property>
</Properties>
</file>