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4"/>
        <w:gridCol w:w="528"/>
        <w:gridCol w:w="4154"/>
      </w:tblGrid>
      <w:tr w:rsidR="000E1C35" w:rsidRPr="000E1C35" w:rsidTr="00B95F12">
        <w:trPr>
          <w:cantSplit/>
        </w:trPr>
        <w:tc>
          <w:tcPr>
            <w:tcW w:w="1191" w:type="dxa"/>
            <w:vMerge w:val="restart"/>
          </w:tcPr>
          <w:p w:rsidR="000E1C35" w:rsidRPr="000E1C35" w:rsidRDefault="000E1C35" w:rsidP="000E1C35">
            <w:pPr>
              <w:rPr>
                <w:sz w:val="20"/>
              </w:rPr>
            </w:pPr>
            <w:bookmarkStart w:id="0" w:name="dnum" w:colFirst="2" w:colLast="2"/>
            <w:bookmarkStart w:id="1" w:name="dtableau"/>
            <w:r w:rsidRPr="000E1C35">
              <w:rPr>
                <w:noProof/>
                <w:sz w:val="20"/>
                <w:lang w:eastAsia="zh-CN"/>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2"/>
            <w:vMerge w:val="restart"/>
          </w:tcPr>
          <w:p w:rsidR="000E1C35" w:rsidRPr="000E1C35" w:rsidRDefault="000E1C35" w:rsidP="000E1C35">
            <w:pPr>
              <w:rPr>
                <w:sz w:val="16"/>
                <w:szCs w:val="16"/>
              </w:rPr>
            </w:pPr>
            <w:r w:rsidRPr="000E1C35">
              <w:rPr>
                <w:sz w:val="16"/>
                <w:szCs w:val="16"/>
              </w:rPr>
              <w:t>INTERNATIONAL TELECOMMUNICATION UNION</w:t>
            </w:r>
          </w:p>
          <w:p w:rsidR="000E1C35" w:rsidRPr="000E1C35" w:rsidRDefault="000E1C35" w:rsidP="000E1C35">
            <w:pPr>
              <w:rPr>
                <w:b/>
                <w:bCs/>
                <w:sz w:val="26"/>
                <w:szCs w:val="26"/>
              </w:rPr>
            </w:pPr>
            <w:r w:rsidRPr="000E1C35">
              <w:rPr>
                <w:b/>
                <w:bCs/>
                <w:sz w:val="26"/>
                <w:szCs w:val="26"/>
              </w:rPr>
              <w:t>TELECOMMUNICATION</w:t>
            </w:r>
            <w:r w:rsidRPr="000E1C35">
              <w:rPr>
                <w:b/>
                <w:bCs/>
                <w:sz w:val="26"/>
                <w:szCs w:val="26"/>
              </w:rPr>
              <w:br/>
              <w:t>STANDARDIZATION SECTOR</w:t>
            </w:r>
          </w:p>
          <w:p w:rsidR="000E1C35" w:rsidRPr="000E1C35" w:rsidRDefault="000E1C35" w:rsidP="000E1C35">
            <w:pPr>
              <w:rPr>
                <w:sz w:val="20"/>
              </w:rPr>
            </w:pPr>
            <w:r w:rsidRPr="000E1C35">
              <w:rPr>
                <w:sz w:val="20"/>
              </w:rPr>
              <w:t xml:space="preserve">STUDY PERIOD </w:t>
            </w:r>
            <w:bookmarkStart w:id="2" w:name="dstudyperiod"/>
            <w:r w:rsidRPr="000E1C35">
              <w:rPr>
                <w:sz w:val="20"/>
              </w:rPr>
              <w:t>2017-2020</w:t>
            </w:r>
            <w:bookmarkEnd w:id="2"/>
          </w:p>
        </w:tc>
        <w:tc>
          <w:tcPr>
            <w:tcW w:w="4682" w:type="dxa"/>
            <w:gridSpan w:val="2"/>
            <w:vAlign w:val="center"/>
          </w:tcPr>
          <w:p w:rsidR="000E1C35" w:rsidRPr="000E1C35" w:rsidRDefault="000E1C35" w:rsidP="000E1C35">
            <w:pPr>
              <w:pStyle w:val="Docnumber"/>
              <w:rPr>
                <w:sz w:val="32"/>
              </w:rPr>
            </w:pPr>
            <w:r>
              <w:rPr>
                <w:sz w:val="32"/>
              </w:rPr>
              <w:t>TSAG-TD300</w:t>
            </w:r>
          </w:p>
        </w:tc>
      </w:tr>
      <w:tr w:rsidR="000E1C35" w:rsidRPr="000E1C35" w:rsidTr="00B95F12">
        <w:trPr>
          <w:cantSplit/>
        </w:trPr>
        <w:tc>
          <w:tcPr>
            <w:tcW w:w="1191" w:type="dxa"/>
            <w:vMerge/>
          </w:tcPr>
          <w:p w:rsidR="000E1C35" w:rsidRPr="000E1C35" w:rsidRDefault="000E1C35" w:rsidP="000E1C35">
            <w:pPr>
              <w:rPr>
                <w:smallCaps/>
                <w:sz w:val="20"/>
              </w:rPr>
            </w:pPr>
            <w:bookmarkStart w:id="3" w:name="dsg" w:colFirst="2" w:colLast="2"/>
            <w:bookmarkEnd w:id="0"/>
          </w:p>
        </w:tc>
        <w:tc>
          <w:tcPr>
            <w:tcW w:w="4050" w:type="dxa"/>
            <w:gridSpan w:val="2"/>
            <w:vMerge/>
          </w:tcPr>
          <w:p w:rsidR="000E1C35" w:rsidRPr="000E1C35" w:rsidRDefault="000E1C35" w:rsidP="000E1C35">
            <w:pPr>
              <w:rPr>
                <w:smallCaps/>
                <w:sz w:val="20"/>
              </w:rPr>
            </w:pPr>
          </w:p>
        </w:tc>
        <w:tc>
          <w:tcPr>
            <w:tcW w:w="4682" w:type="dxa"/>
            <w:gridSpan w:val="2"/>
          </w:tcPr>
          <w:p w:rsidR="000E1C35" w:rsidRPr="000E1C35" w:rsidRDefault="000E1C35" w:rsidP="000E1C35">
            <w:pPr>
              <w:jc w:val="right"/>
              <w:rPr>
                <w:b/>
                <w:bCs/>
                <w:smallCaps/>
                <w:sz w:val="28"/>
                <w:szCs w:val="28"/>
              </w:rPr>
            </w:pPr>
            <w:r>
              <w:rPr>
                <w:b/>
                <w:bCs/>
                <w:smallCaps/>
                <w:sz w:val="28"/>
                <w:szCs w:val="28"/>
              </w:rPr>
              <w:t>TSAG</w:t>
            </w:r>
          </w:p>
        </w:tc>
      </w:tr>
      <w:bookmarkEnd w:id="3"/>
      <w:tr w:rsidR="000E1C35" w:rsidRPr="000E1C35" w:rsidTr="00B95F12">
        <w:trPr>
          <w:cantSplit/>
        </w:trPr>
        <w:tc>
          <w:tcPr>
            <w:tcW w:w="1191" w:type="dxa"/>
            <w:vMerge/>
            <w:tcBorders>
              <w:bottom w:val="single" w:sz="12" w:space="0" w:color="auto"/>
            </w:tcBorders>
          </w:tcPr>
          <w:p w:rsidR="000E1C35" w:rsidRPr="000E1C35" w:rsidRDefault="000E1C35" w:rsidP="000E1C35">
            <w:pPr>
              <w:rPr>
                <w:b/>
                <w:bCs/>
                <w:sz w:val="26"/>
              </w:rPr>
            </w:pPr>
          </w:p>
        </w:tc>
        <w:tc>
          <w:tcPr>
            <w:tcW w:w="4050" w:type="dxa"/>
            <w:gridSpan w:val="2"/>
            <w:vMerge/>
            <w:tcBorders>
              <w:bottom w:val="single" w:sz="12" w:space="0" w:color="auto"/>
            </w:tcBorders>
          </w:tcPr>
          <w:p w:rsidR="000E1C35" w:rsidRPr="000E1C35" w:rsidRDefault="000E1C35" w:rsidP="000E1C35">
            <w:pPr>
              <w:rPr>
                <w:b/>
                <w:bCs/>
                <w:sz w:val="26"/>
              </w:rPr>
            </w:pPr>
          </w:p>
        </w:tc>
        <w:tc>
          <w:tcPr>
            <w:tcW w:w="4682" w:type="dxa"/>
            <w:gridSpan w:val="2"/>
            <w:tcBorders>
              <w:bottom w:val="single" w:sz="12" w:space="0" w:color="auto"/>
            </w:tcBorders>
            <w:vAlign w:val="center"/>
          </w:tcPr>
          <w:p w:rsidR="000E1C35" w:rsidRPr="000E1C35" w:rsidRDefault="000E1C35" w:rsidP="000E1C35">
            <w:pPr>
              <w:jc w:val="right"/>
              <w:rPr>
                <w:b/>
                <w:bCs/>
                <w:sz w:val="28"/>
                <w:szCs w:val="28"/>
              </w:rPr>
            </w:pPr>
            <w:r w:rsidRPr="000E1C35">
              <w:rPr>
                <w:b/>
                <w:bCs/>
                <w:sz w:val="28"/>
                <w:szCs w:val="28"/>
              </w:rPr>
              <w:t>Original: English</w:t>
            </w:r>
          </w:p>
        </w:tc>
      </w:tr>
      <w:tr w:rsidR="000E1C35" w:rsidRPr="00B95F12" w:rsidTr="00B95F12">
        <w:trPr>
          <w:cantSplit/>
        </w:trPr>
        <w:tc>
          <w:tcPr>
            <w:tcW w:w="1617" w:type="dxa"/>
            <w:gridSpan w:val="2"/>
          </w:tcPr>
          <w:p w:rsidR="000E1C35" w:rsidRPr="00B95F12" w:rsidRDefault="000E1C35" w:rsidP="000E1C35">
            <w:pPr>
              <w:rPr>
                <w:b/>
                <w:bCs/>
                <w:szCs w:val="24"/>
              </w:rPr>
            </w:pPr>
            <w:bookmarkStart w:id="4" w:name="dbluepink" w:colFirst="1" w:colLast="1"/>
            <w:bookmarkStart w:id="5" w:name="dmeeting" w:colFirst="2" w:colLast="2"/>
            <w:r w:rsidRPr="00B95F12">
              <w:rPr>
                <w:b/>
                <w:bCs/>
                <w:szCs w:val="24"/>
              </w:rPr>
              <w:t>Question(s):</w:t>
            </w:r>
          </w:p>
        </w:tc>
        <w:tc>
          <w:tcPr>
            <w:tcW w:w="3624" w:type="dxa"/>
          </w:tcPr>
          <w:p w:rsidR="000E1C35" w:rsidRPr="00B95F12" w:rsidRDefault="000E1C35" w:rsidP="000E1C35">
            <w:pPr>
              <w:rPr>
                <w:szCs w:val="24"/>
              </w:rPr>
            </w:pPr>
            <w:r w:rsidRPr="00B95F12">
              <w:rPr>
                <w:szCs w:val="24"/>
              </w:rPr>
              <w:t>N/A</w:t>
            </w:r>
          </w:p>
        </w:tc>
        <w:tc>
          <w:tcPr>
            <w:tcW w:w="4682" w:type="dxa"/>
            <w:gridSpan w:val="2"/>
          </w:tcPr>
          <w:p w:rsidR="000E1C35" w:rsidRPr="00B95F12" w:rsidRDefault="000E1C35" w:rsidP="000E1C35">
            <w:pPr>
              <w:jc w:val="right"/>
              <w:rPr>
                <w:szCs w:val="24"/>
              </w:rPr>
            </w:pPr>
            <w:r w:rsidRPr="00B95F12">
              <w:rPr>
                <w:szCs w:val="24"/>
              </w:rPr>
              <w:t>Geneva, 10-14 December 2018</w:t>
            </w:r>
          </w:p>
        </w:tc>
      </w:tr>
      <w:tr w:rsidR="000E1C35" w:rsidRPr="00B95F12" w:rsidTr="003F6975">
        <w:trPr>
          <w:cantSplit/>
        </w:trPr>
        <w:tc>
          <w:tcPr>
            <w:tcW w:w="9923" w:type="dxa"/>
            <w:gridSpan w:val="5"/>
          </w:tcPr>
          <w:p w:rsidR="000E1C35" w:rsidRPr="00B95F12" w:rsidRDefault="000E1C35" w:rsidP="000E1C35">
            <w:pPr>
              <w:jc w:val="center"/>
              <w:rPr>
                <w:b/>
                <w:bCs/>
                <w:szCs w:val="24"/>
              </w:rPr>
            </w:pPr>
            <w:bookmarkStart w:id="6" w:name="ddoctype" w:colFirst="0" w:colLast="0"/>
            <w:bookmarkEnd w:id="4"/>
            <w:bookmarkEnd w:id="5"/>
            <w:r w:rsidRPr="00B95F12">
              <w:rPr>
                <w:b/>
                <w:bCs/>
                <w:szCs w:val="24"/>
              </w:rPr>
              <w:t>TD</w:t>
            </w:r>
          </w:p>
        </w:tc>
      </w:tr>
      <w:tr w:rsidR="000E1C35" w:rsidRPr="00B95F12" w:rsidTr="003F6975">
        <w:trPr>
          <w:cantSplit/>
        </w:trPr>
        <w:tc>
          <w:tcPr>
            <w:tcW w:w="1617" w:type="dxa"/>
            <w:gridSpan w:val="2"/>
          </w:tcPr>
          <w:p w:rsidR="000E1C35" w:rsidRPr="00B95F12" w:rsidRDefault="000E1C35" w:rsidP="000E1C35">
            <w:pPr>
              <w:rPr>
                <w:b/>
                <w:bCs/>
                <w:szCs w:val="24"/>
              </w:rPr>
            </w:pPr>
            <w:bookmarkStart w:id="7" w:name="dsource" w:colFirst="1" w:colLast="1"/>
            <w:bookmarkEnd w:id="6"/>
            <w:r w:rsidRPr="00B95F12">
              <w:rPr>
                <w:b/>
                <w:bCs/>
                <w:szCs w:val="24"/>
              </w:rPr>
              <w:t>Source:</w:t>
            </w:r>
          </w:p>
        </w:tc>
        <w:tc>
          <w:tcPr>
            <w:tcW w:w="8306" w:type="dxa"/>
            <w:gridSpan w:val="3"/>
          </w:tcPr>
          <w:p w:rsidR="000E1C35" w:rsidRPr="00B95F12" w:rsidRDefault="000E1C35" w:rsidP="000E1C35">
            <w:pPr>
              <w:rPr>
                <w:szCs w:val="24"/>
              </w:rPr>
            </w:pPr>
            <w:r w:rsidRPr="00B95F12">
              <w:rPr>
                <w:szCs w:val="24"/>
              </w:rPr>
              <w:t>Director, Telecommunication Standardization Bureau</w:t>
            </w:r>
          </w:p>
        </w:tc>
      </w:tr>
      <w:tr w:rsidR="000E1C35" w:rsidRPr="00B95F12" w:rsidTr="003F6975">
        <w:trPr>
          <w:cantSplit/>
        </w:trPr>
        <w:tc>
          <w:tcPr>
            <w:tcW w:w="1617" w:type="dxa"/>
            <w:gridSpan w:val="2"/>
          </w:tcPr>
          <w:p w:rsidR="000E1C35" w:rsidRPr="00B95F12" w:rsidRDefault="000E1C35" w:rsidP="000E1C35">
            <w:pPr>
              <w:rPr>
                <w:szCs w:val="24"/>
              </w:rPr>
            </w:pPr>
            <w:bookmarkStart w:id="8" w:name="dtitle1" w:colFirst="1" w:colLast="1"/>
            <w:bookmarkEnd w:id="7"/>
            <w:r w:rsidRPr="00B95F12">
              <w:rPr>
                <w:b/>
                <w:bCs/>
                <w:szCs w:val="24"/>
              </w:rPr>
              <w:t>Title:</w:t>
            </w:r>
          </w:p>
        </w:tc>
        <w:tc>
          <w:tcPr>
            <w:tcW w:w="8306" w:type="dxa"/>
            <w:gridSpan w:val="3"/>
          </w:tcPr>
          <w:p w:rsidR="000E1C35" w:rsidRPr="00B95F12" w:rsidRDefault="000E1C35" w:rsidP="000E1C35">
            <w:pPr>
              <w:rPr>
                <w:szCs w:val="24"/>
              </w:rPr>
            </w:pPr>
            <w:r w:rsidRPr="00B95F12">
              <w:rPr>
                <w:szCs w:val="24"/>
              </w:rPr>
              <w:t>Highlights of ITU Plenipotentiary Conference 2018 of interest to ITU-T</w:t>
            </w:r>
          </w:p>
        </w:tc>
      </w:tr>
      <w:tr w:rsidR="000E1C35" w:rsidRPr="00B95F12" w:rsidTr="00B95F12">
        <w:trPr>
          <w:cantSplit/>
        </w:trPr>
        <w:tc>
          <w:tcPr>
            <w:tcW w:w="1617" w:type="dxa"/>
            <w:gridSpan w:val="2"/>
          </w:tcPr>
          <w:p w:rsidR="000E1C35" w:rsidRPr="007D2D6B" w:rsidRDefault="000E1C35" w:rsidP="000E1C35">
            <w:pPr>
              <w:rPr>
                <w:b/>
                <w:bCs/>
                <w:szCs w:val="24"/>
              </w:rPr>
            </w:pPr>
            <w:bookmarkStart w:id="9" w:name="dpurpose" w:colFirst="1" w:colLast="1"/>
            <w:bookmarkEnd w:id="8"/>
            <w:r w:rsidRPr="007D2D6B">
              <w:rPr>
                <w:b/>
                <w:bCs/>
                <w:szCs w:val="24"/>
              </w:rPr>
              <w:t>Purpose:</w:t>
            </w:r>
          </w:p>
        </w:tc>
        <w:tc>
          <w:tcPr>
            <w:tcW w:w="8306" w:type="dxa"/>
            <w:gridSpan w:val="3"/>
          </w:tcPr>
          <w:p w:rsidR="000E1C35" w:rsidRPr="00B95F12" w:rsidRDefault="007D2D6B" w:rsidP="000E1C35">
            <w:pPr>
              <w:rPr>
                <w:szCs w:val="24"/>
              </w:rPr>
            </w:pPr>
            <w:r>
              <w:rPr>
                <w:szCs w:val="24"/>
              </w:rPr>
              <w:t>Information</w:t>
            </w:r>
          </w:p>
        </w:tc>
      </w:tr>
      <w:tr w:rsidR="00B95F12" w:rsidRPr="00B95F12" w:rsidTr="00B95F12">
        <w:trPr>
          <w:cantSplit/>
        </w:trPr>
        <w:tc>
          <w:tcPr>
            <w:tcW w:w="1617" w:type="dxa"/>
            <w:gridSpan w:val="2"/>
            <w:tcBorders>
              <w:bottom w:val="single" w:sz="8" w:space="0" w:color="auto"/>
            </w:tcBorders>
          </w:tcPr>
          <w:p w:rsidR="00B95F12" w:rsidRPr="00B95F12" w:rsidRDefault="00B95F12" w:rsidP="00B95F12">
            <w:pPr>
              <w:rPr>
                <w:b/>
                <w:bCs/>
                <w:szCs w:val="24"/>
              </w:rPr>
            </w:pPr>
            <w:r w:rsidRPr="00B95F12">
              <w:rPr>
                <w:rFonts w:eastAsia="SimSun"/>
                <w:b/>
                <w:bCs/>
                <w:szCs w:val="24"/>
                <w:lang w:eastAsia="ja-JP"/>
              </w:rPr>
              <w:t>Contact:</w:t>
            </w:r>
          </w:p>
        </w:tc>
        <w:tc>
          <w:tcPr>
            <w:tcW w:w="4152" w:type="dxa"/>
            <w:gridSpan w:val="2"/>
            <w:tcBorders>
              <w:bottom w:val="single" w:sz="8" w:space="0" w:color="auto"/>
            </w:tcBorders>
          </w:tcPr>
          <w:p w:rsidR="00B95F12" w:rsidRPr="00B95F12" w:rsidRDefault="00B95F12" w:rsidP="007D2D6B">
            <w:pPr>
              <w:rPr>
                <w:szCs w:val="24"/>
              </w:rPr>
            </w:pPr>
            <w:r w:rsidRPr="00B95F12">
              <w:rPr>
                <w:szCs w:val="24"/>
              </w:rPr>
              <w:t>Reinhard Scholl</w:t>
            </w:r>
          </w:p>
        </w:tc>
        <w:tc>
          <w:tcPr>
            <w:tcW w:w="4154" w:type="dxa"/>
            <w:tcBorders>
              <w:bottom w:val="single" w:sz="8" w:space="0" w:color="auto"/>
            </w:tcBorders>
          </w:tcPr>
          <w:p w:rsidR="00B95F12" w:rsidRPr="00B95F12" w:rsidRDefault="00B95F12" w:rsidP="00B95F12">
            <w:pPr>
              <w:rPr>
                <w:szCs w:val="24"/>
              </w:rPr>
            </w:pPr>
            <w:r w:rsidRPr="00B95F12">
              <w:rPr>
                <w:szCs w:val="24"/>
              </w:rPr>
              <w:t xml:space="preserve">Tel: </w:t>
            </w:r>
            <w:r w:rsidRPr="00B95F12">
              <w:rPr>
                <w:szCs w:val="24"/>
              </w:rPr>
              <w:tab/>
              <w:t>+41 22 730 5860</w:t>
            </w:r>
          </w:p>
          <w:p w:rsidR="00B95F12" w:rsidRPr="00B95F12" w:rsidRDefault="00B95F12" w:rsidP="00B95F12">
            <w:pPr>
              <w:spacing w:before="0"/>
              <w:rPr>
                <w:szCs w:val="24"/>
              </w:rPr>
            </w:pPr>
            <w:r w:rsidRPr="00B95F12">
              <w:rPr>
                <w:szCs w:val="24"/>
              </w:rPr>
              <w:t>E</w:t>
            </w:r>
            <w:r w:rsidR="007D2D6B">
              <w:rPr>
                <w:szCs w:val="24"/>
              </w:rPr>
              <w:t>-</w:t>
            </w:r>
            <w:r w:rsidRPr="00B95F12">
              <w:rPr>
                <w:szCs w:val="24"/>
              </w:rPr>
              <w:t xml:space="preserve">mail: </w:t>
            </w:r>
            <w:r w:rsidRPr="00B95F12">
              <w:rPr>
                <w:szCs w:val="24"/>
              </w:rPr>
              <w:tab/>
            </w:r>
            <w:hyperlink r:id="rId9" w:history="1">
              <w:r w:rsidRPr="00B95F12">
                <w:rPr>
                  <w:rStyle w:val="Hyperlink"/>
                  <w:szCs w:val="24"/>
                </w:rPr>
                <w:t>reinhard.scholl@itu.int</w:t>
              </w:r>
            </w:hyperlink>
            <w:r w:rsidRPr="00B95F12">
              <w:rPr>
                <w:szCs w:val="24"/>
              </w:rPr>
              <w:t xml:space="preserve"> </w:t>
            </w:r>
          </w:p>
        </w:tc>
      </w:tr>
    </w:tbl>
    <w:p w:rsidR="00B95F12" w:rsidRPr="00B95F12" w:rsidRDefault="00B95F12">
      <w:pPr>
        <w:rPr>
          <w:szCs w:val="24"/>
        </w:rPr>
      </w:pPr>
    </w:p>
    <w:tbl>
      <w:tblPr>
        <w:tblW w:w="9923" w:type="dxa"/>
        <w:tblLayout w:type="fixed"/>
        <w:tblCellMar>
          <w:left w:w="57" w:type="dxa"/>
          <w:right w:w="57" w:type="dxa"/>
        </w:tblCellMar>
        <w:tblLook w:val="0000" w:firstRow="0" w:lastRow="0" w:firstColumn="0" w:lastColumn="0" w:noHBand="0" w:noVBand="0"/>
      </w:tblPr>
      <w:tblGrid>
        <w:gridCol w:w="1617"/>
        <w:gridCol w:w="8306"/>
      </w:tblGrid>
      <w:tr w:rsidR="00B95F12" w:rsidRPr="00B95F12" w:rsidTr="00B95F12">
        <w:trPr>
          <w:cantSplit/>
        </w:trPr>
        <w:tc>
          <w:tcPr>
            <w:tcW w:w="1617" w:type="dxa"/>
            <w:vAlign w:val="center"/>
          </w:tcPr>
          <w:bookmarkEnd w:id="1"/>
          <w:bookmarkEnd w:id="9"/>
          <w:p w:rsidR="00B95F12" w:rsidRPr="007D2D6B" w:rsidRDefault="00B95F12" w:rsidP="00701B49">
            <w:pPr>
              <w:spacing w:after="100" w:afterAutospacing="1"/>
              <w:rPr>
                <w:rFonts w:asciiTheme="majorBidi" w:hAnsiTheme="majorBidi" w:cstheme="majorBidi"/>
                <w:b/>
                <w:bCs/>
                <w:szCs w:val="24"/>
              </w:rPr>
            </w:pPr>
            <w:r w:rsidRPr="007D2D6B">
              <w:rPr>
                <w:rFonts w:asciiTheme="majorBidi" w:hAnsiTheme="majorBidi" w:cstheme="majorBidi"/>
                <w:b/>
                <w:bCs/>
                <w:szCs w:val="24"/>
              </w:rPr>
              <w:t>Keywords:</w:t>
            </w:r>
            <w:r w:rsidR="007D2D6B" w:rsidRPr="007D2D6B">
              <w:rPr>
                <w:rFonts w:asciiTheme="majorBidi" w:hAnsiTheme="majorBidi" w:cstheme="majorBidi"/>
                <w:b/>
                <w:bCs/>
                <w:szCs w:val="24"/>
              </w:rPr>
              <w:t xml:space="preserve"> </w:t>
            </w:r>
          </w:p>
        </w:tc>
        <w:tc>
          <w:tcPr>
            <w:tcW w:w="8306" w:type="dxa"/>
            <w:vAlign w:val="center"/>
          </w:tcPr>
          <w:p w:rsidR="00B95F12" w:rsidRPr="007D2D6B" w:rsidRDefault="007D2D6B" w:rsidP="007D2D6B">
            <w:pPr>
              <w:spacing w:after="100" w:afterAutospacing="1"/>
              <w:rPr>
                <w:rFonts w:asciiTheme="majorBidi" w:hAnsiTheme="majorBidi" w:cstheme="majorBidi"/>
                <w:szCs w:val="24"/>
              </w:rPr>
            </w:pPr>
            <w:r w:rsidRPr="007D2D6B">
              <w:rPr>
                <w:rFonts w:asciiTheme="majorBidi" w:hAnsiTheme="majorBidi" w:cstheme="majorBidi"/>
                <w:bCs/>
                <w:szCs w:val="24"/>
              </w:rPr>
              <w:t>Plenipotentiary Conference</w:t>
            </w:r>
            <w:r w:rsidR="00407B98">
              <w:rPr>
                <w:rFonts w:asciiTheme="majorBidi" w:hAnsiTheme="majorBidi" w:cstheme="majorBidi"/>
                <w:bCs/>
                <w:szCs w:val="24"/>
              </w:rPr>
              <w:t>;</w:t>
            </w:r>
            <w:bookmarkStart w:id="10" w:name="_GoBack"/>
            <w:bookmarkEnd w:id="10"/>
          </w:p>
        </w:tc>
      </w:tr>
      <w:tr w:rsidR="00B95F12" w:rsidRPr="00B95F12" w:rsidTr="00B95F12">
        <w:trPr>
          <w:cantSplit/>
        </w:trPr>
        <w:tc>
          <w:tcPr>
            <w:tcW w:w="1617" w:type="dxa"/>
            <w:vAlign w:val="center"/>
          </w:tcPr>
          <w:p w:rsidR="00B95F12" w:rsidRPr="00B95F12" w:rsidRDefault="00B95F12" w:rsidP="00701B49">
            <w:pPr>
              <w:spacing w:after="100" w:afterAutospacing="1"/>
              <w:rPr>
                <w:rFonts w:asciiTheme="majorBidi" w:hAnsiTheme="majorBidi" w:cstheme="majorBidi"/>
                <w:b/>
                <w:bCs/>
                <w:szCs w:val="24"/>
                <w:highlight w:val="yellow"/>
              </w:rPr>
            </w:pPr>
            <w:r w:rsidRPr="007D2D6B">
              <w:rPr>
                <w:rFonts w:asciiTheme="majorBidi" w:hAnsiTheme="majorBidi" w:cstheme="majorBidi"/>
                <w:b/>
                <w:bCs/>
                <w:szCs w:val="24"/>
              </w:rPr>
              <w:t>Abstract:</w:t>
            </w:r>
          </w:p>
        </w:tc>
        <w:tc>
          <w:tcPr>
            <w:tcW w:w="8306" w:type="dxa"/>
            <w:vAlign w:val="center"/>
          </w:tcPr>
          <w:p w:rsidR="00B95F12" w:rsidRPr="00B95F12" w:rsidRDefault="007D2D6B" w:rsidP="007D2D6B">
            <w:pPr>
              <w:spacing w:after="100" w:afterAutospacing="1"/>
              <w:rPr>
                <w:rFonts w:asciiTheme="majorBidi" w:hAnsiTheme="majorBidi" w:cstheme="majorBidi"/>
                <w:szCs w:val="24"/>
              </w:rPr>
            </w:pPr>
            <w:r>
              <w:t>This TD summarizes the PP-18 results, with emphasis on ITU-T/TSB relevant topics and the changes with respect to PP-14.</w:t>
            </w:r>
          </w:p>
        </w:tc>
      </w:tr>
    </w:tbl>
    <w:p w:rsidR="00342474" w:rsidRDefault="00633F39">
      <w:r>
        <w:rPr>
          <w:b/>
          <w:bCs/>
        </w:rPr>
        <w:t xml:space="preserve">Action </w:t>
      </w:r>
      <w:proofErr w:type="gramStart"/>
      <w:r>
        <w:rPr>
          <w:b/>
          <w:bCs/>
        </w:rPr>
        <w:t>required:</w:t>
      </w:r>
      <w:proofErr w:type="gramEnd"/>
      <w:r>
        <w:t xml:space="preserve"> TSAG is invited to note the document.</w:t>
      </w:r>
    </w:p>
    <w:p w:rsidR="00342474" w:rsidRDefault="00633F39">
      <w:pPr>
        <w:rPr>
          <w:b/>
          <w:bCs/>
        </w:rPr>
      </w:pPr>
      <w:r>
        <w:rPr>
          <w:b/>
          <w:bCs/>
        </w:rPr>
        <w:t>Notes:</w:t>
      </w:r>
    </w:p>
    <w:p w:rsidR="00342474" w:rsidRDefault="00633F39">
      <w:pPr>
        <w:numPr>
          <w:ilvl w:val="0"/>
          <w:numId w:val="3"/>
        </w:numPr>
        <w:tabs>
          <w:tab w:val="clear" w:pos="794"/>
          <w:tab w:val="clear" w:pos="1191"/>
          <w:tab w:val="clear" w:pos="1588"/>
          <w:tab w:val="clear" w:pos="1985"/>
        </w:tabs>
        <w:overflowPunct/>
        <w:autoSpaceDE/>
        <w:autoSpaceDN/>
        <w:adjustRightInd/>
        <w:textAlignment w:val="auto"/>
      </w:pPr>
      <w:r>
        <w:t xml:space="preserve">PP-18 results are contained in the Final Acts (ref: </w:t>
      </w:r>
      <w:hyperlink r:id="rId10" w:history="1">
        <w:r>
          <w:rPr>
            <w:rStyle w:val="Hyperlink"/>
          </w:rPr>
          <w:t>https://www.itu.int/web/pp-18/en/page/192-Documents%C2%A0</w:t>
        </w:r>
      </w:hyperlink>
      <w:r>
        <w:t xml:space="preserve">) which comprise revised or new Resolutions and Decisions and the list of Resolutions abrogated by the Conference. No changes </w:t>
      </w:r>
      <w:proofErr w:type="gramStart"/>
      <w:r>
        <w:t>were made</w:t>
      </w:r>
      <w:proofErr w:type="gramEnd"/>
      <w:r>
        <w:t xml:space="preserve"> to the Constitution and Convention.</w:t>
      </w:r>
    </w:p>
    <w:p w:rsidR="00342474" w:rsidRDefault="00633F39">
      <w:pPr>
        <w:numPr>
          <w:ilvl w:val="0"/>
          <w:numId w:val="3"/>
        </w:numPr>
        <w:tabs>
          <w:tab w:val="clear" w:pos="794"/>
          <w:tab w:val="clear" w:pos="1191"/>
          <w:tab w:val="clear" w:pos="1588"/>
          <w:tab w:val="clear" w:pos="1985"/>
        </w:tabs>
        <w:overflowPunct/>
        <w:autoSpaceDE/>
        <w:autoSpaceDN/>
        <w:adjustRightInd/>
        <w:textAlignment w:val="auto"/>
      </w:pPr>
      <w:r>
        <w:t>Quotes below were taken either from the</w:t>
      </w:r>
    </w:p>
    <w:p w:rsidR="00342474" w:rsidRDefault="00633F39">
      <w:pPr>
        <w:numPr>
          <w:ilvl w:val="1"/>
          <w:numId w:val="3"/>
        </w:numPr>
        <w:tabs>
          <w:tab w:val="clear" w:pos="794"/>
          <w:tab w:val="clear" w:pos="1191"/>
          <w:tab w:val="clear" w:pos="1588"/>
          <w:tab w:val="clear" w:pos="1985"/>
        </w:tabs>
        <w:overflowPunct/>
        <w:autoSpaceDE/>
        <w:autoSpaceDN/>
        <w:adjustRightInd/>
        <w:textAlignment w:val="auto"/>
      </w:pPr>
      <w:r>
        <w:t xml:space="preserve">first / second reading of draft (revised) Decisions/Resolutions as submitted to Plenary </w:t>
      </w:r>
    </w:p>
    <w:p w:rsidR="00342474" w:rsidRDefault="00633F39">
      <w:pPr>
        <w:numPr>
          <w:ilvl w:val="1"/>
          <w:numId w:val="3"/>
        </w:numPr>
        <w:tabs>
          <w:tab w:val="clear" w:pos="794"/>
          <w:tab w:val="clear" w:pos="1191"/>
          <w:tab w:val="clear" w:pos="1588"/>
          <w:tab w:val="clear" w:pos="1985"/>
        </w:tabs>
        <w:overflowPunct/>
        <w:autoSpaceDE/>
        <w:autoSpaceDN/>
        <w:adjustRightInd/>
        <w:textAlignment w:val="auto"/>
      </w:pPr>
      <w:r>
        <w:t>Final Acts as published on the last day of PP-18 (the final version published beginning of 2019, see below, may have minor editorial changes)</w:t>
      </w:r>
    </w:p>
    <w:p w:rsidR="00342474" w:rsidRDefault="00633F39">
      <w:pPr>
        <w:numPr>
          <w:ilvl w:val="1"/>
          <w:numId w:val="3"/>
        </w:numPr>
        <w:tabs>
          <w:tab w:val="clear" w:pos="794"/>
          <w:tab w:val="clear" w:pos="1191"/>
          <w:tab w:val="clear" w:pos="1588"/>
          <w:tab w:val="clear" w:pos="1985"/>
        </w:tabs>
        <w:overflowPunct/>
        <w:autoSpaceDE/>
        <w:autoSpaceDN/>
        <w:adjustRightInd/>
        <w:textAlignment w:val="auto"/>
      </w:pPr>
      <w:r>
        <w:t>Report from the Chairman of Committee 5 (COM5) to Plenary (</w:t>
      </w:r>
      <w:hyperlink r:id="rId11" w:history="1">
        <w:r>
          <w:rPr>
            <w:rStyle w:val="Hyperlink"/>
          </w:rPr>
          <w:t>155</w:t>
        </w:r>
      </w:hyperlink>
      <w:r>
        <w:t>)</w:t>
      </w:r>
    </w:p>
    <w:p w:rsidR="00342474" w:rsidRDefault="00633F39">
      <w:pPr>
        <w:numPr>
          <w:ilvl w:val="1"/>
          <w:numId w:val="3"/>
        </w:numPr>
        <w:tabs>
          <w:tab w:val="clear" w:pos="794"/>
          <w:tab w:val="clear" w:pos="1191"/>
          <w:tab w:val="clear" w:pos="1588"/>
          <w:tab w:val="clear" w:pos="1985"/>
        </w:tabs>
        <w:overflowPunct/>
        <w:autoSpaceDE/>
        <w:autoSpaceDN/>
        <w:adjustRightInd/>
        <w:textAlignment w:val="auto"/>
      </w:pPr>
      <w:r>
        <w:t>Report from the Chairman of Committee 6 (COM6) to Plenary (</w:t>
      </w:r>
      <w:hyperlink r:id="rId12" w:history="1">
        <w:r>
          <w:rPr>
            <w:rStyle w:val="Hyperlink"/>
            <w:rFonts w:eastAsiaTheme="majorEastAsia"/>
            <w:szCs w:val="24"/>
          </w:rPr>
          <w:t>100</w:t>
        </w:r>
      </w:hyperlink>
      <w:r>
        <w:t>)</w:t>
      </w:r>
    </w:p>
    <w:p w:rsidR="00342474" w:rsidRDefault="00633F39">
      <w:pPr>
        <w:numPr>
          <w:ilvl w:val="1"/>
          <w:numId w:val="3"/>
        </w:numPr>
        <w:tabs>
          <w:tab w:val="clear" w:pos="794"/>
          <w:tab w:val="clear" w:pos="1191"/>
          <w:tab w:val="clear" w:pos="1588"/>
          <w:tab w:val="clear" w:pos="1985"/>
        </w:tabs>
        <w:overflowPunct/>
        <w:autoSpaceDE/>
        <w:autoSpaceDN/>
        <w:adjustRightInd/>
        <w:textAlignment w:val="auto"/>
      </w:pPr>
      <w:r>
        <w:t>Report from the Chairman of the Working Group of Plenary (WGPL) to Plenary (</w:t>
      </w:r>
      <w:hyperlink r:id="rId13" w:history="1">
        <w:r>
          <w:rPr>
            <w:rStyle w:val="Hyperlink"/>
            <w:rFonts w:asciiTheme="minorHAnsi" w:eastAsiaTheme="majorEastAsia" w:hAnsiTheme="minorHAnsi"/>
            <w:szCs w:val="24"/>
          </w:rPr>
          <w:t>143</w:t>
        </w:r>
      </w:hyperlink>
      <w:r>
        <w:t>)</w:t>
      </w:r>
    </w:p>
    <w:p w:rsidR="00342474" w:rsidRDefault="00633F39">
      <w:pPr>
        <w:numPr>
          <w:ilvl w:val="0"/>
          <w:numId w:val="3"/>
        </w:numPr>
        <w:tabs>
          <w:tab w:val="clear" w:pos="794"/>
          <w:tab w:val="clear" w:pos="1191"/>
          <w:tab w:val="clear" w:pos="1588"/>
          <w:tab w:val="clear" w:pos="1985"/>
        </w:tabs>
        <w:overflowPunct/>
        <w:autoSpaceDE/>
        <w:autoSpaceDN/>
        <w:adjustRightInd/>
        <w:textAlignment w:val="auto"/>
      </w:pPr>
      <w:r>
        <w:t xml:space="preserve">The draft Final Acts of PP-18 are available here: </w:t>
      </w:r>
      <w:hyperlink r:id="rId14" w:history="1">
        <w:r>
          <w:rPr>
            <w:rStyle w:val="Hyperlink"/>
          </w:rPr>
          <w:t>https://www.itu.int/web/pp-18/en/page/192-Documents%C2%A0</w:t>
        </w:r>
      </w:hyperlink>
      <w:r>
        <w:t>.</w:t>
      </w:r>
    </w:p>
    <w:p w:rsidR="00342474" w:rsidRDefault="00633F39">
      <w:pPr>
        <w:tabs>
          <w:tab w:val="clear" w:pos="794"/>
          <w:tab w:val="clear" w:pos="1191"/>
          <w:tab w:val="clear" w:pos="1588"/>
          <w:tab w:val="clear" w:pos="1985"/>
        </w:tabs>
        <w:overflowPunct/>
        <w:autoSpaceDE/>
        <w:autoSpaceDN/>
        <w:adjustRightInd/>
        <w:ind w:left="720"/>
        <w:textAlignment w:val="auto"/>
      </w:pPr>
      <w:r>
        <w:t xml:space="preserve">The draft Final Acts include only the </w:t>
      </w:r>
      <w:r>
        <w:rPr>
          <w:b/>
          <w:bCs/>
          <w:u w:val="single"/>
        </w:rPr>
        <w:t>changes</w:t>
      </w:r>
      <w:r>
        <w:t xml:space="preserve"> (including new Resolutions) that PP-18 made with respect to the previously valid version of the basic texts (Constitution; Convention; General Rules of Conferences, Assemblies and Meeting of the Union; Optional Protocol; Decisions; Resolutions; Recommendations). </w:t>
      </w:r>
    </w:p>
    <w:p w:rsidR="00342474" w:rsidRDefault="00633F39">
      <w:pPr>
        <w:tabs>
          <w:tab w:val="clear" w:pos="794"/>
          <w:tab w:val="clear" w:pos="1191"/>
          <w:tab w:val="clear" w:pos="1588"/>
          <w:tab w:val="clear" w:pos="1985"/>
        </w:tabs>
        <w:overflowPunct/>
        <w:autoSpaceDE/>
        <w:autoSpaceDN/>
        <w:adjustRightInd/>
        <w:spacing w:before="0"/>
        <w:textAlignment w:val="auto"/>
        <w:rPr>
          <w:b/>
          <w:bCs/>
          <w:highlight w:val="yellow"/>
        </w:rPr>
      </w:pPr>
      <w:r>
        <w:rPr>
          <w:b/>
          <w:bCs/>
          <w:highlight w:val="yellow"/>
        </w:rPr>
        <w:br w:type="page"/>
      </w:r>
    </w:p>
    <w:p w:rsidR="00342474" w:rsidRDefault="00633F39">
      <w:pPr>
        <w:tabs>
          <w:tab w:val="clear" w:pos="794"/>
          <w:tab w:val="clear" w:pos="1191"/>
          <w:tab w:val="clear" w:pos="1588"/>
          <w:tab w:val="clear" w:pos="1985"/>
        </w:tabs>
        <w:overflowPunct/>
        <w:autoSpaceDE/>
        <w:autoSpaceDN/>
        <w:adjustRightInd/>
        <w:textAlignment w:val="auto"/>
        <w:rPr>
          <w:b/>
          <w:bCs/>
        </w:rPr>
      </w:pPr>
      <w:r>
        <w:rPr>
          <w:b/>
          <w:bCs/>
        </w:rPr>
        <w:lastRenderedPageBreak/>
        <w:t>Summary of relevant topics for ITU-T</w:t>
      </w:r>
    </w:p>
    <w:p w:rsidR="00342474" w:rsidRDefault="00633F39">
      <w:pPr>
        <w:numPr>
          <w:ilvl w:val="0"/>
          <w:numId w:val="7"/>
        </w:numPr>
        <w:tabs>
          <w:tab w:val="clear" w:pos="794"/>
          <w:tab w:val="clear" w:pos="1191"/>
          <w:tab w:val="clear" w:pos="1588"/>
          <w:tab w:val="clear" w:pos="1985"/>
        </w:tabs>
        <w:overflowPunct/>
        <w:autoSpaceDE/>
        <w:adjustRightInd/>
        <w:textAlignment w:val="auto"/>
      </w:pPr>
      <w:r>
        <w:t>Mr Chaesub Lee (Republic of Korea) re-elected TSB Director 1 January 2019 - 31 December 2022.</w:t>
      </w:r>
    </w:p>
    <w:p w:rsidR="00342474" w:rsidRDefault="00633F39">
      <w:pPr>
        <w:numPr>
          <w:ilvl w:val="0"/>
          <w:numId w:val="7"/>
        </w:numPr>
        <w:tabs>
          <w:tab w:val="clear" w:pos="794"/>
          <w:tab w:val="clear" w:pos="1191"/>
          <w:tab w:val="clear" w:pos="1588"/>
          <w:tab w:val="clear" w:pos="1985"/>
        </w:tabs>
        <w:overflowPunct/>
        <w:autoSpaceDE/>
        <w:adjustRightInd/>
        <w:textAlignment w:val="auto"/>
      </w:pPr>
      <w:r>
        <w:t xml:space="preserve">New Strategic Plan 2020-2023 (Revised Resolution 71) </w:t>
      </w:r>
      <w:r>
        <w:rPr>
          <w:rFonts w:asciiTheme="majorBidi" w:hAnsiTheme="majorBidi" w:cstheme="majorBidi"/>
          <w:szCs w:val="24"/>
        </w:rPr>
        <w:t>with updated ITU vision, mission, and values features f</w:t>
      </w:r>
      <w:r>
        <w:rPr>
          <w:rFonts w:eastAsia="SimSun" w:cs="Traditional Arabic"/>
        </w:rPr>
        <w:t xml:space="preserve">ive strategic goals for the Union: 1) Growth, 2) Inclusiveness, 3) Sustainability, 4) Innovation and 5) Partnerships and the agreed set of Sector objectives, target, and new Sector enablers. The plan links with the 2030 Agenda for Sustainable Development and the SDGs, as well as the WSIS plan of action. The notion of non-discriminatory international standards remains to </w:t>
      </w:r>
      <w:proofErr w:type="gramStart"/>
      <w:r>
        <w:rPr>
          <w:rFonts w:eastAsia="SimSun" w:cs="Traditional Arabic"/>
        </w:rPr>
        <w:t>be clarified</w:t>
      </w:r>
      <w:proofErr w:type="gramEnd"/>
      <w:r>
        <w:rPr>
          <w:rFonts w:eastAsia="SimSun" w:cs="Traditional Arabic"/>
        </w:rPr>
        <w:t>.</w:t>
      </w:r>
    </w:p>
    <w:p w:rsidR="00342474" w:rsidRDefault="00633F39">
      <w:pPr>
        <w:numPr>
          <w:ilvl w:val="0"/>
          <w:numId w:val="7"/>
        </w:numPr>
        <w:tabs>
          <w:tab w:val="clear" w:pos="794"/>
          <w:tab w:val="clear" w:pos="1191"/>
          <w:tab w:val="clear" w:pos="1588"/>
          <w:tab w:val="clear" w:pos="1985"/>
        </w:tabs>
        <w:overflowPunct/>
        <w:autoSpaceDE/>
        <w:adjustRightInd/>
        <w:textAlignment w:val="auto"/>
      </w:pPr>
      <w:proofErr w:type="gramStart"/>
      <w:r>
        <w:rPr>
          <w:rFonts w:eastAsia="SimSun" w:cs="Traditional Arabic"/>
        </w:rPr>
        <w:t xml:space="preserve">New Financial Plan </w:t>
      </w:r>
      <w:r>
        <w:t xml:space="preserve">for 2020-2023 (revised Decision 5) is a </w:t>
      </w:r>
      <w:r>
        <w:rPr>
          <w:rFonts w:asciiTheme="majorBidi" w:hAnsiTheme="majorBidi" w:cstheme="majorBidi"/>
          <w:szCs w:val="24"/>
        </w:rPr>
        <w:t>balanced financial plan</w:t>
      </w:r>
      <w:r>
        <w:t xml:space="preserve"> with the t</w:t>
      </w:r>
      <w:r>
        <w:rPr>
          <w:rFonts w:asciiTheme="majorBidi" w:hAnsiTheme="majorBidi" w:cstheme="majorBidi"/>
          <w:szCs w:val="24"/>
        </w:rPr>
        <w:t xml:space="preserve">otal planned expenses for the period concerned amounts to CHF 660.3 million offset by projected revenue of CHF 660.3 million; </w:t>
      </w:r>
      <w:r>
        <w:t xml:space="preserve">sets the </w:t>
      </w:r>
      <w:r>
        <w:rPr>
          <w:rFonts w:asciiTheme="majorBidi" w:hAnsiTheme="majorBidi" w:cstheme="majorBidi"/>
          <w:szCs w:val="24"/>
        </w:rPr>
        <w:t>definitive upper limit of the amount of the contributory unit at CHF 318 000; and the number of contributory units from Member States applicable as from 1 January 2020 is 343 11/16 or an increase of 3/16 units compared with the prevailing situation.</w:t>
      </w:r>
      <w:proofErr w:type="gramEnd"/>
    </w:p>
    <w:p w:rsidR="00371007" w:rsidRDefault="00633F39" w:rsidP="00371007">
      <w:pPr>
        <w:numPr>
          <w:ilvl w:val="0"/>
          <w:numId w:val="7"/>
        </w:numPr>
        <w:tabs>
          <w:tab w:val="clear" w:pos="794"/>
          <w:tab w:val="clear" w:pos="1191"/>
          <w:tab w:val="clear" w:pos="1588"/>
          <w:tab w:val="clear" w:pos="1985"/>
        </w:tabs>
        <w:overflowPunct/>
        <w:autoSpaceDE/>
        <w:adjustRightInd/>
        <w:textAlignment w:val="auto"/>
      </w:pPr>
      <w:r>
        <w:t>PP-18 agreed that the ITU Constitution and Convention remained unchanged. This is the second time since 1992</w:t>
      </w:r>
      <w:r w:rsidR="00C528CA">
        <w:t xml:space="preserve"> that the Convention and Constitution were not changed</w:t>
      </w:r>
      <w:r>
        <w:t>.</w:t>
      </w:r>
    </w:p>
    <w:p w:rsidR="00371007" w:rsidRPr="00FD7D33" w:rsidRDefault="00371007" w:rsidP="004F34B5">
      <w:pPr>
        <w:numPr>
          <w:ilvl w:val="0"/>
          <w:numId w:val="7"/>
        </w:num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Cs w:val="24"/>
        </w:rPr>
      </w:pPr>
      <w:r w:rsidRPr="00FD7D33">
        <w:rPr>
          <w:rFonts w:asciiTheme="majorBidi" w:hAnsiTheme="majorBidi" w:cstheme="majorBidi"/>
          <w:szCs w:val="24"/>
        </w:rPr>
        <w:t xml:space="preserve">Concern is </w:t>
      </w:r>
      <w:r w:rsidR="00FD7D33" w:rsidRPr="00FD7D33">
        <w:rPr>
          <w:rFonts w:asciiTheme="majorBidi" w:hAnsiTheme="majorBidi" w:cstheme="majorBidi"/>
          <w:szCs w:val="24"/>
        </w:rPr>
        <w:t xml:space="preserve">on </w:t>
      </w:r>
      <w:r w:rsidRPr="00FD7D33">
        <w:rPr>
          <w:rFonts w:asciiTheme="majorBidi" w:hAnsiTheme="majorBidi" w:cstheme="majorBidi"/>
          <w:szCs w:val="24"/>
        </w:rPr>
        <w:t>growing overlap or duplication among the Sectors in many fields.</w:t>
      </w:r>
      <w:r w:rsidR="00FD7D33" w:rsidRPr="00FD7D33">
        <w:rPr>
          <w:rFonts w:asciiTheme="majorBidi" w:hAnsiTheme="majorBidi" w:cstheme="majorBidi"/>
          <w:szCs w:val="24"/>
        </w:rPr>
        <w:t xml:space="preserve"> Revised Resolution 191 on inter-Sector coordination continues to improve coordination among three Sectors. The Advisory Groups </w:t>
      </w:r>
      <w:proofErr w:type="gramStart"/>
      <w:r w:rsidR="00FD7D33" w:rsidRPr="00FD7D33">
        <w:rPr>
          <w:rFonts w:asciiTheme="majorBidi" w:hAnsiTheme="majorBidi" w:cstheme="majorBidi"/>
          <w:szCs w:val="24"/>
        </w:rPr>
        <w:t xml:space="preserve">are </w:t>
      </w:r>
      <w:r w:rsidR="00FD7D33">
        <w:rPr>
          <w:rFonts w:asciiTheme="majorBidi" w:hAnsiTheme="majorBidi" w:cstheme="majorBidi"/>
          <w:szCs w:val="24"/>
        </w:rPr>
        <w:t>invited</w:t>
      </w:r>
      <w:proofErr w:type="gramEnd"/>
      <w:r w:rsidR="00FD7D33" w:rsidRPr="00FD7D33">
        <w:rPr>
          <w:rFonts w:asciiTheme="majorBidi" w:hAnsiTheme="majorBidi" w:cstheme="majorBidi"/>
          <w:szCs w:val="24"/>
        </w:rPr>
        <w:t xml:space="preserve"> to </w:t>
      </w:r>
      <w:r w:rsidRPr="00FD7D33">
        <w:rPr>
          <w:rFonts w:asciiTheme="majorBidi" w:hAnsiTheme="majorBidi" w:cstheme="majorBidi"/>
          <w:szCs w:val="24"/>
        </w:rPr>
        <w:t xml:space="preserve">continue coordinating </w:t>
      </w:r>
      <w:r w:rsidR="00FD7D33">
        <w:rPr>
          <w:rFonts w:asciiTheme="majorBidi" w:hAnsiTheme="majorBidi" w:cstheme="majorBidi"/>
          <w:szCs w:val="24"/>
        </w:rPr>
        <w:t>among themselves on new and</w:t>
      </w:r>
      <w:r w:rsidRPr="00FD7D33">
        <w:rPr>
          <w:rFonts w:asciiTheme="majorBidi" w:hAnsiTheme="majorBidi" w:cstheme="majorBidi"/>
          <w:szCs w:val="24"/>
        </w:rPr>
        <w:t xml:space="preserve"> current work items, and to provide support to the Inter-Sector Coordination Group (ISCG) in defining common areas of interest and activities for all three Sectors and mechanisms to strengthen collaboration and cooperation among Sectors on areas of mutual interest.</w:t>
      </w:r>
      <w:r w:rsidR="00FD7D33">
        <w:rPr>
          <w:rFonts w:asciiTheme="majorBidi" w:hAnsiTheme="majorBidi" w:cstheme="majorBidi"/>
          <w:szCs w:val="24"/>
        </w:rPr>
        <w:t xml:space="preserve"> The Secretary General </w:t>
      </w:r>
      <w:proofErr w:type="gramStart"/>
      <w:r w:rsidR="00FD7D33">
        <w:rPr>
          <w:rFonts w:asciiTheme="majorBidi" w:hAnsiTheme="majorBidi" w:cstheme="majorBidi"/>
          <w:szCs w:val="24"/>
        </w:rPr>
        <w:t>is tasked</w:t>
      </w:r>
      <w:proofErr w:type="gramEnd"/>
      <w:r w:rsidR="00FD7D33">
        <w:rPr>
          <w:rFonts w:asciiTheme="majorBidi" w:hAnsiTheme="majorBidi" w:cstheme="majorBidi"/>
          <w:szCs w:val="24"/>
        </w:rPr>
        <w:t xml:space="preserve"> to identify all forms and examples of overlapping functions and propose solutions to mitigate them.</w:t>
      </w:r>
    </w:p>
    <w:p w:rsidR="00342474" w:rsidRDefault="00633F39">
      <w:pPr>
        <w:numPr>
          <w:ilvl w:val="0"/>
          <w:numId w:val="7"/>
        </w:numPr>
        <w:tabs>
          <w:tab w:val="clear" w:pos="794"/>
          <w:tab w:val="clear" w:pos="1191"/>
          <w:tab w:val="clear" w:pos="1588"/>
          <w:tab w:val="clear" w:pos="1985"/>
        </w:tabs>
        <w:overflowPunct/>
        <w:autoSpaceDE/>
        <w:adjustRightInd/>
        <w:textAlignment w:val="auto"/>
      </w:pPr>
      <w:r>
        <w:t xml:space="preserve">Streamlining Resolutions is a new approach that aims to align ITU </w:t>
      </w:r>
      <w:proofErr w:type="gramStart"/>
      <w:r>
        <w:t>Resolutions,</w:t>
      </w:r>
      <w:proofErr w:type="gramEnd"/>
      <w:r>
        <w:t xml:space="preserve"> consolidate similar or equal elements. TSB to prepare analysis on potential of streamlining Resolutions and submit to TSAG to follow-up.</w:t>
      </w:r>
      <w:r>
        <w:br/>
        <w:t>Started successfully the exercise of streamlining Resolutions with new Resolution COM5/2 “Appointment and maximum term of office for chairmen and vice-chairmen of Sector advisory groups, study groups and other groups”, and suppressed Resolution 166 “Number of vice-chairmen of Sector advisory groups, study groups and other groups”, several other Resolutions were streamlined/merged too.</w:t>
      </w:r>
    </w:p>
    <w:p w:rsidR="00342474" w:rsidRPr="00153931" w:rsidRDefault="00633F39">
      <w:pPr>
        <w:numPr>
          <w:ilvl w:val="0"/>
          <w:numId w:val="7"/>
        </w:numPr>
        <w:tabs>
          <w:tab w:val="clear" w:pos="794"/>
          <w:tab w:val="clear" w:pos="1191"/>
          <w:tab w:val="clear" w:pos="1588"/>
          <w:tab w:val="clear" w:pos="1985"/>
        </w:tabs>
        <w:overflowPunct/>
        <w:autoSpaceDE/>
        <w:adjustRightInd/>
        <w:textAlignment w:val="auto"/>
      </w:pPr>
      <w:r w:rsidRPr="00153931">
        <w:t xml:space="preserve">New Resolution COM5/3 “Encouraging the participation of small and medium enterprises in the work of the Union” </w:t>
      </w:r>
      <w:r w:rsidRPr="00153931">
        <w:rPr>
          <w:rFonts w:asciiTheme="majorBidi" w:hAnsiTheme="majorBidi" w:cstheme="majorBidi"/>
          <w:szCs w:val="24"/>
        </w:rPr>
        <w:t>admits the participation of SMEs (up to 250 employees) in the Sectors of the Union (in the role of Associates).</w:t>
      </w:r>
      <w:r w:rsidR="002C067F" w:rsidRPr="00153931">
        <w:rPr>
          <w:rFonts w:asciiTheme="majorBidi" w:hAnsiTheme="majorBidi" w:cstheme="majorBidi"/>
          <w:szCs w:val="24"/>
        </w:rPr>
        <w:t xml:space="preserve"> Membership </w:t>
      </w:r>
      <w:r w:rsidR="00153931" w:rsidRPr="00153931">
        <w:rPr>
          <w:rFonts w:asciiTheme="majorBidi" w:hAnsiTheme="majorBidi" w:cstheme="majorBidi"/>
          <w:szCs w:val="24"/>
        </w:rPr>
        <w:t>f</w:t>
      </w:r>
      <w:r w:rsidR="002C067F" w:rsidRPr="00153931">
        <w:rPr>
          <w:rFonts w:asciiTheme="majorBidi" w:hAnsiTheme="majorBidi" w:cstheme="majorBidi"/>
          <w:szCs w:val="24"/>
        </w:rPr>
        <w:t xml:space="preserve">ees are </w:t>
      </w:r>
      <w:r w:rsidR="00153931" w:rsidRPr="00153931">
        <w:t xml:space="preserve">CHF 3,975 </w:t>
      </w:r>
      <w:r w:rsidRPr="00153931">
        <w:rPr>
          <w:rFonts w:asciiTheme="majorBidi" w:hAnsiTheme="majorBidi" w:cstheme="majorBidi"/>
          <w:szCs w:val="24"/>
        </w:rPr>
        <w:t xml:space="preserve">for SMEs from developed </w:t>
      </w:r>
      <w:proofErr w:type="gramStart"/>
      <w:r w:rsidRPr="00153931">
        <w:rPr>
          <w:rFonts w:asciiTheme="majorBidi" w:hAnsiTheme="majorBidi" w:cstheme="majorBidi"/>
          <w:szCs w:val="24"/>
        </w:rPr>
        <w:t>countries,</w:t>
      </w:r>
      <w:proofErr w:type="gramEnd"/>
      <w:r w:rsidRPr="00153931">
        <w:rPr>
          <w:rFonts w:asciiTheme="majorBidi" w:hAnsiTheme="majorBidi" w:cstheme="majorBidi"/>
          <w:szCs w:val="24"/>
        </w:rPr>
        <w:t xml:space="preserve"> </w:t>
      </w:r>
      <w:r w:rsidR="002C067F" w:rsidRPr="00153931">
        <w:rPr>
          <w:rFonts w:asciiTheme="majorBidi" w:hAnsiTheme="majorBidi" w:cstheme="majorBidi"/>
          <w:szCs w:val="24"/>
        </w:rPr>
        <w:t xml:space="preserve">and </w:t>
      </w:r>
      <w:r w:rsidR="00153931" w:rsidRPr="00153931">
        <w:t xml:space="preserve">CHF 1,987.50 </w:t>
      </w:r>
      <w:r w:rsidRPr="00153931">
        <w:rPr>
          <w:rFonts w:asciiTheme="majorBidi" w:hAnsiTheme="majorBidi" w:cstheme="majorBidi"/>
          <w:szCs w:val="24"/>
        </w:rPr>
        <w:t>for SMEs from developing countries</w:t>
      </w:r>
      <w:r w:rsidR="002C067F" w:rsidRPr="00153931">
        <w:rPr>
          <w:rFonts w:asciiTheme="majorBidi" w:hAnsiTheme="majorBidi" w:cstheme="majorBidi"/>
          <w:szCs w:val="24"/>
        </w:rPr>
        <w:t>.</w:t>
      </w:r>
    </w:p>
    <w:p w:rsidR="00342474" w:rsidRDefault="00633F39">
      <w:pPr>
        <w:numPr>
          <w:ilvl w:val="0"/>
          <w:numId w:val="7"/>
        </w:numPr>
        <w:tabs>
          <w:tab w:val="clear" w:pos="794"/>
          <w:tab w:val="clear" w:pos="1191"/>
          <w:tab w:val="clear" w:pos="1588"/>
          <w:tab w:val="clear" w:pos="1985"/>
        </w:tabs>
        <w:overflowPunct/>
        <w:autoSpaceDE/>
        <w:adjustRightInd/>
        <w:textAlignment w:val="auto"/>
      </w:pPr>
      <w:r>
        <w:t>Revised Resolution 169 “Admission of academia</w:t>
      </w:r>
      <w:r>
        <w:footnoteReference w:customMarkFollows="1" w:id="1"/>
        <w:t xml:space="preserve">1 to participate in the work of the Union” allows Academia to participate in TSAG and act as </w:t>
      </w:r>
      <w:r>
        <w:rPr>
          <w:rFonts w:asciiTheme="majorBidi" w:hAnsiTheme="majorBidi" w:cstheme="majorBidi"/>
          <w:szCs w:val="24"/>
        </w:rPr>
        <w:t>Rapporteur, or as Associate Rapporteur.</w:t>
      </w:r>
    </w:p>
    <w:p w:rsidR="00342474" w:rsidRDefault="00633F39">
      <w:pPr>
        <w:numPr>
          <w:ilvl w:val="0"/>
          <w:numId w:val="7"/>
        </w:numPr>
        <w:tabs>
          <w:tab w:val="clear" w:pos="794"/>
          <w:tab w:val="clear" w:pos="1191"/>
          <w:tab w:val="clear" w:pos="1588"/>
          <w:tab w:val="clear" w:pos="1985"/>
        </w:tabs>
        <w:overflowPunct/>
        <w:autoSpaceDE/>
        <w:adjustRightInd/>
        <w:textAlignment w:val="auto"/>
      </w:pPr>
      <w:r>
        <w:t>P</w:t>
      </w:r>
      <w:r>
        <w:rPr>
          <w:rFonts w:eastAsia="Malgun Gothic" w:cs="Arial"/>
          <w:szCs w:val="22"/>
          <w:lang w:eastAsia="ko-KR"/>
        </w:rPr>
        <w:t xml:space="preserve">P-18 invites WTSA-20 to review, in the context of Article 3 of the ITU Constitution, and revise, as appropriate, WTSA Resolution 1, WTSA Resolution 2, WTSA Resolution 22 and WTSA Resolution 54 to clarify the criteria for creation, participation and termination of regional groups of </w:t>
      </w:r>
      <w:r w:rsidRPr="000E1C35">
        <w:rPr>
          <w:rFonts w:eastAsia="Malgun Gothic" w:cs="Arial"/>
          <w:szCs w:val="22"/>
          <w:lang w:eastAsia="ko-KR"/>
        </w:rPr>
        <w:t>Study Group</w:t>
      </w:r>
      <w:r>
        <w:rPr>
          <w:rFonts w:eastAsia="Malgun Gothic" w:cs="Arial"/>
          <w:szCs w:val="22"/>
          <w:lang w:eastAsia="ko-KR"/>
        </w:rPr>
        <w:t>s, and the role of TSAG in this regard.</w:t>
      </w:r>
    </w:p>
    <w:p w:rsidR="00342474" w:rsidRDefault="00633F39">
      <w:pPr>
        <w:numPr>
          <w:ilvl w:val="0"/>
          <w:numId w:val="7"/>
        </w:numPr>
        <w:tabs>
          <w:tab w:val="clear" w:pos="794"/>
          <w:tab w:val="clear" w:pos="1191"/>
          <w:tab w:val="clear" w:pos="1588"/>
          <w:tab w:val="clear" w:pos="1985"/>
        </w:tabs>
        <w:overflowPunct/>
        <w:autoSpaceDE/>
        <w:adjustRightInd/>
        <w:textAlignment w:val="auto"/>
      </w:pPr>
      <w:r>
        <w:lastRenderedPageBreak/>
        <w:t xml:space="preserve">Several Resolutions (30, 34, 123, 135, 137, 139, 201, </w:t>
      </w:r>
      <w:proofErr w:type="gramStart"/>
      <w:r>
        <w:t>203</w:t>
      </w:r>
      <w:proofErr w:type="gramEnd"/>
      <w:r>
        <w:t>) were amended which address bridging the digital divide / capacity building / standardization gap / financial inclusion gap / fellowships.</w:t>
      </w:r>
    </w:p>
    <w:p w:rsidR="00342474" w:rsidRDefault="00633F39">
      <w:pPr>
        <w:numPr>
          <w:ilvl w:val="0"/>
          <w:numId w:val="7"/>
        </w:numPr>
        <w:tabs>
          <w:tab w:val="clear" w:pos="794"/>
          <w:tab w:val="clear" w:pos="1191"/>
          <w:tab w:val="clear" w:pos="1588"/>
          <w:tab w:val="clear" w:pos="1985"/>
        </w:tabs>
        <w:overflowPunct/>
        <w:autoSpaceDE/>
        <w:adjustRightInd/>
        <w:textAlignment w:val="auto"/>
      </w:pPr>
      <w:r>
        <w:t xml:space="preserve">New Resolution WGPL/1 “Use of information and communication technologies to bridge the financial inclusion gap” enable </w:t>
      </w:r>
      <w:r>
        <w:rPr>
          <w:rFonts w:asciiTheme="majorBidi" w:hAnsiTheme="majorBidi" w:cstheme="majorBidi"/>
        </w:rPr>
        <w:t>ITU</w:t>
      </w:r>
      <w:r>
        <w:rPr>
          <w:szCs w:val="24"/>
        </w:rPr>
        <w:t>-</w:t>
      </w:r>
      <w:r>
        <w:rPr>
          <w:rFonts w:asciiTheme="majorBidi" w:hAnsiTheme="majorBidi" w:cstheme="majorBidi"/>
        </w:rPr>
        <w:t>T study groups to study economic and policy issues, developing standards, recommendations and guidelines in areas: interoperability, digitization of payments, consumer protection, quality of service, data monetization, agents, and network security, and collaboration with telecommunication regulators, financial regulators and central banks.</w:t>
      </w:r>
    </w:p>
    <w:p w:rsidR="00342474" w:rsidRDefault="00633F39">
      <w:pPr>
        <w:numPr>
          <w:ilvl w:val="0"/>
          <w:numId w:val="7"/>
        </w:numPr>
        <w:tabs>
          <w:tab w:val="clear" w:pos="794"/>
          <w:tab w:val="clear" w:pos="1191"/>
          <w:tab w:val="clear" w:pos="1588"/>
          <w:tab w:val="clear" w:pos="1985"/>
        </w:tabs>
        <w:overflowPunct/>
        <w:autoSpaceDE/>
        <w:adjustRightInd/>
        <w:textAlignment w:val="auto"/>
      </w:pPr>
      <w:r>
        <w:t xml:space="preserve">New Resolution COM6/3 “Measures to improve, promote and strengthen ITU fellowships” </w:t>
      </w:r>
      <w:r>
        <w:rPr>
          <w:rFonts w:asciiTheme="majorBidi" w:hAnsiTheme="majorBidi" w:cstheme="majorBidi"/>
        </w:rPr>
        <w:t>emphasizes the importance of criteria such as gender, inclusiveness and geographical distribution, thereby providing an enhanced and transparent framework as well as appropriate oversight on the fellowship programme.</w:t>
      </w:r>
    </w:p>
    <w:p w:rsidR="00342474" w:rsidRDefault="00633F39">
      <w:pPr>
        <w:numPr>
          <w:ilvl w:val="0"/>
          <w:numId w:val="7"/>
        </w:numPr>
        <w:tabs>
          <w:tab w:val="clear" w:pos="794"/>
          <w:tab w:val="clear" w:pos="1191"/>
          <w:tab w:val="clear" w:pos="1588"/>
          <w:tab w:val="clear" w:pos="1985"/>
        </w:tabs>
        <w:overflowPunct/>
        <w:autoSpaceDE/>
        <w:adjustRightInd/>
        <w:textAlignment w:val="auto"/>
      </w:pPr>
      <w:r>
        <w:t xml:space="preserve">New Resolution WGPL/2 “ITU's role in fostering telecommunication/information and communication technology-centric innovation to support the digital economy and society” for </w:t>
      </w:r>
      <w:r>
        <w:rPr>
          <w:rFonts w:asciiTheme="majorBidi" w:hAnsiTheme="majorBidi" w:cstheme="majorBidi"/>
          <w:szCs w:val="24"/>
        </w:rPr>
        <w:t>ITU to foster telecommunication/ICT centric innovation in the development and deployment of telecommunications /ICT infrastructure that contribute to the development of the digital economy.</w:t>
      </w:r>
    </w:p>
    <w:p w:rsidR="00342474" w:rsidRDefault="00633F39">
      <w:pPr>
        <w:numPr>
          <w:ilvl w:val="0"/>
          <w:numId w:val="7"/>
        </w:numPr>
        <w:tabs>
          <w:tab w:val="clear" w:pos="794"/>
          <w:tab w:val="clear" w:pos="1191"/>
          <w:tab w:val="clear" w:pos="1588"/>
          <w:tab w:val="clear" w:pos="1985"/>
        </w:tabs>
        <w:overflowPunct/>
        <w:autoSpaceDE/>
        <w:adjustRightInd/>
        <w:textAlignment w:val="auto"/>
      </w:pPr>
      <w:r>
        <w:t xml:space="preserve">New Resolution COM6/1 Support for the Iraqi Du3M 2025 initiative for advancement of the telecommunication and information technology sectors” </w:t>
      </w:r>
      <w:r>
        <w:rPr>
          <w:rFonts w:asciiTheme="majorBidi" w:hAnsiTheme="majorBidi" w:cstheme="majorBidi"/>
        </w:rPr>
        <w:t>deals with the Du3M 2025 initiative that Iraq launched for advancement of the ICT sector in order to develop this vital sector and keep pace with the developed countries. This resolution calls on Member States for their support to implement this initiative and on the Secretary-General for providing and mobilizing technical resources for that purpose.</w:t>
      </w:r>
    </w:p>
    <w:p w:rsidR="00342474" w:rsidRDefault="00633F39">
      <w:pPr>
        <w:numPr>
          <w:ilvl w:val="0"/>
          <w:numId w:val="7"/>
        </w:numPr>
        <w:tabs>
          <w:tab w:val="clear" w:pos="794"/>
          <w:tab w:val="clear" w:pos="1191"/>
          <w:tab w:val="clear" w:pos="1588"/>
          <w:tab w:val="clear" w:pos="1985"/>
        </w:tabs>
        <w:overflowPunct/>
        <w:autoSpaceDE/>
        <w:adjustRightInd/>
        <w:textAlignment w:val="auto"/>
      </w:pPr>
      <w:r>
        <w:t xml:space="preserve">Revised Resolution 25 “Strengthening the regional presence” where </w:t>
      </w:r>
      <w:r>
        <w:rPr>
          <w:rFonts w:asciiTheme="majorBidi" w:hAnsiTheme="majorBidi" w:cstheme="majorBidi"/>
          <w:szCs w:val="24"/>
        </w:rPr>
        <w:t>Regional offices have to report to the Advisor groups (TSAG), and to the Directors on their activities, as well as to the Directors of BR and TSB on regional activities related to their respective Sectors.</w:t>
      </w:r>
    </w:p>
    <w:p w:rsidR="00342474" w:rsidRDefault="00633F39">
      <w:pPr>
        <w:numPr>
          <w:ilvl w:val="0"/>
          <w:numId w:val="7"/>
        </w:numPr>
        <w:tabs>
          <w:tab w:val="clear" w:pos="794"/>
          <w:tab w:val="clear" w:pos="1191"/>
          <w:tab w:val="clear" w:pos="1588"/>
          <w:tab w:val="clear" w:pos="1985"/>
        </w:tabs>
        <w:overflowPunct/>
        <w:autoSpaceDE/>
        <w:adjustRightInd/>
        <w:textAlignment w:val="auto"/>
      </w:pPr>
      <w:r>
        <w:t>Revised Resolution 146 “Periodic review and revision of the International Telecommunication Regulations” c</w:t>
      </w:r>
      <w:r>
        <w:rPr>
          <w:rFonts w:asciiTheme="majorBidi" w:hAnsiTheme="majorBidi" w:cstheme="majorBidi"/>
          <w:szCs w:val="24"/>
        </w:rPr>
        <w:t>ontinues the EG-ITR and ITU to conduct review of ITRs.</w:t>
      </w:r>
    </w:p>
    <w:p w:rsidR="00342474" w:rsidRDefault="00633F39">
      <w:pPr>
        <w:numPr>
          <w:ilvl w:val="0"/>
          <w:numId w:val="7"/>
        </w:numPr>
        <w:tabs>
          <w:tab w:val="clear" w:pos="794"/>
          <w:tab w:val="clear" w:pos="1191"/>
          <w:tab w:val="clear" w:pos="1588"/>
          <w:tab w:val="clear" w:pos="1985"/>
        </w:tabs>
        <w:overflowPunct/>
        <w:autoSpaceDE/>
        <w:adjustRightInd/>
        <w:textAlignment w:val="auto"/>
      </w:pPr>
      <w:r>
        <w:t xml:space="preserve">Internet-related Resolutions (101, 102, 133, </w:t>
      </w:r>
      <w:proofErr w:type="gramStart"/>
      <w:r>
        <w:t>180</w:t>
      </w:r>
      <w:proofErr w:type="gramEnd"/>
      <w:r>
        <w:t xml:space="preserve">) </w:t>
      </w:r>
      <w:r>
        <w:rPr>
          <w:rFonts w:asciiTheme="majorBidi" w:hAnsiTheme="majorBidi" w:cstheme="majorBidi"/>
        </w:rPr>
        <w:t>emphasize the need for greater collaboration and cooperation and greater participation of Member States in Internet governance.</w:t>
      </w:r>
    </w:p>
    <w:p w:rsidR="00342474" w:rsidRDefault="00633F39">
      <w:pPr>
        <w:numPr>
          <w:ilvl w:val="0"/>
          <w:numId w:val="7"/>
        </w:numPr>
        <w:tabs>
          <w:tab w:val="clear" w:pos="794"/>
          <w:tab w:val="clear" w:pos="1191"/>
          <w:tab w:val="clear" w:pos="1588"/>
          <w:tab w:val="clear" w:pos="1985"/>
        </w:tabs>
        <w:overflowPunct/>
        <w:autoSpaceDE/>
        <w:adjustRightInd/>
        <w:textAlignment w:val="auto"/>
      </w:pPr>
      <w:r>
        <w:t>Revised Resolution 197 “Facilitating the Internet of Things and smart sustainable cities and communities” includes in scope smart sustainable cities and the SDGs.</w:t>
      </w:r>
    </w:p>
    <w:p w:rsidR="00342474" w:rsidRDefault="00633F39">
      <w:pPr>
        <w:numPr>
          <w:ilvl w:val="0"/>
          <w:numId w:val="7"/>
        </w:numPr>
        <w:tabs>
          <w:tab w:val="clear" w:pos="794"/>
          <w:tab w:val="clear" w:pos="1191"/>
          <w:tab w:val="clear" w:pos="1588"/>
          <w:tab w:val="clear" w:pos="1985"/>
        </w:tabs>
        <w:overflowPunct/>
        <w:autoSpaceDE/>
        <w:adjustRightInd/>
        <w:textAlignment w:val="auto"/>
      </w:pPr>
      <w:r>
        <w:t>New Resolution WGPL/3 “OTTs” r</w:t>
      </w:r>
      <w:r>
        <w:rPr>
          <w:rFonts w:asciiTheme="majorBidi" w:hAnsiTheme="majorBidi" w:cstheme="majorBidi"/>
          <w:szCs w:val="24"/>
        </w:rPr>
        <w:t>aises awareness, capacity building, to continue dialogue with stakeholders on OTT, and to continue the studies on OTT.</w:t>
      </w:r>
    </w:p>
    <w:p w:rsidR="00342474" w:rsidRDefault="00633F39">
      <w:pPr>
        <w:numPr>
          <w:ilvl w:val="0"/>
          <w:numId w:val="7"/>
        </w:numPr>
        <w:tabs>
          <w:tab w:val="clear" w:pos="794"/>
          <w:tab w:val="clear" w:pos="1191"/>
          <w:tab w:val="clear" w:pos="1588"/>
          <w:tab w:val="clear" w:pos="1985"/>
        </w:tabs>
        <w:overflowPunct/>
        <w:autoSpaceDE/>
        <w:adjustRightInd/>
        <w:textAlignment w:val="auto"/>
      </w:pPr>
      <w:proofErr w:type="gramStart"/>
      <w:r>
        <w:t xml:space="preserve">Revised Resolution 130 “Strengthening the role of ITU in building confidence and security in the use of ICTs” </w:t>
      </w:r>
      <w:r>
        <w:rPr>
          <w:rFonts w:asciiTheme="majorBidi" w:hAnsiTheme="majorBidi" w:cstheme="majorBidi"/>
        </w:rPr>
        <w:t>a</w:t>
      </w:r>
      <w:r>
        <w:t xml:space="preserve">ims to promote greater awareness to ITU members on the activities carried out within the ITU and other relevant entities involved in strengthening cybersecurity, including on capacity building, as well as to raise awareness among such entities of the particular challenges faced by developing countries, in building confidence and security in the use of ICTs; </w:t>
      </w:r>
      <w:r>
        <w:rPr>
          <w:rFonts w:asciiTheme="majorBidi" w:hAnsiTheme="majorBidi" w:cstheme="majorBidi"/>
          <w:szCs w:val="24"/>
        </w:rPr>
        <w:t>to continue SG17’s "ICT Security Standards Roadmap"; to develop case studies on cybersecurity-related institutional arrangements; and to consider the specific cybersecurity challenges faced by SMEs.</w:t>
      </w:r>
      <w:proofErr w:type="gramEnd"/>
    </w:p>
    <w:p w:rsidR="00342474" w:rsidRDefault="00633F39">
      <w:pPr>
        <w:numPr>
          <w:ilvl w:val="0"/>
          <w:numId w:val="7"/>
        </w:numPr>
        <w:tabs>
          <w:tab w:val="clear" w:pos="794"/>
          <w:tab w:val="clear" w:pos="1191"/>
          <w:tab w:val="clear" w:pos="1588"/>
          <w:tab w:val="clear" w:pos="1985"/>
        </w:tabs>
        <w:overflowPunct/>
        <w:autoSpaceDE/>
        <w:adjustRightInd/>
        <w:textAlignment w:val="auto"/>
      </w:pPr>
      <w:r>
        <w:lastRenderedPageBreak/>
        <w:t xml:space="preserve">Revised Resolution 177 “Conformance and interoperability” </w:t>
      </w:r>
      <w:r w:rsidR="00D60DE7">
        <w:t xml:space="preserve">for </w:t>
      </w:r>
      <w:r>
        <w:rPr>
          <w:rFonts w:asciiTheme="majorBidi" w:hAnsiTheme="majorBidi" w:cstheme="majorBidi"/>
        </w:rPr>
        <w:t>ITU to cooperate with other organizations on C&amp;I testing; e.g. using virtual labs.</w:t>
      </w:r>
    </w:p>
    <w:p w:rsidR="00342474" w:rsidRDefault="00633F39">
      <w:pPr>
        <w:numPr>
          <w:ilvl w:val="0"/>
          <w:numId w:val="7"/>
        </w:numPr>
        <w:tabs>
          <w:tab w:val="clear" w:pos="794"/>
          <w:tab w:val="clear" w:pos="1191"/>
          <w:tab w:val="clear" w:pos="1588"/>
          <w:tab w:val="clear" w:pos="1985"/>
        </w:tabs>
        <w:overflowPunct/>
        <w:autoSpaceDE/>
        <w:adjustRightInd/>
        <w:textAlignment w:val="auto"/>
      </w:pPr>
      <w:r>
        <w:t xml:space="preserve">Revised Resolution 21 “Measures concerning alternative calling procedures on international telecommunication networks” </w:t>
      </w:r>
      <w:r>
        <w:rPr>
          <w:rFonts w:asciiTheme="majorBidi" w:hAnsiTheme="majorBidi" w:cstheme="majorBidi"/>
        </w:rPr>
        <w:t xml:space="preserve">continue the work on identifying and describing all forms of alternative calling procedures and assess their impact </w:t>
      </w:r>
      <w:proofErr w:type="gramStart"/>
      <w:r>
        <w:rPr>
          <w:rFonts w:asciiTheme="majorBidi" w:hAnsiTheme="majorBidi" w:cstheme="majorBidi"/>
        </w:rPr>
        <w:t>on all parties, and to review relevant ITU-T Recommendations</w:t>
      </w:r>
      <w:proofErr w:type="gramEnd"/>
      <w:r>
        <w:rPr>
          <w:rFonts w:asciiTheme="majorBidi" w:hAnsiTheme="majorBidi" w:cstheme="majorBidi"/>
        </w:rPr>
        <w:t>. Allows for development of ITU-T Recommendations on ACP</w:t>
      </w:r>
      <w:proofErr w:type="gramStart"/>
      <w:r>
        <w:rPr>
          <w:rFonts w:asciiTheme="majorBidi" w:hAnsiTheme="majorBidi" w:cstheme="majorBidi"/>
        </w:rPr>
        <w:t>;</w:t>
      </w:r>
      <w:proofErr w:type="gramEnd"/>
      <w:r>
        <w:rPr>
          <w:rFonts w:asciiTheme="majorBidi" w:hAnsiTheme="majorBidi" w:cstheme="majorBidi"/>
        </w:rPr>
        <w:t xml:space="preserve"> SG12 to develop guidelines on minimum QoS/QoE on ACP.</w:t>
      </w:r>
    </w:p>
    <w:p w:rsidR="00342474" w:rsidRDefault="00633F39">
      <w:pPr>
        <w:numPr>
          <w:ilvl w:val="0"/>
          <w:numId w:val="7"/>
        </w:numPr>
        <w:tabs>
          <w:tab w:val="clear" w:pos="794"/>
          <w:tab w:val="clear" w:pos="1191"/>
          <w:tab w:val="clear" w:pos="1588"/>
          <w:tab w:val="clear" w:pos="1985"/>
        </w:tabs>
        <w:overflowPunct/>
        <w:autoSpaceDE/>
        <w:adjustRightInd/>
        <w:textAlignment w:val="auto"/>
      </w:pPr>
      <w:r>
        <w:t>Revised</w:t>
      </w:r>
      <w:r>
        <w:rPr>
          <w:rFonts w:asciiTheme="majorBidi" w:hAnsiTheme="majorBidi" w:cstheme="majorBidi"/>
        </w:rPr>
        <w:t xml:space="preserve"> Resolution 179 “ITU's role in child online protection” c</w:t>
      </w:r>
      <w:r>
        <w:t>ontinues COP activities and encourages ITU-T study groups to develop solutions on COP.</w:t>
      </w:r>
    </w:p>
    <w:p w:rsidR="00342474" w:rsidRDefault="00633F39">
      <w:pPr>
        <w:numPr>
          <w:ilvl w:val="0"/>
          <w:numId w:val="7"/>
        </w:numPr>
        <w:tabs>
          <w:tab w:val="clear" w:pos="794"/>
          <w:tab w:val="clear" w:pos="1191"/>
          <w:tab w:val="clear" w:pos="1588"/>
          <w:tab w:val="clear" w:pos="1985"/>
        </w:tabs>
        <w:overflowPunct/>
        <w:autoSpaceDE/>
        <w:adjustRightInd/>
        <w:textAlignment w:val="auto"/>
      </w:pPr>
      <w:r>
        <w:rPr>
          <w:rFonts w:asciiTheme="majorBidi" w:hAnsiTheme="majorBidi" w:cstheme="majorBidi"/>
        </w:rPr>
        <w:t xml:space="preserve">New Recommendation WGPL/1 “The role of ITU in supporting the use of ICTs to combat trafficking in persons” recommends </w:t>
      </w:r>
      <w:r>
        <w:t>that Member States work with ITU to continue improving their national ICT infrastructure and connectivity rates in order to facilitate the use of ICT tools by relevant actors involved in combating trafficking in persons;</w:t>
      </w:r>
    </w:p>
    <w:p w:rsidR="00342474" w:rsidRDefault="00633F39">
      <w:pPr>
        <w:numPr>
          <w:ilvl w:val="0"/>
          <w:numId w:val="7"/>
        </w:numPr>
        <w:tabs>
          <w:tab w:val="clear" w:pos="794"/>
          <w:tab w:val="clear" w:pos="1191"/>
          <w:tab w:val="clear" w:pos="1588"/>
          <w:tab w:val="clear" w:pos="1985"/>
        </w:tabs>
        <w:overflowPunct/>
        <w:autoSpaceDE/>
        <w:adjustRightInd/>
        <w:textAlignment w:val="auto"/>
      </w:pPr>
      <w:r>
        <w:t>New Resolution COM5/1 “ITU Journal: ICT Discoveries” supports the ITU Journal, under the leadership of the TSBDir.</w:t>
      </w:r>
    </w:p>
    <w:p w:rsidR="00342474" w:rsidRDefault="00633F39">
      <w:pPr>
        <w:numPr>
          <w:ilvl w:val="0"/>
          <w:numId w:val="7"/>
        </w:numPr>
        <w:tabs>
          <w:tab w:val="clear" w:pos="794"/>
          <w:tab w:val="clear" w:pos="1191"/>
          <w:tab w:val="clear" w:pos="1588"/>
          <w:tab w:val="clear" w:pos="1985"/>
        </w:tabs>
        <w:overflowPunct/>
        <w:autoSpaceDE/>
        <w:adjustRightInd/>
        <w:textAlignment w:val="auto"/>
      </w:pPr>
      <w:r>
        <w:t>Revised Resolution 165 “Deadlines for the submission of proposals and procedures for the registration of participants for conferences and assemblies of the Union” features a new 21-day contribution deadline for conferences and assemblies (relevant for WTSA-20), and a n</w:t>
      </w:r>
      <w:r>
        <w:rPr>
          <w:rFonts w:asciiTheme="majorBidi" w:hAnsiTheme="majorBidi" w:cstheme="majorBidi"/>
          <w:szCs w:val="24"/>
        </w:rPr>
        <w:t>ew 35-day contribution deadline for conferences and assemblies (relevant for WTSA-20) for secretariat documents submitted.</w:t>
      </w:r>
    </w:p>
    <w:p w:rsidR="00342474" w:rsidRDefault="00633F39">
      <w:pPr>
        <w:numPr>
          <w:ilvl w:val="0"/>
          <w:numId w:val="8"/>
        </w:numPr>
        <w:tabs>
          <w:tab w:val="clear" w:pos="794"/>
          <w:tab w:val="clear" w:pos="1191"/>
          <w:tab w:val="clear" w:pos="1588"/>
          <w:tab w:val="clear" w:pos="1985"/>
        </w:tabs>
        <w:overflowPunct/>
        <w:autoSpaceDE/>
        <w:adjustRightInd/>
        <w:textAlignment w:val="auto"/>
      </w:pPr>
      <w:r>
        <w:t>WTSA-20 in last quarter of 2020</w:t>
      </w:r>
      <w:proofErr w:type="gramStart"/>
      <w:r w:rsidR="004F633E">
        <w:t>;</w:t>
      </w:r>
      <w:proofErr w:type="gramEnd"/>
      <w:r>
        <w:t xml:space="preserve"> ITU Telecom is planned to take place in Budapest, Hungary, in the week of 9 September 2019</w:t>
      </w:r>
      <w:r w:rsidR="002C067F">
        <w:t>.</w:t>
      </w:r>
    </w:p>
    <w:p w:rsidR="00342474" w:rsidRPr="004F633E" w:rsidRDefault="00633F39" w:rsidP="004F633E">
      <w:pPr>
        <w:numPr>
          <w:ilvl w:val="0"/>
          <w:numId w:val="8"/>
        </w:numPr>
        <w:tabs>
          <w:tab w:val="clear" w:pos="794"/>
          <w:tab w:val="clear" w:pos="1191"/>
          <w:tab w:val="clear" w:pos="1588"/>
          <w:tab w:val="clear" w:pos="1985"/>
        </w:tabs>
        <w:overflowPunct/>
        <w:autoSpaceDE/>
        <w:adjustRightInd/>
        <w:textAlignment w:val="auto"/>
      </w:pPr>
      <w:r w:rsidRPr="004F633E">
        <w:t xml:space="preserve">A new Resolution COM6/2 “The Union's future headquarters premises” </w:t>
      </w:r>
      <w:proofErr w:type="gramStart"/>
      <w:r w:rsidRPr="004F633E">
        <w:t>was approved</w:t>
      </w:r>
      <w:proofErr w:type="gramEnd"/>
      <w:r w:rsidRPr="004F633E">
        <w:t>, addressing the ITU new building project with a view to organize the building project under efficient management.</w:t>
      </w:r>
    </w:p>
    <w:p w:rsidR="00342474" w:rsidRDefault="00633F39">
      <w:pPr>
        <w:tabs>
          <w:tab w:val="clear" w:pos="794"/>
          <w:tab w:val="clear" w:pos="1191"/>
          <w:tab w:val="clear" w:pos="1588"/>
          <w:tab w:val="clear" w:pos="1985"/>
        </w:tabs>
        <w:overflowPunct/>
        <w:autoSpaceDE/>
        <w:autoSpaceDN/>
        <w:adjustRightInd/>
        <w:spacing w:before="0"/>
        <w:textAlignment w:val="auto"/>
        <w:rPr>
          <w:b/>
          <w:highlight w:val="yellow"/>
        </w:rPr>
      </w:pPr>
      <w:r>
        <w:rPr>
          <w:highlight w:val="yellow"/>
        </w:rPr>
        <w:br w:type="page"/>
      </w:r>
    </w:p>
    <w:p w:rsidR="00342474" w:rsidRDefault="00633F39">
      <w:pPr>
        <w:pStyle w:val="Headingb"/>
      </w:pPr>
      <w:r>
        <w:lastRenderedPageBreak/>
        <w:t>Table of Contents:</w:t>
      </w:r>
    </w:p>
    <w:p w:rsidR="00B95F12" w:rsidRDefault="00633F39">
      <w:pPr>
        <w:pStyle w:val="TOC1"/>
        <w:rPr>
          <w:rFonts w:asciiTheme="minorHAnsi" w:eastAsiaTheme="minorEastAsia" w:hAnsiTheme="minorHAnsi" w:cstheme="minorBidi"/>
          <w:noProof/>
          <w:sz w:val="22"/>
          <w:szCs w:val="22"/>
          <w:lang w:eastAsia="zh-CN"/>
        </w:rPr>
      </w:pPr>
      <w:r>
        <w:rPr>
          <w:highlight w:val="yellow"/>
        </w:rPr>
        <w:fldChar w:fldCharType="begin"/>
      </w:r>
      <w:r>
        <w:rPr>
          <w:highlight w:val="yellow"/>
        </w:rPr>
        <w:instrText xml:space="preserve"> TOC \o "1-3" \h \z \u </w:instrText>
      </w:r>
      <w:r>
        <w:rPr>
          <w:highlight w:val="yellow"/>
        </w:rPr>
        <w:fldChar w:fldCharType="separate"/>
      </w:r>
      <w:hyperlink w:anchor="_Toc530750092" w:history="1">
        <w:r w:rsidR="00B95F12" w:rsidRPr="009B56A1">
          <w:rPr>
            <w:rStyle w:val="Hyperlink"/>
            <w:noProof/>
          </w:rPr>
          <w:t>PP-18 in a nutshell</w:t>
        </w:r>
        <w:r w:rsidR="00B95F12">
          <w:rPr>
            <w:noProof/>
            <w:webHidden/>
          </w:rPr>
          <w:tab/>
        </w:r>
        <w:r w:rsidR="00B95F12">
          <w:rPr>
            <w:noProof/>
            <w:webHidden/>
          </w:rPr>
          <w:fldChar w:fldCharType="begin"/>
        </w:r>
        <w:r w:rsidR="00B95F12">
          <w:rPr>
            <w:noProof/>
            <w:webHidden/>
          </w:rPr>
          <w:instrText xml:space="preserve"> PAGEREF _Toc530750092 \h </w:instrText>
        </w:r>
        <w:r w:rsidR="00B95F12">
          <w:rPr>
            <w:noProof/>
            <w:webHidden/>
          </w:rPr>
        </w:r>
        <w:r w:rsidR="00B95F12">
          <w:rPr>
            <w:noProof/>
            <w:webHidden/>
          </w:rPr>
          <w:fldChar w:fldCharType="separate"/>
        </w:r>
        <w:r w:rsidR="00B95F12">
          <w:rPr>
            <w:noProof/>
            <w:webHidden/>
          </w:rPr>
          <w:t>10</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093" w:history="1">
        <w:r w:rsidR="00B95F12" w:rsidRPr="009B56A1">
          <w:rPr>
            <w:rStyle w:val="Hyperlink"/>
            <w:noProof/>
          </w:rPr>
          <w:t>0</w:t>
        </w:r>
        <w:r w:rsidR="00B95F12">
          <w:rPr>
            <w:rFonts w:asciiTheme="minorHAnsi" w:eastAsiaTheme="minorEastAsia" w:hAnsiTheme="minorHAnsi" w:cstheme="minorBidi"/>
            <w:noProof/>
            <w:sz w:val="22"/>
            <w:szCs w:val="22"/>
            <w:lang w:eastAsia="zh-CN"/>
          </w:rPr>
          <w:tab/>
        </w:r>
        <w:r w:rsidR="00B95F12" w:rsidRPr="009B56A1">
          <w:rPr>
            <w:rStyle w:val="Hyperlink"/>
            <w:noProof/>
          </w:rPr>
          <w:t>One-line summary</w:t>
        </w:r>
        <w:r w:rsidR="00B95F12">
          <w:rPr>
            <w:noProof/>
            <w:webHidden/>
          </w:rPr>
          <w:tab/>
        </w:r>
        <w:r w:rsidR="00B95F12">
          <w:rPr>
            <w:noProof/>
            <w:webHidden/>
          </w:rPr>
          <w:fldChar w:fldCharType="begin"/>
        </w:r>
        <w:r w:rsidR="00B95F12">
          <w:rPr>
            <w:noProof/>
            <w:webHidden/>
          </w:rPr>
          <w:instrText xml:space="preserve"> PAGEREF _Toc530750093 \h </w:instrText>
        </w:r>
        <w:r w:rsidR="00B95F12">
          <w:rPr>
            <w:noProof/>
            <w:webHidden/>
          </w:rPr>
        </w:r>
        <w:r w:rsidR="00B95F12">
          <w:rPr>
            <w:noProof/>
            <w:webHidden/>
          </w:rPr>
          <w:fldChar w:fldCharType="separate"/>
        </w:r>
        <w:r w:rsidR="00B95F12">
          <w:rPr>
            <w:noProof/>
            <w:webHidden/>
          </w:rPr>
          <w:t>10</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094" w:history="1">
        <w:r w:rsidR="00B95F12" w:rsidRPr="009B56A1">
          <w:rPr>
            <w:rStyle w:val="Hyperlink"/>
            <w:noProof/>
          </w:rPr>
          <w:t>1</w:t>
        </w:r>
        <w:r w:rsidR="00B95F12">
          <w:rPr>
            <w:rFonts w:asciiTheme="minorHAnsi" w:eastAsiaTheme="minorEastAsia" w:hAnsiTheme="minorHAnsi" w:cstheme="minorBidi"/>
            <w:noProof/>
            <w:sz w:val="22"/>
            <w:szCs w:val="22"/>
            <w:lang w:eastAsia="zh-CN"/>
          </w:rPr>
          <w:tab/>
        </w:r>
        <w:r w:rsidR="00B95F12" w:rsidRPr="009B56A1">
          <w:rPr>
            <w:rStyle w:val="Hyperlink"/>
            <w:noProof/>
          </w:rPr>
          <w:t>Statistics</w:t>
        </w:r>
        <w:r w:rsidR="00B95F12">
          <w:rPr>
            <w:noProof/>
            <w:webHidden/>
          </w:rPr>
          <w:tab/>
        </w:r>
        <w:r w:rsidR="00B95F12">
          <w:rPr>
            <w:noProof/>
            <w:webHidden/>
          </w:rPr>
          <w:fldChar w:fldCharType="begin"/>
        </w:r>
        <w:r w:rsidR="00B95F12">
          <w:rPr>
            <w:noProof/>
            <w:webHidden/>
          </w:rPr>
          <w:instrText xml:space="preserve"> PAGEREF _Toc530750094 \h </w:instrText>
        </w:r>
        <w:r w:rsidR="00B95F12">
          <w:rPr>
            <w:noProof/>
            <w:webHidden/>
          </w:rPr>
        </w:r>
        <w:r w:rsidR="00B95F12">
          <w:rPr>
            <w:noProof/>
            <w:webHidden/>
          </w:rPr>
          <w:fldChar w:fldCharType="separate"/>
        </w:r>
        <w:r w:rsidR="00B95F12">
          <w:rPr>
            <w:noProof/>
            <w:webHidden/>
          </w:rPr>
          <w:t>10</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095" w:history="1">
        <w:r w:rsidR="00B95F12" w:rsidRPr="009B56A1">
          <w:rPr>
            <w:rStyle w:val="Hyperlink"/>
            <w:noProof/>
          </w:rPr>
          <w:t>2</w:t>
        </w:r>
        <w:r w:rsidR="00B95F12">
          <w:rPr>
            <w:rFonts w:asciiTheme="minorHAnsi" w:eastAsiaTheme="minorEastAsia" w:hAnsiTheme="minorHAnsi" w:cstheme="minorBidi"/>
            <w:noProof/>
            <w:sz w:val="22"/>
            <w:szCs w:val="22"/>
            <w:lang w:eastAsia="zh-CN"/>
          </w:rPr>
          <w:tab/>
        </w:r>
        <w:r w:rsidR="00B95F12" w:rsidRPr="009B56A1">
          <w:rPr>
            <w:rStyle w:val="Hyperlink"/>
            <w:noProof/>
          </w:rPr>
          <w:t>Elections</w:t>
        </w:r>
        <w:r w:rsidR="00B95F12">
          <w:rPr>
            <w:noProof/>
            <w:webHidden/>
          </w:rPr>
          <w:tab/>
        </w:r>
        <w:r w:rsidR="00B95F12">
          <w:rPr>
            <w:noProof/>
            <w:webHidden/>
          </w:rPr>
          <w:fldChar w:fldCharType="begin"/>
        </w:r>
        <w:r w:rsidR="00B95F12">
          <w:rPr>
            <w:noProof/>
            <w:webHidden/>
          </w:rPr>
          <w:instrText xml:space="preserve"> PAGEREF _Toc530750095 \h </w:instrText>
        </w:r>
        <w:r w:rsidR="00B95F12">
          <w:rPr>
            <w:noProof/>
            <w:webHidden/>
          </w:rPr>
        </w:r>
        <w:r w:rsidR="00B95F12">
          <w:rPr>
            <w:noProof/>
            <w:webHidden/>
          </w:rPr>
          <w:fldChar w:fldCharType="separate"/>
        </w:r>
        <w:r w:rsidR="00B95F12">
          <w:rPr>
            <w:noProof/>
            <w:webHidden/>
          </w:rPr>
          <w:t>10</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096" w:history="1">
        <w:r w:rsidR="00B95F12" w:rsidRPr="009B56A1">
          <w:rPr>
            <w:rStyle w:val="Hyperlink"/>
            <w:noProof/>
          </w:rPr>
          <w:t>2.1</w:t>
        </w:r>
        <w:r w:rsidR="00B95F12">
          <w:rPr>
            <w:rFonts w:asciiTheme="minorHAnsi" w:eastAsiaTheme="minorEastAsia" w:hAnsiTheme="minorHAnsi" w:cstheme="minorBidi"/>
            <w:noProof/>
            <w:sz w:val="22"/>
            <w:szCs w:val="22"/>
            <w:lang w:eastAsia="zh-CN"/>
          </w:rPr>
          <w:tab/>
        </w:r>
        <w:r w:rsidR="00B95F12" w:rsidRPr="009B56A1">
          <w:rPr>
            <w:rStyle w:val="Hyperlink"/>
            <w:noProof/>
          </w:rPr>
          <w:t>Elected for term of office as of 1 January 2019</w:t>
        </w:r>
        <w:r w:rsidR="00B95F12">
          <w:rPr>
            <w:noProof/>
            <w:webHidden/>
          </w:rPr>
          <w:tab/>
        </w:r>
        <w:r w:rsidR="00B95F12">
          <w:rPr>
            <w:noProof/>
            <w:webHidden/>
          </w:rPr>
          <w:fldChar w:fldCharType="begin"/>
        </w:r>
        <w:r w:rsidR="00B95F12">
          <w:rPr>
            <w:noProof/>
            <w:webHidden/>
          </w:rPr>
          <w:instrText xml:space="preserve"> PAGEREF _Toc530750096 \h </w:instrText>
        </w:r>
        <w:r w:rsidR="00B95F12">
          <w:rPr>
            <w:noProof/>
            <w:webHidden/>
          </w:rPr>
        </w:r>
        <w:r w:rsidR="00B95F12">
          <w:rPr>
            <w:noProof/>
            <w:webHidden/>
          </w:rPr>
          <w:fldChar w:fldCharType="separate"/>
        </w:r>
        <w:r w:rsidR="00B95F12">
          <w:rPr>
            <w:noProof/>
            <w:webHidden/>
          </w:rPr>
          <w:t>10</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097" w:history="1">
        <w:r w:rsidR="00B95F12" w:rsidRPr="009B56A1">
          <w:rPr>
            <w:rStyle w:val="Hyperlink"/>
            <w:noProof/>
          </w:rPr>
          <w:t>2.2</w:t>
        </w:r>
        <w:r w:rsidR="00B95F12">
          <w:rPr>
            <w:rFonts w:asciiTheme="minorHAnsi" w:eastAsiaTheme="minorEastAsia" w:hAnsiTheme="minorHAnsi" w:cstheme="minorBidi"/>
            <w:noProof/>
            <w:sz w:val="22"/>
            <w:szCs w:val="22"/>
            <w:lang w:eastAsia="zh-CN"/>
          </w:rPr>
          <w:tab/>
        </w:r>
        <w:r w:rsidR="00B95F12" w:rsidRPr="009B56A1">
          <w:rPr>
            <w:rStyle w:val="Hyperlink"/>
            <w:noProof/>
          </w:rPr>
          <w:t>Forty-eight Member States elected to the Council</w:t>
        </w:r>
        <w:r w:rsidR="00B95F12">
          <w:rPr>
            <w:noProof/>
            <w:webHidden/>
          </w:rPr>
          <w:tab/>
        </w:r>
        <w:r w:rsidR="00B95F12">
          <w:rPr>
            <w:noProof/>
            <w:webHidden/>
          </w:rPr>
          <w:fldChar w:fldCharType="begin"/>
        </w:r>
        <w:r w:rsidR="00B95F12">
          <w:rPr>
            <w:noProof/>
            <w:webHidden/>
          </w:rPr>
          <w:instrText xml:space="preserve"> PAGEREF _Toc530750097 \h </w:instrText>
        </w:r>
        <w:r w:rsidR="00B95F12">
          <w:rPr>
            <w:noProof/>
            <w:webHidden/>
          </w:rPr>
        </w:r>
        <w:r w:rsidR="00B95F12">
          <w:rPr>
            <w:noProof/>
            <w:webHidden/>
          </w:rPr>
          <w:fldChar w:fldCharType="separate"/>
        </w:r>
        <w:r w:rsidR="00B95F12">
          <w:rPr>
            <w:noProof/>
            <w:webHidden/>
          </w:rPr>
          <w:t>10</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098" w:history="1">
        <w:r w:rsidR="00B95F12" w:rsidRPr="009B56A1">
          <w:rPr>
            <w:rStyle w:val="Hyperlink"/>
            <w:noProof/>
          </w:rPr>
          <w:t>2.3</w:t>
        </w:r>
        <w:r w:rsidR="00B95F12">
          <w:rPr>
            <w:rFonts w:asciiTheme="minorHAnsi" w:eastAsiaTheme="minorEastAsia" w:hAnsiTheme="minorHAnsi" w:cstheme="minorBidi"/>
            <w:noProof/>
            <w:sz w:val="22"/>
            <w:szCs w:val="22"/>
            <w:lang w:eastAsia="zh-CN"/>
          </w:rPr>
          <w:tab/>
        </w:r>
        <w:r w:rsidR="00B95F12" w:rsidRPr="009B56A1">
          <w:rPr>
            <w:rStyle w:val="Hyperlink"/>
            <w:noProof/>
          </w:rPr>
          <w:t>12 members of the Radio Regulations Board (RRB) elected</w:t>
        </w:r>
        <w:r w:rsidR="00B95F12">
          <w:rPr>
            <w:noProof/>
            <w:webHidden/>
          </w:rPr>
          <w:tab/>
        </w:r>
        <w:r w:rsidR="00B95F12">
          <w:rPr>
            <w:noProof/>
            <w:webHidden/>
          </w:rPr>
          <w:fldChar w:fldCharType="begin"/>
        </w:r>
        <w:r w:rsidR="00B95F12">
          <w:rPr>
            <w:noProof/>
            <w:webHidden/>
          </w:rPr>
          <w:instrText xml:space="preserve"> PAGEREF _Toc530750098 \h </w:instrText>
        </w:r>
        <w:r w:rsidR="00B95F12">
          <w:rPr>
            <w:noProof/>
            <w:webHidden/>
          </w:rPr>
        </w:r>
        <w:r w:rsidR="00B95F12">
          <w:rPr>
            <w:noProof/>
            <w:webHidden/>
          </w:rPr>
          <w:fldChar w:fldCharType="separate"/>
        </w:r>
        <w:r w:rsidR="00B95F12">
          <w:rPr>
            <w:noProof/>
            <w:webHidden/>
          </w:rPr>
          <w:t>10</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099" w:history="1">
        <w:r w:rsidR="00B95F12" w:rsidRPr="009B56A1">
          <w:rPr>
            <w:rStyle w:val="Hyperlink"/>
            <w:noProof/>
          </w:rPr>
          <w:t>2.4</w:t>
        </w:r>
        <w:r w:rsidR="00B95F12">
          <w:rPr>
            <w:rFonts w:asciiTheme="minorHAnsi" w:eastAsiaTheme="minorEastAsia" w:hAnsiTheme="minorHAnsi" w:cstheme="minorBidi"/>
            <w:noProof/>
            <w:sz w:val="22"/>
            <w:szCs w:val="22"/>
            <w:lang w:eastAsia="zh-CN"/>
          </w:rPr>
          <w:tab/>
        </w:r>
        <w:r w:rsidR="00B95F12" w:rsidRPr="009B56A1">
          <w:rPr>
            <w:rStyle w:val="Hyperlink"/>
            <w:noProof/>
          </w:rPr>
          <w:t>New Resolution COM5/2 “Appointment and maximum term of office for chairmen and vice-chairmen of Sector advisory groups, study groups and other groups”</w:t>
        </w:r>
        <w:r w:rsidR="00B95F12">
          <w:rPr>
            <w:noProof/>
            <w:webHidden/>
          </w:rPr>
          <w:tab/>
        </w:r>
        <w:r w:rsidR="00B95F12">
          <w:rPr>
            <w:noProof/>
            <w:webHidden/>
          </w:rPr>
          <w:fldChar w:fldCharType="begin"/>
        </w:r>
        <w:r w:rsidR="00B95F12">
          <w:rPr>
            <w:noProof/>
            <w:webHidden/>
          </w:rPr>
          <w:instrText xml:space="preserve"> PAGEREF _Toc530750099 \h </w:instrText>
        </w:r>
        <w:r w:rsidR="00B95F12">
          <w:rPr>
            <w:noProof/>
            <w:webHidden/>
          </w:rPr>
        </w:r>
        <w:r w:rsidR="00B95F12">
          <w:rPr>
            <w:noProof/>
            <w:webHidden/>
          </w:rPr>
          <w:fldChar w:fldCharType="separate"/>
        </w:r>
        <w:r w:rsidR="00B95F12">
          <w:rPr>
            <w:noProof/>
            <w:webHidden/>
          </w:rPr>
          <w:t>11</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00" w:history="1">
        <w:r w:rsidR="00B95F12" w:rsidRPr="009B56A1">
          <w:rPr>
            <w:rStyle w:val="Hyperlink"/>
            <w:noProof/>
          </w:rPr>
          <w:t>2.5</w:t>
        </w:r>
        <w:r w:rsidR="00B95F12">
          <w:rPr>
            <w:rFonts w:asciiTheme="minorHAnsi" w:eastAsiaTheme="minorEastAsia" w:hAnsiTheme="minorHAnsi" w:cstheme="minorBidi"/>
            <w:noProof/>
            <w:sz w:val="22"/>
            <w:szCs w:val="22"/>
            <w:lang w:eastAsia="zh-CN"/>
          </w:rPr>
          <w:tab/>
        </w:r>
        <w:r w:rsidR="00B95F12" w:rsidRPr="009B56A1">
          <w:rPr>
            <w:rStyle w:val="Hyperlink"/>
            <w:noProof/>
          </w:rPr>
          <w:t>Resolution 166 “Number of vice-chairmen of Sector advisory groups, study groups and other groups”</w:t>
        </w:r>
        <w:r w:rsidR="00B95F12">
          <w:rPr>
            <w:noProof/>
            <w:webHidden/>
          </w:rPr>
          <w:tab/>
        </w:r>
        <w:r w:rsidR="00B95F12">
          <w:rPr>
            <w:noProof/>
            <w:webHidden/>
          </w:rPr>
          <w:fldChar w:fldCharType="begin"/>
        </w:r>
        <w:r w:rsidR="00B95F12">
          <w:rPr>
            <w:noProof/>
            <w:webHidden/>
          </w:rPr>
          <w:instrText xml:space="preserve"> PAGEREF _Toc530750100 \h </w:instrText>
        </w:r>
        <w:r w:rsidR="00B95F12">
          <w:rPr>
            <w:noProof/>
            <w:webHidden/>
          </w:rPr>
        </w:r>
        <w:r w:rsidR="00B95F12">
          <w:rPr>
            <w:noProof/>
            <w:webHidden/>
          </w:rPr>
          <w:fldChar w:fldCharType="separate"/>
        </w:r>
        <w:r w:rsidR="00B95F12">
          <w:rPr>
            <w:noProof/>
            <w:webHidden/>
          </w:rPr>
          <w:t>11</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01" w:history="1">
        <w:r w:rsidR="00B95F12" w:rsidRPr="009B56A1">
          <w:rPr>
            <w:rStyle w:val="Hyperlink"/>
            <w:noProof/>
          </w:rPr>
          <w:t>2.6</w:t>
        </w:r>
        <w:r w:rsidR="00B95F12">
          <w:rPr>
            <w:rFonts w:asciiTheme="minorHAnsi" w:eastAsiaTheme="minorEastAsia" w:hAnsiTheme="minorHAnsi" w:cstheme="minorBidi"/>
            <w:noProof/>
            <w:sz w:val="22"/>
            <w:szCs w:val="22"/>
            <w:lang w:eastAsia="zh-CN"/>
          </w:rPr>
          <w:tab/>
        </w:r>
        <w:r w:rsidR="00B95F12" w:rsidRPr="009B56A1">
          <w:rPr>
            <w:rStyle w:val="Hyperlink"/>
            <w:noProof/>
          </w:rPr>
          <w:t>Hearings and elections of ITU Officials</w:t>
        </w:r>
        <w:r w:rsidR="00B95F12">
          <w:rPr>
            <w:noProof/>
            <w:webHidden/>
          </w:rPr>
          <w:tab/>
        </w:r>
        <w:r w:rsidR="00B95F12">
          <w:rPr>
            <w:noProof/>
            <w:webHidden/>
          </w:rPr>
          <w:fldChar w:fldCharType="begin"/>
        </w:r>
        <w:r w:rsidR="00B95F12">
          <w:rPr>
            <w:noProof/>
            <w:webHidden/>
          </w:rPr>
          <w:instrText xml:space="preserve"> PAGEREF _Toc530750101 \h </w:instrText>
        </w:r>
        <w:r w:rsidR="00B95F12">
          <w:rPr>
            <w:noProof/>
            <w:webHidden/>
          </w:rPr>
        </w:r>
        <w:r w:rsidR="00B95F12">
          <w:rPr>
            <w:noProof/>
            <w:webHidden/>
          </w:rPr>
          <w:fldChar w:fldCharType="separate"/>
        </w:r>
        <w:r w:rsidR="00B95F12">
          <w:rPr>
            <w:noProof/>
            <w:webHidden/>
          </w:rPr>
          <w:t>11</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02" w:history="1">
        <w:r w:rsidR="00B95F12" w:rsidRPr="009B56A1">
          <w:rPr>
            <w:rStyle w:val="Hyperlink"/>
            <w:noProof/>
          </w:rPr>
          <w:t>3</w:t>
        </w:r>
        <w:r w:rsidR="00B95F12">
          <w:rPr>
            <w:rFonts w:asciiTheme="minorHAnsi" w:eastAsiaTheme="minorEastAsia" w:hAnsiTheme="minorHAnsi" w:cstheme="minorBidi"/>
            <w:noProof/>
            <w:sz w:val="22"/>
            <w:szCs w:val="22"/>
            <w:lang w:eastAsia="zh-CN"/>
          </w:rPr>
          <w:tab/>
        </w:r>
        <w:r w:rsidR="00B95F12" w:rsidRPr="009B56A1">
          <w:rPr>
            <w:rStyle w:val="Hyperlink"/>
            <w:noProof/>
          </w:rPr>
          <w:t>Strategic Plan 2020-2023 – Revised Resolution 71</w:t>
        </w:r>
        <w:r w:rsidR="00B95F12">
          <w:rPr>
            <w:noProof/>
            <w:webHidden/>
          </w:rPr>
          <w:tab/>
        </w:r>
        <w:r w:rsidR="00B95F12">
          <w:rPr>
            <w:noProof/>
            <w:webHidden/>
          </w:rPr>
          <w:fldChar w:fldCharType="begin"/>
        </w:r>
        <w:r w:rsidR="00B95F12">
          <w:rPr>
            <w:noProof/>
            <w:webHidden/>
          </w:rPr>
          <w:instrText xml:space="preserve"> PAGEREF _Toc530750102 \h </w:instrText>
        </w:r>
        <w:r w:rsidR="00B95F12">
          <w:rPr>
            <w:noProof/>
            <w:webHidden/>
          </w:rPr>
        </w:r>
        <w:r w:rsidR="00B95F12">
          <w:rPr>
            <w:noProof/>
            <w:webHidden/>
          </w:rPr>
          <w:fldChar w:fldCharType="separate"/>
        </w:r>
        <w:r w:rsidR="00B95F12">
          <w:rPr>
            <w:noProof/>
            <w:webHidden/>
          </w:rPr>
          <w:t>11</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03" w:history="1">
        <w:r w:rsidR="00B95F12" w:rsidRPr="009B56A1">
          <w:rPr>
            <w:rStyle w:val="Hyperlink"/>
            <w:noProof/>
          </w:rPr>
          <w:t>3.1</w:t>
        </w:r>
        <w:r w:rsidR="00B95F12">
          <w:rPr>
            <w:rFonts w:asciiTheme="minorHAnsi" w:eastAsiaTheme="minorEastAsia" w:hAnsiTheme="minorHAnsi" w:cstheme="minorBidi"/>
            <w:noProof/>
            <w:sz w:val="22"/>
            <w:szCs w:val="22"/>
            <w:lang w:eastAsia="zh-CN"/>
          </w:rPr>
          <w:tab/>
        </w:r>
        <w:r w:rsidR="00B95F12" w:rsidRPr="009B56A1">
          <w:rPr>
            <w:rStyle w:val="Hyperlink"/>
            <w:noProof/>
          </w:rPr>
          <w:t>Preparation process</w:t>
        </w:r>
        <w:r w:rsidR="00B95F12">
          <w:rPr>
            <w:noProof/>
            <w:webHidden/>
          </w:rPr>
          <w:tab/>
        </w:r>
        <w:r w:rsidR="00B95F12">
          <w:rPr>
            <w:noProof/>
            <w:webHidden/>
          </w:rPr>
          <w:fldChar w:fldCharType="begin"/>
        </w:r>
        <w:r w:rsidR="00B95F12">
          <w:rPr>
            <w:noProof/>
            <w:webHidden/>
          </w:rPr>
          <w:instrText xml:space="preserve"> PAGEREF _Toc530750103 \h </w:instrText>
        </w:r>
        <w:r w:rsidR="00B95F12">
          <w:rPr>
            <w:noProof/>
            <w:webHidden/>
          </w:rPr>
        </w:r>
        <w:r w:rsidR="00B95F12">
          <w:rPr>
            <w:noProof/>
            <w:webHidden/>
          </w:rPr>
          <w:fldChar w:fldCharType="separate"/>
        </w:r>
        <w:r w:rsidR="00B95F12">
          <w:rPr>
            <w:noProof/>
            <w:webHidden/>
          </w:rPr>
          <w:t>11</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04" w:history="1">
        <w:r w:rsidR="00B95F12" w:rsidRPr="009B56A1">
          <w:rPr>
            <w:rStyle w:val="Hyperlink"/>
            <w:noProof/>
          </w:rPr>
          <w:t>3.2</w:t>
        </w:r>
        <w:r w:rsidR="00B95F12">
          <w:rPr>
            <w:rFonts w:asciiTheme="minorHAnsi" w:eastAsiaTheme="minorEastAsia" w:hAnsiTheme="minorHAnsi" w:cstheme="minorBidi"/>
            <w:noProof/>
            <w:sz w:val="22"/>
            <w:szCs w:val="22"/>
            <w:lang w:eastAsia="zh-CN"/>
          </w:rPr>
          <w:tab/>
        </w:r>
        <w:r w:rsidR="00B95F12" w:rsidRPr="009B56A1">
          <w:rPr>
            <w:rStyle w:val="Hyperlink"/>
            <w:noProof/>
          </w:rPr>
          <w:t>Strategic Plan for the Union for 2020-2023 (Annex 2 to Resolution 71)</w:t>
        </w:r>
        <w:r w:rsidR="00B95F12">
          <w:rPr>
            <w:noProof/>
            <w:webHidden/>
          </w:rPr>
          <w:tab/>
        </w:r>
        <w:r w:rsidR="00B95F12">
          <w:rPr>
            <w:noProof/>
            <w:webHidden/>
          </w:rPr>
          <w:fldChar w:fldCharType="begin"/>
        </w:r>
        <w:r w:rsidR="00B95F12">
          <w:rPr>
            <w:noProof/>
            <w:webHidden/>
          </w:rPr>
          <w:instrText xml:space="preserve"> PAGEREF _Toc530750104 \h </w:instrText>
        </w:r>
        <w:r w:rsidR="00B95F12">
          <w:rPr>
            <w:noProof/>
            <w:webHidden/>
          </w:rPr>
        </w:r>
        <w:r w:rsidR="00B95F12">
          <w:rPr>
            <w:noProof/>
            <w:webHidden/>
          </w:rPr>
          <w:fldChar w:fldCharType="separate"/>
        </w:r>
        <w:r w:rsidR="00B95F12">
          <w:rPr>
            <w:noProof/>
            <w:webHidden/>
          </w:rPr>
          <w:t>12</w:t>
        </w:r>
        <w:r w:rsidR="00B95F12">
          <w:rPr>
            <w:noProof/>
            <w:webHidden/>
          </w:rPr>
          <w:fldChar w:fldCharType="end"/>
        </w:r>
      </w:hyperlink>
    </w:p>
    <w:p w:rsidR="00B95F12" w:rsidRDefault="00407B98">
      <w:pPr>
        <w:pStyle w:val="TOC3"/>
        <w:rPr>
          <w:rFonts w:asciiTheme="minorHAnsi" w:eastAsiaTheme="minorEastAsia" w:hAnsiTheme="minorHAnsi" w:cstheme="minorBidi"/>
          <w:noProof/>
          <w:sz w:val="22"/>
          <w:szCs w:val="22"/>
          <w:lang w:eastAsia="zh-CN"/>
        </w:rPr>
      </w:pPr>
      <w:hyperlink w:anchor="_Toc530750105" w:history="1">
        <w:r w:rsidR="00B95F12" w:rsidRPr="009B56A1">
          <w:rPr>
            <w:rStyle w:val="Hyperlink"/>
            <w:noProof/>
          </w:rPr>
          <w:t>3.2.1</w:t>
        </w:r>
        <w:r w:rsidR="00B95F12">
          <w:rPr>
            <w:rFonts w:asciiTheme="minorHAnsi" w:eastAsiaTheme="minorEastAsia" w:hAnsiTheme="minorHAnsi" w:cstheme="minorBidi"/>
            <w:noProof/>
            <w:sz w:val="22"/>
            <w:szCs w:val="22"/>
            <w:lang w:eastAsia="zh-CN"/>
          </w:rPr>
          <w:tab/>
        </w:r>
        <w:r w:rsidR="00B95F12" w:rsidRPr="009B56A1">
          <w:rPr>
            <w:rStyle w:val="Hyperlink"/>
            <w:noProof/>
          </w:rPr>
          <w:t>ITU vision</w:t>
        </w:r>
        <w:r w:rsidR="00B95F12">
          <w:rPr>
            <w:noProof/>
            <w:webHidden/>
          </w:rPr>
          <w:tab/>
        </w:r>
        <w:r w:rsidR="00B95F12">
          <w:rPr>
            <w:noProof/>
            <w:webHidden/>
          </w:rPr>
          <w:fldChar w:fldCharType="begin"/>
        </w:r>
        <w:r w:rsidR="00B95F12">
          <w:rPr>
            <w:noProof/>
            <w:webHidden/>
          </w:rPr>
          <w:instrText xml:space="preserve"> PAGEREF _Toc530750105 \h </w:instrText>
        </w:r>
        <w:r w:rsidR="00B95F12">
          <w:rPr>
            <w:noProof/>
            <w:webHidden/>
          </w:rPr>
        </w:r>
        <w:r w:rsidR="00B95F12">
          <w:rPr>
            <w:noProof/>
            <w:webHidden/>
          </w:rPr>
          <w:fldChar w:fldCharType="separate"/>
        </w:r>
        <w:r w:rsidR="00B95F12">
          <w:rPr>
            <w:noProof/>
            <w:webHidden/>
          </w:rPr>
          <w:t>12</w:t>
        </w:r>
        <w:r w:rsidR="00B95F12">
          <w:rPr>
            <w:noProof/>
            <w:webHidden/>
          </w:rPr>
          <w:fldChar w:fldCharType="end"/>
        </w:r>
      </w:hyperlink>
    </w:p>
    <w:p w:rsidR="00B95F12" w:rsidRDefault="00407B98">
      <w:pPr>
        <w:pStyle w:val="TOC3"/>
        <w:rPr>
          <w:rFonts w:asciiTheme="minorHAnsi" w:eastAsiaTheme="minorEastAsia" w:hAnsiTheme="minorHAnsi" w:cstheme="minorBidi"/>
          <w:noProof/>
          <w:sz w:val="22"/>
          <w:szCs w:val="22"/>
          <w:lang w:eastAsia="zh-CN"/>
        </w:rPr>
      </w:pPr>
      <w:hyperlink w:anchor="_Toc530750106" w:history="1">
        <w:r w:rsidR="00B95F12" w:rsidRPr="009B56A1">
          <w:rPr>
            <w:rStyle w:val="Hyperlink"/>
            <w:noProof/>
          </w:rPr>
          <w:t>3.2.2</w:t>
        </w:r>
        <w:r w:rsidR="00B95F12">
          <w:rPr>
            <w:rFonts w:asciiTheme="minorHAnsi" w:eastAsiaTheme="minorEastAsia" w:hAnsiTheme="minorHAnsi" w:cstheme="minorBidi"/>
            <w:noProof/>
            <w:sz w:val="22"/>
            <w:szCs w:val="22"/>
            <w:lang w:eastAsia="zh-CN"/>
          </w:rPr>
          <w:tab/>
        </w:r>
        <w:r w:rsidR="00B95F12" w:rsidRPr="009B56A1">
          <w:rPr>
            <w:rStyle w:val="Hyperlink"/>
            <w:noProof/>
          </w:rPr>
          <w:t>ITU mission</w:t>
        </w:r>
        <w:r w:rsidR="00B95F12">
          <w:rPr>
            <w:noProof/>
            <w:webHidden/>
          </w:rPr>
          <w:tab/>
        </w:r>
        <w:r w:rsidR="00B95F12">
          <w:rPr>
            <w:noProof/>
            <w:webHidden/>
          </w:rPr>
          <w:fldChar w:fldCharType="begin"/>
        </w:r>
        <w:r w:rsidR="00B95F12">
          <w:rPr>
            <w:noProof/>
            <w:webHidden/>
          </w:rPr>
          <w:instrText xml:space="preserve"> PAGEREF _Toc530750106 \h </w:instrText>
        </w:r>
        <w:r w:rsidR="00B95F12">
          <w:rPr>
            <w:noProof/>
            <w:webHidden/>
          </w:rPr>
        </w:r>
        <w:r w:rsidR="00B95F12">
          <w:rPr>
            <w:noProof/>
            <w:webHidden/>
          </w:rPr>
          <w:fldChar w:fldCharType="separate"/>
        </w:r>
        <w:r w:rsidR="00B95F12">
          <w:rPr>
            <w:noProof/>
            <w:webHidden/>
          </w:rPr>
          <w:t>12</w:t>
        </w:r>
        <w:r w:rsidR="00B95F12">
          <w:rPr>
            <w:noProof/>
            <w:webHidden/>
          </w:rPr>
          <w:fldChar w:fldCharType="end"/>
        </w:r>
      </w:hyperlink>
    </w:p>
    <w:p w:rsidR="00B95F12" w:rsidRDefault="00407B98">
      <w:pPr>
        <w:pStyle w:val="TOC3"/>
        <w:rPr>
          <w:rFonts w:asciiTheme="minorHAnsi" w:eastAsiaTheme="minorEastAsia" w:hAnsiTheme="minorHAnsi" w:cstheme="minorBidi"/>
          <w:noProof/>
          <w:sz w:val="22"/>
          <w:szCs w:val="22"/>
          <w:lang w:eastAsia="zh-CN"/>
        </w:rPr>
      </w:pPr>
      <w:hyperlink w:anchor="_Toc530750107" w:history="1">
        <w:r w:rsidR="00B95F12" w:rsidRPr="009B56A1">
          <w:rPr>
            <w:rStyle w:val="Hyperlink"/>
            <w:noProof/>
          </w:rPr>
          <w:t>3.2.3</w:t>
        </w:r>
        <w:r w:rsidR="00B95F12">
          <w:rPr>
            <w:rFonts w:asciiTheme="minorHAnsi" w:eastAsiaTheme="minorEastAsia" w:hAnsiTheme="minorHAnsi" w:cstheme="minorBidi"/>
            <w:noProof/>
            <w:sz w:val="22"/>
            <w:szCs w:val="22"/>
            <w:lang w:eastAsia="zh-CN"/>
          </w:rPr>
          <w:tab/>
        </w:r>
        <w:r w:rsidR="00B95F12" w:rsidRPr="009B56A1">
          <w:rPr>
            <w:rStyle w:val="Hyperlink"/>
            <w:noProof/>
          </w:rPr>
          <w:t>ITU values</w:t>
        </w:r>
        <w:r w:rsidR="00B95F12">
          <w:rPr>
            <w:noProof/>
            <w:webHidden/>
          </w:rPr>
          <w:tab/>
        </w:r>
        <w:r w:rsidR="00B95F12">
          <w:rPr>
            <w:noProof/>
            <w:webHidden/>
          </w:rPr>
          <w:fldChar w:fldCharType="begin"/>
        </w:r>
        <w:r w:rsidR="00B95F12">
          <w:rPr>
            <w:noProof/>
            <w:webHidden/>
          </w:rPr>
          <w:instrText xml:space="preserve"> PAGEREF _Toc530750107 \h </w:instrText>
        </w:r>
        <w:r w:rsidR="00B95F12">
          <w:rPr>
            <w:noProof/>
            <w:webHidden/>
          </w:rPr>
        </w:r>
        <w:r w:rsidR="00B95F12">
          <w:rPr>
            <w:noProof/>
            <w:webHidden/>
          </w:rPr>
          <w:fldChar w:fldCharType="separate"/>
        </w:r>
        <w:r w:rsidR="00B95F12">
          <w:rPr>
            <w:noProof/>
            <w:webHidden/>
          </w:rPr>
          <w:t>12</w:t>
        </w:r>
        <w:r w:rsidR="00B95F12">
          <w:rPr>
            <w:noProof/>
            <w:webHidden/>
          </w:rPr>
          <w:fldChar w:fldCharType="end"/>
        </w:r>
      </w:hyperlink>
    </w:p>
    <w:p w:rsidR="00B95F12" w:rsidRDefault="00407B98">
      <w:pPr>
        <w:pStyle w:val="TOC3"/>
        <w:rPr>
          <w:rFonts w:asciiTheme="minorHAnsi" w:eastAsiaTheme="minorEastAsia" w:hAnsiTheme="minorHAnsi" w:cstheme="minorBidi"/>
          <w:noProof/>
          <w:sz w:val="22"/>
          <w:szCs w:val="22"/>
          <w:lang w:eastAsia="zh-CN"/>
        </w:rPr>
      </w:pPr>
      <w:hyperlink w:anchor="_Toc530750108" w:history="1">
        <w:r w:rsidR="00B95F12" w:rsidRPr="009B56A1">
          <w:rPr>
            <w:rStyle w:val="Hyperlink"/>
            <w:noProof/>
          </w:rPr>
          <w:t>3.2.4</w:t>
        </w:r>
        <w:r w:rsidR="00B95F12">
          <w:rPr>
            <w:rFonts w:asciiTheme="minorHAnsi" w:eastAsiaTheme="minorEastAsia" w:hAnsiTheme="minorHAnsi" w:cstheme="minorBidi"/>
            <w:noProof/>
            <w:sz w:val="22"/>
            <w:szCs w:val="22"/>
            <w:lang w:eastAsia="zh-CN"/>
          </w:rPr>
          <w:tab/>
        </w:r>
        <w:r w:rsidR="00B95F12" w:rsidRPr="009B56A1">
          <w:rPr>
            <w:rStyle w:val="Hyperlink"/>
            <w:noProof/>
          </w:rPr>
          <w:t>ITU strategic goals</w:t>
        </w:r>
        <w:r w:rsidR="00B95F12">
          <w:rPr>
            <w:noProof/>
            <w:webHidden/>
          </w:rPr>
          <w:tab/>
        </w:r>
        <w:r w:rsidR="00B95F12">
          <w:rPr>
            <w:noProof/>
            <w:webHidden/>
          </w:rPr>
          <w:fldChar w:fldCharType="begin"/>
        </w:r>
        <w:r w:rsidR="00B95F12">
          <w:rPr>
            <w:noProof/>
            <w:webHidden/>
          </w:rPr>
          <w:instrText xml:space="preserve"> PAGEREF _Toc530750108 \h </w:instrText>
        </w:r>
        <w:r w:rsidR="00B95F12">
          <w:rPr>
            <w:noProof/>
            <w:webHidden/>
          </w:rPr>
        </w:r>
        <w:r w:rsidR="00B95F12">
          <w:rPr>
            <w:noProof/>
            <w:webHidden/>
          </w:rPr>
          <w:fldChar w:fldCharType="separate"/>
        </w:r>
        <w:r w:rsidR="00B95F12">
          <w:rPr>
            <w:noProof/>
            <w:webHidden/>
          </w:rPr>
          <w:t>12</w:t>
        </w:r>
        <w:r w:rsidR="00B95F12">
          <w:rPr>
            <w:noProof/>
            <w:webHidden/>
          </w:rPr>
          <w:fldChar w:fldCharType="end"/>
        </w:r>
      </w:hyperlink>
    </w:p>
    <w:p w:rsidR="00B95F12" w:rsidRDefault="00407B98">
      <w:pPr>
        <w:pStyle w:val="TOC3"/>
        <w:rPr>
          <w:rFonts w:asciiTheme="minorHAnsi" w:eastAsiaTheme="minorEastAsia" w:hAnsiTheme="minorHAnsi" w:cstheme="minorBidi"/>
          <w:noProof/>
          <w:sz w:val="22"/>
          <w:szCs w:val="22"/>
          <w:lang w:eastAsia="zh-CN"/>
        </w:rPr>
      </w:pPr>
      <w:hyperlink w:anchor="_Toc530750109" w:history="1">
        <w:r w:rsidR="00B95F12" w:rsidRPr="009B56A1">
          <w:rPr>
            <w:rStyle w:val="Hyperlink"/>
            <w:noProof/>
          </w:rPr>
          <w:t>3.2.5</w:t>
        </w:r>
        <w:r w:rsidR="00B95F12">
          <w:rPr>
            <w:rFonts w:asciiTheme="minorHAnsi" w:eastAsiaTheme="minorEastAsia" w:hAnsiTheme="minorHAnsi" w:cstheme="minorBidi"/>
            <w:noProof/>
            <w:sz w:val="22"/>
            <w:szCs w:val="22"/>
            <w:lang w:eastAsia="zh-CN"/>
          </w:rPr>
          <w:tab/>
        </w:r>
        <w:r w:rsidR="00B95F12" w:rsidRPr="009B56A1">
          <w:rPr>
            <w:rStyle w:val="Hyperlink"/>
            <w:noProof/>
          </w:rPr>
          <w:t>Targets</w:t>
        </w:r>
        <w:r w:rsidR="00B95F12">
          <w:rPr>
            <w:noProof/>
            <w:webHidden/>
          </w:rPr>
          <w:tab/>
        </w:r>
        <w:r w:rsidR="00B95F12">
          <w:rPr>
            <w:noProof/>
            <w:webHidden/>
          </w:rPr>
          <w:fldChar w:fldCharType="begin"/>
        </w:r>
        <w:r w:rsidR="00B95F12">
          <w:rPr>
            <w:noProof/>
            <w:webHidden/>
          </w:rPr>
          <w:instrText xml:space="preserve"> PAGEREF _Toc530750109 \h </w:instrText>
        </w:r>
        <w:r w:rsidR="00B95F12">
          <w:rPr>
            <w:noProof/>
            <w:webHidden/>
          </w:rPr>
        </w:r>
        <w:r w:rsidR="00B95F12">
          <w:rPr>
            <w:noProof/>
            <w:webHidden/>
          </w:rPr>
          <w:fldChar w:fldCharType="separate"/>
        </w:r>
        <w:r w:rsidR="00B95F12">
          <w:rPr>
            <w:noProof/>
            <w:webHidden/>
          </w:rPr>
          <w:t>12</w:t>
        </w:r>
        <w:r w:rsidR="00B95F12">
          <w:rPr>
            <w:noProof/>
            <w:webHidden/>
          </w:rPr>
          <w:fldChar w:fldCharType="end"/>
        </w:r>
      </w:hyperlink>
    </w:p>
    <w:p w:rsidR="00B95F12" w:rsidRDefault="00407B98">
      <w:pPr>
        <w:pStyle w:val="TOC3"/>
        <w:rPr>
          <w:rFonts w:asciiTheme="minorHAnsi" w:eastAsiaTheme="minorEastAsia" w:hAnsiTheme="minorHAnsi" w:cstheme="minorBidi"/>
          <w:noProof/>
          <w:sz w:val="22"/>
          <w:szCs w:val="22"/>
          <w:lang w:eastAsia="zh-CN"/>
        </w:rPr>
      </w:pPr>
      <w:hyperlink w:anchor="_Toc530750110" w:history="1">
        <w:r w:rsidR="00B95F12" w:rsidRPr="009B56A1">
          <w:rPr>
            <w:rStyle w:val="Hyperlink"/>
            <w:noProof/>
          </w:rPr>
          <w:t>3.2.6</w:t>
        </w:r>
        <w:r w:rsidR="00B95F12">
          <w:rPr>
            <w:rFonts w:asciiTheme="minorHAnsi" w:eastAsiaTheme="minorEastAsia" w:hAnsiTheme="minorHAnsi" w:cstheme="minorBidi"/>
            <w:noProof/>
            <w:sz w:val="22"/>
            <w:szCs w:val="22"/>
            <w:lang w:eastAsia="zh-CN"/>
          </w:rPr>
          <w:tab/>
        </w:r>
        <w:r w:rsidR="00B95F12" w:rsidRPr="009B56A1">
          <w:rPr>
            <w:rStyle w:val="Hyperlink"/>
            <w:noProof/>
          </w:rPr>
          <w:t>Linkage with the WSIS Action Lines and the 2030 Agenda for Sustainable Development</w:t>
        </w:r>
        <w:r w:rsidR="00B95F12">
          <w:rPr>
            <w:noProof/>
            <w:webHidden/>
          </w:rPr>
          <w:tab/>
        </w:r>
        <w:r w:rsidR="00B95F12">
          <w:rPr>
            <w:noProof/>
            <w:webHidden/>
          </w:rPr>
          <w:fldChar w:fldCharType="begin"/>
        </w:r>
        <w:r w:rsidR="00B95F12">
          <w:rPr>
            <w:noProof/>
            <w:webHidden/>
          </w:rPr>
          <w:instrText xml:space="preserve"> PAGEREF _Toc530750110 \h </w:instrText>
        </w:r>
        <w:r w:rsidR="00B95F12">
          <w:rPr>
            <w:noProof/>
            <w:webHidden/>
          </w:rPr>
        </w:r>
        <w:r w:rsidR="00B95F12">
          <w:rPr>
            <w:noProof/>
            <w:webHidden/>
          </w:rPr>
          <w:fldChar w:fldCharType="separate"/>
        </w:r>
        <w:r w:rsidR="00B95F12">
          <w:rPr>
            <w:noProof/>
            <w:webHidden/>
          </w:rPr>
          <w:t>18</w:t>
        </w:r>
        <w:r w:rsidR="00B95F12">
          <w:rPr>
            <w:noProof/>
            <w:webHidden/>
          </w:rPr>
          <w:fldChar w:fldCharType="end"/>
        </w:r>
      </w:hyperlink>
    </w:p>
    <w:p w:rsidR="00B95F12" w:rsidRDefault="00407B98">
      <w:pPr>
        <w:pStyle w:val="TOC3"/>
        <w:rPr>
          <w:rFonts w:asciiTheme="minorHAnsi" w:eastAsiaTheme="minorEastAsia" w:hAnsiTheme="minorHAnsi" w:cstheme="minorBidi"/>
          <w:noProof/>
          <w:sz w:val="22"/>
          <w:szCs w:val="22"/>
          <w:lang w:eastAsia="zh-CN"/>
        </w:rPr>
      </w:pPr>
      <w:hyperlink w:anchor="_Toc530750111" w:history="1">
        <w:r w:rsidR="00B95F12" w:rsidRPr="009B56A1">
          <w:rPr>
            <w:rStyle w:val="Hyperlink"/>
            <w:noProof/>
          </w:rPr>
          <w:t>3.2.7</w:t>
        </w:r>
        <w:r w:rsidR="00B95F12">
          <w:rPr>
            <w:rFonts w:asciiTheme="minorHAnsi" w:eastAsiaTheme="minorEastAsia" w:hAnsiTheme="minorHAnsi" w:cstheme="minorBidi"/>
            <w:noProof/>
            <w:sz w:val="22"/>
            <w:szCs w:val="22"/>
            <w:lang w:eastAsia="zh-CN"/>
          </w:rPr>
          <w:tab/>
        </w:r>
        <w:r w:rsidR="00B95F12" w:rsidRPr="009B56A1">
          <w:rPr>
            <w:rStyle w:val="Hyperlink"/>
            <w:noProof/>
          </w:rPr>
          <w:t>Linking strategic, financial and operational planning in ITU</w:t>
        </w:r>
        <w:r w:rsidR="00B95F12">
          <w:rPr>
            <w:noProof/>
            <w:webHidden/>
          </w:rPr>
          <w:tab/>
        </w:r>
        <w:r w:rsidR="00B95F12">
          <w:rPr>
            <w:noProof/>
            <w:webHidden/>
          </w:rPr>
          <w:fldChar w:fldCharType="begin"/>
        </w:r>
        <w:r w:rsidR="00B95F12">
          <w:rPr>
            <w:noProof/>
            <w:webHidden/>
          </w:rPr>
          <w:instrText xml:space="preserve"> PAGEREF _Toc530750111 \h </w:instrText>
        </w:r>
        <w:r w:rsidR="00B95F12">
          <w:rPr>
            <w:noProof/>
            <w:webHidden/>
          </w:rPr>
        </w:r>
        <w:r w:rsidR="00B95F12">
          <w:rPr>
            <w:noProof/>
            <w:webHidden/>
          </w:rPr>
          <w:fldChar w:fldCharType="separate"/>
        </w:r>
        <w:r w:rsidR="00B95F12">
          <w:rPr>
            <w:noProof/>
            <w:webHidden/>
          </w:rPr>
          <w:t>18</w:t>
        </w:r>
        <w:r w:rsidR="00B95F12">
          <w:rPr>
            <w:noProof/>
            <w:webHidden/>
          </w:rPr>
          <w:fldChar w:fldCharType="end"/>
        </w:r>
      </w:hyperlink>
    </w:p>
    <w:p w:rsidR="00B95F12" w:rsidRDefault="00407B98">
      <w:pPr>
        <w:pStyle w:val="TOC3"/>
        <w:rPr>
          <w:rFonts w:asciiTheme="minorHAnsi" w:eastAsiaTheme="minorEastAsia" w:hAnsiTheme="minorHAnsi" w:cstheme="minorBidi"/>
          <w:noProof/>
          <w:sz w:val="22"/>
          <w:szCs w:val="22"/>
          <w:lang w:eastAsia="zh-CN"/>
        </w:rPr>
      </w:pPr>
      <w:hyperlink w:anchor="_Toc530750112" w:history="1">
        <w:r w:rsidR="00B95F12" w:rsidRPr="009B56A1">
          <w:rPr>
            <w:rStyle w:val="Hyperlink"/>
            <w:noProof/>
          </w:rPr>
          <w:t>3.3</w:t>
        </w:r>
        <w:r w:rsidR="00B95F12">
          <w:rPr>
            <w:rFonts w:asciiTheme="minorHAnsi" w:eastAsiaTheme="minorEastAsia" w:hAnsiTheme="minorHAnsi" w:cstheme="minorBidi"/>
            <w:noProof/>
            <w:sz w:val="22"/>
            <w:szCs w:val="22"/>
            <w:lang w:eastAsia="zh-CN"/>
          </w:rPr>
          <w:tab/>
        </w:r>
        <w:r w:rsidR="00B95F12" w:rsidRPr="009B56A1">
          <w:rPr>
            <w:rStyle w:val="Hyperlink"/>
            <w:noProof/>
          </w:rPr>
          <w:t>Memoranda of Understandings (MoU)</w:t>
        </w:r>
        <w:r w:rsidR="00B95F12">
          <w:rPr>
            <w:noProof/>
            <w:webHidden/>
          </w:rPr>
          <w:tab/>
        </w:r>
        <w:r w:rsidR="00B95F12">
          <w:rPr>
            <w:noProof/>
            <w:webHidden/>
          </w:rPr>
          <w:fldChar w:fldCharType="begin"/>
        </w:r>
        <w:r w:rsidR="00B95F12">
          <w:rPr>
            <w:noProof/>
            <w:webHidden/>
          </w:rPr>
          <w:instrText xml:space="preserve"> PAGEREF _Toc530750112 \h </w:instrText>
        </w:r>
        <w:r w:rsidR="00B95F12">
          <w:rPr>
            <w:noProof/>
            <w:webHidden/>
          </w:rPr>
        </w:r>
        <w:r w:rsidR="00B95F12">
          <w:rPr>
            <w:noProof/>
            <w:webHidden/>
          </w:rPr>
          <w:fldChar w:fldCharType="separate"/>
        </w:r>
        <w:r w:rsidR="00B95F12">
          <w:rPr>
            <w:noProof/>
            <w:webHidden/>
          </w:rPr>
          <w:t>18</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13" w:history="1">
        <w:r w:rsidR="00B95F12" w:rsidRPr="009B56A1">
          <w:rPr>
            <w:rStyle w:val="Hyperlink"/>
            <w:noProof/>
          </w:rPr>
          <w:t>3.4</w:t>
        </w:r>
        <w:r w:rsidR="00B95F12">
          <w:rPr>
            <w:rFonts w:asciiTheme="minorHAnsi" w:eastAsiaTheme="minorEastAsia" w:hAnsiTheme="minorHAnsi" w:cstheme="minorBidi"/>
            <w:noProof/>
            <w:sz w:val="22"/>
            <w:szCs w:val="22"/>
            <w:lang w:eastAsia="zh-CN"/>
          </w:rPr>
          <w:tab/>
        </w:r>
        <w:r w:rsidR="00B95F12" w:rsidRPr="009B56A1">
          <w:rPr>
            <w:rStyle w:val="Hyperlink"/>
            <w:noProof/>
          </w:rPr>
          <w:t>Connect 2030 Agenda for global telecommunication/information and communication technology, including broadband, for sustainable development – Rev. Resolution 200</w:t>
        </w:r>
        <w:r w:rsidR="00B95F12">
          <w:rPr>
            <w:noProof/>
            <w:webHidden/>
          </w:rPr>
          <w:tab/>
        </w:r>
        <w:r w:rsidR="00B95F12">
          <w:rPr>
            <w:noProof/>
            <w:webHidden/>
          </w:rPr>
          <w:fldChar w:fldCharType="begin"/>
        </w:r>
        <w:r w:rsidR="00B95F12">
          <w:rPr>
            <w:noProof/>
            <w:webHidden/>
          </w:rPr>
          <w:instrText xml:space="preserve"> PAGEREF _Toc530750113 \h </w:instrText>
        </w:r>
        <w:r w:rsidR="00B95F12">
          <w:rPr>
            <w:noProof/>
            <w:webHidden/>
          </w:rPr>
        </w:r>
        <w:r w:rsidR="00B95F12">
          <w:rPr>
            <w:noProof/>
            <w:webHidden/>
          </w:rPr>
          <w:fldChar w:fldCharType="separate"/>
        </w:r>
        <w:r w:rsidR="00B95F12">
          <w:rPr>
            <w:noProof/>
            <w:webHidden/>
          </w:rPr>
          <w:t>19</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14" w:history="1">
        <w:r w:rsidR="00B95F12" w:rsidRPr="009B56A1">
          <w:rPr>
            <w:rStyle w:val="Hyperlink"/>
            <w:noProof/>
          </w:rPr>
          <w:t>3.5</w:t>
        </w:r>
        <w:r w:rsidR="00B95F12">
          <w:rPr>
            <w:rFonts w:asciiTheme="minorHAnsi" w:eastAsiaTheme="minorEastAsia" w:hAnsiTheme="minorHAnsi" w:cstheme="minorBidi"/>
            <w:noProof/>
            <w:sz w:val="22"/>
            <w:szCs w:val="22"/>
            <w:lang w:eastAsia="zh-CN"/>
          </w:rPr>
          <w:tab/>
        </w:r>
        <w:r w:rsidR="00B95F12" w:rsidRPr="009B56A1">
          <w:rPr>
            <w:rStyle w:val="Hyperlink"/>
            <w:noProof/>
          </w:rPr>
          <w:t>Strategy for the coordination of efforts among the three Sectors of the Union – Rev. Resolution 191</w:t>
        </w:r>
        <w:r w:rsidR="00B95F12">
          <w:rPr>
            <w:noProof/>
            <w:webHidden/>
          </w:rPr>
          <w:tab/>
        </w:r>
        <w:r w:rsidR="00B95F12">
          <w:rPr>
            <w:noProof/>
            <w:webHidden/>
          </w:rPr>
          <w:fldChar w:fldCharType="begin"/>
        </w:r>
        <w:r w:rsidR="00B95F12">
          <w:rPr>
            <w:noProof/>
            <w:webHidden/>
          </w:rPr>
          <w:instrText xml:space="preserve"> PAGEREF _Toc530750114 \h </w:instrText>
        </w:r>
        <w:r w:rsidR="00B95F12">
          <w:rPr>
            <w:noProof/>
            <w:webHidden/>
          </w:rPr>
        </w:r>
        <w:r w:rsidR="00B95F12">
          <w:rPr>
            <w:noProof/>
            <w:webHidden/>
          </w:rPr>
          <w:fldChar w:fldCharType="separate"/>
        </w:r>
        <w:r w:rsidR="00B95F12">
          <w:rPr>
            <w:noProof/>
            <w:webHidden/>
          </w:rPr>
          <w:t>19</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15" w:history="1">
        <w:r w:rsidR="00B95F12" w:rsidRPr="009B56A1">
          <w:rPr>
            <w:rStyle w:val="Hyperlink"/>
            <w:noProof/>
          </w:rPr>
          <w:t>4</w:t>
        </w:r>
        <w:r w:rsidR="00B95F12">
          <w:rPr>
            <w:rFonts w:asciiTheme="minorHAnsi" w:eastAsiaTheme="minorEastAsia" w:hAnsiTheme="minorHAnsi" w:cstheme="minorBidi"/>
            <w:noProof/>
            <w:sz w:val="22"/>
            <w:szCs w:val="22"/>
            <w:lang w:eastAsia="zh-CN"/>
          </w:rPr>
          <w:tab/>
        </w:r>
        <w:r w:rsidR="00B95F12" w:rsidRPr="009B56A1">
          <w:rPr>
            <w:rStyle w:val="Hyperlink"/>
            <w:noProof/>
          </w:rPr>
          <w:t>Finances</w:t>
        </w:r>
        <w:r w:rsidR="00B95F12">
          <w:rPr>
            <w:noProof/>
            <w:webHidden/>
          </w:rPr>
          <w:tab/>
        </w:r>
        <w:r w:rsidR="00B95F12">
          <w:rPr>
            <w:noProof/>
            <w:webHidden/>
          </w:rPr>
          <w:fldChar w:fldCharType="begin"/>
        </w:r>
        <w:r w:rsidR="00B95F12">
          <w:rPr>
            <w:noProof/>
            <w:webHidden/>
          </w:rPr>
          <w:instrText xml:space="preserve"> PAGEREF _Toc530750115 \h </w:instrText>
        </w:r>
        <w:r w:rsidR="00B95F12">
          <w:rPr>
            <w:noProof/>
            <w:webHidden/>
          </w:rPr>
        </w:r>
        <w:r w:rsidR="00B95F12">
          <w:rPr>
            <w:noProof/>
            <w:webHidden/>
          </w:rPr>
          <w:fldChar w:fldCharType="separate"/>
        </w:r>
        <w:r w:rsidR="00B95F12">
          <w:rPr>
            <w:noProof/>
            <w:webHidden/>
          </w:rPr>
          <w:t>19</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16" w:history="1">
        <w:r w:rsidR="00B95F12" w:rsidRPr="009B56A1">
          <w:rPr>
            <w:rStyle w:val="Hyperlink"/>
            <w:noProof/>
          </w:rPr>
          <w:t>4.1</w:t>
        </w:r>
        <w:r w:rsidR="00B95F12">
          <w:rPr>
            <w:rFonts w:asciiTheme="minorHAnsi" w:eastAsiaTheme="minorEastAsia" w:hAnsiTheme="minorHAnsi" w:cstheme="minorBidi"/>
            <w:noProof/>
            <w:sz w:val="22"/>
            <w:szCs w:val="22"/>
            <w:lang w:eastAsia="zh-CN"/>
          </w:rPr>
          <w:tab/>
        </w:r>
        <w:r w:rsidR="00B95F12" w:rsidRPr="009B56A1">
          <w:rPr>
            <w:rStyle w:val="Hyperlink"/>
            <w:noProof/>
          </w:rPr>
          <w:t>Financial Plan for the Union for 2020-2023 - Revenue and expenses for the Union for the period 2020-2023 – Rev. Decision 5</w:t>
        </w:r>
        <w:r w:rsidR="00B95F12">
          <w:rPr>
            <w:noProof/>
            <w:webHidden/>
          </w:rPr>
          <w:tab/>
        </w:r>
        <w:r w:rsidR="00B95F12">
          <w:rPr>
            <w:noProof/>
            <w:webHidden/>
          </w:rPr>
          <w:fldChar w:fldCharType="begin"/>
        </w:r>
        <w:r w:rsidR="00B95F12">
          <w:rPr>
            <w:noProof/>
            <w:webHidden/>
          </w:rPr>
          <w:instrText xml:space="preserve"> PAGEREF _Toc530750116 \h </w:instrText>
        </w:r>
        <w:r w:rsidR="00B95F12">
          <w:rPr>
            <w:noProof/>
            <w:webHidden/>
          </w:rPr>
        </w:r>
        <w:r w:rsidR="00B95F12">
          <w:rPr>
            <w:noProof/>
            <w:webHidden/>
          </w:rPr>
          <w:fldChar w:fldCharType="separate"/>
        </w:r>
        <w:r w:rsidR="00B95F12">
          <w:rPr>
            <w:noProof/>
            <w:webHidden/>
          </w:rPr>
          <w:t>19</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17" w:history="1">
        <w:r w:rsidR="00B95F12" w:rsidRPr="009B56A1">
          <w:rPr>
            <w:rStyle w:val="Hyperlink"/>
            <w:noProof/>
          </w:rPr>
          <w:t>4.2</w:t>
        </w:r>
        <w:r w:rsidR="00B95F12">
          <w:rPr>
            <w:rFonts w:asciiTheme="minorHAnsi" w:eastAsiaTheme="minorEastAsia" w:hAnsiTheme="minorHAnsi" w:cstheme="minorBidi"/>
            <w:noProof/>
            <w:sz w:val="22"/>
            <w:szCs w:val="22"/>
            <w:lang w:eastAsia="zh-CN"/>
          </w:rPr>
          <w:tab/>
        </w:r>
        <w:r w:rsidR="00B95F12" w:rsidRPr="009B56A1">
          <w:rPr>
            <w:rStyle w:val="Hyperlink"/>
            <w:noProof/>
          </w:rPr>
          <w:t>Arrears and special arrears accounts – Rev. Resolution 41</w:t>
        </w:r>
        <w:r w:rsidR="00B95F12">
          <w:rPr>
            <w:noProof/>
            <w:webHidden/>
          </w:rPr>
          <w:tab/>
        </w:r>
        <w:r w:rsidR="00B95F12">
          <w:rPr>
            <w:noProof/>
            <w:webHidden/>
          </w:rPr>
          <w:fldChar w:fldCharType="begin"/>
        </w:r>
        <w:r w:rsidR="00B95F12">
          <w:rPr>
            <w:noProof/>
            <w:webHidden/>
          </w:rPr>
          <w:instrText xml:space="preserve"> PAGEREF _Toc530750117 \h </w:instrText>
        </w:r>
        <w:r w:rsidR="00B95F12">
          <w:rPr>
            <w:noProof/>
            <w:webHidden/>
          </w:rPr>
        </w:r>
        <w:r w:rsidR="00B95F12">
          <w:rPr>
            <w:noProof/>
            <w:webHidden/>
          </w:rPr>
          <w:fldChar w:fldCharType="separate"/>
        </w:r>
        <w:r w:rsidR="00B95F12">
          <w:rPr>
            <w:noProof/>
            <w:webHidden/>
          </w:rPr>
          <w:t>20</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18" w:history="1">
        <w:r w:rsidR="00B95F12" w:rsidRPr="009B56A1">
          <w:rPr>
            <w:rStyle w:val="Hyperlink"/>
            <w:noProof/>
          </w:rPr>
          <w:t>4.3</w:t>
        </w:r>
        <w:r w:rsidR="00B95F12">
          <w:rPr>
            <w:rFonts w:asciiTheme="minorHAnsi" w:eastAsiaTheme="minorEastAsia" w:hAnsiTheme="minorHAnsi" w:cstheme="minorBidi"/>
            <w:noProof/>
            <w:sz w:val="22"/>
            <w:szCs w:val="22"/>
            <w:lang w:eastAsia="zh-CN"/>
          </w:rPr>
          <w:tab/>
        </w:r>
        <w:r w:rsidR="00B95F12" w:rsidRPr="009B56A1">
          <w:rPr>
            <w:rStyle w:val="Hyperlink"/>
            <w:noProof/>
          </w:rPr>
          <w:t>Implementation of results-based management in ITU – Rev. Resolution 151</w:t>
        </w:r>
        <w:r w:rsidR="00B95F12">
          <w:rPr>
            <w:noProof/>
            <w:webHidden/>
          </w:rPr>
          <w:tab/>
        </w:r>
        <w:r w:rsidR="00B95F12">
          <w:rPr>
            <w:noProof/>
            <w:webHidden/>
          </w:rPr>
          <w:fldChar w:fldCharType="begin"/>
        </w:r>
        <w:r w:rsidR="00B95F12">
          <w:rPr>
            <w:noProof/>
            <w:webHidden/>
          </w:rPr>
          <w:instrText xml:space="preserve"> PAGEREF _Toc530750118 \h </w:instrText>
        </w:r>
        <w:r w:rsidR="00B95F12">
          <w:rPr>
            <w:noProof/>
            <w:webHidden/>
          </w:rPr>
        </w:r>
        <w:r w:rsidR="00B95F12">
          <w:rPr>
            <w:noProof/>
            <w:webHidden/>
          </w:rPr>
          <w:fldChar w:fldCharType="separate"/>
        </w:r>
        <w:r w:rsidR="00B95F12">
          <w:rPr>
            <w:noProof/>
            <w:webHidden/>
          </w:rPr>
          <w:t>20</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19" w:history="1">
        <w:r w:rsidR="00B95F12" w:rsidRPr="009B56A1">
          <w:rPr>
            <w:rStyle w:val="Hyperlink"/>
            <w:noProof/>
          </w:rPr>
          <w:t>4.4</w:t>
        </w:r>
        <w:r w:rsidR="00B95F12">
          <w:rPr>
            <w:rFonts w:asciiTheme="minorHAnsi" w:eastAsiaTheme="minorEastAsia" w:hAnsiTheme="minorHAnsi" w:cstheme="minorBidi"/>
            <w:noProof/>
            <w:sz w:val="22"/>
            <w:szCs w:val="22"/>
            <w:lang w:eastAsia="zh-CN"/>
          </w:rPr>
          <w:tab/>
        </w:r>
        <w:r w:rsidR="00B95F12" w:rsidRPr="009B56A1">
          <w:rPr>
            <w:rStyle w:val="Hyperlink"/>
            <w:noProof/>
          </w:rPr>
          <w:t>Strengthening of the project execution function in ITU – Rev. Resolution 157</w:t>
        </w:r>
        <w:r w:rsidR="00B95F12">
          <w:rPr>
            <w:noProof/>
            <w:webHidden/>
          </w:rPr>
          <w:tab/>
        </w:r>
        <w:r w:rsidR="00B95F12">
          <w:rPr>
            <w:noProof/>
            <w:webHidden/>
          </w:rPr>
          <w:fldChar w:fldCharType="begin"/>
        </w:r>
        <w:r w:rsidR="00B95F12">
          <w:rPr>
            <w:noProof/>
            <w:webHidden/>
          </w:rPr>
          <w:instrText xml:space="preserve"> PAGEREF _Toc530750119 \h </w:instrText>
        </w:r>
        <w:r w:rsidR="00B95F12">
          <w:rPr>
            <w:noProof/>
            <w:webHidden/>
          </w:rPr>
        </w:r>
        <w:r w:rsidR="00B95F12">
          <w:rPr>
            <w:noProof/>
            <w:webHidden/>
          </w:rPr>
          <w:fldChar w:fldCharType="separate"/>
        </w:r>
        <w:r w:rsidR="00B95F12">
          <w:rPr>
            <w:noProof/>
            <w:webHidden/>
          </w:rPr>
          <w:t>21</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20" w:history="1">
        <w:r w:rsidR="00B95F12" w:rsidRPr="009B56A1">
          <w:rPr>
            <w:rStyle w:val="Hyperlink"/>
            <w:noProof/>
          </w:rPr>
          <w:t>4.5</w:t>
        </w:r>
        <w:r w:rsidR="00B95F12">
          <w:rPr>
            <w:rFonts w:asciiTheme="minorHAnsi" w:eastAsiaTheme="minorEastAsia" w:hAnsiTheme="minorHAnsi" w:cstheme="minorBidi"/>
            <w:noProof/>
            <w:sz w:val="22"/>
            <w:szCs w:val="22"/>
            <w:lang w:eastAsia="zh-CN"/>
          </w:rPr>
          <w:tab/>
        </w:r>
        <w:r w:rsidR="00B95F12" w:rsidRPr="009B56A1">
          <w:rPr>
            <w:rStyle w:val="Hyperlink"/>
            <w:noProof/>
          </w:rPr>
          <w:t>Decision 13 “Monitoring mechanism on ITU programmes and projects”</w:t>
        </w:r>
        <w:r w:rsidR="00B95F12">
          <w:rPr>
            <w:noProof/>
            <w:webHidden/>
          </w:rPr>
          <w:tab/>
        </w:r>
        <w:r w:rsidR="00B95F12">
          <w:rPr>
            <w:noProof/>
            <w:webHidden/>
          </w:rPr>
          <w:fldChar w:fldCharType="begin"/>
        </w:r>
        <w:r w:rsidR="00B95F12">
          <w:rPr>
            <w:noProof/>
            <w:webHidden/>
          </w:rPr>
          <w:instrText xml:space="preserve"> PAGEREF _Toc530750120 \h </w:instrText>
        </w:r>
        <w:r w:rsidR="00B95F12">
          <w:rPr>
            <w:noProof/>
            <w:webHidden/>
          </w:rPr>
        </w:r>
        <w:r w:rsidR="00B95F12">
          <w:rPr>
            <w:noProof/>
            <w:webHidden/>
          </w:rPr>
          <w:fldChar w:fldCharType="separate"/>
        </w:r>
        <w:r w:rsidR="00B95F12">
          <w:rPr>
            <w:noProof/>
            <w:webHidden/>
          </w:rPr>
          <w:t>21</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21" w:history="1">
        <w:r w:rsidR="00B95F12" w:rsidRPr="009B56A1">
          <w:rPr>
            <w:rStyle w:val="Hyperlink"/>
            <w:noProof/>
          </w:rPr>
          <w:t>5</w:t>
        </w:r>
        <w:r w:rsidR="00B95F12">
          <w:rPr>
            <w:rFonts w:asciiTheme="minorHAnsi" w:eastAsiaTheme="minorEastAsia" w:hAnsiTheme="minorHAnsi" w:cstheme="minorBidi"/>
            <w:noProof/>
            <w:sz w:val="22"/>
            <w:szCs w:val="22"/>
            <w:lang w:eastAsia="zh-CN"/>
          </w:rPr>
          <w:tab/>
        </w:r>
        <w:r w:rsidR="00B95F12" w:rsidRPr="009B56A1">
          <w:rPr>
            <w:rStyle w:val="Hyperlink"/>
            <w:noProof/>
          </w:rPr>
          <w:t>Auditing</w:t>
        </w:r>
        <w:r w:rsidR="00B95F12">
          <w:rPr>
            <w:noProof/>
            <w:webHidden/>
          </w:rPr>
          <w:tab/>
        </w:r>
        <w:r w:rsidR="00B95F12">
          <w:rPr>
            <w:noProof/>
            <w:webHidden/>
          </w:rPr>
          <w:fldChar w:fldCharType="begin"/>
        </w:r>
        <w:r w:rsidR="00B95F12">
          <w:rPr>
            <w:noProof/>
            <w:webHidden/>
          </w:rPr>
          <w:instrText xml:space="preserve"> PAGEREF _Toc530750121 \h </w:instrText>
        </w:r>
        <w:r w:rsidR="00B95F12">
          <w:rPr>
            <w:noProof/>
            <w:webHidden/>
          </w:rPr>
        </w:r>
        <w:r w:rsidR="00B95F12">
          <w:rPr>
            <w:noProof/>
            <w:webHidden/>
          </w:rPr>
          <w:fldChar w:fldCharType="separate"/>
        </w:r>
        <w:r w:rsidR="00B95F12">
          <w:rPr>
            <w:noProof/>
            <w:webHidden/>
          </w:rPr>
          <w:t>21</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22" w:history="1">
        <w:r w:rsidR="00B95F12" w:rsidRPr="009B56A1">
          <w:rPr>
            <w:rStyle w:val="Hyperlink"/>
            <w:noProof/>
          </w:rPr>
          <w:t>5.1</w:t>
        </w:r>
        <w:r w:rsidR="00B95F12">
          <w:rPr>
            <w:rFonts w:asciiTheme="minorHAnsi" w:eastAsiaTheme="minorEastAsia" w:hAnsiTheme="minorHAnsi" w:cstheme="minorBidi"/>
            <w:noProof/>
            <w:sz w:val="22"/>
            <w:szCs w:val="22"/>
            <w:lang w:eastAsia="zh-CN"/>
          </w:rPr>
          <w:tab/>
        </w:r>
        <w:r w:rsidR="00B95F12" w:rsidRPr="009B56A1">
          <w:rPr>
            <w:rStyle w:val="Hyperlink"/>
            <w:noProof/>
          </w:rPr>
          <w:t>Auditing of the accounts of the Union (Rev. Resolution 94)</w:t>
        </w:r>
        <w:r w:rsidR="00B95F12">
          <w:rPr>
            <w:noProof/>
            <w:webHidden/>
          </w:rPr>
          <w:tab/>
        </w:r>
        <w:r w:rsidR="00B95F12">
          <w:rPr>
            <w:noProof/>
            <w:webHidden/>
          </w:rPr>
          <w:fldChar w:fldCharType="begin"/>
        </w:r>
        <w:r w:rsidR="00B95F12">
          <w:rPr>
            <w:noProof/>
            <w:webHidden/>
          </w:rPr>
          <w:instrText xml:space="preserve"> PAGEREF _Toc530750122 \h </w:instrText>
        </w:r>
        <w:r w:rsidR="00B95F12">
          <w:rPr>
            <w:noProof/>
            <w:webHidden/>
          </w:rPr>
        </w:r>
        <w:r w:rsidR="00B95F12">
          <w:rPr>
            <w:noProof/>
            <w:webHidden/>
          </w:rPr>
          <w:fldChar w:fldCharType="separate"/>
        </w:r>
        <w:r w:rsidR="00B95F12">
          <w:rPr>
            <w:noProof/>
            <w:webHidden/>
          </w:rPr>
          <w:t>21</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23" w:history="1">
        <w:r w:rsidR="00B95F12" w:rsidRPr="009B56A1">
          <w:rPr>
            <w:rStyle w:val="Hyperlink"/>
            <w:noProof/>
          </w:rPr>
          <w:t>5.2</w:t>
        </w:r>
        <w:r w:rsidR="00B95F12">
          <w:rPr>
            <w:rFonts w:asciiTheme="minorHAnsi" w:eastAsiaTheme="minorEastAsia" w:hAnsiTheme="minorHAnsi" w:cstheme="minorBidi"/>
            <w:noProof/>
            <w:sz w:val="22"/>
            <w:szCs w:val="22"/>
            <w:lang w:eastAsia="zh-CN"/>
          </w:rPr>
          <w:tab/>
        </w:r>
        <w:r w:rsidR="00B95F12" w:rsidRPr="009B56A1">
          <w:rPr>
            <w:rStyle w:val="Hyperlink"/>
            <w:noProof/>
          </w:rPr>
          <w:t>Approval of the accounts of the Union for the years 2014-2017 (Rev. Resolution 150)</w:t>
        </w:r>
        <w:r w:rsidR="00B95F12">
          <w:rPr>
            <w:noProof/>
            <w:webHidden/>
          </w:rPr>
          <w:tab/>
        </w:r>
        <w:r w:rsidR="00B95F12">
          <w:rPr>
            <w:noProof/>
            <w:webHidden/>
          </w:rPr>
          <w:fldChar w:fldCharType="begin"/>
        </w:r>
        <w:r w:rsidR="00B95F12">
          <w:rPr>
            <w:noProof/>
            <w:webHidden/>
          </w:rPr>
          <w:instrText xml:space="preserve"> PAGEREF _Toc530750123 \h </w:instrText>
        </w:r>
        <w:r w:rsidR="00B95F12">
          <w:rPr>
            <w:noProof/>
            <w:webHidden/>
          </w:rPr>
        </w:r>
        <w:r w:rsidR="00B95F12">
          <w:rPr>
            <w:noProof/>
            <w:webHidden/>
          </w:rPr>
          <w:fldChar w:fldCharType="separate"/>
        </w:r>
        <w:r w:rsidR="00B95F12">
          <w:rPr>
            <w:noProof/>
            <w:webHidden/>
          </w:rPr>
          <w:t>21</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24" w:history="1">
        <w:r w:rsidR="00B95F12" w:rsidRPr="009B56A1">
          <w:rPr>
            <w:rStyle w:val="Hyperlink"/>
            <w:noProof/>
          </w:rPr>
          <w:t>6</w:t>
        </w:r>
        <w:r w:rsidR="00B95F12">
          <w:rPr>
            <w:rFonts w:asciiTheme="minorHAnsi" w:eastAsiaTheme="minorEastAsia" w:hAnsiTheme="minorHAnsi" w:cstheme="minorBidi"/>
            <w:noProof/>
            <w:sz w:val="22"/>
            <w:szCs w:val="22"/>
            <w:lang w:eastAsia="zh-CN"/>
          </w:rPr>
          <w:tab/>
        </w:r>
        <w:r w:rsidR="00B95F12" w:rsidRPr="009B56A1">
          <w:rPr>
            <w:rStyle w:val="Hyperlink"/>
            <w:noProof/>
          </w:rPr>
          <w:t>Stable Constitution, stable Convention</w:t>
        </w:r>
        <w:r w:rsidR="00B95F12">
          <w:rPr>
            <w:noProof/>
            <w:webHidden/>
          </w:rPr>
          <w:tab/>
        </w:r>
        <w:r w:rsidR="00B95F12">
          <w:rPr>
            <w:noProof/>
            <w:webHidden/>
          </w:rPr>
          <w:fldChar w:fldCharType="begin"/>
        </w:r>
        <w:r w:rsidR="00B95F12">
          <w:rPr>
            <w:noProof/>
            <w:webHidden/>
          </w:rPr>
          <w:instrText xml:space="preserve"> PAGEREF _Toc530750124 \h </w:instrText>
        </w:r>
        <w:r w:rsidR="00B95F12">
          <w:rPr>
            <w:noProof/>
            <w:webHidden/>
          </w:rPr>
        </w:r>
        <w:r w:rsidR="00B95F12">
          <w:rPr>
            <w:noProof/>
            <w:webHidden/>
          </w:rPr>
          <w:fldChar w:fldCharType="separate"/>
        </w:r>
        <w:r w:rsidR="00B95F12">
          <w:rPr>
            <w:noProof/>
            <w:webHidden/>
          </w:rPr>
          <w:t>21</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25" w:history="1">
        <w:r w:rsidR="00B95F12" w:rsidRPr="009B56A1">
          <w:rPr>
            <w:rStyle w:val="Hyperlink"/>
            <w:noProof/>
          </w:rPr>
          <w:t>7</w:t>
        </w:r>
        <w:r w:rsidR="00B95F12">
          <w:rPr>
            <w:rFonts w:asciiTheme="minorHAnsi" w:eastAsiaTheme="minorEastAsia" w:hAnsiTheme="minorHAnsi" w:cstheme="minorBidi"/>
            <w:noProof/>
            <w:sz w:val="22"/>
            <w:szCs w:val="22"/>
            <w:lang w:eastAsia="zh-CN"/>
          </w:rPr>
          <w:tab/>
        </w:r>
        <w:r w:rsidR="00B95F12" w:rsidRPr="009B56A1">
          <w:rPr>
            <w:rStyle w:val="Hyperlink"/>
            <w:noProof/>
          </w:rPr>
          <w:t>Membership</w:t>
        </w:r>
        <w:r w:rsidR="00B95F12">
          <w:rPr>
            <w:noProof/>
            <w:webHidden/>
          </w:rPr>
          <w:tab/>
        </w:r>
        <w:r w:rsidR="00B95F12">
          <w:rPr>
            <w:noProof/>
            <w:webHidden/>
          </w:rPr>
          <w:fldChar w:fldCharType="begin"/>
        </w:r>
        <w:r w:rsidR="00B95F12">
          <w:rPr>
            <w:noProof/>
            <w:webHidden/>
          </w:rPr>
          <w:instrText xml:space="preserve"> PAGEREF _Toc530750125 \h </w:instrText>
        </w:r>
        <w:r w:rsidR="00B95F12">
          <w:rPr>
            <w:noProof/>
            <w:webHidden/>
          </w:rPr>
        </w:r>
        <w:r w:rsidR="00B95F12">
          <w:rPr>
            <w:noProof/>
            <w:webHidden/>
          </w:rPr>
          <w:fldChar w:fldCharType="separate"/>
        </w:r>
        <w:r w:rsidR="00B95F12">
          <w:rPr>
            <w:noProof/>
            <w:webHidden/>
          </w:rPr>
          <w:t>21</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26" w:history="1">
        <w:r w:rsidR="00B95F12" w:rsidRPr="009B56A1">
          <w:rPr>
            <w:rStyle w:val="Hyperlink"/>
            <w:noProof/>
          </w:rPr>
          <w:t>7.1</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169 “Admission of academia1 to participate in the work of the Union”</w:t>
        </w:r>
        <w:r w:rsidR="00B95F12">
          <w:rPr>
            <w:noProof/>
            <w:webHidden/>
          </w:rPr>
          <w:tab/>
        </w:r>
        <w:r w:rsidR="00B95F12">
          <w:rPr>
            <w:noProof/>
            <w:webHidden/>
          </w:rPr>
          <w:fldChar w:fldCharType="begin"/>
        </w:r>
        <w:r w:rsidR="00B95F12">
          <w:rPr>
            <w:noProof/>
            <w:webHidden/>
          </w:rPr>
          <w:instrText xml:space="preserve"> PAGEREF _Toc530750126 \h </w:instrText>
        </w:r>
        <w:r w:rsidR="00B95F12">
          <w:rPr>
            <w:noProof/>
            <w:webHidden/>
          </w:rPr>
        </w:r>
        <w:r w:rsidR="00B95F12">
          <w:rPr>
            <w:noProof/>
            <w:webHidden/>
          </w:rPr>
          <w:fldChar w:fldCharType="separate"/>
        </w:r>
        <w:r w:rsidR="00B95F12">
          <w:rPr>
            <w:noProof/>
            <w:webHidden/>
          </w:rPr>
          <w:t>21</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27" w:history="1">
        <w:r w:rsidR="00B95F12" w:rsidRPr="009B56A1">
          <w:rPr>
            <w:rStyle w:val="Hyperlink"/>
            <w:noProof/>
          </w:rPr>
          <w:t>7.2</w:t>
        </w:r>
        <w:r w:rsidR="00B95F12">
          <w:rPr>
            <w:rFonts w:asciiTheme="minorHAnsi" w:eastAsiaTheme="minorEastAsia" w:hAnsiTheme="minorHAnsi" w:cstheme="minorBidi"/>
            <w:noProof/>
            <w:sz w:val="22"/>
            <w:szCs w:val="22"/>
            <w:lang w:eastAsia="zh-CN"/>
          </w:rPr>
          <w:tab/>
        </w:r>
        <w:r w:rsidR="00B95F12" w:rsidRPr="009B56A1">
          <w:rPr>
            <w:rStyle w:val="Hyperlink"/>
            <w:noProof/>
          </w:rPr>
          <w:t>New Resolution COM5/3 “Encouraging the participation of small and medium enterprises in the work of the Union”</w:t>
        </w:r>
        <w:r w:rsidR="00B95F12">
          <w:rPr>
            <w:noProof/>
            <w:webHidden/>
          </w:rPr>
          <w:tab/>
        </w:r>
        <w:r w:rsidR="00B95F12">
          <w:rPr>
            <w:noProof/>
            <w:webHidden/>
          </w:rPr>
          <w:fldChar w:fldCharType="begin"/>
        </w:r>
        <w:r w:rsidR="00B95F12">
          <w:rPr>
            <w:noProof/>
            <w:webHidden/>
          </w:rPr>
          <w:instrText xml:space="preserve"> PAGEREF _Toc530750127 \h </w:instrText>
        </w:r>
        <w:r w:rsidR="00B95F12">
          <w:rPr>
            <w:noProof/>
            <w:webHidden/>
          </w:rPr>
        </w:r>
        <w:r w:rsidR="00B95F12">
          <w:rPr>
            <w:noProof/>
            <w:webHidden/>
          </w:rPr>
          <w:fldChar w:fldCharType="separate"/>
        </w:r>
        <w:r w:rsidR="00B95F12">
          <w:rPr>
            <w:noProof/>
            <w:webHidden/>
          </w:rPr>
          <w:t>22</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28" w:history="1">
        <w:r w:rsidR="00B95F12" w:rsidRPr="009B56A1">
          <w:rPr>
            <w:rStyle w:val="Hyperlink"/>
            <w:noProof/>
          </w:rPr>
          <w:t>7.3</w:t>
        </w:r>
        <w:r w:rsidR="00B95F12">
          <w:rPr>
            <w:rFonts w:asciiTheme="minorHAnsi" w:eastAsiaTheme="minorEastAsia" w:hAnsiTheme="minorHAnsi" w:cstheme="minorBidi"/>
            <w:noProof/>
            <w:sz w:val="22"/>
            <w:szCs w:val="22"/>
            <w:lang w:eastAsia="zh-CN"/>
          </w:rPr>
          <w:tab/>
        </w:r>
        <w:r w:rsidR="00B95F12" w:rsidRPr="009B56A1">
          <w:rPr>
            <w:rStyle w:val="Hyperlink"/>
            <w:noProof/>
          </w:rPr>
          <w:t>Regional groups</w:t>
        </w:r>
        <w:r w:rsidR="00B95F12">
          <w:rPr>
            <w:noProof/>
            <w:webHidden/>
          </w:rPr>
          <w:tab/>
        </w:r>
        <w:r w:rsidR="00B95F12">
          <w:rPr>
            <w:noProof/>
            <w:webHidden/>
          </w:rPr>
          <w:fldChar w:fldCharType="begin"/>
        </w:r>
        <w:r w:rsidR="00B95F12">
          <w:rPr>
            <w:noProof/>
            <w:webHidden/>
          </w:rPr>
          <w:instrText xml:space="preserve"> PAGEREF _Toc530750128 \h </w:instrText>
        </w:r>
        <w:r w:rsidR="00B95F12">
          <w:rPr>
            <w:noProof/>
            <w:webHidden/>
          </w:rPr>
        </w:r>
        <w:r w:rsidR="00B95F12">
          <w:rPr>
            <w:noProof/>
            <w:webHidden/>
          </w:rPr>
          <w:fldChar w:fldCharType="separate"/>
        </w:r>
        <w:r w:rsidR="00B95F12">
          <w:rPr>
            <w:noProof/>
            <w:webHidden/>
          </w:rPr>
          <w:t>22</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29" w:history="1">
        <w:r w:rsidR="00B95F12" w:rsidRPr="009B56A1">
          <w:rPr>
            <w:rStyle w:val="Hyperlink"/>
            <w:noProof/>
          </w:rPr>
          <w:t>7.4</w:t>
        </w:r>
        <w:r w:rsidR="00B95F12">
          <w:rPr>
            <w:rFonts w:asciiTheme="minorHAnsi" w:eastAsiaTheme="minorEastAsia" w:hAnsiTheme="minorHAnsi" w:cstheme="minorBidi"/>
            <w:noProof/>
            <w:sz w:val="22"/>
            <w:szCs w:val="22"/>
            <w:lang w:eastAsia="zh-CN"/>
          </w:rPr>
          <w:tab/>
        </w:r>
        <w:r w:rsidR="00B95F12" w:rsidRPr="009B56A1">
          <w:rPr>
            <w:rStyle w:val="Hyperlink"/>
            <w:noProof/>
          </w:rPr>
          <w:t>Resolution 187 “Review of the current methodologies and development of a future vision for the participation of Sector Members, Associates and Academia in the activities of ITU”</w:t>
        </w:r>
        <w:r w:rsidR="00B95F12">
          <w:rPr>
            <w:noProof/>
            <w:webHidden/>
          </w:rPr>
          <w:tab/>
        </w:r>
        <w:r w:rsidR="00B95F12">
          <w:rPr>
            <w:noProof/>
            <w:webHidden/>
          </w:rPr>
          <w:fldChar w:fldCharType="begin"/>
        </w:r>
        <w:r w:rsidR="00B95F12">
          <w:rPr>
            <w:noProof/>
            <w:webHidden/>
          </w:rPr>
          <w:instrText xml:space="preserve"> PAGEREF _Toc530750129 \h </w:instrText>
        </w:r>
        <w:r w:rsidR="00B95F12">
          <w:rPr>
            <w:noProof/>
            <w:webHidden/>
          </w:rPr>
        </w:r>
        <w:r w:rsidR="00B95F12">
          <w:rPr>
            <w:noProof/>
            <w:webHidden/>
          </w:rPr>
          <w:fldChar w:fldCharType="separate"/>
        </w:r>
        <w:r w:rsidR="00B95F12">
          <w:rPr>
            <w:noProof/>
            <w:webHidden/>
          </w:rPr>
          <w:t>22</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30" w:history="1">
        <w:r w:rsidR="00B95F12" w:rsidRPr="009B56A1">
          <w:rPr>
            <w:rStyle w:val="Hyperlink"/>
            <w:noProof/>
          </w:rPr>
          <w:t>8</w:t>
        </w:r>
        <w:r w:rsidR="00B95F12">
          <w:rPr>
            <w:rFonts w:asciiTheme="minorHAnsi" w:eastAsiaTheme="minorEastAsia" w:hAnsiTheme="minorHAnsi" w:cstheme="minorBidi"/>
            <w:noProof/>
            <w:sz w:val="22"/>
            <w:szCs w:val="22"/>
            <w:lang w:eastAsia="zh-CN"/>
          </w:rPr>
          <w:tab/>
        </w:r>
        <w:r w:rsidR="00B95F12" w:rsidRPr="009B56A1">
          <w:rPr>
            <w:rStyle w:val="Hyperlink"/>
            <w:noProof/>
          </w:rPr>
          <w:t>WSIS – World Summit on the Information Society</w:t>
        </w:r>
        <w:r w:rsidR="00B95F12">
          <w:rPr>
            <w:noProof/>
            <w:webHidden/>
          </w:rPr>
          <w:tab/>
        </w:r>
        <w:r w:rsidR="00B95F12">
          <w:rPr>
            <w:noProof/>
            <w:webHidden/>
          </w:rPr>
          <w:fldChar w:fldCharType="begin"/>
        </w:r>
        <w:r w:rsidR="00B95F12">
          <w:rPr>
            <w:noProof/>
            <w:webHidden/>
          </w:rPr>
          <w:instrText xml:space="preserve"> PAGEREF _Toc530750130 \h </w:instrText>
        </w:r>
        <w:r w:rsidR="00B95F12">
          <w:rPr>
            <w:noProof/>
            <w:webHidden/>
          </w:rPr>
        </w:r>
        <w:r w:rsidR="00B95F12">
          <w:rPr>
            <w:noProof/>
            <w:webHidden/>
          </w:rPr>
          <w:fldChar w:fldCharType="separate"/>
        </w:r>
        <w:r w:rsidR="00B95F12">
          <w:rPr>
            <w:noProof/>
            <w:webHidden/>
          </w:rPr>
          <w:t>22</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31" w:history="1">
        <w:r w:rsidR="00B95F12" w:rsidRPr="009B56A1">
          <w:rPr>
            <w:rStyle w:val="Hyperlink"/>
            <w:noProof/>
          </w:rPr>
          <w:t>8.1</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140 “ITU's role in implementing the outcomes of the World Summit on the Information Society and the 2030 Agenda for Sustainable Development, as well as in their follow-up and review processes”</w:t>
        </w:r>
        <w:r w:rsidR="00B95F12">
          <w:rPr>
            <w:noProof/>
            <w:webHidden/>
          </w:rPr>
          <w:tab/>
        </w:r>
        <w:r w:rsidR="00B95F12">
          <w:rPr>
            <w:noProof/>
            <w:webHidden/>
          </w:rPr>
          <w:fldChar w:fldCharType="begin"/>
        </w:r>
        <w:r w:rsidR="00B95F12">
          <w:rPr>
            <w:noProof/>
            <w:webHidden/>
          </w:rPr>
          <w:instrText xml:space="preserve"> PAGEREF _Toc530750131 \h </w:instrText>
        </w:r>
        <w:r w:rsidR="00B95F12">
          <w:rPr>
            <w:noProof/>
            <w:webHidden/>
          </w:rPr>
        </w:r>
        <w:r w:rsidR="00B95F12">
          <w:rPr>
            <w:noProof/>
            <w:webHidden/>
          </w:rPr>
          <w:fldChar w:fldCharType="separate"/>
        </w:r>
        <w:r w:rsidR="00B95F12">
          <w:rPr>
            <w:noProof/>
            <w:webHidden/>
          </w:rPr>
          <w:t>22</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32" w:history="1">
        <w:r w:rsidR="00B95F12" w:rsidRPr="009B56A1">
          <w:rPr>
            <w:rStyle w:val="Hyperlink"/>
            <w:noProof/>
          </w:rPr>
          <w:t>9</w:t>
        </w:r>
        <w:r w:rsidR="00B95F12">
          <w:rPr>
            <w:rFonts w:asciiTheme="minorHAnsi" w:eastAsiaTheme="minorEastAsia" w:hAnsiTheme="minorHAnsi" w:cstheme="minorBidi"/>
            <w:noProof/>
            <w:sz w:val="22"/>
            <w:szCs w:val="22"/>
            <w:lang w:eastAsia="zh-CN"/>
          </w:rPr>
          <w:tab/>
        </w:r>
        <w:r w:rsidR="00B95F12" w:rsidRPr="009B56A1">
          <w:rPr>
            <w:rStyle w:val="Hyperlink"/>
            <w:noProof/>
          </w:rPr>
          <w:t>Bridging the digital divide / capacity building / standardization gap / financial inclusion gap / fellowships</w:t>
        </w:r>
        <w:r w:rsidR="00B95F12">
          <w:rPr>
            <w:noProof/>
            <w:webHidden/>
          </w:rPr>
          <w:tab/>
        </w:r>
        <w:r w:rsidR="00B95F12">
          <w:rPr>
            <w:noProof/>
            <w:webHidden/>
          </w:rPr>
          <w:fldChar w:fldCharType="begin"/>
        </w:r>
        <w:r w:rsidR="00B95F12">
          <w:rPr>
            <w:noProof/>
            <w:webHidden/>
          </w:rPr>
          <w:instrText xml:space="preserve"> PAGEREF _Toc530750132 \h </w:instrText>
        </w:r>
        <w:r w:rsidR="00B95F12">
          <w:rPr>
            <w:noProof/>
            <w:webHidden/>
          </w:rPr>
        </w:r>
        <w:r w:rsidR="00B95F12">
          <w:rPr>
            <w:noProof/>
            <w:webHidden/>
          </w:rPr>
          <w:fldChar w:fldCharType="separate"/>
        </w:r>
        <w:r w:rsidR="00B95F12">
          <w:rPr>
            <w:noProof/>
            <w:webHidden/>
          </w:rPr>
          <w:t>22</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33" w:history="1">
        <w:r w:rsidR="00B95F12" w:rsidRPr="009B56A1">
          <w:rPr>
            <w:rStyle w:val="Hyperlink"/>
            <w:noProof/>
          </w:rPr>
          <w:t>9.1</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30 “Special measures for the least developed countries, small island developing states, landlocked developing countries and countries with economies in transition”</w:t>
        </w:r>
        <w:r w:rsidR="00B95F12">
          <w:rPr>
            <w:noProof/>
            <w:webHidden/>
          </w:rPr>
          <w:tab/>
        </w:r>
        <w:r w:rsidR="00B95F12">
          <w:rPr>
            <w:noProof/>
            <w:webHidden/>
          </w:rPr>
          <w:fldChar w:fldCharType="begin"/>
        </w:r>
        <w:r w:rsidR="00B95F12">
          <w:rPr>
            <w:noProof/>
            <w:webHidden/>
          </w:rPr>
          <w:instrText xml:space="preserve"> PAGEREF _Toc530750133 \h </w:instrText>
        </w:r>
        <w:r w:rsidR="00B95F12">
          <w:rPr>
            <w:noProof/>
            <w:webHidden/>
          </w:rPr>
        </w:r>
        <w:r w:rsidR="00B95F12">
          <w:rPr>
            <w:noProof/>
            <w:webHidden/>
          </w:rPr>
          <w:fldChar w:fldCharType="separate"/>
        </w:r>
        <w:r w:rsidR="00B95F12">
          <w:rPr>
            <w:noProof/>
            <w:webHidden/>
          </w:rPr>
          <w:t>22</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34" w:history="1">
        <w:r w:rsidR="00B95F12" w:rsidRPr="009B56A1">
          <w:rPr>
            <w:rStyle w:val="Hyperlink"/>
            <w:noProof/>
          </w:rPr>
          <w:t>9.2</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34 “Assistance and support to countries in special need for rebuilding their telecommunication sector”</w:t>
        </w:r>
        <w:r w:rsidR="00B95F12">
          <w:rPr>
            <w:noProof/>
            <w:webHidden/>
          </w:rPr>
          <w:tab/>
        </w:r>
        <w:r w:rsidR="00B95F12">
          <w:rPr>
            <w:noProof/>
            <w:webHidden/>
          </w:rPr>
          <w:fldChar w:fldCharType="begin"/>
        </w:r>
        <w:r w:rsidR="00B95F12">
          <w:rPr>
            <w:noProof/>
            <w:webHidden/>
          </w:rPr>
          <w:instrText xml:space="preserve"> PAGEREF _Toc530750134 \h </w:instrText>
        </w:r>
        <w:r w:rsidR="00B95F12">
          <w:rPr>
            <w:noProof/>
            <w:webHidden/>
          </w:rPr>
        </w:r>
        <w:r w:rsidR="00B95F12">
          <w:rPr>
            <w:noProof/>
            <w:webHidden/>
          </w:rPr>
          <w:fldChar w:fldCharType="separate"/>
        </w:r>
        <w:r w:rsidR="00B95F12">
          <w:rPr>
            <w:noProof/>
            <w:webHidden/>
          </w:rPr>
          <w:t>23</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35" w:history="1">
        <w:r w:rsidR="00B95F12" w:rsidRPr="009B56A1">
          <w:rPr>
            <w:rStyle w:val="Hyperlink"/>
            <w:noProof/>
          </w:rPr>
          <w:t>9.3</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123 “Bridging the standardization gap between developing and developed countries”</w:t>
        </w:r>
        <w:r w:rsidR="00B95F12">
          <w:rPr>
            <w:noProof/>
            <w:webHidden/>
          </w:rPr>
          <w:tab/>
        </w:r>
        <w:r w:rsidR="00B95F12">
          <w:rPr>
            <w:noProof/>
            <w:webHidden/>
          </w:rPr>
          <w:fldChar w:fldCharType="begin"/>
        </w:r>
        <w:r w:rsidR="00B95F12">
          <w:rPr>
            <w:noProof/>
            <w:webHidden/>
          </w:rPr>
          <w:instrText xml:space="preserve"> PAGEREF _Toc530750135 \h </w:instrText>
        </w:r>
        <w:r w:rsidR="00B95F12">
          <w:rPr>
            <w:noProof/>
            <w:webHidden/>
          </w:rPr>
        </w:r>
        <w:r w:rsidR="00B95F12">
          <w:rPr>
            <w:noProof/>
            <w:webHidden/>
          </w:rPr>
          <w:fldChar w:fldCharType="separate"/>
        </w:r>
        <w:r w:rsidR="00B95F12">
          <w:rPr>
            <w:noProof/>
            <w:webHidden/>
          </w:rPr>
          <w:t>23</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36" w:history="1">
        <w:r w:rsidR="00B95F12" w:rsidRPr="009B56A1">
          <w:rPr>
            <w:rStyle w:val="Hyperlink"/>
            <w:noProof/>
          </w:rPr>
          <w:t>9.4</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135 “ITU's role in the durable and sustainable development of telecommunications/ information and communication technologies, in providing technical assistance and advice to developing countries and in implementing relevant national, regional and interregional projects”</w:t>
        </w:r>
        <w:r w:rsidR="00B95F12">
          <w:rPr>
            <w:noProof/>
            <w:webHidden/>
          </w:rPr>
          <w:tab/>
        </w:r>
        <w:r w:rsidR="00B95F12">
          <w:rPr>
            <w:noProof/>
            <w:webHidden/>
          </w:rPr>
          <w:fldChar w:fldCharType="begin"/>
        </w:r>
        <w:r w:rsidR="00B95F12">
          <w:rPr>
            <w:noProof/>
            <w:webHidden/>
          </w:rPr>
          <w:instrText xml:space="preserve"> PAGEREF _Toc530750136 \h </w:instrText>
        </w:r>
        <w:r w:rsidR="00B95F12">
          <w:rPr>
            <w:noProof/>
            <w:webHidden/>
          </w:rPr>
        </w:r>
        <w:r w:rsidR="00B95F12">
          <w:rPr>
            <w:noProof/>
            <w:webHidden/>
          </w:rPr>
          <w:fldChar w:fldCharType="separate"/>
        </w:r>
        <w:r w:rsidR="00B95F12">
          <w:rPr>
            <w:noProof/>
            <w:webHidden/>
          </w:rPr>
          <w:t>23</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37" w:history="1">
        <w:r w:rsidR="00B95F12" w:rsidRPr="009B56A1">
          <w:rPr>
            <w:rStyle w:val="Hyperlink"/>
            <w:noProof/>
          </w:rPr>
          <w:t>9.5</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137 “Future networks deployment in developing countries”</w:t>
        </w:r>
        <w:r w:rsidR="00B95F12">
          <w:rPr>
            <w:noProof/>
            <w:webHidden/>
          </w:rPr>
          <w:tab/>
        </w:r>
        <w:r w:rsidR="00B95F12">
          <w:rPr>
            <w:noProof/>
            <w:webHidden/>
          </w:rPr>
          <w:fldChar w:fldCharType="begin"/>
        </w:r>
        <w:r w:rsidR="00B95F12">
          <w:rPr>
            <w:noProof/>
            <w:webHidden/>
          </w:rPr>
          <w:instrText xml:space="preserve"> PAGEREF _Toc530750137 \h </w:instrText>
        </w:r>
        <w:r w:rsidR="00B95F12">
          <w:rPr>
            <w:noProof/>
            <w:webHidden/>
          </w:rPr>
        </w:r>
        <w:r w:rsidR="00B95F12">
          <w:rPr>
            <w:noProof/>
            <w:webHidden/>
          </w:rPr>
          <w:fldChar w:fldCharType="separate"/>
        </w:r>
        <w:r w:rsidR="00B95F12">
          <w:rPr>
            <w:noProof/>
            <w:webHidden/>
          </w:rPr>
          <w:t>23</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38" w:history="1">
        <w:r w:rsidR="00B95F12" w:rsidRPr="009B56A1">
          <w:rPr>
            <w:rStyle w:val="Hyperlink"/>
            <w:noProof/>
          </w:rPr>
          <w:t>9.6</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139 “Bridge the digital divide, inclusive information society”</w:t>
        </w:r>
        <w:r w:rsidR="00B95F12">
          <w:rPr>
            <w:noProof/>
            <w:webHidden/>
          </w:rPr>
          <w:tab/>
        </w:r>
        <w:r w:rsidR="00B95F12">
          <w:rPr>
            <w:noProof/>
            <w:webHidden/>
          </w:rPr>
          <w:fldChar w:fldCharType="begin"/>
        </w:r>
        <w:r w:rsidR="00B95F12">
          <w:rPr>
            <w:noProof/>
            <w:webHidden/>
          </w:rPr>
          <w:instrText xml:space="preserve"> PAGEREF _Toc530750138 \h </w:instrText>
        </w:r>
        <w:r w:rsidR="00B95F12">
          <w:rPr>
            <w:noProof/>
            <w:webHidden/>
          </w:rPr>
        </w:r>
        <w:r w:rsidR="00B95F12">
          <w:rPr>
            <w:noProof/>
            <w:webHidden/>
          </w:rPr>
          <w:fldChar w:fldCharType="separate"/>
        </w:r>
        <w:r w:rsidR="00B95F12">
          <w:rPr>
            <w:noProof/>
            <w:webHidden/>
          </w:rPr>
          <w:t>23</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39" w:history="1">
        <w:r w:rsidR="00B95F12" w:rsidRPr="009B56A1">
          <w:rPr>
            <w:rStyle w:val="Hyperlink"/>
            <w:noProof/>
          </w:rPr>
          <w:t>9.7</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201 “Creating an enabling environment for the deployment and use of information and communication technology applications”</w:t>
        </w:r>
        <w:r w:rsidR="00B95F12">
          <w:rPr>
            <w:noProof/>
            <w:webHidden/>
          </w:rPr>
          <w:tab/>
        </w:r>
        <w:r w:rsidR="00B95F12">
          <w:rPr>
            <w:noProof/>
            <w:webHidden/>
          </w:rPr>
          <w:fldChar w:fldCharType="begin"/>
        </w:r>
        <w:r w:rsidR="00B95F12">
          <w:rPr>
            <w:noProof/>
            <w:webHidden/>
          </w:rPr>
          <w:instrText xml:space="preserve"> PAGEREF _Toc530750139 \h </w:instrText>
        </w:r>
        <w:r w:rsidR="00B95F12">
          <w:rPr>
            <w:noProof/>
            <w:webHidden/>
          </w:rPr>
        </w:r>
        <w:r w:rsidR="00B95F12">
          <w:rPr>
            <w:noProof/>
            <w:webHidden/>
          </w:rPr>
          <w:fldChar w:fldCharType="separate"/>
        </w:r>
        <w:r w:rsidR="00B95F12">
          <w:rPr>
            <w:noProof/>
            <w:webHidden/>
          </w:rPr>
          <w:t>23</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40" w:history="1">
        <w:r w:rsidR="00B95F12" w:rsidRPr="009B56A1">
          <w:rPr>
            <w:rStyle w:val="Hyperlink"/>
            <w:noProof/>
          </w:rPr>
          <w:t>9.8</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203 “Connectivity to broadband networks”</w:t>
        </w:r>
        <w:r w:rsidR="00B95F12">
          <w:rPr>
            <w:noProof/>
            <w:webHidden/>
          </w:rPr>
          <w:tab/>
        </w:r>
        <w:r w:rsidR="00B95F12">
          <w:rPr>
            <w:noProof/>
            <w:webHidden/>
          </w:rPr>
          <w:fldChar w:fldCharType="begin"/>
        </w:r>
        <w:r w:rsidR="00B95F12">
          <w:rPr>
            <w:noProof/>
            <w:webHidden/>
          </w:rPr>
          <w:instrText xml:space="preserve"> PAGEREF _Toc530750140 \h </w:instrText>
        </w:r>
        <w:r w:rsidR="00B95F12">
          <w:rPr>
            <w:noProof/>
            <w:webHidden/>
          </w:rPr>
        </w:r>
        <w:r w:rsidR="00B95F12">
          <w:rPr>
            <w:noProof/>
            <w:webHidden/>
          </w:rPr>
          <w:fldChar w:fldCharType="separate"/>
        </w:r>
        <w:r w:rsidR="00B95F12">
          <w:rPr>
            <w:noProof/>
            <w:webHidden/>
          </w:rPr>
          <w:t>23</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41" w:history="1">
        <w:r w:rsidR="00B95F12" w:rsidRPr="009B56A1">
          <w:rPr>
            <w:rStyle w:val="Hyperlink"/>
            <w:noProof/>
          </w:rPr>
          <w:t>9.9</w:t>
        </w:r>
        <w:r w:rsidR="00B95F12">
          <w:rPr>
            <w:rFonts w:asciiTheme="minorHAnsi" w:eastAsiaTheme="minorEastAsia" w:hAnsiTheme="minorHAnsi" w:cstheme="minorBidi"/>
            <w:noProof/>
            <w:sz w:val="22"/>
            <w:szCs w:val="22"/>
            <w:lang w:eastAsia="zh-CN"/>
          </w:rPr>
          <w:tab/>
        </w:r>
        <w:r w:rsidR="00B95F12" w:rsidRPr="009B56A1">
          <w:rPr>
            <w:rStyle w:val="Hyperlink"/>
            <w:noProof/>
          </w:rPr>
          <w:t>New Resolution WGPL/1 “Use of information and communication technologies to bridge the financial inclusion gap –ITU and ITU-T study groups to study financial inclusion for developing countries”</w:t>
        </w:r>
        <w:r w:rsidR="00B95F12">
          <w:rPr>
            <w:noProof/>
            <w:webHidden/>
          </w:rPr>
          <w:tab/>
        </w:r>
        <w:r w:rsidR="00B95F12">
          <w:rPr>
            <w:noProof/>
            <w:webHidden/>
          </w:rPr>
          <w:fldChar w:fldCharType="begin"/>
        </w:r>
        <w:r w:rsidR="00B95F12">
          <w:rPr>
            <w:noProof/>
            <w:webHidden/>
          </w:rPr>
          <w:instrText xml:space="preserve"> PAGEREF _Toc530750141 \h </w:instrText>
        </w:r>
        <w:r w:rsidR="00B95F12">
          <w:rPr>
            <w:noProof/>
            <w:webHidden/>
          </w:rPr>
        </w:r>
        <w:r w:rsidR="00B95F12">
          <w:rPr>
            <w:noProof/>
            <w:webHidden/>
          </w:rPr>
          <w:fldChar w:fldCharType="separate"/>
        </w:r>
        <w:r w:rsidR="00B95F12">
          <w:rPr>
            <w:noProof/>
            <w:webHidden/>
          </w:rPr>
          <w:t>24</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42" w:history="1">
        <w:r w:rsidR="00B95F12" w:rsidRPr="009B56A1">
          <w:rPr>
            <w:rStyle w:val="Hyperlink"/>
            <w:noProof/>
          </w:rPr>
          <w:t>9.10</w:t>
        </w:r>
        <w:r w:rsidR="00B95F12">
          <w:rPr>
            <w:rFonts w:asciiTheme="minorHAnsi" w:eastAsiaTheme="minorEastAsia" w:hAnsiTheme="minorHAnsi" w:cstheme="minorBidi"/>
            <w:noProof/>
            <w:sz w:val="22"/>
            <w:szCs w:val="22"/>
            <w:lang w:eastAsia="zh-CN"/>
          </w:rPr>
          <w:tab/>
        </w:r>
        <w:r w:rsidR="00B95F12" w:rsidRPr="009B56A1">
          <w:rPr>
            <w:rStyle w:val="Hyperlink"/>
            <w:noProof/>
          </w:rPr>
          <w:t>New Resolution COM6/3 “Measures to improve, promote and strengthen ITU fellowships”</w:t>
        </w:r>
        <w:r w:rsidR="00B95F12">
          <w:rPr>
            <w:noProof/>
            <w:webHidden/>
          </w:rPr>
          <w:tab/>
        </w:r>
        <w:r w:rsidR="00B95F12">
          <w:rPr>
            <w:noProof/>
            <w:webHidden/>
          </w:rPr>
          <w:fldChar w:fldCharType="begin"/>
        </w:r>
        <w:r w:rsidR="00B95F12">
          <w:rPr>
            <w:noProof/>
            <w:webHidden/>
          </w:rPr>
          <w:instrText xml:space="preserve"> PAGEREF _Toc530750142 \h </w:instrText>
        </w:r>
        <w:r w:rsidR="00B95F12">
          <w:rPr>
            <w:noProof/>
            <w:webHidden/>
          </w:rPr>
        </w:r>
        <w:r w:rsidR="00B95F12">
          <w:rPr>
            <w:noProof/>
            <w:webHidden/>
          </w:rPr>
          <w:fldChar w:fldCharType="separate"/>
        </w:r>
        <w:r w:rsidR="00B95F12">
          <w:rPr>
            <w:noProof/>
            <w:webHidden/>
          </w:rPr>
          <w:t>24</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43" w:history="1">
        <w:r w:rsidR="00B95F12" w:rsidRPr="009B56A1">
          <w:rPr>
            <w:rStyle w:val="Hyperlink"/>
            <w:noProof/>
          </w:rPr>
          <w:t>9.11</w:t>
        </w:r>
        <w:r w:rsidR="00B95F12">
          <w:rPr>
            <w:rFonts w:asciiTheme="minorHAnsi" w:eastAsiaTheme="minorEastAsia" w:hAnsiTheme="minorHAnsi" w:cstheme="minorBidi"/>
            <w:noProof/>
            <w:sz w:val="22"/>
            <w:szCs w:val="22"/>
            <w:lang w:eastAsia="zh-CN"/>
          </w:rPr>
          <w:tab/>
        </w:r>
        <w:r w:rsidR="00B95F12" w:rsidRPr="009B56A1">
          <w:rPr>
            <w:rStyle w:val="Hyperlink"/>
            <w:noProof/>
          </w:rPr>
          <w:t>New Resolution WGPL/2 “ITU's role in fostering telecommunication/information and communication technology-centric innovation to support the digital economy and society”</w:t>
        </w:r>
        <w:r w:rsidR="00B95F12">
          <w:rPr>
            <w:noProof/>
            <w:webHidden/>
          </w:rPr>
          <w:tab/>
        </w:r>
        <w:r w:rsidR="00B95F12">
          <w:rPr>
            <w:noProof/>
            <w:webHidden/>
          </w:rPr>
          <w:fldChar w:fldCharType="begin"/>
        </w:r>
        <w:r w:rsidR="00B95F12">
          <w:rPr>
            <w:noProof/>
            <w:webHidden/>
          </w:rPr>
          <w:instrText xml:space="preserve"> PAGEREF _Toc530750143 \h </w:instrText>
        </w:r>
        <w:r w:rsidR="00B95F12">
          <w:rPr>
            <w:noProof/>
            <w:webHidden/>
          </w:rPr>
        </w:r>
        <w:r w:rsidR="00B95F12">
          <w:rPr>
            <w:noProof/>
            <w:webHidden/>
          </w:rPr>
          <w:fldChar w:fldCharType="separate"/>
        </w:r>
        <w:r w:rsidR="00B95F12">
          <w:rPr>
            <w:noProof/>
            <w:webHidden/>
          </w:rPr>
          <w:t>24</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44" w:history="1">
        <w:r w:rsidR="00B95F12" w:rsidRPr="009B56A1">
          <w:rPr>
            <w:rStyle w:val="Hyperlink"/>
            <w:noProof/>
          </w:rPr>
          <w:t>9.12</w:t>
        </w:r>
        <w:r w:rsidR="00B95F12">
          <w:rPr>
            <w:rFonts w:asciiTheme="minorHAnsi" w:eastAsiaTheme="minorEastAsia" w:hAnsiTheme="minorHAnsi" w:cstheme="minorBidi"/>
            <w:noProof/>
            <w:sz w:val="22"/>
            <w:szCs w:val="22"/>
            <w:lang w:eastAsia="zh-CN"/>
          </w:rPr>
          <w:tab/>
        </w:r>
        <w:r w:rsidR="00B95F12" w:rsidRPr="009B56A1">
          <w:rPr>
            <w:rStyle w:val="Hyperlink"/>
            <w:noProof/>
          </w:rPr>
          <w:t>New Resolution COM6/1 Support for the Iraqi Du3M 2025 initiative for advancement of the telecommunication and information technology sectors”</w:t>
        </w:r>
        <w:r w:rsidR="00B95F12">
          <w:rPr>
            <w:noProof/>
            <w:webHidden/>
          </w:rPr>
          <w:tab/>
        </w:r>
        <w:r w:rsidR="00B95F12">
          <w:rPr>
            <w:noProof/>
            <w:webHidden/>
          </w:rPr>
          <w:fldChar w:fldCharType="begin"/>
        </w:r>
        <w:r w:rsidR="00B95F12">
          <w:rPr>
            <w:noProof/>
            <w:webHidden/>
          </w:rPr>
          <w:instrText xml:space="preserve"> PAGEREF _Toc530750144 \h </w:instrText>
        </w:r>
        <w:r w:rsidR="00B95F12">
          <w:rPr>
            <w:noProof/>
            <w:webHidden/>
          </w:rPr>
        </w:r>
        <w:r w:rsidR="00B95F12">
          <w:rPr>
            <w:noProof/>
            <w:webHidden/>
          </w:rPr>
          <w:fldChar w:fldCharType="separate"/>
        </w:r>
        <w:r w:rsidR="00B95F12">
          <w:rPr>
            <w:noProof/>
            <w:webHidden/>
          </w:rPr>
          <w:t>24</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45" w:history="1">
        <w:r w:rsidR="00B95F12" w:rsidRPr="009B56A1">
          <w:rPr>
            <w:rStyle w:val="Hyperlink"/>
            <w:noProof/>
          </w:rPr>
          <w:t>9.13</w:t>
        </w:r>
        <w:r w:rsidR="00B95F12">
          <w:rPr>
            <w:rFonts w:asciiTheme="minorHAnsi" w:eastAsiaTheme="minorEastAsia" w:hAnsiTheme="minorHAnsi" w:cstheme="minorBidi"/>
            <w:noProof/>
            <w:sz w:val="22"/>
            <w:szCs w:val="22"/>
            <w:lang w:eastAsia="zh-CN"/>
          </w:rPr>
          <w:tab/>
        </w:r>
        <w:r w:rsidR="00B95F12" w:rsidRPr="009B56A1">
          <w:rPr>
            <w:rStyle w:val="Hyperlink"/>
            <w:noProof/>
          </w:rPr>
          <w:t>Resolution 128 “Support for the Agenda for Connectivity in the Americas and Quito Action Plan”</w:t>
        </w:r>
        <w:r w:rsidR="00B95F12">
          <w:rPr>
            <w:noProof/>
            <w:webHidden/>
          </w:rPr>
          <w:tab/>
        </w:r>
        <w:r w:rsidR="00B95F12">
          <w:rPr>
            <w:noProof/>
            <w:webHidden/>
          </w:rPr>
          <w:fldChar w:fldCharType="begin"/>
        </w:r>
        <w:r w:rsidR="00B95F12">
          <w:rPr>
            <w:noProof/>
            <w:webHidden/>
          </w:rPr>
          <w:instrText xml:space="preserve"> PAGEREF _Toc530750145 \h </w:instrText>
        </w:r>
        <w:r w:rsidR="00B95F12">
          <w:rPr>
            <w:noProof/>
            <w:webHidden/>
          </w:rPr>
        </w:r>
        <w:r w:rsidR="00B95F12">
          <w:rPr>
            <w:noProof/>
            <w:webHidden/>
          </w:rPr>
          <w:fldChar w:fldCharType="separate"/>
        </w:r>
        <w:r w:rsidR="00B95F12">
          <w:rPr>
            <w:noProof/>
            <w:webHidden/>
          </w:rPr>
          <w:t>25</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46" w:history="1">
        <w:r w:rsidR="00B95F12" w:rsidRPr="009B56A1">
          <w:rPr>
            <w:rStyle w:val="Hyperlink"/>
            <w:noProof/>
          </w:rPr>
          <w:t>10</w:t>
        </w:r>
        <w:r w:rsidR="00B95F12">
          <w:rPr>
            <w:rFonts w:asciiTheme="minorHAnsi" w:eastAsiaTheme="minorEastAsia" w:hAnsiTheme="minorHAnsi" w:cstheme="minorBidi"/>
            <w:noProof/>
            <w:sz w:val="22"/>
            <w:szCs w:val="22"/>
            <w:lang w:eastAsia="zh-CN"/>
          </w:rPr>
          <w:tab/>
        </w:r>
        <w:r w:rsidR="00B95F12" w:rsidRPr="009B56A1">
          <w:rPr>
            <w:rStyle w:val="Hyperlink"/>
            <w:noProof/>
          </w:rPr>
          <w:t>Regional Presence</w:t>
        </w:r>
        <w:r w:rsidR="00B95F12">
          <w:rPr>
            <w:noProof/>
            <w:webHidden/>
          </w:rPr>
          <w:tab/>
        </w:r>
        <w:r w:rsidR="00B95F12">
          <w:rPr>
            <w:noProof/>
            <w:webHidden/>
          </w:rPr>
          <w:fldChar w:fldCharType="begin"/>
        </w:r>
        <w:r w:rsidR="00B95F12">
          <w:rPr>
            <w:noProof/>
            <w:webHidden/>
          </w:rPr>
          <w:instrText xml:space="preserve"> PAGEREF _Toc530750146 \h </w:instrText>
        </w:r>
        <w:r w:rsidR="00B95F12">
          <w:rPr>
            <w:noProof/>
            <w:webHidden/>
          </w:rPr>
        </w:r>
        <w:r w:rsidR="00B95F12">
          <w:rPr>
            <w:noProof/>
            <w:webHidden/>
          </w:rPr>
          <w:fldChar w:fldCharType="separate"/>
        </w:r>
        <w:r w:rsidR="00B95F12">
          <w:rPr>
            <w:noProof/>
            <w:webHidden/>
          </w:rPr>
          <w:t>25</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47" w:history="1">
        <w:r w:rsidR="00B95F12" w:rsidRPr="009B56A1">
          <w:rPr>
            <w:rStyle w:val="Hyperlink"/>
            <w:noProof/>
          </w:rPr>
          <w:t>10.1</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25 “Strengthening the regional presence”</w:t>
        </w:r>
        <w:r w:rsidR="00B95F12">
          <w:rPr>
            <w:noProof/>
            <w:webHidden/>
          </w:rPr>
          <w:tab/>
        </w:r>
        <w:r w:rsidR="00B95F12">
          <w:rPr>
            <w:noProof/>
            <w:webHidden/>
          </w:rPr>
          <w:fldChar w:fldCharType="begin"/>
        </w:r>
        <w:r w:rsidR="00B95F12">
          <w:rPr>
            <w:noProof/>
            <w:webHidden/>
          </w:rPr>
          <w:instrText xml:space="preserve"> PAGEREF _Toc530750147 \h </w:instrText>
        </w:r>
        <w:r w:rsidR="00B95F12">
          <w:rPr>
            <w:noProof/>
            <w:webHidden/>
          </w:rPr>
        </w:r>
        <w:r w:rsidR="00B95F12">
          <w:rPr>
            <w:noProof/>
            <w:webHidden/>
          </w:rPr>
          <w:fldChar w:fldCharType="separate"/>
        </w:r>
        <w:r w:rsidR="00B95F12">
          <w:rPr>
            <w:noProof/>
            <w:webHidden/>
          </w:rPr>
          <w:t>25</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48" w:history="1">
        <w:r w:rsidR="00B95F12" w:rsidRPr="009B56A1">
          <w:rPr>
            <w:rStyle w:val="Hyperlink"/>
            <w:noProof/>
          </w:rPr>
          <w:t>11</w:t>
        </w:r>
        <w:r w:rsidR="00B95F12">
          <w:rPr>
            <w:rFonts w:asciiTheme="minorHAnsi" w:eastAsiaTheme="minorEastAsia" w:hAnsiTheme="minorHAnsi" w:cstheme="minorBidi"/>
            <w:noProof/>
            <w:sz w:val="22"/>
            <w:szCs w:val="22"/>
            <w:lang w:eastAsia="zh-CN"/>
          </w:rPr>
          <w:tab/>
        </w:r>
        <w:r w:rsidR="00B95F12" w:rsidRPr="009B56A1">
          <w:rPr>
            <w:rStyle w:val="Hyperlink"/>
            <w:noProof/>
          </w:rPr>
          <w:t>International Telecommunication Regulations</w:t>
        </w:r>
        <w:r w:rsidR="00B95F12">
          <w:rPr>
            <w:noProof/>
            <w:webHidden/>
          </w:rPr>
          <w:tab/>
        </w:r>
        <w:r w:rsidR="00B95F12">
          <w:rPr>
            <w:noProof/>
            <w:webHidden/>
          </w:rPr>
          <w:fldChar w:fldCharType="begin"/>
        </w:r>
        <w:r w:rsidR="00B95F12">
          <w:rPr>
            <w:noProof/>
            <w:webHidden/>
          </w:rPr>
          <w:instrText xml:space="preserve"> PAGEREF _Toc530750148 \h </w:instrText>
        </w:r>
        <w:r w:rsidR="00B95F12">
          <w:rPr>
            <w:noProof/>
            <w:webHidden/>
          </w:rPr>
        </w:r>
        <w:r w:rsidR="00B95F12">
          <w:rPr>
            <w:noProof/>
            <w:webHidden/>
          </w:rPr>
          <w:fldChar w:fldCharType="separate"/>
        </w:r>
        <w:r w:rsidR="00B95F12">
          <w:rPr>
            <w:noProof/>
            <w:webHidden/>
          </w:rPr>
          <w:t>25</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49" w:history="1">
        <w:r w:rsidR="00B95F12" w:rsidRPr="009B56A1">
          <w:rPr>
            <w:rStyle w:val="Hyperlink"/>
            <w:noProof/>
          </w:rPr>
          <w:t>11.1</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146 “Periodic review and revision of the International Telecommunication Regulations”</w:t>
        </w:r>
        <w:r w:rsidR="00B95F12">
          <w:rPr>
            <w:noProof/>
            <w:webHidden/>
          </w:rPr>
          <w:tab/>
        </w:r>
        <w:r w:rsidR="00B95F12">
          <w:rPr>
            <w:noProof/>
            <w:webHidden/>
          </w:rPr>
          <w:fldChar w:fldCharType="begin"/>
        </w:r>
        <w:r w:rsidR="00B95F12">
          <w:rPr>
            <w:noProof/>
            <w:webHidden/>
          </w:rPr>
          <w:instrText xml:space="preserve"> PAGEREF _Toc530750149 \h </w:instrText>
        </w:r>
        <w:r w:rsidR="00B95F12">
          <w:rPr>
            <w:noProof/>
            <w:webHidden/>
          </w:rPr>
        </w:r>
        <w:r w:rsidR="00B95F12">
          <w:rPr>
            <w:noProof/>
            <w:webHidden/>
          </w:rPr>
          <w:fldChar w:fldCharType="separate"/>
        </w:r>
        <w:r w:rsidR="00B95F12">
          <w:rPr>
            <w:noProof/>
            <w:webHidden/>
          </w:rPr>
          <w:t>25</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50" w:history="1">
        <w:r w:rsidR="00B95F12" w:rsidRPr="009B56A1">
          <w:rPr>
            <w:rStyle w:val="Hyperlink"/>
            <w:noProof/>
          </w:rPr>
          <w:t>12</w:t>
        </w:r>
        <w:r w:rsidR="00B95F12">
          <w:rPr>
            <w:rFonts w:asciiTheme="minorHAnsi" w:eastAsiaTheme="minorEastAsia" w:hAnsiTheme="minorHAnsi" w:cstheme="minorBidi"/>
            <w:noProof/>
            <w:sz w:val="22"/>
            <w:szCs w:val="22"/>
            <w:lang w:eastAsia="zh-CN"/>
          </w:rPr>
          <w:tab/>
        </w:r>
        <w:r w:rsidR="00B95F12" w:rsidRPr="009B56A1">
          <w:rPr>
            <w:rStyle w:val="Hyperlink"/>
            <w:noProof/>
          </w:rPr>
          <w:t>Internet-related Resolutions</w:t>
        </w:r>
        <w:r w:rsidR="00B95F12">
          <w:rPr>
            <w:noProof/>
            <w:webHidden/>
          </w:rPr>
          <w:tab/>
        </w:r>
        <w:r w:rsidR="00B95F12">
          <w:rPr>
            <w:noProof/>
            <w:webHidden/>
          </w:rPr>
          <w:fldChar w:fldCharType="begin"/>
        </w:r>
        <w:r w:rsidR="00B95F12">
          <w:rPr>
            <w:noProof/>
            <w:webHidden/>
          </w:rPr>
          <w:instrText xml:space="preserve"> PAGEREF _Toc530750150 \h </w:instrText>
        </w:r>
        <w:r w:rsidR="00B95F12">
          <w:rPr>
            <w:noProof/>
            <w:webHidden/>
          </w:rPr>
        </w:r>
        <w:r w:rsidR="00B95F12">
          <w:rPr>
            <w:noProof/>
            <w:webHidden/>
          </w:rPr>
          <w:fldChar w:fldCharType="separate"/>
        </w:r>
        <w:r w:rsidR="00B95F12">
          <w:rPr>
            <w:noProof/>
            <w:webHidden/>
          </w:rPr>
          <w:t>25</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51" w:history="1">
        <w:r w:rsidR="00B95F12" w:rsidRPr="009B56A1">
          <w:rPr>
            <w:rStyle w:val="Hyperlink"/>
            <w:noProof/>
          </w:rPr>
          <w:t>12.1</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101 “Internet Protocol-based networks”</w:t>
        </w:r>
        <w:r w:rsidR="00B95F12">
          <w:rPr>
            <w:noProof/>
            <w:webHidden/>
          </w:rPr>
          <w:tab/>
        </w:r>
        <w:r w:rsidR="00B95F12">
          <w:rPr>
            <w:noProof/>
            <w:webHidden/>
          </w:rPr>
          <w:fldChar w:fldCharType="begin"/>
        </w:r>
        <w:r w:rsidR="00B95F12">
          <w:rPr>
            <w:noProof/>
            <w:webHidden/>
          </w:rPr>
          <w:instrText xml:space="preserve"> PAGEREF _Toc530750151 \h </w:instrText>
        </w:r>
        <w:r w:rsidR="00B95F12">
          <w:rPr>
            <w:noProof/>
            <w:webHidden/>
          </w:rPr>
        </w:r>
        <w:r w:rsidR="00B95F12">
          <w:rPr>
            <w:noProof/>
            <w:webHidden/>
          </w:rPr>
          <w:fldChar w:fldCharType="separate"/>
        </w:r>
        <w:r w:rsidR="00B95F12">
          <w:rPr>
            <w:noProof/>
            <w:webHidden/>
          </w:rPr>
          <w:t>25</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52" w:history="1">
        <w:r w:rsidR="00B95F12" w:rsidRPr="009B56A1">
          <w:rPr>
            <w:rStyle w:val="Hyperlink"/>
            <w:noProof/>
          </w:rPr>
          <w:t>12.2</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102 “ITU's role with regard to international public policy issues pertaining to the Internet and the management of Internet resources, including domain names and addresses”</w:t>
        </w:r>
        <w:r w:rsidR="00B95F12">
          <w:rPr>
            <w:noProof/>
            <w:webHidden/>
          </w:rPr>
          <w:tab/>
        </w:r>
        <w:r w:rsidR="00B95F12">
          <w:rPr>
            <w:noProof/>
            <w:webHidden/>
          </w:rPr>
          <w:fldChar w:fldCharType="begin"/>
        </w:r>
        <w:r w:rsidR="00B95F12">
          <w:rPr>
            <w:noProof/>
            <w:webHidden/>
          </w:rPr>
          <w:instrText xml:space="preserve"> PAGEREF _Toc530750152 \h </w:instrText>
        </w:r>
        <w:r w:rsidR="00B95F12">
          <w:rPr>
            <w:noProof/>
            <w:webHidden/>
          </w:rPr>
        </w:r>
        <w:r w:rsidR="00B95F12">
          <w:rPr>
            <w:noProof/>
            <w:webHidden/>
          </w:rPr>
          <w:fldChar w:fldCharType="separate"/>
        </w:r>
        <w:r w:rsidR="00B95F12">
          <w:rPr>
            <w:noProof/>
            <w:webHidden/>
          </w:rPr>
          <w:t>25</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53" w:history="1">
        <w:r w:rsidR="00B95F12" w:rsidRPr="009B56A1">
          <w:rPr>
            <w:rStyle w:val="Hyperlink"/>
            <w:noProof/>
          </w:rPr>
          <w:t>12.3</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133 “Role of administrations of Member States in the management of internationalized (multilingual) domain names”</w:t>
        </w:r>
        <w:r w:rsidR="00B95F12">
          <w:rPr>
            <w:noProof/>
            <w:webHidden/>
          </w:rPr>
          <w:tab/>
        </w:r>
        <w:r w:rsidR="00B95F12">
          <w:rPr>
            <w:noProof/>
            <w:webHidden/>
          </w:rPr>
          <w:fldChar w:fldCharType="begin"/>
        </w:r>
        <w:r w:rsidR="00B95F12">
          <w:rPr>
            <w:noProof/>
            <w:webHidden/>
          </w:rPr>
          <w:instrText xml:space="preserve"> PAGEREF _Toc530750153 \h </w:instrText>
        </w:r>
        <w:r w:rsidR="00B95F12">
          <w:rPr>
            <w:noProof/>
            <w:webHidden/>
          </w:rPr>
        </w:r>
        <w:r w:rsidR="00B95F12">
          <w:rPr>
            <w:noProof/>
            <w:webHidden/>
          </w:rPr>
          <w:fldChar w:fldCharType="separate"/>
        </w:r>
        <w:r w:rsidR="00B95F12">
          <w:rPr>
            <w:noProof/>
            <w:webHidden/>
          </w:rPr>
          <w:t>25</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54" w:history="1">
        <w:r w:rsidR="00B95F12" w:rsidRPr="009B56A1">
          <w:rPr>
            <w:rStyle w:val="Hyperlink"/>
            <w:noProof/>
          </w:rPr>
          <w:t>12.4</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180 “Promoting deployment and adoption of IPv6 to facilitate the transition from IPv4 to IPv6”</w:t>
        </w:r>
        <w:r w:rsidR="00B95F12">
          <w:rPr>
            <w:noProof/>
            <w:webHidden/>
          </w:rPr>
          <w:tab/>
        </w:r>
        <w:r w:rsidR="00B95F12">
          <w:rPr>
            <w:noProof/>
            <w:webHidden/>
          </w:rPr>
          <w:fldChar w:fldCharType="begin"/>
        </w:r>
        <w:r w:rsidR="00B95F12">
          <w:rPr>
            <w:noProof/>
            <w:webHidden/>
          </w:rPr>
          <w:instrText xml:space="preserve"> PAGEREF _Toc530750154 \h </w:instrText>
        </w:r>
        <w:r w:rsidR="00B95F12">
          <w:rPr>
            <w:noProof/>
            <w:webHidden/>
          </w:rPr>
        </w:r>
        <w:r w:rsidR="00B95F12">
          <w:rPr>
            <w:noProof/>
            <w:webHidden/>
          </w:rPr>
          <w:fldChar w:fldCharType="separate"/>
        </w:r>
        <w:r w:rsidR="00B95F12">
          <w:rPr>
            <w:noProof/>
            <w:webHidden/>
          </w:rPr>
          <w:t>25</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55" w:history="1">
        <w:r w:rsidR="00B95F12" w:rsidRPr="009B56A1">
          <w:rPr>
            <w:rStyle w:val="Hyperlink"/>
            <w:noProof/>
          </w:rPr>
          <w:t>12.5</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197 “Facilitating the Internet of Things and smart sustainable cities and communities”</w:t>
        </w:r>
        <w:r w:rsidR="00B95F12">
          <w:rPr>
            <w:noProof/>
            <w:webHidden/>
          </w:rPr>
          <w:tab/>
        </w:r>
        <w:r w:rsidR="00B95F12">
          <w:rPr>
            <w:noProof/>
            <w:webHidden/>
          </w:rPr>
          <w:fldChar w:fldCharType="begin"/>
        </w:r>
        <w:r w:rsidR="00B95F12">
          <w:rPr>
            <w:noProof/>
            <w:webHidden/>
          </w:rPr>
          <w:instrText xml:space="preserve"> PAGEREF _Toc530750155 \h </w:instrText>
        </w:r>
        <w:r w:rsidR="00B95F12">
          <w:rPr>
            <w:noProof/>
            <w:webHidden/>
          </w:rPr>
        </w:r>
        <w:r w:rsidR="00B95F12">
          <w:rPr>
            <w:noProof/>
            <w:webHidden/>
          </w:rPr>
          <w:fldChar w:fldCharType="separate"/>
        </w:r>
        <w:r w:rsidR="00B95F12">
          <w:rPr>
            <w:noProof/>
            <w:webHidden/>
          </w:rPr>
          <w:t>26</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56" w:history="1">
        <w:r w:rsidR="00B95F12" w:rsidRPr="009B56A1">
          <w:rPr>
            <w:rStyle w:val="Hyperlink"/>
            <w:noProof/>
          </w:rPr>
          <w:t>12.6</w:t>
        </w:r>
        <w:r w:rsidR="00B95F12">
          <w:rPr>
            <w:rFonts w:asciiTheme="minorHAnsi" w:eastAsiaTheme="minorEastAsia" w:hAnsiTheme="minorHAnsi" w:cstheme="minorBidi"/>
            <w:noProof/>
            <w:sz w:val="22"/>
            <w:szCs w:val="22"/>
            <w:lang w:eastAsia="zh-CN"/>
          </w:rPr>
          <w:tab/>
        </w:r>
        <w:r w:rsidR="00B95F12" w:rsidRPr="009B56A1">
          <w:rPr>
            <w:rStyle w:val="Hyperlink"/>
            <w:noProof/>
          </w:rPr>
          <w:t>New Resolution WGPL/3 “OTTs”</w:t>
        </w:r>
        <w:r w:rsidR="00B95F12">
          <w:rPr>
            <w:noProof/>
            <w:webHidden/>
          </w:rPr>
          <w:tab/>
        </w:r>
        <w:r w:rsidR="00B95F12">
          <w:rPr>
            <w:noProof/>
            <w:webHidden/>
          </w:rPr>
          <w:fldChar w:fldCharType="begin"/>
        </w:r>
        <w:r w:rsidR="00B95F12">
          <w:rPr>
            <w:noProof/>
            <w:webHidden/>
          </w:rPr>
          <w:instrText xml:space="preserve"> PAGEREF _Toc530750156 \h </w:instrText>
        </w:r>
        <w:r w:rsidR="00B95F12">
          <w:rPr>
            <w:noProof/>
            <w:webHidden/>
          </w:rPr>
        </w:r>
        <w:r w:rsidR="00B95F12">
          <w:rPr>
            <w:noProof/>
            <w:webHidden/>
          </w:rPr>
          <w:fldChar w:fldCharType="separate"/>
        </w:r>
        <w:r w:rsidR="00B95F12">
          <w:rPr>
            <w:noProof/>
            <w:webHidden/>
          </w:rPr>
          <w:t>26</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57" w:history="1">
        <w:r w:rsidR="00B95F12" w:rsidRPr="009B56A1">
          <w:rPr>
            <w:rStyle w:val="Hyperlink"/>
            <w:noProof/>
          </w:rPr>
          <w:t>13</w:t>
        </w:r>
        <w:r w:rsidR="00B95F12">
          <w:rPr>
            <w:rFonts w:asciiTheme="minorHAnsi" w:eastAsiaTheme="minorEastAsia" w:hAnsiTheme="minorHAnsi" w:cstheme="minorBidi"/>
            <w:noProof/>
            <w:sz w:val="22"/>
            <w:szCs w:val="22"/>
            <w:lang w:eastAsia="zh-CN"/>
          </w:rPr>
          <w:tab/>
        </w:r>
        <w:r w:rsidR="00B95F12" w:rsidRPr="009B56A1">
          <w:rPr>
            <w:rStyle w:val="Hyperlink"/>
            <w:noProof/>
          </w:rPr>
          <w:t>Cybersecurity</w:t>
        </w:r>
        <w:r w:rsidR="00B95F12">
          <w:rPr>
            <w:noProof/>
            <w:webHidden/>
          </w:rPr>
          <w:tab/>
        </w:r>
        <w:r w:rsidR="00B95F12">
          <w:rPr>
            <w:noProof/>
            <w:webHidden/>
          </w:rPr>
          <w:fldChar w:fldCharType="begin"/>
        </w:r>
        <w:r w:rsidR="00B95F12">
          <w:rPr>
            <w:noProof/>
            <w:webHidden/>
          </w:rPr>
          <w:instrText xml:space="preserve"> PAGEREF _Toc530750157 \h </w:instrText>
        </w:r>
        <w:r w:rsidR="00B95F12">
          <w:rPr>
            <w:noProof/>
            <w:webHidden/>
          </w:rPr>
        </w:r>
        <w:r w:rsidR="00B95F12">
          <w:rPr>
            <w:noProof/>
            <w:webHidden/>
          </w:rPr>
          <w:fldChar w:fldCharType="separate"/>
        </w:r>
        <w:r w:rsidR="00B95F12">
          <w:rPr>
            <w:noProof/>
            <w:webHidden/>
          </w:rPr>
          <w:t>26</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58" w:history="1">
        <w:r w:rsidR="00B95F12" w:rsidRPr="009B56A1">
          <w:rPr>
            <w:rStyle w:val="Hyperlink"/>
            <w:noProof/>
          </w:rPr>
          <w:t>13.1</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130 “Strengthening the role of ITU in building confidence and security in the use of ICTs”</w:t>
        </w:r>
        <w:r w:rsidR="00B95F12">
          <w:rPr>
            <w:noProof/>
            <w:webHidden/>
          </w:rPr>
          <w:tab/>
        </w:r>
        <w:r w:rsidR="00B95F12">
          <w:rPr>
            <w:noProof/>
            <w:webHidden/>
          </w:rPr>
          <w:fldChar w:fldCharType="begin"/>
        </w:r>
        <w:r w:rsidR="00B95F12">
          <w:rPr>
            <w:noProof/>
            <w:webHidden/>
          </w:rPr>
          <w:instrText xml:space="preserve"> PAGEREF _Toc530750158 \h </w:instrText>
        </w:r>
        <w:r w:rsidR="00B95F12">
          <w:rPr>
            <w:noProof/>
            <w:webHidden/>
          </w:rPr>
        </w:r>
        <w:r w:rsidR="00B95F12">
          <w:rPr>
            <w:noProof/>
            <w:webHidden/>
          </w:rPr>
          <w:fldChar w:fldCharType="separate"/>
        </w:r>
        <w:r w:rsidR="00B95F12">
          <w:rPr>
            <w:noProof/>
            <w:webHidden/>
          </w:rPr>
          <w:t>26</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59" w:history="1">
        <w:r w:rsidR="00B95F12" w:rsidRPr="009B56A1">
          <w:rPr>
            <w:rStyle w:val="Hyperlink"/>
            <w:noProof/>
          </w:rPr>
          <w:t>13.2</w:t>
        </w:r>
        <w:r w:rsidR="00B95F12">
          <w:rPr>
            <w:rFonts w:asciiTheme="minorHAnsi" w:eastAsiaTheme="minorEastAsia" w:hAnsiTheme="minorHAnsi" w:cstheme="minorBidi"/>
            <w:noProof/>
            <w:sz w:val="22"/>
            <w:szCs w:val="22"/>
            <w:lang w:eastAsia="zh-CN"/>
          </w:rPr>
          <w:tab/>
        </w:r>
        <w:r w:rsidR="00B95F12" w:rsidRPr="009B56A1">
          <w:rPr>
            <w:rStyle w:val="Hyperlink"/>
            <w:noProof/>
          </w:rPr>
          <w:t>Resolution 174 “ITU’s role with regard to international public policy issues relating to the risk of illicit use of information and communication technologies”</w:t>
        </w:r>
        <w:r w:rsidR="00B95F12">
          <w:rPr>
            <w:noProof/>
            <w:webHidden/>
          </w:rPr>
          <w:tab/>
        </w:r>
        <w:r w:rsidR="00B95F12">
          <w:rPr>
            <w:noProof/>
            <w:webHidden/>
          </w:rPr>
          <w:fldChar w:fldCharType="begin"/>
        </w:r>
        <w:r w:rsidR="00B95F12">
          <w:rPr>
            <w:noProof/>
            <w:webHidden/>
          </w:rPr>
          <w:instrText xml:space="preserve"> PAGEREF _Toc530750159 \h </w:instrText>
        </w:r>
        <w:r w:rsidR="00B95F12">
          <w:rPr>
            <w:noProof/>
            <w:webHidden/>
          </w:rPr>
        </w:r>
        <w:r w:rsidR="00B95F12">
          <w:rPr>
            <w:noProof/>
            <w:webHidden/>
          </w:rPr>
          <w:fldChar w:fldCharType="separate"/>
        </w:r>
        <w:r w:rsidR="00B95F12">
          <w:rPr>
            <w:noProof/>
            <w:webHidden/>
          </w:rPr>
          <w:t>26</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60" w:history="1">
        <w:r w:rsidR="00B95F12" w:rsidRPr="009B56A1">
          <w:rPr>
            <w:rStyle w:val="Hyperlink"/>
            <w:noProof/>
          </w:rPr>
          <w:t>13</w:t>
        </w:r>
        <w:r w:rsidR="00B95F12">
          <w:rPr>
            <w:rFonts w:asciiTheme="minorHAnsi" w:eastAsiaTheme="minorEastAsia" w:hAnsiTheme="minorHAnsi" w:cstheme="minorBidi"/>
            <w:noProof/>
            <w:sz w:val="22"/>
            <w:szCs w:val="22"/>
            <w:lang w:eastAsia="zh-CN"/>
          </w:rPr>
          <w:tab/>
        </w:r>
        <w:r w:rsidR="00B95F12" w:rsidRPr="009B56A1">
          <w:rPr>
            <w:rStyle w:val="Hyperlink"/>
            <w:noProof/>
          </w:rPr>
          <w:t>Disaster relief and early warning, health-related emergencies</w:t>
        </w:r>
        <w:r w:rsidR="00B95F12">
          <w:rPr>
            <w:noProof/>
            <w:webHidden/>
          </w:rPr>
          <w:tab/>
        </w:r>
        <w:r w:rsidR="00B95F12">
          <w:rPr>
            <w:noProof/>
            <w:webHidden/>
          </w:rPr>
          <w:fldChar w:fldCharType="begin"/>
        </w:r>
        <w:r w:rsidR="00B95F12">
          <w:rPr>
            <w:noProof/>
            <w:webHidden/>
          </w:rPr>
          <w:instrText xml:space="preserve"> PAGEREF _Toc530750160 \h </w:instrText>
        </w:r>
        <w:r w:rsidR="00B95F12">
          <w:rPr>
            <w:noProof/>
            <w:webHidden/>
          </w:rPr>
        </w:r>
        <w:r w:rsidR="00B95F12">
          <w:rPr>
            <w:noProof/>
            <w:webHidden/>
          </w:rPr>
          <w:fldChar w:fldCharType="separate"/>
        </w:r>
        <w:r w:rsidR="00B95F12">
          <w:rPr>
            <w:noProof/>
            <w:webHidden/>
          </w:rPr>
          <w:t>26</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61" w:history="1">
        <w:r w:rsidR="00B95F12" w:rsidRPr="009B56A1">
          <w:rPr>
            <w:rStyle w:val="Hyperlink"/>
            <w:noProof/>
          </w:rPr>
          <w:t>14.1</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136 “The use of telecommunications/information and communication technologies for humanitarian assistance and for monitoring and management in emergency and disaster situations, including health-related emergencies, for early warning, prevention, mitigation and relief”</w:t>
        </w:r>
        <w:r w:rsidR="00B95F12">
          <w:rPr>
            <w:noProof/>
            <w:webHidden/>
          </w:rPr>
          <w:tab/>
        </w:r>
        <w:r w:rsidR="00B95F12">
          <w:rPr>
            <w:noProof/>
            <w:webHidden/>
          </w:rPr>
          <w:fldChar w:fldCharType="begin"/>
        </w:r>
        <w:r w:rsidR="00B95F12">
          <w:rPr>
            <w:noProof/>
            <w:webHidden/>
          </w:rPr>
          <w:instrText xml:space="preserve"> PAGEREF _Toc530750161 \h </w:instrText>
        </w:r>
        <w:r w:rsidR="00B95F12">
          <w:rPr>
            <w:noProof/>
            <w:webHidden/>
          </w:rPr>
        </w:r>
        <w:r w:rsidR="00B95F12">
          <w:rPr>
            <w:noProof/>
            <w:webHidden/>
          </w:rPr>
          <w:fldChar w:fldCharType="separate"/>
        </w:r>
        <w:r w:rsidR="00B95F12">
          <w:rPr>
            <w:noProof/>
            <w:webHidden/>
          </w:rPr>
          <w:t>26</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62" w:history="1">
        <w:r w:rsidR="00B95F12" w:rsidRPr="009B56A1">
          <w:rPr>
            <w:rStyle w:val="Hyperlink"/>
            <w:noProof/>
          </w:rPr>
          <w:t>15</w:t>
        </w:r>
        <w:r w:rsidR="00B95F12">
          <w:rPr>
            <w:rFonts w:asciiTheme="minorHAnsi" w:eastAsiaTheme="minorEastAsia" w:hAnsiTheme="minorHAnsi" w:cstheme="minorBidi"/>
            <w:noProof/>
            <w:sz w:val="22"/>
            <w:szCs w:val="22"/>
            <w:lang w:eastAsia="zh-CN"/>
          </w:rPr>
          <w:tab/>
        </w:r>
        <w:r w:rsidR="00B95F12" w:rsidRPr="009B56A1">
          <w:rPr>
            <w:rStyle w:val="Hyperlink"/>
            <w:noProof/>
          </w:rPr>
          <w:t>Global flight tracking</w:t>
        </w:r>
        <w:r w:rsidR="00B95F12">
          <w:rPr>
            <w:noProof/>
            <w:webHidden/>
          </w:rPr>
          <w:tab/>
        </w:r>
        <w:r w:rsidR="00B95F12">
          <w:rPr>
            <w:noProof/>
            <w:webHidden/>
          </w:rPr>
          <w:fldChar w:fldCharType="begin"/>
        </w:r>
        <w:r w:rsidR="00B95F12">
          <w:rPr>
            <w:noProof/>
            <w:webHidden/>
          </w:rPr>
          <w:instrText xml:space="preserve"> PAGEREF _Toc530750162 \h </w:instrText>
        </w:r>
        <w:r w:rsidR="00B95F12">
          <w:rPr>
            <w:noProof/>
            <w:webHidden/>
          </w:rPr>
        </w:r>
        <w:r w:rsidR="00B95F12">
          <w:rPr>
            <w:noProof/>
            <w:webHidden/>
          </w:rPr>
          <w:fldChar w:fldCharType="separate"/>
        </w:r>
        <w:r w:rsidR="00B95F12">
          <w:rPr>
            <w:noProof/>
            <w:webHidden/>
          </w:rPr>
          <w:t>27</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63" w:history="1">
        <w:r w:rsidR="00B95F12" w:rsidRPr="009B56A1">
          <w:rPr>
            <w:rStyle w:val="Hyperlink"/>
            <w:noProof/>
          </w:rPr>
          <w:t>15.1</w:t>
        </w:r>
        <w:r w:rsidR="00B95F12">
          <w:rPr>
            <w:rFonts w:asciiTheme="minorHAnsi" w:eastAsiaTheme="minorEastAsia" w:hAnsiTheme="minorHAnsi" w:cstheme="minorBidi"/>
            <w:noProof/>
            <w:sz w:val="22"/>
            <w:szCs w:val="22"/>
            <w:lang w:eastAsia="zh-CN"/>
          </w:rPr>
          <w:tab/>
        </w:r>
        <w:r w:rsidR="00B95F12" w:rsidRPr="009B56A1">
          <w:rPr>
            <w:rStyle w:val="Hyperlink"/>
            <w:noProof/>
          </w:rPr>
          <w:t>Resolution 185 “Global flight tracking for civil aviation”</w:t>
        </w:r>
        <w:r w:rsidR="00B95F12">
          <w:rPr>
            <w:noProof/>
            <w:webHidden/>
          </w:rPr>
          <w:tab/>
        </w:r>
        <w:r w:rsidR="00B95F12">
          <w:rPr>
            <w:noProof/>
            <w:webHidden/>
          </w:rPr>
          <w:fldChar w:fldCharType="begin"/>
        </w:r>
        <w:r w:rsidR="00B95F12">
          <w:rPr>
            <w:noProof/>
            <w:webHidden/>
          </w:rPr>
          <w:instrText xml:space="preserve"> PAGEREF _Toc530750163 \h </w:instrText>
        </w:r>
        <w:r w:rsidR="00B95F12">
          <w:rPr>
            <w:noProof/>
            <w:webHidden/>
          </w:rPr>
        </w:r>
        <w:r w:rsidR="00B95F12">
          <w:rPr>
            <w:noProof/>
            <w:webHidden/>
          </w:rPr>
          <w:fldChar w:fldCharType="separate"/>
        </w:r>
        <w:r w:rsidR="00B95F12">
          <w:rPr>
            <w:noProof/>
            <w:webHidden/>
          </w:rPr>
          <w:t>27</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64" w:history="1">
        <w:r w:rsidR="00B95F12" w:rsidRPr="009B56A1">
          <w:rPr>
            <w:rStyle w:val="Hyperlink"/>
            <w:noProof/>
          </w:rPr>
          <w:t>16</w:t>
        </w:r>
        <w:r w:rsidR="00B95F12">
          <w:rPr>
            <w:rFonts w:asciiTheme="minorHAnsi" w:eastAsiaTheme="minorEastAsia" w:hAnsiTheme="minorHAnsi" w:cstheme="minorBidi"/>
            <w:noProof/>
            <w:sz w:val="22"/>
            <w:szCs w:val="22"/>
            <w:lang w:eastAsia="zh-CN"/>
          </w:rPr>
          <w:tab/>
        </w:r>
        <w:r w:rsidR="00B95F12" w:rsidRPr="009B56A1">
          <w:rPr>
            <w:rStyle w:val="Hyperlink"/>
            <w:noProof/>
          </w:rPr>
          <w:t>Health</w:t>
        </w:r>
        <w:r w:rsidR="00B95F12">
          <w:rPr>
            <w:noProof/>
            <w:webHidden/>
          </w:rPr>
          <w:tab/>
        </w:r>
        <w:r w:rsidR="00B95F12">
          <w:rPr>
            <w:noProof/>
            <w:webHidden/>
          </w:rPr>
          <w:fldChar w:fldCharType="begin"/>
        </w:r>
        <w:r w:rsidR="00B95F12">
          <w:rPr>
            <w:noProof/>
            <w:webHidden/>
          </w:rPr>
          <w:instrText xml:space="preserve"> PAGEREF _Toc530750164 \h </w:instrText>
        </w:r>
        <w:r w:rsidR="00B95F12">
          <w:rPr>
            <w:noProof/>
            <w:webHidden/>
          </w:rPr>
        </w:r>
        <w:r w:rsidR="00B95F12">
          <w:rPr>
            <w:noProof/>
            <w:webHidden/>
          </w:rPr>
          <w:fldChar w:fldCharType="separate"/>
        </w:r>
        <w:r w:rsidR="00B95F12">
          <w:rPr>
            <w:noProof/>
            <w:webHidden/>
          </w:rPr>
          <w:t>27</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65" w:history="1">
        <w:r w:rsidR="00B95F12" w:rsidRPr="009B56A1">
          <w:rPr>
            <w:rStyle w:val="Hyperlink"/>
            <w:noProof/>
          </w:rPr>
          <w:t>16.1</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176 “Measurement and assessment concerns related to human exposure to electromagnetic fields”</w:t>
        </w:r>
        <w:r w:rsidR="00B95F12">
          <w:rPr>
            <w:noProof/>
            <w:webHidden/>
          </w:rPr>
          <w:tab/>
        </w:r>
        <w:r w:rsidR="00B95F12">
          <w:rPr>
            <w:noProof/>
            <w:webHidden/>
          </w:rPr>
          <w:fldChar w:fldCharType="begin"/>
        </w:r>
        <w:r w:rsidR="00B95F12">
          <w:rPr>
            <w:noProof/>
            <w:webHidden/>
          </w:rPr>
          <w:instrText xml:space="preserve"> PAGEREF _Toc530750165 \h </w:instrText>
        </w:r>
        <w:r w:rsidR="00B95F12">
          <w:rPr>
            <w:noProof/>
            <w:webHidden/>
          </w:rPr>
        </w:r>
        <w:r w:rsidR="00B95F12">
          <w:rPr>
            <w:noProof/>
            <w:webHidden/>
          </w:rPr>
          <w:fldChar w:fldCharType="separate"/>
        </w:r>
        <w:r w:rsidR="00B95F12">
          <w:rPr>
            <w:noProof/>
            <w:webHidden/>
          </w:rPr>
          <w:t>27</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66" w:history="1">
        <w:r w:rsidR="00B95F12" w:rsidRPr="009B56A1">
          <w:rPr>
            <w:rStyle w:val="Hyperlink"/>
            <w:rFonts w:asciiTheme="majorBidi" w:hAnsiTheme="majorBidi" w:cstheme="majorBidi"/>
            <w:noProof/>
          </w:rPr>
          <w:t>16.2</w:t>
        </w:r>
        <w:r w:rsidR="00B95F12">
          <w:rPr>
            <w:rFonts w:asciiTheme="minorHAnsi" w:eastAsiaTheme="minorEastAsia" w:hAnsiTheme="minorHAnsi" w:cstheme="minorBidi"/>
            <w:noProof/>
            <w:sz w:val="22"/>
            <w:szCs w:val="22"/>
            <w:lang w:eastAsia="zh-CN"/>
          </w:rPr>
          <w:tab/>
        </w:r>
        <w:r w:rsidR="00B95F12" w:rsidRPr="009B56A1">
          <w:rPr>
            <w:rStyle w:val="Hyperlink"/>
            <w:noProof/>
          </w:rPr>
          <w:t>Resolution</w:t>
        </w:r>
        <w:r w:rsidR="00B95F12" w:rsidRPr="009B56A1">
          <w:rPr>
            <w:rStyle w:val="Hyperlink"/>
            <w:rFonts w:asciiTheme="majorBidi" w:hAnsiTheme="majorBidi" w:cstheme="majorBidi"/>
            <w:noProof/>
          </w:rPr>
          <w:t xml:space="preserve"> 202 “Using information and communication technologies to break the chain of health-related emergencies such as Ebola virus transmission”</w:t>
        </w:r>
        <w:r w:rsidR="00B95F12">
          <w:rPr>
            <w:noProof/>
            <w:webHidden/>
          </w:rPr>
          <w:tab/>
        </w:r>
        <w:r w:rsidR="00B95F12">
          <w:rPr>
            <w:noProof/>
            <w:webHidden/>
          </w:rPr>
          <w:fldChar w:fldCharType="begin"/>
        </w:r>
        <w:r w:rsidR="00B95F12">
          <w:rPr>
            <w:noProof/>
            <w:webHidden/>
          </w:rPr>
          <w:instrText xml:space="preserve"> PAGEREF _Toc530750166 \h </w:instrText>
        </w:r>
        <w:r w:rsidR="00B95F12">
          <w:rPr>
            <w:noProof/>
            <w:webHidden/>
          </w:rPr>
        </w:r>
        <w:r w:rsidR="00B95F12">
          <w:rPr>
            <w:noProof/>
            <w:webHidden/>
          </w:rPr>
          <w:fldChar w:fldCharType="separate"/>
        </w:r>
        <w:r w:rsidR="00B95F12">
          <w:rPr>
            <w:noProof/>
            <w:webHidden/>
          </w:rPr>
          <w:t>27</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67" w:history="1">
        <w:r w:rsidR="00B95F12" w:rsidRPr="009B56A1">
          <w:rPr>
            <w:rStyle w:val="Hyperlink"/>
            <w:noProof/>
          </w:rPr>
          <w:t>17</w:t>
        </w:r>
        <w:r w:rsidR="00B95F12">
          <w:rPr>
            <w:rFonts w:asciiTheme="minorHAnsi" w:eastAsiaTheme="minorEastAsia" w:hAnsiTheme="minorHAnsi" w:cstheme="minorBidi"/>
            <w:noProof/>
            <w:sz w:val="22"/>
            <w:szCs w:val="22"/>
            <w:lang w:eastAsia="zh-CN"/>
          </w:rPr>
          <w:tab/>
        </w:r>
        <w:r w:rsidR="00B95F12" w:rsidRPr="009B56A1">
          <w:rPr>
            <w:rStyle w:val="Hyperlink"/>
            <w:noProof/>
          </w:rPr>
          <w:t>Conformance and interoperability; counterfeiting; theft of mobile devices</w:t>
        </w:r>
        <w:r w:rsidR="00B95F12">
          <w:rPr>
            <w:noProof/>
            <w:webHidden/>
          </w:rPr>
          <w:tab/>
        </w:r>
        <w:r w:rsidR="00B95F12">
          <w:rPr>
            <w:noProof/>
            <w:webHidden/>
          </w:rPr>
          <w:fldChar w:fldCharType="begin"/>
        </w:r>
        <w:r w:rsidR="00B95F12">
          <w:rPr>
            <w:noProof/>
            <w:webHidden/>
          </w:rPr>
          <w:instrText xml:space="preserve"> PAGEREF _Toc530750167 \h </w:instrText>
        </w:r>
        <w:r w:rsidR="00B95F12">
          <w:rPr>
            <w:noProof/>
            <w:webHidden/>
          </w:rPr>
        </w:r>
        <w:r w:rsidR="00B95F12">
          <w:rPr>
            <w:noProof/>
            <w:webHidden/>
          </w:rPr>
          <w:fldChar w:fldCharType="separate"/>
        </w:r>
        <w:r w:rsidR="00B95F12">
          <w:rPr>
            <w:noProof/>
            <w:webHidden/>
          </w:rPr>
          <w:t>27</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68" w:history="1">
        <w:r w:rsidR="00B95F12" w:rsidRPr="009B56A1">
          <w:rPr>
            <w:rStyle w:val="Hyperlink"/>
            <w:noProof/>
          </w:rPr>
          <w:t>17.1</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177 “Conformance and interoperability”</w:t>
        </w:r>
        <w:r w:rsidR="00B95F12">
          <w:rPr>
            <w:noProof/>
            <w:webHidden/>
          </w:rPr>
          <w:tab/>
        </w:r>
        <w:r w:rsidR="00B95F12">
          <w:rPr>
            <w:noProof/>
            <w:webHidden/>
          </w:rPr>
          <w:fldChar w:fldCharType="begin"/>
        </w:r>
        <w:r w:rsidR="00B95F12">
          <w:rPr>
            <w:noProof/>
            <w:webHidden/>
          </w:rPr>
          <w:instrText xml:space="preserve"> PAGEREF _Toc530750168 \h </w:instrText>
        </w:r>
        <w:r w:rsidR="00B95F12">
          <w:rPr>
            <w:noProof/>
            <w:webHidden/>
          </w:rPr>
        </w:r>
        <w:r w:rsidR="00B95F12">
          <w:rPr>
            <w:noProof/>
            <w:webHidden/>
          </w:rPr>
          <w:fldChar w:fldCharType="separate"/>
        </w:r>
        <w:r w:rsidR="00B95F12">
          <w:rPr>
            <w:noProof/>
            <w:webHidden/>
          </w:rPr>
          <w:t>27</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69" w:history="1">
        <w:r w:rsidR="00B95F12" w:rsidRPr="009B56A1">
          <w:rPr>
            <w:rStyle w:val="Hyperlink"/>
            <w:noProof/>
          </w:rPr>
          <w:t>17.2</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188 “Combating counterfeit telecommunication/information and communication technology devices”</w:t>
        </w:r>
        <w:r w:rsidR="00B95F12">
          <w:rPr>
            <w:noProof/>
            <w:webHidden/>
          </w:rPr>
          <w:tab/>
        </w:r>
        <w:r w:rsidR="00B95F12">
          <w:rPr>
            <w:noProof/>
            <w:webHidden/>
          </w:rPr>
          <w:fldChar w:fldCharType="begin"/>
        </w:r>
        <w:r w:rsidR="00B95F12">
          <w:rPr>
            <w:noProof/>
            <w:webHidden/>
          </w:rPr>
          <w:instrText xml:space="preserve"> PAGEREF _Toc530750169 \h </w:instrText>
        </w:r>
        <w:r w:rsidR="00B95F12">
          <w:rPr>
            <w:noProof/>
            <w:webHidden/>
          </w:rPr>
        </w:r>
        <w:r w:rsidR="00B95F12">
          <w:rPr>
            <w:noProof/>
            <w:webHidden/>
          </w:rPr>
          <w:fldChar w:fldCharType="separate"/>
        </w:r>
        <w:r w:rsidR="00B95F12">
          <w:rPr>
            <w:noProof/>
            <w:webHidden/>
          </w:rPr>
          <w:t>27</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70" w:history="1">
        <w:r w:rsidR="00B95F12" w:rsidRPr="009B56A1">
          <w:rPr>
            <w:rStyle w:val="Hyperlink"/>
            <w:noProof/>
          </w:rPr>
          <w:t>17.3</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189 “Assisting Member States to combat and deter mobile device theft”</w:t>
        </w:r>
        <w:r w:rsidR="00B95F12">
          <w:rPr>
            <w:noProof/>
            <w:webHidden/>
          </w:rPr>
          <w:tab/>
        </w:r>
        <w:r w:rsidR="00B95F12">
          <w:rPr>
            <w:noProof/>
            <w:webHidden/>
          </w:rPr>
          <w:fldChar w:fldCharType="begin"/>
        </w:r>
        <w:r w:rsidR="00B95F12">
          <w:rPr>
            <w:noProof/>
            <w:webHidden/>
          </w:rPr>
          <w:instrText xml:space="preserve"> PAGEREF _Toc530750170 \h </w:instrText>
        </w:r>
        <w:r w:rsidR="00B95F12">
          <w:rPr>
            <w:noProof/>
            <w:webHidden/>
          </w:rPr>
        </w:r>
        <w:r w:rsidR="00B95F12">
          <w:rPr>
            <w:noProof/>
            <w:webHidden/>
          </w:rPr>
          <w:fldChar w:fldCharType="separate"/>
        </w:r>
        <w:r w:rsidR="00B95F12">
          <w:rPr>
            <w:noProof/>
            <w:webHidden/>
          </w:rPr>
          <w:t>27</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71" w:history="1">
        <w:r w:rsidR="00B95F12" w:rsidRPr="009B56A1">
          <w:rPr>
            <w:rStyle w:val="Hyperlink"/>
            <w:noProof/>
          </w:rPr>
          <w:t>18</w:t>
        </w:r>
        <w:r w:rsidR="00B95F12">
          <w:rPr>
            <w:rFonts w:asciiTheme="minorHAnsi" w:eastAsiaTheme="minorEastAsia" w:hAnsiTheme="minorHAnsi" w:cstheme="minorBidi"/>
            <w:noProof/>
            <w:sz w:val="22"/>
            <w:szCs w:val="22"/>
            <w:lang w:eastAsia="zh-CN"/>
          </w:rPr>
          <w:tab/>
        </w:r>
        <w:r w:rsidR="00B95F12" w:rsidRPr="009B56A1">
          <w:rPr>
            <w:rStyle w:val="Hyperlink"/>
            <w:noProof/>
          </w:rPr>
          <w:t>Calling matters</w:t>
        </w:r>
        <w:r w:rsidR="00B95F12">
          <w:rPr>
            <w:noProof/>
            <w:webHidden/>
          </w:rPr>
          <w:tab/>
        </w:r>
        <w:r w:rsidR="00B95F12">
          <w:rPr>
            <w:noProof/>
            <w:webHidden/>
          </w:rPr>
          <w:fldChar w:fldCharType="begin"/>
        </w:r>
        <w:r w:rsidR="00B95F12">
          <w:rPr>
            <w:noProof/>
            <w:webHidden/>
          </w:rPr>
          <w:instrText xml:space="preserve"> PAGEREF _Toc530750171 \h </w:instrText>
        </w:r>
        <w:r w:rsidR="00B95F12">
          <w:rPr>
            <w:noProof/>
            <w:webHidden/>
          </w:rPr>
        </w:r>
        <w:r w:rsidR="00B95F12">
          <w:rPr>
            <w:noProof/>
            <w:webHidden/>
          </w:rPr>
          <w:fldChar w:fldCharType="separate"/>
        </w:r>
        <w:r w:rsidR="00B95F12">
          <w:rPr>
            <w:noProof/>
            <w:webHidden/>
          </w:rPr>
          <w:t>27</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72" w:history="1">
        <w:r w:rsidR="00B95F12" w:rsidRPr="009B56A1">
          <w:rPr>
            <w:rStyle w:val="Hyperlink"/>
            <w:noProof/>
          </w:rPr>
          <w:t>18.1</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21 “Measures concerning alternative calling procedures on international telecommunication networks”</w:t>
        </w:r>
        <w:r w:rsidR="00B95F12">
          <w:rPr>
            <w:noProof/>
            <w:webHidden/>
          </w:rPr>
          <w:tab/>
        </w:r>
        <w:r w:rsidR="00B95F12">
          <w:rPr>
            <w:noProof/>
            <w:webHidden/>
          </w:rPr>
          <w:fldChar w:fldCharType="begin"/>
        </w:r>
        <w:r w:rsidR="00B95F12">
          <w:rPr>
            <w:noProof/>
            <w:webHidden/>
          </w:rPr>
          <w:instrText xml:space="preserve"> PAGEREF _Toc530750172 \h </w:instrText>
        </w:r>
        <w:r w:rsidR="00B95F12">
          <w:rPr>
            <w:noProof/>
            <w:webHidden/>
          </w:rPr>
        </w:r>
        <w:r w:rsidR="00B95F12">
          <w:rPr>
            <w:noProof/>
            <w:webHidden/>
          </w:rPr>
          <w:fldChar w:fldCharType="separate"/>
        </w:r>
        <w:r w:rsidR="00B95F12">
          <w:rPr>
            <w:noProof/>
            <w:webHidden/>
          </w:rPr>
          <w:t>27</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73" w:history="1">
        <w:r w:rsidR="00B95F12" w:rsidRPr="009B56A1">
          <w:rPr>
            <w:rStyle w:val="Hyperlink"/>
            <w:noProof/>
          </w:rPr>
          <w:t>19</w:t>
        </w:r>
        <w:r w:rsidR="00B95F12">
          <w:rPr>
            <w:rFonts w:asciiTheme="minorHAnsi" w:eastAsiaTheme="minorEastAsia" w:hAnsiTheme="minorHAnsi" w:cstheme="minorBidi"/>
            <w:noProof/>
            <w:sz w:val="22"/>
            <w:szCs w:val="22"/>
            <w:lang w:eastAsia="zh-CN"/>
          </w:rPr>
          <w:tab/>
        </w:r>
        <w:r w:rsidR="00B95F12" w:rsidRPr="009B56A1">
          <w:rPr>
            <w:rStyle w:val="Hyperlink"/>
            <w:noProof/>
          </w:rPr>
          <w:t>Accessibility, gender, child, youth, consumer, human trafficking</w:t>
        </w:r>
        <w:r w:rsidR="00B95F12">
          <w:rPr>
            <w:noProof/>
            <w:webHidden/>
          </w:rPr>
          <w:tab/>
        </w:r>
        <w:r w:rsidR="00B95F12">
          <w:rPr>
            <w:noProof/>
            <w:webHidden/>
          </w:rPr>
          <w:fldChar w:fldCharType="begin"/>
        </w:r>
        <w:r w:rsidR="00B95F12">
          <w:rPr>
            <w:noProof/>
            <w:webHidden/>
          </w:rPr>
          <w:instrText xml:space="preserve"> PAGEREF _Toc530750173 \h </w:instrText>
        </w:r>
        <w:r w:rsidR="00B95F12">
          <w:rPr>
            <w:noProof/>
            <w:webHidden/>
          </w:rPr>
        </w:r>
        <w:r w:rsidR="00B95F12">
          <w:rPr>
            <w:noProof/>
            <w:webHidden/>
          </w:rPr>
          <w:fldChar w:fldCharType="separate"/>
        </w:r>
        <w:r w:rsidR="00B95F12">
          <w:rPr>
            <w:noProof/>
            <w:webHidden/>
          </w:rPr>
          <w:t>28</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74" w:history="1">
        <w:r w:rsidR="00B95F12" w:rsidRPr="009B56A1">
          <w:rPr>
            <w:rStyle w:val="Hyperlink"/>
            <w:noProof/>
          </w:rPr>
          <w:t>19.1</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48 “Human resources management and development”</w:t>
        </w:r>
        <w:r w:rsidR="00B95F12">
          <w:rPr>
            <w:noProof/>
            <w:webHidden/>
          </w:rPr>
          <w:tab/>
        </w:r>
        <w:r w:rsidR="00B95F12">
          <w:rPr>
            <w:noProof/>
            <w:webHidden/>
          </w:rPr>
          <w:fldChar w:fldCharType="begin"/>
        </w:r>
        <w:r w:rsidR="00B95F12">
          <w:rPr>
            <w:noProof/>
            <w:webHidden/>
          </w:rPr>
          <w:instrText xml:space="preserve"> PAGEREF _Toc530750174 \h </w:instrText>
        </w:r>
        <w:r w:rsidR="00B95F12">
          <w:rPr>
            <w:noProof/>
            <w:webHidden/>
          </w:rPr>
        </w:r>
        <w:r w:rsidR="00B95F12">
          <w:rPr>
            <w:noProof/>
            <w:webHidden/>
          </w:rPr>
          <w:fldChar w:fldCharType="separate"/>
        </w:r>
        <w:r w:rsidR="00B95F12">
          <w:rPr>
            <w:noProof/>
            <w:webHidden/>
          </w:rPr>
          <w:t>28</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75" w:history="1">
        <w:r w:rsidR="00B95F12" w:rsidRPr="009B56A1">
          <w:rPr>
            <w:rStyle w:val="Hyperlink"/>
            <w:noProof/>
          </w:rPr>
          <w:t>19.2</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64 “Non-discriminatory access to modern telecommunication/information and communication technology facilities, services and applications, including applied research and transfer of technology, and e</w:t>
        </w:r>
        <w:r w:rsidR="00B95F12" w:rsidRPr="009B56A1">
          <w:rPr>
            <w:rStyle w:val="Hyperlink"/>
            <w:noProof/>
          </w:rPr>
          <w:noBreakHyphen/>
          <w:t>meetings, on mutually agreed terms”</w:t>
        </w:r>
        <w:r w:rsidR="00B95F12">
          <w:rPr>
            <w:noProof/>
            <w:webHidden/>
          </w:rPr>
          <w:tab/>
        </w:r>
        <w:r w:rsidR="00B95F12">
          <w:rPr>
            <w:noProof/>
            <w:webHidden/>
          </w:rPr>
          <w:fldChar w:fldCharType="begin"/>
        </w:r>
        <w:r w:rsidR="00B95F12">
          <w:rPr>
            <w:noProof/>
            <w:webHidden/>
          </w:rPr>
          <w:instrText xml:space="preserve"> PAGEREF _Toc530750175 \h </w:instrText>
        </w:r>
        <w:r w:rsidR="00B95F12">
          <w:rPr>
            <w:noProof/>
            <w:webHidden/>
          </w:rPr>
        </w:r>
        <w:r w:rsidR="00B95F12">
          <w:rPr>
            <w:noProof/>
            <w:webHidden/>
          </w:rPr>
          <w:fldChar w:fldCharType="separate"/>
        </w:r>
        <w:r w:rsidR="00B95F12">
          <w:rPr>
            <w:noProof/>
            <w:webHidden/>
          </w:rPr>
          <w:t>28</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76" w:history="1">
        <w:r w:rsidR="00B95F12" w:rsidRPr="009B56A1">
          <w:rPr>
            <w:rStyle w:val="Hyperlink"/>
            <w:noProof/>
          </w:rPr>
          <w:t>19.3</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66 “Documents and publications of the Union”</w:t>
        </w:r>
        <w:r w:rsidR="00B95F12">
          <w:rPr>
            <w:noProof/>
            <w:webHidden/>
          </w:rPr>
          <w:tab/>
        </w:r>
        <w:r w:rsidR="00B95F12">
          <w:rPr>
            <w:noProof/>
            <w:webHidden/>
          </w:rPr>
          <w:fldChar w:fldCharType="begin"/>
        </w:r>
        <w:r w:rsidR="00B95F12">
          <w:rPr>
            <w:noProof/>
            <w:webHidden/>
          </w:rPr>
          <w:instrText xml:space="preserve"> PAGEREF _Toc530750176 \h </w:instrText>
        </w:r>
        <w:r w:rsidR="00B95F12">
          <w:rPr>
            <w:noProof/>
            <w:webHidden/>
          </w:rPr>
        </w:r>
        <w:r w:rsidR="00B95F12">
          <w:rPr>
            <w:noProof/>
            <w:webHidden/>
          </w:rPr>
          <w:fldChar w:fldCharType="separate"/>
        </w:r>
        <w:r w:rsidR="00B95F12">
          <w:rPr>
            <w:noProof/>
            <w:webHidden/>
          </w:rPr>
          <w:t>28</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77" w:history="1">
        <w:r w:rsidR="00B95F12" w:rsidRPr="009B56A1">
          <w:rPr>
            <w:rStyle w:val="Hyperlink"/>
            <w:noProof/>
          </w:rPr>
          <w:t>19.4</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70 “Mainstreaming a gender perspective in ITU and promotion of gender equality and the empowerment of women through telecommunications/information and communication technologies”</w:t>
        </w:r>
        <w:r w:rsidR="00B95F12">
          <w:rPr>
            <w:noProof/>
            <w:webHidden/>
          </w:rPr>
          <w:tab/>
        </w:r>
        <w:r w:rsidR="00B95F12">
          <w:rPr>
            <w:noProof/>
            <w:webHidden/>
          </w:rPr>
          <w:fldChar w:fldCharType="begin"/>
        </w:r>
        <w:r w:rsidR="00B95F12">
          <w:rPr>
            <w:noProof/>
            <w:webHidden/>
          </w:rPr>
          <w:instrText xml:space="preserve"> PAGEREF _Toc530750177 \h </w:instrText>
        </w:r>
        <w:r w:rsidR="00B95F12">
          <w:rPr>
            <w:noProof/>
            <w:webHidden/>
          </w:rPr>
        </w:r>
        <w:r w:rsidR="00B95F12">
          <w:rPr>
            <w:noProof/>
            <w:webHidden/>
          </w:rPr>
          <w:fldChar w:fldCharType="separate"/>
        </w:r>
        <w:r w:rsidR="00B95F12">
          <w:rPr>
            <w:noProof/>
            <w:webHidden/>
          </w:rPr>
          <w:t>28</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78" w:history="1">
        <w:r w:rsidR="00B95F12" w:rsidRPr="009B56A1">
          <w:rPr>
            <w:rStyle w:val="Hyperlink"/>
            <w:noProof/>
          </w:rPr>
          <w:t>19.5</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175 “Telecommunication/information and communication technology accessibility for persons with disabilities and persons with specific needs”</w:t>
        </w:r>
        <w:r w:rsidR="00B95F12">
          <w:rPr>
            <w:noProof/>
            <w:webHidden/>
          </w:rPr>
          <w:tab/>
        </w:r>
        <w:r w:rsidR="00B95F12">
          <w:rPr>
            <w:noProof/>
            <w:webHidden/>
          </w:rPr>
          <w:fldChar w:fldCharType="begin"/>
        </w:r>
        <w:r w:rsidR="00B95F12">
          <w:rPr>
            <w:noProof/>
            <w:webHidden/>
          </w:rPr>
          <w:instrText xml:space="preserve"> PAGEREF _Toc530750178 \h </w:instrText>
        </w:r>
        <w:r w:rsidR="00B95F12">
          <w:rPr>
            <w:noProof/>
            <w:webHidden/>
          </w:rPr>
        </w:r>
        <w:r w:rsidR="00B95F12">
          <w:rPr>
            <w:noProof/>
            <w:webHidden/>
          </w:rPr>
          <w:fldChar w:fldCharType="separate"/>
        </w:r>
        <w:r w:rsidR="00B95F12">
          <w:rPr>
            <w:noProof/>
            <w:webHidden/>
          </w:rPr>
          <w:t>28</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79" w:history="1">
        <w:r w:rsidR="00B95F12" w:rsidRPr="009B56A1">
          <w:rPr>
            <w:rStyle w:val="Hyperlink"/>
            <w:noProof/>
          </w:rPr>
          <w:t>19.6</w:t>
        </w:r>
        <w:r w:rsidR="00B95F12">
          <w:rPr>
            <w:rFonts w:asciiTheme="minorHAnsi" w:eastAsiaTheme="minorEastAsia" w:hAnsiTheme="minorHAnsi" w:cstheme="minorBidi"/>
            <w:noProof/>
            <w:sz w:val="22"/>
            <w:szCs w:val="22"/>
            <w:lang w:eastAsia="zh-CN"/>
          </w:rPr>
          <w:tab/>
        </w:r>
        <w:r w:rsidR="00B95F12" w:rsidRPr="009B56A1">
          <w:rPr>
            <w:rStyle w:val="Hyperlink"/>
            <w:noProof/>
          </w:rPr>
          <w:t>Revised</w:t>
        </w:r>
        <w:r w:rsidR="00B95F12" w:rsidRPr="009B56A1">
          <w:rPr>
            <w:rStyle w:val="Hyperlink"/>
            <w:rFonts w:asciiTheme="majorBidi" w:hAnsiTheme="majorBidi" w:cstheme="majorBidi"/>
            <w:noProof/>
          </w:rPr>
          <w:t xml:space="preserve"> Resolution 179 “ITU's role in child online protection”</w:t>
        </w:r>
        <w:r w:rsidR="00B95F12">
          <w:rPr>
            <w:noProof/>
            <w:webHidden/>
          </w:rPr>
          <w:tab/>
        </w:r>
        <w:r w:rsidR="00B95F12">
          <w:rPr>
            <w:noProof/>
            <w:webHidden/>
          </w:rPr>
          <w:fldChar w:fldCharType="begin"/>
        </w:r>
        <w:r w:rsidR="00B95F12">
          <w:rPr>
            <w:noProof/>
            <w:webHidden/>
          </w:rPr>
          <w:instrText xml:space="preserve"> PAGEREF _Toc530750179 \h </w:instrText>
        </w:r>
        <w:r w:rsidR="00B95F12">
          <w:rPr>
            <w:noProof/>
            <w:webHidden/>
          </w:rPr>
        </w:r>
        <w:r w:rsidR="00B95F12">
          <w:rPr>
            <w:noProof/>
            <w:webHidden/>
          </w:rPr>
          <w:fldChar w:fldCharType="separate"/>
        </w:r>
        <w:r w:rsidR="00B95F12">
          <w:rPr>
            <w:noProof/>
            <w:webHidden/>
          </w:rPr>
          <w:t>28</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80" w:history="1">
        <w:r w:rsidR="00B95F12" w:rsidRPr="009B56A1">
          <w:rPr>
            <w:rStyle w:val="Hyperlink"/>
            <w:noProof/>
          </w:rPr>
          <w:t>19.7</w:t>
        </w:r>
        <w:r w:rsidR="00B95F12">
          <w:rPr>
            <w:rFonts w:asciiTheme="minorHAnsi" w:eastAsiaTheme="minorEastAsia" w:hAnsiTheme="minorHAnsi" w:cstheme="minorBidi"/>
            <w:noProof/>
            <w:sz w:val="22"/>
            <w:szCs w:val="22"/>
            <w:lang w:eastAsia="zh-CN"/>
          </w:rPr>
          <w:tab/>
        </w:r>
        <w:r w:rsidR="00B95F12" w:rsidRPr="009B56A1">
          <w:rPr>
            <w:rStyle w:val="Hyperlink"/>
            <w:noProof/>
          </w:rPr>
          <w:t>Revised</w:t>
        </w:r>
        <w:r w:rsidR="00B95F12" w:rsidRPr="009B56A1">
          <w:rPr>
            <w:rStyle w:val="Hyperlink"/>
            <w:rFonts w:asciiTheme="majorBidi" w:hAnsiTheme="majorBidi" w:cstheme="majorBidi"/>
            <w:noProof/>
          </w:rPr>
          <w:t xml:space="preserve"> Resolution 198 “Empowerment of youth through telecommunication/information and communication technology”</w:t>
        </w:r>
        <w:r w:rsidR="00B95F12">
          <w:rPr>
            <w:noProof/>
            <w:webHidden/>
          </w:rPr>
          <w:tab/>
        </w:r>
        <w:r w:rsidR="00B95F12">
          <w:rPr>
            <w:noProof/>
            <w:webHidden/>
          </w:rPr>
          <w:fldChar w:fldCharType="begin"/>
        </w:r>
        <w:r w:rsidR="00B95F12">
          <w:rPr>
            <w:noProof/>
            <w:webHidden/>
          </w:rPr>
          <w:instrText xml:space="preserve"> PAGEREF _Toc530750180 \h </w:instrText>
        </w:r>
        <w:r w:rsidR="00B95F12">
          <w:rPr>
            <w:noProof/>
            <w:webHidden/>
          </w:rPr>
        </w:r>
        <w:r w:rsidR="00B95F12">
          <w:rPr>
            <w:noProof/>
            <w:webHidden/>
          </w:rPr>
          <w:fldChar w:fldCharType="separate"/>
        </w:r>
        <w:r w:rsidR="00B95F12">
          <w:rPr>
            <w:noProof/>
            <w:webHidden/>
          </w:rPr>
          <w:t>28</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81" w:history="1">
        <w:r w:rsidR="00B95F12" w:rsidRPr="009B56A1">
          <w:rPr>
            <w:rStyle w:val="Hyperlink"/>
            <w:rFonts w:asciiTheme="majorBidi" w:hAnsiTheme="majorBidi" w:cstheme="majorBidi"/>
            <w:noProof/>
          </w:rPr>
          <w:t>19.8</w:t>
        </w:r>
        <w:r w:rsidR="00B95F12">
          <w:rPr>
            <w:rFonts w:asciiTheme="minorHAnsi" w:eastAsiaTheme="minorEastAsia" w:hAnsiTheme="minorHAnsi" w:cstheme="minorBidi"/>
            <w:noProof/>
            <w:sz w:val="22"/>
            <w:szCs w:val="22"/>
            <w:lang w:eastAsia="zh-CN"/>
          </w:rPr>
          <w:tab/>
        </w:r>
        <w:r w:rsidR="00B95F12" w:rsidRPr="009B56A1">
          <w:rPr>
            <w:rStyle w:val="Hyperlink"/>
            <w:rFonts w:asciiTheme="majorBidi" w:hAnsiTheme="majorBidi" w:cstheme="majorBidi"/>
            <w:noProof/>
          </w:rPr>
          <w:t xml:space="preserve">Revised </w:t>
        </w:r>
        <w:r w:rsidR="00B95F12" w:rsidRPr="009B56A1">
          <w:rPr>
            <w:rStyle w:val="Hyperlink"/>
            <w:noProof/>
          </w:rPr>
          <w:t>Resolution</w:t>
        </w:r>
        <w:r w:rsidR="00B95F12" w:rsidRPr="009B56A1">
          <w:rPr>
            <w:rStyle w:val="Hyperlink"/>
            <w:rFonts w:asciiTheme="majorBidi" w:hAnsiTheme="majorBidi" w:cstheme="majorBidi"/>
            <w:noProof/>
          </w:rPr>
          <w:t xml:space="preserve"> 196 “Protecting telecommunication service users/consumers”</w:t>
        </w:r>
        <w:r w:rsidR="00B95F12">
          <w:rPr>
            <w:noProof/>
            <w:webHidden/>
          </w:rPr>
          <w:tab/>
        </w:r>
        <w:r w:rsidR="00B95F12">
          <w:rPr>
            <w:noProof/>
            <w:webHidden/>
          </w:rPr>
          <w:fldChar w:fldCharType="begin"/>
        </w:r>
        <w:r w:rsidR="00B95F12">
          <w:rPr>
            <w:noProof/>
            <w:webHidden/>
          </w:rPr>
          <w:instrText xml:space="preserve"> PAGEREF _Toc530750181 \h </w:instrText>
        </w:r>
        <w:r w:rsidR="00B95F12">
          <w:rPr>
            <w:noProof/>
            <w:webHidden/>
          </w:rPr>
        </w:r>
        <w:r w:rsidR="00B95F12">
          <w:rPr>
            <w:noProof/>
            <w:webHidden/>
          </w:rPr>
          <w:fldChar w:fldCharType="separate"/>
        </w:r>
        <w:r w:rsidR="00B95F12">
          <w:rPr>
            <w:noProof/>
            <w:webHidden/>
          </w:rPr>
          <w:t>29</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82" w:history="1">
        <w:r w:rsidR="00B95F12" w:rsidRPr="009B56A1">
          <w:rPr>
            <w:rStyle w:val="Hyperlink"/>
            <w:rFonts w:asciiTheme="majorBidi" w:hAnsiTheme="majorBidi" w:cstheme="majorBidi"/>
            <w:noProof/>
          </w:rPr>
          <w:t>19.9</w:t>
        </w:r>
        <w:r w:rsidR="00B95F12">
          <w:rPr>
            <w:rFonts w:asciiTheme="minorHAnsi" w:eastAsiaTheme="minorEastAsia" w:hAnsiTheme="minorHAnsi" w:cstheme="minorBidi"/>
            <w:noProof/>
            <w:sz w:val="22"/>
            <w:szCs w:val="22"/>
            <w:lang w:eastAsia="zh-CN"/>
          </w:rPr>
          <w:tab/>
        </w:r>
        <w:r w:rsidR="00B95F12" w:rsidRPr="009B56A1">
          <w:rPr>
            <w:rStyle w:val="Hyperlink"/>
            <w:rFonts w:asciiTheme="majorBidi" w:hAnsiTheme="majorBidi" w:cstheme="majorBidi"/>
            <w:noProof/>
          </w:rPr>
          <w:t>New Recommendation WGPL/1 “The role of ITU in supporting the use of ICTs to combat trafficking in persons”</w:t>
        </w:r>
        <w:r w:rsidR="00B95F12">
          <w:rPr>
            <w:noProof/>
            <w:webHidden/>
          </w:rPr>
          <w:tab/>
        </w:r>
        <w:r w:rsidR="00B95F12">
          <w:rPr>
            <w:noProof/>
            <w:webHidden/>
          </w:rPr>
          <w:fldChar w:fldCharType="begin"/>
        </w:r>
        <w:r w:rsidR="00B95F12">
          <w:rPr>
            <w:noProof/>
            <w:webHidden/>
          </w:rPr>
          <w:instrText xml:space="preserve"> PAGEREF _Toc530750182 \h </w:instrText>
        </w:r>
        <w:r w:rsidR="00B95F12">
          <w:rPr>
            <w:noProof/>
            <w:webHidden/>
          </w:rPr>
        </w:r>
        <w:r w:rsidR="00B95F12">
          <w:rPr>
            <w:noProof/>
            <w:webHidden/>
          </w:rPr>
          <w:fldChar w:fldCharType="separate"/>
        </w:r>
        <w:r w:rsidR="00B95F12">
          <w:rPr>
            <w:noProof/>
            <w:webHidden/>
          </w:rPr>
          <w:t>29</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83" w:history="1">
        <w:r w:rsidR="00B95F12" w:rsidRPr="009B56A1">
          <w:rPr>
            <w:rStyle w:val="Hyperlink"/>
            <w:noProof/>
          </w:rPr>
          <w:t>20</w:t>
        </w:r>
        <w:r w:rsidR="00B95F12">
          <w:rPr>
            <w:rFonts w:asciiTheme="minorHAnsi" w:eastAsiaTheme="minorEastAsia" w:hAnsiTheme="minorHAnsi" w:cstheme="minorBidi"/>
            <w:noProof/>
            <w:sz w:val="22"/>
            <w:szCs w:val="22"/>
            <w:lang w:eastAsia="zh-CN"/>
          </w:rPr>
          <w:tab/>
        </w:r>
        <w:r w:rsidR="00B95F12" w:rsidRPr="009B56A1">
          <w:rPr>
            <w:rStyle w:val="Hyperlink"/>
            <w:noProof/>
          </w:rPr>
          <w:t>Publications; documentation</w:t>
        </w:r>
        <w:r w:rsidR="00B95F12">
          <w:rPr>
            <w:noProof/>
            <w:webHidden/>
          </w:rPr>
          <w:tab/>
        </w:r>
        <w:r w:rsidR="00B95F12">
          <w:rPr>
            <w:noProof/>
            <w:webHidden/>
          </w:rPr>
          <w:fldChar w:fldCharType="begin"/>
        </w:r>
        <w:r w:rsidR="00B95F12">
          <w:rPr>
            <w:noProof/>
            <w:webHidden/>
          </w:rPr>
          <w:instrText xml:space="preserve"> PAGEREF _Toc530750183 \h </w:instrText>
        </w:r>
        <w:r w:rsidR="00B95F12">
          <w:rPr>
            <w:noProof/>
            <w:webHidden/>
          </w:rPr>
        </w:r>
        <w:r w:rsidR="00B95F12">
          <w:rPr>
            <w:noProof/>
            <w:webHidden/>
          </w:rPr>
          <w:fldChar w:fldCharType="separate"/>
        </w:r>
        <w:r w:rsidR="00B95F12">
          <w:rPr>
            <w:noProof/>
            <w:webHidden/>
          </w:rPr>
          <w:t>29</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84" w:history="1">
        <w:r w:rsidR="00B95F12" w:rsidRPr="009B56A1">
          <w:rPr>
            <w:rStyle w:val="Hyperlink"/>
            <w:noProof/>
          </w:rPr>
          <w:t>20.1</w:t>
        </w:r>
        <w:r w:rsidR="00B95F12">
          <w:rPr>
            <w:rFonts w:asciiTheme="minorHAnsi" w:eastAsiaTheme="minorEastAsia" w:hAnsiTheme="minorHAnsi" w:cstheme="minorBidi"/>
            <w:noProof/>
            <w:sz w:val="22"/>
            <w:szCs w:val="22"/>
            <w:lang w:eastAsia="zh-CN"/>
          </w:rPr>
          <w:tab/>
        </w:r>
        <w:r w:rsidR="00B95F12" w:rsidRPr="009B56A1">
          <w:rPr>
            <w:rStyle w:val="Hyperlink"/>
            <w:noProof/>
          </w:rPr>
          <w:t xml:space="preserve">Revised </w:t>
        </w:r>
        <w:r w:rsidR="00B95F12" w:rsidRPr="009B56A1">
          <w:rPr>
            <w:rStyle w:val="Hyperlink"/>
            <w:rFonts w:asciiTheme="majorBidi" w:hAnsiTheme="majorBidi" w:cstheme="majorBidi"/>
            <w:noProof/>
          </w:rPr>
          <w:t>Resolution</w:t>
        </w:r>
        <w:r w:rsidR="00B95F12" w:rsidRPr="009B56A1">
          <w:rPr>
            <w:rStyle w:val="Hyperlink"/>
            <w:noProof/>
          </w:rPr>
          <w:t xml:space="preserve"> 66 “Documents and publications of the Union”</w:t>
        </w:r>
        <w:r w:rsidR="00B95F12">
          <w:rPr>
            <w:noProof/>
            <w:webHidden/>
          </w:rPr>
          <w:tab/>
        </w:r>
        <w:r w:rsidR="00B95F12">
          <w:rPr>
            <w:noProof/>
            <w:webHidden/>
          </w:rPr>
          <w:fldChar w:fldCharType="begin"/>
        </w:r>
        <w:r w:rsidR="00B95F12">
          <w:rPr>
            <w:noProof/>
            <w:webHidden/>
          </w:rPr>
          <w:instrText xml:space="preserve"> PAGEREF _Toc530750184 \h </w:instrText>
        </w:r>
        <w:r w:rsidR="00B95F12">
          <w:rPr>
            <w:noProof/>
            <w:webHidden/>
          </w:rPr>
        </w:r>
        <w:r w:rsidR="00B95F12">
          <w:rPr>
            <w:noProof/>
            <w:webHidden/>
          </w:rPr>
          <w:fldChar w:fldCharType="separate"/>
        </w:r>
        <w:r w:rsidR="00B95F12">
          <w:rPr>
            <w:noProof/>
            <w:webHidden/>
          </w:rPr>
          <w:t>29</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85" w:history="1">
        <w:r w:rsidR="00B95F12" w:rsidRPr="009B56A1">
          <w:rPr>
            <w:rStyle w:val="Hyperlink"/>
            <w:noProof/>
          </w:rPr>
          <w:t>20.2</w:t>
        </w:r>
        <w:r w:rsidR="00B95F12">
          <w:rPr>
            <w:rFonts w:asciiTheme="minorHAnsi" w:eastAsiaTheme="minorEastAsia" w:hAnsiTheme="minorHAnsi" w:cstheme="minorBidi"/>
            <w:noProof/>
            <w:sz w:val="22"/>
            <w:szCs w:val="22"/>
            <w:lang w:eastAsia="zh-CN"/>
          </w:rPr>
          <w:tab/>
        </w:r>
        <w:r w:rsidR="00B95F12" w:rsidRPr="009B56A1">
          <w:rPr>
            <w:rStyle w:val="Hyperlink"/>
            <w:noProof/>
          </w:rPr>
          <w:t>New Resolution COM5/1 “ITU Journal: ICT Discoveries”</w:t>
        </w:r>
        <w:r w:rsidR="00B95F12">
          <w:rPr>
            <w:noProof/>
            <w:webHidden/>
          </w:rPr>
          <w:tab/>
        </w:r>
        <w:r w:rsidR="00B95F12">
          <w:rPr>
            <w:noProof/>
            <w:webHidden/>
          </w:rPr>
          <w:fldChar w:fldCharType="begin"/>
        </w:r>
        <w:r w:rsidR="00B95F12">
          <w:rPr>
            <w:noProof/>
            <w:webHidden/>
          </w:rPr>
          <w:instrText xml:space="preserve"> PAGEREF _Toc530750185 \h </w:instrText>
        </w:r>
        <w:r w:rsidR="00B95F12">
          <w:rPr>
            <w:noProof/>
            <w:webHidden/>
          </w:rPr>
        </w:r>
        <w:r w:rsidR="00B95F12">
          <w:rPr>
            <w:noProof/>
            <w:webHidden/>
          </w:rPr>
          <w:fldChar w:fldCharType="separate"/>
        </w:r>
        <w:r w:rsidR="00B95F12">
          <w:rPr>
            <w:noProof/>
            <w:webHidden/>
          </w:rPr>
          <w:t>29</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86" w:history="1">
        <w:r w:rsidR="00B95F12" w:rsidRPr="009B56A1">
          <w:rPr>
            <w:rStyle w:val="Hyperlink"/>
            <w:noProof/>
          </w:rPr>
          <w:t>20.3</w:t>
        </w:r>
        <w:r w:rsidR="00B95F12">
          <w:rPr>
            <w:rFonts w:asciiTheme="minorHAnsi" w:eastAsiaTheme="minorEastAsia" w:hAnsiTheme="minorHAnsi" w:cstheme="minorBidi"/>
            <w:noProof/>
            <w:sz w:val="22"/>
            <w:szCs w:val="22"/>
            <w:lang w:eastAsia="zh-CN"/>
          </w:rPr>
          <w:tab/>
        </w:r>
        <w:r w:rsidR="00B95F12" w:rsidRPr="009B56A1">
          <w:rPr>
            <w:rStyle w:val="Hyperlink"/>
            <w:noProof/>
          </w:rPr>
          <w:t>Streamlining Resolutions</w:t>
        </w:r>
        <w:r w:rsidR="00B95F12">
          <w:rPr>
            <w:noProof/>
            <w:webHidden/>
          </w:rPr>
          <w:tab/>
        </w:r>
        <w:r w:rsidR="00B95F12">
          <w:rPr>
            <w:noProof/>
            <w:webHidden/>
          </w:rPr>
          <w:fldChar w:fldCharType="begin"/>
        </w:r>
        <w:r w:rsidR="00B95F12">
          <w:rPr>
            <w:noProof/>
            <w:webHidden/>
          </w:rPr>
          <w:instrText xml:space="preserve"> PAGEREF _Toc530750186 \h </w:instrText>
        </w:r>
        <w:r w:rsidR="00B95F12">
          <w:rPr>
            <w:noProof/>
            <w:webHidden/>
          </w:rPr>
        </w:r>
        <w:r w:rsidR="00B95F12">
          <w:rPr>
            <w:noProof/>
            <w:webHidden/>
          </w:rPr>
          <w:fldChar w:fldCharType="separate"/>
        </w:r>
        <w:r w:rsidR="00B95F12">
          <w:rPr>
            <w:noProof/>
            <w:webHidden/>
          </w:rPr>
          <w:t>29</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87" w:history="1">
        <w:r w:rsidR="00B95F12" w:rsidRPr="009B56A1">
          <w:rPr>
            <w:rStyle w:val="Hyperlink"/>
            <w:noProof/>
          </w:rPr>
          <w:t>20.4</w:t>
        </w:r>
        <w:r w:rsidR="00B95F12">
          <w:rPr>
            <w:rFonts w:asciiTheme="minorHAnsi" w:eastAsiaTheme="minorEastAsia" w:hAnsiTheme="minorHAnsi" w:cstheme="minorBidi"/>
            <w:noProof/>
            <w:sz w:val="22"/>
            <w:szCs w:val="22"/>
            <w:lang w:eastAsia="zh-CN"/>
          </w:rPr>
          <w:tab/>
        </w:r>
        <w:r w:rsidR="00B95F12" w:rsidRPr="009B56A1">
          <w:rPr>
            <w:rStyle w:val="Hyperlink"/>
            <w:noProof/>
          </w:rPr>
          <w:t>Document Access Policy</w:t>
        </w:r>
        <w:r w:rsidR="00B95F12">
          <w:rPr>
            <w:noProof/>
            <w:webHidden/>
          </w:rPr>
          <w:tab/>
        </w:r>
        <w:r w:rsidR="00B95F12">
          <w:rPr>
            <w:noProof/>
            <w:webHidden/>
          </w:rPr>
          <w:fldChar w:fldCharType="begin"/>
        </w:r>
        <w:r w:rsidR="00B95F12">
          <w:rPr>
            <w:noProof/>
            <w:webHidden/>
          </w:rPr>
          <w:instrText xml:space="preserve"> PAGEREF _Toc530750187 \h </w:instrText>
        </w:r>
        <w:r w:rsidR="00B95F12">
          <w:rPr>
            <w:noProof/>
            <w:webHidden/>
          </w:rPr>
        </w:r>
        <w:r w:rsidR="00B95F12">
          <w:rPr>
            <w:noProof/>
            <w:webHidden/>
          </w:rPr>
          <w:fldChar w:fldCharType="separate"/>
        </w:r>
        <w:r w:rsidR="00B95F12">
          <w:rPr>
            <w:noProof/>
            <w:webHidden/>
          </w:rPr>
          <w:t>30</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88" w:history="1">
        <w:r w:rsidR="00B95F12" w:rsidRPr="009B56A1">
          <w:rPr>
            <w:rStyle w:val="Hyperlink"/>
            <w:noProof/>
          </w:rPr>
          <w:t>21</w:t>
        </w:r>
        <w:r w:rsidR="00B95F12">
          <w:rPr>
            <w:rFonts w:asciiTheme="minorHAnsi" w:eastAsiaTheme="minorEastAsia" w:hAnsiTheme="minorHAnsi" w:cstheme="minorBidi"/>
            <w:noProof/>
            <w:sz w:val="22"/>
            <w:szCs w:val="22"/>
            <w:lang w:eastAsia="zh-CN"/>
          </w:rPr>
          <w:tab/>
        </w:r>
        <w:r w:rsidR="00B95F12" w:rsidRPr="009B56A1">
          <w:rPr>
            <w:rStyle w:val="Hyperlink"/>
            <w:noProof/>
          </w:rPr>
          <w:t>Operational matters</w:t>
        </w:r>
        <w:r w:rsidR="00B95F12">
          <w:rPr>
            <w:noProof/>
            <w:webHidden/>
          </w:rPr>
          <w:tab/>
        </w:r>
        <w:r w:rsidR="00B95F12">
          <w:rPr>
            <w:noProof/>
            <w:webHidden/>
          </w:rPr>
          <w:fldChar w:fldCharType="begin"/>
        </w:r>
        <w:r w:rsidR="00B95F12">
          <w:rPr>
            <w:noProof/>
            <w:webHidden/>
          </w:rPr>
          <w:instrText xml:space="preserve"> PAGEREF _Toc530750188 \h </w:instrText>
        </w:r>
        <w:r w:rsidR="00B95F12">
          <w:rPr>
            <w:noProof/>
            <w:webHidden/>
          </w:rPr>
        </w:r>
        <w:r w:rsidR="00B95F12">
          <w:rPr>
            <w:noProof/>
            <w:webHidden/>
          </w:rPr>
          <w:fldChar w:fldCharType="separate"/>
        </w:r>
        <w:r w:rsidR="00B95F12">
          <w:rPr>
            <w:noProof/>
            <w:webHidden/>
          </w:rPr>
          <w:t>30</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89" w:history="1">
        <w:r w:rsidR="00B95F12" w:rsidRPr="009B56A1">
          <w:rPr>
            <w:rStyle w:val="Hyperlink"/>
            <w:noProof/>
          </w:rPr>
          <w:t>21.1</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167 “Strengthening and developing ITU capabilities for electronic meetings and means to advance the work of the Union”</w:t>
        </w:r>
        <w:r w:rsidR="00B95F12">
          <w:rPr>
            <w:noProof/>
            <w:webHidden/>
          </w:rPr>
          <w:tab/>
        </w:r>
        <w:r w:rsidR="00B95F12">
          <w:rPr>
            <w:noProof/>
            <w:webHidden/>
          </w:rPr>
          <w:fldChar w:fldCharType="begin"/>
        </w:r>
        <w:r w:rsidR="00B95F12">
          <w:rPr>
            <w:noProof/>
            <w:webHidden/>
          </w:rPr>
          <w:instrText xml:space="preserve"> PAGEREF _Toc530750189 \h </w:instrText>
        </w:r>
        <w:r w:rsidR="00B95F12">
          <w:rPr>
            <w:noProof/>
            <w:webHidden/>
          </w:rPr>
        </w:r>
        <w:r w:rsidR="00B95F12">
          <w:rPr>
            <w:noProof/>
            <w:webHidden/>
          </w:rPr>
          <w:fldChar w:fldCharType="separate"/>
        </w:r>
        <w:r w:rsidR="00B95F12">
          <w:rPr>
            <w:noProof/>
            <w:webHidden/>
          </w:rPr>
          <w:t>30</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90" w:history="1">
        <w:r w:rsidR="00B95F12" w:rsidRPr="009B56A1">
          <w:rPr>
            <w:rStyle w:val="Hyperlink"/>
            <w:noProof/>
          </w:rPr>
          <w:t>21.2</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154 “Use of the six official languages of the Union on an equal footing”</w:t>
        </w:r>
        <w:r w:rsidR="00B95F12">
          <w:rPr>
            <w:noProof/>
            <w:webHidden/>
          </w:rPr>
          <w:tab/>
        </w:r>
        <w:r w:rsidR="00B95F12">
          <w:rPr>
            <w:noProof/>
            <w:webHidden/>
          </w:rPr>
          <w:fldChar w:fldCharType="begin"/>
        </w:r>
        <w:r w:rsidR="00B95F12">
          <w:rPr>
            <w:noProof/>
            <w:webHidden/>
          </w:rPr>
          <w:instrText xml:space="preserve"> PAGEREF _Toc530750190 \h </w:instrText>
        </w:r>
        <w:r w:rsidR="00B95F12">
          <w:rPr>
            <w:noProof/>
            <w:webHidden/>
          </w:rPr>
        </w:r>
        <w:r w:rsidR="00B95F12">
          <w:rPr>
            <w:noProof/>
            <w:webHidden/>
          </w:rPr>
          <w:fldChar w:fldCharType="separate"/>
        </w:r>
        <w:r w:rsidR="00B95F12">
          <w:rPr>
            <w:noProof/>
            <w:webHidden/>
          </w:rPr>
          <w:t>30</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91" w:history="1">
        <w:r w:rsidR="00B95F12" w:rsidRPr="009B56A1">
          <w:rPr>
            <w:rStyle w:val="Hyperlink"/>
            <w:noProof/>
          </w:rPr>
          <w:t>21.3</w:t>
        </w:r>
        <w:r w:rsidR="00B95F12">
          <w:rPr>
            <w:rFonts w:asciiTheme="minorHAnsi" w:eastAsiaTheme="minorEastAsia" w:hAnsiTheme="minorHAnsi" w:cstheme="minorBidi"/>
            <w:noProof/>
            <w:sz w:val="22"/>
            <w:szCs w:val="22"/>
            <w:lang w:eastAsia="zh-CN"/>
          </w:rPr>
          <w:tab/>
        </w:r>
        <w:r w:rsidR="00B95F12" w:rsidRPr="009B56A1">
          <w:rPr>
            <w:rStyle w:val="Hyperlink"/>
            <w:noProof/>
          </w:rPr>
          <w:t>New Resolution COM6/2 “The Union's future headquarters premises”</w:t>
        </w:r>
        <w:r w:rsidR="00B95F12">
          <w:rPr>
            <w:noProof/>
            <w:webHidden/>
          </w:rPr>
          <w:tab/>
        </w:r>
        <w:r w:rsidR="00B95F12">
          <w:rPr>
            <w:noProof/>
            <w:webHidden/>
          </w:rPr>
          <w:fldChar w:fldCharType="begin"/>
        </w:r>
        <w:r w:rsidR="00B95F12">
          <w:rPr>
            <w:noProof/>
            <w:webHidden/>
          </w:rPr>
          <w:instrText xml:space="preserve"> PAGEREF _Toc530750191 \h </w:instrText>
        </w:r>
        <w:r w:rsidR="00B95F12">
          <w:rPr>
            <w:noProof/>
            <w:webHidden/>
          </w:rPr>
        </w:r>
        <w:r w:rsidR="00B95F12">
          <w:rPr>
            <w:noProof/>
            <w:webHidden/>
          </w:rPr>
          <w:fldChar w:fldCharType="separate"/>
        </w:r>
        <w:r w:rsidR="00B95F12">
          <w:rPr>
            <w:noProof/>
            <w:webHidden/>
          </w:rPr>
          <w:t>30</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92" w:history="1">
        <w:r w:rsidR="00B95F12" w:rsidRPr="009B56A1">
          <w:rPr>
            <w:rStyle w:val="Hyperlink"/>
            <w:noProof/>
          </w:rPr>
          <w:t>21.4</w:t>
        </w:r>
        <w:r w:rsidR="00B95F12">
          <w:rPr>
            <w:rFonts w:asciiTheme="minorHAnsi" w:eastAsiaTheme="minorEastAsia" w:hAnsiTheme="minorHAnsi" w:cstheme="minorBidi"/>
            <w:noProof/>
            <w:sz w:val="22"/>
            <w:szCs w:val="22"/>
            <w:lang w:eastAsia="zh-CN"/>
          </w:rPr>
          <w:tab/>
        </w:r>
        <w:r w:rsidR="00B95F12" w:rsidRPr="009B56A1">
          <w:rPr>
            <w:rStyle w:val="Hyperlink"/>
            <w:noProof/>
          </w:rPr>
          <w:t>Resolution 194 “Options for the Union’s Headquarter premises over the long-term”</w:t>
        </w:r>
        <w:r w:rsidR="00B95F12">
          <w:rPr>
            <w:noProof/>
            <w:webHidden/>
          </w:rPr>
          <w:tab/>
        </w:r>
        <w:r w:rsidR="00B95F12">
          <w:rPr>
            <w:noProof/>
            <w:webHidden/>
          </w:rPr>
          <w:fldChar w:fldCharType="begin"/>
        </w:r>
        <w:r w:rsidR="00B95F12">
          <w:rPr>
            <w:noProof/>
            <w:webHidden/>
          </w:rPr>
          <w:instrText xml:space="preserve"> PAGEREF _Toc530750192 \h </w:instrText>
        </w:r>
        <w:r w:rsidR="00B95F12">
          <w:rPr>
            <w:noProof/>
            <w:webHidden/>
          </w:rPr>
        </w:r>
        <w:r w:rsidR="00B95F12">
          <w:rPr>
            <w:noProof/>
            <w:webHidden/>
          </w:rPr>
          <w:fldChar w:fldCharType="separate"/>
        </w:r>
        <w:r w:rsidR="00B95F12">
          <w:rPr>
            <w:noProof/>
            <w:webHidden/>
          </w:rPr>
          <w:t>30</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93" w:history="1">
        <w:r w:rsidR="00B95F12" w:rsidRPr="009B56A1">
          <w:rPr>
            <w:rStyle w:val="Hyperlink"/>
            <w:noProof/>
          </w:rPr>
          <w:t>22</w:t>
        </w:r>
        <w:r w:rsidR="00B95F12">
          <w:rPr>
            <w:rFonts w:asciiTheme="minorHAnsi" w:eastAsiaTheme="minorEastAsia" w:hAnsiTheme="minorHAnsi" w:cstheme="minorBidi"/>
            <w:noProof/>
            <w:sz w:val="22"/>
            <w:szCs w:val="22"/>
            <w:lang w:eastAsia="zh-CN"/>
          </w:rPr>
          <w:tab/>
        </w:r>
        <w:r w:rsidR="00B95F12" w:rsidRPr="009B56A1">
          <w:rPr>
            <w:rStyle w:val="Hyperlink"/>
            <w:noProof/>
          </w:rPr>
          <w:t>Events</w:t>
        </w:r>
        <w:r w:rsidR="00B95F12">
          <w:rPr>
            <w:noProof/>
            <w:webHidden/>
          </w:rPr>
          <w:tab/>
        </w:r>
        <w:r w:rsidR="00B95F12">
          <w:rPr>
            <w:noProof/>
            <w:webHidden/>
          </w:rPr>
          <w:fldChar w:fldCharType="begin"/>
        </w:r>
        <w:r w:rsidR="00B95F12">
          <w:rPr>
            <w:noProof/>
            <w:webHidden/>
          </w:rPr>
          <w:instrText xml:space="preserve"> PAGEREF _Toc530750193 \h </w:instrText>
        </w:r>
        <w:r w:rsidR="00B95F12">
          <w:rPr>
            <w:noProof/>
            <w:webHidden/>
          </w:rPr>
        </w:r>
        <w:r w:rsidR="00B95F12">
          <w:rPr>
            <w:noProof/>
            <w:webHidden/>
          </w:rPr>
          <w:fldChar w:fldCharType="separate"/>
        </w:r>
        <w:r w:rsidR="00B95F12">
          <w:rPr>
            <w:noProof/>
            <w:webHidden/>
          </w:rPr>
          <w:t>30</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94" w:history="1">
        <w:r w:rsidR="00B95F12" w:rsidRPr="009B56A1">
          <w:rPr>
            <w:rStyle w:val="Hyperlink"/>
            <w:noProof/>
          </w:rPr>
          <w:t>22.1</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2 “World telecommunication/information and communication technology policy forum”</w:t>
        </w:r>
        <w:r w:rsidR="00B95F12">
          <w:rPr>
            <w:noProof/>
            <w:webHidden/>
          </w:rPr>
          <w:tab/>
        </w:r>
        <w:r w:rsidR="00B95F12">
          <w:rPr>
            <w:noProof/>
            <w:webHidden/>
          </w:rPr>
          <w:fldChar w:fldCharType="begin"/>
        </w:r>
        <w:r w:rsidR="00B95F12">
          <w:rPr>
            <w:noProof/>
            <w:webHidden/>
          </w:rPr>
          <w:instrText xml:space="preserve"> PAGEREF _Toc530750194 \h </w:instrText>
        </w:r>
        <w:r w:rsidR="00B95F12">
          <w:rPr>
            <w:noProof/>
            <w:webHidden/>
          </w:rPr>
        </w:r>
        <w:r w:rsidR="00B95F12">
          <w:rPr>
            <w:noProof/>
            <w:webHidden/>
          </w:rPr>
          <w:fldChar w:fldCharType="separate"/>
        </w:r>
        <w:r w:rsidR="00B95F12">
          <w:rPr>
            <w:noProof/>
            <w:webHidden/>
          </w:rPr>
          <w:t>30</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95" w:history="1">
        <w:r w:rsidR="00B95F12" w:rsidRPr="009B56A1">
          <w:rPr>
            <w:rStyle w:val="Hyperlink"/>
            <w:noProof/>
          </w:rPr>
          <w:t>22.2</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77 “Scheduling and duration of conferences, forums, assemblies and Council sessions of the Union (2019-2023)”</w:t>
        </w:r>
        <w:r w:rsidR="00B95F12">
          <w:rPr>
            <w:noProof/>
            <w:webHidden/>
          </w:rPr>
          <w:tab/>
        </w:r>
        <w:r w:rsidR="00B95F12">
          <w:rPr>
            <w:noProof/>
            <w:webHidden/>
          </w:rPr>
          <w:fldChar w:fldCharType="begin"/>
        </w:r>
        <w:r w:rsidR="00B95F12">
          <w:rPr>
            <w:noProof/>
            <w:webHidden/>
          </w:rPr>
          <w:instrText xml:space="preserve"> PAGEREF _Toc530750195 \h </w:instrText>
        </w:r>
        <w:r w:rsidR="00B95F12">
          <w:rPr>
            <w:noProof/>
            <w:webHidden/>
          </w:rPr>
        </w:r>
        <w:r w:rsidR="00B95F12">
          <w:rPr>
            <w:noProof/>
            <w:webHidden/>
          </w:rPr>
          <w:fldChar w:fldCharType="separate"/>
        </w:r>
        <w:r w:rsidR="00B95F12">
          <w:rPr>
            <w:noProof/>
            <w:webHidden/>
          </w:rPr>
          <w:t>31</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96" w:history="1">
        <w:r w:rsidR="00B95F12" w:rsidRPr="009B56A1">
          <w:rPr>
            <w:rStyle w:val="Hyperlink"/>
            <w:noProof/>
          </w:rPr>
          <w:t>22.3</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11 “ITU Telecom events”</w:t>
        </w:r>
        <w:r w:rsidR="00B95F12">
          <w:rPr>
            <w:noProof/>
            <w:webHidden/>
          </w:rPr>
          <w:tab/>
        </w:r>
        <w:r w:rsidR="00B95F12">
          <w:rPr>
            <w:noProof/>
            <w:webHidden/>
          </w:rPr>
          <w:fldChar w:fldCharType="begin"/>
        </w:r>
        <w:r w:rsidR="00B95F12">
          <w:rPr>
            <w:noProof/>
            <w:webHidden/>
          </w:rPr>
          <w:instrText xml:space="preserve"> PAGEREF _Toc530750196 \h </w:instrText>
        </w:r>
        <w:r w:rsidR="00B95F12">
          <w:rPr>
            <w:noProof/>
            <w:webHidden/>
          </w:rPr>
        </w:r>
        <w:r w:rsidR="00B95F12">
          <w:rPr>
            <w:noProof/>
            <w:webHidden/>
          </w:rPr>
          <w:fldChar w:fldCharType="separate"/>
        </w:r>
        <w:r w:rsidR="00B95F12">
          <w:rPr>
            <w:noProof/>
            <w:webHidden/>
          </w:rPr>
          <w:t>31</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97" w:history="1">
        <w:r w:rsidR="00B95F12" w:rsidRPr="009B56A1">
          <w:rPr>
            <w:rStyle w:val="Hyperlink"/>
            <w:noProof/>
          </w:rPr>
          <w:t>22.4</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165 “Deadlines for the submission of proposals and procedures for the registration of participants for conferences and assemblies of the Union”</w:t>
        </w:r>
        <w:r w:rsidR="00B95F12">
          <w:rPr>
            <w:noProof/>
            <w:webHidden/>
          </w:rPr>
          <w:tab/>
        </w:r>
        <w:r w:rsidR="00B95F12">
          <w:rPr>
            <w:noProof/>
            <w:webHidden/>
          </w:rPr>
          <w:fldChar w:fldCharType="begin"/>
        </w:r>
        <w:r w:rsidR="00B95F12">
          <w:rPr>
            <w:noProof/>
            <w:webHidden/>
          </w:rPr>
          <w:instrText xml:space="preserve"> PAGEREF _Toc530750197 \h </w:instrText>
        </w:r>
        <w:r w:rsidR="00B95F12">
          <w:rPr>
            <w:noProof/>
            <w:webHidden/>
          </w:rPr>
        </w:r>
        <w:r w:rsidR="00B95F12">
          <w:rPr>
            <w:noProof/>
            <w:webHidden/>
          </w:rPr>
          <w:fldChar w:fldCharType="separate"/>
        </w:r>
        <w:r w:rsidR="00B95F12">
          <w:rPr>
            <w:noProof/>
            <w:webHidden/>
          </w:rPr>
          <w:t>31</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198" w:history="1">
        <w:r w:rsidR="00B95F12" w:rsidRPr="009B56A1">
          <w:rPr>
            <w:rStyle w:val="Hyperlink"/>
            <w:noProof/>
          </w:rPr>
          <w:t>22.5</w:t>
        </w:r>
        <w:r w:rsidR="00B95F12">
          <w:rPr>
            <w:rFonts w:asciiTheme="minorHAnsi" w:eastAsiaTheme="minorEastAsia" w:hAnsiTheme="minorHAnsi" w:cstheme="minorBidi"/>
            <w:noProof/>
            <w:sz w:val="22"/>
            <w:szCs w:val="22"/>
            <w:lang w:eastAsia="zh-CN"/>
          </w:rPr>
          <w:tab/>
        </w:r>
        <w:r w:rsidR="00B95F12" w:rsidRPr="009B56A1">
          <w:rPr>
            <w:rStyle w:val="Hyperlink"/>
            <w:noProof/>
          </w:rPr>
          <w:t>Resolution 111 “Considering major religious periods in the scheduling of ITU conferences, assemblies and Council sessions”</w:t>
        </w:r>
        <w:r w:rsidR="00B95F12">
          <w:rPr>
            <w:noProof/>
            <w:webHidden/>
          </w:rPr>
          <w:tab/>
        </w:r>
        <w:r w:rsidR="00B95F12">
          <w:rPr>
            <w:noProof/>
            <w:webHidden/>
          </w:rPr>
          <w:fldChar w:fldCharType="begin"/>
        </w:r>
        <w:r w:rsidR="00B95F12">
          <w:rPr>
            <w:noProof/>
            <w:webHidden/>
          </w:rPr>
          <w:instrText xml:space="preserve"> PAGEREF _Toc530750198 \h </w:instrText>
        </w:r>
        <w:r w:rsidR="00B95F12">
          <w:rPr>
            <w:noProof/>
            <w:webHidden/>
          </w:rPr>
        </w:r>
        <w:r w:rsidR="00B95F12">
          <w:rPr>
            <w:noProof/>
            <w:webHidden/>
          </w:rPr>
          <w:fldChar w:fldCharType="separate"/>
        </w:r>
        <w:r w:rsidR="00B95F12">
          <w:rPr>
            <w:noProof/>
            <w:webHidden/>
          </w:rPr>
          <w:t>31</w:t>
        </w:r>
        <w:r w:rsidR="00B95F12">
          <w:rPr>
            <w:noProof/>
            <w:webHidden/>
          </w:rPr>
          <w:fldChar w:fldCharType="end"/>
        </w:r>
      </w:hyperlink>
    </w:p>
    <w:p w:rsidR="00B95F12" w:rsidRDefault="00407B98">
      <w:pPr>
        <w:pStyle w:val="TOC1"/>
        <w:rPr>
          <w:rFonts w:asciiTheme="minorHAnsi" w:eastAsiaTheme="minorEastAsia" w:hAnsiTheme="minorHAnsi" w:cstheme="minorBidi"/>
          <w:noProof/>
          <w:sz w:val="22"/>
          <w:szCs w:val="22"/>
          <w:lang w:eastAsia="zh-CN"/>
        </w:rPr>
      </w:pPr>
      <w:hyperlink w:anchor="_Toc530750199" w:history="1">
        <w:r w:rsidR="00B95F12" w:rsidRPr="009B56A1">
          <w:rPr>
            <w:rStyle w:val="Hyperlink"/>
            <w:rFonts w:asciiTheme="majorBidi" w:hAnsiTheme="majorBidi" w:cstheme="majorBidi"/>
            <w:noProof/>
          </w:rPr>
          <w:t>23</w:t>
        </w:r>
        <w:r w:rsidR="00B95F12">
          <w:rPr>
            <w:rFonts w:asciiTheme="minorHAnsi" w:eastAsiaTheme="minorEastAsia" w:hAnsiTheme="minorHAnsi" w:cstheme="minorBidi"/>
            <w:noProof/>
            <w:sz w:val="22"/>
            <w:szCs w:val="22"/>
            <w:lang w:eastAsia="zh-CN"/>
          </w:rPr>
          <w:tab/>
        </w:r>
        <w:r w:rsidR="00B95F12" w:rsidRPr="009B56A1">
          <w:rPr>
            <w:rStyle w:val="Hyperlink"/>
            <w:noProof/>
          </w:rPr>
          <w:t>Measuring ICTs</w:t>
        </w:r>
        <w:r w:rsidR="00B95F12">
          <w:rPr>
            <w:noProof/>
            <w:webHidden/>
          </w:rPr>
          <w:tab/>
        </w:r>
        <w:r w:rsidR="00B95F12">
          <w:rPr>
            <w:noProof/>
            <w:webHidden/>
          </w:rPr>
          <w:fldChar w:fldCharType="begin"/>
        </w:r>
        <w:r w:rsidR="00B95F12">
          <w:rPr>
            <w:noProof/>
            <w:webHidden/>
          </w:rPr>
          <w:instrText xml:space="preserve"> PAGEREF _Toc530750199 \h </w:instrText>
        </w:r>
        <w:r w:rsidR="00B95F12">
          <w:rPr>
            <w:noProof/>
            <w:webHidden/>
          </w:rPr>
        </w:r>
        <w:r w:rsidR="00B95F12">
          <w:rPr>
            <w:noProof/>
            <w:webHidden/>
          </w:rPr>
          <w:fldChar w:fldCharType="separate"/>
        </w:r>
        <w:r w:rsidR="00B95F12">
          <w:rPr>
            <w:noProof/>
            <w:webHidden/>
          </w:rPr>
          <w:t>31</w:t>
        </w:r>
        <w:r w:rsidR="00B95F12">
          <w:rPr>
            <w:noProof/>
            <w:webHidden/>
          </w:rPr>
          <w:fldChar w:fldCharType="end"/>
        </w:r>
      </w:hyperlink>
    </w:p>
    <w:p w:rsidR="00B95F12" w:rsidRDefault="00407B98">
      <w:pPr>
        <w:pStyle w:val="TOC2"/>
        <w:rPr>
          <w:rFonts w:asciiTheme="minorHAnsi" w:eastAsiaTheme="minorEastAsia" w:hAnsiTheme="minorHAnsi" w:cstheme="minorBidi"/>
          <w:noProof/>
          <w:sz w:val="22"/>
          <w:szCs w:val="22"/>
          <w:lang w:eastAsia="zh-CN"/>
        </w:rPr>
      </w:pPr>
      <w:hyperlink w:anchor="_Toc530750200" w:history="1">
        <w:r w:rsidR="00B95F12" w:rsidRPr="009B56A1">
          <w:rPr>
            <w:rStyle w:val="Hyperlink"/>
            <w:noProof/>
          </w:rPr>
          <w:t>23.1</w:t>
        </w:r>
        <w:r w:rsidR="00B95F12">
          <w:rPr>
            <w:rFonts w:asciiTheme="minorHAnsi" w:eastAsiaTheme="minorEastAsia" w:hAnsiTheme="minorHAnsi" w:cstheme="minorBidi"/>
            <w:noProof/>
            <w:sz w:val="22"/>
            <w:szCs w:val="22"/>
            <w:lang w:eastAsia="zh-CN"/>
          </w:rPr>
          <w:tab/>
        </w:r>
        <w:r w:rsidR="00B95F12" w:rsidRPr="009B56A1">
          <w:rPr>
            <w:rStyle w:val="Hyperlink"/>
            <w:noProof/>
          </w:rPr>
          <w:t>Revised Resolution 131 “Measuring information and communication technologies to build an integrating and inclusive information society”</w:t>
        </w:r>
        <w:r w:rsidR="00B95F12">
          <w:rPr>
            <w:noProof/>
            <w:webHidden/>
          </w:rPr>
          <w:tab/>
        </w:r>
        <w:r w:rsidR="00B95F12">
          <w:rPr>
            <w:noProof/>
            <w:webHidden/>
          </w:rPr>
          <w:fldChar w:fldCharType="begin"/>
        </w:r>
        <w:r w:rsidR="00B95F12">
          <w:rPr>
            <w:noProof/>
            <w:webHidden/>
          </w:rPr>
          <w:instrText xml:space="preserve"> PAGEREF _Toc530750200 \h </w:instrText>
        </w:r>
        <w:r w:rsidR="00B95F12">
          <w:rPr>
            <w:noProof/>
            <w:webHidden/>
          </w:rPr>
        </w:r>
        <w:r w:rsidR="00B95F12">
          <w:rPr>
            <w:noProof/>
            <w:webHidden/>
          </w:rPr>
          <w:fldChar w:fldCharType="separate"/>
        </w:r>
        <w:r w:rsidR="00B95F12">
          <w:rPr>
            <w:noProof/>
            <w:webHidden/>
          </w:rPr>
          <w:t>31</w:t>
        </w:r>
        <w:r w:rsidR="00B95F12">
          <w:rPr>
            <w:noProof/>
            <w:webHidden/>
          </w:rPr>
          <w:fldChar w:fldCharType="end"/>
        </w:r>
      </w:hyperlink>
    </w:p>
    <w:p w:rsidR="00342474" w:rsidRDefault="00633F39">
      <w:pPr>
        <w:rPr>
          <w:highlight w:val="yellow"/>
        </w:rPr>
      </w:pPr>
      <w:r>
        <w:rPr>
          <w:highlight w:val="yellow"/>
        </w:rPr>
        <w:fldChar w:fldCharType="end"/>
      </w:r>
    </w:p>
    <w:p w:rsidR="00342474" w:rsidRDefault="00633F39">
      <w:pPr>
        <w:pStyle w:val="Heading1"/>
        <w:pageBreakBefore/>
        <w:jc w:val="center"/>
        <w:rPr>
          <w:sz w:val="28"/>
          <w:szCs w:val="28"/>
        </w:rPr>
      </w:pPr>
      <w:bookmarkStart w:id="11" w:name="_Toc530750092"/>
      <w:r>
        <w:rPr>
          <w:sz w:val="28"/>
          <w:szCs w:val="28"/>
        </w:rPr>
        <w:lastRenderedPageBreak/>
        <w:t>PP-18 in a nutshell</w:t>
      </w:r>
      <w:bookmarkEnd w:id="11"/>
    </w:p>
    <w:p w:rsidR="00342474" w:rsidRDefault="00633F39">
      <w:pPr>
        <w:pStyle w:val="Heading1"/>
        <w:spacing w:before="240"/>
      </w:pPr>
      <w:bookmarkStart w:id="12" w:name="_Toc530750093"/>
      <w:r>
        <w:t>0</w:t>
      </w:r>
      <w:r>
        <w:tab/>
        <w:t>One-line summary</w:t>
      </w:r>
      <w:bookmarkEnd w:id="12"/>
    </w:p>
    <w:p w:rsidR="00342474" w:rsidRDefault="00633F39">
      <w:pPr>
        <w:numPr>
          <w:ilvl w:val="0"/>
          <w:numId w:val="4"/>
        </w:numPr>
        <w:tabs>
          <w:tab w:val="clear" w:pos="794"/>
          <w:tab w:val="clear" w:pos="1191"/>
          <w:tab w:val="clear" w:pos="1588"/>
          <w:tab w:val="clear" w:pos="1985"/>
        </w:tabs>
        <w:overflowPunct/>
        <w:autoSpaceDE/>
        <w:autoSpaceDN/>
        <w:adjustRightInd/>
        <w:textAlignment w:val="auto"/>
      </w:pPr>
      <w:r>
        <w:t>Smooth but busy (lengthy debates) PP-18.</w:t>
      </w:r>
    </w:p>
    <w:p w:rsidR="00342474" w:rsidRDefault="00633F39">
      <w:pPr>
        <w:pStyle w:val="Heading1"/>
        <w:numPr>
          <w:ilvl w:val="0"/>
          <w:numId w:val="17"/>
        </w:numPr>
        <w:spacing w:before="240"/>
      </w:pPr>
      <w:bookmarkStart w:id="13" w:name="_Toc530750094"/>
      <w:r>
        <w:t>Statistics</w:t>
      </w:r>
      <w:bookmarkEnd w:id="13"/>
    </w:p>
    <w:p w:rsidR="00342474" w:rsidRDefault="00633F39" w:rsidP="001161C7">
      <w:pPr>
        <w:pStyle w:val="ListParagraph"/>
        <w:numPr>
          <w:ilvl w:val="0"/>
          <w:numId w:val="16"/>
        </w:numPr>
        <w:overflowPunct/>
        <w:autoSpaceDE/>
        <w:autoSpaceDN/>
        <w:adjustRightInd/>
        <w:spacing w:before="60"/>
        <w:ind w:left="357" w:hanging="357"/>
        <w:contextualSpacing w:val="0"/>
        <w:textAlignment w:val="auto"/>
        <w:rPr>
          <w:rFonts w:ascii="Times New Roman" w:hAnsi="Times New Roman"/>
        </w:rPr>
      </w:pPr>
      <w:r>
        <w:rPr>
          <w:rFonts w:ascii="Times New Roman" w:hAnsi="Times New Roman"/>
        </w:rPr>
        <w:t>PP-18 took place from 29 October to 16 November 2018, Dubai, United Arab Emirates. UAE did an outstanding job. Conference facilities were excellent.</w:t>
      </w:r>
    </w:p>
    <w:p w:rsidR="00342474" w:rsidRDefault="00633F39" w:rsidP="001161C7">
      <w:pPr>
        <w:pStyle w:val="ListParagraph"/>
        <w:numPr>
          <w:ilvl w:val="0"/>
          <w:numId w:val="16"/>
        </w:numPr>
        <w:overflowPunct/>
        <w:autoSpaceDE/>
        <w:autoSpaceDN/>
        <w:adjustRightInd/>
        <w:spacing w:before="60"/>
        <w:ind w:left="357" w:hanging="357"/>
        <w:contextualSpacing w:val="0"/>
        <w:textAlignment w:val="auto"/>
        <w:rPr>
          <w:rFonts w:ascii="Times New Roman" w:hAnsi="Times New Roman"/>
        </w:rPr>
      </w:pPr>
      <w:proofErr w:type="gramStart"/>
      <w:r>
        <w:rPr>
          <w:rFonts w:ascii="Times New Roman" w:hAnsi="Times New Roman"/>
        </w:rPr>
        <w:t>Chairman</w:t>
      </w:r>
      <w:proofErr w:type="gramEnd"/>
      <w:r>
        <w:rPr>
          <w:rFonts w:ascii="Times New Roman" w:hAnsi="Times New Roman"/>
        </w:rPr>
        <w:t xml:space="preserve"> of PP-18: H.E. Mr Majed Almesmar.</w:t>
      </w:r>
    </w:p>
    <w:p w:rsidR="00342474" w:rsidRDefault="00633F39" w:rsidP="001161C7">
      <w:pPr>
        <w:pStyle w:val="ListParagraph"/>
        <w:numPr>
          <w:ilvl w:val="0"/>
          <w:numId w:val="16"/>
        </w:numPr>
        <w:overflowPunct/>
        <w:autoSpaceDE/>
        <w:autoSpaceDN/>
        <w:adjustRightInd/>
        <w:spacing w:before="60"/>
        <w:ind w:left="357" w:hanging="357"/>
        <w:contextualSpacing w:val="0"/>
        <w:textAlignment w:val="auto"/>
        <w:rPr>
          <w:rFonts w:ascii="Times New Roman" w:hAnsi="Times New Roman"/>
        </w:rPr>
      </w:pPr>
      <w:r>
        <w:rPr>
          <w:rFonts w:ascii="Times New Roman" w:hAnsi="Times New Roman"/>
        </w:rPr>
        <w:t>Outcome of PP-18:</w:t>
      </w:r>
    </w:p>
    <w:p w:rsidR="00342474" w:rsidRDefault="00633F39">
      <w:pPr>
        <w:numPr>
          <w:ilvl w:val="0"/>
          <w:numId w:val="2"/>
        </w:numPr>
        <w:tabs>
          <w:tab w:val="clear" w:pos="794"/>
          <w:tab w:val="clear" w:pos="1191"/>
          <w:tab w:val="clear" w:pos="1588"/>
          <w:tab w:val="clear" w:pos="1985"/>
        </w:tabs>
        <w:overflowPunct/>
        <w:autoSpaceDE/>
        <w:autoSpaceDN/>
        <w:adjustRightInd/>
        <w:spacing w:before="60"/>
        <w:textAlignment w:val="auto"/>
      </w:pPr>
      <w:r>
        <w:t>MODified 51 Resolutions,</w:t>
      </w:r>
    </w:p>
    <w:p w:rsidR="00342474" w:rsidRDefault="00633F39">
      <w:pPr>
        <w:numPr>
          <w:ilvl w:val="0"/>
          <w:numId w:val="2"/>
        </w:numPr>
        <w:tabs>
          <w:tab w:val="clear" w:pos="794"/>
          <w:tab w:val="clear" w:pos="1191"/>
          <w:tab w:val="clear" w:pos="1588"/>
          <w:tab w:val="clear" w:pos="1985"/>
        </w:tabs>
        <w:overflowPunct/>
        <w:autoSpaceDE/>
        <w:autoSpaceDN/>
        <w:adjustRightInd/>
        <w:spacing w:before="60"/>
        <w:textAlignment w:val="auto"/>
      </w:pPr>
      <w:r>
        <w:t>ADDed 10 new Resolutions,</w:t>
      </w:r>
    </w:p>
    <w:p w:rsidR="00342474" w:rsidRDefault="00633F39">
      <w:pPr>
        <w:numPr>
          <w:ilvl w:val="0"/>
          <w:numId w:val="2"/>
        </w:numPr>
        <w:tabs>
          <w:tab w:val="clear" w:pos="794"/>
          <w:tab w:val="clear" w:pos="1191"/>
          <w:tab w:val="clear" w:pos="1588"/>
          <w:tab w:val="clear" w:pos="1985"/>
        </w:tabs>
        <w:overflowPunct/>
        <w:autoSpaceDE/>
        <w:autoSpaceDN/>
        <w:adjustRightInd/>
        <w:spacing w:before="60"/>
        <w:textAlignment w:val="auto"/>
      </w:pPr>
      <w:r>
        <w:t>SUPpressed 10 Resolutions,</w:t>
      </w:r>
    </w:p>
    <w:p w:rsidR="00342474" w:rsidRDefault="00633F39">
      <w:pPr>
        <w:numPr>
          <w:ilvl w:val="0"/>
          <w:numId w:val="2"/>
        </w:numPr>
        <w:tabs>
          <w:tab w:val="clear" w:pos="794"/>
          <w:tab w:val="clear" w:pos="1191"/>
          <w:tab w:val="clear" w:pos="1588"/>
          <w:tab w:val="clear" w:pos="1985"/>
        </w:tabs>
        <w:overflowPunct/>
        <w:autoSpaceDE/>
        <w:autoSpaceDN/>
        <w:adjustRightInd/>
        <w:spacing w:before="60"/>
        <w:textAlignment w:val="auto"/>
      </w:pPr>
      <w:r>
        <w:t>5 Resolutions agreed to remain unchanged,</w:t>
      </w:r>
    </w:p>
    <w:p w:rsidR="00342474" w:rsidRDefault="00633F39">
      <w:pPr>
        <w:numPr>
          <w:ilvl w:val="0"/>
          <w:numId w:val="2"/>
        </w:numPr>
        <w:tabs>
          <w:tab w:val="clear" w:pos="794"/>
          <w:tab w:val="clear" w:pos="1191"/>
          <w:tab w:val="clear" w:pos="1588"/>
          <w:tab w:val="clear" w:pos="1985"/>
        </w:tabs>
        <w:overflowPunct/>
        <w:autoSpaceDE/>
        <w:autoSpaceDN/>
        <w:adjustRightInd/>
        <w:spacing w:before="60"/>
        <w:textAlignment w:val="auto"/>
      </w:pPr>
      <w:r>
        <w:t>2 MODified Decisions,</w:t>
      </w:r>
    </w:p>
    <w:p w:rsidR="00342474" w:rsidRDefault="00633F39">
      <w:pPr>
        <w:numPr>
          <w:ilvl w:val="0"/>
          <w:numId w:val="2"/>
        </w:numPr>
        <w:tabs>
          <w:tab w:val="clear" w:pos="794"/>
          <w:tab w:val="clear" w:pos="1191"/>
          <w:tab w:val="clear" w:pos="1588"/>
          <w:tab w:val="clear" w:pos="1985"/>
        </w:tabs>
        <w:overflowPunct/>
        <w:autoSpaceDE/>
        <w:autoSpaceDN/>
        <w:adjustRightInd/>
        <w:spacing w:before="60"/>
        <w:textAlignment w:val="auto"/>
      </w:pPr>
      <w:r>
        <w:t>1 SUPpressed Decision,</w:t>
      </w:r>
    </w:p>
    <w:p w:rsidR="00342474" w:rsidRDefault="00633F39">
      <w:pPr>
        <w:numPr>
          <w:ilvl w:val="0"/>
          <w:numId w:val="2"/>
        </w:numPr>
        <w:tabs>
          <w:tab w:val="clear" w:pos="794"/>
          <w:tab w:val="clear" w:pos="1191"/>
          <w:tab w:val="clear" w:pos="1588"/>
          <w:tab w:val="clear" w:pos="1985"/>
        </w:tabs>
        <w:overflowPunct/>
        <w:autoSpaceDE/>
        <w:autoSpaceDN/>
        <w:adjustRightInd/>
        <w:spacing w:before="60"/>
        <w:textAlignment w:val="auto"/>
      </w:pPr>
      <w:proofErr w:type="gramStart"/>
      <w:r>
        <w:t>7</w:t>
      </w:r>
      <w:proofErr w:type="gramEnd"/>
      <w:r>
        <w:t xml:space="preserve"> other agreements/Recommendations.</w:t>
      </w:r>
    </w:p>
    <w:p w:rsidR="00342474" w:rsidRDefault="00633F39">
      <w:pPr>
        <w:pStyle w:val="Heading1"/>
        <w:numPr>
          <w:ilvl w:val="0"/>
          <w:numId w:val="14"/>
        </w:numPr>
        <w:spacing w:before="240"/>
      </w:pPr>
      <w:bookmarkStart w:id="14" w:name="_Toc530750095"/>
      <w:r>
        <w:t>Elections</w:t>
      </w:r>
      <w:bookmarkEnd w:id="14"/>
    </w:p>
    <w:p w:rsidR="00342474" w:rsidRDefault="00633F39">
      <w:pPr>
        <w:pStyle w:val="Heading2"/>
        <w:spacing w:before="120"/>
      </w:pPr>
      <w:bookmarkStart w:id="15" w:name="_Toc530750096"/>
      <w:r>
        <w:t>2.1</w:t>
      </w:r>
      <w:r>
        <w:tab/>
        <w:t>Elected for term of office as of 1 January 2019</w:t>
      </w:r>
      <w:bookmarkEnd w:id="15"/>
    </w:p>
    <w:p w:rsidR="00342474" w:rsidRDefault="00633F39" w:rsidP="001161C7">
      <w:pPr>
        <w:pStyle w:val="ListParagraph"/>
        <w:numPr>
          <w:ilvl w:val="0"/>
          <w:numId w:val="15"/>
        </w:numPr>
        <w:overflowPunct/>
        <w:autoSpaceDE/>
        <w:autoSpaceDN/>
        <w:adjustRightInd/>
        <w:spacing w:before="60"/>
        <w:ind w:left="357" w:hanging="357"/>
        <w:contextualSpacing w:val="0"/>
        <w:textAlignment w:val="auto"/>
        <w:rPr>
          <w:rFonts w:ascii="Times New Roman" w:hAnsi="Times New Roman"/>
        </w:rPr>
      </w:pPr>
      <w:r>
        <w:rPr>
          <w:rFonts w:ascii="Times New Roman" w:hAnsi="Times New Roman"/>
        </w:rPr>
        <w:t>Secretary-General: Mr Houlin Zhao (China),</w:t>
      </w:r>
    </w:p>
    <w:p w:rsidR="00342474" w:rsidRDefault="00633F39" w:rsidP="001161C7">
      <w:pPr>
        <w:pStyle w:val="ListParagraph"/>
        <w:numPr>
          <w:ilvl w:val="0"/>
          <w:numId w:val="15"/>
        </w:numPr>
        <w:overflowPunct/>
        <w:autoSpaceDE/>
        <w:autoSpaceDN/>
        <w:adjustRightInd/>
        <w:spacing w:before="60"/>
        <w:ind w:left="357" w:hanging="357"/>
        <w:contextualSpacing w:val="0"/>
        <w:textAlignment w:val="auto"/>
        <w:rPr>
          <w:rFonts w:ascii="Times New Roman" w:hAnsi="Times New Roman"/>
        </w:rPr>
      </w:pPr>
      <w:r>
        <w:rPr>
          <w:rFonts w:ascii="Times New Roman" w:hAnsi="Times New Roman"/>
        </w:rPr>
        <w:t>Deputy-Secretary General: Mr Malcolm Johnson (United Kingdom),</w:t>
      </w:r>
    </w:p>
    <w:p w:rsidR="00342474" w:rsidRDefault="00633F39" w:rsidP="001161C7">
      <w:pPr>
        <w:pStyle w:val="ListParagraph"/>
        <w:numPr>
          <w:ilvl w:val="0"/>
          <w:numId w:val="15"/>
        </w:numPr>
        <w:overflowPunct/>
        <w:autoSpaceDE/>
        <w:autoSpaceDN/>
        <w:adjustRightInd/>
        <w:spacing w:before="60"/>
        <w:ind w:left="357" w:hanging="357"/>
        <w:contextualSpacing w:val="0"/>
        <w:textAlignment w:val="auto"/>
        <w:rPr>
          <w:rFonts w:ascii="Times New Roman" w:hAnsi="Times New Roman"/>
        </w:rPr>
      </w:pPr>
      <w:r>
        <w:rPr>
          <w:rFonts w:ascii="Times New Roman" w:hAnsi="Times New Roman"/>
        </w:rPr>
        <w:t xml:space="preserve">BR Director: Mr </w:t>
      </w:r>
      <w:r>
        <w:rPr>
          <w:rStyle w:val="Strong"/>
          <w:rFonts w:ascii="Times New Roman" w:hAnsi="Times New Roman"/>
          <w:b w:val="0"/>
          <w:bCs w:val="0"/>
        </w:rPr>
        <w:t>Mario Maniewicz (</w:t>
      </w:r>
      <w:r>
        <w:rPr>
          <w:rFonts w:ascii="Times New Roman" w:hAnsi="Times New Roman"/>
        </w:rPr>
        <w:t>Uruguay</w:t>
      </w:r>
      <w:r>
        <w:rPr>
          <w:rStyle w:val="Strong"/>
          <w:rFonts w:ascii="Times New Roman" w:hAnsi="Times New Roman"/>
          <w:b w:val="0"/>
          <w:bCs w:val="0"/>
        </w:rPr>
        <w:t>),</w:t>
      </w:r>
    </w:p>
    <w:p w:rsidR="00342474" w:rsidRDefault="00633F39" w:rsidP="001161C7">
      <w:pPr>
        <w:pStyle w:val="ListParagraph"/>
        <w:numPr>
          <w:ilvl w:val="0"/>
          <w:numId w:val="15"/>
        </w:numPr>
        <w:overflowPunct/>
        <w:autoSpaceDE/>
        <w:autoSpaceDN/>
        <w:adjustRightInd/>
        <w:spacing w:before="60"/>
        <w:ind w:left="357" w:hanging="357"/>
        <w:contextualSpacing w:val="0"/>
        <w:textAlignment w:val="auto"/>
        <w:rPr>
          <w:rStyle w:val="Strong"/>
          <w:rFonts w:ascii="Times New Roman" w:hAnsi="Times New Roman"/>
          <w:b w:val="0"/>
          <w:bCs w:val="0"/>
        </w:rPr>
      </w:pPr>
      <w:r>
        <w:rPr>
          <w:rFonts w:ascii="Times New Roman" w:hAnsi="Times New Roman"/>
        </w:rPr>
        <w:t>TSB Director: Mr Chaesub Lee (Republic of Korea),</w:t>
      </w:r>
    </w:p>
    <w:p w:rsidR="00342474" w:rsidRDefault="00633F39" w:rsidP="001161C7">
      <w:pPr>
        <w:pStyle w:val="ListParagraph"/>
        <w:numPr>
          <w:ilvl w:val="0"/>
          <w:numId w:val="15"/>
        </w:numPr>
        <w:overflowPunct/>
        <w:autoSpaceDE/>
        <w:autoSpaceDN/>
        <w:adjustRightInd/>
        <w:spacing w:before="60"/>
        <w:ind w:left="357" w:hanging="357"/>
        <w:contextualSpacing w:val="0"/>
        <w:textAlignment w:val="auto"/>
        <w:rPr>
          <w:rStyle w:val="Strong"/>
          <w:rFonts w:ascii="Times New Roman" w:hAnsi="Times New Roman"/>
          <w:b w:val="0"/>
          <w:bCs w:val="0"/>
        </w:rPr>
      </w:pPr>
      <w:r>
        <w:rPr>
          <w:rFonts w:ascii="Times New Roman" w:hAnsi="Times New Roman"/>
        </w:rPr>
        <w:t>BDT Director: Ms Doreen Bogdan-Martin</w:t>
      </w:r>
      <w:r>
        <w:rPr>
          <w:rStyle w:val="Strong"/>
          <w:rFonts w:ascii="Times New Roman" w:hAnsi="Times New Roman"/>
          <w:b w:val="0"/>
          <w:bCs w:val="0"/>
        </w:rPr>
        <w:t xml:space="preserve"> (United States).</w:t>
      </w:r>
    </w:p>
    <w:p w:rsidR="00342474" w:rsidRDefault="00633F39">
      <w:pPr>
        <w:pStyle w:val="Heading2"/>
      </w:pPr>
      <w:bookmarkStart w:id="16" w:name="_Toc403927994"/>
      <w:bookmarkStart w:id="17" w:name="_Toc530750097"/>
      <w:r>
        <w:t>2.2</w:t>
      </w:r>
      <w:r>
        <w:tab/>
        <w:t>Forty-eight Member States elected to the Council</w:t>
      </w:r>
      <w:bookmarkEnd w:id="16"/>
      <w:bookmarkEnd w:id="17"/>
    </w:p>
    <w:p w:rsidR="00342474" w:rsidRDefault="00633F39">
      <w:pPr>
        <w:tabs>
          <w:tab w:val="clear" w:pos="794"/>
          <w:tab w:val="clear" w:pos="1191"/>
          <w:tab w:val="clear" w:pos="1588"/>
          <w:tab w:val="clear" w:pos="1985"/>
        </w:tabs>
        <w:overflowPunct/>
        <w:autoSpaceDE/>
        <w:autoSpaceDN/>
        <w:adjustRightInd/>
        <w:textAlignment w:val="auto"/>
        <w:rPr>
          <w:rStyle w:val="Strong"/>
          <w:b w:val="0"/>
          <w:bCs w:val="0"/>
        </w:rPr>
      </w:pPr>
      <w:r>
        <w:rPr>
          <w:rStyle w:val="style113"/>
        </w:rPr>
        <w:t>ITU Council comprises 48 Member States, a quarter of ITU’s Member States. ITU Council acts as the governing body in the interval between the four-yearly PPs.</w:t>
      </w:r>
    </w:p>
    <w:p w:rsidR="00342474" w:rsidRDefault="00633F39">
      <w:pPr>
        <w:tabs>
          <w:tab w:val="clear" w:pos="794"/>
          <w:tab w:val="clear" w:pos="1191"/>
          <w:tab w:val="clear" w:pos="1588"/>
          <w:tab w:val="clear" w:pos="1985"/>
        </w:tabs>
        <w:overflowPunct/>
        <w:autoSpaceDE/>
        <w:autoSpaceDN/>
        <w:adjustRightInd/>
        <w:textAlignment w:val="auto"/>
      </w:pPr>
      <w:r>
        <w:t>Elected Member States of the Council:</w:t>
      </w:r>
    </w:p>
    <w:p w:rsidR="00342474" w:rsidRDefault="00633F39" w:rsidP="001161C7">
      <w:pPr>
        <w:pStyle w:val="ListParagraph"/>
        <w:numPr>
          <w:ilvl w:val="0"/>
          <w:numId w:val="15"/>
        </w:numPr>
        <w:overflowPunct/>
        <w:autoSpaceDE/>
        <w:autoSpaceDN/>
        <w:adjustRightInd/>
        <w:spacing w:before="60"/>
        <w:ind w:left="357" w:hanging="357"/>
        <w:contextualSpacing w:val="0"/>
        <w:textAlignment w:val="auto"/>
        <w:rPr>
          <w:rFonts w:ascii="Times New Roman" w:hAnsi="Times New Roman"/>
        </w:rPr>
      </w:pPr>
      <w:r>
        <w:rPr>
          <w:rFonts w:ascii="Times New Roman" w:hAnsi="Times New Roman"/>
        </w:rPr>
        <w:t xml:space="preserve">Region </w:t>
      </w:r>
      <w:proofErr w:type="gramStart"/>
      <w:r>
        <w:rPr>
          <w:rFonts w:ascii="Times New Roman" w:hAnsi="Times New Roman"/>
        </w:rPr>
        <w:t>A</w:t>
      </w:r>
      <w:proofErr w:type="gramEnd"/>
      <w:r>
        <w:rPr>
          <w:rFonts w:ascii="Times New Roman" w:hAnsi="Times New Roman"/>
        </w:rPr>
        <w:t xml:space="preserve"> (Americas, 9 seats): Brazil, Mexico, Argentina, Cuba, Paraguay, El Salvador, the Bahamas, the United States and Canada.</w:t>
      </w:r>
    </w:p>
    <w:p w:rsidR="00342474" w:rsidRDefault="00633F39" w:rsidP="001161C7">
      <w:pPr>
        <w:pStyle w:val="ListParagraph"/>
        <w:numPr>
          <w:ilvl w:val="0"/>
          <w:numId w:val="15"/>
        </w:numPr>
        <w:overflowPunct/>
        <w:autoSpaceDE/>
        <w:autoSpaceDN/>
        <w:adjustRightInd/>
        <w:spacing w:before="60"/>
        <w:ind w:left="357" w:hanging="357"/>
        <w:contextualSpacing w:val="0"/>
        <w:textAlignment w:val="auto"/>
        <w:rPr>
          <w:rFonts w:ascii="Times New Roman" w:hAnsi="Times New Roman"/>
        </w:rPr>
      </w:pPr>
      <w:r>
        <w:rPr>
          <w:rFonts w:ascii="Times New Roman" w:hAnsi="Times New Roman"/>
        </w:rPr>
        <w:t>Region B (Western Europe, 8 seats): Spain, Italy, Switzerland, Germany, France, Turkey, Hungary and Greece.</w:t>
      </w:r>
    </w:p>
    <w:p w:rsidR="00342474" w:rsidRDefault="00633F39" w:rsidP="001161C7">
      <w:pPr>
        <w:pStyle w:val="ListParagraph"/>
        <w:numPr>
          <w:ilvl w:val="0"/>
          <w:numId w:val="15"/>
        </w:numPr>
        <w:overflowPunct/>
        <w:autoSpaceDE/>
        <w:autoSpaceDN/>
        <w:adjustRightInd/>
        <w:spacing w:before="60"/>
        <w:ind w:left="357" w:hanging="357"/>
        <w:contextualSpacing w:val="0"/>
        <w:textAlignment w:val="auto"/>
        <w:rPr>
          <w:rFonts w:ascii="Times New Roman" w:hAnsi="Times New Roman"/>
        </w:rPr>
      </w:pPr>
      <w:r>
        <w:rPr>
          <w:rFonts w:ascii="Times New Roman" w:hAnsi="Times New Roman"/>
        </w:rPr>
        <w:t>Region C (Eastern Europe and Northern Asia, 5 seats): Romania, the Russian Federation, Poland, Azerbaijan and the Czech Republic.</w:t>
      </w:r>
    </w:p>
    <w:p w:rsidR="00342474" w:rsidRDefault="00633F39" w:rsidP="001161C7">
      <w:pPr>
        <w:pStyle w:val="ListParagraph"/>
        <w:numPr>
          <w:ilvl w:val="0"/>
          <w:numId w:val="15"/>
        </w:numPr>
        <w:overflowPunct/>
        <w:autoSpaceDE/>
        <w:autoSpaceDN/>
        <w:adjustRightInd/>
        <w:spacing w:before="60"/>
        <w:ind w:left="357" w:hanging="357"/>
        <w:contextualSpacing w:val="0"/>
        <w:textAlignment w:val="auto"/>
        <w:rPr>
          <w:rFonts w:ascii="Times New Roman" w:hAnsi="Times New Roman"/>
        </w:rPr>
      </w:pPr>
      <w:r>
        <w:rPr>
          <w:rFonts w:ascii="Times New Roman" w:hAnsi="Times New Roman"/>
        </w:rPr>
        <w:t>Region D (Africa, 13 seats): Kenya, Algeria, Morocco, Rwanda, Egypt, South Africa, Ghana, Côte d'Ivoire, Senegal, Nigeria, Uganda, Tunisia and Burkina Faso.</w:t>
      </w:r>
    </w:p>
    <w:p w:rsidR="00342474" w:rsidRDefault="00633F39" w:rsidP="001161C7">
      <w:pPr>
        <w:pStyle w:val="ListParagraph"/>
        <w:numPr>
          <w:ilvl w:val="0"/>
          <w:numId w:val="15"/>
        </w:numPr>
        <w:overflowPunct/>
        <w:autoSpaceDE/>
        <w:autoSpaceDN/>
        <w:adjustRightInd/>
        <w:spacing w:before="60"/>
        <w:ind w:left="357" w:hanging="357"/>
        <w:contextualSpacing w:val="0"/>
        <w:textAlignment w:val="auto"/>
        <w:rPr>
          <w:rFonts w:ascii="Times New Roman" w:hAnsi="Times New Roman"/>
        </w:rPr>
      </w:pPr>
      <w:r>
        <w:rPr>
          <w:rFonts w:ascii="Times New Roman" w:hAnsi="Times New Roman"/>
        </w:rPr>
        <w:t>Region E (Asia and Australasia, 13 seats): China, Japan, India, the United Arab Emirates, Thailand, Indonesia, Kuwait, the Philippines, the Republic of Korea, Australia, Pakistan, Saudi Arabia and the Islamic Republic of Iran.</w:t>
      </w:r>
    </w:p>
    <w:p w:rsidR="00342474" w:rsidRDefault="00633F39">
      <w:pPr>
        <w:pStyle w:val="Heading2"/>
      </w:pPr>
      <w:bookmarkStart w:id="18" w:name="_Toc403927995"/>
      <w:bookmarkStart w:id="19" w:name="_Toc530750098"/>
      <w:r>
        <w:t>2.3</w:t>
      </w:r>
      <w:r>
        <w:tab/>
        <w:t>12 members of the Radio Regulations Board (RRB) elected</w:t>
      </w:r>
      <w:bookmarkEnd w:id="18"/>
      <w:bookmarkEnd w:id="19"/>
    </w:p>
    <w:p w:rsidR="00342474" w:rsidRDefault="00633F39" w:rsidP="001161C7">
      <w:pPr>
        <w:pStyle w:val="ListParagraph"/>
        <w:numPr>
          <w:ilvl w:val="0"/>
          <w:numId w:val="15"/>
        </w:numPr>
        <w:overflowPunct/>
        <w:autoSpaceDE/>
        <w:autoSpaceDN/>
        <w:adjustRightInd/>
        <w:spacing w:before="60"/>
        <w:ind w:left="357" w:hanging="357"/>
        <w:contextualSpacing w:val="0"/>
        <w:textAlignment w:val="auto"/>
        <w:rPr>
          <w:rFonts w:ascii="Times New Roman" w:hAnsi="Times New Roman"/>
        </w:rPr>
      </w:pPr>
      <w:r>
        <w:rPr>
          <w:rStyle w:val="style113"/>
          <w:rFonts w:ascii="Times New Roman" w:hAnsi="Times New Roman"/>
        </w:rPr>
        <w:t xml:space="preserve">Region A: </w:t>
      </w:r>
      <w:r>
        <w:rPr>
          <w:rFonts w:ascii="Times New Roman" w:hAnsi="Times New Roman"/>
        </w:rPr>
        <w:t>Ms C. Beaumier (Canada) and Mr F. Borjón (Mexico).</w:t>
      </w:r>
    </w:p>
    <w:p w:rsidR="00342474" w:rsidRDefault="00633F39" w:rsidP="001161C7">
      <w:pPr>
        <w:pStyle w:val="ListParagraph"/>
        <w:numPr>
          <w:ilvl w:val="0"/>
          <w:numId w:val="15"/>
        </w:numPr>
        <w:overflowPunct/>
        <w:autoSpaceDE/>
        <w:autoSpaceDN/>
        <w:adjustRightInd/>
        <w:spacing w:before="60"/>
        <w:ind w:left="357" w:hanging="357"/>
        <w:contextualSpacing w:val="0"/>
        <w:textAlignment w:val="auto"/>
        <w:rPr>
          <w:rFonts w:ascii="Times New Roman" w:hAnsi="Times New Roman"/>
        </w:rPr>
      </w:pPr>
      <w:r>
        <w:rPr>
          <w:rFonts w:ascii="Times New Roman" w:hAnsi="Times New Roman"/>
        </w:rPr>
        <w:lastRenderedPageBreak/>
        <w:t>Region B: Mr Y. Henri (France) and Ms L. Jeanty (Netherlands).</w:t>
      </w:r>
    </w:p>
    <w:p w:rsidR="00342474" w:rsidRDefault="00633F39" w:rsidP="001161C7">
      <w:pPr>
        <w:pStyle w:val="ListParagraph"/>
        <w:numPr>
          <w:ilvl w:val="0"/>
          <w:numId w:val="15"/>
        </w:numPr>
        <w:overflowPunct/>
        <w:autoSpaceDE/>
        <w:autoSpaceDN/>
        <w:adjustRightInd/>
        <w:spacing w:before="60"/>
        <w:ind w:left="357" w:hanging="357"/>
        <w:contextualSpacing w:val="0"/>
        <w:textAlignment w:val="auto"/>
        <w:rPr>
          <w:rFonts w:ascii="Times New Roman" w:hAnsi="Times New Roman"/>
        </w:rPr>
      </w:pPr>
      <w:r>
        <w:rPr>
          <w:rFonts w:ascii="Times New Roman" w:hAnsi="Times New Roman"/>
        </w:rPr>
        <w:t>Region C: Mr N. Varlamov (Russian Federation) and Ms S. Hasanova (Azerbaijan).</w:t>
      </w:r>
    </w:p>
    <w:p w:rsidR="00342474" w:rsidRDefault="00633F39" w:rsidP="001161C7">
      <w:pPr>
        <w:pStyle w:val="ListParagraph"/>
        <w:numPr>
          <w:ilvl w:val="0"/>
          <w:numId w:val="15"/>
        </w:numPr>
        <w:overflowPunct/>
        <w:autoSpaceDE/>
        <w:autoSpaceDN/>
        <w:adjustRightInd/>
        <w:spacing w:before="60"/>
        <w:ind w:left="357" w:hanging="357"/>
        <w:contextualSpacing w:val="0"/>
        <w:textAlignment w:val="auto"/>
        <w:rPr>
          <w:rFonts w:ascii="Times New Roman" w:hAnsi="Times New Roman"/>
        </w:rPr>
      </w:pPr>
      <w:r>
        <w:rPr>
          <w:rFonts w:ascii="Times New Roman" w:hAnsi="Times New Roman"/>
        </w:rPr>
        <w:t>Region D: Mr H. Talib (Morocco), Mr S.M. Mchunu (South Africa) and Mr E. Azzouz (Egypt).</w:t>
      </w:r>
    </w:p>
    <w:p w:rsidR="00342474" w:rsidRDefault="00633F39" w:rsidP="001161C7">
      <w:pPr>
        <w:pStyle w:val="ListParagraph"/>
        <w:numPr>
          <w:ilvl w:val="0"/>
          <w:numId w:val="15"/>
        </w:numPr>
        <w:overflowPunct/>
        <w:autoSpaceDE/>
        <w:autoSpaceDN/>
        <w:adjustRightInd/>
        <w:spacing w:before="60"/>
        <w:ind w:left="357" w:hanging="357"/>
        <w:contextualSpacing w:val="0"/>
        <w:textAlignment w:val="auto"/>
        <w:rPr>
          <w:rStyle w:val="style113"/>
          <w:rFonts w:ascii="Times New Roman" w:hAnsi="Times New Roman"/>
        </w:rPr>
      </w:pPr>
      <w:r>
        <w:rPr>
          <w:rFonts w:ascii="Times New Roman" w:hAnsi="Times New Roman"/>
        </w:rPr>
        <w:t>Region E: Mr A. Hashimoto</w:t>
      </w:r>
      <w:r>
        <w:rPr>
          <w:rStyle w:val="style113"/>
          <w:rFonts w:ascii="Times New Roman" w:hAnsi="Times New Roman"/>
        </w:rPr>
        <w:t xml:space="preserve"> (Japan), Mr D.Q. Hoan (Viet Nam) and Mr T. Al-Amri (Saudi Arabia).</w:t>
      </w:r>
    </w:p>
    <w:p w:rsidR="00342474" w:rsidRDefault="00633F39">
      <w:pPr>
        <w:pStyle w:val="Heading2"/>
      </w:pPr>
      <w:bookmarkStart w:id="20" w:name="_Toc530750099"/>
      <w:r>
        <w:t>2.4</w:t>
      </w:r>
      <w:r>
        <w:tab/>
        <w:t>New Resolution COM5/2 “Appointment and maximum term of office for chairmen and vice-chairmen of Sector advisory groups, study groups and other groups”</w:t>
      </w:r>
      <w:bookmarkEnd w:id="20"/>
    </w:p>
    <w:p w:rsidR="00342474" w:rsidRDefault="00633F39">
      <w:pPr>
        <w:tabs>
          <w:tab w:val="clear" w:pos="794"/>
          <w:tab w:val="clear" w:pos="1191"/>
          <w:tab w:val="clear" w:pos="1588"/>
          <w:tab w:val="clear" w:pos="1985"/>
        </w:tabs>
        <w:overflowPunct/>
        <w:autoSpaceDE/>
        <w:autoSpaceDN/>
        <w:adjustRightInd/>
        <w:spacing w:before="60"/>
        <w:textAlignment w:val="auto"/>
      </w:pPr>
      <w:proofErr w:type="gramStart"/>
      <w:r>
        <w:t>is</w:t>
      </w:r>
      <w:proofErr w:type="gramEnd"/>
      <w:r>
        <w:t xml:space="preserve"> an unified streamlined approach to the appointment of chairmen/vice-chairmen of Sector study groups and advisory groups by adopting this new PP Resolution. There will be no need for similar Sectoral Resolutions and it will be sufficient to have a reference in Resolution 1 of each Sector. Invites RA-19, WTSA-20 and WTDC-21 to consider suppression of relevant resolutions and include the link in their Resolution 1 on working methods of each Sector. The goal is to have this one unified Resolution for all ITU Sectors. It disallows more than one vice-chairmanship per candidate, </w:t>
      </w:r>
      <w:r w:rsidR="00F04534">
        <w:t xml:space="preserve">while </w:t>
      </w:r>
      <w:r w:rsidR="00F04534" w:rsidRPr="00F04534">
        <w:t xml:space="preserve">the term of office for both </w:t>
      </w:r>
      <w:proofErr w:type="gramStart"/>
      <w:r w:rsidR="00F04534" w:rsidRPr="00F04534">
        <w:t>chairmen</w:t>
      </w:r>
      <w:proofErr w:type="gramEnd"/>
      <w:r w:rsidR="00F04534" w:rsidRPr="00F04534">
        <w:t xml:space="preserve"> and vice-chairmen shall not exceed two terms of office between consecutive assemblies or conferences </w:t>
      </w:r>
      <w:r>
        <w:t xml:space="preserve">adding a fixed limit in the number of renewal of </w:t>
      </w:r>
      <w:r w:rsidRPr="00F04534">
        <w:t>mandates.</w:t>
      </w:r>
    </w:p>
    <w:p w:rsidR="00342474" w:rsidRDefault="00633F39">
      <w:pPr>
        <w:pStyle w:val="Heading2"/>
      </w:pPr>
      <w:bookmarkStart w:id="21" w:name="_Toc530750100"/>
      <w:r>
        <w:t>2.5</w:t>
      </w:r>
      <w:r>
        <w:tab/>
        <w:t>Resolution 166 “Number of vice-chairmen of Sector advisory groups, study groups and other groups”</w:t>
      </w:r>
      <w:bookmarkEnd w:id="21"/>
    </w:p>
    <w:p w:rsidR="00342474" w:rsidRDefault="00633F39">
      <w:pPr>
        <w:tabs>
          <w:tab w:val="clear" w:pos="794"/>
          <w:tab w:val="clear" w:pos="1191"/>
          <w:tab w:val="clear" w:pos="1588"/>
          <w:tab w:val="clear" w:pos="1985"/>
        </w:tabs>
        <w:overflowPunct/>
        <w:autoSpaceDE/>
        <w:autoSpaceDN/>
        <w:adjustRightInd/>
        <w:spacing w:before="60"/>
        <w:ind w:left="-6"/>
        <w:textAlignment w:val="auto"/>
      </w:pPr>
      <w:proofErr w:type="gramStart"/>
      <w:r>
        <w:t>was</w:t>
      </w:r>
      <w:proofErr w:type="gramEnd"/>
      <w:r>
        <w:t xml:space="preserve"> suppressed.</w:t>
      </w:r>
    </w:p>
    <w:p w:rsidR="00342474" w:rsidRDefault="00633F39">
      <w:pPr>
        <w:pStyle w:val="Heading2"/>
      </w:pPr>
      <w:bookmarkStart w:id="22" w:name="_Toc530750101"/>
      <w:r>
        <w:t>2.6</w:t>
      </w:r>
      <w:r>
        <w:tab/>
        <w:t>Hearings and elections of ITU Officials</w:t>
      </w:r>
      <w:bookmarkEnd w:id="22"/>
    </w:p>
    <w:p w:rsidR="00342474" w:rsidRDefault="00633F39">
      <w:pPr>
        <w:tabs>
          <w:tab w:val="clear" w:pos="794"/>
          <w:tab w:val="clear" w:pos="1191"/>
          <w:tab w:val="clear" w:pos="1588"/>
          <w:tab w:val="clear" w:pos="1985"/>
        </w:tabs>
        <w:overflowPunct/>
        <w:autoSpaceDE/>
        <w:autoSpaceDN/>
        <w:adjustRightInd/>
        <w:spacing w:before="60"/>
        <w:textAlignment w:val="auto"/>
      </w:pPr>
      <w:r>
        <w:t>Concerning the issue of hearings and elections, PP-18 instructs the Council to:</w:t>
      </w:r>
    </w:p>
    <w:p w:rsidR="00342474" w:rsidRDefault="00633F39">
      <w:pPr>
        <w:ind w:left="354"/>
        <w:jc w:val="both"/>
      </w:pPr>
      <w:r>
        <w:t>1.</w:t>
      </w:r>
      <w:r>
        <w:tab/>
      </w:r>
      <w:proofErr w:type="gramStart"/>
      <w:r>
        <w:t>conduct</w:t>
      </w:r>
      <w:proofErr w:type="gramEnd"/>
      <w:r>
        <w:t xml:space="preserve"> a comprehensive study on possible improvements of the ITU electoral process as a whole, in particular on the need for a revision of the General Rules related to election procedures, including studies for holding hearings. It should be done taking into account the relevant documents of Council and PP-14 (for example Recommendation 8 of Committee 5 approved by the Plenary) and to take timely decisions, as appropriate;</w:t>
      </w:r>
    </w:p>
    <w:p w:rsidR="00342474" w:rsidRDefault="00633F39">
      <w:pPr>
        <w:ind w:left="354"/>
        <w:jc w:val="both"/>
      </w:pPr>
      <w:r>
        <w:t>2.</w:t>
      </w:r>
      <w:r>
        <w:tab/>
        <w:t>amend, if necessary, the ITU Staff Regulations and Rules for appointed Staff members and the Staff Rules and Regulations for Elected Officials, to consider eliminating the need for appointed ITU staff to enter into special leave without pay when standing for election to an elected official post;</w:t>
      </w:r>
    </w:p>
    <w:p w:rsidR="00342474" w:rsidRDefault="00633F39">
      <w:pPr>
        <w:ind w:left="354"/>
        <w:jc w:val="both"/>
      </w:pPr>
      <w:r>
        <w:t>3.</w:t>
      </w:r>
      <w:r>
        <w:tab/>
      </w:r>
      <w:proofErr w:type="gramStart"/>
      <w:r>
        <w:t>continue</w:t>
      </w:r>
      <w:proofErr w:type="gramEnd"/>
      <w:r>
        <w:t xml:space="preserve"> improving the PP elections online portal to allow for more interaction with, and more information about, the candidates; </w:t>
      </w:r>
    </w:p>
    <w:p w:rsidR="00342474" w:rsidRDefault="00633F39">
      <w:pPr>
        <w:ind w:left="354"/>
        <w:jc w:val="both"/>
      </w:pPr>
      <w:r>
        <w:t>4.</w:t>
      </w:r>
      <w:r>
        <w:tab/>
      </w:r>
      <w:proofErr w:type="gramStart"/>
      <w:r>
        <w:t>continue</w:t>
      </w:r>
      <w:proofErr w:type="gramEnd"/>
      <w:r>
        <w:t xml:space="preserve"> using ITU News magazine as a platform to present candidate’s positions/vision;</w:t>
      </w:r>
    </w:p>
    <w:p w:rsidR="00342474" w:rsidRDefault="00633F39">
      <w:pPr>
        <w:ind w:left="354"/>
        <w:jc w:val="both"/>
      </w:pPr>
      <w:r>
        <w:t>5.</w:t>
      </w:r>
      <w:r>
        <w:tab/>
      </w:r>
      <w:proofErr w:type="gramStart"/>
      <w:r>
        <w:t>adopt</w:t>
      </w:r>
      <w:proofErr w:type="gramEnd"/>
      <w:r>
        <w:t xml:space="preserve"> standard guidelines on ethical aspects of campaign activities for future elections, based on the provisions of “Ethical aspects of certain campaign activities prior to the 2018 Plenipotentiary Conference”, as adopted by the 2018 Session of the Council, with possible improvements, as appropriate.</w:t>
      </w:r>
    </w:p>
    <w:p w:rsidR="00342474" w:rsidRDefault="00633F39">
      <w:pPr>
        <w:pStyle w:val="Heading1"/>
        <w:spacing w:before="240"/>
      </w:pPr>
      <w:bookmarkStart w:id="23" w:name="_Toc530750102"/>
      <w:bookmarkStart w:id="24" w:name="_Toc403928021"/>
      <w:r>
        <w:t>3</w:t>
      </w:r>
      <w:r>
        <w:tab/>
        <w:t>Strategic Plan 2020-2023 – Revised Resolution 71</w:t>
      </w:r>
      <w:bookmarkEnd w:id="23"/>
    </w:p>
    <w:p w:rsidR="00342474" w:rsidRDefault="00633F39">
      <w:pPr>
        <w:pStyle w:val="Heading2"/>
        <w:spacing w:before="120"/>
      </w:pPr>
      <w:bookmarkStart w:id="25" w:name="_Toc530750103"/>
      <w:r>
        <w:t>3.1</w:t>
      </w:r>
      <w:r>
        <w:tab/>
        <w:t>Preparation process</w:t>
      </w:r>
      <w:bookmarkEnd w:id="25"/>
    </w:p>
    <w:p w:rsidR="00342474" w:rsidRDefault="00633F39">
      <w:pPr>
        <w:tabs>
          <w:tab w:val="clear" w:pos="794"/>
          <w:tab w:val="clear" w:pos="1191"/>
          <w:tab w:val="clear" w:pos="1588"/>
          <w:tab w:val="clear" w:pos="1985"/>
        </w:tabs>
        <w:overflowPunct/>
        <w:autoSpaceDE/>
        <w:autoSpaceDN/>
        <w:adjustRightInd/>
        <w:textAlignment w:val="auto"/>
      </w:pPr>
      <w:r>
        <w:rPr>
          <w:rFonts w:eastAsia="SimSun" w:cs="Traditional Arabic"/>
        </w:rPr>
        <w:t xml:space="preserve">The draft Strategic Plan </w:t>
      </w:r>
      <w:proofErr w:type="gramStart"/>
      <w:r>
        <w:rPr>
          <w:rFonts w:eastAsia="SimSun" w:cs="Traditional Arabic"/>
        </w:rPr>
        <w:t>was developed</w:t>
      </w:r>
      <w:proofErr w:type="gramEnd"/>
      <w:r>
        <w:rPr>
          <w:rFonts w:eastAsia="SimSun" w:cs="Traditional Arabic"/>
        </w:rPr>
        <w:t xml:space="preserve"> by the Council Working Group on Strategic and Financial Plans (CWG-SFP) and was reviewed by the Council, according to the provisions of Article 4 (No. 62A) of the Convention. The development of the ITU Strategic Plan for 2020-2023 followed </w:t>
      </w:r>
      <w:r>
        <w:rPr>
          <w:rFonts w:eastAsia="SimSun" w:cs="Traditional Arabic"/>
        </w:rPr>
        <w:lastRenderedPageBreak/>
        <w:t>an open and transparent process, including two open public consultations and reviews of the draft plan from the Sector Advisory Groups.</w:t>
      </w:r>
    </w:p>
    <w:p w:rsidR="00342474" w:rsidRDefault="00633F39">
      <w:pPr>
        <w:pStyle w:val="Heading2"/>
      </w:pPr>
      <w:bookmarkStart w:id="26" w:name="_Toc530750104"/>
      <w:r>
        <w:t>3.2</w:t>
      </w:r>
      <w:r>
        <w:tab/>
        <w:t>Strategic Plan for the Union for 2020-2023 (Annex 2 to Resolution 71)</w:t>
      </w:r>
      <w:bookmarkEnd w:id="26"/>
    </w:p>
    <w:p w:rsidR="00342474" w:rsidRDefault="00633F39">
      <w:pPr>
        <w:overflowPunct/>
        <w:autoSpaceDE/>
        <w:autoSpaceDN/>
        <w:adjustRightInd/>
        <w:spacing w:before="60" w:after="60"/>
        <w:textAlignment w:val="auto"/>
        <w:rPr>
          <w:rFonts w:eastAsia="SimSun" w:cs="Traditional Arabic"/>
        </w:rPr>
      </w:pPr>
      <w:r>
        <w:rPr>
          <w:rFonts w:asciiTheme="majorBidi" w:hAnsiTheme="majorBidi" w:cstheme="majorBidi"/>
          <w:szCs w:val="24"/>
        </w:rPr>
        <w:t>The new ITU strategic plan 2020-2023 with updated ITU vision, mission, and values features f</w:t>
      </w:r>
      <w:r>
        <w:rPr>
          <w:rFonts w:eastAsia="SimSun" w:cs="Traditional Arabic"/>
        </w:rPr>
        <w:t>ive strategic goals for the Union: 1) Growth, 2) Inclusiveness, 3) Sustainability, 4) Innovation and 5) Partnerships and the agreed set of Sector objectives, target, and new Sector enablers. The plan links with the 2030 Agenda for Sustainable Development and the SDGs, as well as the WSIS plan of action.</w:t>
      </w:r>
    </w:p>
    <w:p w:rsidR="00342474" w:rsidRDefault="00633F39">
      <w:pPr>
        <w:overflowPunct/>
        <w:autoSpaceDE/>
        <w:autoSpaceDN/>
        <w:adjustRightInd/>
        <w:spacing w:before="60" w:after="60"/>
        <w:textAlignment w:val="auto"/>
        <w:rPr>
          <w:rFonts w:asciiTheme="majorBidi" w:hAnsiTheme="majorBidi" w:cstheme="majorBidi"/>
          <w:szCs w:val="24"/>
        </w:rPr>
      </w:pPr>
      <w:r>
        <w:rPr>
          <w:rFonts w:eastAsia="SimSun" w:cs="Traditional Arabic"/>
        </w:rPr>
        <w:t xml:space="preserve">PP18 </w:t>
      </w:r>
      <w:r w:rsidR="007F1CBC">
        <w:rPr>
          <w:rFonts w:eastAsia="SimSun" w:cs="Traditional Arabic"/>
        </w:rPr>
        <w:t>retained</w:t>
      </w:r>
      <w:r>
        <w:t xml:space="preserve"> ITU-T objectives T.1 and T.2 to develop non-discriminatory international standards, however, </w:t>
      </w:r>
      <w:r>
        <w:rPr>
          <w:rFonts w:asciiTheme="majorBidi" w:hAnsiTheme="majorBidi" w:cstheme="majorBidi"/>
          <w:szCs w:val="24"/>
        </w:rPr>
        <w:t xml:space="preserve">PP18 agreed on the need </w:t>
      </w:r>
      <w:proofErr w:type="gramStart"/>
      <w:r>
        <w:rPr>
          <w:rFonts w:asciiTheme="majorBidi" w:hAnsiTheme="majorBidi" w:cstheme="majorBidi"/>
          <w:szCs w:val="24"/>
        </w:rPr>
        <w:t>to further clarify</w:t>
      </w:r>
      <w:proofErr w:type="gramEnd"/>
      <w:r>
        <w:rPr>
          <w:rFonts w:asciiTheme="majorBidi" w:hAnsiTheme="majorBidi" w:cstheme="majorBidi"/>
          <w:szCs w:val="24"/>
        </w:rPr>
        <w:t xml:space="preserve"> the term </w:t>
      </w:r>
      <w:r>
        <w:rPr>
          <w:rFonts w:eastAsia="Malgun Gothic" w:cs="Arial"/>
          <w:szCs w:val="22"/>
          <w:lang w:eastAsia="ko-KR"/>
        </w:rPr>
        <w:t>"non-discriminatory" in relation to international standards</w:t>
      </w:r>
      <w:r>
        <w:t xml:space="preserve"> in Resolution 71, as s</w:t>
      </w:r>
      <w:r>
        <w:rPr>
          <w:rFonts w:eastAsia="Malgun Gothic" w:cs="Arial"/>
          <w:szCs w:val="22"/>
          <w:lang w:eastAsia="ko-KR"/>
        </w:rPr>
        <w:t>everal administrations stressed that the term "non-discriminatory" in relation to international standards is ambiguous and could lead to different interpretations, and for those reasons is not agreeable. However, being it the original text from the PP-14, it will not be opposed in the Strategic Plan for the 2020 - 2023 period, however, when discussing the Strategic Plan for the period 2024- 2027, and especially when discussing plans in the T-sector, a wording that describes the situation and creates no ambiguity should be found.</w:t>
      </w:r>
    </w:p>
    <w:p w:rsidR="00342474" w:rsidRDefault="00633F39">
      <w:pPr>
        <w:pStyle w:val="Heading3"/>
      </w:pPr>
      <w:bookmarkStart w:id="27" w:name="_Toc387091837"/>
      <w:bookmarkStart w:id="28" w:name="_Toc403033592"/>
      <w:bookmarkStart w:id="29" w:name="_Toc530750105"/>
      <w:r>
        <w:t>3.2.1</w:t>
      </w:r>
      <w:r>
        <w:tab/>
        <w:t>ITU vision</w:t>
      </w:r>
      <w:bookmarkEnd w:id="27"/>
      <w:bookmarkEnd w:id="28"/>
      <w:bookmarkEnd w:id="29"/>
    </w:p>
    <w:p w:rsidR="00342474" w:rsidRDefault="00633F39">
      <w:r>
        <w:t xml:space="preserve">"An </w:t>
      </w:r>
      <w:r>
        <w:rPr>
          <w:b/>
          <w:bCs/>
        </w:rPr>
        <w:t>information society</w:t>
      </w:r>
      <w:r>
        <w:t xml:space="preserve">, empowered by the </w:t>
      </w:r>
      <w:r>
        <w:rPr>
          <w:b/>
          <w:bCs/>
        </w:rPr>
        <w:t>interconnected world</w:t>
      </w:r>
      <w:r>
        <w:t xml:space="preserve">, where </w:t>
      </w:r>
      <w:r>
        <w:rPr>
          <w:b/>
          <w:bCs/>
        </w:rPr>
        <w:t>telecommunications/information and communication technologies</w:t>
      </w:r>
      <w:r>
        <w:t xml:space="preserve"> enable and accelerate </w:t>
      </w:r>
      <w:r>
        <w:rPr>
          <w:b/>
          <w:bCs/>
        </w:rPr>
        <w:t>social</w:t>
      </w:r>
      <w:r>
        <w:t xml:space="preserve">, </w:t>
      </w:r>
      <w:r>
        <w:rPr>
          <w:b/>
          <w:bCs/>
        </w:rPr>
        <w:t>economic</w:t>
      </w:r>
      <w:r>
        <w:t xml:space="preserve"> and </w:t>
      </w:r>
      <w:r>
        <w:rPr>
          <w:b/>
          <w:bCs/>
        </w:rPr>
        <w:t>environmentally</w:t>
      </w:r>
      <w:r>
        <w:t xml:space="preserve"> sustainable </w:t>
      </w:r>
      <w:r>
        <w:rPr>
          <w:b/>
          <w:bCs/>
        </w:rPr>
        <w:t>growth</w:t>
      </w:r>
      <w:r>
        <w:t xml:space="preserve"> and </w:t>
      </w:r>
      <w:r>
        <w:rPr>
          <w:b/>
          <w:bCs/>
        </w:rPr>
        <w:t>development</w:t>
      </w:r>
      <w:r>
        <w:t xml:space="preserve"> for everyone"</w:t>
      </w:r>
    </w:p>
    <w:p w:rsidR="00342474" w:rsidRDefault="00633F39">
      <w:pPr>
        <w:pStyle w:val="Heading3"/>
      </w:pPr>
      <w:bookmarkStart w:id="30" w:name="_Toc530750106"/>
      <w:r>
        <w:t>3.2.2</w:t>
      </w:r>
      <w:r>
        <w:tab/>
        <w:t>ITU mission</w:t>
      </w:r>
      <w:bookmarkEnd w:id="30"/>
    </w:p>
    <w:p w:rsidR="00342474" w:rsidRDefault="00633F39">
      <w:pPr>
        <w:rPr>
          <w:i/>
          <w:iCs/>
          <w:highlight w:val="yellow"/>
        </w:rPr>
      </w:pPr>
      <w:r>
        <w:t xml:space="preserve">"To </w:t>
      </w:r>
      <w:r>
        <w:rPr>
          <w:b/>
          <w:bCs/>
        </w:rPr>
        <w:t>promote</w:t>
      </w:r>
      <w:r>
        <w:t xml:space="preserve">, </w:t>
      </w:r>
      <w:r>
        <w:rPr>
          <w:b/>
          <w:bCs/>
        </w:rPr>
        <w:t>facilitate</w:t>
      </w:r>
      <w:r>
        <w:t xml:space="preserve"> and </w:t>
      </w:r>
      <w:r>
        <w:rPr>
          <w:b/>
          <w:bCs/>
        </w:rPr>
        <w:t>foster</w:t>
      </w:r>
      <w:r>
        <w:t xml:space="preserve"> </w:t>
      </w:r>
      <w:r>
        <w:rPr>
          <w:b/>
          <w:bCs/>
        </w:rPr>
        <w:t>affordable</w:t>
      </w:r>
      <w:r>
        <w:t xml:space="preserve"> and </w:t>
      </w:r>
      <w:r>
        <w:rPr>
          <w:b/>
          <w:bCs/>
        </w:rPr>
        <w:t>universal</w:t>
      </w:r>
      <w:r>
        <w:t xml:space="preserve"> </w:t>
      </w:r>
      <w:r>
        <w:rPr>
          <w:b/>
          <w:bCs/>
        </w:rPr>
        <w:t>access</w:t>
      </w:r>
      <w:r>
        <w:t xml:space="preserve"> to </w:t>
      </w:r>
      <w:r>
        <w:rPr>
          <w:b/>
          <w:bCs/>
        </w:rPr>
        <w:t>telecommunication/information and communication technology networks</w:t>
      </w:r>
      <w:r>
        <w:t xml:space="preserve">, </w:t>
      </w:r>
      <w:r>
        <w:rPr>
          <w:b/>
          <w:bCs/>
        </w:rPr>
        <w:t>services</w:t>
      </w:r>
      <w:r>
        <w:t xml:space="preserve"> and </w:t>
      </w:r>
      <w:r>
        <w:rPr>
          <w:b/>
          <w:bCs/>
        </w:rPr>
        <w:t>applications</w:t>
      </w:r>
      <w:r>
        <w:t xml:space="preserve"> and their </w:t>
      </w:r>
      <w:r>
        <w:rPr>
          <w:b/>
          <w:bCs/>
        </w:rPr>
        <w:t>use</w:t>
      </w:r>
      <w:r>
        <w:t xml:space="preserve"> for </w:t>
      </w:r>
      <w:r>
        <w:rPr>
          <w:b/>
          <w:bCs/>
        </w:rPr>
        <w:t>social</w:t>
      </w:r>
      <w:r>
        <w:t xml:space="preserve">, </w:t>
      </w:r>
      <w:r>
        <w:rPr>
          <w:b/>
          <w:bCs/>
        </w:rPr>
        <w:t>economic</w:t>
      </w:r>
      <w:r>
        <w:t xml:space="preserve"> and </w:t>
      </w:r>
      <w:r>
        <w:rPr>
          <w:b/>
          <w:bCs/>
        </w:rPr>
        <w:t xml:space="preserve">environmentally sustainable growth </w:t>
      </w:r>
      <w:r>
        <w:t xml:space="preserve">and </w:t>
      </w:r>
      <w:r>
        <w:rPr>
          <w:b/>
          <w:bCs/>
        </w:rPr>
        <w:t>development</w:t>
      </w:r>
      <w:r>
        <w:t>"</w:t>
      </w:r>
    </w:p>
    <w:p w:rsidR="00342474" w:rsidRDefault="00633F39">
      <w:pPr>
        <w:pStyle w:val="Heading3"/>
      </w:pPr>
      <w:bookmarkStart w:id="31" w:name="_Toc530750107"/>
      <w:r>
        <w:t>3.2.3</w:t>
      </w:r>
      <w:r>
        <w:tab/>
        <w:t>ITU values</w:t>
      </w:r>
      <w:bookmarkEnd w:id="31"/>
    </w:p>
    <w:p w:rsidR="00342474" w:rsidRDefault="00633F39">
      <w:pPr>
        <w:rPr>
          <w:highlight w:val="yellow"/>
        </w:rPr>
      </w:pPr>
      <w:r>
        <w:t xml:space="preserve">Maintain </w:t>
      </w:r>
      <w:r>
        <w:rPr>
          <w:b/>
          <w:bCs/>
        </w:rPr>
        <w:t>trust</w:t>
      </w:r>
      <w:r>
        <w:t xml:space="preserve"> among its membership and inspire the </w:t>
      </w:r>
      <w:r>
        <w:rPr>
          <w:b/>
          <w:bCs/>
        </w:rPr>
        <w:t>confidence</w:t>
      </w:r>
      <w:r>
        <w:t xml:space="preserve"> of the public at-large</w:t>
      </w:r>
      <w:proofErr w:type="gramStart"/>
      <w:r>
        <w:t>;</w:t>
      </w:r>
      <w:proofErr w:type="gramEnd"/>
      <w:r>
        <w:t xml:space="preserve"> </w:t>
      </w:r>
      <w:r>
        <w:rPr>
          <w:b/>
        </w:rPr>
        <w:t xml:space="preserve">Efficiency, Transparency </w:t>
      </w:r>
      <w:r>
        <w:t>and</w:t>
      </w:r>
      <w:r>
        <w:rPr>
          <w:b/>
        </w:rPr>
        <w:t xml:space="preserve"> accountability, Openness, Universality</w:t>
      </w:r>
      <w:r>
        <w:t xml:space="preserve"> and </w:t>
      </w:r>
      <w:r>
        <w:rPr>
          <w:b/>
        </w:rPr>
        <w:t>neutrality, People-centred</w:t>
      </w:r>
      <w:r>
        <w:t xml:space="preserve">, </w:t>
      </w:r>
      <w:r>
        <w:rPr>
          <w:b/>
        </w:rPr>
        <w:t>service-oriented</w:t>
      </w:r>
      <w:r>
        <w:t xml:space="preserve"> and </w:t>
      </w:r>
      <w:r>
        <w:rPr>
          <w:b/>
        </w:rPr>
        <w:t>results-based.</w:t>
      </w:r>
    </w:p>
    <w:p w:rsidR="00342474" w:rsidRDefault="00633F39">
      <w:pPr>
        <w:pStyle w:val="Heading3"/>
      </w:pPr>
      <w:bookmarkStart w:id="32" w:name="_Toc530750108"/>
      <w:r>
        <w:t>3.2.4</w:t>
      </w:r>
      <w:r>
        <w:tab/>
        <w:t>ITU strategic goals</w:t>
      </w:r>
      <w:bookmarkEnd w:id="32"/>
    </w:p>
    <w:p w:rsidR="00342474" w:rsidRDefault="00633F39">
      <w:pPr>
        <w:rPr>
          <w:highlight w:val="yellow"/>
        </w:rPr>
      </w:pPr>
      <w:r>
        <w:t>Goal 1 – Growth: Enable and foster access to and increased use of telecommunications/ICT in support of the digital economy and society</w:t>
      </w:r>
    </w:p>
    <w:p w:rsidR="00342474" w:rsidRDefault="00633F39">
      <w:pPr>
        <w:rPr>
          <w:b/>
          <w:iCs/>
          <w:highlight w:val="yellow"/>
        </w:rPr>
      </w:pPr>
      <w:r>
        <w:t>Goal 2 – Inclusiveness: Bridge the digital divide and provide broadband access for all</w:t>
      </w:r>
    </w:p>
    <w:p w:rsidR="00342474" w:rsidRDefault="00633F39">
      <w:pPr>
        <w:rPr>
          <w:highlight w:val="yellow"/>
        </w:rPr>
      </w:pPr>
      <w:r>
        <w:t>Goal 3 – Sustainability: Manage emerging risks, challenges and opportunities resulting from the rapid growth of telecommunications/ICT</w:t>
      </w:r>
    </w:p>
    <w:p w:rsidR="00342474" w:rsidRDefault="00633F39">
      <w:r>
        <w:t>Goal 4 – Innovation: Enable innovation in telecommunications/ICT in support of the digital transformation of society</w:t>
      </w:r>
    </w:p>
    <w:p w:rsidR="00342474" w:rsidRDefault="00633F39">
      <w:pPr>
        <w:rPr>
          <w:highlight w:val="yellow"/>
        </w:rPr>
      </w:pPr>
      <w:r>
        <w:t>Goal 5 – Partnership: Strengthen cooperation among the ITU membership and all other stakeholders in support of all ITU strategic goals</w:t>
      </w:r>
    </w:p>
    <w:p w:rsidR="00342474" w:rsidRDefault="00633F39">
      <w:pPr>
        <w:pStyle w:val="Heading3"/>
      </w:pPr>
      <w:bookmarkStart w:id="33" w:name="_Toc387091848"/>
      <w:bookmarkStart w:id="34" w:name="_Toc403033603"/>
      <w:bookmarkStart w:id="35" w:name="_Toc530750109"/>
      <w:r>
        <w:t>3.2.5</w:t>
      </w:r>
      <w:r>
        <w:tab/>
        <w:t>Targets</w:t>
      </w:r>
      <w:bookmarkEnd w:id="33"/>
      <w:bookmarkEnd w:id="34"/>
      <w:bookmarkEnd w:id="35"/>
    </w:p>
    <w:tbl>
      <w:tblPr>
        <w:tblW w:w="10083" w:type="dxa"/>
        <w:tblLook w:val="0420" w:firstRow="1" w:lastRow="0" w:firstColumn="0" w:lastColumn="0" w:noHBand="0" w:noVBand="1"/>
      </w:tblPr>
      <w:tblGrid>
        <w:gridCol w:w="4678"/>
        <w:gridCol w:w="5405"/>
      </w:tblGrid>
      <w:tr w:rsidR="004043EE" w:rsidTr="00B95F12">
        <w:trPr>
          <w:trHeight w:val="315"/>
        </w:trPr>
        <w:tc>
          <w:tcPr>
            <w:tcW w:w="10083" w:type="dxa"/>
            <w:gridSpan w:val="2"/>
          </w:tcPr>
          <w:p w:rsidR="004043EE" w:rsidRDefault="004043EE" w:rsidP="00585797">
            <w:pPr>
              <w:rPr>
                <w:rFonts w:cs="Arial"/>
                <w:b/>
                <w:bCs/>
                <w:lang w:eastAsia="zh-CN"/>
              </w:rPr>
            </w:pPr>
            <w:r>
              <w:rPr>
                <w:rFonts w:cs="Arial"/>
                <w:b/>
                <w:bCs/>
                <w:lang w:eastAsia="zh-CN"/>
              </w:rPr>
              <w:t>Goal 1: Growth</w:t>
            </w:r>
          </w:p>
        </w:tc>
      </w:tr>
      <w:tr w:rsidR="004043EE" w:rsidTr="00B95F12">
        <w:trPr>
          <w:trHeight w:val="315"/>
        </w:trPr>
        <w:tc>
          <w:tcPr>
            <w:tcW w:w="10083" w:type="dxa"/>
            <w:gridSpan w:val="2"/>
            <w:hideMark/>
          </w:tcPr>
          <w:p w:rsidR="004043EE" w:rsidRDefault="004043EE" w:rsidP="00585797">
            <w:pPr>
              <w:rPr>
                <w:rFonts w:cs="Arial"/>
                <w:lang w:eastAsia="zh-CN"/>
              </w:rPr>
            </w:pPr>
            <w:r>
              <w:rPr>
                <w:rFonts w:cs="Arial"/>
                <w:lang w:eastAsia="zh-CN"/>
              </w:rPr>
              <w:t>Target 1.1: By 2023, 65% of households worldwide with access to the Internet</w:t>
            </w:r>
          </w:p>
        </w:tc>
      </w:tr>
      <w:tr w:rsidR="004043EE" w:rsidTr="00B95F12">
        <w:trPr>
          <w:trHeight w:val="315"/>
        </w:trPr>
        <w:tc>
          <w:tcPr>
            <w:tcW w:w="10083" w:type="dxa"/>
            <w:gridSpan w:val="2"/>
            <w:hideMark/>
          </w:tcPr>
          <w:p w:rsidR="004043EE" w:rsidRDefault="004043EE" w:rsidP="00585797">
            <w:pPr>
              <w:rPr>
                <w:rFonts w:cs="Arial"/>
                <w:lang w:eastAsia="zh-CN"/>
              </w:rPr>
            </w:pPr>
            <w:r>
              <w:rPr>
                <w:rFonts w:cs="Arial"/>
                <w:lang w:eastAsia="zh-CN"/>
              </w:rPr>
              <w:lastRenderedPageBreak/>
              <w:t>Target 1.2: By 2023, 70% of individuals worldwide will be using the Internet</w:t>
            </w:r>
          </w:p>
        </w:tc>
      </w:tr>
      <w:tr w:rsidR="004043EE" w:rsidTr="00B95F12">
        <w:trPr>
          <w:trHeight w:val="315"/>
        </w:trPr>
        <w:tc>
          <w:tcPr>
            <w:tcW w:w="10083" w:type="dxa"/>
            <w:gridSpan w:val="2"/>
            <w:hideMark/>
          </w:tcPr>
          <w:p w:rsidR="004043EE" w:rsidRDefault="004043EE" w:rsidP="00585797">
            <w:pPr>
              <w:rPr>
                <w:rFonts w:cs="Arial"/>
                <w:lang w:eastAsia="zh-CN"/>
              </w:rPr>
            </w:pPr>
            <w:r>
              <w:rPr>
                <w:rFonts w:cs="Arial"/>
                <w:lang w:eastAsia="zh-CN"/>
              </w:rPr>
              <w:t>Target 1.3: By 2023, Internet access should be 25% more affordable (baseline year 2017)</w:t>
            </w:r>
          </w:p>
        </w:tc>
      </w:tr>
      <w:tr w:rsidR="004043EE" w:rsidTr="00B95F12">
        <w:trPr>
          <w:trHeight w:val="315"/>
        </w:trPr>
        <w:tc>
          <w:tcPr>
            <w:tcW w:w="10083" w:type="dxa"/>
            <w:gridSpan w:val="2"/>
            <w:hideMark/>
          </w:tcPr>
          <w:p w:rsidR="004043EE" w:rsidRDefault="004043EE" w:rsidP="00585797">
            <w:pPr>
              <w:rPr>
                <w:rFonts w:cs="Arial"/>
                <w:lang w:eastAsia="zh-CN"/>
              </w:rPr>
            </w:pPr>
            <w:r>
              <w:rPr>
                <w:rFonts w:cs="Arial"/>
                <w:lang w:eastAsia="zh-CN"/>
              </w:rPr>
              <w:t>Target 1.4: By 2023, all countries adopt a digital agenda/strategy</w:t>
            </w:r>
          </w:p>
        </w:tc>
      </w:tr>
      <w:tr w:rsidR="004043EE" w:rsidTr="00B95F12">
        <w:trPr>
          <w:trHeight w:val="315"/>
        </w:trPr>
        <w:tc>
          <w:tcPr>
            <w:tcW w:w="10083" w:type="dxa"/>
            <w:gridSpan w:val="2"/>
            <w:hideMark/>
          </w:tcPr>
          <w:p w:rsidR="004043EE" w:rsidRDefault="004043EE" w:rsidP="00585797">
            <w:pPr>
              <w:rPr>
                <w:rFonts w:cs="Arial"/>
                <w:lang w:eastAsia="zh-CN"/>
              </w:rPr>
            </w:pPr>
            <w:r>
              <w:rPr>
                <w:rFonts w:cs="Arial"/>
                <w:color w:val="000000" w:themeColor="text1"/>
                <w:lang w:eastAsia="zh-CN"/>
              </w:rPr>
              <w:t>Target 1.5: By 2023, increase the number of broadband subscriptions</w:t>
            </w:r>
            <w:r>
              <w:rPr>
                <w:rFonts w:cs="Arial"/>
                <w:lang w:eastAsia="zh-CN"/>
              </w:rPr>
              <w:t xml:space="preserve"> by 50%</w:t>
            </w:r>
          </w:p>
        </w:tc>
      </w:tr>
      <w:tr w:rsidR="004043EE" w:rsidTr="00B95F12">
        <w:trPr>
          <w:trHeight w:val="315"/>
        </w:trPr>
        <w:tc>
          <w:tcPr>
            <w:tcW w:w="10083" w:type="dxa"/>
            <w:gridSpan w:val="2"/>
            <w:hideMark/>
          </w:tcPr>
          <w:p w:rsidR="004043EE" w:rsidRDefault="004043EE" w:rsidP="00585797">
            <w:pPr>
              <w:rPr>
                <w:rFonts w:cs="Arial"/>
                <w:lang w:eastAsia="zh-CN"/>
              </w:rPr>
            </w:pPr>
            <w:r>
              <w:rPr>
                <w:rFonts w:cs="Arial"/>
                <w:color w:val="000000" w:themeColor="text1"/>
                <w:lang w:eastAsia="zh-CN"/>
              </w:rPr>
              <w:t xml:space="preserve">Target 1.6: By 2023, 40% of countries to have more than half of broadband subscriptions </w:t>
            </w:r>
            <w:r>
              <w:rPr>
                <w:rFonts w:cs="Arial"/>
                <w:lang w:eastAsia="zh-CN"/>
              </w:rPr>
              <w:t>more than 10 Mbit/s</w:t>
            </w:r>
          </w:p>
        </w:tc>
      </w:tr>
      <w:tr w:rsidR="004043EE" w:rsidTr="00B95F12">
        <w:trPr>
          <w:trHeight w:val="315"/>
        </w:trPr>
        <w:tc>
          <w:tcPr>
            <w:tcW w:w="10083" w:type="dxa"/>
            <w:gridSpan w:val="2"/>
            <w:hideMark/>
          </w:tcPr>
          <w:p w:rsidR="004043EE" w:rsidRDefault="004043EE" w:rsidP="00585797">
            <w:pPr>
              <w:rPr>
                <w:rFonts w:cs="Arial"/>
                <w:lang w:eastAsia="zh-CN"/>
              </w:rPr>
            </w:pPr>
            <w:r>
              <w:rPr>
                <w:rFonts w:cs="Arial"/>
                <w:lang w:eastAsia="zh-CN"/>
              </w:rPr>
              <w:t>Target 1.</w:t>
            </w:r>
            <w:r>
              <w:rPr>
                <w:rFonts w:cs="Arial"/>
                <w:color w:val="000000" w:themeColor="text1"/>
                <w:lang w:eastAsia="zh-CN"/>
              </w:rPr>
              <w:t xml:space="preserve">7: By 2023, 40% of the population </w:t>
            </w:r>
            <w:r>
              <w:rPr>
                <w:rFonts w:cs="Arial"/>
                <w:lang w:eastAsia="zh-CN"/>
              </w:rPr>
              <w:t>should be interacting with government services online</w:t>
            </w:r>
          </w:p>
        </w:tc>
      </w:tr>
      <w:tr w:rsidR="004043EE" w:rsidTr="00585797">
        <w:trPr>
          <w:trHeight w:val="315"/>
        </w:trPr>
        <w:tc>
          <w:tcPr>
            <w:tcW w:w="10083" w:type="dxa"/>
            <w:gridSpan w:val="2"/>
          </w:tcPr>
          <w:p w:rsidR="004043EE" w:rsidRDefault="004043EE" w:rsidP="00585797">
            <w:pPr>
              <w:rPr>
                <w:rFonts w:cs="Arial"/>
                <w:lang w:eastAsia="zh-CN"/>
              </w:rPr>
            </w:pPr>
            <w:r>
              <w:rPr>
                <w:rFonts w:cs="Arial"/>
                <w:b/>
                <w:bCs/>
                <w:lang w:eastAsia="zh-CN"/>
              </w:rPr>
              <w:t>Goal 2: Inclusiveness</w:t>
            </w:r>
          </w:p>
        </w:tc>
      </w:tr>
      <w:tr w:rsidR="004043EE" w:rsidTr="00585797">
        <w:trPr>
          <w:trHeight w:val="315"/>
        </w:trPr>
        <w:tc>
          <w:tcPr>
            <w:tcW w:w="10083" w:type="dxa"/>
            <w:gridSpan w:val="2"/>
            <w:hideMark/>
          </w:tcPr>
          <w:p w:rsidR="004043EE" w:rsidRDefault="004043EE" w:rsidP="00585797">
            <w:pPr>
              <w:rPr>
                <w:rFonts w:cs="Arial"/>
                <w:lang w:eastAsia="zh-CN"/>
              </w:rPr>
            </w:pPr>
            <w:r>
              <w:rPr>
                <w:rFonts w:cs="Arial"/>
                <w:lang w:eastAsia="zh-CN"/>
              </w:rPr>
              <w:t>Target 2.1: By 2023, in the developing world, 60% of households should have access to the Internet</w:t>
            </w:r>
          </w:p>
        </w:tc>
      </w:tr>
      <w:tr w:rsidR="004043EE" w:rsidTr="00585797">
        <w:trPr>
          <w:trHeight w:val="315"/>
        </w:trPr>
        <w:tc>
          <w:tcPr>
            <w:tcW w:w="10083" w:type="dxa"/>
            <w:gridSpan w:val="2"/>
            <w:hideMark/>
          </w:tcPr>
          <w:p w:rsidR="004043EE" w:rsidRDefault="004043EE" w:rsidP="00585797">
            <w:pPr>
              <w:rPr>
                <w:rFonts w:cs="Arial"/>
                <w:lang w:eastAsia="zh-CN"/>
              </w:rPr>
            </w:pPr>
            <w:r>
              <w:rPr>
                <w:rFonts w:cs="Arial"/>
                <w:lang w:eastAsia="zh-CN"/>
              </w:rPr>
              <w:t>Target 2.2: By 2023, in the least developed countries, 30% of households should have access to the Internet</w:t>
            </w:r>
          </w:p>
        </w:tc>
      </w:tr>
      <w:tr w:rsidR="004043EE" w:rsidTr="00585797">
        <w:trPr>
          <w:trHeight w:val="315"/>
        </w:trPr>
        <w:tc>
          <w:tcPr>
            <w:tcW w:w="10083" w:type="dxa"/>
            <w:gridSpan w:val="2"/>
            <w:hideMark/>
          </w:tcPr>
          <w:p w:rsidR="004043EE" w:rsidRDefault="004043EE" w:rsidP="00585797">
            <w:pPr>
              <w:rPr>
                <w:rFonts w:cs="Arial"/>
                <w:lang w:eastAsia="zh-CN"/>
              </w:rPr>
            </w:pPr>
            <w:r>
              <w:rPr>
                <w:rFonts w:cs="Arial"/>
                <w:lang w:eastAsia="zh-CN"/>
              </w:rPr>
              <w:t>Target 2.3: By 2023, in the developing world, 60% of individuals will be using the Internet</w:t>
            </w:r>
          </w:p>
        </w:tc>
      </w:tr>
      <w:tr w:rsidR="004043EE" w:rsidTr="00585797">
        <w:trPr>
          <w:trHeight w:val="315"/>
        </w:trPr>
        <w:tc>
          <w:tcPr>
            <w:tcW w:w="10083" w:type="dxa"/>
            <w:gridSpan w:val="2"/>
            <w:hideMark/>
          </w:tcPr>
          <w:p w:rsidR="004043EE" w:rsidRDefault="004043EE" w:rsidP="00585797">
            <w:pPr>
              <w:rPr>
                <w:rFonts w:cs="Arial"/>
                <w:lang w:eastAsia="zh-CN"/>
              </w:rPr>
            </w:pPr>
            <w:r>
              <w:rPr>
                <w:rFonts w:cs="Arial"/>
                <w:lang w:eastAsia="zh-CN"/>
              </w:rPr>
              <w:t>Target 2.4: By 2023, in the least developed countries, 30% of individuals will be using the Internet</w:t>
            </w:r>
          </w:p>
        </w:tc>
      </w:tr>
      <w:tr w:rsidR="004043EE" w:rsidTr="00585797">
        <w:trPr>
          <w:trHeight w:val="315"/>
        </w:trPr>
        <w:tc>
          <w:tcPr>
            <w:tcW w:w="10083" w:type="dxa"/>
            <w:gridSpan w:val="2"/>
            <w:hideMark/>
          </w:tcPr>
          <w:p w:rsidR="004043EE" w:rsidRDefault="004043EE" w:rsidP="00585797">
            <w:pPr>
              <w:rPr>
                <w:rFonts w:cs="Arial"/>
                <w:lang w:eastAsia="zh-CN"/>
              </w:rPr>
            </w:pPr>
            <w:r>
              <w:rPr>
                <w:rFonts w:cs="Arial"/>
                <w:lang w:eastAsia="zh-CN"/>
              </w:rPr>
              <w:t>Target 2.5: By 2023, the affordability gap between developed and developing countries should be reduced by 25% (baseline year 2017)</w:t>
            </w:r>
          </w:p>
        </w:tc>
      </w:tr>
      <w:tr w:rsidR="004043EE" w:rsidTr="00585797">
        <w:trPr>
          <w:trHeight w:val="315"/>
        </w:trPr>
        <w:tc>
          <w:tcPr>
            <w:tcW w:w="10083" w:type="dxa"/>
            <w:gridSpan w:val="2"/>
            <w:hideMark/>
          </w:tcPr>
          <w:p w:rsidR="004043EE" w:rsidRDefault="004043EE" w:rsidP="00585797">
            <w:pPr>
              <w:rPr>
                <w:rFonts w:cs="Arial"/>
                <w:lang w:eastAsia="zh-CN"/>
              </w:rPr>
            </w:pPr>
            <w:r>
              <w:rPr>
                <w:rFonts w:cs="Arial"/>
                <w:lang w:eastAsia="zh-CN"/>
              </w:rPr>
              <w:t>Target 2.6: By 2023, broadband services should cost no more than 3% of average monthly income in developing countries</w:t>
            </w:r>
          </w:p>
        </w:tc>
      </w:tr>
      <w:tr w:rsidR="004043EE" w:rsidTr="00585797">
        <w:trPr>
          <w:trHeight w:val="315"/>
        </w:trPr>
        <w:tc>
          <w:tcPr>
            <w:tcW w:w="10083" w:type="dxa"/>
            <w:gridSpan w:val="2"/>
            <w:hideMark/>
          </w:tcPr>
          <w:p w:rsidR="004043EE" w:rsidRDefault="004043EE" w:rsidP="00585797">
            <w:pPr>
              <w:rPr>
                <w:rFonts w:cs="Arial"/>
                <w:lang w:eastAsia="zh-CN"/>
              </w:rPr>
            </w:pPr>
            <w:r>
              <w:rPr>
                <w:rFonts w:cs="Arial"/>
                <w:lang w:eastAsia="zh-CN"/>
              </w:rPr>
              <w:t>Target 2.7: By 2023, 96% of the world population covered by broadband services</w:t>
            </w:r>
          </w:p>
        </w:tc>
      </w:tr>
      <w:tr w:rsidR="004043EE" w:rsidTr="00585797">
        <w:trPr>
          <w:trHeight w:val="315"/>
        </w:trPr>
        <w:tc>
          <w:tcPr>
            <w:tcW w:w="10083" w:type="dxa"/>
            <w:gridSpan w:val="2"/>
            <w:hideMark/>
          </w:tcPr>
          <w:p w:rsidR="004043EE" w:rsidRDefault="004043EE" w:rsidP="00585797">
            <w:pPr>
              <w:rPr>
                <w:rFonts w:cs="Arial"/>
                <w:lang w:eastAsia="zh-CN"/>
              </w:rPr>
            </w:pPr>
            <w:r>
              <w:rPr>
                <w:rFonts w:cs="Arial"/>
                <w:lang w:eastAsia="zh-CN"/>
              </w:rPr>
              <w:t>Target 2.8: by 2023, gender equality in Internet usage and mobile phone ownership should be achieved</w:t>
            </w:r>
          </w:p>
        </w:tc>
      </w:tr>
      <w:tr w:rsidR="004043EE" w:rsidTr="00585797">
        <w:trPr>
          <w:trHeight w:val="315"/>
        </w:trPr>
        <w:tc>
          <w:tcPr>
            <w:tcW w:w="10083" w:type="dxa"/>
            <w:gridSpan w:val="2"/>
            <w:hideMark/>
          </w:tcPr>
          <w:p w:rsidR="004043EE" w:rsidRDefault="004043EE" w:rsidP="00585797">
            <w:pPr>
              <w:rPr>
                <w:rFonts w:cs="Arial"/>
                <w:lang w:eastAsia="zh-CN"/>
              </w:rPr>
            </w:pPr>
            <w:r>
              <w:rPr>
                <w:rFonts w:cs="Arial"/>
                <w:lang w:eastAsia="zh-CN"/>
              </w:rPr>
              <w:t>Target 2.9: By 2023, enabling environments ensuring accessible telecommunications/ICTs for persons with disabilities should be established in all countries</w:t>
            </w:r>
          </w:p>
        </w:tc>
      </w:tr>
      <w:tr w:rsidR="004043EE" w:rsidTr="00585797">
        <w:trPr>
          <w:trHeight w:val="315"/>
        </w:trPr>
        <w:tc>
          <w:tcPr>
            <w:tcW w:w="10083" w:type="dxa"/>
            <w:gridSpan w:val="2"/>
            <w:hideMark/>
          </w:tcPr>
          <w:p w:rsidR="004043EE" w:rsidRDefault="004043EE" w:rsidP="00585797">
            <w:pPr>
              <w:rPr>
                <w:rFonts w:cs="Arial"/>
                <w:lang w:eastAsia="zh-CN"/>
              </w:rPr>
            </w:pPr>
            <w:r>
              <w:rPr>
                <w:rFonts w:cs="Arial"/>
                <w:lang w:eastAsia="zh-CN"/>
              </w:rPr>
              <w:t>Target 2.10: By 2023, improve by 40% the proportion of youth/adults with telecommunication/ICT skills</w:t>
            </w:r>
          </w:p>
        </w:tc>
      </w:tr>
      <w:tr w:rsidR="004043EE" w:rsidTr="00585797">
        <w:trPr>
          <w:trHeight w:val="315"/>
        </w:trPr>
        <w:tc>
          <w:tcPr>
            <w:tcW w:w="10083" w:type="dxa"/>
            <w:gridSpan w:val="2"/>
          </w:tcPr>
          <w:p w:rsidR="004043EE" w:rsidRDefault="004043EE" w:rsidP="00585797">
            <w:pPr>
              <w:rPr>
                <w:rFonts w:cs="Arial"/>
                <w:lang w:eastAsia="zh-CN"/>
              </w:rPr>
            </w:pPr>
            <w:r>
              <w:rPr>
                <w:rFonts w:cs="Arial"/>
                <w:b/>
                <w:bCs/>
                <w:lang w:eastAsia="zh-CN"/>
              </w:rPr>
              <w:t>Goal 3: Sustainability</w:t>
            </w:r>
          </w:p>
        </w:tc>
      </w:tr>
      <w:tr w:rsidR="004043EE" w:rsidTr="00585797">
        <w:trPr>
          <w:trHeight w:val="315"/>
        </w:trPr>
        <w:tc>
          <w:tcPr>
            <w:tcW w:w="10083" w:type="dxa"/>
            <w:gridSpan w:val="2"/>
            <w:hideMark/>
          </w:tcPr>
          <w:p w:rsidR="004043EE" w:rsidRDefault="004043EE" w:rsidP="00585797">
            <w:pPr>
              <w:rPr>
                <w:rFonts w:cs="Arial"/>
                <w:lang w:eastAsia="zh-CN"/>
              </w:rPr>
            </w:pPr>
            <w:r>
              <w:rPr>
                <w:rFonts w:cs="Arial"/>
                <w:lang w:eastAsia="zh-CN"/>
              </w:rPr>
              <w:t>Target 3.1: By 2023, improve cybersecurity preparedness of countries, with key capabilities: presence of strategy, national computer incident/emergency response teams and legislation</w:t>
            </w:r>
          </w:p>
        </w:tc>
      </w:tr>
      <w:tr w:rsidR="004043EE" w:rsidTr="00585797">
        <w:trPr>
          <w:trHeight w:val="315"/>
        </w:trPr>
        <w:tc>
          <w:tcPr>
            <w:tcW w:w="10083" w:type="dxa"/>
            <w:gridSpan w:val="2"/>
            <w:hideMark/>
          </w:tcPr>
          <w:p w:rsidR="004043EE" w:rsidRDefault="004043EE" w:rsidP="00585797">
            <w:pPr>
              <w:rPr>
                <w:rFonts w:cs="Arial"/>
                <w:lang w:eastAsia="zh-CN"/>
              </w:rPr>
            </w:pPr>
            <w:r>
              <w:rPr>
                <w:rFonts w:cs="Arial"/>
                <w:lang w:eastAsia="zh-CN"/>
              </w:rPr>
              <w:t>Target 3.2: By 2023, increase the global e-waste recycling rate to 30%</w:t>
            </w:r>
          </w:p>
        </w:tc>
      </w:tr>
      <w:tr w:rsidR="004043EE" w:rsidTr="00585797">
        <w:trPr>
          <w:trHeight w:val="315"/>
        </w:trPr>
        <w:tc>
          <w:tcPr>
            <w:tcW w:w="10083" w:type="dxa"/>
            <w:gridSpan w:val="2"/>
            <w:hideMark/>
          </w:tcPr>
          <w:p w:rsidR="004043EE" w:rsidRDefault="004043EE" w:rsidP="00585797">
            <w:pPr>
              <w:rPr>
                <w:rFonts w:cs="Arial"/>
                <w:lang w:eastAsia="zh-CN"/>
              </w:rPr>
            </w:pPr>
            <w:r>
              <w:rPr>
                <w:rFonts w:cs="Arial"/>
                <w:lang w:eastAsia="zh-CN"/>
              </w:rPr>
              <w:t>Target 3.3: By 2023, raise the percentage of countries with an e-waste legislation to 50%</w:t>
            </w:r>
          </w:p>
        </w:tc>
      </w:tr>
      <w:tr w:rsidR="004043EE" w:rsidTr="00585797">
        <w:trPr>
          <w:trHeight w:val="315"/>
        </w:trPr>
        <w:tc>
          <w:tcPr>
            <w:tcW w:w="10083" w:type="dxa"/>
            <w:gridSpan w:val="2"/>
            <w:hideMark/>
          </w:tcPr>
          <w:p w:rsidR="004043EE" w:rsidRDefault="004043EE" w:rsidP="00585797">
            <w:pPr>
              <w:rPr>
                <w:rFonts w:cs="Arial"/>
                <w:lang w:eastAsia="zh-CN"/>
              </w:rPr>
            </w:pPr>
            <w:r>
              <w:rPr>
                <w:rFonts w:cs="Arial"/>
                <w:lang w:eastAsia="zh-CN"/>
              </w:rPr>
              <w:t>Target 3.4: By 2023, net telecommunication/ICT-enabled Greenhouse Gas abatement should have increased by 30% compared to the 2015 baseline</w:t>
            </w:r>
          </w:p>
        </w:tc>
      </w:tr>
      <w:tr w:rsidR="004043EE" w:rsidTr="00585797">
        <w:trPr>
          <w:trHeight w:val="315"/>
        </w:trPr>
        <w:tc>
          <w:tcPr>
            <w:tcW w:w="10083" w:type="dxa"/>
            <w:gridSpan w:val="2"/>
            <w:hideMark/>
          </w:tcPr>
          <w:p w:rsidR="004043EE" w:rsidRDefault="004043EE" w:rsidP="00585797">
            <w:pPr>
              <w:rPr>
                <w:rFonts w:cs="Arial"/>
                <w:lang w:eastAsia="zh-CN"/>
              </w:rPr>
            </w:pPr>
            <w:r>
              <w:rPr>
                <w:rFonts w:cs="Arial"/>
                <w:lang w:eastAsia="zh-CN"/>
              </w:rPr>
              <w:t>Target 3.5: By 2023, all countries should have a National Emergency Telecommunication Plan as part of their national and local disaster risk reduction strategies</w:t>
            </w:r>
          </w:p>
        </w:tc>
      </w:tr>
      <w:tr w:rsidR="004043EE" w:rsidTr="00585797">
        <w:trPr>
          <w:trHeight w:val="315"/>
        </w:trPr>
        <w:tc>
          <w:tcPr>
            <w:tcW w:w="10083" w:type="dxa"/>
            <w:gridSpan w:val="2"/>
          </w:tcPr>
          <w:p w:rsidR="004043EE" w:rsidRDefault="004043EE" w:rsidP="00585797">
            <w:pPr>
              <w:rPr>
                <w:rFonts w:cs="Arial"/>
                <w:lang w:eastAsia="zh-CN"/>
              </w:rPr>
            </w:pPr>
            <w:r>
              <w:rPr>
                <w:rFonts w:cs="Arial"/>
                <w:b/>
                <w:bCs/>
                <w:lang w:eastAsia="zh-CN"/>
              </w:rPr>
              <w:t>Goal 4: Innovation</w:t>
            </w:r>
          </w:p>
        </w:tc>
      </w:tr>
      <w:tr w:rsidR="004043EE" w:rsidTr="00585797">
        <w:trPr>
          <w:trHeight w:val="315"/>
        </w:trPr>
        <w:tc>
          <w:tcPr>
            <w:tcW w:w="10083" w:type="dxa"/>
            <w:gridSpan w:val="2"/>
            <w:hideMark/>
          </w:tcPr>
          <w:p w:rsidR="004043EE" w:rsidRDefault="004043EE" w:rsidP="00585797">
            <w:pPr>
              <w:rPr>
                <w:rFonts w:cs="Arial"/>
                <w:lang w:eastAsia="zh-CN"/>
              </w:rPr>
            </w:pPr>
            <w:r>
              <w:rPr>
                <w:rFonts w:cs="Arial"/>
                <w:lang w:eastAsia="zh-CN"/>
              </w:rPr>
              <w:t>Target 4.1: By 2023, all countries should have policies/strategies fostering telecommunication/ICT-centric innovation</w:t>
            </w:r>
          </w:p>
        </w:tc>
      </w:tr>
      <w:tr w:rsidR="004043EE" w:rsidTr="00585797">
        <w:trPr>
          <w:trHeight w:val="315"/>
        </w:trPr>
        <w:tc>
          <w:tcPr>
            <w:tcW w:w="10083" w:type="dxa"/>
            <w:gridSpan w:val="2"/>
          </w:tcPr>
          <w:p w:rsidR="004043EE" w:rsidRDefault="004043EE" w:rsidP="00585797">
            <w:pPr>
              <w:rPr>
                <w:rFonts w:cs="Arial"/>
                <w:lang w:eastAsia="zh-CN"/>
              </w:rPr>
            </w:pPr>
            <w:r>
              <w:rPr>
                <w:rFonts w:cs="Arial"/>
                <w:b/>
                <w:bCs/>
                <w:lang w:eastAsia="zh-CN"/>
              </w:rPr>
              <w:t>Goal 5: Partnership</w:t>
            </w:r>
          </w:p>
        </w:tc>
      </w:tr>
      <w:tr w:rsidR="004043EE" w:rsidTr="00585797">
        <w:trPr>
          <w:trHeight w:val="315"/>
        </w:trPr>
        <w:tc>
          <w:tcPr>
            <w:tcW w:w="10083" w:type="dxa"/>
            <w:gridSpan w:val="2"/>
            <w:tcBorders>
              <w:bottom w:val="single" w:sz="4" w:space="0" w:color="auto"/>
            </w:tcBorders>
            <w:hideMark/>
          </w:tcPr>
          <w:p w:rsidR="004043EE" w:rsidRDefault="004043EE" w:rsidP="00585797">
            <w:pPr>
              <w:rPr>
                <w:rFonts w:cs="Arial"/>
                <w:lang w:eastAsia="zh-CN"/>
              </w:rPr>
            </w:pPr>
            <w:r>
              <w:rPr>
                <w:rFonts w:cs="Arial"/>
                <w:lang w:eastAsia="zh-CN"/>
              </w:rPr>
              <w:t>Target 5.1: By 2023, increased effective partnerships with stakeholders and cooperation with other organization and entities in the telecommunication/ICT environment</w:t>
            </w:r>
          </w:p>
          <w:p w:rsidR="004043EE" w:rsidRDefault="004043EE" w:rsidP="00585797">
            <w:pPr>
              <w:pStyle w:val="SimpleHeading"/>
              <w:spacing w:before="240"/>
              <w:rPr>
                <w:lang w:val="en-GB"/>
              </w:rPr>
            </w:pPr>
            <w:r>
              <w:rPr>
                <w:lang w:val="en-GB"/>
              </w:rPr>
              <w:lastRenderedPageBreak/>
              <w:t>ITU</w:t>
            </w:r>
            <w:r>
              <w:rPr>
                <w:lang w:val="en-GB"/>
              </w:rPr>
              <w:noBreakHyphen/>
              <w:t>T Objectives:</w:t>
            </w:r>
          </w:p>
          <w:p w:rsidR="004043EE" w:rsidRDefault="004043EE" w:rsidP="00585797">
            <w:pPr>
              <w:pStyle w:val="enumlev1"/>
            </w:pPr>
            <w:r>
              <w:t>•</w:t>
            </w:r>
            <w:r>
              <w:tab/>
              <w:t>T.1 (Development of standards): Develop non-discriminatory international standards (ITU</w:t>
            </w:r>
            <w:r>
              <w:noBreakHyphen/>
              <w:t>T recommendations), in a timely manner, and foster interoperability and improved performance of equipment, networks, services and applications</w:t>
            </w:r>
          </w:p>
          <w:p w:rsidR="004043EE" w:rsidRDefault="004043EE" w:rsidP="00585797">
            <w:pPr>
              <w:pStyle w:val="enumlev1"/>
            </w:pPr>
            <w:r>
              <w:t>•</w:t>
            </w:r>
            <w:r>
              <w:tab/>
              <w:t>T.2 (Bridging the standards gap): Promote the active participation of the membership, in particular developing countries, in the definition and adoption of non-discriminatory international standards (ITU</w:t>
            </w:r>
            <w:r>
              <w:noBreakHyphen/>
              <w:t>T recommendations) with a view to bridging the standardization gap</w:t>
            </w:r>
          </w:p>
          <w:p w:rsidR="004043EE" w:rsidRDefault="004043EE" w:rsidP="00585797">
            <w:pPr>
              <w:pStyle w:val="enumlev1"/>
            </w:pPr>
            <w:r>
              <w:t>•</w:t>
            </w:r>
            <w:r>
              <w:tab/>
              <w:t>T.3 (Telecommunication resources): Ensure effective allocation and management of international telecommunication numbering, naming, addressing and identification resources in accordance with ITU</w:t>
            </w:r>
            <w:r>
              <w:noBreakHyphen/>
              <w:t>T recommendations and procedures</w:t>
            </w:r>
          </w:p>
          <w:p w:rsidR="004043EE" w:rsidRDefault="004043EE" w:rsidP="00585797">
            <w:pPr>
              <w:pStyle w:val="enumlev1"/>
            </w:pPr>
            <w:r>
              <w:t>•</w:t>
            </w:r>
            <w:r>
              <w:tab/>
              <w:t>T.4 (Knowledge sharing): Foster the acquisition, awareness, sharing of knowledge and know how on the standardization activities of ITU</w:t>
            </w:r>
            <w:r>
              <w:noBreakHyphen/>
              <w:t>T</w:t>
            </w:r>
          </w:p>
          <w:p w:rsidR="004043EE" w:rsidRDefault="004043EE" w:rsidP="00585797">
            <w:pPr>
              <w:pStyle w:val="enumlev1"/>
            </w:pPr>
            <w:r>
              <w:br w:type="page"/>
              <w:t>•</w:t>
            </w:r>
            <w:r>
              <w:tab/>
              <w:t>T.5 (Cooperation with standardization bodies): Extend and facilitate cooperation with international, regional and national standardization bodies</w:t>
            </w:r>
          </w:p>
          <w:p w:rsidR="004043EE" w:rsidRDefault="004043EE" w:rsidP="00585797">
            <w:pPr>
              <w:overflowPunct/>
              <w:autoSpaceDE/>
              <w:autoSpaceDN/>
              <w:adjustRightInd/>
              <w:spacing w:before="240" w:after="240"/>
              <w:textAlignment w:val="auto"/>
              <w:rPr>
                <w:rFonts w:eastAsia="SimSun" w:cs="Traditional Arabic"/>
              </w:rPr>
            </w:pPr>
            <w:r>
              <w:rPr>
                <w:rFonts w:eastAsia="SimSun" w:cs="Traditional Arabic"/>
              </w:rPr>
              <w:t>Several administrations stressed that the term "non-discriminatory" in relation to international standards is ambiguous and could lead to different interpretations, and for those reasons is not agreeable. However, being it the original text from the PP-14, it will not be opposed in the Strategic Plan for the 2020 - 2023 period, however, when discussing the Strategic Plan for the period 2024- 2027, and especially when discussing plans in the T-Sector, a wording that describes the situation and creates no ambiguity should be found.</w:t>
            </w:r>
          </w:p>
          <w:p w:rsidR="004043EE" w:rsidRDefault="004043EE" w:rsidP="00585797">
            <w:pPr>
              <w:pStyle w:val="SimpleHeading"/>
              <w:spacing w:before="240"/>
              <w:rPr>
                <w:lang w:val="en-GB"/>
              </w:rPr>
            </w:pPr>
            <w:r>
              <w:rPr>
                <w:lang w:val="en-GB"/>
              </w:rPr>
              <w:t>Inter-Sectoral Objectives:</w:t>
            </w:r>
          </w:p>
          <w:p w:rsidR="004043EE" w:rsidRDefault="004043EE" w:rsidP="00585797">
            <w:pPr>
              <w:pStyle w:val="enumlev1"/>
            </w:pPr>
            <w:r>
              <w:t>•</w:t>
            </w:r>
            <w:r>
              <w:tab/>
              <w:t>I.1 (Collaboration) Foster closer collaboration among all stakeholders in the telecommunication/ICT ecosystem</w:t>
            </w:r>
          </w:p>
          <w:p w:rsidR="004043EE" w:rsidRDefault="004043EE" w:rsidP="00585797">
            <w:pPr>
              <w:pStyle w:val="enumlev1"/>
            </w:pPr>
            <w:r>
              <w:t>•</w:t>
            </w:r>
            <w:r>
              <w:tab/>
              <w:t>I.2 (Emerging telecommunication/ICT trends) Enhance identification, awareness and analysis of digital transformation and emerging trends in the telecommunication/ICT environment</w:t>
            </w:r>
          </w:p>
          <w:p w:rsidR="004043EE" w:rsidRDefault="004043EE" w:rsidP="00585797">
            <w:pPr>
              <w:pStyle w:val="enumlev1"/>
            </w:pPr>
            <w:r>
              <w:t>•</w:t>
            </w:r>
            <w:r>
              <w:tab/>
              <w:t>I.3 (Telecommunication/ICT accessibility) Enhance telecommunications/ICTs accessibility for persons with disabilities and specific needs</w:t>
            </w:r>
          </w:p>
          <w:p w:rsidR="004043EE" w:rsidRDefault="004043EE" w:rsidP="00585797">
            <w:pPr>
              <w:pStyle w:val="enumlev1"/>
            </w:pPr>
            <w:r>
              <w:t>•</w:t>
            </w:r>
            <w:r>
              <w:tab/>
              <w:t>I.4 (Gender equality and inclusion) Enhance the use of telecommunication/ICTs for gender equality and inclusion and empowerment of women and girls</w:t>
            </w:r>
          </w:p>
          <w:p w:rsidR="004043EE" w:rsidRDefault="004043EE" w:rsidP="00585797">
            <w:pPr>
              <w:pStyle w:val="enumlev1"/>
            </w:pPr>
            <w:r>
              <w:t>•</w:t>
            </w:r>
            <w:r>
              <w:tab/>
              <w:t>I.5. (Environmental sustainability) Leverage telecommunication/ICTs to reduce environmental footprint</w:t>
            </w:r>
          </w:p>
          <w:p w:rsidR="004043EE" w:rsidRDefault="004043EE" w:rsidP="00585797">
            <w:pPr>
              <w:pStyle w:val="enumlev1"/>
            </w:pPr>
            <w:r>
              <w:t>•</w:t>
            </w:r>
            <w:r>
              <w:tab/>
              <w:t>I.6 (Reducing overlap and duplication) Reduce the areas of overlap and duplication and foster closer and more transparent coordination among General Secretariat and ITU Sectors, taking into account the Union's budgetary provisions and the expertise and mandate of each Sector</w:t>
            </w:r>
          </w:p>
          <w:p w:rsidR="004043EE" w:rsidRDefault="004043EE" w:rsidP="00585797">
            <w:pPr>
              <w:pStyle w:val="enumlev1"/>
            </w:pPr>
          </w:p>
          <w:p w:rsidR="004043EE" w:rsidRDefault="004043EE" w:rsidP="00585797">
            <w:pPr>
              <w:pStyle w:val="Caption"/>
              <w:keepNext w:val="0"/>
              <w:pageBreakBefore/>
              <w:rPr>
                <w:lang w:val="en-GB"/>
              </w:rPr>
            </w:pPr>
            <w:r>
              <w:rPr>
                <w:lang w:val="en-GB"/>
              </w:rPr>
              <w:t>Table 3. Linkage of ITU objectives with the Strategic Goals</w:t>
            </w:r>
            <w:r>
              <w:rPr>
                <w:rStyle w:val="FootnoteReference"/>
                <w:lang w:val="en-GB"/>
              </w:rPr>
              <w:footnoteReference w:customMarkFollows="1" w:id="2"/>
              <w:t>1</w:t>
            </w:r>
            <w:r>
              <w:rPr>
                <w:lang w:val="en-GB"/>
              </w:rPr>
              <w:t>:</w:t>
            </w:r>
          </w:p>
          <w:tbl>
            <w:tblPr>
              <w:tblW w:w="9857" w:type="dxa"/>
              <w:tblBorders>
                <w:top w:val="single" w:sz="4" w:space="0" w:color="auto"/>
                <w:bottom w:val="single" w:sz="4" w:space="0" w:color="auto"/>
                <w:insideH w:val="single" w:sz="4" w:space="0" w:color="auto"/>
              </w:tblBorders>
              <w:tblCellMar>
                <w:top w:w="28" w:type="dxa"/>
                <w:left w:w="0" w:type="dxa"/>
                <w:bottom w:w="28" w:type="dxa"/>
                <w:right w:w="0" w:type="dxa"/>
              </w:tblCellMar>
              <w:tblLook w:val="0600" w:firstRow="0" w:lastRow="0" w:firstColumn="0" w:lastColumn="0" w:noHBand="1" w:noVBand="1"/>
            </w:tblPr>
            <w:tblGrid>
              <w:gridCol w:w="388"/>
              <w:gridCol w:w="3347"/>
              <w:gridCol w:w="848"/>
              <w:gridCol w:w="1357"/>
              <w:gridCol w:w="1424"/>
              <w:gridCol w:w="1220"/>
              <w:gridCol w:w="1273"/>
            </w:tblGrid>
            <w:tr w:rsidR="004043EE" w:rsidTr="00585797">
              <w:trPr>
                <w:trHeight w:val="391"/>
                <w:tblHeader/>
              </w:trPr>
              <w:tc>
                <w:tcPr>
                  <w:tcW w:w="3735" w:type="dxa"/>
                  <w:gridSpan w:val="2"/>
                  <w:tcBorders>
                    <w:left w:val="single" w:sz="4" w:space="0" w:color="auto"/>
                    <w:right w:val="single" w:sz="4" w:space="0" w:color="auto"/>
                  </w:tcBorders>
                  <w:shd w:val="clear" w:color="auto" w:fill="auto"/>
                </w:tcPr>
                <w:p w:rsidR="004043EE" w:rsidRDefault="004043EE" w:rsidP="00585797">
                  <w:pPr>
                    <w:spacing w:before="100" w:beforeAutospacing="1" w:after="100" w:afterAutospacing="1"/>
                    <w:jc w:val="center"/>
                    <w:rPr>
                      <w:rFonts w:eastAsia="Calibri" w:cs="Arial"/>
                    </w:rPr>
                  </w:pPr>
                </w:p>
              </w:tc>
              <w:tc>
                <w:tcPr>
                  <w:tcW w:w="848" w:type="dxa"/>
                  <w:tcBorders>
                    <w:left w:val="single" w:sz="4" w:space="0" w:color="auto"/>
                    <w:right w:val="single" w:sz="4" w:space="0" w:color="auto"/>
                  </w:tcBorders>
                  <w:shd w:val="clear" w:color="auto" w:fill="auto"/>
                </w:tcPr>
                <w:p w:rsidR="004043EE" w:rsidRDefault="004043EE" w:rsidP="00585797">
                  <w:pPr>
                    <w:spacing w:before="100" w:beforeAutospacing="1" w:after="100" w:afterAutospacing="1"/>
                    <w:jc w:val="center"/>
                    <w:rPr>
                      <w:b/>
                    </w:rPr>
                  </w:pPr>
                  <w:r>
                    <w:rPr>
                      <w:b/>
                    </w:rPr>
                    <w:t>Goal 1: Growth</w:t>
                  </w:r>
                </w:p>
              </w:tc>
              <w:tc>
                <w:tcPr>
                  <w:tcW w:w="1357" w:type="dxa"/>
                  <w:tcBorders>
                    <w:left w:val="single" w:sz="4" w:space="0" w:color="auto"/>
                    <w:right w:val="single" w:sz="4" w:space="0" w:color="auto"/>
                  </w:tcBorders>
                  <w:shd w:val="clear" w:color="auto" w:fill="auto"/>
                </w:tcPr>
                <w:p w:rsidR="004043EE" w:rsidRDefault="004043EE" w:rsidP="00585797">
                  <w:pPr>
                    <w:spacing w:before="100" w:beforeAutospacing="1" w:after="100" w:afterAutospacing="1"/>
                    <w:jc w:val="center"/>
                    <w:rPr>
                      <w:b/>
                    </w:rPr>
                  </w:pPr>
                  <w:r>
                    <w:rPr>
                      <w:b/>
                    </w:rPr>
                    <w:t>Goal 2: Inclusiveness</w:t>
                  </w:r>
                </w:p>
              </w:tc>
              <w:tc>
                <w:tcPr>
                  <w:tcW w:w="1424" w:type="dxa"/>
                  <w:tcBorders>
                    <w:left w:val="single" w:sz="4" w:space="0" w:color="auto"/>
                    <w:right w:val="single" w:sz="4" w:space="0" w:color="auto"/>
                  </w:tcBorders>
                  <w:shd w:val="clear" w:color="auto" w:fill="auto"/>
                </w:tcPr>
                <w:p w:rsidR="004043EE" w:rsidRDefault="004043EE" w:rsidP="00585797">
                  <w:pPr>
                    <w:spacing w:before="100" w:beforeAutospacing="1" w:after="100" w:afterAutospacing="1"/>
                    <w:jc w:val="center"/>
                    <w:rPr>
                      <w:b/>
                    </w:rPr>
                  </w:pPr>
                  <w:r>
                    <w:rPr>
                      <w:b/>
                    </w:rPr>
                    <w:t>Goal 3: Sustainability</w:t>
                  </w:r>
                </w:p>
              </w:tc>
              <w:tc>
                <w:tcPr>
                  <w:tcW w:w="1220" w:type="dxa"/>
                  <w:tcBorders>
                    <w:left w:val="single" w:sz="4" w:space="0" w:color="auto"/>
                    <w:right w:val="single" w:sz="4" w:space="0" w:color="auto"/>
                  </w:tcBorders>
                </w:tcPr>
                <w:p w:rsidR="004043EE" w:rsidRDefault="004043EE" w:rsidP="00585797">
                  <w:pPr>
                    <w:spacing w:before="100" w:beforeAutospacing="1" w:after="100" w:afterAutospacing="1"/>
                    <w:jc w:val="center"/>
                    <w:rPr>
                      <w:b/>
                    </w:rPr>
                  </w:pPr>
                  <w:r>
                    <w:rPr>
                      <w:b/>
                    </w:rPr>
                    <w:t>Goal 4: Innovation</w:t>
                  </w:r>
                </w:p>
              </w:tc>
              <w:tc>
                <w:tcPr>
                  <w:tcW w:w="1273" w:type="dxa"/>
                  <w:tcBorders>
                    <w:left w:val="single" w:sz="4" w:space="0" w:color="auto"/>
                    <w:right w:val="single" w:sz="4" w:space="0" w:color="auto"/>
                  </w:tcBorders>
                  <w:shd w:val="clear" w:color="auto" w:fill="auto"/>
                </w:tcPr>
                <w:p w:rsidR="004043EE" w:rsidRDefault="004043EE" w:rsidP="00585797">
                  <w:pPr>
                    <w:spacing w:before="100" w:beforeAutospacing="1" w:after="100" w:afterAutospacing="1"/>
                    <w:jc w:val="center"/>
                    <w:rPr>
                      <w:b/>
                    </w:rPr>
                  </w:pPr>
                  <w:r>
                    <w:rPr>
                      <w:b/>
                    </w:rPr>
                    <w:t>Goal 5: Partnership</w:t>
                  </w:r>
                </w:p>
              </w:tc>
            </w:tr>
            <w:tr w:rsidR="004043EE" w:rsidTr="00585797">
              <w:trPr>
                <w:trHeight w:val="28"/>
              </w:trPr>
              <w:tc>
                <w:tcPr>
                  <w:tcW w:w="388" w:type="dxa"/>
                  <w:vMerge w:val="restart"/>
                  <w:tcBorders>
                    <w:left w:val="single" w:sz="4" w:space="0" w:color="auto"/>
                    <w:right w:val="single" w:sz="4" w:space="0" w:color="auto"/>
                  </w:tcBorders>
                  <w:shd w:val="clear" w:color="auto" w:fill="auto"/>
                  <w:textDirection w:val="btLr"/>
                </w:tcPr>
                <w:p w:rsidR="004043EE" w:rsidRDefault="004043EE" w:rsidP="00585797">
                  <w:pPr>
                    <w:spacing w:before="100" w:beforeAutospacing="1" w:after="100" w:afterAutospacing="1"/>
                    <w:jc w:val="center"/>
                    <w:rPr>
                      <w:rFonts w:eastAsia="Calibri" w:cs="Arial"/>
                      <w:b/>
                    </w:rPr>
                  </w:pPr>
                  <w:r>
                    <w:rPr>
                      <w:rFonts w:eastAsia="Calibri" w:cs="Arial"/>
                      <w:b/>
                    </w:rPr>
                    <w:t>Objectives</w:t>
                  </w:r>
                </w:p>
              </w:tc>
              <w:tc>
                <w:tcPr>
                  <w:tcW w:w="9469" w:type="dxa"/>
                  <w:gridSpan w:val="6"/>
                  <w:tcBorders>
                    <w:left w:val="single" w:sz="4" w:space="0" w:color="auto"/>
                    <w:right w:val="single" w:sz="4" w:space="0" w:color="auto"/>
                  </w:tcBorders>
                  <w:shd w:val="clear" w:color="auto" w:fill="auto"/>
                  <w:vAlign w:val="center"/>
                </w:tcPr>
                <w:p w:rsidR="004043EE" w:rsidRPr="004D3D99" w:rsidRDefault="004043EE" w:rsidP="00585797">
                  <w:pPr>
                    <w:spacing w:before="0"/>
                    <w:jc w:val="center"/>
                    <w:rPr>
                      <w:rFonts w:eastAsia="Calibri" w:cs="Arial"/>
                      <w:sz w:val="16"/>
                      <w:szCs w:val="16"/>
                    </w:rPr>
                  </w:pPr>
                </w:p>
              </w:tc>
            </w:tr>
            <w:tr w:rsidR="004043EE" w:rsidTr="00585797">
              <w:trPr>
                <w:trHeight w:val="252"/>
              </w:trPr>
              <w:tc>
                <w:tcPr>
                  <w:tcW w:w="388" w:type="dxa"/>
                  <w:vMerge/>
                  <w:tcBorders>
                    <w:left w:val="single" w:sz="4" w:space="0" w:color="auto"/>
                    <w:right w:val="single" w:sz="4" w:space="0" w:color="auto"/>
                  </w:tcBorders>
                  <w:shd w:val="clear" w:color="auto" w:fill="auto"/>
                  <w:textDirection w:val="btLr"/>
                </w:tcPr>
                <w:p w:rsidR="004043EE" w:rsidRDefault="004043EE" w:rsidP="00585797">
                  <w:pPr>
                    <w:spacing w:before="100" w:beforeAutospacing="1" w:after="100" w:afterAutospacing="1"/>
                    <w:jc w:val="center"/>
                    <w:rPr>
                      <w:rFonts w:eastAsia="Calibri" w:cs="Arial"/>
                    </w:rPr>
                  </w:pPr>
                </w:p>
              </w:tc>
              <w:tc>
                <w:tcPr>
                  <w:tcW w:w="3347"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b/>
                    </w:rPr>
                  </w:pPr>
                  <w:r>
                    <w:rPr>
                      <w:rFonts w:eastAsia="Calibri" w:cs="Arial"/>
                      <w:b/>
                    </w:rPr>
                    <w:t>ITU</w:t>
                  </w:r>
                  <w:r>
                    <w:rPr>
                      <w:rFonts w:eastAsia="Calibri" w:cs="Arial"/>
                      <w:b/>
                    </w:rPr>
                    <w:noBreakHyphen/>
                    <w:t>T objectives</w:t>
                  </w:r>
                </w:p>
              </w:tc>
              <w:tc>
                <w:tcPr>
                  <w:tcW w:w="848"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bCs/>
                    </w:rPr>
                  </w:pPr>
                </w:p>
              </w:tc>
              <w:tc>
                <w:tcPr>
                  <w:tcW w:w="1357"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p>
              </w:tc>
              <w:tc>
                <w:tcPr>
                  <w:tcW w:w="1424"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p>
              </w:tc>
              <w:tc>
                <w:tcPr>
                  <w:tcW w:w="1220" w:type="dxa"/>
                  <w:tcBorders>
                    <w:left w:val="single" w:sz="4" w:space="0" w:color="auto"/>
                    <w:right w:val="single" w:sz="4" w:space="0" w:color="auto"/>
                  </w:tcBorders>
                  <w:vAlign w:val="center"/>
                </w:tcPr>
                <w:p w:rsidR="004043EE" w:rsidRDefault="004043EE" w:rsidP="00585797">
                  <w:pPr>
                    <w:spacing w:before="100" w:beforeAutospacing="1" w:after="100" w:afterAutospacing="1"/>
                    <w:jc w:val="center"/>
                    <w:rPr>
                      <w:rFonts w:eastAsia="Calibri" w:cs="Arial"/>
                    </w:rPr>
                  </w:pPr>
                </w:p>
              </w:tc>
              <w:tc>
                <w:tcPr>
                  <w:tcW w:w="1273"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p>
              </w:tc>
            </w:tr>
            <w:tr w:rsidR="004043EE" w:rsidTr="00585797">
              <w:trPr>
                <w:trHeight w:val="72"/>
              </w:trPr>
              <w:tc>
                <w:tcPr>
                  <w:tcW w:w="388" w:type="dxa"/>
                  <w:vMerge/>
                  <w:tcBorders>
                    <w:left w:val="single" w:sz="4" w:space="0" w:color="auto"/>
                    <w:right w:val="single" w:sz="4" w:space="0" w:color="auto"/>
                  </w:tcBorders>
                  <w:shd w:val="clear" w:color="auto" w:fill="auto"/>
                  <w:textDirection w:val="btLr"/>
                </w:tcPr>
                <w:p w:rsidR="004043EE" w:rsidRDefault="004043EE" w:rsidP="00585797">
                  <w:pPr>
                    <w:spacing w:before="100" w:beforeAutospacing="1" w:after="100" w:afterAutospacing="1"/>
                    <w:jc w:val="center"/>
                    <w:rPr>
                      <w:rFonts w:eastAsia="Calibri" w:cs="Arial"/>
                    </w:rPr>
                  </w:pPr>
                </w:p>
              </w:tc>
              <w:tc>
                <w:tcPr>
                  <w:tcW w:w="3347" w:type="dxa"/>
                  <w:tcBorders>
                    <w:left w:val="single" w:sz="4" w:space="0" w:color="auto"/>
                    <w:right w:val="single" w:sz="4" w:space="0" w:color="auto"/>
                  </w:tcBorders>
                  <w:shd w:val="clear" w:color="auto" w:fill="auto"/>
                </w:tcPr>
                <w:p w:rsidR="004043EE" w:rsidRDefault="004043EE" w:rsidP="00585797">
                  <w:pPr>
                    <w:spacing w:before="100" w:beforeAutospacing="1" w:after="100" w:afterAutospacing="1"/>
                    <w:rPr>
                      <w:rFonts w:eastAsia="Calibri" w:cs="Arial"/>
                    </w:rPr>
                  </w:pPr>
                  <w:r>
                    <w:rPr>
                      <w:rFonts w:eastAsia="Calibri" w:cs="Arial"/>
                    </w:rPr>
                    <w:t>T.1. Development of standards</w:t>
                  </w:r>
                </w:p>
              </w:tc>
              <w:tc>
                <w:tcPr>
                  <w:tcW w:w="848"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bCs/>
                    </w:rPr>
                  </w:pPr>
                  <w:r>
                    <w:rPr>
                      <w:rFonts w:eastAsia="Calibri" w:cs="Arial"/>
                      <w:bCs/>
                    </w:rPr>
                    <w:sym w:font="Wingdings 2" w:char="F052"/>
                  </w:r>
                </w:p>
              </w:tc>
              <w:tc>
                <w:tcPr>
                  <w:tcW w:w="1357"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c>
                <w:tcPr>
                  <w:tcW w:w="1424"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c>
                <w:tcPr>
                  <w:tcW w:w="1220" w:type="dxa"/>
                  <w:tcBorders>
                    <w:left w:val="single" w:sz="4" w:space="0" w:color="auto"/>
                    <w:right w:val="single" w:sz="4" w:space="0" w:color="auto"/>
                  </w:tcBorders>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c>
                <w:tcPr>
                  <w:tcW w:w="1273"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r>
            <w:tr w:rsidR="004043EE" w:rsidTr="00585797">
              <w:trPr>
                <w:trHeight w:val="72"/>
              </w:trPr>
              <w:tc>
                <w:tcPr>
                  <w:tcW w:w="388" w:type="dxa"/>
                  <w:vMerge/>
                  <w:tcBorders>
                    <w:left w:val="single" w:sz="4" w:space="0" w:color="auto"/>
                    <w:right w:val="single" w:sz="4" w:space="0" w:color="auto"/>
                  </w:tcBorders>
                  <w:shd w:val="clear" w:color="auto" w:fill="auto"/>
                  <w:textDirection w:val="btLr"/>
                </w:tcPr>
                <w:p w:rsidR="004043EE" w:rsidRDefault="004043EE" w:rsidP="00585797">
                  <w:pPr>
                    <w:spacing w:before="100" w:beforeAutospacing="1" w:after="100" w:afterAutospacing="1"/>
                    <w:jc w:val="center"/>
                    <w:rPr>
                      <w:rFonts w:eastAsia="Calibri" w:cs="Arial"/>
                    </w:rPr>
                  </w:pPr>
                </w:p>
              </w:tc>
              <w:tc>
                <w:tcPr>
                  <w:tcW w:w="3347" w:type="dxa"/>
                  <w:tcBorders>
                    <w:left w:val="single" w:sz="4" w:space="0" w:color="auto"/>
                    <w:right w:val="single" w:sz="4" w:space="0" w:color="auto"/>
                  </w:tcBorders>
                  <w:shd w:val="clear" w:color="auto" w:fill="auto"/>
                </w:tcPr>
                <w:p w:rsidR="004043EE" w:rsidRDefault="004043EE" w:rsidP="00585797">
                  <w:pPr>
                    <w:keepNext/>
                    <w:keepLines/>
                    <w:spacing w:before="100" w:beforeAutospacing="1" w:after="100" w:afterAutospacing="1"/>
                    <w:rPr>
                      <w:rFonts w:eastAsia="Calibri" w:cs="Arial"/>
                    </w:rPr>
                  </w:pPr>
                  <w:r>
                    <w:rPr>
                      <w:rFonts w:eastAsia="Calibri" w:cs="Arial"/>
                    </w:rPr>
                    <w:t>T.2. Bridging the standards gap</w:t>
                  </w:r>
                </w:p>
              </w:tc>
              <w:tc>
                <w:tcPr>
                  <w:tcW w:w="848" w:type="dxa"/>
                  <w:tcBorders>
                    <w:left w:val="single" w:sz="4" w:space="0" w:color="auto"/>
                    <w:right w:val="single" w:sz="4" w:space="0" w:color="auto"/>
                  </w:tcBorders>
                  <w:shd w:val="clear" w:color="auto" w:fill="auto"/>
                  <w:vAlign w:val="center"/>
                </w:tcPr>
                <w:p w:rsidR="004043EE" w:rsidRDefault="004043EE" w:rsidP="00585797">
                  <w:pPr>
                    <w:keepNext/>
                    <w:keepLines/>
                    <w:spacing w:before="100" w:beforeAutospacing="1" w:after="100" w:afterAutospacing="1"/>
                    <w:jc w:val="center"/>
                    <w:rPr>
                      <w:rFonts w:eastAsia="Calibri" w:cs="Arial"/>
                      <w:bCs/>
                    </w:rPr>
                  </w:pPr>
                  <w:r>
                    <w:rPr>
                      <w:rFonts w:eastAsia="Calibri" w:cs="Arial"/>
                    </w:rPr>
                    <w:sym w:font="Wingdings 2" w:char="F050"/>
                  </w:r>
                </w:p>
              </w:tc>
              <w:tc>
                <w:tcPr>
                  <w:tcW w:w="1357" w:type="dxa"/>
                  <w:tcBorders>
                    <w:left w:val="single" w:sz="4" w:space="0" w:color="auto"/>
                    <w:right w:val="single" w:sz="4" w:space="0" w:color="auto"/>
                  </w:tcBorders>
                  <w:shd w:val="clear" w:color="auto" w:fill="auto"/>
                  <w:vAlign w:val="center"/>
                </w:tcPr>
                <w:p w:rsidR="004043EE" w:rsidRDefault="004043EE" w:rsidP="00585797">
                  <w:pPr>
                    <w:keepNext/>
                    <w:keepLines/>
                    <w:spacing w:before="100" w:beforeAutospacing="1" w:after="100" w:afterAutospacing="1"/>
                    <w:jc w:val="center"/>
                    <w:rPr>
                      <w:rFonts w:eastAsia="Calibri" w:cs="Arial"/>
                    </w:rPr>
                  </w:pPr>
                  <w:r>
                    <w:rPr>
                      <w:rFonts w:eastAsia="Calibri" w:cs="Arial"/>
                      <w:bCs/>
                    </w:rPr>
                    <w:sym w:font="Wingdings 2" w:char="F052"/>
                  </w:r>
                </w:p>
              </w:tc>
              <w:tc>
                <w:tcPr>
                  <w:tcW w:w="1424" w:type="dxa"/>
                  <w:tcBorders>
                    <w:left w:val="single" w:sz="4" w:space="0" w:color="auto"/>
                    <w:right w:val="single" w:sz="4" w:space="0" w:color="auto"/>
                  </w:tcBorders>
                  <w:shd w:val="clear" w:color="auto" w:fill="auto"/>
                  <w:vAlign w:val="center"/>
                </w:tcPr>
                <w:p w:rsidR="004043EE" w:rsidRDefault="004043EE" w:rsidP="00585797">
                  <w:pPr>
                    <w:keepNext/>
                    <w:keepLines/>
                    <w:spacing w:before="100" w:beforeAutospacing="1" w:after="100" w:afterAutospacing="1"/>
                    <w:jc w:val="center"/>
                    <w:rPr>
                      <w:rFonts w:eastAsia="Calibri" w:cs="Arial"/>
                    </w:rPr>
                  </w:pPr>
                </w:p>
              </w:tc>
              <w:tc>
                <w:tcPr>
                  <w:tcW w:w="1220" w:type="dxa"/>
                  <w:tcBorders>
                    <w:left w:val="single" w:sz="4" w:space="0" w:color="auto"/>
                    <w:right w:val="single" w:sz="4" w:space="0" w:color="auto"/>
                  </w:tcBorders>
                  <w:vAlign w:val="center"/>
                </w:tcPr>
                <w:p w:rsidR="004043EE" w:rsidRDefault="004043EE" w:rsidP="00585797">
                  <w:pPr>
                    <w:keepNext/>
                    <w:keepLines/>
                    <w:spacing w:before="100" w:beforeAutospacing="1" w:after="100" w:afterAutospacing="1"/>
                    <w:jc w:val="center"/>
                    <w:rPr>
                      <w:rFonts w:eastAsia="Calibri" w:cs="Arial"/>
                    </w:rPr>
                  </w:pPr>
                  <w:r>
                    <w:rPr>
                      <w:rFonts w:eastAsia="Calibri" w:cs="Arial"/>
                    </w:rPr>
                    <w:sym w:font="Wingdings 2" w:char="F050"/>
                  </w:r>
                </w:p>
              </w:tc>
              <w:tc>
                <w:tcPr>
                  <w:tcW w:w="1273" w:type="dxa"/>
                  <w:tcBorders>
                    <w:left w:val="single" w:sz="4" w:space="0" w:color="auto"/>
                    <w:right w:val="single" w:sz="4" w:space="0" w:color="auto"/>
                  </w:tcBorders>
                  <w:shd w:val="clear" w:color="auto" w:fill="auto"/>
                  <w:vAlign w:val="center"/>
                </w:tcPr>
                <w:p w:rsidR="004043EE" w:rsidRDefault="004043EE" w:rsidP="00585797">
                  <w:pPr>
                    <w:keepNext/>
                    <w:keepLines/>
                    <w:spacing w:before="100" w:beforeAutospacing="1" w:after="100" w:afterAutospacing="1"/>
                    <w:jc w:val="center"/>
                    <w:rPr>
                      <w:rFonts w:eastAsia="Calibri" w:cs="Arial"/>
                    </w:rPr>
                  </w:pPr>
                </w:p>
              </w:tc>
            </w:tr>
            <w:tr w:rsidR="004043EE" w:rsidTr="00585797">
              <w:trPr>
                <w:trHeight w:val="231"/>
              </w:trPr>
              <w:tc>
                <w:tcPr>
                  <w:tcW w:w="388" w:type="dxa"/>
                  <w:vMerge/>
                  <w:tcBorders>
                    <w:left w:val="single" w:sz="4" w:space="0" w:color="auto"/>
                    <w:right w:val="single" w:sz="4" w:space="0" w:color="auto"/>
                  </w:tcBorders>
                  <w:shd w:val="clear" w:color="auto" w:fill="auto"/>
                </w:tcPr>
                <w:p w:rsidR="004043EE" w:rsidRDefault="004043EE" w:rsidP="00585797">
                  <w:pPr>
                    <w:spacing w:before="100" w:beforeAutospacing="1" w:after="100" w:afterAutospacing="1"/>
                    <w:rPr>
                      <w:rFonts w:eastAsia="Calibri" w:cs="Arial"/>
                    </w:rPr>
                  </w:pPr>
                </w:p>
              </w:tc>
              <w:tc>
                <w:tcPr>
                  <w:tcW w:w="3347" w:type="dxa"/>
                  <w:tcBorders>
                    <w:left w:val="single" w:sz="4" w:space="0" w:color="auto"/>
                    <w:right w:val="single" w:sz="4" w:space="0" w:color="auto"/>
                  </w:tcBorders>
                  <w:shd w:val="clear" w:color="auto" w:fill="auto"/>
                </w:tcPr>
                <w:p w:rsidR="004043EE" w:rsidRDefault="004043EE" w:rsidP="00585797">
                  <w:pPr>
                    <w:keepNext/>
                    <w:keepLines/>
                    <w:spacing w:before="100" w:beforeAutospacing="1" w:after="100" w:afterAutospacing="1"/>
                    <w:rPr>
                      <w:rFonts w:eastAsia="Calibri" w:cs="Arial"/>
                    </w:rPr>
                  </w:pPr>
                  <w:r>
                    <w:rPr>
                      <w:rFonts w:eastAsia="Calibri" w:cs="Arial"/>
                    </w:rPr>
                    <w:t>T.3. Telecommunication resources</w:t>
                  </w:r>
                </w:p>
              </w:tc>
              <w:tc>
                <w:tcPr>
                  <w:tcW w:w="848" w:type="dxa"/>
                  <w:tcBorders>
                    <w:left w:val="single" w:sz="4" w:space="0" w:color="auto"/>
                    <w:right w:val="single" w:sz="4" w:space="0" w:color="auto"/>
                  </w:tcBorders>
                  <w:shd w:val="clear" w:color="auto" w:fill="auto"/>
                  <w:vAlign w:val="center"/>
                </w:tcPr>
                <w:p w:rsidR="004043EE" w:rsidRDefault="004043EE" w:rsidP="00585797">
                  <w:pPr>
                    <w:keepNext/>
                    <w:keepLines/>
                    <w:spacing w:before="100" w:beforeAutospacing="1" w:after="100" w:afterAutospacing="1"/>
                    <w:jc w:val="center"/>
                    <w:rPr>
                      <w:rFonts w:eastAsia="Calibri" w:cs="Arial"/>
                    </w:rPr>
                  </w:pPr>
                  <w:r>
                    <w:rPr>
                      <w:rFonts w:eastAsia="Calibri" w:cs="Arial"/>
                      <w:bCs/>
                    </w:rPr>
                    <w:sym w:font="Wingdings 2" w:char="F052"/>
                  </w:r>
                </w:p>
              </w:tc>
              <w:tc>
                <w:tcPr>
                  <w:tcW w:w="1357" w:type="dxa"/>
                  <w:tcBorders>
                    <w:left w:val="single" w:sz="4" w:space="0" w:color="auto"/>
                    <w:right w:val="single" w:sz="4" w:space="0" w:color="auto"/>
                  </w:tcBorders>
                  <w:shd w:val="clear" w:color="auto" w:fill="auto"/>
                  <w:vAlign w:val="center"/>
                </w:tcPr>
                <w:p w:rsidR="004043EE" w:rsidRDefault="004043EE" w:rsidP="00585797">
                  <w:pPr>
                    <w:keepNext/>
                    <w:keepLines/>
                    <w:spacing w:before="100" w:beforeAutospacing="1" w:after="100" w:afterAutospacing="1"/>
                    <w:jc w:val="center"/>
                    <w:rPr>
                      <w:rFonts w:eastAsia="Calibri" w:cs="Arial"/>
                    </w:rPr>
                  </w:pPr>
                  <w:r>
                    <w:rPr>
                      <w:rFonts w:eastAsia="Calibri" w:cs="Arial"/>
                    </w:rPr>
                    <w:sym w:font="Wingdings 2" w:char="F050"/>
                  </w:r>
                </w:p>
              </w:tc>
              <w:tc>
                <w:tcPr>
                  <w:tcW w:w="1424" w:type="dxa"/>
                  <w:tcBorders>
                    <w:left w:val="single" w:sz="4" w:space="0" w:color="auto"/>
                    <w:right w:val="single" w:sz="4" w:space="0" w:color="auto"/>
                  </w:tcBorders>
                  <w:shd w:val="clear" w:color="auto" w:fill="auto"/>
                  <w:vAlign w:val="center"/>
                </w:tcPr>
                <w:p w:rsidR="004043EE" w:rsidRDefault="004043EE" w:rsidP="00585797">
                  <w:pPr>
                    <w:keepNext/>
                    <w:keepLines/>
                    <w:spacing w:before="100" w:beforeAutospacing="1" w:after="100" w:afterAutospacing="1"/>
                    <w:jc w:val="center"/>
                    <w:rPr>
                      <w:rFonts w:eastAsia="Calibri" w:cs="Arial"/>
                    </w:rPr>
                  </w:pPr>
                  <w:r>
                    <w:rPr>
                      <w:rFonts w:eastAsia="Calibri" w:cs="Arial"/>
                    </w:rPr>
                    <w:sym w:font="Wingdings 2" w:char="F050"/>
                  </w:r>
                </w:p>
              </w:tc>
              <w:tc>
                <w:tcPr>
                  <w:tcW w:w="1220" w:type="dxa"/>
                  <w:tcBorders>
                    <w:left w:val="single" w:sz="4" w:space="0" w:color="auto"/>
                    <w:right w:val="single" w:sz="4" w:space="0" w:color="auto"/>
                  </w:tcBorders>
                  <w:vAlign w:val="center"/>
                </w:tcPr>
                <w:p w:rsidR="004043EE" w:rsidRDefault="004043EE" w:rsidP="00585797">
                  <w:pPr>
                    <w:keepNext/>
                    <w:keepLines/>
                    <w:spacing w:before="100" w:beforeAutospacing="1" w:after="100" w:afterAutospacing="1"/>
                    <w:jc w:val="center"/>
                    <w:rPr>
                      <w:rFonts w:eastAsia="Calibri" w:cs="Arial"/>
                    </w:rPr>
                  </w:pPr>
                  <w:r>
                    <w:rPr>
                      <w:rFonts w:eastAsia="Calibri" w:cs="Arial"/>
                    </w:rPr>
                    <w:sym w:font="Wingdings 2" w:char="F050"/>
                  </w:r>
                </w:p>
              </w:tc>
              <w:tc>
                <w:tcPr>
                  <w:tcW w:w="1273" w:type="dxa"/>
                  <w:tcBorders>
                    <w:left w:val="single" w:sz="4" w:space="0" w:color="auto"/>
                    <w:right w:val="single" w:sz="4" w:space="0" w:color="auto"/>
                  </w:tcBorders>
                  <w:shd w:val="clear" w:color="auto" w:fill="auto"/>
                  <w:vAlign w:val="center"/>
                </w:tcPr>
                <w:p w:rsidR="004043EE" w:rsidRDefault="004043EE" w:rsidP="00585797">
                  <w:pPr>
                    <w:keepNext/>
                    <w:keepLines/>
                    <w:spacing w:before="100" w:beforeAutospacing="1" w:after="100" w:afterAutospacing="1"/>
                    <w:jc w:val="center"/>
                    <w:rPr>
                      <w:rFonts w:eastAsia="Calibri" w:cs="Arial"/>
                    </w:rPr>
                  </w:pPr>
                  <w:r>
                    <w:rPr>
                      <w:rFonts w:eastAsia="Calibri" w:cs="Arial"/>
                    </w:rPr>
                    <w:sym w:font="Wingdings 2" w:char="F050"/>
                  </w:r>
                </w:p>
              </w:tc>
            </w:tr>
            <w:tr w:rsidR="004043EE" w:rsidTr="00585797">
              <w:trPr>
                <w:trHeight w:val="231"/>
              </w:trPr>
              <w:tc>
                <w:tcPr>
                  <w:tcW w:w="388" w:type="dxa"/>
                  <w:vMerge/>
                  <w:tcBorders>
                    <w:left w:val="single" w:sz="4" w:space="0" w:color="auto"/>
                    <w:right w:val="single" w:sz="4" w:space="0" w:color="auto"/>
                  </w:tcBorders>
                  <w:shd w:val="clear" w:color="auto" w:fill="auto"/>
                </w:tcPr>
                <w:p w:rsidR="004043EE" w:rsidRDefault="004043EE" w:rsidP="00585797">
                  <w:pPr>
                    <w:spacing w:before="100" w:beforeAutospacing="1" w:after="100" w:afterAutospacing="1"/>
                    <w:rPr>
                      <w:rFonts w:eastAsia="Calibri" w:cs="Arial"/>
                    </w:rPr>
                  </w:pPr>
                </w:p>
              </w:tc>
              <w:tc>
                <w:tcPr>
                  <w:tcW w:w="3347" w:type="dxa"/>
                  <w:tcBorders>
                    <w:left w:val="single" w:sz="4" w:space="0" w:color="auto"/>
                    <w:right w:val="single" w:sz="4" w:space="0" w:color="auto"/>
                  </w:tcBorders>
                  <w:shd w:val="clear" w:color="auto" w:fill="auto"/>
                </w:tcPr>
                <w:p w:rsidR="004043EE" w:rsidRDefault="004043EE" w:rsidP="00585797">
                  <w:pPr>
                    <w:spacing w:before="100" w:beforeAutospacing="1" w:after="100" w:afterAutospacing="1"/>
                    <w:rPr>
                      <w:rFonts w:eastAsia="Calibri" w:cs="Arial"/>
                    </w:rPr>
                  </w:pPr>
                  <w:r>
                    <w:rPr>
                      <w:rFonts w:eastAsia="Calibri" w:cs="Arial"/>
                    </w:rPr>
                    <w:t>T.4. Knowledge sharing</w:t>
                  </w:r>
                </w:p>
              </w:tc>
              <w:tc>
                <w:tcPr>
                  <w:tcW w:w="848"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bCs/>
                    </w:rPr>
                  </w:pPr>
                  <w:r>
                    <w:rPr>
                      <w:rFonts w:eastAsia="Calibri" w:cs="Arial"/>
                    </w:rPr>
                    <w:sym w:font="Wingdings 2" w:char="F050"/>
                  </w:r>
                </w:p>
              </w:tc>
              <w:tc>
                <w:tcPr>
                  <w:tcW w:w="1357"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bCs/>
                    </w:rPr>
                    <w:sym w:font="Wingdings 2" w:char="F052"/>
                  </w:r>
                </w:p>
              </w:tc>
              <w:tc>
                <w:tcPr>
                  <w:tcW w:w="1424"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c>
                <w:tcPr>
                  <w:tcW w:w="1220" w:type="dxa"/>
                  <w:tcBorders>
                    <w:left w:val="single" w:sz="4" w:space="0" w:color="auto"/>
                    <w:right w:val="single" w:sz="4" w:space="0" w:color="auto"/>
                  </w:tcBorders>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c>
                <w:tcPr>
                  <w:tcW w:w="1273"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r>
            <w:tr w:rsidR="004043EE" w:rsidTr="00585797">
              <w:trPr>
                <w:trHeight w:val="231"/>
              </w:trPr>
              <w:tc>
                <w:tcPr>
                  <w:tcW w:w="388" w:type="dxa"/>
                  <w:vMerge/>
                  <w:tcBorders>
                    <w:left w:val="single" w:sz="4" w:space="0" w:color="auto"/>
                    <w:right w:val="single" w:sz="4" w:space="0" w:color="auto"/>
                  </w:tcBorders>
                  <w:shd w:val="clear" w:color="auto" w:fill="auto"/>
                </w:tcPr>
                <w:p w:rsidR="004043EE" w:rsidRDefault="004043EE" w:rsidP="00585797">
                  <w:pPr>
                    <w:spacing w:before="100" w:beforeAutospacing="1" w:after="100" w:afterAutospacing="1"/>
                    <w:rPr>
                      <w:rFonts w:eastAsia="Calibri" w:cs="Arial"/>
                    </w:rPr>
                  </w:pPr>
                </w:p>
              </w:tc>
              <w:tc>
                <w:tcPr>
                  <w:tcW w:w="3347" w:type="dxa"/>
                  <w:tcBorders>
                    <w:left w:val="single" w:sz="4" w:space="0" w:color="auto"/>
                    <w:right w:val="single" w:sz="4" w:space="0" w:color="auto"/>
                  </w:tcBorders>
                  <w:shd w:val="clear" w:color="auto" w:fill="auto"/>
                </w:tcPr>
                <w:p w:rsidR="004043EE" w:rsidRDefault="004043EE" w:rsidP="00585797">
                  <w:pPr>
                    <w:spacing w:before="100" w:beforeAutospacing="1" w:after="100" w:afterAutospacing="1"/>
                    <w:rPr>
                      <w:rFonts w:eastAsia="Calibri" w:cs="Arial"/>
                    </w:rPr>
                  </w:pPr>
                  <w:r>
                    <w:rPr>
                      <w:rFonts w:eastAsia="Calibri" w:cs="Arial"/>
                    </w:rPr>
                    <w:t>T.5. Cooperation with standardization bodies</w:t>
                  </w:r>
                </w:p>
              </w:tc>
              <w:tc>
                <w:tcPr>
                  <w:tcW w:w="848"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c>
                <w:tcPr>
                  <w:tcW w:w="1357"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bCs/>
                    </w:rPr>
                  </w:pPr>
                  <w:r>
                    <w:rPr>
                      <w:rFonts w:eastAsia="Calibri" w:cs="Arial"/>
                    </w:rPr>
                    <w:sym w:font="Wingdings 2" w:char="F050"/>
                  </w:r>
                </w:p>
              </w:tc>
              <w:tc>
                <w:tcPr>
                  <w:tcW w:w="1424"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c>
                <w:tcPr>
                  <w:tcW w:w="1220" w:type="dxa"/>
                  <w:tcBorders>
                    <w:left w:val="single" w:sz="4" w:space="0" w:color="auto"/>
                    <w:right w:val="single" w:sz="4" w:space="0" w:color="auto"/>
                  </w:tcBorders>
                  <w:vAlign w:val="center"/>
                </w:tcPr>
                <w:p w:rsidR="004043EE" w:rsidRDefault="004043EE" w:rsidP="00585797">
                  <w:pPr>
                    <w:spacing w:before="100" w:beforeAutospacing="1" w:after="100" w:afterAutospacing="1"/>
                    <w:jc w:val="center"/>
                    <w:rPr>
                      <w:rFonts w:eastAsia="Calibri" w:cs="Arial"/>
                      <w:bCs/>
                    </w:rPr>
                  </w:pPr>
                  <w:r>
                    <w:rPr>
                      <w:rFonts w:eastAsia="Calibri" w:cs="Arial"/>
                    </w:rPr>
                    <w:sym w:font="Wingdings 2" w:char="F050"/>
                  </w:r>
                </w:p>
              </w:tc>
              <w:tc>
                <w:tcPr>
                  <w:tcW w:w="1273"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bCs/>
                    </w:rPr>
                    <w:sym w:font="Wingdings 2" w:char="F052"/>
                  </w:r>
                </w:p>
              </w:tc>
            </w:tr>
            <w:tr w:rsidR="004043EE" w:rsidTr="00585797">
              <w:trPr>
                <w:trHeight w:val="259"/>
              </w:trPr>
              <w:tc>
                <w:tcPr>
                  <w:tcW w:w="388" w:type="dxa"/>
                  <w:vMerge/>
                  <w:tcBorders>
                    <w:left w:val="single" w:sz="4" w:space="0" w:color="auto"/>
                    <w:right w:val="single" w:sz="4" w:space="0" w:color="auto"/>
                  </w:tcBorders>
                  <w:shd w:val="clear" w:color="auto" w:fill="auto"/>
                </w:tcPr>
                <w:p w:rsidR="004043EE" w:rsidRDefault="004043EE" w:rsidP="00585797">
                  <w:pPr>
                    <w:spacing w:before="100" w:beforeAutospacing="1" w:after="100" w:afterAutospacing="1"/>
                    <w:rPr>
                      <w:rFonts w:eastAsia="Calibri" w:cs="Arial"/>
                    </w:rPr>
                  </w:pPr>
                </w:p>
              </w:tc>
              <w:tc>
                <w:tcPr>
                  <w:tcW w:w="3347"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b/>
                    </w:rPr>
                  </w:pPr>
                  <w:r>
                    <w:rPr>
                      <w:rFonts w:eastAsia="Calibri" w:cs="Arial"/>
                      <w:b/>
                    </w:rPr>
                    <w:t>Inter-Sectoral objectives</w:t>
                  </w:r>
                </w:p>
              </w:tc>
              <w:tc>
                <w:tcPr>
                  <w:tcW w:w="848"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bCs/>
                    </w:rPr>
                  </w:pPr>
                </w:p>
              </w:tc>
              <w:tc>
                <w:tcPr>
                  <w:tcW w:w="1357"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bCs/>
                    </w:rPr>
                  </w:pPr>
                </w:p>
              </w:tc>
              <w:tc>
                <w:tcPr>
                  <w:tcW w:w="1424"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bCs/>
                    </w:rPr>
                  </w:pPr>
                </w:p>
              </w:tc>
              <w:tc>
                <w:tcPr>
                  <w:tcW w:w="1220" w:type="dxa"/>
                  <w:tcBorders>
                    <w:left w:val="single" w:sz="4" w:space="0" w:color="auto"/>
                    <w:right w:val="single" w:sz="4" w:space="0" w:color="auto"/>
                  </w:tcBorders>
                  <w:vAlign w:val="center"/>
                </w:tcPr>
                <w:p w:rsidR="004043EE" w:rsidRDefault="004043EE" w:rsidP="00585797">
                  <w:pPr>
                    <w:spacing w:before="100" w:beforeAutospacing="1" w:after="100" w:afterAutospacing="1"/>
                    <w:jc w:val="center"/>
                    <w:rPr>
                      <w:rFonts w:eastAsia="Calibri" w:cs="Arial"/>
                      <w:bCs/>
                    </w:rPr>
                  </w:pPr>
                </w:p>
              </w:tc>
              <w:tc>
                <w:tcPr>
                  <w:tcW w:w="1273"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bCs/>
                    </w:rPr>
                  </w:pPr>
                </w:p>
              </w:tc>
            </w:tr>
            <w:tr w:rsidR="004043EE" w:rsidTr="00585797">
              <w:trPr>
                <w:trHeight w:val="20"/>
              </w:trPr>
              <w:tc>
                <w:tcPr>
                  <w:tcW w:w="388" w:type="dxa"/>
                  <w:vMerge/>
                  <w:tcBorders>
                    <w:left w:val="single" w:sz="4" w:space="0" w:color="auto"/>
                    <w:right w:val="single" w:sz="4" w:space="0" w:color="auto"/>
                  </w:tcBorders>
                  <w:shd w:val="clear" w:color="auto" w:fill="auto"/>
                </w:tcPr>
                <w:p w:rsidR="004043EE" w:rsidRDefault="004043EE" w:rsidP="00585797">
                  <w:pPr>
                    <w:spacing w:before="100" w:beforeAutospacing="1" w:after="100" w:afterAutospacing="1"/>
                    <w:rPr>
                      <w:rFonts w:eastAsia="Calibri" w:cs="Arial"/>
                    </w:rPr>
                  </w:pPr>
                </w:p>
              </w:tc>
              <w:tc>
                <w:tcPr>
                  <w:tcW w:w="3347" w:type="dxa"/>
                  <w:tcBorders>
                    <w:left w:val="single" w:sz="4" w:space="0" w:color="auto"/>
                    <w:right w:val="single" w:sz="4" w:space="0" w:color="auto"/>
                  </w:tcBorders>
                  <w:shd w:val="clear" w:color="auto" w:fill="auto"/>
                </w:tcPr>
                <w:p w:rsidR="004043EE" w:rsidRDefault="004043EE" w:rsidP="00585797">
                  <w:pPr>
                    <w:spacing w:before="100" w:beforeAutospacing="1" w:after="100" w:afterAutospacing="1"/>
                    <w:rPr>
                      <w:rFonts w:eastAsia="Calibri" w:cs="Arial"/>
                    </w:rPr>
                  </w:pPr>
                  <w:r>
                    <w:rPr>
                      <w:rFonts w:eastAsia="Calibri" w:cs="Arial"/>
                    </w:rPr>
                    <w:t>I.1. Collaboration</w:t>
                  </w:r>
                </w:p>
              </w:tc>
              <w:tc>
                <w:tcPr>
                  <w:tcW w:w="848"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c>
                <w:tcPr>
                  <w:tcW w:w="1357"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c>
                <w:tcPr>
                  <w:tcW w:w="1424"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c>
                <w:tcPr>
                  <w:tcW w:w="1220" w:type="dxa"/>
                  <w:tcBorders>
                    <w:left w:val="single" w:sz="4" w:space="0" w:color="auto"/>
                    <w:right w:val="single" w:sz="4" w:space="0" w:color="auto"/>
                  </w:tcBorders>
                  <w:vAlign w:val="center"/>
                </w:tcPr>
                <w:p w:rsidR="004043EE" w:rsidRDefault="004043EE" w:rsidP="00585797">
                  <w:pPr>
                    <w:spacing w:before="100" w:beforeAutospacing="1" w:after="100" w:afterAutospacing="1"/>
                    <w:jc w:val="center"/>
                    <w:rPr>
                      <w:rFonts w:eastAsia="Calibri" w:cs="Arial"/>
                      <w:bCs/>
                    </w:rPr>
                  </w:pPr>
                  <w:r>
                    <w:rPr>
                      <w:rFonts w:eastAsia="Calibri" w:cs="Arial"/>
                    </w:rPr>
                    <w:sym w:font="Wingdings 2" w:char="F050"/>
                  </w:r>
                </w:p>
              </w:tc>
              <w:tc>
                <w:tcPr>
                  <w:tcW w:w="1273"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bCs/>
                    </w:rPr>
                    <w:sym w:font="Wingdings 2" w:char="F052"/>
                  </w:r>
                </w:p>
              </w:tc>
            </w:tr>
            <w:tr w:rsidR="004043EE" w:rsidTr="00585797">
              <w:trPr>
                <w:trHeight w:val="20"/>
              </w:trPr>
              <w:tc>
                <w:tcPr>
                  <w:tcW w:w="388" w:type="dxa"/>
                  <w:vMerge/>
                  <w:tcBorders>
                    <w:left w:val="single" w:sz="4" w:space="0" w:color="auto"/>
                    <w:right w:val="single" w:sz="4" w:space="0" w:color="auto"/>
                  </w:tcBorders>
                  <w:shd w:val="clear" w:color="auto" w:fill="auto"/>
                </w:tcPr>
                <w:p w:rsidR="004043EE" w:rsidRDefault="004043EE" w:rsidP="00585797">
                  <w:pPr>
                    <w:spacing w:before="100" w:beforeAutospacing="1" w:after="100" w:afterAutospacing="1"/>
                    <w:rPr>
                      <w:rFonts w:eastAsia="Calibri" w:cs="Arial"/>
                    </w:rPr>
                  </w:pPr>
                </w:p>
              </w:tc>
              <w:tc>
                <w:tcPr>
                  <w:tcW w:w="3347" w:type="dxa"/>
                  <w:tcBorders>
                    <w:left w:val="single" w:sz="4" w:space="0" w:color="auto"/>
                    <w:right w:val="single" w:sz="4" w:space="0" w:color="auto"/>
                  </w:tcBorders>
                  <w:shd w:val="clear" w:color="auto" w:fill="auto"/>
                </w:tcPr>
                <w:p w:rsidR="004043EE" w:rsidRDefault="004043EE" w:rsidP="00585797">
                  <w:pPr>
                    <w:spacing w:before="100" w:beforeAutospacing="1" w:after="100" w:afterAutospacing="1"/>
                    <w:rPr>
                      <w:rFonts w:eastAsia="Calibri" w:cs="Arial"/>
                    </w:rPr>
                  </w:pPr>
                  <w:r>
                    <w:rPr>
                      <w:rFonts w:eastAsia="Calibri" w:cs="Arial"/>
                    </w:rPr>
                    <w:t>I.2. Emerging telecommunication/ICT trends</w:t>
                  </w:r>
                </w:p>
              </w:tc>
              <w:tc>
                <w:tcPr>
                  <w:tcW w:w="848"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c>
                <w:tcPr>
                  <w:tcW w:w="1357"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p>
              </w:tc>
              <w:tc>
                <w:tcPr>
                  <w:tcW w:w="1424"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c>
                <w:tcPr>
                  <w:tcW w:w="1220" w:type="dxa"/>
                  <w:tcBorders>
                    <w:left w:val="single" w:sz="4" w:space="0" w:color="auto"/>
                    <w:right w:val="single" w:sz="4" w:space="0" w:color="auto"/>
                  </w:tcBorders>
                  <w:vAlign w:val="center"/>
                </w:tcPr>
                <w:p w:rsidR="004043EE" w:rsidRDefault="004043EE" w:rsidP="00585797">
                  <w:pPr>
                    <w:spacing w:before="100" w:beforeAutospacing="1" w:after="100" w:afterAutospacing="1"/>
                    <w:jc w:val="center"/>
                    <w:rPr>
                      <w:rFonts w:eastAsia="Calibri" w:cs="Arial"/>
                      <w:bCs/>
                    </w:rPr>
                  </w:pPr>
                  <w:r>
                    <w:rPr>
                      <w:rFonts w:eastAsia="Calibri" w:cs="Arial"/>
                      <w:bCs/>
                    </w:rPr>
                    <w:sym w:font="Wingdings 2" w:char="F052"/>
                  </w:r>
                </w:p>
              </w:tc>
              <w:tc>
                <w:tcPr>
                  <w:tcW w:w="1273"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bCs/>
                    </w:rPr>
                  </w:pPr>
                  <w:r>
                    <w:rPr>
                      <w:rFonts w:eastAsia="Calibri" w:cs="Arial"/>
                    </w:rPr>
                    <w:sym w:font="Wingdings 2" w:char="F050"/>
                  </w:r>
                </w:p>
              </w:tc>
            </w:tr>
            <w:tr w:rsidR="004043EE" w:rsidTr="00585797">
              <w:trPr>
                <w:trHeight w:val="109"/>
              </w:trPr>
              <w:tc>
                <w:tcPr>
                  <w:tcW w:w="388" w:type="dxa"/>
                  <w:vMerge/>
                  <w:tcBorders>
                    <w:left w:val="single" w:sz="4" w:space="0" w:color="auto"/>
                    <w:right w:val="single" w:sz="4" w:space="0" w:color="auto"/>
                  </w:tcBorders>
                  <w:shd w:val="clear" w:color="auto" w:fill="auto"/>
                </w:tcPr>
                <w:p w:rsidR="004043EE" w:rsidRDefault="004043EE" w:rsidP="00585797">
                  <w:pPr>
                    <w:spacing w:before="100" w:beforeAutospacing="1" w:after="100" w:afterAutospacing="1"/>
                    <w:rPr>
                      <w:rFonts w:eastAsia="Calibri" w:cs="Arial"/>
                    </w:rPr>
                  </w:pPr>
                </w:p>
              </w:tc>
              <w:tc>
                <w:tcPr>
                  <w:tcW w:w="3347" w:type="dxa"/>
                  <w:tcBorders>
                    <w:left w:val="single" w:sz="4" w:space="0" w:color="auto"/>
                    <w:right w:val="single" w:sz="4" w:space="0" w:color="auto"/>
                  </w:tcBorders>
                  <w:shd w:val="clear" w:color="auto" w:fill="auto"/>
                </w:tcPr>
                <w:p w:rsidR="004043EE" w:rsidRDefault="004043EE" w:rsidP="00585797">
                  <w:pPr>
                    <w:spacing w:before="100" w:beforeAutospacing="1" w:after="100" w:afterAutospacing="1"/>
                    <w:rPr>
                      <w:rFonts w:eastAsia="Calibri" w:cs="Arial"/>
                    </w:rPr>
                  </w:pPr>
                  <w:r>
                    <w:rPr>
                      <w:rFonts w:eastAsia="Calibri" w:cs="Arial"/>
                    </w:rPr>
                    <w:t>I.3. Telecommunication/ICT accessibility</w:t>
                  </w:r>
                </w:p>
              </w:tc>
              <w:tc>
                <w:tcPr>
                  <w:tcW w:w="848"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c>
                <w:tcPr>
                  <w:tcW w:w="1357"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bCs/>
                    </w:rPr>
                    <w:sym w:font="Wingdings 2" w:char="F052"/>
                  </w:r>
                </w:p>
              </w:tc>
              <w:tc>
                <w:tcPr>
                  <w:tcW w:w="1424"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p>
              </w:tc>
              <w:tc>
                <w:tcPr>
                  <w:tcW w:w="1220" w:type="dxa"/>
                  <w:tcBorders>
                    <w:left w:val="single" w:sz="4" w:space="0" w:color="auto"/>
                    <w:right w:val="single" w:sz="4" w:space="0" w:color="auto"/>
                  </w:tcBorders>
                  <w:vAlign w:val="center"/>
                </w:tcPr>
                <w:p w:rsidR="004043EE" w:rsidRDefault="004043EE" w:rsidP="00585797">
                  <w:pPr>
                    <w:spacing w:before="100" w:beforeAutospacing="1" w:after="100" w:afterAutospacing="1"/>
                    <w:jc w:val="center"/>
                    <w:rPr>
                      <w:rFonts w:eastAsia="Calibri" w:cs="Arial"/>
                      <w:bCs/>
                    </w:rPr>
                  </w:pPr>
                  <w:r>
                    <w:rPr>
                      <w:rFonts w:eastAsia="Calibri" w:cs="Arial"/>
                    </w:rPr>
                    <w:sym w:font="Wingdings 2" w:char="F050"/>
                  </w:r>
                </w:p>
              </w:tc>
              <w:tc>
                <w:tcPr>
                  <w:tcW w:w="1273"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r>
            <w:tr w:rsidR="004043EE" w:rsidTr="00585797">
              <w:trPr>
                <w:trHeight w:val="109"/>
              </w:trPr>
              <w:tc>
                <w:tcPr>
                  <w:tcW w:w="388" w:type="dxa"/>
                  <w:vMerge/>
                  <w:tcBorders>
                    <w:left w:val="single" w:sz="4" w:space="0" w:color="auto"/>
                    <w:right w:val="single" w:sz="4" w:space="0" w:color="auto"/>
                  </w:tcBorders>
                  <w:shd w:val="clear" w:color="auto" w:fill="auto"/>
                </w:tcPr>
                <w:p w:rsidR="004043EE" w:rsidRDefault="004043EE" w:rsidP="00585797">
                  <w:pPr>
                    <w:spacing w:before="100" w:beforeAutospacing="1" w:after="100" w:afterAutospacing="1"/>
                    <w:rPr>
                      <w:rFonts w:eastAsia="Calibri" w:cs="Arial"/>
                    </w:rPr>
                  </w:pPr>
                </w:p>
              </w:tc>
              <w:tc>
                <w:tcPr>
                  <w:tcW w:w="3347" w:type="dxa"/>
                  <w:tcBorders>
                    <w:left w:val="single" w:sz="4" w:space="0" w:color="auto"/>
                    <w:right w:val="single" w:sz="4" w:space="0" w:color="auto"/>
                  </w:tcBorders>
                  <w:shd w:val="clear" w:color="auto" w:fill="auto"/>
                </w:tcPr>
                <w:p w:rsidR="004043EE" w:rsidRDefault="004043EE" w:rsidP="00585797">
                  <w:pPr>
                    <w:spacing w:before="100" w:beforeAutospacing="1" w:after="100" w:afterAutospacing="1"/>
                    <w:rPr>
                      <w:rFonts w:eastAsia="Calibri" w:cs="Arial"/>
                    </w:rPr>
                  </w:pPr>
                  <w:r>
                    <w:rPr>
                      <w:rFonts w:eastAsia="Calibri" w:cs="Arial"/>
                    </w:rPr>
                    <w:t>I.4. Gender equality and inclusion</w:t>
                  </w:r>
                </w:p>
              </w:tc>
              <w:tc>
                <w:tcPr>
                  <w:tcW w:w="848"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c>
                <w:tcPr>
                  <w:tcW w:w="1357"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bCs/>
                    </w:rPr>
                    <w:sym w:font="Wingdings 2" w:char="F052"/>
                  </w:r>
                </w:p>
              </w:tc>
              <w:tc>
                <w:tcPr>
                  <w:tcW w:w="1424"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p>
              </w:tc>
              <w:tc>
                <w:tcPr>
                  <w:tcW w:w="1220" w:type="dxa"/>
                  <w:tcBorders>
                    <w:left w:val="single" w:sz="4" w:space="0" w:color="auto"/>
                    <w:right w:val="single" w:sz="4" w:space="0" w:color="auto"/>
                  </w:tcBorders>
                  <w:vAlign w:val="center"/>
                </w:tcPr>
                <w:p w:rsidR="004043EE" w:rsidRDefault="004043EE" w:rsidP="00585797">
                  <w:pPr>
                    <w:spacing w:before="100" w:beforeAutospacing="1" w:after="100" w:afterAutospacing="1"/>
                    <w:jc w:val="center"/>
                    <w:rPr>
                      <w:rFonts w:eastAsia="Calibri" w:cs="Arial"/>
                      <w:bCs/>
                    </w:rPr>
                  </w:pPr>
                </w:p>
              </w:tc>
              <w:tc>
                <w:tcPr>
                  <w:tcW w:w="1273"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bCs/>
                    </w:rPr>
                  </w:pPr>
                  <w:r>
                    <w:rPr>
                      <w:rFonts w:eastAsia="Calibri" w:cs="Arial"/>
                    </w:rPr>
                    <w:sym w:font="Wingdings 2" w:char="F050"/>
                  </w:r>
                </w:p>
              </w:tc>
            </w:tr>
            <w:tr w:rsidR="004043EE" w:rsidTr="00585797">
              <w:trPr>
                <w:trHeight w:val="230"/>
              </w:trPr>
              <w:tc>
                <w:tcPr>
                  <w:tcW w:w="388" w:type="dxa"/>
                  <w:vMerge/>
                  <w:tcBorders>
                    <w:left w:val="single" w:sz="4" w:space="0" w:color="auto"/>
                    <w:right w:val="single" w:sz="4" w:space="0" w:color="auto"/>
                  </w:tcBorders>
                  <w:shd w:val="clear" w:color="auto" w:fill="auto"/>
                </w:tcPr>
                <w:p w:rsidR="004043EE" w:rsidRDefault="004043EE" w:rsidP="00585797">
                  <w:pPr>
                    <w:spacing w:before="100" w:beforeAutospacing="1" w:after="100" w:afterAutospacing="1"/>
                    <w:rPr>
                      <w:rFonts w:eastAsia="Calibri" w:cs="Arial"/>
                    </w:rPr>
                  </w:pPr>
                </w:p>
              </w:tc>
              <w:tc>
                <w:tcPr>
                  <w:tcW w:w="3347" w:type="dxa"/>
                  <w:tcBorders>
                    <w:left w:val="single" w:sz="4" w:space="0" w:color="auto"/>
                    <w:right w:val="single" w:sz="4" w:space="0" w:color="auto"/>
                  </w:tcBorders>
                  <w:shd w:val="clear" w:color="auto" w:fill="auto"/>
                </w:tcPr>
                <w:p w:rsidR="004043EE" w:rsidRDefault="004043EE" w:rsidP="00585797">
                  <w:pPr>
                    <w:spacing w:before="100" w:beforeAutospacing="1" w:after="100" w:afterAutospacing="1"/>
                    <w:rPr>
                      <w:rFonts w:eastAsia="Calibri" w:cs="Arial"/>
                    </w:rPr>
                  </w:pPr>
                  <w:r>
                    <w:rPr>
                      <w:rFonts w:eastAsia="Calibri" w:cs="Arial"/>
                    </w:rPr>
                    <w:t>I.5. Environmental sustainability</w:t>
                  </w:r>
                </w:p>
              </w:tc>
              <w:tc>
                <w:tcPr>
                  <w:tcW w:w="848"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c>
                <w:tcPr>
                  <w:tcW w:w="1357"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p>
              </w:tc>
              <w:tc>
                <w:tcPr>
                  <w:tcW w:w="1424"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bCs/>
                    </w:rPr>
                    <w:sym w:font="Wingdings 2" w:char="F052"/>
                  </w:r>
                </w:p>
              </w:tc>
              <w:tc>
                <w:tcPr>
                  <w:tcW w:w="1220" w:type="dxa"/>
                  <w:tcBorders>
                    <w:left w:val="single" w:sz="4" w:space="0" w:color="auto"/>
                    <w:right w:val="single" w:sz="4" w:space="0" w:color="auto"/>
                  </w:tcBorders>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c>
                <w:tcPr>
                  <w:tcW w:w="1273"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r>
            <w:tr w:rsidR="004043EE" w:rsidTr="00585797">
              <w:trPr>
                <w:trHeight w:val="230"/>
              </w:trPr>
              <w:tc>
                <w:tcPr>
                  <w:tcW w:w="388" w:type="dxa"/>
                  <w:vMerge/>
                  <w:tcBorders>
                    <w:left w:val="single" w:sz="4" w:space="0" w:color="auto"/>
                    <w:right w:val="single" w:sz="4" w:space="0" w:color="auto"/>
                  </w:tcBorders>
                  <w:shd w:val="clear" w:color="auto" w:fill="auto"/>
                </w:tcPr>
                <w:p w:rsidR="004043EE" w:rsidRDefault="004043EE" w:rsidP="00585797">
                  <w:pPr>
                    <w:spacing w:before="100" w:beforeAutospacing="1" w:after="100" w:afterAutospacing="1"/>
                    <w:rPr>
                      <w:rFonts w:eastAsia="Calibri" w:cs="Arial"/>
                    </w:rPr>
                  </w:pPr>
                </w:p>
              </w:tc>
              <w:tc>
                <w:tcPr>
                  <w:tcW w:w="3347" w:type="dxa"/>
                  <w:tcBorders>
                    <w:left w:val="single" w:sz="4" w:space="0" w:color="auto"/>
                    <w:right w:val="single" w:sz="4" w:space="0" w:color="auto"/>
                  </w:tcBorders>
                  <w:shd w:val="clear" w:color="auto" w:fill="auto"/>
                </w:tcPr>
                <w:p w:rsidR="004043EE" w:rsidRDefault="004043EE" w:rsidP="00585797">
                  <w:pPr>
                    <w:spacing w:before="100" w:beforeAutospacing="1" w:after="100" w:afterAutospacing="1"/>
                    <w:rPr>
                      <w:rFonts w:eastAsia="Calibri" w:cs="Arial"/>
                    </w:rPr>
                  </w:pPr>
                  <w:r>
                    <w:rPr>
                      <w:rFonts w:eastAsia="Calibri" w:cs="Arial"/>
                    </w:rPr>
                    <w:t>I.6. Reducing overlap and duplication</w:t>
                  </w:r>
                </w:p>
              </w:tc>
              <w:tc>
                <w:tcPr>
                  <w:tcW w:w="848"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c>
                <w:tcPr>
                  <w:tcW w:w="1357"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c>
                <w:tcPr>
                  <w:tcW w:w="1424"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bCs/>
                    </w:rPr>
                  </w:pPr>
                  <w:r>
                    <w:rPr>
                      <w:rFonts w:eastAsia="Calibri" w:cs="Arial"/>
                    </w:rPr>
                    <w:sym w:font="Wingdings 2" w:char="F050"/>
                  </w:r>
                </w:p>
              </w:tc>
              <w:tc>
                <w:tcPr>
                  <w:tcW w:w="1220" w:type="dxa"/>
                  <w:tcBorders>
                    <w:left w:val="single" w:sz="4" w:space="0" w:color="auto"/>
                    <w:right w:val="single" w:sz="4" w:space="0" w:color="auto"/>
                  </w:tcBorders>
                  <w:vAlign w:val="center"/>
                </w:tcPr>
                <w:p w:rsidR="004043EE" w:rsidRDefault="004043EE" w:rsidP="00585797">
                  <w:pPr>
                    <w:spacing w:before="100" w:beforeAutospacing="1" w:after="100" w:afterAutospacing="1"/>
                    <w:jc w:val="center"/>
                    <w:rPr>
                      <w:rFonts w:eastAsia="Calibri" w:cs="Arial"/>
                    </w:rPr>
                  </w:pPr>
                  <w:r>
                    <w:rPr>
                      <w:rFonts w:eastAsia="Calibri" w:cs="Arial"/>
                    </w:rPr>
                    <w:sym w:font="Wingdings 2" w:char="F050"/>
                  </w:r>
                </w:p>
              </w:tc>
              <w:tc>
                <w:tcPr>
                  <w:tcW w:w="1273" w:type="dxa"/>
                  <w:tcBorders>
                    <w:left w:val="single" w:sz="4" w:space="0" w:color="auto"/>
                    <w:right w:val="single" w:sz="4" w:space="0" w:color="auto"/>
                  </w:tcBorders>
                  <w:shd w:val="clear" w:color="auto" w:fill="auto"/>
                  <w:vAlign w:val="center"/>
                </w:tcPr>
                <w:p w:rsidR="004043EE" w:rsidRDefault="004043EE" w:rsidP="00585797">
                  <w:pPr>
                    <w:spacing w:before="100" w:beforeAutospacing="1" w:after="100" w:afterAutospacing="1"/>
                    <w:jc w:val="center"/>
                    <w:rPr>
                      <w:rFonts w:eastAsia="Calibri" w:cs="Arial"/>
                    </w:rPr>
                  </w:pPr>
                  <w:r>
                    <w:rPr>
                      <w:rFonts w:eastAsia="Calibri" w:cs="Arial"/>
                      <w:bCs/>
                    </w:rPr>
                    <w:sym w:font="Wingdings 2" w:char="F052"/>
                  </w:r>
                </w:p>
              </w:tc>
            </w:tr>
          </w:tbl>
          <w:p w:rsidR="004043EE" w:rsidRDefault="004043EE" w:rsidP="00585797">
            <w:pPr>
              <w:rPr>
                <w:rFonts w:cs="Arial"/>
                <w:lang w:eastAsia="zh-CN"/>
              </w:rPr>
            </w:pPr>
          </w:p>
        </w:tc>
      </w:tr>
      <w:tr w:rsidR="00342474" w:rsidTr="004043EE">
        <w:trPr>
          <w:trHeight w:val="315"/>
        </w:trPr>
        <w:tc>
          <w:tcPr>
            <w:tcW w:w="10083" w:type="dxa"/>
            <w:gridSpan w:val="2"/>
            <w:tcBorders>
              <w:bottom w:val="single" w:sz="4" w:space="0" w:color="auto"/>
            </w:tcBorders>
          </w:tcPr>
          <w:p w:rsidR="00342474" w:rsidRDefault="00342474">
            <w:pPr>
              <w:rPr>
                <w:rFonts w:cs="Arial"/>
                <w:lang w:eastAsia="zh-CN"/>
              </w:rPr>
            </w:pPr>
          </w:p>
        </w:tc>
      </w:tr>
      <w:tr w:rsidR="004F34B5" w:rsidTr="00657E2B">
        <w:trPr>
          <w:trHeight w:val="315"/>
        </w:trPr>
        <w:tc>
          <w:tcPr>
            <w:tcW w:w="10083" w:type="dxa"/>
            <w:gridSpan w:val="2"/>
            <w:tcBorders>
              <w:top w:val="single" w:sz="4" w:space="0" w:color="auto"/>
              <w:left w:val="single" w:sz="4" w:space="0" w:color="auto"/>
              <w:bottom w:val="single" w:sz="4" w:space="0" w:color="auto"/>
              <w:right w:val="single" w:sz="4" w:space="0" w:color="auto"/>
            </w:tcBorders>
            <w:hideMark/>
          </w:tcPr>
          <w:p w:rsidR="00E65B1F" w:rsidRDefault="00E65B1F" w:rsidP="00E65B1F">
            <w:pPr>
              <w:pStyle w:val="Caption"/>
              <w:rPr>
                <w:lang w:val="en-GB"/>
              </w:rPr>
            </w:pPr>
            <w:r>
              <w:rPr>
                <w:lang w:val="en-GB"/>
              </w:rPr>
              <w:t>Table 6. ITU</w:t>
            </w:r>
            <w:r>
              <w:rPr>
                <w:lang w:val="en-GB"/>
              </w:rPr>
              <w:noBreakHyphen/>
              <w:t>T Objectives, Outcomes and Outputs</w:t>
            </w:r>
          </w:p>
          <w:tbl>
            <w:tblPr>
              <w:tblW w:w="0" w:type="auto"/>
              <w:tblLook w:val="0400" w:firstRow="0" w:lastRow="0" w:firstColumn="0" w:lastColumn="0" w:noHBand="0" w:noVBand="1"/>
            </w:tblPr>
            <w:tblGrid>
              <w:gridCol w:w="4505"/>
              <w:gridCol w:w="5305"/>
            </w:tblGrid>
            <w:tr w:rsidR="00E65B1F" w:rsidTr="00C369F1">
              <w:tc>
                <w:tcPr>
                  <w:tcW w:w="9810" w:type="dxa"/>
                  <w:gridSpan w:val="2"/>
                  <w:tcBorders>
                    <w:top w:val="single" w:sz="4" w:space="0" w:color="auto"/>
                    <w:left w:val="single" w:sz="4" w:space="0" w:color="auto"/>
                    <w:bottom w:val="single" w:sz="4" w:space="0" w:color="auto"/>
                    <w:right w:val="single" w:sz="4" w:space="0" w:color="auto"/>
                  </w:tcBorders>
                </w:tcPr>
                <w:p w:rsidR="00E65B1F" w:rsidRDefault="00E65B1F" w:rsidP="00E65B1F">
                  <w:pPr>
                    <w:rPr>
                      <w:b/>
                      <w:bCs/>
                    </w:rPr>
                  </w:pPr>
                  <w:r>
                    <w:rPr>
                      <w:b/>
                      <w:bCs/>
                    </w:rPr>
                    <w:t>T.1 (Development of standards)</w:t>
                  </w:r>
                  <w:r>
                    <w:t xml:space="preserve"> </w:t>
                  </w:r>
                  <w:r>
                    <w:rPr>
                      <w:b/>
                      <w:bCs/>
                    </w:rPr>
                    <w:t>Develop non-discriminatory international telecommunication/ICT standards (ITU</w:t>
                  </w:r>
                  <w:r>
                    <w:rPr>
                      <w:b/>
                      <w:bCs/>
                    </w:rPr>
                    <w:noBreakHyphen/>
                    <w:t>T recommendations), in a timely manner, and foster interoperability and improved performance of equipment, networks, services and applications</w:t>
                  </w:r>
                </w:p>
              </w:tc>
            </w:tr>
            <w:tr w:rsidR="00E65B1F" w:rsidTr="00C369F1">
              <w:tc>
                <w:tcPr>
                  <w:tcW w:w="4505" w:type="dxa"/>
                  <w:tcBorders>
                    <w:top w:val="single" w:sz="4" w:space="0" w:color="auto"/>
                    <w:left w:val="single" w:sz="4" w:space="0" w:color="auto"/>
                    <w:bottom w:val="single" w:sz="4" w:space="0" w:color="auto"/>
                    <w:right w:val="single" w:sz="4" w:space="0" w:color="auto"/>
                  </w:tcBorders>
                </w:tcPr>
                <w:p w:rsidR="00E65B1F" w:rsidRDefault="00E65B1F" w:rsidP="00E65B1F">
                  <w:pPr>
                    <w:rPr>
                      <w:i/>
                      <w:iCs/>
                    </w:rPr>
                  </w:pPr>
                  <w:r>
                    <w:rPr>
                      <w:i/>
                      <w:iCs/>
                    </w:rPr>
                    <w:t>Outcomes</w:t>
                  </w:r>
                </w:p>
              </w:tc>
              <w:tc>
                <w:tcPr>
                  <w:tcW w:w="5305" w:type="dxa"/>
                  <w:tcBorders>
                    <w:top w:val="single" w:sz="4" w:space="0" w:color="auto"/>
                    <w:left w:val="single" w:sz="4" w:space="0" w:color="auto"/>
                    <w:bottom w:val="single" w:sz="4" w:space="0" w:color="auto"/>
                    <w:right w:val="single" w:sz="4" w:space="0" w:color="auto"/>
                  </w:tcBorders>
                </w:tcPr>
                <w:p w:rsidR="00E65B1F" w:rsidRDefault="00E65B1F" w:rsidP="00E65B1F">
                  <w:pPr>
                    <w:rPr>
                      <w:i/>
                      <w:iCs/>
                    </w:rPr>
                  </w:pPr>
                  <w:r>
                    <w:rPr>
                      <w:i/>
                      <w:iCs/>
                    </w:rPr>
                    <w:t>Outputs</w:t>
                  </w:r>
                </w:p>
              </w:tc>
            </w:tr>
            <w:tr w:rsidR="00E65B1F" w:rsidTr="00C369F1">
              <w:tc>
                <w:tcPr>
                  <w:tcW w:w="4505" w:type="dxa"/>
                  <w:tcBorders>
                    <w:top w:val="single" w:sz="4" w:space="0" w:color="auto"/>
                    <w:left w:val="single" w:sz="4" w:space="0" w:color="auto"/>
                    <w:bottom w:val="single" w:sz="4" w:space="0" w:color="auto"/>
                    <w:right w:val="single" w:sz="4" w:space="0" w:color="auto"/>
                  </w:tcBorders>
                </w:tcPr>
                <w:p w:rsidR="00E65B1F" w:rsidRDefault="00E65B1F" w:rsidP="00E65B1F">
                  <w:pPr>
                    <w:spacing w:after="60"/>
                  </w:pPr>
                  <w:r>
                    <w:t>T.1-a: Increased utilization of ITU</w:t>
                  </w:r>
                  <w:r>
                    <w:noBreakHyphen/>
                    <w:t>T recommendations</w:t>
                  </w:r>
                </w:p>
                <w:p w:rsidR="00E65B1F" w:rsidRDefault="00E65B1F" w:rsidP="00E65B1F">
                  <w:pPr>
                    <w:spacing w:after="60"/>
                  </w:pPr>
                  <w:r>
                    <w:t>T.1-b: Improved conformance to ITU</w:t>
                  </w:r>
                  <w:r>
                    <w:noBreakHyphen/>
                    <w:t>T recommendations</w:t>
                  </w:r>
                </w:p>
                <w:p w:rsidR="00E65B1F" w:rsidRDefault="00E65B1F" w:rsidP="00E65B1F">
                  <w:pPr>
                    <w:spacing w:after="60"/>
                  </w:pPr>
                  <w:r>
                    <w:t>T.1-c: Enhanced standards in new technologies and services</w:t>
                  </w:r>
                </w:p>
              </w:tc>
              <w:tc>
                <w:tcPr>
                  <w:tcW w:w="5305" w:type="dxa"/>
                  <w:tcBorders>
                    <w:top w:val="single" w:sz="4" w:space="0" w:color="auto"/>
                    <w:left w:val="single" w:sz="4" w:space="0" w:color="auto"/>
                    <w:bottom w:val="single" w:sz="4" w:space="0" w:color="auto"/>
                    <w:right w:val="single" w:sz="4" w:space="0" w:color="auto"/>
                  </w:tcBorders>
                </w:tcPr>
                <w:p w:rsidR="00E65B1F" w:rsidRDefault="00E65B1F" w:rsidP="00E65B1F">
                  <w:pPr>
                    <w:spacing w:after="60"/>
                  </w:pPr>
                  <w:r>
                    <w:t>T.1-1: Resolutions, recommendations and opinions of the World Telecommunication Standardization Assembly (WTSA)</w:t>
                  </w:r>
                </w:p>
                <w:p w:rsidR="00E65B1F" w:rsidRDefault="00E65B1F" w:rsidP="00E65B1F">
                  <w:pPr>
                    <w:spacing w:after="60"/>
                  </w:pPr>
                  <w:r>
                    <w:t>T.1-2: WTSA regional consultation sessions</w:t>
                  </w:r>
                </w:p>
                <w:p w:rsidR="00E65B1F" w:rsidRDefault="00E65B1F" w:rsidP="00E65B1F">
                  <w:pPr>
                    <w:spacing w:after="60"/>
                  </w:pPr>
                  <w:r>
                    <w:t>T.1-3: Advice and decisions of the Telecommunication Standardization Advisory Group (TSAG)</w:t>
                  </w:r>
                </w:p>
                <w:p w:rsidR="00E65B1F" w:rsidRDefault="00E65B1F" w:rsidP="00E65B1F">
                  <w:pPr>
                    <w:spacing w:after="60"/>
                  </w:pPr>
                  <w:r>
                    <w:t>T.1-4: ITU</w:t>
                  </w:r>
                  <w:r>
                    <w:noBreakHyphen/>
                    <w:t>T recommendations and related results of ITU</w:t>
                  </w:r>
                  <w:r>
                    <w:noBreakHyphen/>
                    <w:t>T study groups</w:t>
                  </w:r>
                </w:p>
                <w:p w:rsidR="00E65B1F" w:rsidRDefault="00E65B1F" w:rsidP="00E65B1F">
                  <w:pPr>
                    <w:spacing w:after="60"/>
                  </w:pPr>
                  <w:r>
                    <w:t>T.1-5: ITU</w:t>
                  </w:r>
                  <w:r>
                    <w:noBreakHyphen/>
                    <w:t>T general assistance and cooperation</w:t>
                  </w:r>
                </w:p>
                <w:p w:rsidR="00E65B1F" w:rsidRDefault="00E65B1F" w:rsidP="00E65B1F">
                  <w:pPr>
                    <w:spacing w:after="60"/>
                  </w:pPr>
                  <w:r>
                    <w:t>T.1-6: Conformity database</w:t>
                  </w:r>
                </w:p>
                <w:p w:rsidR="00E65B1F" w:rsidRDefault="00E65B1F" w:rsidP="00E65B1F">
                  <w:pPr>
                    <w:spacing w:after="60"/>
                  </w:pPr>
                  <w:r>
                    <w:t>T.1-7: Interoperability test centers and events</w:t>
                  </w:r>
                </w:p>
                <w:p w:rsidR="00E65B1F" w:rsidRDefault="00E65B1F" w:rsidP="00E65B1F">
                  <w:pPr>
                    <w:spacing w:after="60"/>
                  </w:pPr>
                  <w:r>
                    <w:t>T.1-8: Development of test suites</w:t>
                  </w:r>
                </w:p>
              </w:tc>
            </w:tr>
          </w:tbl>
          <w:p w:rsidR="004F34B5" w:rsidRPr="00E65B1F" w:rsidRDefault="004F34B5" w:rsidP="004F34B5">
            <w:pPr>
              <w:rPr>
                <w:rFonts w:cs="Arial"/>
                <w:b/>
                <w:lang w:eastAsia="zh-CN"/>
              </w:rPr>
            </w:pPr>
            <w:r w:rsidRPr="00E65B1F">
              <w:rPr>
                <w:rFonts w:cs="Arial"/>
                <w:b/>
                <w:lang w:eastAsia="zh-CN"/>
              </w:rPr>
              <w:t>T.2 (Bridging the standards gap) Promote the active participation of the membership, in particular developing countries, in the definition and adoption of non-discriminatory international telecommunication/ICT standards (ITU</w:t>
            </w:r>
            <w:r w:rsidRPr="00E65B1F">
              <w:rPr>
                <w:rFonts w:cs="Arial"/>
                <w:b/>
                <w:lang w:eastAsia="zh-CN"/>
              </w:rPr>
              <w:noBreakHyphen/>
              <w:t>T recommendations) with a view to bridging the standardization gap</w:t>
            </w:r>
          </w:p>
        </w:tc>
      </w:tr>
      <w:tr w:rsidR="004F34B5" w:rsidTr="00657E2B">
        <w:tblPrEx>
          <w:tblLook w:val="0400" w:firstRow="0" w:lastRow="0" w:firstColumn="0" w:lastColumn="0" w:noHBand="0" w:noVBand="1"/>
        </w:tblPrEx>
        <w:tc>
          <w:tcPr>
            <w:tcW w:w="4678" w:type="dxa"/>
            <w:tcBorders>
              <w:top w:val="single" w:sz="4" w:space="0" w:color="auto"/>
              <w:left w:val="single" w:sz="4" w:space="0" w:color="auto"/>
              <w:bottom w:val="single" w:sz="4" w:space="0" w:color="auto"/>
              <w:right w:val="single" w:sz="4" w:space="0" w:color="auto"/>
            </w:tcBorders>
          </w:tcPr>
          <w:p w:rsidR="004F34B5" w:rsidRDefault="004F34B5" w:rsidP="004F34B5">
            <w:pPr>
              <w:rPr>
                <w:i/>
                <w:iCs/>
              </w:rPr>
            </w:pPr>
            <w:r>
              <w:rPr>
                <w:i/>
                <w:iCs/>
              </w:rPr>
              <w:t>Outcomes</w:t>
            </w:r>
          </w:p>
        </w:tc>
        <w:tc>
          <w:tcPr>
            <w:tcW w:w="5405" w:type="dxa"/>
            <w:tcBorders>
              <w:top w:val="single" w:sz="4" w:space="0" w:color="auto"/>
              <w:left w:val="single" w:sz="4" w:space="0" w:color="auto"/>
              <w:bottom w:val="single" w:sz="4" w:space="0" w:color="auto"/>
              <w:right w:val="single" w:sz="4" w:space="0" w:color="auto"/>
            </w:tcBorders>
          </w:tcPr>
          <w:p w:rsidR="004F34B5" w:rsidRDefault="004F34B5" w:rsidP="004F34B5">
            <w:pPr>
              <w:rPr>
                <w:i/>
                <w:iCs/>
              </w:rPr>
            </w:pPr>
            <w:r>
              <w:rPr>
                <w:i/>
                <w:iCs/>
              </w:rPr>
              <w:t>Outputs</w:t>
            </w:r>
          </w:p>
        </w:tc>
      </w:tr>
      <w:tr w:rsidR="004F34B5" w:rsidTr="00657E2B">
        <w:tblPrEx>
          <w:tblLook w:val="0400" w:firstRow="0" w:lastRow="0" w:firstColumn="0" w:lastColumn="0" w:noHBand="0" w:noVBand="1"/>
        </w:tblPrEx>
        <w:tc>
          <w:tcPr>
            <w:tcW w:w="4678" w:type="dxa"/>
            <w:tcBorders>
              <w:top w:val="single" w:sz="4" w:space="0" w:color="auto"/>
              <w:left w:val="single" w:sz="4" w:space="0" w:color="auto"/>
              <w:bottom w:val="single" w:sz="4" w:space="0" w:color="auto"/>
              <w:right w:val="single" w:sz="4" w:space="0" w:color="auto"/>
            </w:tcBorders>
          </w:tcPr>
          <w:p w:rsidR="004F34B5" w:rsidRDefault="004F34B5" w:rsidP="004F34B5">
            <w:pPr>
              <w:spacing w:after="60"/>
            </w:pPr>
            <w:r>
              <w:lastRenderedPageBreak/>
              <w:t>T.2-a: Increased participation in the ITU</w:t>
            </w:r>
            <w:r>
              <w:noBreakHyphen/>
              <w:t>T standardization process, including attendance of meetings, submission of contributions, taking leadership positions and hosting of meetings/workshops, especially from developing countries</w:t>
            </w:r>
          </w:p>
          <w:p w:rsidR="004F34B5" w:rsidRDefault="004F34B5" w:rsidP="004F34B5">
            <w:pPr>
              <w:spacing w:after="60"/>
            </w:pPr>
            <w:r>
              <w:t>T.2-b: Increase of the ITU</w:t>
            </w:r>
            <w:r>
              <w:noBreakHyphen/>
              <w:t>T membership, including Sector Members, Associates and Academia</w:t>
            </w:r>
          </w:p>
        </w:tc>
        <w:tc>
          <w:tcPr>
            <w:tcW w:w="5405" w:type="dxa"/>
            <w:tcBorders>
              <w:top w:val="single" w:sz="4" w:space="0" w:color="auto"/>
              <w:left w:val="single" w:sz="4" w:space="0" w:color="auto"/>
              <w:bottom w:val="single" w:sz="4" w:space="0" w:color="auto"/>
              <w:right w:val="single" w:sz="4" w:space="0" w:color="auto"/>
            </w:tcBorders>
          </w:tcPr>
          <w:p w:rsidR="004F34B5" w:rsidRDefault="004F34B5" w:rsidP="004F34B5">
            <w:pPr>
              <w:spacing w:after="60"/>
            </w:pPr>
            <w:r>
              <w:t>T.2-1: Bridging the standardization gap</w:t>
            </w:r>
          </w:p>
          <w:p w:rsidR="004F34B5" w:rsidRDefault="004F34B5" w:rsidP="004F34B5">
            <w:pPr>
              <w:spacing w:after="60"/>
            </w:pPr>
            <w:r>
              <w:t>T.2-2: Workshops and seminars, including offline and online training activities, complementing the capacity-building work on bridging the standardization gap</w:t>
            </w:r>
          </w:p>
          <w:p w:rsidR="004F34B5" w:rsidRDefault="004F34B5" w:rsidP="004F34B5">
            <w:pPr>
              <w:spacing w:after="60"/>
            </w:pPr>
            <w:r>
              <w:t>T.2-3: Outreach and promotion</w:t>
            </w:r>
          </w:p>
        </w:tc>
      </w:tr>
      <w:tr w:rsidR="004F34B5" w:rsidTr="00657E2B">
        <w:tblPrEx>
          <w:tblLook w:val="0400" w:firstRow="0" w:lastRow="0" w:firstColumn="0" w:lastColumn="0" w:noHBand="0" w:noVBand="1"/>
        </w:tblPrEx>
        <w:tc>
          <w:tcPr>
            <w:tcW w:w="10083" w:type="dxa"/>
            <w:gridSpan w:val="2"/>
            <w:tcBorders>
              <w:top w:val="single" w:sz="4" w:space="0" w:color="auto"/>
              <w:left w:val="single" w:sz="4" w:space="0" w:color="auto"/>
              <w:bottom w:val="single" w:sz="4" w:space="0" w:color="auto"/>
              <w:right w:val="single" w:sz="4" w:space="0" w:color="auto"/>
            </w:tcBorders>
          </w:tcPr>
          <w:p w:rsidR="004F34B5" w:rsidRDefault="004F34B5" w:rsidP="004F34B5">
            <w:pPr>
              <w:rPr>
                <w:b/>
                <w:bCs/>
              </w:rPr>
            </w:pPr>
            <w:r>
              <w:br w:type="page"/>
            </w:r>
            <w:r>
              <w:rPr>
                <w:b/>
                <w:bCs/>
              </w:rPr>
              <w:t>T.3 (Telecommunication resources) Ensure effective allocation and management of international telecommunication numbering, naming, addressing and identification resources in accordance with ITU</w:t>
            </w:r>
            <w:r>
              <w:rPr>
                <w:b/>
                <w:bCs/>
              </w:rPr>
              <w:noBreakHyphen/>
              <w:t>T recommendations and procedures</w:t>
            </w:r>
          </w:p>
        </w:tc>
      </w:tr>
      <w:tr w:rsidR="004F34B5" w:rsidTr="00657E2B">
        <w:tblPrEx>
          <w:tblLook w:val="0400" w:firstRow="0" w:lastRow="0" w:firstColumn="0" w:lastColumn="0" w:noHBand="0" w:noVBand="1"/>
        </w:tblPrEx>
        <w:tc>
          <w:tcPr>
            <w:tcW w:w="4678" w:type="dxa"/>
            <w:tcBorders>
              <w:top w:val="single" w:sz="4" w:space="0" w:color="auto"/>
              <w:left w:val="single" w:sz="4" w:space="0" w:color="auto"/>
              <w:bottom w:val="single" w:sz="4" w:space="0" w:color="auto"/>
              <w:right w:val="single" w:sz="4" w:space="0" w:color="auto"/>
            </w:tcBorders>
          </w:tcPr>
          <w:p w:rsidR="004F34B5" w:rsidRDefault="004F34B5" w:rsidP="004F34B5">
            <w:pPr>
              <w:rPr>
                <w:i/>
                <w:iCs/>
              </w:rPr>
            </w:pPr>
            <w:r>
              <w:rPr>
                <w:i/>
                <w:iCs/>
              </w:rPr>
              <w:t>Outcomes</w:t>
            </w:r>
          </w:p>
        </w:tc>
        <w:tc>
          <w:tcPr>
            <w:tcW w:w="5405" w:type="dxa"/>
            <w:tcBorders>
              <w:top w:val="single" w:sz="4" w:space="0" w:color="auto"/>
              <w:left w:val="single" w:sz="4" w:space="0" w:color="auto"/>
              <w:bottom w:val="single" w:sz="4" w:space="0" w:color="auto"/>
              <w:right w:val="single" w:sz="4" w:space="0" w:color="auto"/>
            </w:tcBorders>
          </w:tcPr>
          <w:p w:rsidR="004F34B5" w:rsidRDefault="004F34B5" w:rsidP="004F34B5">
            <w:pPr>
              <w:rPr>
                <w:i/>
                <w:iCs/>
              </w:rPr>
            </w:pPr>
            <w:r>
              <w:rPr>
                <w:i/>
                <w:iCs/>
              </w:rPr>
              <w:t>Outputs</w:t>
            </w:r>
          </w:p>
        </w:tc>
      </w:tr>
      <w:tr w:rsidR="004F34B5" w:rsidTr="00657E2B">
        <w:tblPrEx>
          <w:tblLook w:val="0400" w:firstRow="0" w:lastRow="0" w:firstColumn="0" w:lastColumn="0" w:noHBand="0" w:noVBand="1"/>
        </w:tblPrEx>
        <w:tc>
          <w:tcPr>
            <w:tcW w:w="4678" w:type="dxa"/>
            <w:tcBorders>
              <w:top w:val="single" w:sz="4" w:space="0" w:color="auto"/>
              <w:left w:val="single" w:sz="4" w:space="0" w:color="auto"/>
              <w:bottom w:val="single" w:sz="4" w:space="0" w:color="auto"/>
              <w:right w:val="single" w:sz="4" w:space="0" w:color="auto"/>
            </w:tcBorders>
          </w:tcPr>
          <w:p w:rsidR="004F34B5" w:rsidRDefault="004F34B5" w:rsidP="004F34B5">
            <w:pPr>
              <w:spacing w:after="60"/>
            </w:pPr>
            <w:r>
              <w:t>T.3-a: Timely and accurate allocation of international telecommunication numbering, naming, addressing and identification resources, as specified in the relevant recommendations</w:t>
            </w:r>
          </w:p>
        </w:tc>
        <w:tc>
          <w:tcPr>
            <w:tcW w:w="5405" w:type="dxa"/>
            <w:tcBorders>
              <w:top w:val="single" w:sz="4" w:space="0" w:color="auto"/>
              <w:left w:val="single" w:sz="4" w:space="0" w:color="auto"/>
              <w:bottom w:val="single" w:sz="4" w:space="0" w:color="auto"/>
              <w:right w:val="single" w:sz="4" w:space="0" w:color="auto"/>
            </w:tcBorders>
          </w:tcPr>
          <w:p w:rsidR="004F34B5" w:rsidRDefault="004F34B5" w:rsidP="004F34B5">
            <w:pPr>
              <w:spacing w:after="60"/>
            </w:pPr>
            <w:r>
              <w:t>T.3-1: Relevant TSB databases</w:t>
            </w:r>
          </w:p>
          <w:p w:rsidR="004F34B5" w:rsidRDefault="004F34B5" w:rsidP="004F34B5">
            <w:pPr>
              <w:spacing w:after="60"/>
            </w:pPr>
            <w:r>
              <w:t>T.3-2: Allocation and management of international telecommunication numbering, naming, addressing and identification resources in accordance with ITU</w:t>
            </w:r>
            <w:r>
              <w:noBreakHyphen/>
              <w:t>T recommendations and procedures</w:t>
            </w:r>
          </w:p>
        </w:tc>
      </w:tr>
      <w:tr w:rsidR="004F34B5" w:rsidTr="00657E2B">
        <w:tblPrEx>
          <w:tblLook w:val="0400" w:firstRow="0" w:lastRow="0" w:firstColumn="0" w:lastColumn="0" w:noHBand="0" w:noVBand="1"/>
        </w:tblPrEx>
        <w:tc>
          <w:tcPr>
            <w:tcW w:w="10083" w:type="dxa"/>
            <w:gridSpan w:val="2"/>
            <w:tcBorders>
              <w:top w:val="single" w:sz="4" w:space="0" w:color="auto"/>
              <w:left w:val="single" w:sz="4" w:space="0" w:color="auto"/>
              <w:bottom w:val="single" w:sz="4" w:space="0" w:color="auto"/>
              <w:right w:val="single" w:sz="4" w:space="0" w:color="auto"/>
            </w:tcBorders>
          </w:tcPr>
          <w:p w:rsidR="004F34B5" w:rsidRDefault="004F34B5" w:rsidP="004F34B5">
            <w:pPr>
              <w:rPr>
                <w:b/>
                <w:bCs/>
              </w:rPr>
            </w:pPr>
            <w:r>
              <w:rPr>
                <w:b/>
                <w:bCs/>
              </w:rPr>
              <w:t>T.4 (Knowledge sharing) Foster the acquisition, awareness, sharing of knowledge and know how on the standardization activities of ITU</w:t>
            </w:r>
            <w:r>
              <w:rPr>
                <w:b/>
                <w:bCs/>
              </w:rPr>
              <w:noBreakHyphen/>
              <w:t>T</w:t>
            </w:r>
          </w:p>
        </w:tc>
      </w:tr>
      <w:tr w:rsidR="004F34B5" w:rsidTr="00657E2B">
        <w:tblPrEx>
          <w:tblLook w:val="0400" w:firstRow="0" w:lastRow="0" w:firstColumn="0" w:lastColumn="0" w:noHBand="0" w:noVBand="1"/>
        </w:tblPrEx>
        <w:tc>
          <w:tcPr>
            <w:tcW w:w="4678" w:type="dxa"/>
            <w:tcBorders>
              <w:top w:val="single" w:sz="4" w:space="0" w:color="auto"/>
              <w:left w:val="single" w:sz="4" w:space="0" w:color="auto"/>
              <w:bottom w:val="single" w:sz="4" w:space="0" w:color="auto"/>
              <w:right w:val="single" w:sz="4" w:space="0" w:color="auto"/>
            </w:tcBorders>
          </w:tcPr>
          <w:p w:rsidR="004F34B5" w:rsidRDefault="004F34B5" w:rsidP="004F34B5">
            <w:pPr>
              <w:rPr>
                <w:i/>
                <w:iCs/>
              </w:rPr>
            </w:pPr>
            <w:r>
              <w:rPr>
                <w:i/>
                <w:iCs/>
              </w:rPr>
              <w:t>Outcomes</w:t>
            </w:r>
          </w:p>
        </w:tc>
        <w:tc>
          <w:tcPr>
            <w:tcW w:w="5405" w:type="dxa"/>
            <w:tcBorders>
              <w:top w:val="single" w:sz="4" w:space="0" w:color="auto"/>
              <w:left w:val="single" w:sz="4" w:space="0" w:color="auto"/>
              <w:bottom w:val="single" w:sz="4" w:space="0" w:color="auto"/>
              <w:right w:val="single" w:sz="4" w:space="0" w:color="auto"/>
            </w:tcBorders>
          </w:tcPr>
          <w:p w:rsidR="004F34B5" w:rsidRDefault="004F34B5" w:rsidP="004F34B5">
            <w:pPr>
              <w:rPr>
                <w:i/>
                <w:iCs/>
              </w:rPr>
            </w:pPr>
            <w:r>
              <w:rPr>
                <w:i/>
                <w:iCs/>
              </w:rPr>
              <w:t>Outputs</w:t>
            </w:r>
          </w:p>
        </w:tc>
      </w:tr>
      <w:tr w:rsidR="004F34B5" w:rsidTr="00657E2B">
        <w:tblPrEx>
          <w:tblLook w:val="0400" w:firstRow="0" w:lastRow="0" w:firstColumn="0" w:lastColumn="0" w:noHBand="0" w:noVBand="1"/>
        </w:tblPrEx>
        <w:tc>
          <w:tcPr>
            <w:tcW w:w="4678" w:type="dxa"/>
            <w:tcBorders>
              <w:top w:val="single" w:sz="4" w:space="0" w:color="auto"/>
              <w:left w:val="single" w:sz="4" w:space="0" w:color="auto"/>
              <w:bottom w:val="single" w:sz="4" w:space="0" w:color="auto"/>
              <w:right w:val="single" w:sz="4" w:space="0" w:color="auto"/>
            </w:tcBorders>
          </w:tcPr>
          <w:p w:rsidR="004F34B5" w:rsidRDefault="004F34B5" w:rsidP="004F34B5">
            <w:pPr>
              <w:spacing w:after="60"/>
            </w:pPr>
            <w:r>
              <w:t>T.4-a: Increased knowledge on ITU</w:t>
            </w:r>
            <w:r>
              <w:noBreakHyphen/>
              <w:t>T standards and on best practices in their implementation of ITU</w:t>
            </w:r>
            <w:r>
              <w:noBreakHyphen/>
              <w:t xml:space="preserve">T standards </w:t>
            </w:r>
          </w:p>
          <w:p w:rsidR="004F34B5" w:rsidRDefault="004F34B5" w:rsidP="004F34B5">
            <w:pPr>
              <w:spacing w:after="60"/>
            </w:pPr>
            <w:r>
              <w:t>T.4-b: Increased participation in ITU</w:t>
            </w:r>
            <w:r>
              <w:noBreakHyphen/>
              <w:t>T's standardization activities and increased awareness of the relevance of ITU</w:t>
            </w:r>
            <w:r>
              <w:noBreakHyphen/>
              <w:t>T standards</w:t>
            </w:r>
          </w:p>
          <w:p w:rsidR="004F34B5" w:rsidRDefault="004F34B5" w:rsidP="004F34B5">
            <w:pPr>
              <w:spacing w:after="60"/>
            </w:pPr>
            <w:r>
              <w:t>T.4-c: Increased Sector visibility</w:t>
            </w:r>
          </w:p>
        </w:tc>
        <w:tc>
          <w:tcPr>
            <w:tcW w:w="5405" w:type="dxa"/>
            <w:tcBorders>
              <w:top w:val="single" w:sz="4" w:space="0" w:color="auto"/>
              <w:left w:val="single" w:sz="4" w:space="0" w:color="auto"/>
              <w:bottom w:val="single" w:sz="4" w:space="0" w:color="auto"/>
              <w:right w:val="single" w:sz="4" w:space="0" w:color="auto"/>
            </w:tcBorders>
          </w:tcPr>
          <w:p w:rsidR="004F34B5" w:rsidRDefault="004F34B5" w:rsidP="004F34B5">
            <w:pPr>
              <w:spacing w:after="60"/>
              <w:rPr>
                <w:lang w:val="fr-CH"/>
              </w:rPr>
            </w:pPr>
            <w:r>
              <w:rPr>
                <w:lang w:val="fr-CH"/>
              </w:rPr>
              <w:t>T.4-1: ITU</w:t>
            </w:r>
            <w:r>
              <w:rPr>
                <w:lang w:val="fr-CH"/>
              </w:rPr>
              <w:noBreakHyphen/>
              <w:t>T publications</w:t>
            </w:r>
          </w:p>
          <w:p w:rsidR="004F34B5" w:rsidRDefault="004F34B5" w:rsidP="004F34B5">
            <w:pPr>
              <w:spacing w:after="60"/>
              <w:rPr>
                <w:lang w:val="fr-CH"/>
              </w:rPr>
            </w:pPr>
            <w:r>
              <w:rPr>
                <w:lang w:val="fr-CH"/>
              </w:rPr>
              <w:t>T.4-2: Database publications</w:t>
            </w:r>
          </w:p>
          <w:p w:rsidR="004F34B5" w:rsidRDefault="004F34B5" w:rsidP="004F34B5">
            <w:pPr>
              <w:spacing w:after="60"/>
            </w:pPr>
            <w:r>
              <w:t>T.4-3: Outreach and promotion</w:t>
            </w:r>
          </w:p>
          <w:p w:rsidR="004F34B5" w:rsidRDefault="004F34B5" w:rsidP="004F34B5">
            <w:pPr>
              <w:spacing w:after="60"/>
            </w:pPr>
            <w:r>
              <w:t>T.4-4: ITU Operational Bulletin</w:t>
            </w:r>
          </w:p>
        </w:tc>
      </w:tr>
      <w:tr w:rsidR="004F34B5" w:rsidTr="00657E2B">
        <w:tblPrEx>
          <w:tblLook w:val="0400" w:firstRow="0" w:lastRow="0" w:firstColumn="0" w:lastColumn="0" w:noHBand="0" w:noVBand="1"/>
        </w:tblPrEx>
        <w:tc>
          <w:tcPr>
            <w:tcW w:w="10083" w:type="dxa"/>
            <w:gridSpan w:val="2"/>
            <w:tcBorders>
              <w:top w:val="single" w:sz="4" w:space="0" w:color="auto"/>
              <w:left w:val="single" w:sz="4" w:space="0" w:color="auto"/>
              <w:bottom w:val="single" w:sz="4" w:space="0" w:color="auto"/>
              <w:right w:val="single" w:sz="4" w:space="0" w:color="auto"/>
            </w:tcBorders>
          </w:tcPr>
          <w:p w:rsidR="004F34B5" w:rsidRDefault="004F34B5" w:rsidP="004F34B5">
            <w:pPr>
              <w:rPr>
                <w:b/>
                <w:bCs/>
              </w:rPr>
            </w:pPr>
            <w:r>
              <w:rPr>
                <w:b/>
                <w:bCs/>
              </w:rPr>
              <w:t>T.5 (Cooperation with standardization bodies) Extend and facilitate cooperation with international, regional and national standardization bodies</w:t>
            </w:r>
          </w:p>
        </w:tc>
      </w:tr>
      <w:tr w:rsidR="004F34B5" w:rsidTr="00657E2B">
        <w:tblPrEx>
          <w:tblLook w:val="0400" w:firstRow="0" w:lastRow="0" w:firstColumn="0" w:lastColumn="0" w:noHBand="0" w:noVBand="1"/>
        </w:tblPrEx>
        <w:tc>
          <w:tcPr>
            <w:tcW w:w="4678" w:type="dxa"/>
            <w:tcBorders>
              <w:top w:val="single" w:sz="4" w:space="0" w:color="auto"/>
              <w:left w:val="single" w:sz="4" w:space="0" w:color="auto"/>
              <w:bottom w:val="single" w:sz="4" w:space="0" w:color="auto"/>
              <w:right w:val="single" w:sz="4" w:space="0" w:color="auto"/>
            </w:tcBorders>
          </w:tcPr>
          <w:p w:rsidR="004F34B5" w:rsidRDefault="004F34B5" w:rsidP="004F34B5">
            <w:pPr>
              <w:rPr>
                <w:i/>
                <w:iCs/>
              </w:rPr>
            </w:pPr>
            <w:r>
              <w:rPr>
                <w:i/>
                <w:iCs/>
              </w:rPr>
              <w:t>Outcomes</w:t>
            </w:r>
          </w:p>
        </w:tc>
        <w:tc>
          <w:tcPr>
            <w:tcW w:w="5405" w:type="dxa"/>
            <w:tcBorders>
              <w:top w:val="single" w:sz="4" w:space="0" w:color="auto"/>
              <w:left w:val="single" w:sz="4" w:space="0" w:color="auto"/>
              <w:bottom w:val="single" w:sz="4" w:space="0" w:color="auto"/>
              <w:right w:val="single" w:sz="4" w:space="0" w:color="auto"/>
            </w:tcBorders>
          </w:tcPr>
          <w:p w:rsidR="004F34B5" w:rsidRDefault="004F34B5" w:rsidP="004F34B5">
            <w:pPr>
              <w:rPr>
                <w:i/>
                <w:iCs/>
              </w:rPr>
            </w:pPr>
            <w:r>
              <w:rPr>
                <w:i/>
                <w:iCs/>
              </w:rPr>
              <w:t>Outputs</w:t>
            </w:r>
          </w:p>
        </w:tc>
      </w:tr>
      <w:tr w:rsidR="004F34B5" w:rsidTr="00657E2B">
        <w:tblPrEx>
          <w:tblLook w:val="0400" w:firstRow="0" w:lastRow="0" w:firstColumn="0" w:lastColumn="0" w:noHBand="0" w:noVBand="1"/>
        </w:tblPrEx>
        <w:tc>
          <w:tcPr>
            <w:tcW w:w="4678" w:type="dxa"/>
            <w:tcBorders>
              <w:top w:val="single" w:sz="4" w:space="0" w:color="auto"/>
              <w:left w:val="single" w:sz="4" w:space="0" w:color="auto"/>
              <w:bottom w:val="single" w:sz="4" w:space="0" w:color="auto"/>
              <w:right w:val="single" w:sz="4" w:space="0" w:color="auto"/>
            </w:tcBorders>
          </w:tcPr>
          <w:p w:rsidR="004F34B5" w:rsidRDefault="004F34B5" w:rsidP="004F34B5">
            <w:pPr>
              <w:spacing w:after="60"/>
            </w:pPr>
            <w:r>
              <w:t>T.5-a: Increased communications with other standards organizations</w:t>
            </w:r>
          </w:p>
          <w:p w:rsidR="004F34B5" w:rsidRDefault="004F34B5" w:rsidP="004F34B5">
            <w:pPr>
              <w:spacing w:after="60"/>
            </w:pPr>
            <w:r>
              <w:t>T.5-b: Decreased number of conflicting standards</w:t>
            </w:r>
          </w:p>
          <w:p w:rsidR="004F34B5" w:rsidRDefault="004F34B5" w:rsidP="004F34B5">
            <w:pPr>
              <w:spacing w:after="60"/>
            </w:pPr>
            <w:r>
              <w:t>T.5-c: Increased number of memoranda of understanding/collaboration agreements with other organizations</w:t>
            </w:r>
          </w:p>
          <w:p w:rsidR="004F34B5" w:rsidRDefault="004F34B5" w:rsidP="004F34B5">
            <w:pPr>
              <w:spacing w:after="60"/>
            </w:pPr>
            <w:r>
              <w:t>T.5-d: Increased number of ITU</w:t>
            </w:r>
            <w:r>
              <w:noBreakHyphen/>
              <w:t>T A.4, A.5 and A.6 qualified organizations</w:t>
            </w:r>
          </w:p>
          <w:p w:rsidR="004F34B5" w:rsidRDefault="004F34B5" w:rsidP="004F34B5">
            <w:pPr>
              <w:spacing w:after="60"/>
            </w:pPr>
            <w:r>
              <w:lastRenderedPageBreak/>
              <w:t>T.5-e: Increased number of workshops/events organized jointly with other organizations</w:t>
            </w:r>
          </w:p>
        </w:tc>
        <w:tc>
          <w:tcPr>
            <w:tcW w:w="5405" w:type="dxa"/>
            <w:tcBorders>
              <w:top w:val="single" w:sz="4" w:space="0" w:color="auto"/>
              <w:left w:val="single" w:sz="4" w:space="0" w:color="auto"/>
              <w:bottom w:val="single" w:sz="4" w:space="0" w:color="auto"/>
              <w:right w:val="single" w:sz="4" w:space="0" w:color="auto"/>
            </w:tcBorders>
          </w:tcPr>
          <w:p w:rsidR="004F34B5" w:rsidRDefault="004F34B5" w:rsidP="004F34B5">
            <w:pPr>
              <w:spacing w:after="60"/>
            </w:pPr>
            <w:r>
              <w:lastRenderedPageBreak/>
              <w:t>T.5-1: Memoranda of understanding (MoUs) and collaboration agreements</w:t>
            </w:r>
          </w:p>
          <w:p w:rsidR="004F34B5" w:rsidRDefault="004F34B5" w:rsidP="004F34B5">
            <w:pPr>
              <w:spacing w:after="60"/>
              <w:rPr>
                <w:lang w:val="fr-CH"/>
              </w:rPr>
            </w:pPr>
            <w:r>
              <w:rPr>
                <w:lang w:val="fr-CH"/>
              </w:rPr>
              <w:t>T.5-2: ITU</w:t>
            </w:r>
            <w:r>
              <w:rPr>
                <w:lang w:val="fr-CH"/>
              </w:rPr>
              <w:noBreakHyphen/>
              <w:t xml:space="preserve">T A.4/A.5/A.6 qualifications </w:t>
            </w:r>
          </w:p>
          <w:p w:rsidR="004F34B5" w:rsidRDefault="004F34B5" w:rsidP="004F34B5">
            <w:pPr>
              <w:spacing w:after="60"/>
            </w:pPr>
            <w:r>
              <w:t>T.5-3: Jointly organized workshops/events</w:t>
            </w:r>
          </w:p>
        </w:tc>
      </w:tr>
    </w:tbl>
    <w:p w:rsidR="001F5C4B" w:rsidRDefault="001F5C4B" w:rsidP="001F5C4B">
      <w:pPr>
        <w:pStyle w:val="Caption"/>
        <w:rPr>
          <w:lang w:val="en-GB"/>
        </w:rPr>
      </w:pPr>
      <w:r>
        <w:rPr>
          <w:lang w:val="en-GB"/>
        </w:rPr>
        <w:t>Table 7. Enablers for ITU</w:t>
      </w:r>
      <w:r>
        <w:rPr>
          <w:lang w:val="en-GB"/>
        </w:rPr>
        <w:noBreakHyphen/>
        <w:t>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85"/>
        <w:gridCol w:w="19"/>
        <w:gridCol w:w="3713"/>
        <w:gridCol w:w="7"/>
        <w:gridCol w:w="2398"/>
        <w:gridCol w:w="2538"/>
      </w:tblGrid>
      <w:tr w:rsidR="001F5C4B" w:rsidTr="00D426DB">
        <w:trPr>
          <w:trHeight w:val="435"/>
        </w:trPr>
        <w:tc>
          <w:tcPr>
            <w:tcW w:w="1404" w:type="dxa"/>
            <w:gridSpan w:val="2"/>
            <w:hideMark/>
          </w:tcPr>
          <w:p w:rsidR="001F5C4B" w:rsidRDefault="001F5C4B" w:rsidP="004F34B5">
            <w:pPr>
              <w:spacing w:after="60" w:line="259" w:lineRule="auto"/>
            </w:pPr>
            <w:r>
              <w:t>Supported ITU</w:t>
            </w:r>
            <w:r>
              <w:noBreakHyphen/>
              <w:t>T Objective(s)</w:t>
            </w:r>
          </w:p>
        </w:tc>
        <w:tc>
          <w:tcPr>
            <w:tcW w:w="3720" w:type="dxa"/>
            <w:gridSpan w:val="2"/>
            <w:hideMark/>
          </w:tcPr>
          <w:p w:rsidR="001F5C4B" w:rsidRDefault="001F5C4B" w:rsidP="004F34B5">
            <w:pPr>
              <w:spacing w:after="60" w:line="259" w:lineRule="auto"/>
            </w:pPr>
            <w:r>
              <w:t>TSB activities</w:t>
            </w:r>
          </w:p>
        </w:tc>
        <w:tc>
          <w:tcPr>
            <w:tcW w:w="2398" w:type="dxa"/>
          </w:tcPr>
          <w:p w:rsidR="001F5C4B" w:rsidRDefault="001F5C4B" w:rsidP="004F34B5">
            <w:pPr>
              <w:spacing w:after="60"/>
            </w:pPr>
            <w:r>
              <w:t>Contribution to the Outcomes of the Sector</w:t>
            </w:r>
          </w:p>
        </w:tc>
        <w:tc>
          <w:tcPr>
            <w:tcW w:w="2538" w:type="dxa"/>
            <w:hideMark/>
          </w:tcPr>
          <w:p w:rsidR="001F5C4B" w:rsidRDefault="001F5C4B" w:rsidP="004F34B5">
            <w:pPr>
              <w:spacing w:after="60" w:line="259" w:lineRule="auto"/>
            </w:pPr>
            <w:r>
              <w:t>Results</w:t>
            </w:r>
          </w:p>
        </w:tc>
      </w:tr>
      <w:tr w:rsidR="001F5C4B" w:rsidTr="00D426DB">
        <w:trPr>
          <w:trHeight w:val="215"/>
        </w:trPr>
        <w:tc>
          <w:tcPr>
            <w:tcW w:w="1404" w:type="dxa"/>
            <w:gridSpan w:val="2"/>
          </w:tcPr>
          <w:p w:rsidR="001F5C4B" w:rsidRDefault="001F5C4B" w:rsidP="004F34B5">
            <w:pPr>
              <w:spacing w:after="60"/>
              <w:rPr>
                <w:b/>
                <w:bCs/>
              </w:rPr>
            </w:pPr>
            <w:r>
              <w:rPr>
                <w:b/>
                <w:bCs/>
              </w:rPr>
              <w:t>T.1</w:t>
            </w:r>
          </w:p>
        </w:tc>
        <w:tc>
          <w:tcPr>
            <w:tcW w:w="3720" w:type="dxa"/>
            <w:gridSpan w:val="2"/>
          </w:tcPr>
          <w:p w:rsidR="001F5C4B" w:rsidRDefault="001F5C4B" w:rsidP="004F34B5">
            <w:pPr>
              <w:spacing w:after="60"/>
            </w:pPr>
            <w:r>
              <w:t>- Timely and efficient provisioning of documents (WTSA Resolutions, Recs, Opinions, ITU</w:t>
            </w:r>
            <w:r>
              <w:noBreakHyphen/>
              <w:t>T Recs, SGs related documents, reports)</w:t>
            </w:r>
          </w:p>
          <w:p w:rsidR="001F5C4B" w:rsidRDefault="001F5C4B" w:rsidP="004F34B5">
            <w:pPr>
              <w:spacing w:after="60"/>
            </w:pPr>
            <w:r>
              <w:t>- Secretariat support and organization and logistical support for meetings</w:t>
            </w:r>
          </w:p>
          <w:p w:rsidR="001F5C4B" w:rsidRDefault="001F5C4B" w:rsidP="004F34B5">
            <w:pPr>
              <w:spacing w:after="60"/>
            </w:pPr>
            <w:r>
              <w:t>- Advisory services</w:t>
            </w:r>
          </w:p>
          <w:p w:rsidR="001F5C4B" w:rsidRDefault="001F5C4B" w:rsidP="004F34B5">
            <w:pPr>
              <w:spacing w:after="60"/>
            </w:pPr>
            <w:r>
              <w:t>- TSB EWM services and information services</w:t>
            </w:r>
          </w:p>
          <w:p w:rsidR="001F5C4B" w:rsidRDefault="001F5C4B" w:rsidP="004F34B5">
            <w:pPr>
              <w:spacing w:after="60"/>
            </w:pPr>
            <w:r>
              <w:t>- Operation and maintenance of C&amp;I DBs; logistical support for interop/testing events, testbeds</w:t>
            </w:r>
          </w:p>
        </w:tc>
        <w:tc>
          <w:tcPr>
            <w:tcW w:w="2398" w:type="dxa"/>
          </w:tcPr>
          <w:p w:rsidR="001F5C4B" w:rsidRDefault="001F5C4B" w:rsidP="004F34B5">
            <w:pPr>
              <w:spacing w:after="60"/>
            </w:pPr>
            <w:r>
              <w:t>- Increased quality of ITU</w:t>
            </w:r>
            <w:r>
              <w:noBreakHyphen/>
              <w:t>T recommendations</w:t>
            </w:r>
          </w:p>
        </w:tc>
        <w:tc>
          <w:tcPr>
            <w:tcW w:w="2538" w:type="dxa"/>
          </w:tcPr>
          <w:p w:rsidR="001F5C4B" w:rsidRDefault="001F5C4B" w:rsidP="004F34B5">
            <w:pPr>
              <w:spacing w:after="60"/>
            </w:pPr>
            <w:r>
              <w:t>- Timely up-to-date information for delegates and standards community about ITU</w:t>
            </w:r>
            <w:r>
              <w:noBreakHyphen/>
              <w:t>T's products and services</w:t>
            </w:r>
          </w:p>
        </w:tc>
      </w:tr>
      <w:tr w:rsidR="001F5C4B" w:rsidTr="00D426DB">
        <w:trPr>
          <w:trHeight w:val="215"/>
        </w:trPr>
        <w:tc>
          <w:tcPr>
            <w:tcW w:w="1404" w:type="dxa"/>
            <w:gridSpan w:val="2"/>
          </w:tcPr>
          <w:p w:rsidR="001F5C4B" w:rsidRDefault="001F5C4B" w:rsidP="004F34B5">
            <w:pPr>
              <w:spacing w:after="60"/>
              <w:rPr>
                <w:b/>
                <w:bCs/>
              </w:rPr>
            </w:pPr>
            <w:r>
              <w:rPr>
                <w:b/>
                <w:bCs/>
              </w:rPr>
              <w:t>T.2</w:t>
            </w:r>
          </w:p>
        </w:tc>
        <w:tc>
          <w:tcPr>
            <w:tcW w:w="3720" w:type="dxa"/>
            <w:gridSpan w:val="2"/>
          </w:tcPr>
          <w:p w:rsidR="001F5C4B" w:rsidRDefault="001F5C4B" w:rsidP="004F34B5">
            <w:pPr>
              <w:spacing w:after="60"/>
            </w:pPr>
            <w:r>
              <w:t>- Organization of BSG hands-on training sessions; fellowship financial support; logistical support of regional groups</w:t>
            </w:r>
          </w:p>
          <w:p w:rsidR="001F5C4B" w:rsidRDefault="001F5C4B" w:rsidP="004F34B5">
            <w:pPr>
              <w:spacing w:after="60"/>
            </w:pPr>
            <w:r>
              <w:t>- Organization of workshops</w:t>
            </w:r>
          </w:p>
          <w:p w:rsidR="001F5C4B" w:rsidRDefault="001F5C4B" w:rsidP="004F34B5">
            <w:pPr>
              <w:spacing w:after="60"/>
            </w:pPr>
            <w:r>
              <w:t>- Announcements (ITU newsblog, promotional activities)</w:t>
            </w:r>
          </w:p>
          <w:p w:rsidR="001F5C4B" w:rsidRDefault="001F5C4B" w:rsidP="004F34B5">
            <w:pPr>
              <w:spacing w:after="60"/>
            </w:pPr>
            <w:r>
              <w:t>- Account management of ITU</w:t>
            </w:r>
            <w:r>
              <w:noBreakHyphen/>
              <w:t>T memberships, retention of current members and proactive acquisition of new members</w:t>
            </w:r>
          </w:p>
        </w:tc>
        <w:tc>
          <w:tcPr>
            <w:tcW w:w="2398" w:type="dxa"/>
          </w:tcPr>
          <w:p w:rsidR="001F5C4B" w:rsidRDefault="001F5C4B" w:rsidP="004F34B5">
            <w:pPr>
              <w:spacing w:after="60"/>
            </w:pPr>
            <w:r>
              <w:t>- Increased ITU</w:t>
            </w:r>
            <w:r>
              <w:noBreakHyphen/>
              <w:t>T membership and participation in the standardization process</w:t>
            </w:r>
          </w:p>
        </w:tc>
        <w:tc>
          <w:tcPr>
            <w:tcW w:w="2538" w:type="dxa"/>
          </w:tcPr>
          <w:p w:rsidR="001F5C4B" w:rsidRDefault="001F5C4B" w:rsidP="004F34B5">
            <w:pPr>
              <w:spacing w:after="60"/>
            </w:pPr>
            <w:r>
              <w:t>- Active participation of delegates and organizations that have so far only participated passively in ITU</w:t>
            </w:r>
            <w:r>
              <w:noBreakHyphen/>
              <w:t>T activities, or not at all</w:t>
            </w:r>
          </w:p>
        </w:tc>
      </w:tr>
      <w:tr w:rsidR="001F5C4B" w:rsidTr="00D426DB">
        <w:trPr>
          <w:trHeight w:val="215"/>
        </w:trPr>
        <w:tc>
          <w:tcPr>
            <w:tcW w:w="1404" w:type="dxa"/>
            <w:gridSpan w:val="2"/>
          </w:tcPr>
          <w:p w:rsidR="001F5C4B" w:rsidRDefault="001F5C4B" w:rsidP="004F34B5">
            <w:pPr>
              <w:spacing w:after="60"/>
              <w:rPr>
                <w:b/>
                <w:bCs/>
              </w:rPr>
            </w:pPr>
            <w:r>
              <w:rPr>
                <w:b/>
                <w:bCs/>
              </w:rPr>
              <w:t>T.3</w:t>
            </w:r>
          </w:p>
        </w:tc>
        <w:tc>
          <w:tcPr>
            <w:tcW w:w="3720" w:type="dxa"/>
            <w:gridSpan w:val="2"/>
          </w:tcPr>
          <w:p w:rsidR="001F5C4B" w:rsidRDefault="001F5C4B" w:rsidP="004F34B5">
            <w:pPr>
              <w:spacing w:after="60"/>
            </w:pPr>
            <w:r>
              <w:t>- Processing and publication of international numbering, addressing, naming and identification applications / resources</w:t>
            </w:r>
          </w:p>
        </w:tc>
        <w:tc>
          <w:tcPr>
            <w:tcW w:w="2398" w:type="dxa"/>
          </w:tcPr>
          <w:p w:rsidR="001F5C4B" w:rsidRDefault="001F5C4B" w:rsidP="004F34B5">
            <w:pPr>
              <w:spacing w:after="60"/>
            </w:pPr>
            <w:r>
              <w:t>- Timeliness and accuracy in the allocation of the resources</w:t>
            </w:r>
          </w:p>
        </w:tc>
        <w:tc>
          <w:tcPr>
            <w:tcW w:w="2538" w:type="dxa"/>
          </w:tcPr>
          <w:p w:rsidR="001F5C4B" w:rsidRDefault="001F5C4B" w:rsidP="004F34B5">
            <w:pPr>
              <w:spacing w:after="60"/>
            </w:pPr>
            <w:r>
              <w:t>- Timely availability of numbering information facilitates management of networks</w:t>
            </w:r>
          </w:p>
        </w:tc>
      </w:tr>
      <w:tr w:rsidR="001F5C4B" w:rsidTr="00D426DB">
        <w:trPr>
          <w:trHeight w:val="215"/>
        </w:trPr>
        <w:tc>
          <w:tcPr>
            <w:tcW w:w="1385" w:type="dxa"/>
          </w:tcPr>
          <w:p w:rsidR="001F5C4B" w:rsidRDefault="001F5C4B" w:rsidP="004F34B5">
            <w:pPr>
              <w:spacing w:after="60"/>
              <w:rPr>
                <w:b/>
                <w:bCs/>
              </w:rPr>
            </w:pPr>
            <w:r>
              <w:br w:type="page"/>
            </w:r>
            <w:r>
              <w:rPr>
                <w:b/>
                <w:bCs/>
              </w:rPr>
              <w:t>T.4</w:t>
            </w:r>
          </w:p>
        </w:tc>
        <w:tc>
          <w:tcPr>
            <w:tcW w:w="3732" w:type="dxa"/>
            <w:gridSpan w:val="2"/>
          </w:tcPr>
          <w:p w:rsidR="001F5C4B" w:rsidRDefault="001F5C4B" w:rsidP="004F34B5">
            <w:pPr>
              <w:spacing w:after="60"/>
            </w:pPr>
            <w:r>
              <w:t>- ITU</w:t>
            </w:r>
            <w:r>
              <w:noBreakHyphen/>
              <w:t>T publication services</w:t>
            </w:r>
          </w:p>
          <w:p w:rsidR="001F5C4B" w:rsidRDefault="001F5C4B" w:rsidP="004F34B5">
            <w:pPr>
              <w:spacing w:after="60"/>
            </w:pPr>
            <w:r>
              <w:t>- Development and maintenance of ITU</w:t>
            </w:r>
            <w:r>
              <w:noBreakHyphen/>
              <w:t>T databases</w:t>
            </w:r>
          </w:p>
          <w:p w:rsidR="001F5C4B" w:rsidRDefault="001F5C4B" w:rsidP="004F34B5">
            <w:pPr>
              <w:spacing w:after="60"/>
            </w:pPr>
            <w:r>
              <w:t>- Outreach and promotion service (ITU newsblog, social media, web)</w:t>
            </w:r>
          </w:p>
          <w:p w:rsidR="001F5C4B" w:rsidRDefault="001F5C4B" w:rsidP="004F34B5">
            <w:pPr>
              <w:spacing w:after="60"/>
            </w:pPr>
            <w:r>
              <w:t xml:space="preserve">- Organization of workshops, CTO group meetings, Kaleidoscope, </w:t>
            </w:r>
            <w:r>
              <w:lastRenderedPageBreak/>
              <w:t>sessions at ITU Telecom, WSIS, etc.</w:t>
            </w:r>
          </w:p>
        </w:tc>
        <w:tc>
          <w:tcPr>
            <w:tcW w:w="2405" w:type="dxa"/>
            <w:gridSpan w:val="2"/>
          </w:tcPr>
          <w:p w:rsidR="001F5C4B" w:rsidRDefault="001F5C4B" w:rsidP="004F34B5">
            <w:pPr>
              <w:spacing w:after="60"/>
            </w:pPr>
            <w:r>
              <w:lastRenderedPageBreak/>
              <w:t>- Increased knowledge and awareness on ITU</w:t>
            </w:r>
            <w:r>
              <w:noBreakHyphen/>
              <w:t>T standards, increased participation in ITU</w:t>
            </w:r>
            <w:r>
              <w:noBreakHyphen/>
              <w:t>T activities and increased Sector visibility</w:t>
            </w:r>
          </w:p>
        </w:tc>
        <w:tc>
          <w:tcPr>
            <w:tcW w:w="2538" w:type="dxa"/>
          </w:tcPr>
          <w:p w:rsidR="001F5C4B" w:rsidRDefault="001F5C4B" w:rsidP="004F34B5">
            <w:pPr>
              <w:spacing w:after="60"/>
            </w:pPr>
            <w:r>
              <w:t>- Timely availability of publications (documents; databases) and easy to use services enhances the delegate experience</w:t>
            </w:r>
          </w:p>
        </w:tc>
      </w:tr>
      <w:tr w:rsidR="001F5C4B" w:rsidTr="00D426DB">
        <w:trPr>
          <w:trHeight w:val="215"/>
        </w:trPr>
        <w:tc>
          <w:tcPr>
            <w:tcW w:w="1385" w:type="dxa"/>
          </w:tcPr>
          <w:p w:rsidR="001F5C4B" w:rsidRDefault="001F5C4B" w:rsidP="004F34B5">
            <w:pPr>
              <w:spacing w:after="60"/>
              <w:rPr>
                <w:b/>
                <w:bCs/>
              </w:rPr>
            </w:pPr>
            <w:r>
              <w:rPr>
                <w:b/>
                <w:bCs/>
              </w:rPr>
              <w:t>T.5</w:t>
            </w:r>
          </w:p>
        </w:tc>
        <w:tc>
          <w:tcPr>
            <w:tcW w:w="3732" w:type="dxa"/>
            <w:gridSpan w:val="2"/>
          </w:tcPr>
          <w:p w:rsidR="001F5C4B" w:rsidRDefault="001F5C4B" w:rsidP="004F34B5">
            <w:pPr>
              <w:spacing w:after="60"/>
            </w:pPr>
            <w:r>
              <w:t>- Maintenance and management of MoUs; establishment of new MoUs</w:t>
            </w:r>
          </w:p>
          <w:p w:rsidR="001F5C4B" w:rsidRDefault="001F5C4B" w:rsidP="004F34B5">
            <w:pPr>
              <w:spacing w:after="60"/>
            </w:pPr>
            <w:r>
              <w:t>- Maintenance and management of A.4/A.5/A.6 DB</w:t>
            </w:r>
          </w:p>
          <w:p w:rsidR="001F5C4B" w:rsidRDefault="001F5C4B" w:rsidP="004F34B5">
            <w:pPr>
              <w:spacing w:after="60"/>
            </w:pPr>
            <w:r>
              <w:t>- Logistical support for jointly organized WSs and events</w:t>
            </w:r>
          </w:p>
          <w:p w:rsidR="001F5C4B" w:rsidRDefault="001F5C4B" w:rsidP="004F34B5">
            <w:pPr>
              <w:spacing w:after="60"/>
            </w:pPr>
            <w:r>
              <w:t>- Support services for various collaboration activities (WSC, GSC, CITS, FIGI, WSIS, U4SSC …)</w:t>
            </w:r>
          </w:p>
        </w:tc>
        <w:tc>
          <w:tcPr>
            <w:tcW w:w="2405" w:type="dxa"/>
            <w:gridSpan w:val="2"/>
          </w:tcPr>
          <w:p w:rsidR="001F5C4B" w:rsidRDefault="001F5C4B" w:rsidP="004F34B5">
            <w:pPr>
              <w:spacing w:after="60"/>
            </w:pPr>
            <w:r>
              <w:t>- Increased cooperation with other organizations</w:t>
            </w:r>
          </w:p>
        </w:tc>
        <w:tc>
          <w:tcPr>
            <w:tcW w:w="2538" w:type="dxa"/>
          </w:tcPr>
          <w:p w:rsidR="001F5C4B" w:rsidRDefault="001F5C4B" w:rsidP="004F34B5">
            <w:pPr>
              <w:spacing w:after="60"/>
            </w:pPr>
            <w:r>
              <w:t>- Collaboration activities</w:t>
            </w:r>
          </w:p>
        </w:tc>
      </w:tr>
    </w:tbl>
    <w:p w:rsidR="00342474" w:rsidRDefault="00633F39" w:rsidP="00D426DB">
      <w:pPr>
        <w:pStyle w:val="Heading3"/>
      </w:pPr>
      <w:bookmarkStart w:id="36" w:name="_Toc530750110"/>
      <w:r>
        <w:t>3.2.6</w:t>
      </w:r>
      <w:r>
        <w:tab/>
        <w:t>Linkage with the WSIS Action Lines and the 2030 Agenda for Sustainable Development</w:t>
      </w:r>
      <w:bookmarkEnd w:id="36"/>
    </w:p>
    <w:p w:rsidR="00342474" w:rsidRDefault="00633F39" w:rsidP="00D426DB">
      <w:pPr>
        <w:keepNext/>
        <w:keepLines/>
        <w:rPr>
          <w:b/>
        </w:rPr>
      </w:pPr>
      <w:r>
        <w:rPr>
          <w:b/>
        </w:rPr>
        <w:t>Linkage with the WSIS Action Lines</w:t>
      </w:r>
    </w:p>
    <w:p w:rsidR="00342474" w:rsidRDefault="00633F39" w:rsidP="00D426DB">
      <w:pPr>
        <w:keepNext/>
        <w:keepLines/>
      </w:pPr>
      <w:r>
        <w:t>ITU has a leading role in the WSIS process, where as a lead facilitator, along with UNESCO and UNDP, coordinates the multi-stakeholder implementation of the Geneva Plan of Action. Notably, ITU is the sole facilitator on three different WSIS Action Lines; C2 (Information and communication infrastructure); C5 (Building confidence and security in the use of ICTs) and C6 (Enabling environment).</w:t>
      </w:r>
    </w:p>
    <w:p w:rsidR="00342474" w:rsidRDefault="00633F39">
      <w:pPr>
        <w:rPr>
          <w:b/>
        </w:rPr>
      </w:pPr>
      <w:r>
        <w:rPr>
          <w:b/>
        </w:rPr>
        <w:t>Linkage with the Sustainable Development Goals</w:t>
      </w:r>
    </w:p>
    <w:p w:rsidR="00342474" w:rsidRDefault="00633F39">
      <w:r>
        <w:t xml:space="preserve">In order to maximise ITU's contribution to the 2030 Agenda, ITU's primary focus is in addressing </w:t>
      </w:r>
      <w:r>
        <w:rPr>
          <w:b/>
          <w:bCs/>
        </w:rPr>
        <w:t xml:space="preserve">SDG 9 </w:t>
      </w:r>
      <w:r>
        <w:rPr>
          <w:bCs/>
        </w:rPr>
        <w:t>(Industry, Innovation and Infrastructure)</w:t>
      </w:r>
      <w:r>
        <w:t xml:space="preserve"> and Target 9.c aiming to significantly increase access to ICTs and provide universal and affordable access to the Internet. Indeed, the infrastructure that powers our world and forms the backbone of the new digital economy is vital. It is essential to so many of the technological applications and potential solutions to the SDGs and is crucial for them to be both global and scalable.</w:t>
      </w:r>
    </w:p>
    <w:p w:rsidR="00342474" w:rsidRDefault="00633F39">
      <w:r>
        <w:t xml:space="preserve">As </w:t>
      </w:r>
      <w:r>
        <w:rPr>
          <w:b/>
          <w:bCs/>
        </w:rPr>
        <w:t>SDG17</w:t>
      </w:r>
      <w:r>
        <w:t xml:space="preserve"> (Partnership for the Goals) highlights ICTs as a means of implementation, with crosscutting transformative potential, it is imperative that ITU leverages this broad impact. Notable SDGs where ITU has a particularly strong impact include </w:t>
      </w:r>
      <w:r>
        <w:rPr>
          <w:b/>
          <w:bCs/>
        </w:rPr>
        <w:t>SDG 11</w:t>
      </w:r>
      <w:r>
        <w:t xml:space="preserve"> (Sustainable Cities and Communities), </w:t>
      </w:r>
      <w:r>
        <w:rPr>
          <w:b/>
          <w:bCs/>
        </w:rPr>
        <w:t>SDG 10</w:t>
      </w:r>
      <w:r>
        <w:t xml:space="preserve"> (Reduced Inequalities), </w:t>
      </w:r>
      <w:r>
        <w:rPr>
          <w:b/>
          <w:bCs/>
        </w:rPr>
        <w:t>SDG 8</w:t>
      </w:r>
      <w:r>
        <w:t xml:space="preserve"> (Decent Work and Economic Growth), SDG 1 (No Poverty), </w:t>
      </w:r>
      <w:r>
        <w:rPr>
          <w:b/>
          <w:bCs/>
        </w:rPr>
        <w:t>SDG 3</w:t>
      </w:r>
      <w:r>
        <w:t xml:space="preserve"> (Good-Health and Well-Being), </w:t>
      </w:r>
      <w:r>
        <w:rPr>
          <w:b/>
          <w:bCs/>
        </w:rPr>
        <w:t>SDG 4</w:t>
      </w:r>
      <w:r>
        <w:t xml:space="preserve"> (Quality Education) and </w:t>
      </w:r>
      <w:r>
        <w:rPr>
          <w:b/>
          <w:bCs/>
        </w:rPr>
        <w:t>SDG 5</w:t>
      </w:r>
      <w:r>
        <w:t xml:space="preserve"> (Gender Equality).</w:t>
      </w:r>
    </w:p>
    <w:p w:rsidR="00342474" w:rsidRDefault="00633F39">
      <w:r>
        <w:t xml:space="preserve">It is, therefore, through infrastructure and connectivity and in partnership with all </w:t>
      </w:r>
      <w:proofErr w:type="gramStart"/>
      <w:r>
        <w:t>stakeholders</w:t>
      </w:r>
      <w:proofErr w:type="gramEnd"/>
      <w:r>
        <w:t xml:space="preserve"> that ITU will contribute the most towards achieving the remaining SDGs.</w:t>
      </w:r>
    </w:p>
    <w:p w:rsidR="00342474" w:rsidRDefault="00633F39">
      <w:pPr>
        <w:pStyle w:val="Heading3"/>
      </w:pPr>
      <w:bookmarkStart w:id="37" w:name="_Toc530750111"/>
      <w:r>
        <w:t>3.2.7</w:t>
      </w:r>
      <w:r>
        <w:tab/>
        <w:t>Linking strategic, financial and operational planning in ITU</w:t>
      </w:r>
      <w:bookmarkEnd w:id="37"/>
    </w:p>
    <w:p w:rsidR="00342474" w:rsidRDefault="00633F39">
      <w:pPr>
        <w:overflowPunct/>
        <w:autoSpaceDE/>
        <w:autoSpaceDN/>
        <w:adjustRightInd/>
        <w:spacing w:after="60"/>
        <w:textAlignment w:val="auto"/>
        <w:rPr>
          <w:rFonts w:asciiTheme="majorBidi" w:hAnsiTheme="majorBidi" w:cstheme="majorBidi"/>
          <w:szCs w:val="24"/>
        </w:rPr>
      </w:pPr>
      <w:r>
        <w:rPr>
          <w:rFonts w:asciiTheme="majorBidi" w:hAnsiTheme="majorBidi" w:cstheme="majorBidi"/>
          <w:szCs w:val="24"/>
        </w:rPr>
        <w:t xml:space="preserve">Resolution 72 “Linking strategic, financial and operational planning in ITU” </w:t>
      </w:r>
      <w:proofErr w:type="gramStart"/>
      <w:r>
        <w:rPr>
          <w:rFonts w:asciiTheme="majorBidi" w:hAnsiTheme="majorBidi" w:cstheme="majorBidi"/>
          <w:szCs w:val="24"/>
        </w:rPr>
        <w:t>was suppressed</w:t>
      </w:r>
      <w:proofErr w:type="gramEnd"/>
      <w:r>
        <w:rPr>
          <w:rFonts w:asciiTheme="majorBidi" w:hAnsiTheme="majorBidi" w:cstheme="majorBidi"/>
          <w:szCs w:val="24"/>
        </w:rPr>
        <w:t>.</w:t>
      </w:r>
    </w:p>
    <w:p w:rsidR="00342474" w:rsidRDefault="00633F39">
      <w:pPr>
        <w:pStyle w:val="Heading3"/>
      </w:pPr>
      <w:bookmarkStart w:id="38" w:name="_Toc530750112"/>
      <w:r>
        <w:t>3.3</w:t>
      </w:r>
      <w:r>
        <w:tab/>
        <w:t>Memoranda of Understandings (MoU)</w:t>
      </w:r>
      <w:bookmarkEnd w:id="38"/>
    </w:p>
    <w:p w:rsidR="00342474" w:rsidRDefault="00633F39">
      <w:r>
        <w:t xml:space="preserve">This Plenipotentiary Conference (Dubai, 2018) believes that </w:t>
      </w:r>
      <w:r>
        <w:rPr>
          <w:rFonts w:cs="Calibri"/>
          <w:szCs w:val="24"/>
        </w:rPr>
        <w:t xml:space="preserve">MoUs in which ITU is a participant that have, in the view of the Secretary-General, substantial financial and/or strategic implications </w:t>
      </w:r>
      <w:proofErr w:type="gramStart"/>
      <w:r>
        <w:rPr>
          <w:rFonts w:cs="Calibri"/>
          <w:szCs w:val="24"/>
        </w:rPr>
        <w:t>should only be entered into</w:t>
      </w:r>
      <w:proofErr w:type="gramEnd"/>
      <w:r>
        <w:rPr>
          <w:rFonts w:cs="Calibri"/>
          <w:szCs w:val="24"/>
        </w:rPr>
        <w:t xml:space="preserve"> subject to Council’s prior approval. </w:t>
      </w:r>
      <w:r>
        <w:t xml:space="preserve">Therefore, the Secretary-General shall submit to the ordinary session of the Council for prior approval the MoUs that </w:t>
      </w:r>
      <w:r>
        <w:rPr>
          <w:rFonts w:cs="Calibri"/>
          <w:szCs w:val="24"/>
        </w:rPr>
        <w:t>have substantial financial and/or strategic implications. Furthermore, a report</w:t>
      </w:r>
      <w:r>
        <w:t xml:space="preserve"> on the other MoUs entered into by ITU during the relevant period will continue to </w:t>
      </w:r>
      <w:proofErr w:type="gramStart"/>
      <w:r>
        <w:t>be submitted</w:t>
      </w:r>
      <w:proofErr w:type="gramEnd"/>
      <w:r>
        <w:t xml:space="preserve">. The Council when considering ITU’s </w:t>
      </w:r>
      <w:r>
        <w:lastRenderedPageBreak/>
        <w:t>participation in MoUs that have substantial financial and/or strategic implications shall apply the following principles:</w:t>
      </w:r>
    </w:p>
    <w:p w:rsidR="00342474" w:rsidRDefault="00633F39">
      <w:pPr>
        <w:ind w:left="567" w:hanging="567"/>
        <w:rPr>
          <w:iCs/>
        </w:rPr>
      </w:pPr>
      <w:r>
        <w:rPr>
          <w:iCs/>
        </w:rPr>
        <w:t>i)</w:t>
      </w:r>
      <w:r>
        <w:rPr>
          <w:iCs/>
        </w:rPr>
        <w:tab/>
      </w:r>
      <w:proofErr w:type="gramStart"/>
      <w:r>
        <w:rPr>
          <w:iCs/>
        </w:rPr>
        <w:t>that</w:t>
      </w:r>
      <w:proofErr w:type="gramEnd"/>
      <w:r>
        <w:rPr>
          <w:iCs/>
        </w:rPr>
        <w:t xml:space="preserve"> any involvement of the Secretary-General in this capacity should contribute to and be within the purposes of the Union as set forth in Article</w:t>
      </w:r>
      <w:r>
        <w:rPr>
          <w:iCs/>
          <w:lang w:val="en-US"/>
        </w:rPr>
        <w:t> </w:t>
      </w:r>
      <w:r>
        <w:rPr>
          <w:iCs/>
        </w:rPr>
        <w:t>1 of the Constitution, and within the strategic and financial plans of the Union;</w:t>
      </w:r>
    </w:p>
    <w:p w:rsidR="00342474" w:rsidRDefault="00633F39">
      <w:pPr>
        <w:ind w:left="567" w:hanging="567"/>
      </w:pPr>
      <w:r>
        <w:rPr>
          <w:iCs/>
        </w:rPr>
        <w:t>ii)</w:t>
      </w:r>
      <w:r>
        <w:tab/>
      </w:r>
      <w:proofErr w:type="gramStart"/>
      <w:r>
        <w:t>that</w:t>
      </w:r>
      <w:proofErr w:type="gramEnd"/>
      <w:r>
        <w:t xml:space="preserve"> Member States and Sector Members will be kept informed of the activities of ITU when</w:t>
      </w:r>
      <w:r>
        <w:rPr>
          <w:rFonts w:cs="Calibri"/>
          <w:szCs w:val="24"/>
        </w:rPr>
        <w:t xml:space="preserve"> it participates in MoUs that have substantial financial and/or strategic implications</w:t>
      </w:r>
      <w:r>
        <w:t>;</w:t>
      </w:r>
    </w:p>
    <w:p w:rsidR="00342474" w:rsidRDefault="00633F39">
      <w:pPr>
        <w:ind w:left="567" w:hanging="567"/>
      </w:pPr>
      <w:r>
        <w:rPr>
          <w:iCs/>
        </w:rPr>
        <w:t>iii)</w:t>
      </w:r>
      <w:r>
        <w:tab/>
      </w:r>
      <w:proofErr w:type="gramStart"/>
      <w:r>
        <w:t>that</w:t>
      </w:r>
      <w:proofErr w:type="gramEnd"/>
      <w:r>
        <w:t xml:space="preserve"> the sovereignty and rights of ITU Member States are fully respected and preserved;</w:t>
      </w:r>
    </w:p>
    <w:p w:rsidR="00342474" w:rsidRDefault="00633F39">
      <w:pPr>
        <w:overflowPunct/>
        <w:autoSpaceDE/>
        <w:autoSpaceDN/>
        <w:adjustRightInd/>
        <w:spacing w:before="240" w:after="60"/>
        <w:textAlignment w:val="auto"/>
      </w:pPr>
      <w:r>
        <w:t>The activity above shall be covered within the Council’s report to the Plenipotentiary Conference on the implementation of the Strategic Plan and the activities of the Union.”</w:t>
      </w:r>
    </w:p>
    <w:p w:rsidR="00342474" w:rsidRDefault="00633F39">
      <w:pPr>
        <w:pStyle w:val="ListParagraph"/>
        <w:numPr>
          <w:ilvl w:val="0"/>
          <w:numId w:val="12"/>
        </w:numPr>
        <w:overflowPunct/>
        <w:autoSpaceDE/>
        <w:autoSpaceDN/>
        <w:adjustRightInd/>
        <w:spacing w:before="240" w:after="60"/>
        <w:textAlignment w:val="auto"/>
        <w:rPr>
          <w:rFonts w:asciiTheme="majorBidi" w:hAnsiTheme="majorBidi" w:cstheme="majorBidi"/>
          <w:szCs w:val="24"/>
        </w:rPr>
      </w:pPr>
      <w:r>
        <w:rPr>
          <w:rFonts w:asciiTheme="majorBidi" w:hAnsiTheme="majorBidi" w:cstheme="majorBidi"/>
          <w:szCs w:val="24"/>
        </w:rPr>
        <w:t>PP-18 approved the Cooperation agreement between the International Criminal Police Organization (INTERPOL) and ITU.</w:t>
      </w:r>
    </w:p>
    <w:p w:rsidR="00342474" w:rsidRDefault="00633F39">
      <w:pPr>
        <w:pStyle w:val="ListParagraph"/>
        <w:numPr>
          <w:ilvl w:val="0"/>
          <w:numId w:val="12"/>
        </w:numPr>
        <w:overflowPunct/>
        <w:autoSpaceDE/>
        <w:autoSpaceDN/>
        <w:adjustRightInd/>
        <w:spacing w:before="240" w:after="60"/>
        <w:textAlignment w:val="auto"/>
        <w:rPr>
          <w:rFonts w:asciiTheme="majorBidi" w:hAnsiTheme="majorBidi" w:cstheme="majorBidi"/>
          <w:szCs w:val="24"/>
        </w:rPr>
      </w:pPr>
      <w:r>
        <w:rPr>
          <w:rFonts w:asciiTheme="majorBidi" w:hAnsiTheme="majorBidi" w:cstheme="majorBidi"/>
          <w:szCs w:val="24"/>
        </w:rPr>
        <w:t xml:space="preserve">Resolution 192 “ITU participation in memoranda of understanding with financial and/or strategic implications” </w:t>
      </w:r>
      <w:proofErr w:type="gramStart"/>
      <w:r>
        <w:rPr>
          <w:rFonts w:asciiTheme="majorBidi" w:hAnsiTheme="majorBidi" w:cstheme="majorBidi"/>
          <w:szCs w:val="24"/>
        </w:rPr>
        <w:t>was suppressed</w:t>
      </w:r>
      <w:proofErr w:type="gramEnd"/>
      <w:r>
        <w:rPr>
          <w:rFonts w:asciiTheme="majorBidi" w:hAnsiTheme="majorBidi" w:cstheme="majorBidi"/>
          <w:szCs w:val="24"/>
        </w:rPr>
        <w:t>.</w:t>
      </w:r>
    </w:p>
    <w:p w:rsidR="00342474" w:rsidRDefault="00633F39">
      <w:pPr>
        <w:pStyle w:val="Heading2"/>
      </w:pPr>
      <w:bookmarkStart w:id="39" w:name="_Toc530750113"/>
      <w:r>
        <w:t>3.4</w:t>
      </w:r>
      <w:r>
        <w:tab/>
        <w:t>Connect 2030 Agenda for global telecommunication/information and communication technology, including broadband, for sustainable development – Rev. Resolution 200</w:t>
      </w:r>
      <w:bookmarkEnd w:id="39"/>
    </w:p>
    <w:p w:rsidR="00342474" w:rsidRDefault="00633F39">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Extends the resolution up to 2030.</w:t>
      </w:r>
    </w:p>
    <w:p w:rsidR="00342474" w:rsidRDefault="00633F39">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Updates include additional relevant reference to WSIS/SDG processes.</w:t>
      </w:r>
    </w:p>
    <w:p w:rsidR="00342474" w:rsidRDefault="00633F39">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 xml:space="preserve">Deletes referencing to specific targets in decides </w:t>
      </w:r>
      <w:proofErr w:type="gramStart"/>
      <w:r>
        <w:rPr>
          <w:rFonts w:asciiTheme="majorBidi" w:hAnsiTheme="majorBidi" w:cstheme="majorBidi"/>
          <w:szCs w:val="24"/>
        </w:rPr>
        <w:t>2</w:t>
      </w:r>
      <w:proofErr w:type="gramEnd"/>
      <w:r>
        <w:rPr>
          <w:rFonts w:asciiTheme="majorBidi" w:hAnsiTheme="majorBidi" w:cstheme="majorBidi"/>
          <w:szCs w:val="24"/>
        </w:rPr>
        <w:t xml:space="preserve"> and the annex (ref’d Connect2020 agenda, goals, targets), and refer to ITU strategic plans.</w:t>
      </w:r>
    </w:p>
    <w:p w:rsidR="00342474" w:rsidRDefault="00633F39">
      <w:pPr>
        <w:pStyle w:val="Heading2"/>
      </w:pPr>
      <w:bookmarkStart w:id="40" w:name="_Toc530750114"/>
      <w:r>
        <w:t>3.5</w:t>
      </w:r>
      <w:r>
        <w:tab/>
        <w:t>Strategy for the coordination of efforts among the three Sectors of the Union – Rev. Resolution 191</w:t>
      </w:r>
      <w:bookmarkEnd w:id="40"/>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Concern is growing overlap or duplication among the Sectors in many fields.</w:t>
      </w:r>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TSAG (RAG and TDAG) to continue coordinating with the other Advisory groups on new &amp; current work items, and to provide support to the Inter-Sector Coordination Group (ISCG) in defining common areas of interest and activities for all three Sectors and mechanisms to strengthen collaboration and cooperation among Sectors on areas of mutual interest.</w:t>
      </w:r>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To instruct RAG, TSAG and TDAG to continue TSBDir to report to ISCG.</w:t>
      </w:r>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TSBDir to report to TSAG or ITU-T study groups on any duplication of functions or activities between Sectors.</w:t>
      </w:r>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To continue to improve coordination among three Sectors.</w:t>
      </w:r>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SecGen to identify all forms and examples of overlapping functions and propose solutions to mitigate them.</w:t>
      </w:r>
    </w:p>
    <w:p w:rsidR="00342474" w:rsidRDefault="00633F39">
      <w:pPr>
        <w:pStyle w:val="Heading1"/>
        <w:spacing w:before="240"/>
      </w:pPr>
      <w:bookmarkStart w:id="41" w:name="_Toc530750115"/>
      <w:r>
        <w:t>4</w:t>
      </w:r>
      <w:r>
        <w:tab/>
        <w:t>Finances</w:t>
      </w:r>
      <w:bookmarkEnd w:id="41"/>
    </w:p>
    <w:p w:rsidR="00342474" w:rsidRDefault="00633F39">
      <w:pPr>
        <w:pStyle w:val="Heading2"/>
        <w:spacing w:before="120"/>
      </w:pPr>
      <w:bookmarkStart w:id="42" w:name="_Toc530750116"/>
      <w:r>
        <w:t>4.1</w:t>
      </w:r>
      <w:r>
        <w:tab/>
        <w:t>Financial Plan for the Union for 2020-2023 - Revenue and expenses for the Union for the period 2020-2023 – Rev. Decision 5</w:t>
      </w:r>
      <w:bookmarkEnd w:id="42"/>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The definitive upper limit of the amount of the contributory unit was set at CHF 318 000 in Plenary.</w:t>
      </w:r>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The number of contributory units from Member States applicable as from 1 January 2020 is 343 11/16 or an increase of 3/16 units compared with the prevailing situation.</w:t>
      </w:r>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 xml:space="preserve">The total planned expenses for the period concerned amounts to CHF 660.3 </w:t>
      </w:r>
      <w:proofErr w:type="gramStart"/>
      <w:r>
        <w:rPr>
          <w:rFonts w:asciiTheme="majorBidi" w:hAnsiTheme="majorBidi" w:cstheme="majorBidi"/>
          <w:szCs w:val="24"/>
        </w:rPr>
        <w:t>million</w:t>
      </w:r>
      <w:proofErr w:type="gramEnd"/>
      <w:r>
        <w:rPr>
          <w:rFonts w:asciiTheme="majorBidi" w:hAnsiTheme="majorBidi" w:cstheme="majorBidi"/>
          <w:szCs w:val="24"/>
        </w:rPr>
        <w:t xml:space="preserve"> offset by projected revenue of CHF 660.3 million, i.e. a balanced financial plan.</w:t>
      </w:r>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lastRenderedPageBreak/>
        <w:t xml:space="preserve">Significant amendments </w:t>
      </w:r>
      <w:proofErr w:type="gramStart"/>
      <w:r>
        <w:rPr>
          <w:rFonts w:asciiTheme="majorBidi" w:hAnsiTheme="majorBidi" w:cstheme="majorBidi"/>
          <w:szCs w:val="24"/>
        </w:rPr>
        <w:t>were made</w:t>
      </w:r>
      <w:proofErr w:type="gramEnd"/>
      <w:r>
        <w:rPr>
          <w:rFonts w:asciiTheme="majorBidi" w:hAnsiTheme="majorBidi" w:cstheme="majorBidi"/>
          <w:szCs w:val="24"/>
        </w:rPr>
        <w:t xml:space="preserve"> to Decision 5. </w:t>
      </w:r>
      <w:proofErr w:type="gramStart"/>
      <w:r>
        <w:rPr>
          <w:rFonts w:asciiTheme="majorBidi" w:hAnsiTheme="majorBidi" w:cstheme="majorBidi"/>
          <w:szCs w:val="24"/>
        </w:rPr>
        <w:t>A total of 27</w:t>
      </w:r>
      <w:proofErr w:type="gramEnd"/>
      <w:r>
        <w:rPr>
          <w:rFonts w:asciiTheme="majorBidi" w:hAnsiTheme="majorBidi" w:cstheme="majorBidi"/>
          <w:szCs w:val="24"/>
        </w:rPr>
        <w:t xml:space="preserve"> measures were identified.</w:t>
      </w:r>
    </w:p>
    <w:p w:rsidR="00342474" w:rsidRDefault="00633F39">
      <w:pPr>
        <w:pStyle w:val="Heading2"/>
      </w:pPr>
      <w:bookmarkStart w:id="43" w:name="_Toc530750117"/>
      <w:r>
        <w:t>4.2</w:t>
      </w:r>
      <w:r>
        <w:tab/>
        <w:t>Arrears and special arrears accounts – Rev. Resolution 41</w:t>
      </w:r>
      <w:bookmarkEnd w:id="43"/>
    </w:p>
    <w:p w:rsidR="00342474" w:rsidRDefault="00633F39">
      <w:r>
        <w:t>Strengthened to provide appropriate capacities to the Council and the General Secretariat to address efficiently these issues. Resolution 41 now contains a reference to the “Guidelines for repayment schedules for the settlement of arrears and special arrears accounts”.</w:t>
      </w:r>
    </w:p>
    <w:p w:rsidR="00342474" w:rsidRDefault="00633F39">
      <w:r>
        <w:t xml:space="preserve">Resolution 152 “Improvement of management and follow-up of the defrayal of ITU expenses by Sector Members and Associates” </w:t>
      </w:r>
      <w:proofErr w:type="gramStart"/>
      <w:r>
        <w:t>was suppressed</w:t>
      </w:r>
      <w:proofErr w:type="gramEnd"/>
      <w:r>
        <w:t>.</w:t>
      </w:r>
    </w:p>
    <w:p w:rsidR="00342474" w:rsidRDefault="00633F39">
      <w:pPr>
        <w:pStyle w:val="Heading2"/>
      </w:pPr>
      <w:bookmarkStart w:id="44" w:name="_Toc530750118"/>
      <w:r>
        <w:t>4.3</w:t>
      </w:r>
      <w:r>
        <w:tab/>
        <w:t>Implementation of results-based management in ITU – Rev. Resolution 151</w:t>
      </w:r>
      <w:bookmarkEnd w:id="44"/>
    </w:p>
    <w:p w:rsidR="00342474" w:rsidRDefault="00633F39">
      <w:pPr>
        <w:pStyle w:val="Call"/>
      </w:pPr>
      <w:proofErr w:type="gramStart"/>
      <w:r>
        <w:t>resolves</w:t>
      </w:r>
      <w:proofErr w:type="gramEnd"/>
      <w:r>
        <w:t xml:space="preserve"> to instruct the Secretary-General and the Directors of the three Bureaux</w:t>
      </w:r>
    </w:p>
    <w:p w:rsidR="00342474" w:rsidRDefault="00633F39">
      <w:proofErr w:type="gramStart"/>
      <w:r>
        <w:t>1</w:t>
      </w:r>
      <w:proofErr w:type="gramEnd"/>
      <w:r>
        <w:tab/>
        <w:t>to continue to improve processes and methodologies associated with the full implementation of RBM and RBB at the levels of processing and implementation, including improvements in the presentation of the biennial budgets on an ongoing basis;</w:t>
      </w:r>
    </w:p>
    <w:p w:rsidR="00342474" w:rsidRDefault="00633F39">
      <w:r>
        <w:t>2</w:t>
      </w:r>
      <w:r>
        <w:tab/>
        <w:t>to continue to develop a comprehensive ITU results framework to support implementation of the strategic, financial and operational plans and budget and increase the capability of the Union's membership to assess progress in the achievement of ITU goals, and for this purpose to:</w:t>
      </w:r>
    </w:p>
    <w:p w:rsidR="00342474" w:rsidRDefault="00633F39">
      <w:pPr>
        <w:pStyle w:val="enumlev1"/>
      </w:pPr>
      <w:proofErr w:type="gramStart"/>
      <w:r>
        <w:t>i</w:t>
      </w:r>
      <w:proofErr w:type="gramEnd"/>
      <w:r>
        <w:t>)</w:t>
      </w:r>
      <w:r>
        <w:tab/>
        <w:t>set out the activities of the Union, the objectives of those activities and the associated resources and results;</w:t>
      </w:r>
    </w:p>
    <w:p w:rsidR="00342474" w:rsidRDefault="00633F39">
      <w:pPr>
        <w:pStyle w:val="enumlev1"/>
      </w:pPr>
      <w:r>
        <w:t>ii)</w:t>
      </w:r>
      <w:r>
        <w:tab/>
      </w:r>
      <w:proofErr w:type="gramStart"/>
      <w:r>
        <w:t>monitor</w:t>
      </w:r>
      <w:proofErr w:type="gramEnd"/>
      <w:r>
        <w:t xml:space="preserve"> implementation of the interlinked plans using a comprehensive performance monitoring framework to enable ITU to evaluate progress;</w:t>
      </w:r>
    </w:p>
    <w:p w:rsidR="00342474" w:rsidRDefault="00633F39">
      <w:pPr>
        <w:pStyle w:val="enumlev1"/>
      </w:pPr>
      <w:r>
        <w:t>iii)</w:t>
      </w:r>
      <w:r>
        <w:tab/>
        <w:t>to continually improve the efficiency of all activities by eliminating duplication, taking into account complementarity between the activities of ITU and those of other relevant international and regional telecommunication organizations in accordance with the mandate of ITU;</w:t>
      </w:r>
    </w:p>
    <w:p w:rsidR="00342474" w:rsidRDefault="00633F39">
      <w:pPr>
        <w:pStyle w:val="enumlev1"/>
      </w:pPr>
      <w:r>
        <w:t>iv)</w:t>
      </w:r>
      <w:r>
        <w:tab/>
        <w:t>to ensure transparency of reporting by publishing detailed information, including all costs incurred in the use or deployment of financial and human resources (external or internal);</w:t>
      </w:r>
    </w:p>
    <w:p w:rsidR="00342474" w:rsidRDefault="00633F39">
      <w:pPr>
        <w:pStyle w:val="enumlev1"/>
      </w:pPr>
      <w:r>
        <w:t>v)</w:t>
      </w:r>
      <w:r>
        <w:tab/>
      </w:r>
      <w:proofErr w:type="gramStart"/>
      <w:r>
        <w:t>to</w:t>
      </w:r>
      <w:proofErr w:type="gramEnd"/>
      <w:r>
        <w:t xml:space="preserve"> further develop the risk-management system at the ITU level, in the context of RBM, to ensure that contributions from the ITU membership and other financial resources are used to best advantage;</w:t>
      </w:r>
    </w:p>
    <w:p w:rsidR="00342474" w:rsidRDefault="00633F39">
      <w:r>
        <w:t>3</w:t>
      </w:r>
      <w:r>
        <w:tab/>
        <w:t>to prepare their coordinated and consolidated operational plans reflecting their linkages with the strategic and financial plans of the Union as set out, respectively, in Resolution 71 (Rev. Dubai, 2018) and Decision 5 (Rev. Dubai, 2018), for annual review by the Sector advisory groups and approval by the Council;</w:t>
      </w:r>
    </w:p>
    <w:p w:rsidR="00342474" w:rsidRDefault="00633F39">
      <w:proofErr w:type="gramStart"/>
      <w:r>
        <w:t>4</w:t>
      </w:r>
      <w:r>
        <w:tab/>
        <w:t>to provide to conferences and assemblies the necessary information from the full range of new financial and planning mechanisms available so as to enable them to estimate the financial implications of their decisions, and to assist Member States in preparing cost "estimates" for any proposals to all conferences and assemblies of the Union, taking into account the provisions of Article 34 of the ITU Convention;</w:t>
      </w:r>
      <w:proofErr w:type="gramEnd"/>
    </w:p>
    <w:p w:rsidR="00342474" w:rsidRDefault="00633F39">
      <w:r>
        <w:t>5</w:t>
      </w:r>
      <w:r>
        <w:tab/>
        <w:t>to make steady progress in increasing the capacity, skill level and participation of ITU staff in RBM in accordance with Resolution 48 (Rev. Dubai, 2018), and reflect the relevant results in the report on staff issues;</w:t>
      </w:r>
    </w:p>
    <w:p w:rsidR="00342474" w:rsidRDefault="00633F39">
      <w:proofErr w:type="gramStart"/>
      <w:r>
        <w:t>6</w:t>
      </w:r>
      <w:r>
        <w:tab/>
        <w:t xml:space="preserve">to make appropriate proposals relating to RBM and RBB for consideration by the Council, with a view to introducing changes in the Financial Regulations and Financial Rules of the Union, taking into account the views of Member States and the recommendations of the Sector advisory </w:t>
      </w:r>
      <w:r>
        <w:lastRenderedPageBreak/>
        <w:t>groups, as well as of the internal and external auditors and the Independent Management Advisory Committee (IMAC);</w:t>
      </w:r>
      <w:proofErr w:type="gramEnd"/>
    </w:p>
    <w:p w:rsidR="00342474" w:rsidRDefault="00633F39">
      <w:r>
        <w:t>7</w:t>
      </w:r>
      <w:r>
        <w:tab/>
        <w:t>to ensure, as part of the Coordination Committee's standing activities, coherence and avoidance of duplication among the operational plans and biennial budgets, for review by the Council, while identifying particular measures and elements to be included;</w:t>
      </w:r>
    </w:p>
    <w:p w:rsidR="00342474" w:rsidRDefault="00633F39">
      <w:pPr>
        <w:rPr>
          <w:highlight w:val="yellow"/>
        </w:rPr>
      </w:pPr>
      <w:r>
        <w:t>8</w:t>
      </w:r>
      <w:r>
        <w:tab/>
        <w:t>to monitor on a yearly basis implementation of resolutions of the Plenipotentiary Conference following the 2018 plenipotentiary conference and to prepare an annual report to the Council, within the framework of the annual report on implementation of the strategic plan and activities of the Union (ITU Annual Progress Report),</w:t>
      </w:r>
    </w:p>
    <w:p w:rsidR="00342474" w:rsidRDefault="00633F39">
      <w:pPr>
        <w:pStyle w:val="Heading2"/>
        <w:ind w:left="0" w:firstLine="0"/>
      </w:pPr>
      <w:bookmarkStart w:id="45" w:name="_Toc530750119"/>
      <w:r>
        <w:t>4.4</w:t>
      </w:r>
      <w:r>
        <w:tab/>
        <w:t>Strengthening of the project execution function in ITU – Rev. Resolution 157</w:t>
      </w:r>
      <w:bookmarkEnd w:id="45"/>
    </w:p>
    <w:p w:rsidR="00342474" w:rsidRDefault="00633F39">
      <w:pPr>
        <w:rPr>
          <w:rFonts w:eastAsia="SimSun" w:cs="Traditional Arabic"/>
        </w:rPr>
      </w:pPr>
      <w:r>
        <w:rPr>
          <w:rFonts w:eastAsia="SimSun" w:cs="Traditional Arabic"/>
        </w:rPr>
        <w:t>Adds the ideas of providing information to Council on ITU programmes and projects, including details on objectives, outputs, funding and donors as well as of increasing transparency and financial sustainability in that framework.</w:t>
      </w:r>
    </w:p>
    <w:p w:rsidR="00342474" w:rsidRDefault="00633F39">
      <w:pPr>
        <w:overflowPunct/>
        <w:autoSpaceDE/>
        <w:autoSpaceDN/>
        <w:adjustRightInd/>
        <w:spacing w:before="60" w:after="60"/>
        <w:textAlignment w:val="auto"/>
        <w:rPr>
          <w:rFonts w:eastAsia="SimSun" w:cs="Traditional Arabic"/>
        </w:rPr>
      </w:pPr>
      <w:r>
        <w:rPr>
          <w:rFonts w:eastAsia="SimSun" w:cs="Traditional Arabic"/>
        </w:rPr>
        <w:t>SecGen to inform the Council on a regular basis about ongoing ITU programmes and projects, including details on objectives, outputs, funding and donors; to examine how information on programmes could also be shared with the membership to increase the transparency and financial sustainability of the Union; and to clearly indicate ITU programme/project costs in all relevant budget-related reports.</w:t>
      </w:r>
    </w:p>
    <w:p w:rsidR="00342474" w:rsidRDefault="00633F39">
      <w:pPr>
        <w:pStyle w:val="Heading2"/>
        <w:ind w:left="0" w:firstLine="0"/>
      </w:pPr>
      <w:bookmarkStart w:id="46" w:name="_Toc530750120"/>
      <w:r>
        <w:t>4.5</w:t>
      </w:r>
      <w:r>
        <w:tab/>
        <w:t>Decision 13 “Monitoring mechanism on ITU programmes and projects”</w:t>
      </w:r>
      <w:bookmarkEnd w:id="46"/>
    </w:p>
    <w:p w:rsidR="00342474" w:rsidRDefault="00633F39">
      <w:pPr>
        <w:rPr>
          <w:highlight w:val="yellow"/>
        </w:rPr>
      </w:pPr>
      <w:proofErr w:type="gramStart"/>
      <w:r>
        <w:t>was</w:t>
      </w:r>
      <w:proofErr w:type="gramEnd"/>
      <w:r>
        <w:t xml:space="preserve"> suppressed.</w:t>
      </w:r>
    </w:p>
    <w:p w:rsidR="00342474" w:rsidRDefault="00633F39">
      <w:pPr>
        <w:pStyle w:val="Heading1"/>
      </w:pPr>
      <w:bookmarkStart w:id="47" w:name="_Toc530750121"/>
      <w:r>
        <w:t>5</w:t>
      </w:r>
      <w:r>
        <w:tab/>
        <w:t>Auditing</w:t>
      </w:r>
      <w:bookmarkEnd w:id="47"/>
    </w:p>
    <w:p w:rsidR="00342474" w:rsidRDefault="00633F39">
      <w:pPr>
        <w:pStyle w:val="Heading2"/>
        <w:keepNext w:val="0"/>
        <w:keepLines w:val="0"/>
        <w:spacing w:before="120"/>
      </w:pPr>
      <w:bookmarkStart w:id="48" w:name="_Toc530750122"/>
      <w:r>
        <w:t>5.1</w:t>
      </w:r>
      <w:r>
        <w:tab/>
        <w:t>Auditing of the accounts of the Union (Rev. Resolution 94)</w:t>
      </w:r>
      <w:bookmarkEnd w:id="48"/>
    </w:p>
    <w:p w:rsidR="00342474" w:rsidRDefault="00633F39">
      <w:pPr>
        <w:snapToGrid w:val="0"/>
        <w:jc w:val="both"/>
        <w:rPr>
          <w:color w:val="000000"/>
          <w:highlight w:val="yellow"/>
        </w:rPr>
      </w:pPr>
      <w:r>
        <w:rPr>
          <w:color w:val="000000"/>
        </w:rPr>
        <w:t xml:space="preserve">The current External Auditors have concluded their mandate (that will expire in 2019) and that the new External Auditors </w:t>
      </w:r>
      <w:proofErr w:type="gramStart"/>
      <w:r>
        <w:rPr>
          <w:color w:val="000000"/>
        </w:rPr>
        <w:t>should be appointed</w:t>
      </w:r>
      <w:proofErr w:type="gramEnd"/>
      <w:r>
        <w:rPr>
          <w:color w:val="000000"/>
        </w:rPr>
        <w:t xml:space="preserve"> based on an open, fair and transparent selection process.</w:t>
      </w:r>
    </w:p>
    <w:p w:rsidR="00342474" w:rsidRDefault="00633F39">
      <w:pPr>
        <w:pStyle w:val="Heading2"/>
        <w:keepNext w:val="0"/>
        <w:keepLines w:val="0"/>
      </w:pPr>
      <w:bookmarkStart w:id="49" w:name="_Toc164569905"/>
      <w:bookmarkStart w:id="50" w:name="_Toc530750123"/>
      <w:bookmarkStart w:id="51" w:name="_Toc275502483"/>
      <w:r>
        <w:t>5.2</w:t>
      </w:r>
      <w:r>
        <w:tab/>
        <w:t xml:space="preserve">Approval of the accounts of the Union for the years </w:t>
      </w:r>
      <w:bookmarkEnd w:id="49"/>
      <w:r>
        <w:t>2014-2017 (Rev. Resolution 150)</w:t>
      </w:r>
      <w:bookmarkEnd w:id="50"/>
    </w:p>
    <w:p w:rsidR="00342474" w:rsidRDefault="00633F39">
      <w:r>
        <w:rPr>
          <w:iCs/>
        </w:rPr>
        <w:t xml:space="preserve">PP-18 </w:t>
      </w:r>
      <w:r>
        <w:t>approved the accounts of the Union for the years 2014-2017. PP18 expressed concerns as regards to the growing ASHI liabilities.</w:t>
      </w:r>
    </w:p>
    <w:p w:rsidR="00342474" w:rsidRDefault="00633F39">
      <w:pPr>
        <w:pStyle w:val="Heading1"/>
        <w:spacing w:before="240"/>
      </w:pPr>
      <w:bookmarkStart w:id="52" w:name="_Toc530750124"/>
      <w:bookmarkEnd w:id="51"/>
      <w:r>
        <w:t>6</w:t>
      </w:r>
      <w:r>
        <w:tab/>
        <w:t>Stable Constitution, stable Convention</w:t>
      </w:r>
      <w:bookmarkEnd w:id="52"/>
    </w:p>
    <w:p w:rsidR="00342474" w:rsidRDefault="00633F39">
      <w:r>
        <w:t>PP-18 agreed that the ITU Constitution and Convention remained unchanged. This is the second time since 1992, 2014 that the conference made no amendments to the ITU Constitution and Convention.</w:t>
      </w:r>
    </w:p>
    <w:p w:rsidR="00342474" w:rsidRDefault="00633F39">
      <w:pPr>
        <w:pStyle w:val="Heading1"/>
        <w:spacing w:before="240"/>
      </w:pPr>
      <w:bookmarkStart w:id="53" w:name="_Toc530750125"/>
      <w:r>
        <w:t>7</w:t>
      </w:r>
      <w:r>
        <w:tab/>
        <w:t>Membership</w:t>
      </w:r>
      <w:bookmarkEnd w:id="24"/>
      <w:bookmarkEnd w:id="53"/>
    </w:p>
    <w:p w:rsidR="00342474" w:rsidRDefault="00633F39">
      <w:pPr>
        <w:pStyle w:val="Heading2"/>
        <w:spacing w:before="120"/>
        <w:ind w:left="0" w:firstLine="0"/>
      </w:pPr>
      <w:bookmarkStart w:id="54" w:name="_Toc530750126"/>
      <w:r>
        <w:t>7.1</w:t>
      </w:r>
      <w:r>
        <w:tab/>
        <w:t>Revised Resolution 169 “Admission of academia</w:t>
      </w:r>
      <w:r>
        <w:footnoteReference w:customMarkFollows="1" w:id="3"/>
        <w:t>1 to participate in the work of the Union”</w:t>
      </w:r>
      <w:bookmarkEnd w:id="54"/>
    </w:p>
    <w:p w:rsidR="00342474" w:rsidRDefault="00633F39">
      <w:pPr>
        <w:pStyle w:val="ListParagraph"/>
        <w:numPr>
          <w:ilvl w:val="0"/>
          <w:numId w:val="9"/>
        </w:numPr>
        <w:overflowPunct/>
        <w:autoSpaceDE/>
        <w:autoSpaceDN/>
        <w:adjustRightInd/>
        <w:spacing w:before="60" w:after="60"/>
        <w:textAlignment w:val="auto"/>
        <w:rPr>
          <w:rFonts w:asciiTheme="majorBidi" w:hAnsiTheme="majorBidi" w:cstheme="majorBidi"/>
          <w:szCs w:val="24"/>
        </w:rPr>
      </w:pPr>
      <w:r>
        <w:rPr>
          <w:rFonts w:asciiTheme="majorBidi" w:hAnsiTheme="majorBidi" w:cstheme="majorBidi"/>
          <w:szCs w:val="24"/>
        </w:rPr>
        <w:t>Requests the TSB Director to continue holding the events of Kaleidoscope, in rotation manner (across the regions).</w:t>
      </w:r>
    </w:p>
    <w:p w:rsidR="00342474" w:rsidRDefault="00633F39">
      <w:pPr>
        <w:pStyle w:val="ListParagraph"/>
        <w:numPr>
          <w:ilvl w:val="0"/>
          <w:numId w:val="9"/>
        </w:numPr>
        <w:tabs>
          <w:tab w:val="clear" w:pos="1134"/>
          <w:tab w:val="clear" w:pos="1701"/>
          <w:tab w:val="clear" w:pos="2268"/>
          <w:tab w:val="clear" w:pos="2835"/>
        </w:tabs>
        <w:overflowPunct/>
        <w:autoSpaceDE/>
        <w:autoSpaceDN/>
        <w:adjustRightInd/>
        <w:spacing w:before="60" w:after="60"/>
        <w:contextualSpacing w:val="0"/>
        <w:textAlignment w:val="auto"/>
        <w:rPr>
          <w:rFonts w:asciiTheme="majorBidi" w:hAnsiTheme="majorBidi" w:cstheme="majorBidi"/>
          <w:szCs w:val="24"/>
        </w:rPr>
      </w:pPr>
      <w:r>
        <w:rPr>
          <w:rFonts w:asciiTheme="majorBidi" w:hAnsiTheme="majorBidi" w:cstheme="majorBidi"/>
          <w:szCs w:val="24"/>
        </w:rPr>
        <w:t>Academia can participate in TSAG.</w:t>
      </w:r>
    </w:p>
    <w:p w:rsidR="00342474" w:rsidRDefault="00633F39">
      <w:pPr>
        <w:pStyle w:val="ListParagraph"/>
        <w:numPr>
          <w:ilvl w:val="0"/>
          <w:numId w:val="9"/>
        </w:numPr>
        <w:tabs>
          <w:tab w:val="clear" w:pos="1134"/>
          <w:tab w:val="clear" w:pos="1701"/>
          <w:tab w:val="clear" w:pos="2268"/>
          <w:tab w:val="clear" w:pos="2835"/>
        </w:tabs>
        <w:overflowPunct/>
        <w:autoSpaceDE/>
        <w:autoSpaceDN/>
        <w:adjustRightInd/>
        <w:spacing w:before="60" w:after="60"/>
        <w:contextualSpacing w:val="0"/>
        <w:textAlignment w:val="auto"/>
        <w:rPr>
          <w:rFonts w:asciiTheme="majorBidi" w:hAnsiTheme="majorBidi" w:cstheme="majorBidi"/>
          <w:szCs w:val="24"/>
        </w:rPr>
      </w:pPr>
      <w:r>
        <w:rPr>
          <w:rFonts w:asciiTheme="majorBidi" w:hAnsiTheme="majorBidi" w:cstheme="majorBidi"/>
          <w:szCs w:val="24"/>
        </w:rPr>
        <w:lastRenderedPageBreak/>
        <w:t>Academia can serve as Rapporteur, Associate Rapporteur after consultation with their Member State.</w:t>
      </w:r>
    </w:p>
    <w:p w:rsidR="00342474" w:rsidRDefault="00633F39">
      <w:pPr>
        <w:pStyle w:val="Heading2"/>
        <w:ind w:left="0" w:firstLine="0"/>
      </w:pPr>
      <w:bookmarkStart w:id="55" w:name="_Toc530750127"/>
      <w:r>
        <w:t>7.2</w:t>
      </w:r>
      <w:r>
        <w:tab/>
        <w:t>New Resolution COM5/3 “Encouraging the participation of small and medium enterprises in the work of the Union”</w:t>
      </w:r>
      <w:bookmarkEnd w:id="55"/>
    </w:p>
    <w:p w:rsidR="008820D4" w:rsidRPr="008820D4" w:rsidRDefault="00633F39" w:rsidP="00530CBF">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To admit the participation of SMEs (up to 250 employees) in the Sectors of the Union (in the role of Associates).</w:t>
      </w:r>
      <w:r w:rsidR="008820D4">
        <w:rPr>
          <w:rFonts w:asciiTheme="majorBidi" w:hAnsiTheme="majorBidi" w:cstheme="majorBidi"/>
          <w:szCs w:val="24"/>
        </w:rPr>
        <w:t xml:space="preserve"> </w:t>
      </w:r>
      <w:r w:rsidR="008820D4" w:rsidRPr="008820D4">
        <w:rPr>
          <w:rFonts w:asciiTheme="majorBidi" w:hAnsiTheme="majorBidi" w:cstheme="majorBidi"/>
          <w:szCs w:val="24"/>
        </w:rPr>
        <w:t>The participation of SMEs in ITU-</w:t>
      </w:r>
      <w:proofErr w:type="gramStart"/>
      <w:r w:rsidR="008820D4" w:rsidRPr="008820D4">
        <w:rPr>
          <w:rFonts w:asciiTheme="majorBidi" w:hAnsiTheme="majorBidi" w:cstheme="majorBidi"/>
          <w:szCs w:val="24"/>
        </w:rPr>
        <w:t>T basically</w:t>
      </w:r>
      <w:proofErr w:type="gramEnd"/>
      <w:r w:rsidR="008820D4" w:rsidRPr="008820D4">
        <w:rPr>
          <w:rFonts w:asciiTheme="majorBidi" w:hAnsiTheme="majorBidi" w:cstheme="majorBidi"/>
          <w:szCs w:val="24"/>
        </w:rPr>
        <w:t xml:space="preserve"> continues as in the former trial until PP-22, which will enable a thorough review of the critical issues of rights and obligations to be undertaken in collaboration with the Council.</w:t>
      </w:r>
    </w:p>
    <w:p w:rsidR="00342474" w:rsidRDefault="00633F39" w:rsidP="00530CBF">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Member State has to approve the participation of an SME.</w:t>
      </w:r>
    </w:p>
    <w:p w:rsidR="00342474" w:rsidRDefault="00633F39" w:rsidP="00530CBF">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A subsidiary or affiliate of a Sector Member cannot become a SME.</w:t>
      </w:r>
    </w:p>
    <w:p w:rsidR="00342474" w:rsidRDefault="00633F39" w:rsidP="00530CBF">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An SME can be Rapporteur or Associate Rapporteur.</w:t>
      </w:r>
    </w:p>
    <w:p w:rsidR="00342474" w:rsidRDefault="00633F39">
      <w:pPr>
        <w:pStyle w:val="Heading2"/>
      </w:pPr>
      <w:bookmarkStart w:id="56" w:name="_Toc530750128"/>
      <w:bookmarkStart w:id="57" w:name="_Toc275502487"/>
      <w:r>
        <w:t>7.3</w:t>
      </w:r>
      <w:r>
        <w:tab/>
        <w:t>Regional groups</w:t>
      </w:r>
      <w:bookmarkEnd w:id="56"/>
    </w:p>
    <w:p w:rsidR="00342474" w:rsidRDefault="00633F39">
      <w:pPr>
        <w:rPr>
          <w:bCs/>
          <w:color w:val="000000"/>
          <w:szCs w:val="24"/>
        </w:rPr>
      </w:pPr>
      <w:r>
        <w:rPr>
          <w:rFonts w:eastAsia="Malgun Gothic" w:cs="Arial"/>
          <w:szCs w:val="22"/>
          <w:lang w:eastAsia="ko-KR"/>
        </w:rPr>
        <w:t>PP-18 invites the World Telecommunication Standardization Assembly to review, in the context of Article 3 of the ITU Constitution, and revise, as appropriate, WTSA Resolution 1, WTSA Resolution 2, WTSA Resolution 22 and WTSA Resolution 54 to clarify the criteria for creation, participation and termination of regional groups of Study Groups, and the role of TSAG in this regard.</w:t>
      </w:r>
    </w:p>
    <w:p w:rsidR="00342474" w:rsidRDefault="00633F39">
      <w:pPr>
        <w:pStyle w:val="Heading2"/>
      </w:pPr>
      <w:bookmarkStart w:id="58" w:name="_Toc530750129"/>
      <w:bookmarkEnd w:id="57"/>
      <w:r>
        <w:t>7.4</w:t>
      </w:r>
      <w:r>
        <w:tab/>
        <w:t>Resolution 187 “Review of the current methodologies and development of a future vision for the participation of Sector Members, Associates and Academia in the activities of ITU”</w:t>
      </w:r>
      <w:bookmarkEnd w:id="58"/>
      <w:r>
        <w:t xml:space="preserve"> </w:t>
      </w:r>
    </w:p>
    <w:p w:rsidR="00342474" w:rsidRDefault="00633F39">
      <w:proofErr w:type="gramStart"/>
      <w:r>
        <w:t>was</w:t>
      </w:r>
      <w:proofErr w:type="gramEnd"/>
      <w:r>
        <w:t xml:space="preserve"> suppressed.</w:t>
      </w:r>
    </w:p>
    <w:p w:rsidR="00342474" w:rsidRDefault="00633F39">
      <w:pPr>
        <w:pStyle w:val="Heading1"/>
        <w:spacing w:before="240"/>
      </w:pPr>
      <w:bookmarkStart w:id="59" w:name="_Toc530750130"/>
      <w:r>
        <w:t>8</w:t>
      </w:r>
      <w:r>
        <w:tab/>
        <w:t>WSIS – World Summit on the Information Society</w:t>
      </w:r>
      <w:bookmarkEnd w:id="59"/>
    </w:p>
    <w:p w:rsidR="00342474" w:rsidRDefault="00633F39">
      <w:pPr>
        <w:pStyle w:val="Heading2"/>
        <w:spacing w:before="120"/>
        <w:ind w:left="0" w:firstLine="0"/>
      </w:pPr>
      <w:bookmarkStart w:id="60" w:name="_Toc530750131"/>
      <w:r>
        <w:t>8.1</w:t>
      </w:r>
      <w:r>
        <w:tab/>
        <w:t>Revised Resolution 140 “ITU's role in implementing the outcomes of the World Summit on the Information Society and the 2030 Agenda for Sustainable Development, as well as in their follow-up and review processes”</w:t>
      </w:r>
      <w:bookmarkEnd w:id="60"/>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imes New Roman" w:hAnsi="Times New Roman"/>
          <w:szCs w:val="24"/>
        </w:rPr>
      </w:pPr>
      <w:r>
        <w:rPr>
          <w:rFonts w:ascii="Times New Roman" w:hAnsi="Times New Roman"/>
        </w:rPr>
        <w:t>Features m</w:t>
      </w:r>
      <w:r>
        <w:rPr>
          <w:rFonts w:ascii="Times New Roman" w:hAnsi="Times New Roman"/>
          <w:szCs w:val="24"/>
        </w:rPr>
        <w:t>any changes and much shortening.</w:t>
      </w:r>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Inclusion of the Agenda 2030/SDGs; emphasizing also other WSIS Action Lines;</w:t>
      </w:r>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 xml:space="preserve">Continuing to update WSIS roadmaps for Action Lines C2, C5, C6, and newly to </w:t>
      </w:r>
      <w:proofErr w:type="gramStart"/>
      <w:r>
        <w:rPr>
          <w:rFonts w:asciiTheme="majorBidi" w:hAnsiTheme="majorBidi" w:cstheme="majorBidi"/>
          <w:szCs w:val="24"/>
        </w:rPr>
        <w:t>provide also</w:t>
      </w:r>
      <w:proofErr w:type="gramEnd"/>
      <w:r>
        <w:rPr>
          <w:rFonts w:asciiTheme="majorBidi" w:hAnsiTheme="majorBidi" w:cstheme="majorBidi"/>
          <w:szCs w:val="24"/>
        </w:rPr>
        <w:t xml:space="preserve"> input to roadmaps for Action Lines C1, C3, C4, C7, C8, C9 and C1.</w:t>
      </w:r>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Avoiding duplication of work among ITU Sectors.</w:t>
      </w:r>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 xml:space="preserve">TSBDir to coordinate with other ITU Sectors through WSIS+SDL Task Force, and </w:t>
      </w:r>
      <w:proofErr w:type="gramStart"/>
      <w:r>
        <w:rPr>
          <w:rFonts w:asciiTheme="majorBidi" w:hAnsiTheme="majorBidi" w:cstheme="majorBidi"/>
          <w:szCs w:val="24"/>
        </w:rPr>
        <w:t>to regularly update</w:t>
      </w:r>
      <w:proofErr w:type="gramEnd"/>
      <w:r>
        <w:rPr>
          <w:rFonts w:asciiTheme="majorBidi" w:hAnsiTheme="majorBidi" w:cstheme="majorBidi"/>
          <w:szCs w:val="24"/>
        </w:rPr>
        <w:t xml:space="preserve"> the WSIS+SDGs roadmaps.</w:t>
      </w:r>
    </w:p>
    <w:p w:rsidR="00342474" w:rsidRDefault="00633F39">
      <w:pPr>
        <w:pStyle w:val="Heading1"/>
        <w:spacing w:before="240"/>
      </w:pPr>
      <w:bookmarkStart w:id="61" w:name="_Toc530750132"/>
      <w:r>
        <w:t>9</w:t>
      </w:r>
      <w:r>
        <w:tab/>
        <w:t>Bridging the digital divide / capacity building / standardization gap / financial inclusion gap / fellowships</w:t>
      </w:r>
      <w:bookmarkEnd w:id="61"/>
    </w:p>
    <w:p w:rsidR="00342474" w:rsidRDefault="00633F39">
      <w:pPr>
        <w:pStyle w:val="Heading2"/>
        <w:spacing w:before="120"/>
        <w:ind w:left="0" w:firstLine="0"/>
      </w:pPr>
      <w:bookmarkStart w:id="62" w:name="_Toc530750133"/>
      <w:r>
        <w:t>9.1</w:t>
      </w:r>
      <w:r>
        <w:tab/>
        <w:t xml:space="preserve">Revised Resolution 30 “Special measures for the least developed countries, </w:t>
      </w:r>
      <w:proofErr w:type="gramStart"/>
      <w:r>
        <w:t>small island</w:t>
      </w:r>
      <w:proofErr w:type="gramEnd"/>
      <w:r>
        <w:t xml:space="preserve"> developing states, landlocked developing countries and countries with economies in transition”</w:t>
      </w:r>
      <w:bookmarkEnd w:id="62"/>
    </w:p>
    <w:p w:rsidR="00342474" w:rsidRDefault="00633F39">
      <w:r>
        <w:t>highlights the importance of telecommunications/ICTs as an enabler that harnesses the potential and opportunities as a result of digital innovation which can benefit the socio-economic development of the countries concerned and help achieve the Sustainable Development Goals and introduces appropriate measures that are within the mandate of the ITU that contribute to economic growth. Continue enhancing ITU web-based tools for providing outputs.</w:t>
      </w:r>
    </w:p>
    <w:p w:rsidR="00342474" w:rsidRDefault="00633F39">
      <w:pPr>
        <w:pStyle w:val="Heading2"/>
        <w:ind w:left="0" w:firstLine="0"/>
      </w:pPr>
      <w:bookmarkStart w:id="63" w:name="_Toc530750134"/>
      <w:r>
        <w:lastRenderedPageBreak/>
        <w:t>9.2</w:t>
      </w:r>
      <w:r>
        <w:tab/>
        <w:t>Revised Resolution 34 “Assistance and support to countries in special need for rebuilding their telecommunication sector”</w:t>
      </w:r>
      <w:bookmarkEnd w:id="63"/>
    </w:p>
    <w:p w:rsidR="00342474" w:rsidRDefault="00633F39">
      <w:proofErr w:type="gramStart"/>
      <w:r>
        <w:t>features</w:t>
      </w:r>
      <w:proofErr w:type="gramEnd"/>
      <w:r>
        <w:t xml:space="preserve"> amendments for Central African Republic and for Yemen.</w:t>
      </w:r>
    </w:p>
    <w:p w:rsidR="00342474" w:rsidRDefault="00633F39" w:rsidP="00586444">
      <w:pPr>
        <w:pStyle w:val="Heading2"/>
        <w:ind w:left="0" w:firstLine="0"/>
      </w:pPr>
      <w:bookmarkStart w:id="64" w:name="_Toc530750135"/>
      <w:r>
        <w:t>9.3</w:t>
      </w:r>
      <w:r>
        <w:tab/>
        <w:t>Revised Resolution 123 “Bridging the standardization gap between developing and developed countries”</w:t>
      </w:r>
      <w:bookmarkEnd w:id="64"/>
    </w:p>
    <w:p w:rsidR="00342474" w:rsidRDefault="009F289F" w:rsidP="00586444">
      <w:pPr>
        <w:pStyle w:val="ListParagraph"/>
        <w:keepNext/>
        <w:keepLines/>
        <w:numPr>
          <w:ilvl w:val="0"/>
          <w:numId w:val="11"/>
        </w:numPr>
        <w:ind w:hanging="357"/>
        <w:contextualSpacing w:val="0"/>
        <w:rPr>
          <w:rFonts w:ascii="Times New Roman" w:hAnsi="Times New Roman"/>
        </w:rPr>
      </w:pPr>
      <w:r>
        <w:rPr>
          <w:rFonts w:ascii="Times New Roman" w:hAnsi="Times New Roman"/>
        </w:rPr>
        <w:t>C</w:t>
      </w:r>
      <w:r w:rsidR="00633F39">
        <w:rPr>
          <w:rFonts w:ascii="Times New Roman" w:hAnsi="Times New Roman"/>
        </w:rPr>
        <w:t>ontinues BSG to collaborating on regional level.</w:t>
      </w:r>
    </w:p>
    <w:p w:rsidR="00342474" w:rsidRDefault="00633F39" w:rsidP="00586444">
      <w:pPr>
        <w:pStyle w:val="ListParagraph"/>
        <w:keepNext/>
        <w:keepLines/>
        <w:numPr>
          <w:ilvl w:val="0"/>
          <w:numId w:val="11"/>
        </w:numPr>
        <w:ind w:hanging="357"/>
        <w:contextualSpacing w:val="0"/>
        <w:rPr>
          <w:rFonts w:ascii="Times New Roman" w:hAnsi="Times New Roman"/>
        </w:rPr>
      </w:pPr>
      <w:r>
        <w:rPr>
          <w:rFonts w:ascii="Times New Roman" w:hAnsi="Times New Roman"/>
        </w:rPr>
        <w:t>BSG to continue prioritize granting fellowships to those who submit contributions.</w:t>
      </w:r>
    </w:p>
    <w:p w:rsidR="00342474" w:rsidRDefault="00633F39" w:rsidP="00586444">
      <w:pPr>
        <w:pStyle w:val="ListParagraph"/>
        <w:keepNext/>
        <w:keepLines/>
        <w:numPr>
          <w:ilvl w:val="0"/>
          <w:numId w:val="11"/>
        </w:numPr>
        <w:ind w:hanging="357"/>
        <w:contextualSpacing w:val="0"/>
        <w:rPr>
          <w:rFonts w:ascii="Times New Roman" w:hAnsi="Times New Roman"/>
        </w:rPr>
      </w:pPr>
      <w:r>
        <w:rPr>
          <w:rFonts w:ascii="Times New Roman" w:hAnsi="Times New Roman"/>
        </w:rPr>
        <w:t>Support remote participation by e-meetings.</w:t>
      </w:r>
    </w:p>
    <w:p w:rsidR="00342474" w:rsidRDefault="00633F39">
      <w:pPr>
        <w:pStyle w:val="ListParagraph"/>
        <w:numPr>
          <w:ilvl w:val="0"/>
          <w:numId w:val="11"/>
        </w:numPr>
        <w:ind w:hanging="357"/>
        <w:contextualSpacing w:val="0"/>
        <w:rPr>
          <w:rFonts w:ascii="Times New Roman" w:hAnsi="Times New Roman"/>
        </w:rPr>
      </w:pPr>
      <w:r>
        <w:rPr>
          <w:rFonts w:ascii="Times New Roman" w:hAnsi="Times New Roman"/>
        </w:rPr>
        <w:t xml:space="preserve">Provide ITU web based tools to support consolidation of all guidelines, recommendations, technical reports, best practices and use cases developed by ITU-R and ITU-T using web-based tools identifying strategies and mechanisms to facilitate and allow Member States </w:t>
      </w:r>
      <w:proofErr w:type="gramStart"/>
      <w:r>
        <w:rPr>
          <w:rFonts w:ascii="Times New Roman" w:hAnsi="Times New Roman"/>
        </w:rPr>
        <w:t>to proactively use</w:t>
      </w:r>
      <w:proofErr w:type="gramEnd"/>
      <w:r>
        <w:rPr>
          <w:rFonts w:ascii="Times New Roman" w:hAnsi="Times New Roman"/>
        </w:rPr>
        <w:t xml:space="preserve"> these tools to hasten the transfer of knowledge.</w:t>
      </w:r>
    </w:p>
    <w:p w:rsidR="00342474" w:rsidRDefault="00633F39">
      <w:pPr>
        <w:pStyle w:val="Heading2"/>
        <w:ind w:left="0" w:firstLine="0"/>
        <w:rPr>
          <w:rFonts w:eastAsia="Malgun Gothic"/>
          <w:szCs w:val="24"/>
          <w:lang w:eastAsia="ko-KR"/>
        </w:rPr>
      </w:pPr>
      <w:bookmarkStart w:id="65" w:name="_Toc530750136"/>
      <w:r>
        <w:t>9.4</w:t>
      </w:r>
      <w:r>
        <w:tab/>
        <w:t>Revised</w:t>
      </w:r>
      <w:r>
        <w:rPr>
          <w:szCs w:val="24"/>
        </w:rPr>
        <w:t xml:space="preserve"> Resolution 135 “ITU's role in the durable and sustainable development of telecommunications/ information and communication technologies, in providing technical assistance and advice to developing countries</w:t>
      </w:r>
      <w:r>
        <w:rPr>
          <w:rStyle w:val="FootnoteReference"/>
          <w:sz w:val="24"/>
          <w:szCs w:val="24"/>
        </w:rPr>
        <w:footnoteReference w:customMarkFollows="1" w:id="4"/>
        <w:t>1</w:t>
      </w:r>
      <w:r>
        <w:rPr>
          <w:szCs w:val="24"/>
        </w:rPr>
        <w:t xml:space="preserve"> and in implementing relevant national, regional and interregional projects”</w:t>
      </w:r>
      <w:bookmarkEnd w:id="65"/>
    </w:p>
    <w:p w:rsidR="00342474" w:rsidRDefault="009F289F">
      <w:pPr>
        <w:pStyle w:val="ListParagraph"/>
        <w:numPr>
          <w:ilvl w:val="0"/>
          <w:numId w:val="9"/>
        </w:numPr>
        <w:overflowPunct/>
        <w:autoSpaceDE/>
        <w:autoSpaceDN/>
        <w:adjustRightInd/>
        <w:spacing w:before="60" w:after="60"/>
        <w:contextualSpacing w:val="0"/>
        <w:textAlignment w:val="auto"/>
        <w:rPr>
          <w:rFonts w:ascii="Times New Roman" w:eastAsia="Malgun Gothic" w:hAnsi="Times New Roman"/>
          <w:szCs w:val="24"/>
          <w:lang w:eastAsia="ko-KR"/>
        </w:rPr>
      </w:pPr>
      <w:r>
        <w:rPr>
          <w:rFonts w:ascii="Times New Roman" w:hAnsi="Times New Roman"/>
          <w:szCs w:val="24"/>
        </w:rPr>
        <w:t>F</w:t>
      </w:r>
      <w:r w:rsidR="00633F39">
        <w:rPr>
          <w:rFonts w:ascii="Times New Roman" w:hAnsi="Times New Roman"/>
          <w:szCs w:val="24"/>
        </w:rPr>
        <w:t>eatures a</w:t>
      </w:r>
      <w:r w:rsidR="00633F39">
        <w:rPr>
          <w:rFonts w:ascii="Times New Roman" w:eastAsia="SimSun" w:hAnsi="Times New Roman"/>
          <w:szCs w:val="24"/>
        </w:rPr>
        <w:t xml:space="preserve">mendments that relate mainly to the contribution in </w:t>
      </w:r>
      <w:r w:rsidR="00633F39">
        <w:rPr>
          <w:rFonts w:ascii="Times New Roman" w:hAnsi="Times New Roman"/>
          <w:szCs w:val="24"/>
        </w:rPr>
        <w:t xml:space="preserve">defining and implementing ITU’s role in achieving the 17 Sustainable Development Goals (SDGs) as well as the development of the digital economy. Other key elements relate to the </w:t>
      </w:r>
      <w:r w:rsidR="00633F39">
        <w:rPr>
          <w:rFonts w:ascii="Times New Roman" w:eastAsia="SimSun" w:hAnsi="Times New Roman"/>
          <w:szCs w:val="24"/>
        </w:rPr>
        <w:t>n</w:t>
      </w:r>
      <w:r w:rsidR="00633F39">
        <w:rPr>
          <w:rFonts w:ascii="Times New Roman" w:hAnsi="Times New Roman"/>
          <w:szCs w:val="24"/>
        </w:rPr>
        <w:t>ew and emerging technologies</w:t>
      </w:r>
      <w:r w:rsidR="00633F39">
        <w:rPr>
          <w:rFonts w:ascii="Times New Roman" w:eastAsia="SimSun" w:hAnsi="Times New Roman"/>
          <w:szCs w:val="24"/>
        </w:rPr>
        <w:t xml:space="preserve"> as well as to the contribution to the </w:t>
      </w:r>
      <w:r w:rsidR="00633F39">
        <w:rPr>
          <w:rFonts w:ascii="Times New Roman" w:hAnsi="Times New Roman"/>
          <w:szCs w:val="24"/>
        </w:rPr>
        <w:t>digital transition.</w:t>
      </w:r>
    </w:p>
    <w:p w:rsidR="00342474" w:rsidRDefault="00633F39">
      <w:pPr>
        <w:pStyle w:val="ListParagraph"/>
        <w:numPr>
          <w:ilvl w:val="0"/>
          <w:numId w:val="11"/>
        </w:numPr>
        <w:contextualSpacing w:val="0"/>
        <w:rPr>
          <w:rFonts w:ascii="Times New Roman" w:hAnsi="Times New Roman"/>
        </w:rPr>
      </w:pPr>
      <w:r>
        <w:rPr>
          <w:rFonts w:ascii="Times New Roman" w:hAnsi="Times New Roman"/>
          <w:szCs w:val="24"/>
        </w:rPr>
        <w:t xml:space="preserve">To </w:t>
      </w:r>
      <w:r>
        <w:rPr>
          <w:rFonts w:ascii="Times New Roman" w:hAnsi="Times New Roman"/>
        </w:rPr>
        <w:t>facilitate sustainable ICTs on the basis on ITU-T Recommendations.</w:t>
      </w:r>
    </w:p>
    <w:p w:rsidR="00342474" w:rsidRDefault="00633F39">
      <w:pPr>
        <w:pStyle w:val="ListParagraph"/>
        <w:numPr>
          <w:ilvl w:val="0"/>
          <w:numId w:val="11"/>
        </w:numPr>
        <w:contextualSpacing w:val="0"/>
        <w:rPr>
          <w:rFonts w:ascii="Times New Roman" w:hAnsi="Times New Roman"/>
          <w:szCs w:val="24"/>
        </w:rPr>
      </w:pPr>
      <w:r>
        <w:rPr>
          <w:rFonts w:ascii="Times New Roman" w:hAnsi="Times New Roman"/>
        </w:rPr>
        <w:t>ITU to assist developing</w:t>
      </w:r>
      <w:r>
        <w:rPr>
          <w:rFonts w:ascii="Times New Roman" w:hAnsi="Times New Roman"/>
          <w:szCs w:val="24"/>
        </w:rPr>
        <w:t xml:space="preserve"> countries on infrastructure.</w:t>
      </w:r>
    </w:p>
    <w:p w:rsidR="00342474" w:rsidRDefault="00633F39">
      <w:pPr>
        <w:pStyle w:val="Heading2"/>
        <w:ind w:left="0" w:firstLine="0"/>
      </w:pPr>
      <w:bookmarkStart w:id="66" w:name="_Toc530750137"/>
      <w:r>
        <w:t>9.5</w:t>
      </w:r>
      <w:r>
        <w:tab/>
        <w:t>Revised Resolution 137 “Future networks deployment in developing countries”</w:t>
      </w:r>
      <w:bookmarkEnd w:id="66"/>
    </w:p>
    <w:p w:rsidR="00342474" w:rsidRDefault="00633F39">
      <w:proofErr w:type="gramStart"/>
      <w:r>
        <w:t>changes</w:t>
      </w:r>
      <w:proofErr w:type="gramEnd"/>
      <w:r>
        <w:t xml:space="preserve"> scope from NGN to future networks. ITU-R to coordinate with ITU-T SG11, SG13 on future networks.</w:t>
      </w:r>
    </w:p>
    <w:p w:rsidR="00342474" w:rsidRDefault="00633F39">
      <w:pPr>
        <w:pStyle w:val="Heading2"/>
        <w:ind w:left="0" w:firstLine="0"/>
      </w:pPr>
      <w:bookmarkStart w:id="67" w:name="_Toc530750138"/>
      <w:r>
        <w:t>9.6</w:t>
      </w:r>
      <w:r>
        <w:tab/>
        <w:t>Revised Resolution 139 “Bridge the digital divide, inclusive information society”</w:t>
      </w:r>
      <w:bookmarkEnd w:id="67"/>
    </w:p>
    <w:p w:rsidR="00342474" w:rsidRDefault="00633F39">
      <w:proofErr w:type="gramStart"/>
      <w:r>
        <w:rPr>
          <w:rFonts w:asciiTheme="majorBidi" w:hAnsiTheme="majorBidi" w:cstheme="majorBidi"/>
        </w:rPr>
        <w:t>e</w:t>
      </w:r>
      <w:r>
        <w:rPr>
          <w:rFonts w:asciiTheme="majorBidi" w:hAnsiTheme="majorBidi" w:cstheme="majorBidi"/>
          <w:szCs w:val="24"/>
        </w:rPr>
        <w:t>mphasizes</w:t>
      </w:r>
      <w:proofErr w:type="gramEnd"/>
      <w:r>
        <w:rPr>
          <w:rFonts w:asciiTheme="majorBidi" w:hAnsiTheme="majorBidi" w:cstheme="majorBidi"/>
          <w:szCs w:val="24"/>
        </w:rPr>
        <w:t xml:space="preserve"> the regulatory and policy framework of Member States; which ITU is to support.</w:t>
      </w:r>
    </w:p>
    <w:p w:rsidR="00342474" w:rsidRDefault="00633F39">
      <w:pPr>
        <w:pStyle w:val="Heading2"/>
        <w:ind w:left="0" w:firstLine="0"/>
      </w:pPr>
      <w:bookmarkStart w:id="68" w:name="_Toc530750139"/>
      <w:r>
        <w:t>9.7</w:t>
      </w:r>
      <w:r>
        <w:tab/>
        <w:t>Revised Resolution 201 “Creating an enabling environment for the deployment and use of information and communication technology applications”</w:t>
      </w:r>
      <w:bookmarkEnd w:id="68"/>
    </w:p>
    <w:p w:rsidR="00342474" w:rsidRDefault="00633F39">
      <w:pPr>
        <w:rPr>
          <w:rFonts w:asciiTheme="majorBidi" w:hAnsiTheme="majorBidi" w:cstheme="majorBidi"/>
        </w:rPr>
      </w:pPr>
      <w:proofErr w:type="gramStart"/>
      <w:r>
        <w:rPr>
          <w:rFonts w:asciiTheme="majorBidi" w:hAnsiTheme="majorBidi" w:cstheme="majorBidi"/>
        </w:rPr>
        <w:t>basically</w:t>
      </w:r>
      <w:proofErr w:type="gramEnd"/>
      <w:r>
        <w:rPr>
          <w:rFonts w:asciiTheme="majorBidi" w:hAnsiTheme="majorBidi" w:cstheme="majorBidi"/>
        </w:rPr>
        <w:t xml:space="preserve"> contains only editorial updates.</w:t>
      </w:r>
    </w:p>
    <w:p w:rsidR="00342474" w:rsidRDefault="00633F39">
      <w:pPr>
        <w:pStyle w:val="Heading2"/>
        <w:ind w:left="0" w:firstLine="0"/>
      </w:pPr>
      <w:bookmarkStart w:id="69" w:name="_Toc530750140"/>
      <w:r>
        <w:t>9.8</w:t>
      </w:r>
      <w:r>
        <w:tab/>
        <w:t>Revised Resolution 203 “Connectivity to broadband networks”</w:t>
      </w:r>
      <w:bookmarkEnd w:id="69"/>
    </w:p>
    <w:p w:rsidR="00342474" w:rsidRDefault="00633F39">
      <w:pPr>
        <w:rPr>
          <w:rFonts w:asciiTheme="majorBidi" w:hAnsiTheme="majorBidi" w:cstheme="majorBidi"/>
        </w:rPr>
      </w:pPr>
      <w:proofErr w:type="gramStart"/>
      <w:r>
        <w:rPr>
          <w:rFonts w:asciiTheme="majorBidi" w:hAnsiTheme="majorBidi" w:cstheme="majorBidi"/>
        </w:rPr>
        <w:t>addresses</w:t>
      </w:r>
      <w:proofErr w:type="gramEnd"/>
      <w:r>
        <w:rPr>
          <w:rFonts w:asciiTheme="majorBidi" w:hAnsiTheme="majorBidi" w:cstheme="majorBidi"/>
        </w:rPr>
        <w:t xml:space="preserve"> broadband connectivity playing a fundamental role for the social, economic, cultural and environmental development of society as a whole, and broadband initiatives not only seek to bridge the digital divide but also foster broadband development in rural areas.</w:t>
      </w:r>
    </w:p>
    <w:p w:rsidR="00342474" w:rsidRDefault="00633F39">
      <w:pPr>
        <w:pStyle w:val="Heading2"/>
        <w:ind w:left="0" w:firstLine="0"/>
      </w:pPr>
      <w:bookmarkStart w:id="70" w:name="_Toc530750141"/>
      <w:r>
        <w:lastRenderedPageBreak/>
        <w:t>9.9</w:t>
      </w:r>
      <w:r>
        <w:tab/>
        <w:t>New Resolution WGPL/1 “Use of information and communication technologies to bridge the financial inclusion gap –ITU and ITU-T study groups to study financial inclusion for developing countries”</w:t>
      </w:r>
      <w:bookmarkEnd w:id="70"/>
    </w:p>
    <w:p w:rsidR="00342474" w:rsidRDefault="00633F39">
      <w:pPr>
        <w:pStyle w:val="ListParagraph"/>
        <w:numPr>
          <w:ilvl w:val="0"/>
          <w:numId w:val="11"/>
        </w:numPr>
        <w:ind w:hanging="357"/>
        <w:contextualSpacing w:val="0"/>
        <w:rPr>
          <w:rFonts w:asciiTheme="majorBidi" w:hAnsiTheme="majorBidi" w:cstheme="majorBidi"/>
        </w:rPr>
      </w:pPr>
      <w:r>
        <w:rPr>
          <w:rFonts w:asciiTheme="majorBidi" w:hAnsiTheme="majorBidi" w:cstheme="majorBidi"/>
        </w:rPr>
        <w:t>ITU</w:t>
      </w:r>
      <w:r>
        <w:rPr>
          <w:rFonts w:ascii="Times New Roman" w:hAnsi="Times New Roman"/>
          <w:szCs w:val="24"/>
        </w:rPr>
        <w:t>-</w:t>
      </w:r>
      <w:r>
        <w:rPr>
          <w:rFonts w:asciiTheme="majorBidi" w:hAnsiTheme="majorBidi" w:cstheme="majorBidi"/>
        </w:rPr>
        <w:t>T study groups to study economic and policy issues, developing standards, recommendations and guidelines in areas: interoperability, digitization of payments, consumer protection, quality of service, data monetization, agents, and network security, and collaboration with telecommunication regulators, financial regulators and central banks.</w:t>
      </w:r>
    </w:p>
    <w:p w:rsidR="00342474" w:rsidRDefault="00633F39">
      <w:pPr>
        <w:pStyle w:val="ListParagraph"/>
        <w:numPr>
          <w:ilvl w:val="0"/>
          <w:numId w:val="11"/>
        </w:numPr>
        <w:ind w:hanging="357"/>
        <w:contextualSpacing w:val="0"/>
        <w:rPr>
          <w:rFonts w:asciiTheme="majorBidi" w:hAnsiTheme="majorBidi" w:cstheme="majorBidi"/>
        </w:rPr>
      </w:pPr>
      <w:r>
        <w:rPr>
          <w:rFonts w:asciiTheme="majorBidi" w:hAnsiTheme="majorBidi" w:cstheme="majorBidi"/>
        </w:rPr>
        <w:t>TSBDir to report to Council on this Resolution and on FIGI;</w:t>
      </w:r>
    </w:p>
    <w:p w:rsidR="00342474" w:rsidRDefault="00633F39">
      <w:pPr>
        <w:pStyle w:val="ListParagraph"/>
        <w:numPr>
          <w:ilvl w:val="0"/>
          <w:numId w:val="11"/>
        </w:numPr>
        <w:ind w:hanging="357"/>
        <w:contextualSpacing w:val="0"/>
        <w:rPr>
          <w:rFonts w:asciiTheme="majorBidi" w:hAnsiTheme="majorBidi" w:cstheme="majorBidi"/>
        </w:rPr>
      </w:pPr>
      <w:r>
        <w:rPr>
          <w:rFonts w:asciiTheme="majorBidi" w:hAnsiTheme="majorBidi" w:cstheme="majorBidi"/>
        </w:rPr>
        <w:t>TSBDir to support the development of reports and best practices on digital financial inclusion;</w:t>
      </w:r>
    </w:p>
    <w:p w:rsidR="00342474" w:rsidRDefault="00633F39">
      <w:pPr>
        <w:pStyle w:val="ListParagraph"/>
        <w:numPr>
          <w:ilvl w:val="0"/>
          <w:numId w:val="11"/>
        </w:numPr>
        <w:ind w:hanging="357"/>
        <w:contextualSpacing w:val="0"/>
        <w:rPr>
          <w:rFonts w:asciiTheme="majorBidi" w:hAnsiTheme="majorBidi" w:cstheme="majorBidi"/>
        </w:rPr>
      </w:pPr>
      <w:r>
        <w:rPr>
          <w:rFonts w:asciiTheme="majorBidi" w:hAnsiTheme="majorBidi" w:cstheme="majorBidi"/>
        </w:rPr>
        <w:t>TSBDir to support platforms for peer learning, dialogue and experience-sharing in digital financial services among countries and regions, regulators from telecommunication and financial services sectors, industry experts and international and regional organizations;</w:t>
      </w:r>
    </w:p>
    <w:p w:rsidR="00342474" w:rsidRDefault="00633F39">
      <w:pPr>
        <w:pStyle w:val="ListParagraph"/>
        <w:numPr>
          <w:ilvl w:val="0"/>
          <w:numId w:val="11"/>
        </w:numPr>
        <w:ind w:hanging="357"/>
        <w:contextualSpacing w:val="0"/>
        <w:rPr>
          <w:rFonts w:asciiTheme="majorBidi" w:hAnsiTheme="majorBidi" w:cstheme="majorBidi"/>
        </w:rPr>
      </w:pPr>
      <w:r>
        <w:rPr>
          <w:rFonts w:asciiTheme="majorBidi" w:hAnsiTheme="majorBidi" w:cstheme="majorBidi"/>
        </w:rPr>
        <w:t>TSBDir to organize workshops/seminars.</w:t>
      </w:r>
    </w:p>
    <w:p w:rsidR="00342474" w:rsidRDefault="00633F39">
      <w:pPr>
        <w:pStyle w:val="ListParagraph"/>
        <w:numPr>
          <w:ilvl w:val="0"/>
          <w:numId w:val="11"/>
        </w:numPr>
        <w:ind w:hanging="357"/>
        <w:contextualSpacing w:val="0"/>
        <w:rPr>
          <w:rFonts w:ascii="Times New Roman" w:hAnsi="Times New Roman"/>
          <w:szCs w:val="24"/>
        </w:rPr>
      </w:pPr>
      <w:r>
        <w:rPr>
          <w:rFonts w:asciiTheme="majorBidi" w:hAnsiTheme="majorBidi" w:cstheme="majorBidi"/>
        </w:rPr>
        <w:t>SecGen to</w:t>
      </w:r>
      <w:r>
        <w:rPr>
          <w:rFonts w:ascii="Times New Roman" w:hAnsi="Times New Roman"/>
          <w:szCs w:val="24"/>
        </w:rPr>
        <w:t xml:space="preserve"> report to Council on FIGI activities.</w:t>
      </w:r>
    </w:p>
    <w:p w:rsidR="00342474" w:rsidRDefault="00633F39">
      <w:pPr>
        <w:pStyle w:val="Heading2"/>
        <w:ind w:left="0" w:firstLine="0"/>
      </w:pPr>
      <w:bookmarkStart w:id="71" w:name="_Toc530750142"/>
      <w:r>
        <w:t>9.10</w:t>
      </w:r>
      <w:r>
        <w:tab/>
        <w:t>New Resolution COM6/3 “Measures to improve, promote and strengthen ITU fellowships”</w:t>
      </w:r>
      <w:bookmarkEnd w:id="71"/>
    </w:p>
    <w:p w:rsidR="00342474" w:rsidRDefault="00585797">
      <w:pPr>
        <w:pStyle w:val="ListParagraph"/>
        <w:numPr>
          <w:ilvl w:val="0"/>
          <w:numId w:val="11"/>
        </w:numPr>
        <w:ind w:hanging="357"/>
        <w:contextualSpacing w:val="0"/>
        <w:rPr>
          <w:rFonts w:asciiTheme="majorBidi" w:hAnsiTheme="majorBidi" w:cstheme="majorBidi"/>
        </w:rPr>
      </w:pPr>
      <w:r>
        <w:rPr>
          <w:rFonts w:asciiTheme="majorBidi" w:hAnsiTheme="majorBidi" w:cstheme="majorBidi"/>
        </w:rPr>
        <w:t>E</w:t>
      </w:r>
      <w:r w:rsidR="00633F39">
        <w:rPr>
          <w:rFonts w:asciiTheme="majorBidi" w:hAnsiTheme="majorBidi" w:cstheme="majorBidi"/>
        </w:rPr>
        <w:t>mphasizes the importance of criteria such as gender, inclusiveness and geographical distribution, thereby providing an enhanced and transparent framework as well as appropriate oversight on the fellowship programme.</w:t>
      </w:r>
    </w:p>
    <w:p w:rsidR="00342474" w:rsidRDefault="00633F39">
      <w:pPr>
        <w:pStyle w:val="ListParagraph"/>
        <w:numPr>
          <w:ilvl w:val="0"/>
          <w:numId w:val="11"/>
        </w:numPr>
        <w:contextualSpacing w:val="0"/>
        <w:rPr>
          <w:rFonts w:ascii="Times New Roman" w:hAnsi="Times New Roman"/>
          <w:szCs w:val="24"/>
        </w:rPr>
      </w:pPr>
      <w:r>
        <w:rPr>
          <w:rFonts w:asciiTheme="majorBidi" w:hAnsiTheme="majorBidi" w:cstheme="majorBidi"/>
          <w:szCs w:val="24"/>
        </w:rPr>
        <w:t xml:space="preserve">To </w:t>
      </w:r>
      <w:r>
        <w:rPr>
          <w:rFonts w:ascii="Times New Roman" w:hAnsi="Times New Roman"/>
          <w:szCs w:val="24"/>
        </w:rPr>
        <w:t>award fellowships to countries having GDP less than $2000 per capita in fair and transparent manner.</w:t>
      </w:r>
    </w:p>
    <w:p w:rsidR="00342474" w:rsidRDefault="00633F39">
      <w:pPr>
        <w:pStyle w:val="ListParagraph"/>
        <w:numPr>
          <w:ilvl w:val="0"/>
          <w:numId w:val="11"/>
        </w:numPr>
        <w:contextualSpacing w:val="0"/>
        <w:rPr>
          <w:rFonts w:ascii="Times New Roman" w:hAnsi="Times New Roman"/>
          <w:szCs w:val="24"/>
        </w:rPr>
      </w:pPr>
      <w:r>
        <w:rPr>
          <w:rFonts w:ascii="Times New Roman" w:hAnsi="Times New Roman"/>
          <w:szCs w:val="24"/>
        </w:rPr>
        <w:t>To seek measures that ITU Sectors be accountable for fellowships.</w:t>
      </w:r>
    </w:p>
    <w:p w:rsidR="00342474" w:rsidRDefault="00633F39">
      <w:pPr>
        <w:pStyle w:val="ListParagraph"/>
        <w:numPr>
          <w:ilvl w:val="0"/>
          <w:numId w:val="11"/>
        </w:numPr>
        <w:contextualSpacing w:val="0"/>
        <w:rPr>
          <w:rFonts w:asciiTheme="majorBidi" w:hAnsiTheme="majorBidi" w:cstheme="majorBidi"/>
          <w:szCs w:val="24"/>
        </w:rPr>
      </w:pPr>
      <w:r>
        <w:rPr>
          <w:rFonts w:ascii="Times New Roman" w:hAnsi="Times New Roman"/>
          <w:szCs w:val="24"/>
        </w:rPr>
        <w:t>TSBDir to report to Council</w:t>
      </w:r>
      <w:r>
        <w:rPr>
          <w:rFonts w:asciiTheme="majorBidi" w:hAnsiTheme="majorBidi" w:cstheme="majorBidi"/>
          <w:szCs w:val="24"/>
        </w:rPr>
        <w:t xml:space="preserve"> annually on cost of fellowships.</w:t>
      </w:r>
    </w:p>
    <w:p w:rsidR="00342474" w:rsidRDefault="00633F39">
      <w:pPr>
        <w:pStyle w:val="Heading2"/>
        <w:ind w:left="0" w:firstLine="0"/>
      </w:pPr>
      <w:bookmarkStart w:id="72" w:name="_Toc530750143"/>
      <w:r>
        <w:t>9.11</w:t>
      </w:r>
      <w:r>
        <w:tab/>
        <w:t>New Resolution WGPL/2 “ITU's role in fostering telecommunication/information and communication technology-centric innovation to support the digital economy and society”</w:t>
      </w:r>
      <w:bookmarkEnd w:id="72"/>
    </w:p>
    <w:p w:rsidR="00342474" w:rsidRDefault="00633F39">
      <w:pPr>
        <w:pStyle w:val="ListParagraph"/>
        <w:numPr>
          <w:ilvl w:val="0"/>
          <w:numId w:val="11"/>
        </w:numPr>
        <w:contextualSpacing w:val="0"/>
        <w:rPr>
          <w:rFonts w:asciiTheme="majorBidi" w:hAnsiTheme="majorBidi" w:cstheme="majorBidi"/>
          <w:szCs w:val="24"/>
        </w:rPr>
      </w:pPr>
      <w:r>
        <w:rPr>
          <w:rFonts w:asciiTheme="majorBidi" w:hAnsiTheme="majorBidi" w:cstheme="majorBidi"/>
          <w:szCs w:val="24"/>
        </w:rPr>
        <w:t>ITU to foster telecommunication/ICT centric innovation in the development and deployment of telecommunications /ICT infrastructure that contribute to the development of the digital economy.</w:t>
      </w:r>
    </w:p>
    <w:p w:rsidR="00342474" w:rsidRDefault="00633F39">
      <w:pPr>
        <w:pStyle w:val="ListParagraph"/>
        <w:numPr>
          <w:ilvl w:val="0"/>
          <w:numId w:val="11"/>
        </w:numPr>
        <w:contextualSpacing w:val="0"/>
        <w:rPr>
          <w:rFonts w:asciiTheme="majorBidi" w:hAnsiTheme="majorBidi" w:cstheme="majorBidi"/>
          <w:szCs w:val="24"/>
        </w:rPr>
      </w:pPr>
      <w:r>
        <w:rPr>
          <w:rFonts w:asciiTheme="majorBidi" w:hAnsiTheme="majorBidi" w:cstheme="majorBidi"/>
          <w:szCs w:val="24"/>
        </w:rPr>
        <w:t xml:space="preserve">TSBDir to </w:t>
      </w:r>
      <w:proofErr w:type="gramStart"/>
      <w:r>
        <w:rPr>
          <w:rFonts w:asciiTheme="majorBidi" w:hAnsiTheme="majorBidi" w:cstheme="majorBidi"/>
          <w:szCs w:val="24"/>
        </w:rPr>
        <w:t>take this resolution into account</w:t>
      </w:r>
      <w:proofErr w:type="gramEnd"/>
      <w:r>
        <w:rPr>
          <w:rFonts w:asciiTheme="majorBidi" w:hAnsiTheme="majorBidi" w:cstheme="majorBidi"/>
          <w:szCs w:val="24"/>
        </w:rPr>
        <w:t>; and to encourage the participation of the SMEs in study groups and relevant ITU activities.</w:t>
      </w:r>
    </w:p>
    <w:p w:rsidR="00342474" w:rsidRDefault="00633F39">
      <w:pPr>
        <w:pStyle w:val="Heading2"/>
        <w:ind w:left="0" w:firstLine="0"/>
      </w:pPr>
      <w:bookmarkStart w:id="73" w:name="_Toc530750144"/>
      <w:r>
        <w:t>9.12</w:t>
      </w:r>
      <w:r>
        <w:tab/>
        <w:t>New Resolution COM6/1 Support for the Iraqi Du3M 2025 initiative for advancement of the telecommunication and information technology sectors”</w:t>
      </w:r>
      <w:bookmarkEnd w:id="73"/>
    </w:p>
    <w:p w:rsidR="00342474" w:rsidRDefault="00C6278B">
      <w:pPr>
        <w:pStyle w:val="ListParagraph"/>
        <w:numPr>
          <w:ilvl w:val="0"/>
          <w:numId w:val="11"/>
        </w:numPr>
        <w:ind w:hanging="357"/>
        <w:contextualSpacing w:val="0"/>
        <w:rPr>
          <w:rFonts w:asciiTheme="majorBidi" w:hAnsiTheme="majorBidi" w:cstheme="majorBidi"/>
        </w:rPr>
      </w:pPr>
      <w:r>
        <w:rPr>
          <w:rFonts w:asciiTheme="majorBidi" w:hAnsiTheme="majorBidi" w:cstheme="majorBidi"/>
        </w:rPr>
        <w:t>D</w:t>
      </w:r>
      <w:r w:rsidR="00633F39">
        <w:rPr>
          <w:rFonts w:asciiTheme="majorBidi" w:hAnsiTheme="majorBidi" w:cstheme="majorBidi"/>
        </w:rPr>
        <w:t>eals with the Du3M 2025 initiative that Iraq launched for advancement of the ICT sector in order to develop this vital sector and keep pace with the developed countries. This resolution calls on Member States for their support to implement this initiative and on the Secretary-General for providing and mobilizing technical resources for that purpose.</w:t>
      </w:r>
    </w:p>
    <w:p w:rsidR="00342474" w:rsidRDefault="00C6278B">
      <w:pPr>
        <w:pStyle w:val="ListParagraph"/>
        <w:numPr>
          <w:ilvl w:val="0"/>
          <w:numId w:val="11"/>
        </w:numPr>
        <w:contextualSpacing w:val="0"/>
        <w:rPr>
          <w:rFonts w:asciiTheme="majorBidi" w:hAnsiTheme="majorBidi" w:cstheme="majorBidi"/>
          <w:szCs w:val="24"/>
        </w:rPr>
      </w:pPr>
      <w:r>
        <w:rPr>
          <w:rFonts w:asciiTheme="majorBidi" w:hAnsiTheme="majorBidi" w:cstheme="majorBidi"/>
          <w:szCs w:val="24"/>
        </w:rPr>
        <w:t>To p</w:t>
      </w:r>
      <w:r w:rsidR="00633F39">
        <w:rPr>
          <w:rFonts w:asciiTheme="majorBidi" w:hAnsiTheme="majorBidi" w:cstheme="majorBidi"/>
          <w:szCs w:val="24"/>
        </w:rPr>
        <w:t>rovide technical expertise (to Irak) on e-government</w:t>
      </w:r>
      <w:proofErr w:type="gramStart"/>
      <w:r w:rsidR="00633F39">
        <w:rPr>
          <w:rFonts w:asciiTheme="majorBidi" w:hAnsiTheme="majorBidi" w:cstheme="majorBidi"/>
          <w:szCs w:val="24"/>
        </w:rPr>
        <w:t>;</w:t>
      </w:r>
      <w:proofErr w:type="gramEnd"/>
      <w:r w:rsidR="00633F39">
        <w:rPr>
          <w:rFonts w:asciiTheme="majorBidi" w:hAnsiTheme="majorBidi" w:cstheme="majorBidi"/>
          <w:szCs w:val="24"/>
        </w:rPr>
        <w:t xml:space="preserve"> universal service, smart cities, digital inclusion, big data, the provision of modern technologies and services.</w:t>
      </w:r>
    </w:p>
    <w:p w:rsidR="00342474" w:rsidRDefault="00633F39">
      <w:pPr>
        <w:pStyle w:val="Heading2"/>
        <w:ind w:left="0" w:firstLine="0"/>
      </w:pPr>
      <w:bookmarkStart w:id="74" w:name="_Toc530750145"/>
      <w:r>
        <w:lastRenderedPageBreak/>
        <w:t>9.13</w:t>
      </w:r>
      <w:r>
        <w:tab/>
        <w:t>Resolution 128 “Support for the Agenda for Connectivity in the Americas and Quito Action Plan”</w:t>
      </w:r>
      <w:bookmarkEnd w:id="74"/>
    </w:p>
    <w:p w:rsidR="00342474" w:rsidRDefault="00633F39">
      <w:pPr>
        <w:rPr>
          <w:rFonts w:asciiTheme="majorBidi" w:hAnsiTheme="majorBidi" w:cstheme="majorBidi"/>
          <w:szCs w:val="24"/>
        </w:rPr>
      </w:pPr>
      <w:proofErr w:type="gramStart"/>
      <w:r>
        <w:rPr>
          <w:rFonts w:asciiTheme="majorBidi" w:hAnsiTheme="majorBidi" w:cstheme="majorBidi"/>
          <w:szCs w:val="24"/>
        </w:rPr>
        <w:t>was</w:t>
      </w:r>
      <w:proofErr w:type="gramEnd"/>
      <w:r>
        <w:rPr>
          <w:rFonts w:asciiTheme="majorBidi" w:hAnsiTheme="majorBidi" w:cstheme="majorBidi"/>
          <w:szCs w:val="24"/>
        </w:rPr>
        <w:t xml:space="preserve"> </w:t>
      </w:r>
      <w:r>
        <w:rPr>
          <w:rFonts w:asciiTheme="majorBidi" w:hAnsiTheme="majorBidi" w:cstheme="majorBidi"/>
        </w:rPr>
        <w:t>supressed</w:t>
      </w:r>
      <w:r>
        <w:rPr>
          <w:rFonts w:asciiTheme="majorBidi" w:hAnsiTheme="majorBidi" w:cstheme="majorBidi"/>
          <w:szCs w:val="24"/>
        </w:rPr>
        <w:t>.</w:t>
      </w:r>
    </w:p>
    <w:p w:rsidR="00342474" w:rsidRDefault="00633F39">
      <w:pPr>
        <w:pStyle w:val="Heading1"/>
        <w:spacing w:before="240"/>
      </w:pPr>
      <w:bookmarkStart w:id="75" w:name="_Toc530750146"/>
      <w:r>
        <w:t>10</w:t>
      </w:r>
      <w:r>
        <w:tab/>
        <w:t>Regional Presence</w:t>
      </w:r>
      <w:bookmarkEnd w:id="75"/>
    </w:p>
    <w:p w:rsidR="00342474" w:rsidRDefault="00633F39">
      <w:pPr>
        <w:pStyle w:val="Heading2"/>
        <w:spacing w:before="120"/>
        <w:ind w:left="0" w:firstLine="0"/>
      </w:pPr>
      <w:bookmarkStart w:id="76" w:name="_Toc530750147"/>
      <w:r>
        <w:t>10.1</w:t>
      </w:r>
      <w:r>
        <w:tab/>
        <w:t>Revised Resolution 25 “Strengthening the regional presence”</w:t>
      </w:r>
      <w:bookmarkEnd w:id="76"/>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Regional offices become involved in all ITU activities.</w:t>
      </w:r>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Regional offices have to report to the Advisor groups (TSAG), and to the Directors on their activities, as well as to the Directors of BR and TSB on regional activities related to their respective Sectors.</w:t>
      </w:r>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 xml:space="preserve">All planned activities of the three Sectors and the General Secretariat in the regions are to be </w:t>
      </w:r>
      <w:proofErr w:type="gramStart"/>
      <w:r>
        <w:rPr>
          <w:rFonts w:asciiTheme="majorBidi" w:hAnsiTheme="majorBidi" w:cstheme="majorBidi"/>
          <w:szCs w:val="24"/>
        </w:rPr>
        <w:t>consolidated</w:t>
      </w:r>
      <w:proofErr w:type="gramEnd"/>
      <w:r>
        <w:rPr>
          <w:rFonts w:asciiTheme="majorBidi" w:hAnsiTheme="majorBidi" w:cstheme="majorBidi"/>
          <w:szCs w:val="24"/>
        </w:rPr>
        <w:t xml:space="preserve"> into the regional parts of the operational plans and implemented under the coordination of the regional offices.</w:t>
      </w:r>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 xml:space="preserve">TSBDir to ensure that ITU-T activities </w:t>
      </w:r>
      <w:proofErr w:type="gramStart"/>
      <w:r>
        <w:rPr>
          <w:rFonts w:asciiTheme="majorBidi" w:hAnsiTheme="majorBidi" w:cstheme="majorBidi"/>
          <w:szCs w:val="24"/>
        </w:rPr>
        <w:t>are incorporated into and provided through the Regional Area Offices</w:t>
      </w:r>
      <w:proofErr w:type="gramEnd"/>
      <w:r>
        <w:rPr>
          <w:rFonts w:asciiTheme="majorBidi" w:hAnsiTheme="majorBidi" w:cstheme="majorBidi"/>
          <w:szCs w:val="24"/>
        </w:rPr>
        <w:t>.</w:t>
      </w:r>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Delegates from developing countries having submitted contributions are eligible for fellowships.</w:t>
      </w:r>
    </w:p>
    <w:p w:rsidR="00342474" w:rsidRDefault="00633F39" w:rsidP="00586444">
      <w:pPr>
        <w:pStyle w:val="ListParagraph"/>
        <w:numPr>
          <w:ilvl w:val="0"/>
          <w:numId w:val="9"/>
        </w:numPr>
        <w:tabs>
          <w:tab w:val="clear" w:pos="1134"/>
          <w:tab w:val="clear" w:pos="1701"/>
          <w:tab w:val="clear" w:pos="2268"/>
          <w:tab w:val="clear" w:pos="2835"/>
        </w:tabs>
        <w:overflowPunct/>
        <w:autoSpaceDE/>
        <w:autoSpaceDN/>
        <w:adjustRightInd/>
        <w:spacing w:before="60" w:after="60"/>
        <w:ind w:left="357" w:hanging="357"/>
        <w:contextualSpacing w:val="0"/>
        <w:textAlignment w:val="auto"/>
        <w:rPr>
          <w:rFonts w:asciiTheme="majorBidi" w:hAnsiTheme="majorBidi" w:cstheme="majorBidi"/>
          <w:szCs w:val="24"/>
        </w:rPr>
      </w:pPr>
      <w:r>
        <w:rPr>
          <w:rFonts w:asciiTheme="majorBidi" w:hAnsiTheme="majorBidi" w:cstheme="majorBidi"/>
          <w:szCs w:val="24"/>
        </w:rPr>
        <w:t>Secretary-General to conduct an overall review on ITU regional presence for reporting to Council 2020.</w:t>
      </w:r>
    </w:p>
    <w:p w:rsidR="00342474" w:rsidRDefault="00633F39">
      <w:pPr>
        <w:pStyle w:val="Heading1"/>
        <w:spacing w:before="240"/>
      </w:pPr>
      <w:bookmarkStart w:id="77" w:name="_Toc530750148"/>
      <w:r>
        <w:t>11</w:t>
      </w:r>
      <w:r>
        <w:tab/>
        <w:t>International Telecommunication Regulations</w:t>
      </w:r>
      <w:bookmarkEnd w:id="77"/>
    </w:p>
    <w:p w:rsidR="00342474" w:rsidRDefault="00633F39">
      <w:pPr>
        <w:pStyle w:val="Heading2"/>
        <w:spacing w:before="120"/>
        <w:ind w:left="0" w:firstLine="0"/>
      </w:pPr>
      <w:bookmarkStart w:id="78" w:name="_Toc530750149"/>
      <w:r>
        <w:t>11.1</w:t>
      </w:r>
      <w:r>
        <w:tab/>
        <w:t>Revised Resolution 146 “Periodic review and revision of the International Telecommunication Regulations”</w:t>
      </w:r>
      <w:bookmarkEnd w:id="78"/>
    </w:p>
    <w:p w:rsidR="00342474" w:rsidRDefault="00633F39">
      <w:pPr>
        <w:rPr>
          <w:rFonts w:asciiTheme="majorBidi" w:hAnsiTheme="majorBidi" w:cstheme="majorBidi"/>
          <w:szCs w:val="24"/>
        </w:rPr>
      </w:pPr>
      <w:proofErr w:type="gramStart"/>
      <w:r>
        <w:t>c</w:t>
      </w:r>
      <w:r>
        <w:rPr>
          <w:rFonts w:asciiTheme="majorBidi" w:hAnsiTheme="majorBidi" w:cstheme="majorBidi"/>
          <w:szCs w:val="24"/>
        </w:rPr>
        <w:t>ontinues</w:t>
      </w:r>
      <w:proofErr w:type="gramEnd"/>
      <w:r>
        <w:rPr>
          <w:rFonts w:asciiTheme="majorBidi" w:hAnsiTheme="majorBidi" w:cstheme="majorBidi"/>
          <w:szCs w:val="24"/>
        </w:rPr>
        <w:t xml:space="preserve"> EG-ITR and ITU to conduct review of ITRs. TSBDir to contribute to EG-ITR.</w:t>
      </w:r>
    </w:p>
    <w:p w:rsidR="00342474" w:rsidRDefault="00633F39">
      <w:pPr>
        <w:pStyle w:val="Heading1"/>
        <w:spacing w:before="240"/>
      </w:pPr>
      <w:bookmarkStart w:id="79" w:name="_Toc530750150"/>
      <w:r>
        <w:t>12</w:t>
      </w:r>
      <w:r>
        <w:tab/>
        <w:t>Internet-related Resolutions</w:t>
      </w:r>
      <w:bookmarkEnd w:id="79"/>
    </w:p>
    <w:p w:rsidR="00342474" w:rsidRDefault="00633F39">
      <w:pPr>
        <w:pStyle w:val="Heading2"/>
        <w:spacing w:before="120"/>
        <w:ind w:left="0" w:firstLine="0"/>
      </w:pPr>
      <w:bookmarkStart w:id="80" w:name="_Toc530750151"/>
      <w:r>
        <w:t>12.1</w:t>
      </w:r>
      <w:r>
        <w:tab/>
        <w:t>Revised Resolution 101 “Internet Protocol-based networks”</w:t>
      </w:r>
      <w:bookmarkEnd w:id="80"/>
    </w:p>
    <w:p w:rsidR="00342474" w:rsidRDefault="00633F39">
      <w:pPr>
        <w:rPr>
          <w:rFonts w:asciiTheme="majorBidi" w:hAnsiTheme="majorBidi" w:cstheme="majorBidi"/>
        </w:rPr>
      </w:pPr>
      <w:proofErr w:type="gramStart"/>
      <w:r>
        <w:rPr>
          <w:rFonts w:asciiTheme="majorBidi" w:hAnsiTheme="majorBidi" w:cstheme="majorBidi"/>
        </w:rPr>
        <w:t>includes</w:t>
      </w:r>
      <w:proofErr w:type="gramEnd"/>
      <w:r>
        <w:rPr>
          <w:rFonts w:asciiTheme="majorBidi" w:hAnsiTheme="majorBidi" w:cstheme="majorBidi"/>
        </w:rPr>
        <w:t xml:space="preserve"> the agenda 2030/SDGs, and strengthening collaboration with other entities and organisations.</w:t>
      </w:r>
    </w:p>
    <w:p w:rsidR="00342474" w:rsidRDefault="00633F39">
      <w:pPr>
        <w:pStyle w:val="Heading2"/>
        <w:ind w:left="0" w:firstLine="0"/>
      </w:pPr>
      <w:bookmarkStart w:id="81" w:name="_Toc530750152"/>
      <w:r>
        <w:t>12.2</w:t>
      </w:r>
      <w:r>
        <w:tab/>
        <w:t>Revised Resolution 102 “ITU's role with regard to international public policy issues pertaining to the Internet and the management of Internet resources, including domain names and addresses”</w:t>
      </w:r>
      <w:bookmarkEnd w:id="81"/>
    </w:p>
    <w:p w:rsidR="00342474" w:rsidRDefault="00633F39">
      <w:pPr>
        <w:rPr>
          <w:rFonts w:asciiTheme="majorBidi" w:hAnsiTheme="majorBidi" w:cstheme="majorBidi"/>
        </w:rPr>
      </w:pPr>
      <w:proofErr w:type="gramStart"/>
      <w:r>
        <w:rPr>
          <w:rFonts w:asciiTheme="majorBidi" w:hAnsiTheme="majorBidi" w:cstheme="majorBidi"/>
        </w:rPr>
        <w:t>emphasizes</w:t>
      </w:r>
      <w:proofErr w:type="gramEnd"/>
      <w:r>
        <w:rPr>
          <w:rFonts w:asciiTheme="majorBidi" w:hAnsiTheme="majorBidi" w:cstheme="majorBidi"/>
        </w:rPr>
        <w:t xml:space="preserve"> the need for greater collaboration and cooperation and greater participation of Member States in Internet governance.</w:t>
      </w:r>
    </w:p>
    <w:p w:rsidR="00342474" w:rsidRDefault="00633F39">
      <w:pPr>
        <w:pStyle w:val="Heading2"/>
        <w:ind w:left="0" w:firstLine="0"/>
      </w:pPr>
      <w:bookmarkStart w:id="82" w:name="_Toc530750153"/>
      <w:r>
        <w:t>12.3</w:t>
      </w:r>
      <w:r>
        <w:tab/>
        <w:t>Revised Resolution 133 “Role of administrations of Member States in the management of internationalized (multilingual) domain names”</w:t>
      </w:r>
      <w:bookmarkEnd w:id="82"/>
    </w:p>
    <w:p w:rsidR="00342474" w:rsidRDefault="00633F39">
      <w:pPr>
        <w:overflowPunct/>
        <w:autoSpaceDE/>
        <w:autoSpaceDN/>
        <w:adjustRightInd/>
        <w:textAlignment w:val="auto"/>
        <w:rPr>
          <w:rFonts w:asciiTheme="majorBidi" w:hAnsiTheme="majorBidi" w:cstheme="majorBidi"/>
        </w:rPr>
      </w:pPr>
      <w:r>
        <w:rPr>
          <w:rFonts w:asciiTheme="majorBidi" w:hAnsiTheme="majorBidi" w:cstheme="majorBidi"/>
        </w:rPr>
        <w:t>SecGen and TSBDir to explore ways and means for greater collaboration and coordination between ITU and relevant organizations involved in the deployment of IP-based networks.</w:t>
      </w:r>
    </w:p>
    <w:p w:rsidR="00342474" w:rsidRDefault="00633F39">
      <w:pPr>
        <w:pStyle w:val="Heading2"/>
        <w:ind w:left="0" w:firstLine="0"/>
      </w:pPr>
      <w:bookmarkStart w:id="83" w:name="_Toc530750154"/>
      <w:r>
        <w:t>12.4</w:t>
      </w:r>
      <w:r>
        <w:tab/>
        <w:t>Revised Resolution 180 “Promoting deployment and adoption of IPv6 to facilitate the transition from IPv4 to IPv6”</w:t>
      </w:r>
      <w:bookmarkEnd w:id="83"/>
    </w:p>
    <w:p w:rsidR="00342474" w:rsidRDefault="00633F39">
      <w:pPr>
        <w:pStyle w:val="ListParagraph"/>
        <w:numPr>
          <w:ilvl w:val="0"/>
          <w:numId w:val="11"/>
        </w:numPr>
        <w:overflowPunct/>
        <w:autoSpaceDE/>
        <w:autoSpaceDN/>
        <w:adjustRightInd/>
        <w:ind w:hanging="357"/>
        <w:contextualSpacing w:val="0"/>
        <w:textAlignment w:val="auto"/>
        <w:rPr>
          <w:rFonts w:asciiTheme="majorBidi" w:hAnsiTheme="majorBidi" w:cstheme="majorBidi"/>
        </w:rPr>
      </w:pPr>
      <w:proofErr w:type="gramStart"/>
      <w:r>
        <w:rPr>
          <w:rFonts w:asciiTheme="majorBidi" w:hAnsiTheme="majorBidi" w:cstheme="majorBidi"/>
        </w:rPr>
        <w:t>changed</w:t>
      </w:r>
      <w:proofErr w:type="gramEnd"/>
      <w:r>
        <w:rPr>
          <w:rFonts w:asciiTheme="majorBidi" w:hAnsiTheme="majorBidi" w:cstheme="majorBidi"/>
        </w:rPr>
        <w:t xml:space="preserve"> scope to focussing on the deployment and adoption of IPv6 rather than transitioning from IPv4 as beforehand.</w:t>
      </w:r>
    </w:p>
    <w:p w:rsidR="00342474" w:rsidRDefault="00633F39">
      <w:pPr>
        <w:pStyle w:val="ListParagraph"/>
        <w:numPr>
          <w:ilvl w:val="0"/>
          <w:numId w:val="11"/>
        </w:numPr>
        <w:overflowPunct/>
        <w:autoSpaceDE/>
        <w:autoSpaceDN/>
        <w:adjustRightInd/>
        <w:ind w:hanging="357"/>
        <w:contextualSpacing w:val="0"/>
        <w:textAlignment w:val="auto"/>
        <w:rPr>
          <w:rFonts w:asciiTheme="majorBidi" w:hAnsiTheme="majorBidi" w:cstheme="majorBidi"/>
        </w:rPr>
      </w:pPr>
      <w:r>
        <w:rPr>
          <w:rFonts w:asciiTheme="majorBidi" w:hAnsiTheme="majorBidi" w:cstheme="majorBidi"/>
        </w:rPr>
        <w:lastRenderedPageBreak/>
        <w:t>Emphasizes the need for greater collaboration and cooperation between ITU and other relevant organizations.</w:t>
      </w:r>
    </w:p>
    <w:p w:rsidR="00342474" w:rsidRDefault="00633F39">
      <w:pPr>
        <w:pStyle w:val="Heading2"/>
        <w:ind w:left="0" w:firstLine="0"/>
      </w:pPr>
      <w:bookmarkStart w:id="84" w:name="_Toc530750155"/>
      <w:r>
        <w:t>12.5</w:t>
      </w:r>
      <w:r>
        <w:tab/>
        <w:t>Revised Resolution 197 “Facilitating the Internet of Things and smart sustainable cities and communities”</w:t>
      </w:r>
      <w:bookmarkEnd w:id="84"/>
    </w:p>
    <w:p w:rsidR="00342474" w:rsidRDefault="00633F39">
      <w:pPr>
        <w:overflowPunct/>
        <w:autoSpaceDE/>
        <w:autoSpaceDN/>
        <w:adjustRightInd/>
        <w:textAlignment w:val="auto"/>
        <w:rPr>
          <w:rFonts w:asciiTheme="majorBidi" w:hAnsiTheme="majorBidi" w:cstheme="majorBidi"/>
        </w:rPr>
      </w:pPr>
      <w:proofErr w:type="gramStart"/>
      <w:r>
        <w:rPr>
          <w:rFonts w:asciiTheme="majorBidi" w:hAnsiTheme="majorBidi" w:cstheme="majorBidi"/>
        </w:rPr>
        <w:t>includes</w:t>
      </w:r>
      <w:proofErr w:type="gramEnd"/>
      <w:r>
        <w:rPr>
          <w:rFonts w:asciiTheme="majorBidi" w:hAnsiTheme="majorBidi" w:cstheme="majorBidi"/>
        </w:rPr>
        <w:t xml:space="preserve"> in scope smart sustainable cities and the SDGs.</w:t>
      </w:r>
    </w:p>
    <w:p w:rsidR="00342474" w:rsidRDefault="00633F39">
      <w:pPr>
        <w:pStyle w:val="Heading2"/>
        <w:ind w:left="0" w:firstLine="0"/>
      </w:pPr>
      <w:bookmarkStart w:id="85" w:name="_Toc530750156"/>
      <w:r>
        <w:t>12.6</w:t>
      </w:r>
      <w:r>
        <w:tab/>
        <w:t>New Resolution WGPL/3 “OTTs”</w:t>
      </w:r>
      <w:bookmarkEnd w:id="85"/>
    </w:p>
    <w:p w:rsidR="00342474" w:rsidRDefault="00633F39">
      <w:pPr>
        <w:pStyle w:val="ListParagraph"/>
        <w:numPr>
          <w:ilvl w:val="0"/>
          <w:numId w:val="9"/>
        </w:numPr>
        <w:tabs>
          <w:tab w:val="clear" w:pos="1134"/>
          <w:tab w:val="clear" w:pos="1701"/>
          <w:tab w:val="clear" w:pos="2268"/>
          <w:tab w:val="clear" w:pos="2835"/>
        </w:tabs>
        <w:overflowPunct/>
        <w:autoSpaceDE/>
        <w:autoSpaceDN/>
        <w:adjustRightInd/>
        <w:spacing w:before="60" w:after="60"/>
        <w:contextualSpacing w:val="0"/>
        <w:textAlignment w:val="auto"/>
        <w:rPr>
          <w:rFonts w:asciiTheme="majorBidi" w:hAnsiTheme="majorBidi" w:cstheme="majorBidi"/>
          <w:szCs w:val="24"/>
        </w:rPr>
      </w:pPr>
      <w:r>
        <w:rPr>
          <w:rFonts w:asciiTheme="majorBidi" w:hAnsiTheme="majorBidi" w:cstheme="majorBidi"/>
          <w:szCs w:val="24"/>
        </w:rPr>
        <w:t>Raise awareness, capacity building, and continue dialogue with stakeholders on OTT.</w:t>
      </w:r>
    </w:p>
    <w:p w:rsidR="00342474" w:rsidRDefault="00633F39">
      <w:pPr>
        <w:pStyle w:val="ListParagraph"/>
        <w:numPr>
          <w:ilvl w:val="0"/>
          <w:numId w:val="9"/>
        </w:numPr>
        <w:tabs>
          <w:tab w:val="clear" w:pos="1134"/>
          <w:tab w:val="clear" w:pos="1701"/>
          <w:tab w:val="clear" w:pos="2268"/>
          <w:tab w:val="clear" w:pos="2835"/>
        </w:tabs>
        <w:overflowPunct/>
        <w:autoSpaceDE/>
        <w:autoSpaceDN/>
        <w:adjustRightInd/>
        <w:spacing w:before="60" w:after="60"/>
        <w:contextualSpacing w:val="0"/>
        <w:textAlignment w:val="auto"/>
        <w:rPr>
          <w:rFonts w:asciiTheme="majorBidi" w:hAnsiTheme="majorBidi" w:cstheme="majorBidi"/>
          <w:szCs w:val="24"/>
        </w:rPr>
      </w:pPr>
      <w:r>
        <w:rPr>
          <w:rFonts w:asciiTheme="majorBidi" w:hAnsiTheme="majorBidi" w:cstheme="majorBidi"/>
          <w:szCs w:val="24"/>
        </w:rPr>
        <w:t>Continue studies on OTT.</w:t>
      </w:r>
    </w:p>
    <w:p w:rsidR="00342474" w:rsidRDefault="00633F39">
      <w:pPr>
        <w:pStyle w:val="ListParagraph"/>
        <w:numPr>
          <w:ilvl w:val="0"/>
          <w:numId w:val="9"/>
        </w:numPr>
        <w:tabs>
          <w:tab w:val="clear" w:pos="1134"/>
          <w:tab w:val="clear" w:pos="1701"/>
          <w:tab w:val="clear" w:pos="2268"/>
          <w:tab w:val="clear" w:pos="2835"/>
        </w:tabs>
        <w:overflowPunct/>
        <w:autoSpaceDE/>
        <w:autoSpaceDN/>
        <w:adjustRightInd/>
        <w:spacing w:before="60" w:after="60"/>
        <w:contextualSpacing w:val="0"/>
        <w:textAlignment w:val="auto"/>
        <w:rPr>
          <w:rFonts w:asciiTheme="majorBidi" w:hAnsiTheme="majorBidi" w:cstheme="majorBidi"/>
          <w:szCs w:val="24"/>
        </w:rPr>
      </w:pPr>
      <w:r>
        <w:rPr>
          <w:rFonts w:asciiTheme="majorBidi" w:hAnsiTheme="majorBidi" w:cstheme="majorBidi"/>
          <w:szCs w:val="24"/>
        </w:rPr>
        <w:t>TSBDir to cooperate with other ITU Sectors; and to foster studies in relevant ITU Study Groups on different OTT aspects, such as technical, economic, and policy aspects, which may have international considerations.</w:t>
      </w:r>
    </w:p>
    <w:p w:rsidR="00342474" w:rsidRDefault="00633F39">
      <w:pPr>
        <w:pStyle w:val="ListParagraph"/>
        <w:numPr>
          <w:ilvl w:val="0"/>
          <w:numId w:val="9"/>
        </w:numPr>
        <w:tabs>
          <w:tab w:val="clear" w:pos="1134"/>
          <w:tab w:val="clear" w:pos="1701"/>
          <w:tab w:val="clear" w:pos="2268"/>
          <w:tab w:val="clear" w:pos="2835"/>
        </w:tabs>
        <w:overflowPunct/>
        <w:autoSpaceDE/>
        <w:autoSpaceDN/>
        <w:adjustRightInd/>
        <w:spacing w:before="60" w:after="60"/>
        <w:contextualSpacing w:val="0"/>
        <w:textAlignment w:val="auto"/>
        <w:rPr>
          <w:rFonts w:asciiTheme="majorBidi" w:hAnsiTheme="majorBidi" w:cstheme="majorBidi"/>
          <w:szCs w:val="24"/>
        </w:rPr>
      </w:pPr>
      <w:r>
        <w:rPr>
          <w:rFonts w:asciiTheme="majorBidi" w:hAnsiTheme="majorBidi" w:cstheme="majorBidi"/>
          <w:szCs w:val="24"/>
        </w:rPr>
        <w:t>TSBDir to assist Member States with outcomes from ITU-T study groups.</w:t>
      </w:r>
    </w:p>
    <w:p w:rsidR="00342474" w:rsidRDefault="00633F39">
      <w:pPr>
        <w:pStyle w:val="ListParagraph"/>
        <w:numPr>
          <w:ilvl w:val="0"/>
          <w:numId w:val="9"/>
        </w:numPr>
        <w:tabs>
          <w:tab w:val="clear" w:pos="1134"/>
          <w:tab w:val="clear" w:pos="1701"/>
          <w:tab w:val="clear" w:pos="2268"/>
          <w:tab w:val="clear" w:pos="2835"/>
        </w:tabs>
        <w:overflowPunct/>
        <w:autoSpaceDE/>
        <w:autoSpaceDN/>
        <w:adjustRightInd/>
        <w:spacing w:before="60" w:after="60"/>
        <w:contextualSpacing w:val="0"/>
        <w:textAlignment w:val="auto"/>
        <w:rPr>
          <w:rFonts w:asciiTheme="majorBidi" w:hAnsiTheme="majorBidi" w:cstheme="majorBidi"/>
          <w:szCs w:val="24"/>
        </w:rPr>
      </w:pPr>
      <w:r>
        <w:rPr>
          <w:rFonts w:asciiTheme="majorBidi" w:hAnsiTheme="majorBidi" w:cstheme="majorBidi"/>
          <w:szCs w:val="24"/>
        </w:rPr>
        <w:t>SecGen to report annually to Council on this Resolution.</w:t>
      </w:r>
    </w:p>
    <w:p w:rsidR="00342474" w:rsidRDefault="00633F39">
      <w:pPr>
        <w:pStyle w:val="Heading1"/>
        <w:spacing w:before="240"/>
      </w:pPr>
      <w:bookmarkStart w:id="86" w:name="_Toc530750157"/>
      <w:bookmarkStart w:id="87" w:name="_Toc403928049"/>
      <w:r>
        <w:t>13</w:t>
      </w:r>
      <w:r>
        <w:tab/>
        <w:t>Cybersecurity</w:t>
      </w:r>
      <w:bookmarkEnd w:id="86"/>
    </w:p>
    <w:p w:rsidR="00342474" w:rsidRDefault="00633F39">
      <w:pPr>
        <w:pStyle w:val="Heading2"/>
        <w:spacing w:before="120"/>
        <w:ind w:left="0" w:firstLine="0"/>
      </w:pPr>
      <w:bookmarkStart w:id="88" w:name="_Toc530750158"/>
      <w:r>
        <w:t>13.1</w:t>
      </w:r>
      <w:r>
        <w:tab/>
        <w:t>Revised Resolution 130 “Strengthening the role of ITU in building confidence and security in the use of ICTs”</w:t>
      </w:r>
      <w:bookmarkEnd w:id="88"/>
    </w:p>
    <w:p w:rsidR="00342474" w:rsidRDefault="00586444">
      <w:pPr>
        <w:pStyle w:val="ListParagraph"/>
        <w:numPr>
          <w:ilvl w:val="0"/>
          <w:numId w:val="9"/>
        </w:numPr>
        <w:tabs>
          <w:tab w:val="clear" w:pos="1134"/>
          <w:tab w:val="clear" w:pos="1701"/>
          <w:tab w:val="clear" w:pos="2268"/>
          <w:tab w:val="clear" w:pos="2835"/>
        </w:tabs>
        <w:overflowPunct/>
        <w:autoSpaceDE/>
        <w:autoSpaceDN/>
        <w:adjustRightInd/>
        <w:spacing w:before="60" w:after="60"/>
        <w:contextualSpacing w:val="0"/>
        <w:textAlignment w:val="auto"/>
        <w:rPr>
          <w:rFonts w:ascii="Times New Roman" w:hAnsi="Times New Roman"/>
        </w:rPr>
      </w:pPr>
      <w:r>
        <w:rPr>
          <w:rFonts w:asciiTheme="majorBidi" w:hAnsiTheme="majorBidi" w:cstheme="majorBidi"/>
        </w:rPr>
        <w:t>A</w:t>
      </w:r>
      <w:r w:rsidR="00633F39">
        <w:rPr>
          <w:rFonts w:ascii="Times New Roman" w:hAnsi="Times New Roman"/>
        </w:rPr>
        <w:t>ims to promote greater awareness to ITU members on the activities carried out within the ITU and other relevant entities involved in strengthening cybersecurity, including on capacity building, as well as to raise awareness among such entities of the particular challenges faced by developing countries, in building confidence and security in the use of ICTs.</w:t>
      </w:r>
    </w:p>
    <w:p w:rsidR="00342474" w:rsidRDefault="00633F39">
      <w:pPr>
        <w:pStyle w:val="ListParagraph"/>
        <w:numPr>
          <w:ilvl w:val="0"/>
          <w:numId w:val="9"/>
        </w:numPr>
        <w:tabs>
          <w:tab w:val="clear" w:pos="1134"/>
          <w:tab w:val="clear" w:pos="1701"/>
          <w:tab w:val="clear" w:pos="2268"/>
          <w:tab w:val="clear" w:pos="2835"/>
        </w:tabs>
        <w:overflowPunct/>
        <w:autoSpaceDE/>
        <w:autoSpaceDN/>
        <w:adjustRightInd/>
        <w:spacing w:before="60" w:after="60"/>
        <w:contextualSpacing w:val="0"/>
        <w:textAlignment w:val="auto"/>
        <w:rPr>
          <w:rFonts w:asciiTheme="majorBidi" w:hAnsiTheme="majorBidi" w:cstheme="majorBidi"/>
          <w:szCs w:val="24"/>
        </w:rPr>
      </w:pPr>
      <w:r>
        <w:rPr>
          <w:rFonts w:ascii="Times New Roman" w:hAnsi="Times New Roman"/>
        </w:rPr>
        <w:t xml:space="preserve">To support and </w:t>
      </w:r>
      <w:r>
        <w:rPr>
          <w:rFonts w:asciiTheme="majorBidi" w:hAnsiTheme="majorBidi" w:cstheme="majorBidi"/>
          <w:szCs w:val="24"/>
        </w:rPr>
        <w:t>assist developing countries in promoting and facilitating the implementation of security related ITU-T Recommendations.</w:t>
      </w:r>
    </w:p>
    <w:p w:rsidR="00342474" w:rsidRDefault="00633F39">
      <w:pPr>
        <w:pStyle w:val="ListParagraph"/>
        <w:numPr>
          <w:ilvl w:val="0"/>
          <w:numId w:val="9"/>
        </w:numPr>
        <w:tabs>
          <w:tab w:val="clear" w:pos="1134"/>
          <w:tab w:val="clear" w:pos="1701"/>
          <w:tab w:val="clear" w:pos="2268"/>
          <w:tab w:val="clear" w:pos="2835"/>
        </w:tabs>
        <w:overflowPunct/>
        <w:autoSpaceDE/>
        <w:autoSpaceDN/>
        <w:adjustRightInd/>
        <w:spacing w:before="60" w:after="60"/>
        <w:contextualSpacing w:val="0"/>
        <w:textAlignment w:val="auto"/>
        <w:rPr>
          <w:rFonts w:asciiTheme="majorBidi" w:hAnsiTheme="majorBidi" w:cstheme="majorBidi"/>
          <w:szCs w:val="24"/>
        </w:rPr>
      </w:pPr>
      <w:r>
        <w:rPr>
          <w:rFonts w:asciiTheme="majorBidi" w:hAnsiTheme="majorBidi" w:cstheme="majorBidi"/>
          <w:szCs w:val="24"/>
        </w:rPr>
        <w:t>Continue SG17’s "ICT Security Standards Roadmap" and ITU-D cybersecurity activities an inventory of national, regional and international initiatives and activities to promote the development of common approaches in the field of cybersecurity.</w:t>
      </w:r>
    </w:p>
    <w:p w:rsidR="00342474" w:rsidRDefault="00633F39">
      <w:pPr>
        <w:pStyle w:val="ListParagraph"/>
        <w:numPr>
          <w:ilvl w:val="0"/>
          <w:numId w:val="9"/>
        </w:numPr>
        <w:tabs>
          <w:tab w:val="clear" w:pos="1134"/>
          <w:tab w:val="clear" w:pos="1701"/>
          <w:tab w:val="clear" w:pos="2268"/>
          <w:tab w:val="clear" w:pos="2835"/>
        </w:tabs>
        <w:overflowPunct/>
        <w:autoSpaceDE/>
        <w:autoSpaceDN/>
        <w:adjustRightInd/>
        <w:spacing w:before="60" w:after="60"/>
        <w:contextualSpacing w:val="0"/>
        <w:textAlignment w:val="auto"/>
        <w:rPr>
          <w:rFonts w:asciiTheme="majorBidi" w:hAnsiTheme="majorBidi" w:cstheme="majorBidi"/>
          <w:szCs w:val="24"/>
        </w:rPr>
      </w:pPr>
      <w:r>
        <w:rPr>
          <w:rFonts w:asciiTheme="majorBidi" w:hAnsiTheme="majorBidi" w:cstheme="majorBidi"/>
          <w:szCs w:val="24"/>
        </w:rPr>
        <w:t>To develop case studies on cybersecurity-related institutional arrangements in cooperation with Membership and relevant organizations.</w:t>
      </w:r>
    </w:p>
    <w:p w:rsidR="00342474" w:rsidRDefault="00633F39">
      <w:pPr>
        <w:pStyle w:val="ListParagraph"/>
        <w:numPr>
          <w:ilvl w:val="0"/>
          <w:numId w:val="9"/>
        </w:numPr>
        <w:tabs>
          <w:tab w:val="clear" w:pos="1134"/>
          <w:tab w:val="clear" w:pos="1701"/>
          <w:tab w:val="clear" w:pos="2268"/>
          <w:tab w:val="clear" w:pos="2835"/>
        </w:tabs>
        <w:overflowPunct/>
        <w:autoSpaceDE/>
        <w:autoSpaceDN/>
        <w:adjustRightInd/>
        <w:spacing w:before="60" w:after="60"/>
        <w:contextualSpacing w:val="0"/>
        <w:textAlignment w:val="auto"/>
        <w:rPr>
          <w:rFonts w:asciiTheme="majorBidi" w:hAnsiTheme="majorBidi" w:cstheme="majorBidi"/>
          <w:szCs w:val="24"/>
        </w:rPr>
      </w:pPr>
      <w:r>
        <w:rPr>
          <w:rFonts w:asciiTheme="majorBidi" w:hAnsiTheme="majorBidi" w:cstheme="majorBidi"/>
          <w:szCs w:val="24"/>
        </w:rPr>
        <w:t>To consider the specific cybersecurity challenges faced by SMEs.</w:t>
      </w:r>
    </w:p>
    <w:p w:rsidR="00342474" w:rsidRDefault="00633F39">
      <w:pPr>
        <w:pStyle w:val="ListParagraph"/>
        <w:numPr>
          <w:ilvl w:val="0"/>
          <w:numId w:val="9"/>
        </w:numPr>
        <w:tabs>
          <w:tab w:val="clear" w:pos="1134"/>
          <w:tab w:val="clear" w:pos="1701"/>
          <w:tab w:val="clear" w:pos="2268"/>
          <w:tab w:val="clear" w:pos="2835"/>
        </w:tabs>
        <w:overflowPunct/>
        <w:autoSpaceDE/>
        <w:autoSpaceDN/>
        <w:adjustRightInd/>
        <w:spacing w:before="60" w:after="60"/>
        <w:contextualSpacing w:val="0"/>
        <w:textAlignment w:val="auto"/>
        <w:rPr>
          <w:rFonts w:ascii="Times New Roman" w:hAnsi="Times New Roman"/>
          <w:szCs w:val="22"/>
          <w:lang w:val="en-US"/>
        </w:rPr>
      </w:pPr>
      <w:r>
        <w:rPr>
          <w:rFonts w:asciiTheme="majorBidi" w:hAnsiTheme="majorBidi" w:cstheme="majorBidi"/>
          <w:szCs w:val="24"/>
        </w:rPr>
        <w:t>Promote a culture in which security is seen as a continuous and iterative process (TSBDir to make proposals to Council as appropriate), including a dynamic and iterative risk-based approach, and study the cybersecurity issues of emerging technologies, and of digital transformation</w:t>
      </w:r>
      <w:r>
        <w:rPr>
          <w:rFonts w:ascii="Times New Roman" w:hAnsi="Times New Roman"/>
          <w:szCs w:val="24"/>
        </w:rPr>
        <w:t>.</w:t>
      </w:r>
    </w:p>
    <w:p w:rsidR="00342474" w:rsidRDefault="00633F39">
      <w:pPr>
        <w:pStyle w:val="Heading2"/>
        <w:ind w:left="0" w:firstLine="0"/>
      </w:pPr>
      <w:bookmarkStart w:id="89" w:name="_Toc530750159"/>
      <w:r>
        <w:t>13.2</w:t>
      </w:r>
      <w:r>
        <w:tab/>
        <w:t>Resolution 174 “ITU’s role with regard to international public policy issues relating to the risk of illicit use of information and communication technologies”</w:t>
      </w:r>
      <w:bookmarkEnd w:id="89"/>
    </w:p>
    <w:p w:rsidR="00342474" w:rsidRDefault="00633F39">
      <w:pPr>
        <w:overflowPunct/>
        <w:autoSpaceDE/>
        <w:autoSpaceDN/>
        <w:adjustRightInd/>
        <w:textAlignment w:val="auto"/>
        <w:rPr>
          <w:rFonts w:asciiTheme="majorBidi" w:hAnsiTheme="majorBidi" w:cstheme="majorBidi"/>
        </w:rPr>
      </w:pPr>
      <w:proofErr w:type="gramStart"/>
      <w:r>
        <w:rPr>
          <w:rFonts w:asciiTheme="majorBidi" w:hAnsiTheme="majorBidi" w:cstheme="majorBidi"/>
        </w:rPr>
        <w:t>was</w:t>
      </w:r>
      <w:proofErr w:type="gramEnd"/>
      <w:r>
        <w:rPr>
          <w:rFonts w:asciiTheme="majorBidi" w:hAnsiTheme="majorBidi" w:cstheme="majorBidi"/>
        </w:rPr>
        <w:t xml:space="preserve"> agreed to remain unchanged.</w:t>
      </w:r>
    </w:p>
    <w:p w:rsidR="00342474" w:rsidRDefault="00633F39">
      <w:pPr>
        <w:pStyle w:val="Heading1"/>
        <w:numPr>
          <w:ilvl w:val="0"/>
          <w:numId w:val="13"/>
        </w:numPr>
        <w:spacing w:before="240"/>
      </w:pPr>
      <w:bookmarkStart w:id="90" w:name="_Toc530750160"/>
      <w:r>
        <w:t>Disaster relief and early warning, health-related emergencies</w:t>
      </w:r>
      <w:bookmarkEnd w:id="90"/>
    </w:p>
    <w:p w:rsidR="00342474" w:rsidRDefault="00633F39">
      <w:pPr>
        <w:pStyle w:val="Heading2"/>
        <w:spacing w:before="120"/>
        <w:ind w:left="0" w:firstLine="0"/>
      </w:pPr>
      <w:bookmarkStart w:id="91" w:name="_Toc530750161"/>
      <w:r>
        <w:t>14.1</w:t>
      </w:r>
      <w:r>
        <w:tab/>
        <w:t>Revised Resolution 136 “</w:t>
      </w:r>
      <w:r>
        <w:rPr>
          <w:szCs w:val="24"/>
        </w:rPr>
        <w:t>The use of telecommunications/information and communication technologies for humanitarian assistance and for monitoring and management in emergency and disaster situations, including health-related emergencies, for early warning, prevention, mitigation and relief</w:t>
      </w:r>
      <w:r>
        <w:t>”</w:t>
      </w:r>
      <w:bookmarkEnd w:id="91"/>
    </w:p>
    <w:p w:rsidR="00342474" w:rsidRDefault="00633F39">
      <w:pPr>
        <w:pStyle w:val="ListParagraph"/>
        <w:numPr>
          <w:ilvl w:val="0"/>
          <w:numId w:val="10"/>
        </w:numPr>
        <w:overflowPunct/>
        <w:autoSpaceDE/>
        <w:autoSpaceDN/>
        <w:adjustRightInd/>
        <w:ind w:left="357" w:hanging="357"/>
        <w:contextualSpacing w:val="0"/>
        <w:textAlignment w:val="auto"/>
        <w:rPr>
          <w:rFonts w:asciiTheme="majorBidi" w:hAnsiTheme="majorBidi" w:cstheme="majorBidi"/>
        </w:rPr>
      </w:pPr>
      <w:r>
        <w:rPr>
          <w:rFonts w:asciiTheme="majorBidi" w:hAnsiTheme="majorBidi" w:cstheme="majorBidi"/>
        </w:rPr>
        <w:t>Broadened scope: ITU to cooperate with UNO on emergency and disaster risk reduction, and on heath emergencies.</w:t>
      </w:r>
    </w:p>
    <w:p w:rsidR="00342474" w:rsidRDefault="00633F39">
      <w:pPr>
        <w:pStyle w:val="ListParagraph"/>
        <w:numPr>
          <w:ilvl w:val="0"/>
          <w:numId w:val="10"/>
        </w:numPr>
        <w:overflowPunct/>
        <w:autoSpaceDE/>
        <w:autoSpaceDN/>
        <w:adjustRightInd/>
        <w:ind w:left="357" w:hanging="357"/>
        <w:contextualSpacing w:val="0"/>
        <w:textAlignment w:val="auto"/>
        <w:rPr>
          <w:rFonts w:asciiTheme="majorBidi" w:hAnsiTheme="majorBidi" w:cstheme="majorBidi"/>
        </w:rPr>
      </w:pPr>
      <w:r>
        <w:rPr>
          <w:rFonts w:asciiTheme="majorBidi" w:hAnsiTheme="majorBidi" w:cstheme="majorBidi"/>
        </w:rPr>
        <w:lastRenderedPageBreak/>
        <w:t>To assist developing countries with the establishment of an early warning system.</w:t>
      </w:r>
    </w:p>
    <w:p w:rsidR="00342474" w:rsidRDefault="00633F39">
      <w:pPr>
        <w:pStyle w:val="ListParagraph"/>
        <w:numPr>
          <w:ilvl w:val="0"/>
          <w:numId w:val="10"/>
        </w:numPr>
        <w:overflowPunct/>
        <w:autoSpaceDE/>
        <w:autoSpaceDN/>
        <w:adjustRightInd/>
        <w:ind w:left="357" w:hanging="357"/>
        <w:contextualSpacing w:val="0"/>
        <w:textAlignment w:val="auto"/>
        <w:rPr>
          <w:rFonts w:asciiTheme="majorBidi" w:hAnsiTheme="majorBidi" w:cstheme="majorBidi"/>
        </w:rPr>
      </w:pPr>
      <w:r>
        <w:rPr>
          <w:rFonts w:asciiTheme="majorBidi" w:hAnsiTheme="majorBidi" w:cstheme="majorBidi"/>
        </w:rPr>
        <w:t>TSBDir to support ITU-T study groups in their studies concerning technical and operational implementation of solutions and identification of the best practices on public policies on emergency telecommunication at local, national and regional levels.</w:t>
      </w:r>
    </w:p>
    <w:p w:rsidR="00342474" w:rsidRDefault="00633F39">
      <w:pPr>
        <w:overflowPunct/>
        <w:autoSpaceDE/>
        <w:autoSpaceDN/>
        <w:adjustRightInd/>
        <w:spacing w:before="240" w:after="60"/>
        <w:textAlignment w:val="auto"/>
      </w:pPr>
      <w:r>
        <w:rPr>
          <w:rFonts w:asciiTheme="majorBidi" w:hAnsiTheme="majorBidi" w:cstheme="majorBidi"/>
          <w:szCs w:val="24"/>
        </w:rPr>
        <w:t>Resolutions 36 “Telecommunications/information and communication technology in the service of humanitarian assistance” and 202 “</w:t>
      </w:r>
      <w:bookmarkStart w:id="92" w:name="_Toc406757782"/>
      <w:r>
        <w:t>Using information and communication technologies to break the chain of health-related emergencies such as Ebola virus transmission</w:t>
      </w:r>
      <w:bookmarkEnd w:id="92"/>
      <w:r>
        <w:t xml:space="preserve">” </w:t>
      </w:r>
      <w:proofErr w:type="gramStart"/>
      <w:r>
        <w:t>were suppressed</w:t>
      </w:r>
      <w:proofErr w:type="gramEnd"/>
      <w:r>
        <w:t>.</w:t>
      </w:r>
    </w:p>
    <w:p w:rsidR="00342474" w:rsidRDefault="00633F39">
      <w:pPr>
        <w:pStyle w:val="Heading1"/>
        <w:spacing w:before="240"/>
      </w:pPr>
      <w:bookmarkStart w:id="93" w:name="_Toc530750162"/>
      <w:r>
        <w:t>15</w:t>
      </w:r>
      <w:r>
        <w:tab/>
        <w:t>Global flight tracking</w:t>
      </w:r>
      <w:bookmarkEnd w:id="93"/>
    </w:p>
    <w:p w:rsidR="00342474" w:rsidRDefault="00633F39">
      <w:pPr>
        <w:pStyle w:val="Heading2"/>
        <w:spacing w:before="120"/>
        <w:ind w:left="0" w:firstLine="0"/>
      </w:pPr>
      <w:bookmarkStart w:id="94" w:name="_Toc530750163"/>
      <w:r>
        <w:t>15.1</w:t>
      </w:r>
      <w:r>
        <w:tab/>
        <w:t>Resolution 185 “Global flight tracking for civil aviation”</w:t>
      </w:r>
      <w:bookmarkEnd w:id="94"/>
    </w:p>
    <w:p w:rsidR="00342474" w:rsidRDefault="00633F39">
      <w:pPr>
        <w:overflowPunct/>
        <w:autoSpaceDE/>
        <w:autoSpaceDN/>
        <w:adjustRightInd/>
        <w:textAlignment w:val="auto"/>
      </w:pPr>
      <w:proofErr w:type="gramStart"/>
      <w:r>
        <w:t>was</w:t>
      </w:r>
      <w:proofErr w:type="gramEnd"/>
      <w:r>
        <w:t xml:space="preserve"> suppressed.</w:t>
      </w:r>
    </w:p>
    <w:p w:rsidR="00342474" w:rsidRDefault="00633F39">
      <w:pPr>
        <w:pStyle w:val="Heading1"/>
        <w:spacing w:before="240"/>
      </w:pPr>
      <w:bookmarkStart w:id="95" w:name="_Toc530750164"/>
      <w:bookmarkEnd w:id="87"/>
      <w:r>
        <w:t>16</w:t>
      </w:r>
      <w:r>
        <w:tab/>
        <w:t>Health</w:t>
      </w:r>
      <w:bookmarkEnd w:id="95"/>
    </w:p>
    <w:p w:rsidR="00342474" w:rsidRDefault="00633F39">
      <w:pPr>
        <w:pStyle w:val="Heading2"/>
        <w:spacing w:before="120"/>
        <w:ind w:left="0" w:firstLine="0"/>
      </w:pPr>
      <w:bookmarkStart w:id="96" w:name="_Toc530750165"/>
      <w:bookmarkStart w:id="97" w:name="_Toc403928052"/>
      <w:r>
        <w:t>16.1</w:t>
      </w:r>
      <w:r>
        <w:tab/>
        <w:t>Revised Resolution 176 “Measurement and assessment concerns related to human exposure to electromagnetic fields”</w:t>
      </w:r>
      <w:bookmarkEnd w:id="96"/>
    </w:p>
    <w:p w:rsidR="00342474" w:rsidRDefault="00774F88">
      <w:pPr>
        <w:overflowPunct/>
        <w:autoSpaceDE/>
        <w:autoSpaceDN/>
        <w:adjustRightInd/>
        <w:textAlignment w:val="auto"/>
        <w:rPr>
          <w:rFonts w:asciiTheme="majorBidi" w:hAnsiTheme="majorBidi" w:cstheme="majorBidi"/>
        </w:rPr>
      </w:pPr>
      <w:r>
        <w:rPr>
          <w:rFonts w:asciiTheme="majorBidi" w:hAnsiTheme="majorBidi" w:cstheme="majorBidi"/>
        </w:rPr>
        <w:t>A</w:t>
      </w:r>
      <w:r w:rsidR="00633F39">
        <w:rPr>
          <w:rFonts w:asciiTheme="majorBidi" w:hAnsiTheme="majorBidi" w:cstheme="majorBidi"/>
        </w:rPr>
        <w:t xml:space="preserve">ssessment methods of EMF are newly in scope </w:t>
      </w:r>
      <w:proofErr w:type="gramStart"/>
      <w:r w:rsidR="00633F39">
        <w:rPr>
          <w:rFonts w:asciiTheme="majorBidi" w:hAnsiTheme="majorBidi" w:cstheme="majorBidi"/>
        </w:rPr>
        <w:t>and also</w:t>
      </w:r>
      <w:proofErr w:type="gramEnd"/>
      <w:r w:rsidR="00633F39">
        <w:rPr>
          <w:rFonts w:asciiTheme="majorBidi" w:hAnsiTheme="majorBidi" w:cstheme="majorBidi"/>
        </w:rPr>
        <w:t xml:space="preserve"> of interest to developing countries.</w:t>
      </w:r>
    </w:p>
    <w:p w:rsidR="00342474" w:rsidRDefault="00633F39">
      <w:pPr>
        <w:pStyle w:val="Heading2"/>
        <w:ind w:left="0" w:firstLine="0"/>
        <w:rPr>
          <w:rFonts w:asciiTheme="majorBidi" w:hAnsiTheme="majorBidi" w:cstheme="majorBidi"/>
        </w:rPr>
      </w:pPr>
      <w:bookmarkStart w:id="98" w:name="_Toc530750166"/>
      <w:r>
        <w:rPr>
          <w:rFonts w:asciiTheme="majorBidi" w:hAnsiTheme="majorBidi" w:cstheme="majorBidi"/>
        </w:rPr>
        <w:t>16.2</w:t>
      </w:r>
      <w:r>
        <w:rPr>
          <w:rFonts w:asciiTheme="majorBidi" w:hAnsiTheme="majorBidi" w:cstheme="majorBidi"/>
        </w:rPr>
        <w:tab/>
      </w:r>
      <w:r>
        <w:t>Resolution</w:t>
      </w:r>
      <w:r>
        <w:rPr>
          <w:rFonts w:asciiTheme="majorBidi" w:hAnsiTheme="majorBidi" w:cstheme="majorBidi"/>
        </w:rPr>
        <w:t xml:space="preserve"> 202 “Using information and communication technologies to break the chain of health-related emergencies such as Ebola virus transmission”</w:t>
      </w:r>
      <w:bookmarkEnd w:id="98"/>
    </w:p>
    <w:p w:rsidR="00342474" w:rsidRDefault="00633F39">
      <w:pPr>
        <w:overflowPunct/>
        <w:autoSpaceDE/>
        <w:autoSpaceDN/>
        <w:adjustRightInd/>
        <w:textAlignment w:val="auto"/>
      </w:pPr>
      <w:proofErr w:type="gramStart"/>
      <w:r>
        <w:t>was</w:t>
      </w:r>
      <w:proofErr w:type="gramEnd"/>
      <w:r>
        <w:t xml:space="preserve"> suppressed.</w:t>
      </w:r>
    </w:p>
    <w:p w:rsidR="00342474" w:rsidRDefault="00633F39">
      <w:pPr>
        <w:pStyle w:val="Heading1"/>
        <w:spacing w:before="240"/>
      </w:pPr>
      <w:bookmarkStart w:id="99" w:name="_Toc530750167"/>
      <w:bookmarkEnd w:id="97"/>
      <w:r>
        <w:t>17</w:t>
      </w:r>
      <w:r>
        <w:tab/>
        <w:t>Conformance and interoperability; counterfeiting; theft of mobile devices</w:t>
      </w:r>
      <w:bookmarkEnd w:id="99"/>
    </w:p>
    <w:p w:rsidR="00342474" w:rsidRDefault="00633F39">
      <w:pPr>
        <w:pStyle w:val="Heading2"/>
        <w:spacing w:before="120"/>
        <w:ind w:left="0" w:firstLine="0"/>
      </w:pPr>
      <w:bookmarkStart w:id="100" w:name="_Toc530750168"/>
      <w:r>
        <w:t>17.1</w:t>
      </w:r>
      <w:r>
        <w:tab/>
        <w:t>Revised Resolution 177 “Conformance and interoperability”</w:t>
      </w:r>
      <w:bookmarkEnd w:id="100"/>
    </w:p>
    <w:p w:rsidR="00342474" w:rsidRDefault="00633F39">
      <w:pPr>
        <w:pStyle w:val="ListParagraph"/>
        <w:numPr>
          <w:ilvl w:val="0"/>
          <w:numId w:val="10"/>
        </w:numPr>
        <w:overflowPunct/>
        <w:autoSpaceDE/>
        <w:autoSpaceDN/>
        <w:adjustRightInd/>
        <w:ind w:left="357" w:hanging="357"/>
        <w:contextualSpacing w:val="0"/>
        <w:textAlignment w:val="auto"/>
        <w:rPr>
          <w:rFonts w:asciiTheme="majorBidi" w:hAnsiTheme="majorBidi" w:cstheme="majorBidi"/>
        </w:rPr>
      </w:pPr>
      <w:r>
        <w:rPr>
          <w:rFonts w:asciiTheme="majorBidi" w:hAnsiTheme="majorBidi" w:cstheme="majorBidi"/>
        </w:rPr>
        <w:t>Recognizing further that it is not appropriate for ITU itself to enter into certification and testing of equipment and services that many regional and national standards bodies already provide.</w:t>
      </w:r>
    </w:p>
    <w:p w:rsidR="00342474" w:rsidRDefault="00633F39">
      <w:pPr>
        <w:pStyle w:val="ListParagraph"/>
        <w:numPr>
          <w:ilvl w:val="0"/>
          <w:numId w:val="10"/>
        </w:numPr>
        <w:overflowPunct/>
        <w:autoSpaceDE/>
        <w:autoSpaceDN/>
        <w:adjustRightInd/>
        <w:ind w:left="357" w:hanging="357"/>
        <w:contextualSpacing w:val="0"/>
        <w:textAlignment w:val="auto"/>
        <w:rPr>
          <w:rFonts w:asciiTheme="majorBidi" w:hAnsiTheme="majorBidi" w:cstheme="majorBidi"/>
        </w:rPr>
      </w:pPr>
      <w:r>
        <w:rPr>
          <w:rFonts w:asciiTheme="majorBidi" w:hAnsiTheme="majorBidi" w:cstheme="majorBidi"/>
        </w:rPr>
        <w:t>ITU can have a testing mark regime.</w:t>
      </w:r>
    </w:p>
    <w:p w:rsidR="00342474" w:rsidRDefault="00633F39">
      <w:pPr>
        <w:pStyle w:val="ListParagraph"/>
        <w:numPr>
          <w:ilvl w:val="0"/>
          <w:numId w:val="10"/>
        </w:numPr>
        <w:overflowPunct/>
        <w:autoSpaceDE/>
        <w:autoSpaceDN/>
        <w:adjustRightInd/>
        <w:ind w:left="357" w:hanging="357"/>
        <w:contextualSpacing w:val="0"/>
        <w:textAlignment w:val="auto"/>
        <w:rPr>
          <w:rFonts w:asciiTheme="majorBidi" w:hAnsiTheme="majorBidi" w:cstheme="majorBidi"/>
        </w:rPr>
      </w:pPr>
      <w:r>
        <w:rPr>
          <w:rFonts w:asciiTheme="majorBidi" w:hAnsiTheme="majorBidi" w:cstheme="majorBidi"/>
        </w:rPr>
        <w:t xml:space="preserve">ITU to cooperate with other organizations on </w:t>
      </w:r>
      <w:proofErr w:type="gramStart"/>
      <w:r>
        <w:rPr>
          <w:rFonts w:asciiTheme="majorBidi" w:hAnsiTheme="majorBidi" w:cstheme="majorBidi"/>
        </w:rPr>
        <w:t>C&amp;I</w:t>
      </w:r>
      <w:proofErr w:type="gramEnd"/>
      <w:r>
        <w:rPr>
          <w:rFonts w:asciiTheme="majorBidi" w:hAnsiTheme="majorBidi" w:cstheme="majorBidi"/>
        </w:rPr>
        <w:t xml:space="preserve"> testing; e.g. using virtual labs.</w:t>
      </w:r>
    </w:p>
    <w:p w:rsidR="00342474" w:rsidRDefault="00633F39">
      <w:pPr>
        <w:pStyle w:val="ListParagraph"/>
        <w:numPr>
          <w:ilvl w:val="0"/>
          <w:numId w:val="10"/>
        </w:numPr>
        <w:overflowPunct/>
        <w:autoSpaceDE/>
        <w:autoSpaceDN/>
        <w:adjustRightInd/>
        <w:ind w:left="357" w:hanging="357"/>
        <w:contextualSpacing w:val="0"/>
        <w:textAlignment w:val="auto"/>
        <w:rPr>
          <w:rFonts w:asciiTheme="majorBidi" w:hAnsiTheme="majorBidi" w:cstheme="majorBidi"/>
          <w:szCs w:val="24"/>
        </w:rPr>
      </w:pPr>
      <w:r>
        <w:rPr>
          <w:rFonts w:asciiTheme="majorBidi" w:hAnsiTheme="majorBidi" w:cstheme="majorBidi"/>
        </w:rPr>
        <w:t>Provide assistance to developing countries in building their capacity and identifying regional and sub-regional</w:t>
      </w:r>
      <w:r>
        <w:rPr>
          <w:rFonts w:asciiTheme="majorBidi" w:hAnsiTheme="majorBidi" w:cstheme="majorBidi"/>
          <w:szCs w:val="24"/>
        </w:rPr>
        <w:t xml:space="preserve"> ICT Testing Centres in developing countries as ITU Centres of Excellence.</w:t>
      </w:r>
    </w:p>
    <w:p w:rsidR="00342474" w:rsidRDefault="00633F39">
      <w:pPr>
        <w:pStyle w:val="Heading2"/>
        <w:ind w:left="0" w:firstLine="0"/>
      </w:pPr>
      <w:bookmarkStart w:id="101" w:name="_Toc530750169"/>
      <w:r>
        <w:t>17.2</w:t>
      </w:r>
      <w:r>
        <w:tab/>
        <w:t>Revised Resolution 188 “Combating counterfeit telecommunication/information and communication technology devices”</w:t>
      </w:r>
      <w:bookmarkEnd w:id="101"/>
    </w:p>
    <w:p w:rsidR="00342474" w:rsidRDefault="00633F39">
      <w:pPr>
        <w:overflowPunct/>
        <w:autoSpaceDE/>
        <w:autoSpaceDN/>
        <w:adjustRightInd/>
        <w:textAlignment w:val="auto"/>
        <w:rPr>
          <w:rFonts w:asciiTheme="majorBidi" w:hAnsiTheme="majorBidi" w:cstheme="majorBidi"/>
        </w:rPr>
      </w:pPr>
      <w:proofErr w:type="gramStart"/>
      <w:r>
        <w:rPr>
          <w:rFonts w:asciiTheme="majorBidi" w:hAnsiTheme="majorBidi" w:cstheme="majorBidi"/>
        </w:rPr>
        <w:t>removed</w:t>
      </w:r>
      <w:proofErr w:type="gramEnd"/>
      <w:r>
        <w:rPr>
          <w:rFonts w:asciiTheme="majorBidi" w:hAnsiTheme="majorBidi" w:cstheme="majorBidi"/>
        </w:rPr>
        <w:t xml:space="preserve"> the IMEI example, and provided a definition of tampering.</w:t>
      </w:r>
    </w:p>
    <w:p w:rsidR="00342474" w:rsidRDefault="00633F39">
      <w:pPr>
        <w:pStyle w:val="Heading2"/>
        <w:ind w:left="0" w:firstLine="0"/>
      </w:pPr>
      <w:bookmarkStart w:id="102" w:name="_Toc530750170"/>
      <w:r>
        <w:t>17.3</w:t>
      </w:r>
      <w:r>
        <w:tab/>
        <w:t>Revised Resolution 189 “Assisting Member States to combat and deter mobile device theft”</w:t>
      </w:r>
      <w:bookmarkEnd w:id="102"/>
    </w:p>
    <w:p w:rsidR="00342474" w:rsidRDefault="00633F39">
      <w:pPr>
        <w:overflowPunct/>
        <w:autoSpaceDE/>
        <w:autoSpaceDN/>
        <w:adjustRightInd/>
        <w:textAlignment w:val="auto"/>
        <w:rPr>
          <w:rFonts w:asciiTheme="majorBidi" w:hAnsiTheme="majorBidi" w:cstheme="majorBidi"/>
        </w:rPr>
      </w:pPr>
      <w:r>
        <w:rPr>
          <w:rFonts w:asciiTheme="majorBidi" w:hAnsiTheme="majorBidi" w:cstheme="majorBidi"/>
        </w:rPr>
        <w:t>TSBDir to share information, experiences, and best practices about measures related to the tampering (unauthorized changes) of mobile ICT identifiers and its prevention.</w:t>
      </w:r>
    </w:p>
    <w:p w:rsidR="00342474" w:rsidRDefault="00633F39">
      <w:pPr>
        <w:pStyle w:val="Heading1"/>
        <w:spacing w:before="240"/>
      </w:pPr>
      <w:bookmarkStart w:id="103" w:name="_Toc530750171"/>
      <w:r>
        <w:t>18</w:t>
      </w:r>
      <w:r>
        <w:tab/>
        <w:t>Calling matters</w:t>
      </w:r>
      <w:bookmarkEnd w:id="103"/>
    </w:p>
    <w:p w:rsidR="00342474" w:rsidRDefault="00633F39">
      <w:pPr>
        <w:pStyle w:val="Heading2"/>
        <w:spacing w:before="120"/>
        <w:ind w:left="0" w:firstLine="0"/>
      </w:pPr>
      <w:bookmarkStart w:id="104" w:name="_Toc530750172"/>
      <w:r>
        <w:t>18.1</w:t>
      </w:r>
      <w:r>
        <w:tab/>
        <w:t>Revised Resolution 21 “Measures concerning alternative calling procedures on international telecommunication networks”</w:t>
      </w:r>
      <w:bookmarkEnd w:id="104"/>
    </w:p>
    <w:p w:rsidR="00342474" w:rsidRDefault="003D74BC">
      <w:pPr>
        <w:pStyle w:val="ListParagraph"/>
        <w:numPr>
          <w:ilvl w:val="0"/>
          <w:numId w:val="10"/>
        </w:numPr>
        <w:overflowPunct/>
        <w:autoSpaceDE/>
        <w:autoSpaceDN/>
        <w:adjustRightInd/>
        <w:ind w:left="357" w:hanging="357"/>
        <w:contextualSpacing w:val="0"/>
        <w:textAlignment w:val="auto"/>
        <w:rPr>
          <w:rFonts w:asciiTheme="majorBidi" w:hAnsiTheme="majorBidi" w:cstheme="majorBidi"/>
        </w:rPr>
      </w:pPr>
      <w:r>
        <w:rPr>
          <w:rFonts w:asciiTheme="majorBidi" w:hAnsiTheme="majorBidi" w:cstheme="majorBidi"/>
        </w:rPr>
        <w:t>C</w:t>
      </w:r>
      <w:r w:rsidR="00633F39">
        <w:rPr>
          <w:rFonts w:asciiTheme="majorBidi" w:hAnsiTheme="majorBidi" w:cstheme="majorBidi"/>
        </w:rPr>
        <w:t xml:space="preserve">ontinue the work on identifying and describing all forms of alternative calling procedures and assess their impact </w:t>
      </w:r>
      <w:proofErr w:type="gramStart"/>
      <w:r w:rsidR="00633F39">
        <w:rPr>
          <w:rFonts w:asciiTheme="majorBidi" w:hAnsiTheme="majorBidi" w:cstheme="majorBidi"/>
        </w:rPr>
        <w:t>on all parties, and to review relevant ITU-T Recommendations</w:t>
      </w:r>
      <w:proofErr w:type="gramEnd"/>
      <w:r w:rsidR="00633F39">
        <w:rPr>
          <w:rFonts w:asciiTheme="majorBidi" w:hAnsiTheme="majorBidi" w:cstheme="majorBidi"/>
        </w:rPr>
        <w:t>.</w:t>
      </w:r>
    </w:p>
    <w:p w:rsidR="00342474" w:rsidRDefault="00633F39">
      <w:pPr>
        <w:pStyle w:val="ListParagraph"/>
        <w:numPr>
          <w:ilvl w:val="0"/>
          <w:numId w:val="10"/>
        </w:numPr>
        <w:overflowPunct/>
        <w:autoSpaceDE/>
        <w:autoSpaceDN/>
        <w:adjustRightInd/>
        <w:ind w:left="357" w:hanging="357"/>
        <w:contextualSpacing w:val="0"/>
        <w:textAlignment w:val="auto"/>
        <w:rPr>
          <w:rFonts w:asciiTheme="majorBidi" w:hAnsiTheme="majorBidi" w:cstheme="majorBidi"/>
        </w:rPr>
      </w:pPr>
      <w:r>
        <w:rPr>
          <w:rFonts w:asciiTheme="majorBidi" w:hAnsiTheme="majorBidi" w:cstheme="majorBidi"/>
        </w:rPr>
        <w:lastRenderedPageBreak/>
        <w:t>Allows for development of ITU-T Recommendations on ACP</w:t>
      </w:r>
      <w:proofErr w:type="gramStart"/>
      <w:r>
        <w:rPr>
          <w:rFonts w:asciiTheme="majorBidi" w:hAnsiTheme="majorBidi" w:cstheme="majorBidi"/>
        </w:rPr>
        <w:t>;</w:t>
      </w:r>
      <w:proofErr w:type="gramEnd"/>
      <w:r>
        <w:rPr>
          <w:rFonts w:asciiTheme="majorBidi" w:hAnsiTheme="majorBidi" w:cstheme="majorBidi"/>
        </w:rPr>
        <w:t xml:space="preserve"> SG12 to develop guidelines on minimum QoS/QoE on ACP.</w:t>
      </w:r>
    </w:p>
    <w:p w:rsidR="00342474" w:rsidRDefault="00633F39">
      <w:pPr>
        <w:pStyle w:val="Heading1"/>
        <w:spacing w:before="240"/>
      </w:pPr>
      <w:bookmarkStart w:id="105" w:name="_Toc530750173"/>
      <w:r>
        <w:t>19</w:t>
      </w:r>
      <w:r>
        <w:tab/>
        <w:t>Accessibility, gender, child, youth, consumer, human trafficking</w:t>
      </w:r>
      <w:bookmarkEnd w:id="105"/>
    </w:p>
    <w:p w:rsidR="00342474" w:rsidRDefault="00633F39">
      <w:pPr>
        <w:pStyle w:val="Heading2"/>
        <w:spacing w:before="120"/>
        <w:ind w:left="0" w:firstLine="0"/>
      </w:pPr>
      <w:bookmarkStart w:id="106" w:name="_Toc530750174"/>
      <w:bookmarkStart w:id="107" w:name="_Toc275502492"/>
      <w:r>
        <w:t>19.1</w:t>
      </w:r>
      <w:r>
        <w:tab/>
        <w:t>Revised Resolution 48 “Human resources management and development”</w:t>
      </w:r>
      <w:bookmarkEnd w:id="106"/>
    </w:p>
    <w:p w:rsidR="00342474" w:rsidRDefault="00C20967">
      <w:pPr>
        <w:pStyle w:val="ListParagraph"/>
        <w:numPr>
          <w:ilvl w:val="0"/>
          <w:numId w:val="10"/>
        </w:numPr>
        <w:overflowPunct/>
        <w:autoSpaceDE/>
        <w:autoSpaceDN/>
        <w:adjustRightInd/>
        <w:ind w:left="357" w:hanging="357"/>
        <w:contextualSpacing w:val="0"/>
        <w:textAlignment w:val="auto"/>
        <w:rPr>
          <w:rFonts w:ascii="Times New Roman" w:hAnsi="Times New Roman"/>
        </w:rPr>
      </w:pPr>
      <w:r>
        <w:rPr>
          <w:rFonts w:ascii="Times New Roman" w:hAnsi="Times New Roman"/>
        </w:rPr>
        <w:t>A</w:t>
      </w:r>
      <w:r w:rsidR="00633F39">
        <w:rPr>
          <w:rFonts w:ascii="Times New Roman" w:hAnsi="Times New Roman"/>
        </w:rPr>
        <w:t xml:space="preserve">ims to improve and implement recruitment policies and procedures designed to facilitate equitable geographical and </w:t>
      </w:r>
      <w:r w:rsidR="00633F39">
        <w:rPr>
          <w:rFonts w:asciiTheme="majorBidi" w:hAnsiTheme="majorBidi" w:cstheme="majorBidi"/>
        </w:rPr>
        <w:t>gender</w:t>
      </w:r>
      <w:r w:rsidR="00633F39">
        <w:rPr>
          <w:rFonts w:ascii="Times New Roman" w:hAnsi="Times New Roman"/>
        </w:rPr>
        <w:t xml:space="preserve"> representation. </w:t>
      </w:r>
    </w:p>
    <w:p w:rsidR="00342474" w:rsidRDefault="00633F39">
      <w:pPr>
        <w:pStyle w:val="ListParagraph"/>
        <w:numPr>
          <w:ilvl w:val="0"/>
          <w:numId w:val="10"/>
        </w:numPr>
        <w:overflowPunct/>
        <w:autoSpaceDE/>
        <w:autoSpaceDN/>
        <w:adjustRightInd/>
        <w:ind w:left="357" w:hanging="357"/>
        <w:contextualSpacing w:val="0"/>
        <w:textAlignment w:val="auto"/>
        <w:rPr>
          <w:rFonts w:ascii="Times New Roman" w:hAnsi="Times New Roman"/>
        </w:rPr>
      </w:pPr>
      <w:r>
        <w:rPr>
          <w:rFonts w:ascii="Times New Roman" w:hAnsi="Times New Roman"/>
        </w:rPr>
        <w:t xml:space="preserve">The Secretary-General </w:t>
      </w:r>
      <w:proofErr w:type="gramStart"/>
      <w:r>
        <w:rPr>
          <w:rFonts w:ascii="Times New Roman" w:hAnsi="Times New Roman"/>
        </w:rPr>
        <w:t>is instructed</w:t>
      </w:r>
      <w:proofErr w:type="gramEnd"/>
      <w:r>
        <w:rPr>
          <w:rFonts w:ascii="Times New Roman" w:hAnsi="Times New Roman"/>
        </w:rPr>
        <w:t xml:space="preserve"> to implement best-practice human resource policies and practices and to report and provide updates on progress made with regard to sexual exploitation and abuse, and sexual harassment in the workplace.</w:t>
      </w:r>
    </w:p>
    <w:p w:rsidR="00342474" w:rsidRDefault="00633F39">
      <w:pPr>
        <w:pStyle w:val="Heading2"/>
        <w:ind w:left="0" w:firstLine="0"/>
      </w:pPr>
      <w:bookmarkStart w:id="108" w:name="_Toc530750175"/>
      <w:r>
        <w:t>19.2</w:t>
      </w:r>
      <w:r>
        <w:tab/>
        <w:t>Revised Resolution 64 “Non-discriminatory access to modern telecommunication/information and communication technology facilities, services and applications, including applied research and transfer of technology, and e</w:t>
      </w:r>
      <w:r>
        <w:noBreakHyphen/>
        <w:t>meetings, on mutually agreed terms”</w:t>
      </w:r>
      <w:bookmarkEnd w:id="108"/>
    </w:p>
    <w:p w:rsidR="00342474" w:rsidRDefault="00633F39">
      <w:pPr>
        <w:overflowPunct/>
        <w:autoSpaceDE/>
        <w:autoSpaceDN/>
        <w:adjustRightInd/>
        <w:textAlignment w:val="auto"/>
      </w:pPr>
      <w:proofErr w:type="gramStart"/>
      <w:r>
        <w:t>features</w:t>
      </w:r>
      <w:proofErr w:type="gramEnd"/>
      <w:r>
        <w:t xml:space="preserve"> only a few editorial updates.</w:t>
      </w:r>
    </w:p>
    <w:p w:rsidR="00342474" w:rsidRDefault="00633F39">
      <w:pPr>
        <w:pStyle w:val="Heading2"/>
        <w:ind w:left="0" w:firstLine="0"/>
      </w:pPr>
      <w:bookmarkStart w:id="109" w:name="_Toc530750176"/>
      <w:r>
        <w:t>19.3</w:t>
      </w:r>
      <w:r>
        <w:tab/>
        <w:t>Revised Resolution 66 “Documents and publications of the Union”</w:t>
      </w:r>
      <w:bookmarkEnd w:id="109"/>
    </w:p>
    <w:p w:rsidR="00342474" w:rsidRDefault="00633F39">
      <w:pPr>
        <w:overflowPunct/>
        <w:autoSpaceDE/>
        <w:autoSpaceDN/>
        <w:adjustRightInd/>
        <w:textAlignment w:val="auto"/>
      </w:pPr>
      <w:proofErr w:type="gramStart"/>
      <w:r>
        <w:t>requires</w:t>
      </w:r>
      <w:proofErr w:type="gramEnd"/>
      <w:r>
        <w:t xml:space="preserve"> ITU also make available its documents and publications in some open data file format for persons with disabilities.</w:t>
      </w:r>
    </w:p>
    <w:p w:rsidR="00342474" w:rsidRDefault="00633F39">
      <w:pPr>
        <w:pStyle w:val="Heading2"/>
        <w:ind w:left="0" w:firstLine="0"/>
      </w:pPr>
      <w:bookmarkStart w:id="110" w:name="_Toc530750177"/>
      <w:r>
        <w:t>19.4</w:t>
      </w:r>
      <w:r>
        <w:tab/>
        <w:t>Revised Resolution 70 “Mainstreaming a gender perspective in ITU and promotion of gender equality and the empowerment of women through telecommunications/information and communication technologies”</w:t>
      </w:r>
      <w:bookmarkEnd w:id="110"/>
    </w:p>
    <w:p w:rsidR="00342474" w:rsidRDefault="00633F39">
      <w:pPr>
        <w:overflowPunct/>
        <w:autoSpaceDE/>
        <w:autoSpaceDN/>
        <w:adjustRightInd/>
        <w:textAlignment w:val="auto"/>
      </w:pPr>
      <w:proofErr w:type="gramStart"/>
      <w:r>
        <w:t>adds</w:t>
      </w:r>
      <w:proofErr w:type="gramEnd"/>
      <w:r>
        <w:t xml:space="preserve"> the Agenda 2030 and Objective 5, and features a new mentoring program for young women and girls.</w:t>
      </w:r>
    </w:p>
    <w:p w:rsidR="00342474" w:rsidRDefault="00633F39">
      <w:pPr>
        <w:pStyle w:val="Heading2"/>
        <w:ind w:left="0" w:firstLine="0"/>
      </w:pPr>
      <w:bookmarkStart w:id="111" w:name="_Toc530750178"/>
      <w:r>
        <w:t>19.5</w:t>
      </w:r>
      <w:r>
        <w:tab/>
        <w:t>Revised Resolution 175 “Telecommunication/information and communication technology accessibility for persons with disabilities and persons with specific needs”</w:t>
      </w:r>
      <w:bookmarkEnd w:id="111"/>
    </w:p>
    <w:p w:rsidR="00342474" w:rsidRDefault="00633F39">
      <w:pPr>
        <w:pStyle w:val="ListParagraph"/>
        <w:numPr>
          <w:ilvl w:val="0"/>
          <w:numId w:val="10"/>
        </w:numPr>
        <w:overflowPunct/>
        <w:autoSpaceDE/>
        <w:autoSpaceDN/>
        <w:adjustRightInd/>
        <w:ind w:left="357" w:hanging="357"/>
        <w:contextualSpacing w:val="0"/>
        <w:textAlignment w:val="auto"/>
        <w:rPr>
          <w:rFonts w:ascii="Times New Roman" w:hAnsi="Times New Roman"/>
        </w:rPr>
      </w:pPr>
      <w:r>
        <w:rPr>
          <w:rFonts w:ascii="Times New Roman" w:hAnsi="Times New Roman"/>
        </w:rPr>
        <w:t>New resolves are included that allow strengthening ITU actions with respect to the Accessibility to telecommunication/ICT for persons with disabilities and persons with specific needs.</w:t>
      </w:r>
    </w:p>
    <w:p w:rsidR="00342474" w:rsidRDefault="00633F39">
      <w:pPr>
        <w:pStyle w:val="ListParagraph"/>
        <w:numPr>
          <w:ilvl w:val="0"/>
          <w:numId w:val="10"/>
        </w:numPr>
        <w:overflowPunct/>
        <w:autoSpaceDE/>
        <w:autoSpaceDN/>
        <w:adjustRightInd/>
        <w:ind w:left="357" w:hanging="357"/>
        <w:contextualSpacing w:val="0"/>
        <w:textAlignment w:val="auto"/>
        <w:rPr>
          <w:rFonts w:ascii="Times New Roman" w:hAnsi="Times New Roman"/>
        </w:rPr>
      </w:pPr>
      <w:r>
        <w:rPr>
          <w:rFonts w:ascii="Times New Roman" w:hAnsi="Times New Roman"/>
        </w:rPr>
        <w:t>To provide human and financial resources on accessibility.</w:t>
      </w:r>
    </w:p>
    <w:p w:rsidR="00342474" w:rsidRDefault="00633F39">
      <w:pPr>
        <w:pStyle w:val="ListParagraph"/>
        <w:numPr>
          <w:ilvl w:val="0"/>
          <w:numId w:val="10"/>
        </w:numPr>
        <w:overflowPunct/>
        <w:autoSpaceDE/>
        <w:autoSpaceDN/>
        <w:adjustRightInd/>
        <w:ind w:left="357" w:hanging="357"/>
        <w:contextualSpacing w:val="0"/>
        <w:textAlignment w:val="auto"/>
        <w:rPr>
          <w:rFonts w:ascii="Times New Roman" w:hAnsi="Times New Roman"/>
        </w:rPr>
      </w:pPr>
      <w:r>
        <w:rPr>
          <w:rFonts w:ascii="Times New Roman" w:hAnsi="Times New Roman"/>
        </w:rPr>
        <w:t>Consider offering sign language if budget allows.</w:t>
      </w:r>
    </w:p>
    <w:p w:rsidR="00342474" w:rsidRDefault="00633F39">
      <w:pPr>
        <w:pStyle w:val="ListParagraph"/>
        <w:numPr>
          <w:ilvl w:val="0"/>
          <w:numId w:val="10"/>
        </w:numPr>
        <w:overflowPunct/>
        <w:autoSpaceDE/>
        <w:autoSpaceDN/>
        <w:adjustRightInd/>
        <w:ind w:left="357" w:hanging="357"/>
        <w:contextualSpacing w:val="0"/>
        <w:textAlignment w:val="auto"/>
        <w:rPr>
          <w:rFonts w:ascii="Times New Roman" w:hAnsi="Times New Roman"/>
        </w:rPr>
      </w:pPr>
      <w:r>
        <w:rPr>
          <w:rFonts w:ascii="Times New Roman" w:hAnsi="Times New Roman"/>
        </w:rPr>
        <w:t>Report annually to Council, and to PP22.</w:t>
      </w:r>
    </w:p>
    <w:p w:rsidR="00342474" w:rsidRDefault="00633F39">
      <w:pPr>
        <w:pStyle w:val="Heading2"/>
        <w:ind w:left="0" w:firstLine="0"/>
        <w:rPr>
          <w:rFonts w:asciiTheme="majorBidi" w:hAnsiTheme="majorBidi" w:cstheme="majorBidi"/>
        </w:rPr>
      </w:pPr>
      <w:bookmarkStart w:id="112" w:name="_Toc530750179"/>
      <w:bookmarkEnd w:id="107"/>
      <w:r>
        <w:t>19.6</w:t>
      </w:r>
      <w:r>
        <w:tab/>
        <w:t>Revised</w:t>
      </w:r>
      <w:r>
        <w:rPr>
          <w:rFonts w:asciiTheme="majorBidi" w:hAnsiTheme="majorBidi" w:cstheme="majorBidi"/>
        </w:rPr>
        <w:t xml:space="preserve"> Resolution 179 “ITU's role in child online protection”</w:t>
      </w:r>
      <w:bookmarkEnd w:id="112"/>
    </w:p>
    <w:p w:rsidR="00342474" w:rsidRDefault="00633F39">
      <w:pPr>
        <w:pStyle w:val="ListParagraph"/>
        <w:numPr>
          <w:ilvl w:val="0"/>
          <w:numId w:val="10"/>
        </w:numPr>
        <w:overflowPunct/>
        <w:autoSpaceDE/>
        <w:autoSpaceDN/>
        <w:adjustRightInd/>
        <w:ind w:left="357" w:hanging="357"/>
        <w:contextualSpacing w:val="0"/>
        <w:textAlignment w:val="auto"/>
        <w:rPr>
          <w:rFonts w:ascii="Times New Roman" w:hAnsi="Times New Roman"/>
        </w:rPr>
      </w:pPr>
      <w:r>
        <w:rPr>
          <w:rFonts w:ascii="Times New Roman" w:hAnsi="Times New Roman"/>
        </w:rPr>
        <w:t>Continue COP activities.</w:t>
      </w:r>
    </w:p>
    <w:p w:rsidR="00342474" w:rsidRDefault="00633F39">
      <w:pPr>
        <w:pStyle w:val="ListParagraph"/>
        <w:numPr>
          <w:ilvl w:val="0"/>
          <w:numId w:val="10"/>
        </w:numPr>
        <w:overflowPunct/>
        <w:autoSpaceDE/>
        <w:autoSpaceDN/>
        <w:adjustRightInd/>
        <w:ind w:left="357" w:hanging="357"/>
        <w:contextualSpacing w:val="0"/>
        <w:textAlignment w:val="auto"/>
        <w:rPr>
          <w:rFonts w:ascii="Times New Roman" w:hAnsi="Times New Roman"/>
        </w:rPr>
      </w:pPr>
      <w:r>
        <w:rPr>
          <w:rFonts w:ascii="Times New Roman" w:hAnsi="Times New Roman"/>
        </w:rPr>
        <w:t>TSBDir to encourage ITU-T study groups to develop solutions on COP.</w:t>
      </w:r>
    </w:p>
    <w:p w:rsidR="00342474" w:rsidRDefault="00633F39">
      <w:pPr>
        <w:pStyle w:val="ListParagraph"/>
        <w:numPr>
          <w:ilvl w:val="0"/>
          <w:numId w:val="10"/>
        </w:numPr>
        <w:overflowPunct/>
        <w:autoSpaceDE/>
        <w:autoSpaceDN/>
        <w:adjustRightInd/>
        <w:ind w:left="357" w:hanging="357"/>
        <w:contextualSpacing w:val="0"/>
        <w:textAlignment w:val="auto"/>
        <w:rPr>
          <w:rFonts w:ascii="Times New Roman" w:hAnsi="Times New Roman"/>
        </w:rPr>
      </w:pPr>
      <w:r>
        <w:rPr>
          <w:rFonts w:ascii="Times New Roman" w:hAnsi="Times New Roman"/>
        </w:rPr>
        <w:t>TSBDir to promote cooperation among ITU-T study groups on COP.</w:t>
      </w:r>
    </w:p>
    <w:p w:rsidR="00342474" w:rsidRDefault="00633F39">
      <w:pPr>
        <w:pStyle w:val="ListParagraph"/>
        <w:numPr>
          <w:ilvl w:val="0"/>
          <w:numId w:val="10"/>
        </w:numPr>
        <w:overflowPunct/>
        <w:autoSpaceDE/>
        <w:autoSpaceDN/>
        <w:adjustRightInd/>
        <w:ind w:left="357" w:hanging="357"/>
        <w:contextualSpacing w:val="0"/>
        <w:textAlignment w:val="auto"/>
        <w:rPr>
          <w:rFonts w:asciiTheme="majorBidi" w:hAnsiTheme="majorBidi" w:cstheme="majorBidi"/>
          <w:szCs w:val="24"/>
        </w:rPr>
      </w:pPr>
      <w:r>
        <w:rPr>
          <w:rFonts w:ascii="Times New Roman" w:hAnsi="Times New Roman"/>
        </w:rPr>
        <w:t>TSBDir to allocate</w:t>
      </w:r>
      <w:r>
        <w:rPr>
          <w:rFonts w:asciiTheme="majorBidi" w:hAnsiTheme="majorBidi" w:cstheme="majorBidi"/>
          <w:szCs w:val="24"/>
        </w:rPr>
        <w:t xml:space="preserve"> COP regional telephone numbers upon request from Member States.</w:t>
      </w:r>
    </w:p>
    <w:p w:rsidR="00342474" w:rsidRDefault="00633F39">
      <w:pPr>
        <w:pStyle w:val="Heading2"/>
        <w:ind w:left="0" w:firstLine="0"/>
        <w:rPr>
          <w:rFonts w:asciiTheme="majorBidi" w:hAnsiTheme="majorBidi" w:cstheme="majorBidi"/>
        </w:rPr>
      </w:pPr>
      <w:bookmarkStart w:id="113" w:name="_Toc530750180"/>
      <w:r>
        <w:t>19.7</w:t>
      </w:r>
      <w:r>
        <w:tab/>
        <w:t>Revised</w:t>
      </w:r>
      <w:r>
        <w:rPr>
          <w:rFonts w:asciiTheme="majorBidi" w:hAnsiTheme="majorBidi" w:cstheme="majorBidi"/>
        </w:rPr>
        <w:t xml:space="preserve"> Resolution 198 “Empowerment of youth through telecommunication/information and communication technology”</w:t>
      </w:r>
      <w:bookmarkEnd w:id="113"/>
      <w:r>
        <w:rPr>
          <w:rFonts w:asciiTheme="majorBidi" w:hAnsiTheme="majorBidi" w:cstheme="majorBidi"/>
        </w:rPr>
        <w:t xml:space="preserve"> </w:t>
      </w:r>
    </w:p>
    <w:p w:rsidR="00342474" w:rsidRDefault="00633F39">
      <w:pPr>
        <w:overflowPunct/>
        <w:autoSpaceDE/>
        <w:autoSpaceDN/>
        <w:adjustRightInd/>
        <w:textAlignment w:val="auto"/>
        <w:rPr>
          <w:rFonts w:asciiTheme="majorBidi" w:hAnsiTheme="majorBidi" w:cstheme="majorBidi"/>
        </w:rPr>
      </w:pPr>
      <w:proofErr w:type="gramStart"/>
      <w:r>
        <w:rPr>
          <w:rFonts w:asciiTheme="majorBidi" w:hAnsiTheme="majorBidi" w:cstheme="majorBidi"/>
        </w:rPr>
        <w:t>basically</w:t>
      </w:r>
      <w:proofErr w:type="gramEnd"/>
      <w:r>
        <w:rPr>
          <w:rFonts w:asciiTheme="majorBidi" w:hAnsiTheme="majorBidi" w:cstheme="majorBidi"/>
        </w:rPr>
        <w:t xml:space="preserve"> provides only editorial updates.</w:t>
      </w:r>
    </w:p>
    <w:p w:rsidR="00342474" w:rsidRDefault="00633F39">
      <w:pPr>
        <w:pStyle w:val="Heading2"/>
        <w:ind w:left="0" w:firstLine="0"/>
        <w:rPr>
          <w:rFonts w:asciiTheme="majorBidi" w:hAnsiTheme="majorBidi" w:cstheme="majorBidi"/>
        </w:rPr>
      </w:pPr>
      <w:bookmarkStart w:id="114" w:name="_Toc530750181"/>
      <w:r>
        <w:rPr>
          <w:rFonts w:asciiTheme="majorBidi" w:hAnsiTheme="majorBidi" w:cstheme="majorBidi"/>
        </w:rPr>
        <w:lastRenderedPageBreak/>
        <w:t>19.8</w:t>
      </w:r>
      <w:r>
        <w:rPr>
          <w:rFonts w:asciiTheme="majorBidi" w:hAnsiTheme="majorBidi" w:cstheme="majorBidi"/>
        </w:rPr>
        <w:tab/>
        <w:t xml:space="preserve">Revised </w:t>
      </w:r>
      <w:r>
        <w:t>Resolution</w:t>
      </w:r>
      <w:r>
        <w:rPr>
          <w:rFonts w:asciiTheme="majorBidi" w:hAnsiTheme="majorBidi" w:cstheme="majorBidi"/>
        </w:rPr>
        <w:t xml:space="preserve"> 196 “Protecting telecommunication service users/consumers”</w:t>
      </w:r>
      <w:bookmarkEnd w:id="114"/>
    </w:p>
    <w:p w:rsidR="00342474" w:rsidRDefault="00633F39">
      <w:pPr>
        <w:pStyle w:val="ListParagraph"/>
        <w:numPr>
          <w:ilvl w:val="0"/>
          <w:numId w:val="10"/>
        </w:numPr>
        <w:overflowPunct/>
        <w:autoSpaceDE/>
        <w:autoSpaceDN/>
        <w:adjustRightInd/>
        <w:ind w:left="357" w:hanging="357"/>
        <w:contextualSpacing w:val="0"/>
        <w:textAlignment w:val="auto"/>
        <w:rPr>
          <w:rFonts w:asciiTheme="majorBidi" w:hAnsiTheme="majorBidi" w:cstheme="majorBidi"/>
        </w:rPr>
      </w:pPr>
      <w:r>
        <w:rPr>
          <w:rFonts w:asciiTheme="majorBidi" w:hAnsiTheme="majorBidi" w:cstheme="majorBidi"/>
          <w:szCs w:val="24"/>
        </w:rPr>
        <w:t xml:space="preserve">Continue </w:t>
      </w:r>
      <w:r>
        <w:rPr>
          <w:rFonts w:asciiTheme="majorBidi" w:hAnsiTheme="majorBidi" w:cstheme="majorBidi"/>
        </w:rPr>
        <w:t>with best practices on protection of users.</w:t>
      </w:r>
    </w:p>
    <w:p w:rsidR="00342474" w:rsidRDefault="00633F39">
      <w:pPr>
        <w:pStyle w:val="ListParagraph"/>
        <w:numPr>
          <w:ilvl w:val="0"/>
          <w:numId w:val="10"/>
        </w:numPr>
        <w:overflowPunct/>
        <w:autoSpaceDE/>
        <w:autoSpaceDN/>
        <w:adjustRightInd/>
        <w:ind w:left="357" w:hanging="357"/>
        <w:contextualSpacing w:val="0"/>
        <w:textAlignment w:val="auto"/>
        <w:rPr>
          <w:rFonts w:asciiTheme="majorBidi" w:hAnsiTheme="majorBidi" w:cstheme="majorBidi"/>
        </w:rPr>
      </w:pPr>
      <w:r>
        <w:rPr>
          <w:rFonts w:asciiTheme="majorBidi" w:hAnsiTheme="majorBidi" w:cstheme="majorBidi"/>
        </w:rPr>
        <w:t>ITU-D to take the lead on this Resolution in close collaboration with ITU-T study groups.</w:t>
      </w:r>
    </w:p>
    <w:p w:rsidR="00342474" w:rsidRDefault="00633F39">
      <w:pPr>
        <w:pStyle w:val="ListParagraph"/>
        <w:numPr>
          <w:ilvl w:val="0"/>
          <w:numId w:val="10"/>
        </w:numPr>
        <w:overflowPunct/>
        <w:autoSpaceDE/>
        <w:autoSpaceDN/>
        <w:adjustRightInd/>
        <w:ind w:left="357" w:hanging="357"/>
        <w:contextualSpacing w:val="0"/>
        <w:textAlignment w:val="auto"/>
        <w:rPr>
          <w:rFonts w:asciiTheme="majorBidi" w:hAnsiTheme="majorBidi" w:cstheme="majorBidi"/>
          <w:szCs w:val="24"/>
        </w:rPr>
      </w:pPr>
      <w:r>
        <w:rPr>
          <w:rFonts w:asciiTheme="majorBidi" w:hAnsiTheme="majorBidi" w:cstheme="majorBidi"/>
        </w:rPr>
        <w:t>BDTDir to</w:t>
      </w:r>
      <w:r>
        <w:rPr>
          <w:rFonts w:asciiTheme="majorBidi" w:hAnsiTheme="majorBidi" w:cstheme="majorBidi"/>
          <w:szCs w:val="24"/>
        </w:rPr>
        <w:t xml:space="preserve"> provide inputs to ITU-T study groups.</w:t>
      </w:r>
    </w:p>
    <w:p w:rsidR="00342474" w:rsidRDefault="00633F39">
      <w:pPr>
        <w:pStyle w:val="Heading2"/>
        <w:ind w:left="0" w:firstLine="0"/>
        <w:rPr>
          <w:rFonts w:asciiTheme="majorBidi" w:hAnsiTheme="majorBidi" w:cstheme="majorBidi"/>
        </w:rPr>
      </w:pPr>
      <w:bookmarkStart w:id="115" w:name="_Toc530750182"/>
      <w:r>
        <w:rPr>
          <w:rFonts w:asciiTheme="majorBidi" w:hAnsiTheme="majorBidi" w:cstheme="majorBidi"/>
        </w:rPr>
        <w:t>19.9</w:t>
      </w:r>
      <w:r>
        <w:rPr>
          <w:rFonts w:asciiTheme="majorBidi" w:hAnsiTheme="majorBidi" w:cstheme="majorBidi"/>
        </w:rPr>
        <w:tab/>
        <w:t>New Recommendation WGPL/1 “The role of ITU in supporting the use of ICTs to combat trafficking in persons”</w:t>
      </w:r>
      <w:bookmarkEnd w:id="115"/>
    </w:p>
    <w:p w:rsidR="00342474" w:rsidRDefault="00633F39">
      <w:pPr>
        <w:overflowPunct/>
        <w:autoSpaceDE/>
        <w:autoSpaceDN/>
        <w:adjustRightInd/>
        <w:textAlignment w:val="auto"/>
        <w:rPr>
          <w:rFonts w:asciiTheme="majorBidi" w:hAnsiTheme="majorBidi" w:cstheme="majorBidi"/>
        </w:rPr>
      </w:pPr>
      <w:r>
        <w:rPr>
          <w:rFonts w:asciiTheme="majorBidi" w:hAnsiTheme="majorBidi" w:cstheme="majorBidi"/>
        </w:rPr>
        <w:t>PP-18</w:t>
      </w:r>
    </w:p>
    <w:p w:rsidR="00342474" w:rsidRDefault="00633F39">
      <w:pPr>
        <w:pStyle w:val="Call"/>
      </w:pPr>
      <w:proofErr w:type="gramStart"/>
      <w:r>
        <w:t>recommends</w:t>
      </w:r>
      <w:proofErr w:type="gramEnd"/>
    </w:p>
    <w:p w:rsidR="00342474" w:rsidRDefault="00633F39">
      <w:r>
        <w:t>1</w:t>
      </w:r>
      <w:r>
        <w:tab/>
        <w:t>that Member States work with ITU to continue improving their national ICT infrastructure and connectivity rates in order to facilitate the use of ICT tools by relevant actors involved in combating trafficking in persons;</w:t>
      </w:r>
    </w:p>
    <w:p w:rsidR="00342474" w:rsidRDefault="00633F39">
      <w:r>
        <w:t>2</w:t>
      </w:r>
      <w:r>
        <w:tab/>
        <w:t>that Member States engage with relevant international organizations to understand their ICT needs in order to allow them to tackle trafficking in persons effectively,</w:t>
      </w:r>
    </w:p>
    <w:p w:rsidR="00342474" w:rsidRDefault="00633F39">
      <w:pPr>
        <w:pStyle w:val="Call"/>
      </w:pPr>
      <w:proofErr w:type="gramStart"/>
      <w:r>
        <w:t>instructs</w:t>
      </w:r>
      <w:proofErr w:type="gramEnd"/>
      <w:r>
        <w:t xml:space="preserve"> the Secretary-General</w:t>
      </w:r>
    </w:p>
    <w:p w:rsidR="00342474" w:rsidRDefault="00633F39">
      <w:r>
        <w:t>1</w:t>
      </w:r>
      <w:r>
        <w:tab/>
        <w:t>to collaborate on supporting the use of ICTs, as appropriate, with relevant bodies/agencies within the United Nations and other relevant international and regional bodies, taking into account the specific mandates and areas of expertise of the different agencies, while being mindful of the need to avoid duplicating work between organizations in combating trafficking in persons;</w:t>
      </w:r>
    </w:p>
    <w:p w:rsidR="00342474" w:rsidRDefault="00633F39">
      <w:proofErr w:type="gramStart"/>
      <w:r>
        <w:t>2</w:t>
      </w:r>
      <w:proofErr w:type="gramEnd"/>
      <w:r>
        <w:tab/>
        <w:t>to make appropriate administrative arrangements to keep Member States informed in this regard.</w:t>
      </w:r>
    </w:p>
    <w:p w:rsidR="00342474" w:rsidRDefault="00633F39">
      <w:pPr>
        <w:pStyle w:val="Heading1"/>
      </w:pPr>
      <w:bookmarkStart w:id="116" w:name="_Toc530750183"/>
      <w:r>
        <w:t>20</w:t>
      </w:r>
      <w:r>
        <w:tab/>
        <w:t>Publications; documentation</w:t>
      </w:r>
      <w:bookmarkEnd w:id="116"/>
    </w:p>
    <w:p w:rsidR="00342474" w:rsidRDefault="00633F39">
      <w:pPr>
        <w:pStyle w:val="Heading2"/>
        <w:spacing w:before="120"/>
        <w:ind w:left="0" w:firstLine="0"/>
      </w:pPr>
      <w:bookmarkStart w:id="117" w:name="_Toc530750184"/>
      <w:r>
        <w:t>20.1</w:t>
      </w:r>
      <w:r>
        <w:tab/>
        <w:t xml:space="preserve">Revised </w:t>
      </w:r>
      <w:r>
        <w:rPr>
          <w:rFonts w:asciiTheme="majorBidi" w:hAnsiTheme="majorBidi" w:cstheme="majorBidi"/>
        </w:rPr>
        <w:t>Resolution</w:t>
      </w:r>
      <w:r>
        <w:t xml:space="preserve"> 66 “Documents and publications of the Union”</w:t>
      </w:r>
      <w:bookmarkEnd w:id="117"/>
    </w:p>
    <w:p w:rsidR="00342474" w:rsidRDefault="00633F39">
      <w:pPr>
        <w:tabs>
          <w:tab w:val="clear" w:pos="794"/>
          <w:tab w:val="clear" w:pos="1191"/>
          <w:tab w:val="clear" w:pos="1588"/>
          <w:tab w:val="clear" w:pos="1985"/>
        </w:tabs>
        <w:overflowPunct/>
        <w:autoSpaceDE/>
        <w:autoSpaceDN/>
        <w:adjustRightInd/>
        <w:textAlignment w:val="auto"/>
      </w:pPr>
      <w:proofErr w:type="gramStart"/>
      <w:r>
        <w:t>requires</w:t>
      </w:r>
      <w:proofErr w:type="gramEnd"/>
      <w:r>
        <w:t xml:space="preserve"> that ITU also makes available its documents and publications in some open data file format for persons with disabilities.</w:t>
      </w:r>
    </w:p>
    <w:p w:rsidR="00342474" w:rsidRDefault="00633F39">
      <w:pPr>
        <w:pStyle w:val="Heading2"/>
        <w:ind w:left="0" w:firstLine="0"/>
      </w:pPr>
      <w:bookmarkStart w:id="118" w:name="_Toc530750185"/>
      <w:r>
        <w:t>20.2</w:t>
      </w:r>
      <w:r>
        <w:tab/>
        <w:t>New Resolution COM5/1 “ITU Journal: ICT Discoveries”</w:t>
      </w:r>
      <w:bookmarkEnd w:id="118"/>
    </w:p>
    <w:p w:rsidR="00342474" w:rsidRDefault="00633F39">
      <w:pPr>
        <w:numPr>
          <w:ilvl w:val="0"/>
          <w:numId w:val="1"/>
        </w:numPr>
        <w:tabs>
          <w:tab w:val="clear" w:pos="794"/>
          <w:tab w:val="clear" w:pos="1191"/>
          <w:tab w:val="clear" w:pos="1588"/>
          <w:tab w:val="clear" w:pos="1985"/>
        </w:tabs>
        <w:overflowPunct/>
        <w:autoSpaceDE/>
        <w:autoSpaceDN/>
        <w:adjustRightInd/>
        <w:ind w:left="360"/>
        <w:textAlignment w:val="auto"/>
      </w:pPr>
      <w:proofErr w:type="gramStart"/>
      <w:r>
        <w:t>supports</w:t>
      </w:r>
      <w:proofErr w:type="gramEnd"/>
      <w:r>
        <w:t xml:space="preserve"> the ITU Journal.</w:t>
      </w:r>
    </w:p>
    <w:p w:rsidR="00342474" w:rsidRDefault="00633F39">
      <w:pPr>
        <w:numPr>
          <w:ilvl w:val="0"/>
          <w:numId w:val="1"/>
        </w:numPr>
        <w:tabs>
          <w:tab w:val="clear" w:pos="794"/>
          <w:tab w:val="clear" w:pos="1191"/>
          <w:tab w:val="clear" w:pos="1588"/>
          <w:tab w:val="clear" w:pos="1985"/>
        </w:tabs>
        <w:overflowPunct/>
        <w:autoSpaceDE/>
        <w:autoSpaceDN/>
        <w:adjustRightInd/>
        <w:ind w:left="360"/>
        <w:textAlignment w:val="auto"/>
      </w:pPr>
      <w:r>
        <w:t>TSBDir to lead ITU Journal.</w:t>
      </w:r>
    </w:p>
    <w:p w:rsidR="00342474" w:rsidRDefault="00633F39">
      <w:pPr>
        <w:pStyle w:val="Heading2"/>
        <w:ind w:left="0" w:firstLine="0"/>
      </w:pPr>
      <w:bookmarkStart w:id="119" w:name="_Toc530750186"/>
      <w:r>
        <w:t>20.3</w:t>
      </w:r>
      <w:r>
        <w:tab/>
        <w:t>Streamlining Resolutions</w:t>
      </w:r>
      <w:bookmarkEnd w:id="119"/>
    </w:p>
    <w:p w:rsidR="00342474" w:rsidRDefault="00C20967" w:rsidP="00C20967">
      <w:pPr>
        <w:numPr>
          <w:ilvl w:val="0"/>
          <w:numId w:val="1"/>
        </w:numPr>
        <w:tabs>
          <w:tab w:val="clear" w:pos="794"/>
          <w:tab w:val="clear" w:pos="1191"/>
          <w:tab w:val="clear" w:pos="1588"/>
          <w:tab w:val="clear" w:pos="1985"/>
        </w:tabs>
        <w:overflowPunct/>
        <w:autoSpaceDE/>
        <w:autoSpaceDN/>
        <w:adjustRightInd/>
        <w:ind w:left="360"/>
        <w:textAlignment w:val="auto"/>
      </w:pPr>
      <w:r w:rsidRPr="00C20967">
        <w:t xml:space="preserve">Streamlining Resolutions </w:t>
      </w:r>
      <w:r w:rsidR="00633F39">
        <w:t xml:space="preserve">is a new approach that aims to align ITU </w:t>
      </w:r>
      <w:proofErr w:type="gramStart"/>
      <w:r w:rsidR="00633F39">
        <w:t>Resolutions,</w:t>
      </w:r>
      <w:proofErr w:type="gramEnd"/>
      <w:r w:rsidR="00633F39">
        <w:t xml:space="preserve"> consolidate similar or equal elements.</w:t>
      </w:r>
    </w:p>
    <w:p w:rsidR="00342474" w:rsidRDefault="00633F39">
      <w:pPr>
        <w:numPr>
          <w:ilvl w:val="0"/>
          <w:numId w:val="1"/>
        </w:numPr>
        <w:tabs>
          <w:tab w:val="clear" w:pos="794"/>
          <w:tab w:val="clear" w:pos="1191"/>
          <w:tab w:val="clear" w:pos="1588"/>
          <w:tab w:val="clear" w:pos="1985"/>
        </w:tabs>
        <w:overflowPunct/>
        <w:autoSpaceDE/>
        <w:autoSpaceDN/>
        <w:adjustRightInd/>
        <w:ind w:left="360"/>
        <w:textAlignment w:val="auto"/>
      </w:pPr>
      <w:r>
        <w:t xml:space="preserve">TSB to prepare analysis on potential of streamlining Resolutions. </w:t>
      </w:r>
    </w:p>
    <w:p w:rsidR="00342474" w:rsidRDefault="00633F39">
      <w:pPr>
        <w:numPr>
          <w:ilvl w:val="0"/>
          <w:numId w:val="1"/>
        </w:numPr>
        <w:tabs>
          <w:tab w:val="clear" w:pos="794"/>
          <w:tab w:val="clear" w:pos="1191"/>
          <w:tab w:val="clear" w:pos="1588"/>
          <w:tab w:val="clear" w:pos="1985"/>
        </w:tabs>
        <w:overflowPunct/>
        <w:autoSpaceDE/>
        <w:autoSpaceDN/>
        <w:adjustRightInd/>
        <w:ind w:left="360"/>
        <w:textAlignment w:val="auto"/>
      </w:pPr>
      <w:r>
        <w:t>PP18 agreed:</w:t>
      </w:r>
    </w:p>
    <w:p w:rsidR="00342474" w:rsidRPr="00C20967" w:rsidRDefault="00633F39">
      <w:pPr>
        <w:tabs>
          <w:tab w:val="clear" w:pos="794"/>
          <w:tab w:val="clear" w:pos="1191"/>
          <w:tab w:val="clear" w:pos="1588"/>
          <w:tab w:val="clear" w:pos="1985"/>
        </w:tabs>
        <w:overflowPunct/>
        <w:autoSpaceDE/>
        <w:autoSpaceDN/>
        <w:adjustRightInd/>
        <w:ind w:left="360"/>
        <w:textAlignment w:val="auto"/>
        <w:rPr>
          <w:i/>
        </w:rPr>
      </w:pPr>
      <w:r w:rsidRPr="00C20967">
        <w:rPr>
          <w:i/>
        </w:rPr>
        <w:t xml:space="preserve">As has been discussed in multiple sessions of Council, this Plenipotentiary Conference (PP) acknowledged the need for streamlining of resolutions. The discussions included observations that multiple resolutions in all three Sectors reproduce preambular text that exists in a PP resolution. PP aware that some Sector resolutions are integrations of PP resolutions, these resolutions </w:t>
      </w:r>
      <w:proofErr w:type="gramStart"/>
      <w:r w:rsidRPr="00C20967">
        <w:rPr>
          <w:i/>
        </w:rPr>
        <w:t>should not be considered</w:t>
      </w:r>
      <w:proofErr w:type="gramEnd"/>
      <w:r w:rsidRPr="00C20967">
        <w:rPr>
          <w:i/>
        </w:rPr>
        <w:t xml:space="preserve"> as repetition.</w:t>
      </w:r>
    </w:p>
    <w:p w:rsidR="00342474" w:rsidRPr="00C20967" w:rsidRDefault="00633F39">
      <w:pPr>
        <w:tabs>
          <w:tab w:val="clear" w:pos="794"/>
          <w:tab w:val="clear" w:pos="1191"/>
          <w:tab w:val="clear" w:pos="1588"/>
          <w:tab w:val="clear" w:pos="1985"/>
        </w:tabs>
        <w:overflowPunct/>
        <w:autoSpaceDE/>
        <w:autoSpaceDN/>
        <w:adjustRightInd/>
        <w:ind w:left="360"/>
        <w:textAlignment w:val="auto"/>
        <w:rPr>
          <w:i/>
        </w:rPr>
      </w:pPr>
      <w:r w:rsidRPr="00C20967">
        <w:rPr>
          <w:i/>
        </w:rPr>
        <w:lastRenderedPageBreak/>
        <w:t>Repetition of such text among Conferences and Assemblies of the ITU causes inefficiencies and increased costs.</w:t>
      </w:r>
    </w:p>
    <w:p w:rsidR="00342474" w:rsidRPr="00C20967" w:rsidRDefault="00633F39">
      <w:pPr>
        <w:tabs>
          <w:tab w:val="clear" w:pos="794"/>
          <w:tab w:val="clear" w:pos="1191"/>
          <w:tab w:val="clear" w:pos="1588"/>
          <w:tab w:val="clear" w:pos="1985"/>
        </w:tabs>
        <w:overflowPunct/>
        <w:autoSpaceDE/>
        <w:autoSpaceDN/>
        <w:adjustRightInd/>
        <w:ind w:left="360"/>
        <w:textAlignment w:val="auto"/>
        <w:rPr>
          <w:i/>
        </w:rPr>
      </w:pPr>
      <w:r w:rsidRPr="00C20967">
        <w:rPr>
          <w:i/>
        </w:rPr>
        <w:t>PP instructs the Secretariat to provide analysis and identify outcomes of PP and Sectoral Assemblies/Conferences, which address similar topics and submit it for consideration to RAG, TSAG, TDAG and Council, and the inter-Sector coordination team.</w:t>
      </w:r>
    </w:p>
    <w:p w:rsidR="00342474" w:rsidRPr="00C20967" w:rsidRDefault="00633F39">
      <w:pPr>
        <w:tabs>
          <w:tab w:val="clear" w:pos="794"/>
          <w:tab w:val="clear" w:pos="1191"/>
          <w:tab w:val="clear" w:pos="1588"/>
          <w:tab w:val="clear" w:pos="1985"/>
        </w:tabs>
        <w:overflowPunct/>
        <w:autoSpaceDE/>
        <w:autoSpaceDN/>
        <w:adjustRightInd/>
        <w:ind w:left="360"/>
        <w:textAlignment w:val="auto"/>
        <w:rPr>
          <w:i/>
        </w:rPr>
      </w:pPr>
      <w:r w:rsidRPr="00C20967">
        <w:rPr>
          <w:i/>
        </w:rPr>
        <w:t xml:space="preserve">Member States and Sector Members </w:t>
      </w:r>
      <w:proofErr w:type="gramStart"/>
      <w:r w:rsidRPr="00C20967">
        <w:rPr>
          <w:i/>
        </w:rPr>
        <w:t>are invited</w:t>
      </w:r>
      <w:proofErr w:type="gramEnd"/>
      <w:r w:rsidRPr="00C20967">
        <w:rPr>
          <w:i/>
        </w:rPr>
        <w:t xml:space="preserve"> to use this material in their preparation to Sector Assemblies/Conferences, as appropriate.</w:t>
      </w:r>
    </w:p>
    <w:p w:rsidR="00342474" w:rsidRPr="00C20967" w:rsidRDefault="00633F39">
      <w:pPr>
        <w:tabs>
          <w:tab w:val="clear" w:pos="794"/>
          <w:tab w:val="clear" w:pos="1191"/>
          <w:tab w:val="clear" w:pos="1588"/>
          <w:tab w:val="clear" w:pos="1985"/>
        </w:tabs>
        <w:overflowPunct/>
        <w:autoSpaceDE/>
        <w:autoSpaceDN/>
        <w:adjustRightInd/>
        <w:ind w:left="360"/>
        <w:textAlignment w:val="auto"/>
        <w:rPr>
          <w:i/>
          <w:highlight w:val="yellow"/>
        </w:rPr>
      </w:pPr>
      <w:r w:rsidRPr="00C20967">
        <w:rPr>
          <w:i/>
        </w:rPr>
        <w:t>PP invites Member States, Conferences and Assemblies to support the principle of streamlining the resolutions in order to avoid repetition. Of course, resolutions dealing with subjects that are specific to a single Sector will exist as resolutions for the Sector concerned.</w:t>
      </w:r>
    </w:p>
    <w:p w:rsidR="00342474" w:rsidRDefault="00633F39">
      <w:pPr>
        <w:pStyle w:val="Heading2"/>
        <w:ind w:left="0" w:firstLine="0"/>
      </w:pPr>
      <w:bookmarkStart w:id="120" w:name="_Toc530750187"/>
      <w:r>
        <w:t>20.4</w:t>
      </w:r>
      <w:r>
        <w:tab/>
        <w:t>Document Access Policy</w:t>
      </w:r>
      <w:bookmarkEnd w:id="120"/>
    </w:p>
    <w:p w:rsidR="00342474" w:rsidRDefault="00633F39">
      <w:pPr>
        <w:tabs>
          <w:tab w:val="clear" w:pos="794"/>
          <w:tab w:val="clear" w:pos="1191"/>
          <w:tab w:val="clear" w:pos="1588"/>
          <w:tab w:val="clear" w:pos="1985"/>
        </w:tabs>
        <w:overflowPunct/>
        <w:autoSpaceDE/>
        <w:autoSpaceDN/>
        <w:adjustRightInd/>
        <w:textAlignment w:val="auto"/>
      </w:pPr>
      <w:r>
        <w:rPr>
          <w:rFonts w:eastAsia="SimSun"/>
          <w:lang w:eastAsia="zh-CN"/>
        </w:rPr>
        <w:t xml:space="preserve">PP-18 approved the Document Access Policy </w:t>
      </w:r>
      <w:r>
        <w:rPr>
          <w:rFonts w:eastAsia="SimSun"/>
          <w:szCs w:val="24"/>
        </w:rPr>
        <w:t xml:space="preserve">annexed to Council </w:t>
      </w:r>
      <w:r>
        <w:rPr>
          <w:rFonts w:eastAsia="SimSun"/>
        </w:rPr>
        <w:t xml:space="preserve">document </w:t>
      </w:r>
      <w:hyperlink r:id="rId15" w:history="1">
        <w:r>
          <w:rPr>
            <w:rStyle w:val="Hyperlink"/>
            <w:rFonts w:eastAsia="SimSun"/>
          </w:rPr>
          <w:t>C18/58</w:t>
        </w:r>
      </w:hyperlink>
      <w:r>
        <w:rPr>
          <w:rFonts w:eastAsia="SimSun"/>
        </w:rPr>
        <w:t xml:space="preserve"> </w:t>
      </w:r>
      <w:r>
        <w:rPr>
          <w:rFonts w:eastAsia="SimSun"/>
          <w:szCs w:val="24"/>
        </w:rPr>
        <w:t>with the understanding of ITU Council approved recommendation number 46 of the document</w:t>
      </w:r>
      <w:r>
        <w:t xml:space="preserve"> </w:t>
      </w:r>
      <w:hyperlink r:id="rId16" w:history="1">
        <w:r>
          <w:rPr>
            <w:rStyle w:val="Hyperlink"/>
            <w:rFonts w:eastAsia="SimSun"/>
            <w:szCs w:val="24"/>
          </w:rPr>
          <w:t>C17/140</w:t>
        </w:r>
      </w:hyperlink>
      <w:r>
        <w:rPr>
          <w:rStyle w:val="Hyperlink"/>
          <w:rFonts w:eastAsia="SimSun"/>
          <w:szCs w:val="24"/>
        </w:rPr>
        <w:t xml:space="preserve"> </w:t>
      </w:r>
      <w:r>
        <w:t>and with the clarifications contained in the proposal ARB/72A1/39</w:t>
      </w:r>
      <w:r>
        <w:rPr>
          <w:rFonts w:asciiTheme="majorBidi" w:hAnsiTheme="majorBidi" w:cstheme="majorBidi"/>
        </w:rPr>
        <w:t>.</w:t>
      </w:r>
    </w:p>
    <w:p w:rsidR="00342474" w:rsidRDefault="00633F39">
      <w:pPr>
        <w:pStyle w:val="Heading1"/>
        <w:spacing w:before="240"/>
      </w:pPr>
      <w:bookmarkStart w:id="121" w:name="_Toc530750188"/>
      <w:r>
        <w:t>21</w:t>
      </w:r>
      <w:r>
        <w:tab/>
        <w:t>Operational matters</w:t>
      </w:r>
      <w:bookmarkEnd w:id="121"/>
    </w:p>
    <w:p w:rsidR="00342474" w:rsidRDefault="00633F39">
      <w:pPr>
        <w:pStyle w:val="Heading2"/>
        <w:spacing w:before="120"/>
        <w:ind w:left="0" w:firstLine="0"/>
      </w:pPr>
      <w:bookmarkStart w:id="122" w:name="_Toc530750189"/>
      <w:r>
        <w:t>21.1</w:t>
      </w:r>
      <w:r>
        <w:tab/>
        <w:t>Revised Resolution 167 “Strengthening and developing ITU capabilities for electronic meetings and means to advance the work of the Union”</w:t>
      </w:r>
      <w:bookmarkEnd w:id="122"/>
    </w:p>
    <w:p w:rsidR="00342474" w:rsidRDefault="00633F39">
      <w:pPr>
        <w:numPr>
          <w:ilvl w:val="0"/>
          <w:numId w:val="1"/>
        </w:numPr>
        <w:tabs>
          <w:tab w:val="clear" w:pos="794"/>
          <w:tab w:val="clear" w:pos="1191"/>
          <w:tab w:val="clear" w:pos="1588"/>
          <w:tab w:val="clear" w:pos="1985"/>
        </w:tabs>
        <w:overflowPunct/>
        <w:autoSpaceDE/>
        <w:autoSpaceDN/>
        <w:adjustRightInd/>
        <w:ind w:left="360"/>
        <w:textAlignment w:val="auto"/>
        <w:rPr>
          <w:rFonts w:eastAsia="SimSun"/>
          <w:lang w:eastAsia="zh-CN"/>
        </w:rPr>
      </w:pPr>
      <w:r>
        <w:rPr>
          <w:rFonts w:eastAsia="SimSun"/>
          <w:lang w:eastAsia="zh-CN"/>
        </w:rPr>
        <w:t xml:space="preserve">Stresses the importance of an inclusive digital society </w:t>
      </w:r>
      <w:proofErr w:type="gramStart"/>
      <w:r>
        <w:rPr>
          <w:rFonts w:eastAsia="SimSun"/>
          <w:lang w:eastAsia="zh-CN"/>
        </w:rPr>
        <w:t>together with sustainable development and to update references contained therein</w:t>
      </w:r>
      <w:proofErr w:type="gramEnd"/>
      <w:r>
        <w:rPr>
          <w:rFonts w:eastAsia="SimSun"/>
          <w:lang w:eastAsia="zh-CN"/>
        </w:rPr>
        <w:t>.</w:t>
      </w:r>
    </w:p>
    <w:p w:rsidR="00342474" w:rsidRDefault="00633F39">
      <w:pPr>
        <w:numPr>
          <w:ilvl w:val="0"/>
          <w:numId w:val="1"/>
        </w:numPr>
        <w:tabs>
          <w:tab w:val="clear" w:pos="794"/>
          <w:tab w:val="clear" w:pos="1191"/>
          <w:tab w:val="clear" w:pos="1588"/>
          <w:tab w:val="clear" w:pos="1985"/>
        </w:tabs>
        <w:overflowPunct/>
        <w:autoSpaceDE/>
        <w:autoSpaceDN/>
        <w:adjustRightInd/>
        <w:ind w:left="360"/>
        <w:textAlignment w:val="auto"/>
        <w:rPr>
          <w:rFonts w:eastAsia="Malgun Gothic"/>
          <w:szCs w:val="24"/>
        </w:rPr>
      </w:pPr>
      <w:r>
        <w:rPr>
          <w:rFonts w:eastAsia="SimSun"/>
          <w:lang w:eastAsia="zh-CN"/>
        </w:rPr>
        <w:t>Reporting</w:t>
      </w:r>
      <w:r>
        <w:rPr>
          <w:szCs w:val="24"/>
        </w:rPr>
        <w:t xml:space="preserve"> on EWM actions to Council including forecast.</w:t>
      </w:r>
    </w:p>
    <w:p w:rsidR="00342474" w:rsidRDefault="00633F39">
      <w:pPr>
        <w:pStyle w:val="Heading2"/>
        <w:ind w:left="0" w:firstLine="0"/>
      </w:pPr>
      <w:bookmarkStart w:id="123" w:name="_Toc530750190"/>
      <w:r>
        <w:t>21.2</w:t>
      </w:r>
      <w:r>
        <w:tab/>
        <w:t>Revised Resolution 154 “Use of the six official languages of the Union on an equal footing”</w:t>
      </w:r>
      <w:bookmarkEnd w:id="123"/>
    </w:p>
    <w:p w:rsidR="00342474" w:rsidRDefault="00633F39">
      <w:pPr>
        <w:numPr>
          <w:ilvl w:val="0"/>
          <w:numId w:val="1"/>
        </w:numPr>
        <w:tabs>
          <w:tab w:val="clear" w:pos="794"/>
          <w:tab w:val="clear" w:pos="1191"/>
          <w:tab w:val="clear" w:pos="1588"/>
          <w:tab w:val="clear" w:pos="1985"/>
        </w:tabs>
        <w:overflowPunct/>
        <w:autoSpaceDE/>
        <w:autoSpaceDN/>
        <w:adjustRightInd/>
        <w:ind w:left="360"/>
        <w:textAlignment w:val="auto"/>
        <w:rPr>
          <w:rFonts w:eastAsia="SimSun"/>
          <w:lang w:eastAsia="zh-CN"/>
        </w:rPr>
      </w:pPr>
      <w:r>
        <w:rPr>
          <w:rFonts w:eastAsia="SimSun"/>
        </w:rPr>
        <w:t xml:space="preserve">TSB </w:t>
      </w:r>
      <w:r>
        <w:rPr>
          <w:rFonts w:eastAsia="SimSun"/>
          <w:lang w:eastAsia="zh-CN"/>
        </w:rPr>
        <w:t>to post Contributions immediately to ITU web pages while translations come afterwards.</w:t>
      </w:r>
    </w:p>
    <w:p w:rsidR="00342474" w:rsidRDefault="00633F39">
      <w:pPr>
        <w:numPr>
          <w:ilvl w:val="0"/>
          <w:numId w:val="1"/>
        </w:numPr>
        <w:tabs>
          <w:tab w:val="clear" w:pos="794"/>
          <w:tab w:val="clear" w:pos="1191"/>
          <w:tab w:val="clear" w:pos="1588"/>
          <w:tab w:val="clear" w:pos="1985"/>
        </w:tabs>
        <w:overflowPunct/>
        <w:autoSpaceDE/>
        <w:autoSpaceDN/>
        <w:adjustRightInd/>
        <w:ind w:left="360"/>
        <w:textAlignment w:val="auto"/>
        <w:rPr>
          <w:rFonts w:eastAsia="SimSun"/>
          <w:lang w:eastAsia="zh-CN"/>
        </w:rPr>
      </w:pPr>
      <w:r>
        <w:rPr>
          <w:rFonts w:eastAsia="SimSun"/>
          <w:lang w:eastAsia="zh-CN"/>
        </w:rPr>
        <w:t>To provide timely updates of the pages of the ITU website in all six languages of the Union.</w:t>
      </w:r>
    </w:p>
    <w:p w:rsidR="00342474" w:rsidRDefault="00633F39">
      <w:pPr>
        <w:numPr>
          <w:ilvl w:val="0"/>
          <w:numId w:val="1"/>
        </w:numPr>
        <w:tabs>
          <w:tab w:val="clear" w:pos="794"/>
          <w:tab w:val="clear" w:pos="1191"/>
          <w:tab w:val="clear" w:pos="1588"/>
          <w:tab w:val="clear" w:pos="1985"/>
        </w:tabs>
        <w:overflowPunct/>
        <w:autoSpaceDE/>
        <w:autoSpaceDN/>
        <w:adjustRightInd/>
        <w:ind w:left="360"/>
        <w:textAlignment w:val="auto"/>
        <w:rPr>
          <w:rFonts w:eastAsia="SimSun"/>
          <w:lang w:eastAsia="zh-CN"/>
        </w:rPr>
      </w:pPr>
      <w:r>
        <w:rPr>
          <w:rFonts w:eastAsia="SimSun"/>
          <w:lang w:eastAsia="zh-CN"/>
        </w:rPr>
        <w:t xml:space="preserve">To continue the work on the use of all ITU languages on the ITU </w:t>
      </w:r>
      <w:proofErr w:type="gramStart"/>
      <w:r>
        <w:rPr>
          <w:rFonts w:eastAsia="SimSun"/>
          <w:lang w:eastAsia="zh-CN"/>
        </w:rPr>
        <w:t>web-sites</w:t>
      </w:r>
      <w:proofErr w:type="gramEnd"/>
      <w:r>
        <w:rPr>
          <w:rFonts w:eastAsia="SimSun"/>
          <w:lang w:eastAsia="zh-CN"/>
        </w:rPr>
        <w:t xml:space="preserve"> on equal footing.</w:t>
      </w:r>
    </w:p>
    <w:p w:rsidR="00342474" w:rsidRDefault="00633F39">
      <w:pPr>
        <w:numPr>
          <w:ilvl w:val="0"/>
          <w:numId w:val="1"/>
        </w:numPr>
        <w:tabs>
          <w:tab w:val="clear" w:pos="794"/>
          <w:tab w:val="clear" w:pos="1191"/>
          <w:tab w:val="clear" w:pos="1588"/>
          <w:tab w:val="clear" w:pos="1985"/>
        </w:tabs>
        <w:overflowPunct/>
        <w:autoSpaceDE/>
        <w:autoSpaceDN/>
        <w:adjustRightInd/>
        <w:ind w:left="360"/>
        <w:textAlignment w:val="auto"/>
        <w:rPr>
          <w:rFonts w:eastAsia="SimSun"/>
        </w:rPr>
      </w:pPr>
      <w:r>
        <w:rPr>
          <w:rFonts w:eastAsia="SimSun"/>
          <w:lang w:eastAsia="zh-CN"/>
        </w:rPr>
        <w:t>Need to pursuing the ongoing analysis on the adoption by ITU of alternative translation procedures while taking into</w:t>
      </w:r>
      <w:r>
        <w:rPr>
          <w:rFonts w:eastAsia="SimSun"/>
        </w:rPr>
        <w:t xml:space="preserve"> account their financial implications and leveraging the benefits of innovative technologies.</w:t>
      </w:r>
    </w:p>
    <w:p w:rsidR="00342474" w:rsidRDefault="00633F39">
      <w:pPr>
        <w:pStyle w:val="Heading2"/>
        <w:ind w:left="0" w:firstLine="0"/>
      </w:pPr>
      <w:bookmarkStart w:id="124" w:name="_Toc530750191"/>
      <w:r>
        <w:t>21.3</w:t>
      </w:r>
      <w:r>
        <w:tab/>
        <w:t>New Resolution COM6/2 “The Union's future headquarters premises”</w:t>
      </w:r>
      <w:bookmarkEnd w:id="124"/>
    </w:p>
    <w:p w:rsidR="00342474" w:rsidRDefault="00633F39">
      <w:pPr>
        <w:tabs>
          <w:tab w:val="clear" w:pos="794"/>
          <w:tab w:val="clear" w:pos="1191"/>
          <w:tab w:val="clear" w:pos="1588"/>
          <w:tab w:val="clear" w:pos="1985"/>
        </w:tabs>
        <w:overflowPunct/>
        <w:autoSpaceDE/>
        <w:autoSpaceDN/>
        <w:adjustRightInd/>
        <w:textAlignment w:val="auto"/>
        <w:rPr>
          <w:rFonts w:eastAsia="SimSun"/>
        </w:rPr>
      </w:pPr>
      <w:r>
        <w:rPr>
          <w:rFonts w:eastAsia="SimSun"/>
        </w:rPr>
        <w:t>addresses the ITU new building project with a view to organize the building project under efficient management, fully compliant with ITU financial rules and regulations as well as ITU procurement rules, and with due regard to cost, functional, smart and sustainable design and quality.</w:t>
      </w:r>
    </w:p>
    <w:p w:rsidR="00342474" w:rsidRDefault="00633F39">
      <w:pPr>
        <w:pStyle w:val="Heading2"/>
        <w:ind w:left="0" w:firstLine="0"/>
      </w:pPr>
      <w:bookmarkStart w:id="125" w:name="_Toc530750192"/>
      <w:r>
        <w:t>21.4</w:t>
      </w:r>
      <w:r>
        <w:tab/>
        <w:t>Resolution 194 “Options for the Union’s Headquarter premises over the long-term”</w:t>
      </w:r>
      <w:bookmarkEnd w:id="125"/>
    </w:p>
    <w:p w:rsidR="00342474" w:rsidRDefault="00633F39">
      <w:pPr>
        <w:tabs>
          <w:tab w:val="clear" w:pos="794"/>
          <w:tab w:val="clear" w:pos="1191"/>
          <w:tab w:val="clear" w:pos="1588"/>
          <w:tab w:val="clear" w:pos="1985"/>
        </w:tabs>
        <w:overflowPunct/>
        <w:autoSpaceDE/>
        <w:autoSpaceDN/>
        <w:adjustRightInd/>
        <w:textAlignment w:val="auto"/>
      </w:pPr>
      <w:proofErr w:type="gramStart"/>
      <w:r>
        <w:rPr>
          <w:iCs/>
        </w:rPr>
        <w:t>was</w:t>
      </w:r>
      <w:proofErr w:type="gramEnd"/>
      <w:r>
        <w:rPr>
          <w:iCs/>
        </w:rPr>
        <w:t xml:space="preserve"> suppressed.</w:t>
      </w:r>
    </w:p>
    <w:p w:rsidR="00342474" w:rsidRDefault="00633F39">
      <w:pPr>
        <w:pStyle w:val="Heading1"/>
        <w:spacing w:before="240"/>
      </w:pPr>
      <w:bookmarkStart w:id="126" w:name="_Toc530750193"/>
      <w:r>
        <w:t>22</w:t>
      </w:r>
      <w:r>
        <w:tab/>
        <w:t>Events</w:t>
      </w:r>
      <w:bookmarkEnd w:id="126"/>
    </w:p>
    <w:p w:rsidR="00342474" w:rsidRDefault="00633F39">
      <w:pPr>
        <w:pStyle w:val="Heading2"/>
        <w:spacing w:before="120"/>
        <w:ind w:left="0" w:firstLine="0"/>
      </w:pPr>
      <w:bookmarkStart w:id="127" w:name="_Toc530750194"/>
      <w:r>
        <w:t>22.1</w:t>
      </w:r>
      <w:r>
        <w:tab/>
        <w:t>Revised Resolution 2 “World telecommunication/information and communication technology policy forum”</w:t>
      </w:r>
      <w:bookmarkEnd w:id="127"/>
    </w:p>
    <w:p w:rsidR="00342474" w:rsidRDefault="003D74BC">
      <w:pPr>
        <w:tabs>
          <w:tab w:val="clear" w:pos="794"/>
          <w:tab w:val="clear" w:pos="1191"/>
          <w:tab w:val="clear" w:pos="1588"/>
          <w:tab w:val="clear" w:pos="1985"/>
        </w:tabs>
        <w:overflowPunct/>
        <w:autoSpaceDE/>
        <w:autoSpaceDN/>
        <w:adjustRightInd/>
        <w:textAlignment w:val="auto"/>
      </w:pPr>
      <w:r>
        <w:t>T</w:t>
      </w:r>
      <w:r w:rsidR="00633F39">
        <w:t xml:space="preserve">he next WTPF </w:t>
      </w:r>
      <w:proofErr w:type="gramStart"/>
      <w:r w:rsidR="00633F39">
        <w:t>will be held</w:t>
      </w:r>
      <w:proofErr w:type="gramEnd"/>
      <w:r w:rsidR="00633F39">
        <w:t xml:space="preserve"> preferably back to back with the WSIS Forum 2021.</w:t>
      </w:r>
    </w:p>
    <w:p w:rsidR="00342474" w:rsidRDefault="00633F39">
      <w:pPr>
        <w:pStyle w:val="Heading2"/>
        <w:ind w:left="0" w:firstLine="0"/>
      </w:pPr>
      <w:bookmarkStart w:id="128" w:name="_Toc530750195"/>
      <w:r>
        <w:lastRenderedPageBreak/>
        <w:t>22.2</w:t>
      </w:r>
      <w:r>
        <w:tab/>
        <w:t>Revised Resolution 77 “Scheduling and duration of conferences, forums, assemblies and Council sessions of the Union (2019-2023)”</w:t>
      </w:r>
      <w:bookmarkEnd w:id="128"/>
    </w:p>
    <w:p w:rsidR="00342474" w:rsidRDefault="005B21EC">
      <w:pPr>
        <w:numPr>
          <w:ilvl w:val="0"/>
          <w:numId w:val="1"/>
        </w:numPr>
        <w:tabs>
          <w:tab w:val="clear" w:pos="794"/>
          <w:tab w:val="clear" w:pos="1191"/>
          <w:tab w:val="clear" w:pos="1588"/>
          <w:tab w:val="clear" w:pos="1985"/>
        </w:tabs>
        <w:overflowPunct/>
        <w:autoSpaceDE/>
        <w:autoSpaceDN/>
        <w:adjustRightInd/>
        <w:ind w:left="360"/>
        <w:textAlignment w:val="auto"/>
      </w:pPr>
      <w:r>
        <w:t>G</w:t>
      </w:r>
      <w:r w:rsidR="00633F39">
        <w:rPr>
          <w:rFonts w:asciiTheme="majorBidi" w:hAnsiTheme="majorBidi" w:cstheme="majorBidi"/>
          <w:szCs w:val="24"/>
        </w:rPr>
        <w:t>ives priority to scheduled study group and TSAG meetings when held in Geneva.</w:t>
      </w:r>
    </w:p>
    <w:p w:rsidR="00342474" w:rsidRDefault="00633F39">
      <w:pPr>
        <w:numPr>
          <w:ilvl w:val="0"/>
          <w:numId w:val="1"/>
        </w:numPr>
        <w:tabs>
          <w:tab w:val="clear" w:pos="794"/>
          <w:tab w:val="clear" w:pos="1191"/>
          <w:tab w:val="clear" w:pos="1588"/>
          <w:tab w:val="clear" w:pos="1985"/>
        </w:tabs>
        <w:overflowPunct/>
        <w:autoSpaceDE/>
        <w:autoSpaceDN/>
        <w:adjustRightInd/>
        <w:ind w:left="360"/>
        <w:textAlignment w:val="auto"/>
      </w:pPr>
      <w:r>
        <w:rPr>
          <w:rFonts w:asciiTheme="majorBidi" w:hAnsiTheme="majorBidi" w:cstheme="majorBidi"/>
          <w:szCs w:val="24"/>
        </w:rPr>
        <w:t>WTSA</w:t>
      </w:r>
      <w:r>
        <w:t xml:space="preserve">-2020 to </w:t>
      </w:r>
      <w:proofErr w:type="gramStart"/>
      <w:r>
        <w:t>be held</w:t>
      </w:r>
      <w:proofErr w:type="gramEnd"/>
      <w:r>
        <w:t xml:space="preserve"> in the 4th quarter 2020, WTDC-21 in last quarter 2021; next PP in 3rd quarter 2022.</w:t>
      </w:r>
    </w:p>
    <w:p w:rsidR="00342474" w:rsidRDefault="00633F39">
      <w:pPr>
        <w:numPr>
          <w:ilvl w:val="0"/>
          <w:numId w:val="1"/>
        </w:numPr>
        <w:tabs>
          <w:tab w:val="clear" w:pos="794"/>
          <w:tab w:val="clear" w:pos="1191"/>
          <w:tab w:val="clear" w:pos="1588"/>
          <w:tab w:val="clear" w:pos="1985"/>
        </w:tabs>
        <w:overflowPunct/>
        <w:autoSpaceDE/>
        <w:autoSpaceDN/>
        <w:adjustRightInd/>
        <w:ind w:left="360"/>
        <w:textAlignment w:val="auto"/>
      </w:pPr>
      <w:r>
        <w:t>WRC</w:t>
      </w:r>
      <w:r>
        <w:noBreakHyphen/>
        <w:t>19 in Sharm el-Sheikh (Egypt) from 28 October to 22 November 2019, preceded by the Radiocommunication Assembly from 21 to 25 October 2019</w:t>
      </w:r>
      <w:proofErr w:type="gramStart"/>
      <w:r>
        <w:t>;</w:t>
      </w:r>
      <w:proofErr w:type="gramEnd"/>
      <w:r>
        <w:t xml:space="preserve"> after 2019, RA and WRC shall be held in the last quarter of 2023.</w:t>
      </w:r>
    </w:p>
    <w:p w:rsidR="00342474" w:rsidRDefault="00633F39">
      <w:pPr>
        <w:numPr>
          <w:ilvl w:val="0"/>
          <w:numId w:val="1"/>
        </w:numPr>
        <w:tabs>
          <w:tab w:val="clear" w:pos="794"/>
          <w:tab w:val="clear" w:pos="1191"/>
          <w:tab w:val="clear" w:pos="1588"/>
          <w:tab w:val="clear" w:pos="1985"/>
        </w:tabs>
        <w:overflowPunct/>
        <w:autoSpaceDE/>
        <w:autoSpaceDN/>
        <w:adjustRightInd/>
        <w:ind w:left="360"/>
        <w:textAlignment w:val="auto"/>
        <w:rPr>
          <w:rFonts w:asciiTheme="majorBidi" w:hAnsiTheme="majorBidi" w:cstheme="majorBidi"/>
          <w:szCs w:val="24"/>
        </w:rPr>
      </w:pPr>
      <w:r>
        <w:t>The sixth World Telecommunication Policy Forum (WTPF) in 2021, preferably back to back with the World Summit on the</w:t>
      </w:r>
      <w:r>
        <w:rPr>
          <w:rFonts w:asciiTheme="majorBidi" w:hAnsiTheme="majorBidi" w:cstheme="majorBidi"/>
          <w:szCs w:val="24"/>
        </w:rPr>
        <w:t xml:space="preserve"> Information Society (WSIS) Forum.</w:t>
      </w:r>
    </w:p>
    <w:p w:rsidR="00342474" w:rsidRDefault="00633F39">
      <w:pPr>
        <w:pStyle w:val="Heading2"/>
        <w:ind w:left="0" w:firstLine="0"/>
      </w:pPr>
      <w:bookmarkStart w:id="129" w:name="_Toc530750196"/>
      <w:r>
        <w:t>22.3</w:t>
      </w:r>
      <w:r>
        <w:tab/>
        <w:t>Revised Resolution 11 “ITU Telecom events”</w:t>
      </w:r>
      <w:bookmarkEnd w:id="129"/>
    </w:p>
    <w:p w:rsidR="00342474" w:rsidRDefault="005B21EC">
      <w:pPr>
        <w:numPr>
          <w:ilvl w:val="0"/>
          <w:numId w:val="1"/>
        </w:numPr>
        <w:tabs>
          <w:tab w:val="clear" w:pos="794"/>
          <w:tab w:val="clear" w:pos="1191"/>
          <w:tab w:val="clear" w:pos="1588"/>
          <w:tab w:val="clear" w:pos="1985"/>
        </w:tabs>
        <w:overflowPunct/>
        <w:autoSpaceDE/>
        <w:autoSpaceDN/>
        <w:adjustRightInd/>
        <w:ind w:left="360"/>
        <w:textAlignment w:val="auto"/>
      </w:pPr>
      <w:r>
        <w:t>S</w:t>
      </w:r>
      <w:r w:rsidR="00633F39">
        <w:t xml:space="preserve">tresses the importance for Telecom events to address market trends, technological development and regulatory issues, including SMEs and their role in the ICT ecosystem. </w:t>
      </w:r>
    </w:p>
    <w:p w:rsidR="00342474" w:rsidRDefault="00633F39">
      <w:pPr>
        <w:numPr>
          <w:ilvl w:val="0"/>
          <w:numId w:val="1"/>
        </w:numPr>
        <w:tabs>
          <w:tab w:val="clear" w:pos="794"/>
          <w:tab w:val="clear" w:pos="1191"/>
          <w:tab w:val="clear" w:pos="1588"/>
          <w:tab w:val="clear" w:pos="1985"/>
        </w:tabs>
        <w:overflowPunct/>
        <w:autoSpaceDE/>
        <w:autoSpaceDN/>
        <w:adjustRightInd/>
        <w:ind w:left="360"/>
        <w:textAlignment w:val="auto"/>
      </w:pPr>
      <w:r>
        <w:t xml:space="preserve">Member States </w:t>
      </w:r>
      <w:proofErr w:type="gramStart"/>
      <w:r>
        <w:t>will be given</w:t>
      </w:r>
      <w:proofErr w:type="gramEnd"/>
      <w:r>
        <w:t xml:space="preserve"> the possibility of hosting the Telecom event for a number of consecutive years, if the Secretary-General considers this being in the interest of the Union and its membership. </w:t>
      </w:r>
    </w:p>
    <w:p w:rsidR="00342474" w:rsidRDefault="00633F39">
      <w:pPr>
        <w:numPr>
          <w:ilvl w:val="0"/>
          <w:numId w:val="1"/>
        </w:numPr>
        <w:tabs>
          <w:tab w:val="clear" w:pos="794"/>
          <w:tab w:val="clear" w:pos="1191"/>
          <w:tab w:val="clear" w:pos="1588"/>
          <w:tab w:val="clear" w:pos="1985"/>
        </w:tabs>
        <w:overflowPunct/>
        <w:autoSpaceDE/>
        <w:autoSpaceDN/>
        <w:adjustRightInd/>
        <w:ind w:left="360"/>
        <w:textAlignment w:val="auto"/>
      </w:pPr>
      <w:r>
        <w:t xml:space="preserve">It was also decided that the Exhibition Working Capital Fund (EWCF) shall provide a minimum reserve of five million Swiss francs (CHF 5 000 000). </w:t>
      </w:r>
    </w:p>
    <w:p w:rsidR="00342474" w:rsidRDefault="00633F39">
      <w:pPr>
        <w:numPr>
          <w:ilvl w:val="0"/>
          <w:numId w:val="1"/>
        </w:numPr>
        <w:tabs>
          <w:tab w:val="clear" w:pos="794"/>
          <w:tab w:val="clear" w:pos="1191"/>
          <w:tab w:val="clear" w:pos="1588"/>
          <w:tab w:val="clear" w:pos="1985"/>
        </w:tabs>
        <w:overflowPunct/>
        <w:autoSpaceDE/>
        <w:autoSpaceDN/>
        <w:adjustRightInd/>
        <w:ind w:left="360"/>
        <w:textAlignment w:val="auto"/>
      </w:pPr>
      <w:r>
        <w:t>Continue strengthening the role of SMEs in ITU Telecom events.</w:t>
      </w:r>
    </w:p>
    <w:p w:rsidR="00342474" w:rsidRPr="00347617" w:rsidRDefault="00347617">
      <w:pPr>
        <w:numPr>
          <w:ilvl w:val="0"/>
          <w:numId w:val="1"/>
        </w:numPr>
        <w:tabs>
          <w:tab w:val="clear" w:pos="794"/>
          <w:tab w:val="clear" w:pos="1191"/>
          <w:tab w:val="clear" w:pos="1588"/>
          <w:tab w:val="clear" w:pos="1985"/>
        </w:tabs>
        <w:overflowPunct/>
        <w:autoSpaceDE/>
        <w:autoSpaceDN/>
        <w:adjustRightInd/>
        <w:ind w:left="360"/>
        <w:textAlignment w:val="auto"/>
      </w:pPr>
      <w:r w:rsidRPr="00347617">
        <w:t>ITU</w:t>
      </w:r>
      <w:r w:rsidR="00633F39" w:rsidRPr="00347617">
        <w:t xml:space="preserve"> shall hire an independent external management consultancy to perform a comprehensive strategic and financial assessment and review of ITU Telecom events, considering contributions from the ITU membership, and submit a report with recommendations and various strategies at the 2020 session of the Council for action (Council mandate)</w:t>
      </w:r>
      <w:r>
        <w:t>.</w:t>
      </w:r>
    </w:p>
    <w:p w:rsidR="00342474" w:rsidRDefault="00633F39">
      <w:pPr>
        <w:pStyle w:val="Heading2"/>
        <w:ind w:left="0" w:firstLine="0"/>
      </w:pPr>
      <w:bookmarkStart w:id="130" w:name="_Toc530750197"/>
      <w:r>
        <w:t>22.4</w:t>
      </w:r>
      <w:r>
        <w:tab/>
        <w:t>Revised Resolution 165 “Deadlines for the submission of proposals and procedures for the registration of participants for conferences and assemblies of the Union”</w:t>
      </w:r>
      <w:bookmarkEnd w:id="130"/>
    </w:p>
    <w:p w:rsidR="00342474" w:rsidRDefault="005B21EC">
      <w:pPr>
        <w:numPr>
          <w:ilvl w:val="0"/>
          <w:numId w:val="1"/>
        </w:numPr>
        <w:tabs>
          <w:tab w:val="clear" w:pos="794"/>
          <w:tab w:val="clear" w:pos="1191"/>
          <w:tab w:val="clear" w:pos="1588"/>
          <w:tab w:val="clear" w:pos="1985"/>
        </w:tabs>
        <w:overflowPunct/>
        <w:autoSpaceDE/>
        <w:autoSpaceDN/>
        <w:adjustRightInd/>
        <w:ind w:left="360"/>
        <w:textAlignment w:val="auto"/>
      </w:pPr>
      <w:r>
        <w:t>F</w:t>
      </w:r>
      <w:r w:rsidR="00633F39">
        <w:t>eatures a new 21-day contribution deadline for conferences and as</w:t>
      </w:r>
      <w:r>
        <w:t>semblies (relevant for WTSA-20).</w:t>
      </w:r>
    </w:p>
    <w:p w:rsidR="00342474" w:rsidRDefault="005B21EC">
      <w:pPr>
        <w:numPr>
          <w:ilvl w:val="0"/>
          <w:numId w:val="1"/>
        </w:numPr>
        <w:tabs>
          <w:tab w:val="clear" w:pos="794"/>
          <w:tab w:val="clear" w:pos="1191"/>
          <w:tab w:val="clear" w:pos="1588"/>
          <w:tab w:val="clear" w:pos="1985"/>
        </w:tabs>
        <w:overflowPunct/>
        <w:autoSpaceDE/>
        <w:autoSpaceDN/>
        <w:adjustRightInd/>
        <w:ind w:left="360"/>
        <w:textAlignment w:val="auto"/>
      </w:pPr>
      <w:r>
        <w:t>A</w:t>
      </w:r>
      <w:r w:rsidR="00633F39">
        <w:t xml:space="preserve"> n</w:t>
      </w:r>
      <w:r w:rsidR="00633F39">
        <w:rPr>
          <w:rFonts w:asciiTheme="majorBidi" w:hAnsiTheme="majorBidi" w:cstheme="majorBidi"/>
          <w:szCs w:val="24"/>
        </w:rPr>
        <w:t>ew 35-day contribution deadline for conferences and assemblies (relevant for WTSA-20) for secretariat documents submitted.</w:t>
      </w:r>
    </w:p>
    <w:p w:rsidR="00342474" w:rsidRDefault="00633F39">
      <w:pPr>
        <w:pStyle w:val="Heading2"/>
        <w:ind w:left="0" w:firstLine="0"/>
      </w:pPr>
      <w:bookmarkStart w:id="131" w:name="_Toc530750198"/>
      <w:r>
        <w:t>22.5</w:t>
      </w:r>
      <w:r>
        <w:tab/>
        <w:t>Resolution 111 “Considering major religious periods in the scheduling of ITU conferences, assemblies and Council sessions”</w:t>
      </w:r>
      <w:bookmarkEnd w:id="131"/>
    </w:p>
    <w:p w:rsidR="00342474" w:rsidRDefault="00633F39">
      <w:pPr>
        <w:keepNext/>
        <w:keepLines/>
        <w:tabs>
          <w:tab w:val="clear" w:pos="794"/>
          <w:tab w:val="clear" w:pos="1191"/>
          <w:tab w:val="clear" w:pos="1588"/>
          <w:tab w:val="clear" w:pos="1985"/>
        </w:tabs>
        <w:overflowPunct/>
        <w:autoSpaceDE/>
        <w:autoSpaceDN/>
        <w:adjustRightInd/>
        <w:textAlignment w:val="auto"/>
      </w:pPr>
      <w:proofErr w:type="gramStart"/>
      <w:r>
        <w:t>was</w:t>
      </w:r>
      <w:proofErr w:type="gramEnd"/>
      <w:r>
        <w:t xml:space="preserve"> agreed to remain unchanged.</w:t>
      </w:r>
    </w:p>
    <w:p w:rsidR="00342474" w:rsidRDefault="00633F39">
      <w:pPr>
        <w:pStyle w:val="Heading1"/>
        <w:spacing w:before="240"/>
      </w:pPr>
      <w:bookmarkStart w:id="132" w:name="_Toc530750199"/>
      <w:r>
        <w:rPr>
          <w:rFonts w:asciiTheme="majorBidi" w:hAnsiTheme="majorBidi" w:cstheme="majorBidi"/>
        </w:rPr>
        <w:t>23</w:t>
      </w:r>
      <w:r>
        <w:tab/>
        <w:t>Measuring ICTs</w:t>
      </w:r>
      <w:bookmarkEnd w:id="132"/>
    </w:p>
    <w:p w:rsidR="00342474" w:rsidRDefault="00633F39">
      <w:pPr>
        <w:pStyle w:val="Heading2"/>
        <w:keepNext w:val="0"/>
        <w:keepLines w:val="0"/>
        <w:spacing w:before="120"/>
        <w:ind w:left="0" w:firstLine="0"/>
      </w:pPr>
      <w:bookmarkStart w:id="133" w:name="_Toc530750200"/>
      <w:r>
        <w:t>23.1</w:t>
      </w:r>
      <w:r>
        <w:tab/>
        <w:t>Revised Resolution 131 “Measuring information and communication technologies to build an integrating and inclusive information society”</w:t>
      </w:r>
      <w:bookmarkEnd w:id="133"/>
    </w:p>
    <w:p w:rsidR="00342474" w:rsidRDefault="009F289F">
      <w:pPr>
        <w:numPr>
          <w:ilvl w:val="0"/>
          <w:numId w:val="1"/>
        </w:numPr>
        <w:tabs>
          <w:tab w:val="clear" w:pos="794"/>
          <w:tab w:val="clear" w:pos="1191"/>
          <w:tab w:val="clear" w:pos="1588"/>
          <w:tab w:val="clear" w:pos="1985"/>
        </w:tabs>
        <w:overflowPunct/>
        <w:autoSpaceDE/>
        <w:autoSpaceDN/>
        <w:adjustRightInd/>
        <w:ind w:left="360"/>
        <w:textAlignment w:val="auto"/>
      </w:pPr>
      <w:r>
        <w:t>M</w:t>
      </w:r>
      <w:r w:rsidR="00633F39">
        <w:rPr>
          <w:rFonts w:eastAsia="SimSun" w:cs="Traditional Arabic"/>
        </w:rPr>
        <w:t xml:space="preserve">onitors </w:t>
      </w:r>
      <w:r w:rsidR="00633F39">
        <w:t>the</w:t>
      </w:r>
      <w:r w:rsidR="00633F39">
        <w:rPr>
          <w:rFonts w:eastAsia="SimSun" w:cs="Traditional Arabic"/>
        </w:rPr>
        <w:t xml:space="preserve"> development and improvement of methodologies relevant to indicators and methods of data collection as well as to</w:t>
      </w:r>
      <w:r w:rsidR="00633F39">
        <w:t xml:space="preserve"> </w:t>
      </w:r>
      <w:r w:rsidR="00633F39">
        <w:rPr>
          <w:rFonts w:eastAsia="SimSun" w:cs="Traditional Arabic"/>
        </w:rPr>
        <w:t xml:space="preserve">revise and further develop benchmarking. </w:t>
      </w:r>
    </w:p>
    <w:p w:rsidR="00342474" w:rsidRDefault="00633F39">
      <w:pPr>
        <w:numPr>
          <w:ilvl w:val="0"/>
          <w:numId w:val="1"/>
        </w:numPr>
        <w:tabs>
          <w:tab w:val="clear" w:pos="794"/>
          <w:tab w:val="clear" w:pos="1191"/>
          <w:tab w:val="clear" w:pos="1588"/>
          <w:tab w:val="clear" w:pos="1985"/>
        </w:tabs>
        <w:overflowPunct/>
        <w:autoSpaceDE/>
        <w:autoSpaceDN/>
        <w:adjustRightInd/>
        <w:ind w:left="360"/>
        <w:textAlignment w:val="auto"/>
      </w:pPr>
      <w:r>
        <w:rPr>
          <w:rFonts w:eastAsia="SimSun" w:cs="Traditional Arabic"/>
        </w:rPr>
        <w:t xml:space="preserve">The development, maintenance of analysis tools and databases on statistics and indicators on the ITU website </w:t>
      </w:r>
      <w:proofErr w:type="gramStart"/>
      <w:r>
        <w:rPr>
          <w:rFonts w:eastAsia="SimSun" w:cs="Traditional Arabic"/>
        </w:rPr>
        <w:t>were also considered</w:t>
      </w:r>
      <w:proofErr w:type="gramEnd"/>
      <w:r>
        <w:rPr>
          <w:rFonts w:eastAsia="SimSun" w:cs="Traditional Arabic"/>
        </w:rPr>
        <w:t xml:space="preserve"> of primary importance.</w:t>
      </w:r>
    </w:p>
    <w:p w:rsidR="00342474" w:rsidRDefault="00633F39">
      <w:pPr>
        <w:jc w:val="center"/>
      </w:pPr>
      <w:r>
        <w:t>_________________</w:t>
      </w:r>
    </w:p>
    <w:sectPr w:rsidR="00342474" w:rsidSect="00B95F12">
      <w:headerReference w:type="default" r:id="rId17"/>
      <w:footerReference w:type="first" r:id="rId18"/>
      <w:pgSz w:w="11907" w:h="16840"/>
      <w:pgMar w:top="1417" w:right="1134" w:bottom="127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537" w:rsidRDefault="00385537">
      <w:r>
        <w:separator/>
      </w:r>
    </w:p>
  </w:endnote>
  <w:endnote w:type="continuationSeparator" w:id="0">
    <w:p w:rsidR="00385537" w:rsidRDefault="0038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97" w:rsidRDefault="00585797">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537" w:rsidRDefault="00385537">
      <w:r>
        <w:separator/>
      </w:r>
    </w:p>
  </w:footnote>
  <w:footnote w:type="continuationSeparator" w:id="0">
    <w:p w:rsidR="00385537" w:rsidRDefault="00385537">
      <w:r>
        <w:continuationSeparator/>
      </w:r>
    </w:p>
  </w:footnote>
  <w:footnote w:id="1">
    <w:p w:rsidR="00585797" w:rsidRDefault="00585797">
      <w:pPr>
        <w:pStyle w:val="FootnoteText"/>
      </w:pPr>
      <w:r>
        <w:rPr>
          <w:rStyle w:val="FootnoteReference"/>
        </w:rPr>
        <w:t>1</w:t>
      </w:r>
      <w:r>
        <w:t xml:space="preserve"> </w:t>
      </w:r>
      <w:r>
        <w:tab/>
        <w:t>This includes colleges, institutes, universities and their associated research establishments concerned with the development of telecommunications/ICT.</w:t>
      </w:r>
    </w:p>
  </w:footnote>
  <w:footnote w:id="2">
    <w:p w:rsidR="00585797" w:rsidRDefault="00585797" w:rsidP="004043EE">
      <w:pPr>
        <w:pStyle w:val="FootnoteText"/>
        <w:rPr>
          <w:lang w:val="en-US"/>
        </w:rPr>
      </w:pPr>
      <w:r>
        <w:rPr>
          <w:rStyle w:val="FootnoteReference"/>
        </w:rPr>
        <w:t>1</w:t>
      </w:r>
      <w:r>
        <w:tab/>
        <w:t>Boxes and ticks demonstrate primary and secondary links to goals</w:t>
      </w:r>
    </w:p>
  </w:footnote>
  <w:footnote w:id="3">
    <w:p w:rsidR="00585797" w:rsidRDefault="00585797">
      <w:pPr>
        <w:pStyle w:val="FootnoteText"/>
      </w:pPr>
      <w:r>
        <w:rPr>
          <w:rStyle w:val="FootnoteReference"/>
        </w:rPr>
        <w:t>1</w:t>
      </w:r>
      <w:r>
        <w:t xml:space="preserve"> </w:t>
      </w:r>
      <w:r>
        <w:tab/>
        <w:t>This includes colleges, institutes, universities and their associated research establishments concerned with the development of telecommunications/ICT.</w:t>
      </w:r>
    </w:p>
  </w:footnote>
  <w:footnote w:id="4">
    <w:p w:rsidR="00585797" w:rsidRDefault="00585797">
      <w:pPr>
        <w:pStyle w:val="FootnoteText"/>
      </w:pPr>
      <w:r>
        <w:rPr>
          <w:rStyle w:val="FootnoteReference"/>
        </w:rPr>
        <w:t>1</w:t>
      </w:r>
      <w:r>
        <w:t xml:space="preserve"> </w:t>
      </w:r>
      <w:r>
        <w:rPr>
          <w:lang w:val="en-US"/>
        </w:rPr>
        <w:tab/>
      </w:r>
      <w:r>
        <w:t xml:space="preserve">These include the least developed countries, </w:t>
      </w:r>
      <w:proofErr w:type="gramStart"/>
      <w:r>
        <w:t>small island</w:t>
      </w:r>
      <w:proofErr w:type="gramEnd"/>
      <w:r>
        <w:t xml:space="preserve">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97" w:rsidRPr="000E1C35" w:rsidRDefault="000E1C35" w:rsidP="000E1C35">
    <w:pPr>
      <w:pStyle w:val="Header"/>
    </w:pPr>
    <w:r w:rsidRPr="000E1C35">
      <w:t xml:space="preserve">- </w:t>
    </w:r>
    <w:r w:rsidRPr="000E1C35">
      <w:fldChar w:fldCharType="begin"/>
    </w:r>
    <w:r w:rsidRPr="000E1C35">
      <w:instrText xml:space="preserve"> PAGE  \* MERGEFORMAT </w:instrText>
    </w:r>
    <w:r w:rsidRPr="000E1C35">
      <w:fldChar w:fldCharType="separate"/>
    </w:r>
    <w:r w:rsidR="00407B98">
      <w:rPr>
        <w:noProof/>
      </w:rPr>
      <w:t>2</w:t>
    </w:r>
    <w:r w:rsidRPr="000E1C35">
      <w:fldChar w:fldCharType="end"/>
    </w:r>
    <w:r w:rsidRPr="000E1C35">
      <w:t xml:space="preserve"> -</w:t>
    </w:r>
  </w:p>
  <w:p w:rsidR="000E1C35" w:rsidRPr="000E1C35" w:rsidRDefault="000E1C35" w:rsidP="000E1C35">
    <w:pPr>
      <w:pStyle w:val="Header"/>
      <w:spacing w:after="240"/>
    </w:pPr>
    <w:r>
      <w:t>TSAG-TD300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5F58"/>
    <w:multiLevelType w:val="hybridMultilevel"/>
    <w:tmpl w:val="D74042FE"/>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194FB0"/>
    <w:multiLevelType w:val="hybridMultilevel"/>
    <w:tmpl w:val="286C2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9E7089"/>
    <w:multiLevelType w:val="hybridMultilevel"/>
    <w:tmpl w:val="6B3682DA"/>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032BD1"/>
    <w:multiLevelType w:val="hybridMultilevel"/>
    <w:tmpl w:val="CCB6E48C"/>
    <w:lvl w:ilvl="0" w:tplc="30627DF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6E79C9"/>
    <w:multiLevelType w:val="multilevel"/>
    <w:tmpl w:val="D20EFB38"/>
    <w:lvl w:ilvl="0">
      <w:start w:val="13"/>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76F64AC"/>
    <w:multiLevelType w:val="hybridMultilevel"/>
    <w:tmpl w:val="E3AC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5F425E"/>
    <w:multiLevelType w:val="hybridMultilevel"/>
    <w:tmpl w:val="BB240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805C4B"/>
    <w:multiLevelType w:val="hybridMultilevel"/>
    <w:tmpl w:val="EEFE07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120EAF"/>
    <w:multiLevelType w:val="hybridMultilevel"/>
    <w:tmpl w:val="99A01196"/>
    <w:lvl w:ilvl="0" w:tplc="F79CC800">
      <w:start w:val="1"/>
      <w:numFmt w:val="bullet"/>
      <w:lvlText w:val=""/>
      <w:lvlJc w:val="left"/>
      <w:pPr>
        <w:tabs>
          <w:tab w:val="num" w:pos="720"/>
        </w:tabs>
        <w:ind w:left="720" w:hanging="360"/>
      </w:pPr>
      <w:rPr>
        <w:rFonts w:ascii="Wingdings" w:hAnsi="Wingdings" w:hint="default"/>
      </w:rPr>
    </w:lvl>
    <w:lvl w:ilvl="1" w:tplc="1068DD96">
      <w:numFmt w:val="bullet"/>
      <w:lvlText w:val="-"/>
      <w:lvlJc w:val="left"/>
      <w:pPr>
        <w:ind w:left="1440" w:hanging="360"/>
      </w:pPr>
      <w:rPr>
        <w:rFonts w:ascii="Times New Roman" w:eastAsia="Times New Roman" w:hAnsi="Times New Roman" w:cs="Times New Roman" w:hint="default"/>
      </w:rPr>
    </w:lvl>
    <w:lvl w:ilvl="2" w:tplc="852A23EE">
      <w:start w:val="1"/>
      <w:numFmt w:val="bullet"/>
      <w:lvlText w:val=""/>
      <w:lvlJc w:val="left"/>
      <w:pPr>
        <w:tabs>
          <w:tab w:val="num" w:pos="2160"/>
        </w:tabs>
        <w:ind w:left="2160" w:hanging="360"/>
      </w:pPr>
      <w:rPr>
        <w:rFonts w:ascii="Wingdings" w:hAnsi="Wingdings" w:hint="default"/>
      </w:rPr>
    </w:lvl>
    <w:lvl w:ilvl="3" w:tplc="DEF4CDC2" w:tentative="1">
      <w:start w:val="1"/>
      <w:numFmt w:val="bullet"/>
      <w:lvlText w:val=""/>
      <w:lvlJc w:val="left"/>
      <w:pPr>
        <w:tabs>
          <w:tab w:val="num" w:pos="2880"/>
        </w:tabs>
        <w:ind w:left="2880" w:hanging="360"/>
      </w:pPr>
      <w:rPr>
        <w:rFonts w:ascii="Wingdings" w:hAnsi="Wingdings" w:hint="default"/>
      </w:rPr>
    </w:lvl>
    <w:lvl w:ilvl="4" w:tplc="4A868C82" w:tentative="1">
      <w:start w:val="1"/>
      <w:numFmt w:val="bullet"/>
      <w:lvlText w:val=""/>
      <w:lvlJc w:val="left"/>
      <w:pPr>
        <w:tabs>
          <w:tab w:val="num" w:pos="3600"/>
        </w:tabs>
        <w:ind w:left="3600" w:hanging="360"/>
      </w:pPr>
      <w:rPr>
        <w:rFonts w:ascii="Wingdings" w:hAnsi="Wingdings" w:hint="default"/>
      </w:rPr>
    </w:lvl>
    <w:lvl w:ilvl="5" w:tplc="FF70F25A" w:tentative="1">
      <w:start w:val="1"/>
      <w:numFmt w:val="bullet"/>
      <w:lvlText w:val=""/>
      <w:lvlJc w:val="left"/>
      <w:pPr>
        <w:tabs>
          <w:tab w:val="num" w:pos="4320"/>
        </w:tabs>
        <w:ind w:left="4320" w:hanging="360"/>
      </w:pPr>
      <w:rPr>
        <w:rFonts w:ascii="Wingdings" w:hAnsi="Wingdings" w:hint="default"/>
      </w:rPr>
    </w:lvl>
    <w:lvl w:ilvl="6" w:tplc="1C5EAA72" w:tentative="1">
      <w:start w:val="1"/>
      <w:numFmt w:val="bullet"/>
      <w:lvlText w:val=""/>
      <w:lvlJc w:val="left"/>
      <w:pPr>
        <w:tabs>
          <w:tab w:val="num" w:pos="5040"/>
        </w:tabs>
        <w:ind w:left="5040" w:hanging="360"/>
      </w:pPr>
      <w:rPr>
        <w:rFonts w:ascii="Wingdings" w:hAnsi="Wingdings" w:hint="default"/>
      </w:rPr>
    </w:lvl>
    <w:lvl w:ilvl="7" w:tplc="6A106B78" w:tentative="1">
      <w:start w:val="1"/>
      <w:numFmt w:val="bullet"/>
      <w:lvlText w:val=""/>
      <w:lvlJc w:val="left"/>
      <w:pPr>
        <w:tabs>
          <w:tab w:val="num" w:pos="5760"/>
        </w:tabs>
        <w:ind w:left="5760" w:hanging="360"/>
      </w:pPr>
      <w:rPr>
        <w:rFonts w:ascii="Wingdings" w:hAnsi="Wingdings" w:hint="default"/>
      </w:rPr>
    </w:lvl>
    <w:lvl w:ilvl="8" w:tplc="7876CF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664290"/>
    <w:multiLevelType w:val="hybridMultilevel"/>
    <w:tmpl w:val="8FBED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A004AC"/>
    <w:multiLevelType w:val="hybridMultilevel"/>
    <w:tmpl w:val="BB86B0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3B47A7"/>
    <w:multiLevelType w:val="hybridMultilevel"/>
    <w:tmpl w:val="230867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A74232"/>
    <w:multiLevelType w:val="hybridMultilevel"/>
    <w:tmpl w:val="21FC0CE4"/>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101772"/>
    <w:multiLevelType w:val="hybridMultilevel"/>
    <w:tmpl w:val="291430E0"/>
    <w:lvl w:ilvl="0" w:tplc="B19C30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464759"/>
    <w:multiLevelType w:val="hybridMultilevel"/>
    <w:tmpl w:val="E1BA4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11"/>
  </w:num>
  <w:num w:numId="4">
    <w:abstractNumId w:val="9"/>
  </w:num>
  <w:num w:numId="5">
    <w:abstractNumId w:val="8"/>
  </w:num>
  <w:num w:numId="6">
    <w:abstractNumId w:val="12"/>
  </w:num>
  <w:num w:numId="7">
    <w:abstractNumId w:val="7"/>
  </w:num>
  <w:num w:numId="8">
    <w:abstractNumId w:val="1"/>
  </w:num>
  <w:num w:numId="9">
    <w:abstractNumId w:val="13"/>
  </w:num>
  <w:num w:numId="10">
    <w:abstractNumId w:val="10"/>
  </w:num>
  <w:num w:numId="11">
    <w:abstractNumId w:val="2"/>
  </w:num>
  <w:num w:numId="12">
    <w:abstractNumId w:val="0"/>
  </w:num>
  <w:num w:numId="13">
    <w:abstractNumId w:val="5"/>
  </w:num>
  <w:num w:numId="14">
    <w:abstractNumId w:val="4"/>
  </w:num>
  <w:num w:numId="15">
    <w:abstractNumId w:val="6"/>
  </w:num>
  <w:num w:numId="16">
    <w:abstractNumId w:val="15"/>
  </w:num>
  <w:num w:numId="17">
    <w:abstractNumId w:val="14"/>
  </w:num>
  <w:num w:numId="1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74"/>
    <w:rsid w:val="00040F3D"/>
    <w:rsid w:val="0005219E"/>
    <w:rsid w:val="00091250"/>
    <w:rsid w:val="000A6F17"/>
    <w:rsid w:val="000E1C35"/>
    <w:rsid w:val="001161C7"/>
    <w:rsid w:val="00153931"/>
    <w:rsid w:val="001567FD"/>
    <w:rsid w:val="001A0E6C"/>
    <w:rsid w:val="001F5C4B"/>
    <w:rsid w:val="0020167C"/>
    <w:rsid w:val="002C067F"/>
    <w:rsid w:val="00342474"/>
    <w:rsid w:val="00347617"/>
    <w:rsid w:val="00371007"/>
    <w:rsid w:val="00385537"/>
    <w:rsid w:val="003D74BC"/>
    <w:rsid w:val="004043EE"/>
    <w:rsid w:val="00407B98"/>
    <w:rsid w:val="00427B42"/>
    <w:rsid w:val="004D3D99"/>
    <w:rsid w:val="004F34B5"/>
    <w:rsid w:val="004F633E"/>
    <w:rsid w:val="00530CBF"/>
    <w:rsid w:val="00556DE6"/>
    <w:rsid w:val="00585797"/>
    <w:rsid w:val="00586444"/>
    <w:rsid w:val="005B21EC"/>
    <w:rsid w:val="005B75C3"/>
    <w:rsid w:val="00617836"/>
    <w:rsid w:val="00633F39"/>
    <w:rsid w:val="00650C85"/>
    <w:rsid w:val="00657E2B"/>
    <w:rsid w:val="00667EC7"/>
    <w:rsid w:val="006B0BEA"/>
    <w:rsid w:val="006B1CA9"/>
    <w:rsid w:val="00701B49"/>
    <w:rsid w:val="00774F88"/>
    <w:rsid w:val="007D2D6B"/>
    <w:rsid w:val="007F1CBC"/>
    <w:rsid w:val="00842E91"/>
    <w:rsid w:val="008820D4"/>
    <w:rsid w:val="0092587C"/>
    <w:rsid w:val="009F289F"/>
    <w:rsid w:val="00AC0C54"/>
    <w:rsid w:val="00B778E5"/>
    <w:rsid w:val="00B95F12"/>
    <w:rsid w:val="00BD6D3E"/>
    <w:rsid w:val="00C20967"/>
    <w:rsid w:val="00C369F1"/>
    <w:rsid w:val="00C47A23"/>
    <w:rsid w:val="00C528CA"/>
    <w:rsid w:val="00C6278B"/>
    <w:rsid w:val="00D426DB"/>
    <w:rsid w:val="00D60DE7"/>
    <w:rsid w:val="00E23EC7"/>
    <w:rsid w:val="00E65B1F"/>
    <w:rsid w:val="00F04534"/>
    <w:rsid w:val="00F07481"/>
    <w:rsid w:val="00F906E0"/>
    <w:rsid w:val="00FD7D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46079"/>
  <w15:docId w15:val="{2C5A50D8-8D1D-4BAC-82F1-BBFBE47A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styleId="Heading1">
    <w:name w:val="heading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link w:val="Heading3Char"/>
    <w:uiPriority w:val="99"/>
    <w:qFormat/>
    <w:pPr>
      <w:spacing w:before="160"/>
      <w:outlineLvl w:val="2"/>
    </w:pPr>
  </w:style>
  <w:style w:type="paragraph" w:styleId="Heading4">
    <w:name w:val="heading 4"/>
    <w:basedOn w:val="Heading3"/>
    <w:next w:val="Normal"/>
    <w:link w:val="Heading4Char"/>
    <w:uiPriority w:val="99"/>
    <w:qFormat/>
    <w:pPr>
      <w:tabs>
        <w:tab w:val="clear" w:pos="794"/>
        <w:tab w:val="left" w:pos="1021"/>
      </w:tabs>
      <w:ind w:left="1021" w:hanging="1021"/>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tabs>
        <w:tab w:val="clear" w:pos="1021"/>
        <w:tab w:val="clear" w:pos="1191"/>
      </w:tabs>
      <w:ind w:left="1588" w:hanging="1588"/>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9"/>
    <w:locked/>
    <w:rPr>
      <w:rFonts w:cs="Times New Roman"/>
      <w:b/>
      <w:sz w:val="24"/>
      <w:lang w:val="en-GB" w:eastAsia="en-US"/>
    </w:rPr>
  </w:style>
  <w:style w:type="character" w:customStyle="1" w:styleId="Heading5Char">
    <w:name w:val="Heading 5 Char"/>
    <w:basedOn w:val="DefaultParagraphFont"/>
    <w:link w:val="Heading5"/>
    <w:uiPriority w:val="99"/>
    <w:locked/>
    <w:rPr>
      <w:rFonts w:cs="Times New Roman"/>
      <w:b/>
      <w:sz w:val="24"/>
      <w:lang w:val="en-GB" w:eastAsia="en-US"/>
    </w:rPr>
  </w:style>
  <w:style w:type="character" w:customStyle="1" w:styleId="Heading6Char">
    <w:name w:val="Heading 6 Char"/>
    <w:basedOn w:val="DefaultParagraphFont"/>
    <w:link w:val="Heading6"/>
    <w:uiPriority w:val="99"/>
    <w:locked/>
    <w:rPr>
      <w:rFonts w:cs="Times New Roman"/>
      <w:b/>
      <w:sz w:val="24"/>
      <w:lang w:val="en-GB" w:eastAsia="en-US"/>
    </w:rPr>
  </w:style>
  <w:style w:type="character" w:customStyle="1" w:styleId="Heading7Char">
    <w:name w:val="Heading 7 Char"/>
    <w:basedOn w:val="DefaultParagraphFont"/>
    <w:link w:val="Heading7"/>
    <w:uiPriority w:val="99"/>
    <w:locked/>
    <w:rPr>
      <w:rFonts w:cs="Times New Roman"/>
      <w:b/>
      <w:sz w:val="24"/>
      <w:lang w:val="en-GB" w:eastAsia="en-US"/>
    </w:rPr>
  </w:style>
  <w:style w:type="character" w:customStyle="1" w:styleId="Heading8Char">
    <w:name w:val="Heading 8 Char"/>
    <w:basedOn w:val="DefaultParagraphFont"/>
    <w:link w:val="Heading8"/>
    <w:uiPriority w:val="99"/>
    <w:locked/>
    <w:rPr>
      <w:rFonts w:cs="Times New Roman"/>
      <w:b/>
      <w:sz w:val="24"/>
      <w:lang w:val="en-GB" w:eastAsia="en-US"/>
    </w:rPr>
  </w:style>
  <w:style w:type="character" w:customStyle="1" w:styleId="Heading9Char">
    <w:name w:val="Heading 9 Char"/>
    <w:basedOn w:val="DefaultParagraphFont"/>
    <w:link w:val="Heading9"/>
    <w:uiPriority w:val="99"/>
    <w:locked/>
    <w:rPr>
      <w:rFonts w:cs="Times New Roman"/>
      <w:b/>
      <w:sz w:val="24"/>
      <w:lang w:val="en-GB" w:eastAsia="en-US"/>
    </w:rPr>
  </w:style>
  <w:style w:type="paragraph" w:customStyle="1" w:styleId="AnnexNotitle">
    <w:name w:val="Annex_No &amp; title"/>
    <w:basedOn w:val="Normal"/>
    <w:next w:val="Normal"/>
    <w:uiPriority w:val="99"/>
    <w:pPr>
      <w:keepNext/>
      <w:keepLines/>
      <w:spacing w:before="480"/>
      <w:jc w:val="center"/>
    </w:pPr>
    <w:rPr>
      <w:b/>
      <w:sz w:val="28"/>
    </w:rPr>
  </w:style>
  <w:style w:type="character" w:customStyle="1" w:styleId="Appdef">
    <w:name w:val="App_def"/>
    <w:basedOn w:val="DefaultParagraphFont"/>
    <w:uiPriority w:val="99"/>
    <w:rPr>
      <w:rFonts w:ascii="Times New Roman" w:hAnsi="Times New Roman" w:cs="Times New Roman"/>
      <w:b/>
    </w:rPr>
  </w:style>
  <w:style w:type="character" w:customStyle="1" w:styleId="Appref">
    <w:name w:val="App_ref"/>
    <w:basedOn w:val="DefaultParagraphFont"/>
    <w:uiPriority w:val="99"/>
    <w:rPr>
      <w:rFonts w:cs="Times New Roman"/>
    </w:rPr>
  </w:style>
  <w:style w:type="paragraph" w:customStyle="1" w:styleId="AppendixNotitle">
    <w:name w:val="Appendix_No &amp; title"/>
    <w:basedOn w:val="AnnexNotitle"/>
    <w:next w:val="Normal"/>
    <w:uiPriority w:val="99"/>
  </w:style>
  <w:style w:type="character" w:customStyle="1" w:styleId="Artdef">
    <w:name w:val="Art_def"/>
    <w:basedOn w:val="DefaultParagraphFont"/>
    <w:uiPriority w:val="99"/>
    <w:rPr>
      <w:rFonts w:ascii="Times New Roman" w:hAnsi="Times New Roman" w:cs="Times New Roman"/>
      <w:b/>
    </w:rPr>
  </w:style>
  <w:style w:type="paragraph" w:customStyle="1" w:styleId="Artheading">
    <w:name w:val="Art_heading"/>
    <w:basedOn w:val="Normal"/>
    <w:next w:val="Normal"/>
    <w:uiPriority w:val="99"/>
    <w:pPr>
      <w:spacing w:before="480"/>
      <w:jc w:val="center"/>
    </w:pPr>
    <w:rPr>
      <w:b/>
      <w:sz w:val="28"/>
    </w:rPr>
  </w:style>
  <w:style w:type="paragraph" w:customStyle="1" w:styleId="ArtNo">
    <w:name w:val="Art_No"/>
    <w:basedOn w:val="Normal"/>
    <w:next w:val="Normal"/>
    <w:uiPriority w:val="99"/>
    <w:pPr>
      <w:keepNext/>
      <w:keepLines/>
      <w:spacing w:before="480"/>
      <w:jc w:val="center"/>
    </w:pPr>
    <w:rPr>
      <w:caps/>
      <w:sz w:val="28"/>
    </w:rPr>
  </w:style>
  <w:style w:type="character" w:customStyle="1" w:styleId="Artref">
    <w:name w:val="Art_ref"/>
    <w:basedOn w:val="DefaultParagraphFont"/>
    <w:uiPriority w:val="99"/>
    <w:rPr>
      <w:rFonts w:cs="Times New Roman"/>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qFormat/>
    <w:pPr>
      <w:keepNext/>
      <w:keepLines/>
      <w:spacing w:before="160"/>
      <w:ind w:left="794"/>
    </w:pPr>
    <w:rPr>
      <w:i/>
    </w:rPr>
  </w:style>
  <w:style w:type="character" w:customStyle="1" w:styleId="CallChar">
    <w:name w:val="Call Char"/>
    <w:basedOn w:val="DefaultParagraphFont"/>
    <w:link w:val="Call"/>
    <w:locked/>
    <w:rPr>
      <w:rFonts w:cs="Times New Roman"/>
      <w:i/>
      <w:sz w:val="24"/>
      <w:lang w:val="en-GB" w:eastAsia="en-US"/>
    </w:rPr>
  </w:style>
  <w:style w:type="paragraph" w:customStyle="1" w:styleId="ChapNo">
    <w:name w:val="Chap_No"/>
    <w:basedOn w:val="Normal"/>
    <w:next w:val="Normal"/>
    <w:uiPriority w:val="99"/>
    <w:pPr>
      <w:keepNext/>
      <w:keepLines/>
      <w:spacing w:before="480"/>
      <w:jc w:val="center"/>
    </w:pPr>
    <w:rPr>
      <w:b/>
      <w:caps/>
      <w:sz w:val="28"/>
    </w:rPr>
  </w:style>
  <w:style w:type="paragraph" w:customStyle="1" w:styleId="Chaptitle">
    <w:name w:val="Chap_title"/>
    <w:basedOn w:val="Normal"/>
    <w:next w:val="Normal"/>
    <w:uiPriority w:val="99"/>
    <w:pPr>
      <w:keepNext/>
      <w:keepLines/>
      <w:spacing w:before="240"/>
      <w:jc w:val="center"/>
    </w:pPr>
    <w:rPr>
      <w:b/>
      <w:sz w:val="28"/>
    </w:rPr>
  </w:style>
  <w:style w:type="character" w:styleId="EndnoteReference">
    <w:name w:val="endnote reference"/>
    <w:basedOn w:val="DefaultParagraphFont"/>
    <w:semiHidden/>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rFonts w:cs="Times New Roman"/>
      <w:sz w:val="24"/>
      <w:lang w:val="en-GB" w:eastAsia="en-US"/>
    </w:rPr>
  </w:style>
  <w:style w:type="paragraph" w:customStyle="1" w:styleId="enumlev2">
    <w:name w:val="enumlev2"/>
    <w:basedOn w:val="enumlev1"/>
    <w:link w:val="enumlev2Char"/>
    <w:pPr>
      <w:ind w:left="1191" w:hanging="397"/>
    </w:pPr>
  </w:style>
  <w:style w:type="character" w:customStyle="1" w:styleId="enumlev2Char">
    <w:name w:val="enumlev2 Char"/>
    <w:basedOn w:val="enumlev1Char"/>
    <w:link w:val="enumlev2"/>
    <w:uiPriority w:val="99"/>
    <w:locked/>
    <w:rPr>
      <w:rFonts w:cs="Times New Roman"/>
      <w:sz w:val="24"/>
      <w:lang w:val="en-GB" w:eastAsia="en-US"/>
    </w:rPr>
  </w:style>
  <w:style w:type="paragraph" w:customStyle="1" w:styleId="enumlev3">
    <w:name w:val="enumlev3"/>
    <w:basedOn w:val="enumlev2"/>
    <w:uiPriority w:val="99"/>
    <w:pPr>
      <w:ind w:left="1588"/>
    </w:pPr>
  </w:style>
  <w:style w:type="paragraph" w:customStyle="1" w:styleId="Equation">
    <w:name w:val="Equation"/>
    <w:basedOn w:val="Normal"/>
    <w:uiPriority w:val="99"/>
    <w:pPr>
      <w:tabs>
        <w:tab w:val="clear" w:pos="1191"/>
        <w:tab w:val="clear" w:pos="1588"/>
        <w:tab w:val="clear" w:pos="1985"/>
        <w:tab w:val="center" w:pos="4820"/>
        <w:tab w:val="right" w:pos="9639"/>
      </w:tabs>
    </w:pPr>
  </w:style>
  <w:style w:type="paragraph" w:customStyle="1" w:styleId="Equationlegend">
    <w:name w:val="Equation_legend"/>
    <w:basedOn w:val="Normal"/>
    <w:uiPriority w:val="99"/>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pPr>
      <w:keepNext/>
      <w:keepLines/>
      <w:spacing w:before="240" w:after="120"/>
      <w:jc w:val="center"/>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99"/>
    <w:pPr>
      <w:keepLines/>
      <w:spacing w:before="240" w:after="120"/>
      <w:jc w:val="center"/>
    </w:pPr>
    <w:rPr>
      <w:b/>
    </w:rPr>
  </w:style>
  <w:style w:type="paragraph" w:customStyle="1" w:styleId="FigureNoBR">
    <w:name w:val="Figure_No_BR"/>
    <w:basedOn w:val="Normal"/>
    <w:next w:val="Normal"/>
    <w:uiPriority w:val="99"/>
    <w:pPr>
      <w:keepNext/>
      <w:keepLines/>
      <w:spacing w:before="480" w:after="120"/>
      <w:jc w:val="center"/>
    </w:pPr>
    <w:rPr>
      <w:caps/>
    </w:rPr>
  </w:style>
  <w:style w:type="paragraph" w:customStyle="1" w:styleId="TabletitleBR">
    <w:name w:val="Table_title_BR"/>
    <w:basedOn w:val="Normal"/>
    <w:next w:val="Normal"/>
    <w:uiPriority w:val="99"/>
    <w:pPr>
      <w:keepNext/>
      <w:keepLines/>
      <w:spacing w:before="0" w:after="120"/>
      <w:jc w:val="center"/>
    </w:pPr>
    <w:rPr>
      <w:b/>
    </w:rPr>
  </w:style>
  <w:style w:type="paragraph" w:customStyle="1" w:styleId="FiguretitleBR">
    <w:name w:val="Figure_title_BR"/>
    <w:basedOn w:val="TabletitleBR"/>
    <w:next w:val="Normal"/>
    <w:uiPriority w:val="99"/>
    <w:pPr>
      <w:keepNext w:val="0"/>
      <w:spacing w:after="480"/>
    </w:pPr>
  </w:style>
  <w:style w:type="paragraph" w:customStyle="1" w:styleId="Figurewithouttitle">
    <w:name w:val="Figure_without_title"/>
    <w:basedOn w:val="Normal"/>
    <w:next w:val="Normal"/>
    <w:uiPriority w:val="99"/>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Pr>
      <w:sz w:val="24"/>
      <w:szCs w:val="20"/>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uiPriority w:val="99"/>
    <w:qFormat/>
    <w:rPr>
      <w:rFonts w:cs="Times New Roman"/>
      <w:position w:val="6"/>
      <w:sz w:val="18"/>
    </w:rPr>
  </w:style>
  <w:style w:type="paragraph" w:customStyle="1" w:styleId="Note">
    <w:name w:val="Note"/>
    <w:basedOn w:val="Normal"/>
    <w:uiPriority w:val="99"/>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2"/>
    <w:uiPriority w:val="99"/>
    <w:pPr>
      <w:keepLines/>
      <w:tabs>
        <w:tab w:val="left" w:pos="255"/>
      </w:tabs>
      <w:ind w:left="255" w:hanging="255"/>
    </w:pPr>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link w:val="FootnoteText"/>
    <w:locked/>
    <w:rPr>
      <w:rFonts w:cs="Times New Roman"/>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uiPriority w:val="99"/>
    <w:locked/>
    <w:rPr>
      <w:rFonts w:ascii="Calibri" w:hAnsi="Calibri" w:cs="Times New Roman"/>
      <w:sz w:val="24"/>
      <w:lang w:val="en-GB" w:eastAsia="en-US" w:bidi="ar-SA"/>
    </w:rPr>
  </w:style>
  <w:style w:type="paragraph" w:customStyle="1" w:styleId="Formal">
    <w:name w:val="Formal"/>
    <w:basedOn w:val="ASN1"/>
    <w:uiPriority w:val="99"/>
    <w:rPr>
      <w:b w:val="0"/>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Pr>
      <w:rFonts w:cs="Times New Roman"/>
      <w:sz w:val="18"/>
      <w:lang w:val="en-GB" w:eastAsia="en-US"/>
    </w:rPr>
  </w:style>
  <w:style w:type="paragraph" w:customStyle="1" w:styleId="Headingb">
    <w:name w:val="Heading_b"/>
    <w:basedOn w:val="Normal"/>
    <w:next w:val="Normal"/>
    <w:link w:val="HeadingbChar"/>
    <w:pPr>
      <w:keepNext/>
      <w:spacing w:before="160"/>
    </w:pPr>
    <w:rPr>
      <w:b/>
    </w:rPr>
  </w:style>
  <w:style w:type="character" w:customStyle="1" w:styleId="HeadingbChar">
    <w:name w:val="Heading_b Char"/>
    <w:basedOn w:val="DefaultParagraphFont"/>
    <w:link w:val="Headingb"/>
    <w:rPr>
      <w:b/>
      <w:sz w:val="24"/>
      <w:szCs w:val="20"/>
      <w:lang w:val="en-GB" w:eastAsia="en-US"/>
    </w:rPr>
  </w:style>
  <w:style w:type="paragraph" w:customStyle="1" w:styleId="Headingi">
    <w:name w:val="Heading_i"/>
    <w:basedOn w:val="Normal"/>
    <w:next w:val="Normal"/>
    <w:uiPriority w:val="99"/>
    <w:pPr>
      <w:keepNext/>
      <w:spacing w:before="160"/>
    </w:pPr>
    <w:rPr>
      <w:i/>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uiPriority w:val="99"/>
    <w:rPr>
      <w:rFonts w:cs="Times New Roman"/>
    </w:rPr>
  </w:style>
  <w:style w:type="paragraph" w:customStyle="1" w:styleId="PartNo">
    <w:name w:val="Part_No"/>
    <w:basedOn w:val="Normal"/>
    <w:next w:val="Normal"/>
    <w:uiPriority w:val="99"/>
    <w:pPr>
      <w:keepNext/>
      <w:keepLines/>
      <w:spacing w:before="480" w:after="80"/>
      <w:jc w:val="center"/>
    </w:pPr>
    <w:rPr>
      <w:caps/>
      <w:sz w:val="28"/>
    </w:rPr>
  </w:style>
  <w:style w:type="paragraph" w:customStyle="1" w:styleId="Partref">
    <w:name w:val="Part_ref"/>
    <w:basedOn w:val="Normal"/>
    <w:next w:val="Normal"/>
    <w:uiPriority w:val="99"/>
    <w:pPr>
      <w:keepNext/>
      <w:keepLines/>
      <w:spacing w:before="280"/>
      <w:jc w:val="center"/>
    </w:pPr>
  </w:style>
  <w:style w:type="paragraph" w:customStyle="1" w:styleId="Parttitle">
    <w:name w:val="Part_title"/>
    <w:basedOn w:val="Normal"/>
    <w:next w:val="Normalaftertitle"/>
    <w:uiPriority w:val="99"/>
    <w:pPr>
      <w:keepNext/>
      <w:keepLines/>
      <w:spacing w:before="240" w:after="280"/>
      <w:jc w:val="center"/>
    </w:pPr>
    <w:rPr>
      <w:b/>
      <w:sz w:val="28"/>
    </w:rPr>
  </w:style>
  <w:style w:type="paragraph" w:customStyle="1" w:styleId="Recdate">
    <w:name w:val="Rec_date"/>
    <w:basedOn w:val="Normal"/>
    <w:next w:val="Normalaftertitle"/>
    <w:uiPriority w:val="9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style>
  <w:style w:type="paragraph" w:customStyle="1" w:styleId="RecNo">
    <w:name w:val="Rec_No"/>
    <w:basedOn w:val="Normal"/>
    <w:next w:val="Normal"/>
    <w:uiPriority w:val="99"/>
    <w:pPr>
      <w:keepNext/>
      <w:keepLines/>
      <w:spacing w:before="0"/>
    </w:pPr>
    <w:rPr>
      <w:b/>
      <w:sz w:val="28"/>
    </w:rPr>
  </w:style>
  <w:style w:type="paragraph" w:customStyle="1" w:styleId="QuestionNo">
    <w:name w:val="Question_No"/>
    <w:basedOn w:val="RecNo"/>
    <w:next w:val="Normal"/>
    <w:uiPriority w:val="99"/>
  </w:style>
  <w:style w:type="paragraph" w:customStyle="1" w:styleId="RecNoBR">
    <w:name w:val="Rec_No_BR"/>
    <w:basedOn w:val="Normal"/>
    <w:next w:val="Normal"/>
    <w:uiPriority w:val="99"/>
    <w:pPr>
      <w:keepNext/>
      <w:keepLines/>
      <w:spacing w:before="480"/>
      <w:jc w:val="center"/>
    </w:pPr>
    <w:rPr>
      <w:caps/>
      <w:sz w:val="28"/>
    </w:rPr>
  </w:style>
  <w:style w:type="paragraph" w:customStyle="1" w:styleId="QuestionNoBR">
    <w:name w:val="Question_No_BR"/>
    <w:basedOn w:val="RecNoBR"/>
    <w:next w:val="Normal"/>
    <w:uiPriority w:val="99"/>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style>
  <w:style w:type="paragraph" w:customStyle="1" w:styleId="Rectitle">
    <w:name w:val="Rec_title"/>
    <w:basedOn w:val="Normal"/>
    <w:next w:val="Normalaftertitle"/>
    <w:uiPriority w:val="99"/>
    <w:pPr>
      <w:keepNext/>
      <w:keepLines/>
      <w:spacing w:before="360"/>
      <w:jc w:val="center"/>
    </w:pPr>
    <w:rPr>
      <w:b/>
      <w:sz w:val="28"/>
    </w:rPr>
  </w:style>
  <w:style w:type="paragraph" w:customStyle="1" w:styleId="Questiontitle">
    <w:name w:val="Question_title"/>
    <w:basedOn w:val="Rectitle"/>
    <w:next w:val="Questionref"/>
    <w:uiPriority w:val="99"/>
  </w:style>
  <w:style w:type="character" w:customStyle="1" w:styleId="Recdef">
    <w:name w:val="Rec_def"/>
    <w:basedOn w:val="DefaultParagraphFont"/>
    <w:uiPriority w:val="99"/>
    <w:rPr>
      <w:rFonts w:cs="Times New Roman"/>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uiPriority w:val="99"/>
    <w:pPr>
      <w:spacing w:before="480"/>
      <w:jc w:val="center"/>
    </w:pPr>
    <w:rPr>
      <w:b/>
    </w:rPr>
  </w:style>
  <w:style w:type="paragraph" w:customStyle="1" w:styleId="Repdate">
    <w:name w:val="Rep_date"/>
    <w:basedOn w:val="Recdate"/>
    <w:next w:val="Normalaftertitle"/>
    <w:uiPriority w:val="99"/>
  </w:style>
  <w:style w:type="paragraph" w:customStyle="1" w:styleId="RepNo">
    <w:name w:val="Rep_No"/>
    <w:basedOn w:val="RecNo"/>
    <w:next w:val="Normal"/>
    <w:uiPriority w:val="99"/>
  </w:style>
  <w:style w:type="paragraph" w:customStyle="1" w:styleId="RepNoBR">
    <w:name w:val="Rep_No_BR"/>
    <w:basedOn w:val="RecNoBR"/>
    <w:next w:val="Normal"/>
    <w:uiPriority w:val="99"/>
  </w:style>
  <w:style w:type="paragraph" w:customStyle="1" w:styleId="Repref">
    <w:name w:val="Rep_ref"/>
    <w:basedOn w:val="Recref"/>
    <w:next w:val="Repdate"/>
    <w:uiPriority w:val="99"/>
  </w:style>
  <w:style w:type="paragraph" w:customStyle="1" w:styleId="Reptitle">
    <w:name w:val="Rep_title"/>
    <w:basedOn w:val="Rectitle"/>
    <w:next w:val="Repref"/>
    <w:uiPriority w:val="99"/>
  </w:style>
  <w:style w:type="paragraph" w:customStyle="1" w:styleId="Resdate">
    <w:name w:val="Res_date"/>
    <w:basedOn w:val="Recdate"/>
    <w:next w:val="Normalaftertitle"/>
    <w:uiPriority w:val="99"/>
  </w:style>
  <w:style w:type="character" w:customStyle="1" w:styleId="Resdef">
    <w:name w:val="Res_def"/>
    <w:basedOn w:val="DefaultParagraphFont"/>
    <w:uiPriority w:val="99"/>
    <w:rPr>
      <w:rFonts w:ascii="Times New Roman" w:hAnsi="Times New Roman" w:cs="Times New Roman"/>
      <w:b/>
    </w:rPr>
  </w:style>
  <w:style w:type="paragraph" w:customStyle="1" w:styleId="ResNo">
    <w:name w:val="Res_No"/>
    <w:basedOn w:val="RecNo"/>
    <w:next w:val="Normal"/>
    <w:link w:val="ResNoChar"/>
  </w:style>
  <w:style w:type="character" w:customStyle="1" w:styleId="ResNoChar">
    <w:name w:val="Res_No Char"/>
    <w:basedOn w:val="DefaultParagraphFont"/>
    <w:link w:val="ResNo"/>
    <w:uiPriority w:val="99"/>
    <w:locked/>
    <w:rPr>
      <w:rFonts w:cs="Times New Roman"/>
      <w:b/>
      <w:sz w:val="28"/>
      <w:lang w:val="en-GB" w:eastAsia="en-US"/>
    </w:rPr>
  </w:style>
  <w:style w:type="paragraph" w:customStyle="1" w:styleId="ResNoBR">
    <w:name w:val="Res_No_BR"/>
    <w:basedOn w:val="RecNoBR"/>
    <w:next w:val="Normal"/>
    <w:uiPriority w:val="99"/>
  </w:style>
  <w:style w:type="paragraph" w:customStyle="1" w:styleId="Resref">
    <w:name w:val="Res_ref"/>
    <w:basedOn w:val="Recref"/>
    <w:next w:val="Resdate"/>
    <w:uiPriority w:val="99"/>
  </w:style>
  <w:style w:type="paragraph" w:customStyle="1" w:styleId="Restitle">
    <w:name w:val="Res_title"/>
    <w:basedOn w:val="Rectitle"/>
    <w:next w:val="Resref"/>
    <w:link w:val="RestitleChar"/>
  </w:style>
  <w:style w:type="character" w:customStyle="1" w:styleId="RestitleChar">
    <w:name w:val="Res_title Char"/>
    <w:basedOn w:val="DefaultParagraphFont"/>
    <w:link w:val="Restitle"/>
    <w:uiPriority w:val="99"/>
    <w:locked/>
    <w:rPr>
      <w:rFonts w:cs="Times New Roman"/>
      <w:b/>
      <w:sz w:val="28"/>
      <w:lang w:val="en-GB" w:eastAsia="en-US"/>
    </w:rPr>
  </w:style>
  <w:style w:type="paragraph" w:customStyle="1" w:styleId="Section1">
    <w:name w:val="Section_1"/>
    <w:basedOn w:val="Normal"/>
    <w:next w:val="Normal"/>
    <w:uiPriority w:val="9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pPr>
      <w:keepNext/>
      <w:keepLines/>
      <w:spacing w:before="480" w:after="80"/>
      <w:jc w:val="center"/>
    </w:pPr>
    <w:rPr>
      <w:caps/>
      <w:sz w:val="28"/>
    </w:rPr>
  </w:style>
  <w:style w:type="paragraph" w:customStyle="1" w:styleId="Sectiontitle">
    <w:name w:val="Section_title"/>
    <w:basedOn w:val="Normal"/>
    <w:next w:val="Normalaftertitle"/>
    <w:uiPriority w:val="99"/>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Pr>
      <w:rFonts w:cs="Times New Roman"/>
      <w:b/>
      <w:color w:val="auto"/>
    </w:rPr>
  </w:style>
  <w:style w:type="paragraph" w:customStyle="1" w:styleId="Tablehead">
    <w:name w:val="Table_head"/>
    <w:basedOn w:val="Normal"/>
    <w:next w:val="Normal"/>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pPr>
      <w:keepNext/>
      <w:keepLines/>
      <w:spacing w:before="360" w:after="120"/>
      <w:jc w:val="center"/>
    </w:pPr>
    <w:rPr>
      <w:b/>
    </w:rPr>
  </w:style>
  <w:style w:type="paragraph" w:customStyle="1" w:styleId="TableNoBR">
    <w:name w:val="Table_No_BR"/>
    <w:basedOn w:val="Normal"/>
    <w:next w:val="TabletitleBR"/>
    <w:uiPriority w:val="99"/>
    <w:pPr>
      <w:keepNext/>
      <w:spacing w:before="560" w:after="120"/>
      <w:jc w:val="center"/>
    </w:pPr>
    <w:rPr>
      <w:caps/>
    </w:rPr>
  </w:style>
  <w:style w:type="paragraph" w:customStyle="1" w:styleId="Tableref">
    <w:name w:val="Table_ref"/>
    <w:basedOn w:val="Normal"/>
    <w:next w:val="TabletitleBR"/>
    <w:uiPriority w:val="99"/>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style>
  <w:style w:type="paragraph" w:customStyle="1" w:styleId="Title3">
    <w:name w:val="Title 3"/>
    <w:basedOn w:val="Title2"/>
    <w:next w:val="Normal"/>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styleId="NormalWeb">
    <w:name w:val="Normal (We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MS Mincho" w:hAnsi="Verdana"/>
      <w:sz w:val="18"/>
      <w:szCs w:val="18"/>
      <w:lang w:eastAsia="ja-JP"/>
    </w:rPr>
  </w:style>
  <w:style w:type="paragraph" w:customStyle="1" w:styleId="style137">
    <w:name w:val="style13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MS Mincho" w:hAnsi="Verdana"/>
      <w:sz w:val="18"/>
      <w:szCs w:val="18"/>
      <w:lang w:eastAsia="ja-JP"/>
    </w:rPr>
  </w:style>
  <w:style w:type="character" w:styleId="Strong">
    <w:name w:val="Strong"/>
    <w:basedOn w:val="DefaultParagraphFont"/>
    <w:uiPriority w:val="22"/>
    <w:qFormat/>
    <w:rPr>
      <w:rFonts w:cs="Times New Roman"/>
      <w:b/>
      <w:bCs/>
    </w:rPr>
  </w:style>
  <w:style w:type="character" w:customStyle="1" w:styleId="style113">
    <w:name w:val="style113"/>
    <w:basedOn w:val="DefaultParagraphFont"/>
    <w:uiPriority w:val="99"/>
    <w:rPr>
      <w:rFonts w:cs="Times New Roman"/>
    </w:rPr>
  </w:style>
  <w:style w:type="paragraph" w:customStyle="1" w:styleId="style1131">
    <w:name w:val="style113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MS Mincho" w:hAnsi="Verdana"/>
      <w:sz w:val="18"/>
      <w:szCs w:val="18"/>
      <w:lang w:eastAsia="ja-JP"/>
    </w:rPr>
  </w:style>
  <w:style w:type="paragraph" w:customStyle="1" w:styleId="style129">
    <w:name w:val="style129"/>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MS Mincho" w:hAnsi="Verdana"/>
      <w:sz w:val="18"/>
      <w:szCs w:val="18"/>
      <w:lang w:eastAsia="ja-JP"/>
    </w:rPr>
  </w:style>
  <w:style w:type="paragraph" w:customStyle="1" w:styleId="Normalaftertitle0">
    <w:name w:val="Normal after title"/>
    <w:basedOn w:val="Normal"/>
    <w:next w:val="Normal"/>
    <w:link w:val="NormalaftertitleChar"/>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character" w:customStyle="1" w:styleId="NormalaftertitleChar">
    <w:name w:val="Normal after title Char"/>
    <w:basedOn w:val="DefaultParagraphFont"/>
    <w:link w:val="Normalaftertitle0"/>
    <w:uiPriority w:val="99"/>
    <w:locked/>
    <w:rPr>
      <w:rFonts w:ascii="Calibri" w:hAnsi="Calibri" w:cs="Times New Roman"/>
      <w:sz w:val="24"/>
      <w:lang w:val="en-GB" w:eastAsia="en-US"/>
    </w:rPr>
  </w:style>
  <w:style w:type="paragraph" w:customStyle="1" w:styleId="NormalendS2">
    <w:name w:val="Normal_end_S2"/>
    <w:basedOn w:val="Normal"/>
    <w:uiPriority w:val="99"/>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Default">
    <w:name w:val="Default"/>
    <w:uiPriority w:val="99"/>
    <w:pPr>
      <w:autoSpaceDE w:val="0"/>
      <w:autoSpaceDN w:val="0"/>
      <w:adjustRightInd w:val="0"/>
    </w:pPr>
    <w:rPr>
      <w:rFonts w:ascii="Calibri" w:eastAsia="SimSun" w:hAnsi="Calibri" w:cs="Calibri"/>
      <w:color w:val="000000"/>
      <w:sz w:val="24"/>
      <w:szCs w:val="24"/>
    </w:rPr>
  </w:style>
  <w:style w:type="character" w:styleId="Hyperlink">
    <w:name w:val="Hyperlink"/>
    <w:basedOn w:val="DefaultParagraphFont"/>
    <w:uiPriority w:val="99"/>
    <w:rPr>
      <w:rFonts w:cs="Times New Roman"/>
      <w:color w:val="0000FF"/>
      <w:u w:val="single"/>
    </w:rPr>
  </w:style>
  <w:style w:type="character" w:customStyle="1" w:styleId="href">
    <w:name w:val="href"/>
    <w:basedOn w:val="DefaultParagraphFont"/>
    <w:rPr>
      <w:rFonts w:cs="Times New Roman"/>
      <w:color w:val="auto"/>
    </w:rPr>
  </w:style>
  <w:style w:type="paragraph" w:customStyle="1" w:styleId="call0">
    <w:name w:val="call"/>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153"/>
      <w:ind w:left="567"/>
    </w:pPr>
    <w:rPr>
      <w:rFonts w:eastAsia="Batang"/>
      <w:i/>
      <w:iCs/>
      <w:szCs w:val="24"/>
    </w:rPr>
  </w:style>
  <w:style w:type="paragraph" w:styleId="ListParagraph">
    <w:name w:val="List Paragraph"/>
    <w:basedOn w:val="Normal"/>
    <w:link w:val="ListParagraphChar"/>
    <w:uiPriority w:val="34"/>
    <w:qFormat/>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hAnsi="Calibri"/>
    </w:rPr>
  </w:style>
  <w:style w:type="paragraph" w:customStyle="1" w:styleId="AnnexNo">
    <w:name w:val="Annex_No"/>
    <w:basedOn w:val="Normal"/>
    <w:next w:val="Normal"/>
    <w:link w:val="AnnexNoChar"/>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styleId="BodyText3">
    <w:name w:val="Body Text 3"/>
    <w:basedOn w:val="Normal"/>
    <w:link w:val="BodyText3Char"/>
    <w:uiPriority w:val="99"/>
    <w:pPr>
      <w:jc w:val="both"/>
    </w:pPr>
    <w:rPr>
      <w:rFonts w:ascii="Calibri" w:hAnsi="Calibri"/>
      <w:szCs w:val="24"/>
    </w:rPr>
  </w:style>
  <w:style w:type="character" w:customStyle="1" w:styleId="BodyText3Char">
    <w:name w:val="Body Text 3 Char"/>
    <w:basedOn w:val="DefaultParagraphFont"/>
    <w:link w:val="BodyText3"/>
    <w:uiPriority w:val="99"/>
    <w:locked/>
    <w:rPr>
      <w:rFonts w:ascii="Calibri" w:hAnsi="Calibri" w:cs="Times New Roman"/>
      <w:sz w:val="24"/>
      <w:szCs w:val="24"/>
      <w:lang w:val="en-GB" w:eastAsia="en-US"/>
    </w:rPr>
  </w:style>
  <w:style w:type="paragraph" w:styleId="BalloonText">
    <w:name w:val="Balloon Text"/>
    <w:basedOn w:val="Normal"/>
    <w:link w:val="BalloonTextChar"/>
    <w:uiPriority w:val="99"/>
    <w:pPr>
      <w:tabs>
        <w:tab w:val="clear" w:pos="794"/>
        <w:tab w:val="clear" w:pos="1191"/>
        <w:tab w:val="clear" w:pos="1588"/>
        <w:tab w:val="clear" w:pos="1985"/>
      </w:tabs>
      <w:overflowPunct/>
      <w:autoSpaceDE/>
      <w:autoSpaceDN/>
      <w:adjustRightInd/>
      <w:textAlignment w:val="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locked/>
    <w:rPr>
      <w:rFonts w:ascii="Tahoma" w:eastAsia="MS Mincho" w:hAnsi="Tahoma" w:cs="Tahoma"/>
      <w:sz w:val="16"/>
      <w:szCs w:val="16"/>
      <w:lang w:val="en-GB" w:eastAsia="ja-JP"/>
    </w:rPr>
  </w:style>
  <w:style w:type="character" w:customStyle="1" w:styleId="userinput">
    <w:name w:val="userinput"/>
    <w:basedOn w:val="DefaultParagraphFont"/>
    <w:uiPriority w:val="99"/>
    <w:rPr>
      <w:rFonts w:cs="Times New Roman"/>
    </w:rPr>
  </w:style>
  <w:style w:type="paragraph" w:customStyle="1" w:styleId="style10">
    <w:name w:val="style10"/>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S2">
    <w:name w:val="Normal_S2"/>
    <w:basedOn w:val="Normal"/>
    <w:link w:val="NormalS2Char"/>
    <w:uiPriority w:val="99"/>
    <w:pPr>
      <w:tabs>
        <w:tab w:val="clear" w:pos="794"/>
        <w:tab w:val="clear" w:pos="1191"/>
        <w:tab w:val="clear" w:pos="1588"/>
        <w:tab w:val="clear" w:pos="1985"/>
        <w:tab w:val="left" w:pos="851"/>
      </w:tabs>
    </w:pPr>
    <w:rPr>
      <w:rFonts w:ascii="Calibri" w:hAnsi="Calibri"/>
      <w:b/>
    </w:rPr>
  </w:style>
  <w:style w:type="character" w:customStyle="1" w:styleId="NormalS2Char">
    <w:name w:val="Normal_S2 Char"/>
    <w:basedOn w:val="DefaultParagraphFont"/>
    <w:link w:val="NormalS2"/>
    <w:uiPriority w:val="99"/>
    <w:locked/>
    <w:rPr>
      <w:rFonts w:ascii="Calibri" w:hAnsi="Calibri" w:cs="Times New Roman"/>
      <w:b/>
      <w:sz w:val="24"/>
      <w:lang w:val="en-GB" w:eastAsia="en-US"/>
    </w:rPr>
  </w:style>
  <w:style w:type="paragraph" w:styleId="PlainText">
    <w:name w:val="Plain Text"/>
    <w:basedOn w:val="Normal"/>
    <w:link w:val="PlainTextChar"/>
    <w:uiPriority w:val="99"/>
    <w:semiHidden/>
    <w:unhideWhenUsed/>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semiHidden/>
    <w:rPr>
      <w:rFonts w:ascii="Calibri" w:eastAsiaTheme="minorEastAsia" w:hAnsi="Calibri" w:cstheme="minorBidi"/>
      <w:szCs w:val="21"/>
      <w:lang w:val="en-GB"/>
    </w:rPr>
  </w:style>
  <w:style w:type="character" w:styleId="Emphasis">
    <w:name w:val="Emphasis"/>
    <w:basedOn w:val="DefaultParagraphFont"/>
    <w:uiPriority w:val="20"/>
    <w:qFormat/>
    <w:locked/>
    <w:rPr>
      <w:i/>
      <w:iCs/>
    </w:rPr>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Annextitle">
    <w:name w:val="Annex_title"/>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character" w:customStyle="1" w:styleId="annotator-hl">
    <w:name w:val="annotator-hl"/>
    <w:rPr>
      <w:rFonts w:cs="Times New Roman"/>
    </w:rPr>
  </w:style>
  <w:style w:type="table" w:styleId="TableGrid">
    <w:name w:val="Table Grid"/>
    <w:basedOn w:val="TableNormal"/>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enumlev1S2">
    <w:name w:val="enumlev1_S2"/>
    <w:basedOn w:val="enumlev1"/>
    <w:pPr>
      <w:tabs>
        <w:tab w:val="clear" w:pos="794"/>
        <w:tab w:val="clear" w:pos="1191"/>
        <w:tab w:val="clear" w:pos="1588"/>
        <w:tab w:val="clear" w:pos="1985"/>
        <w:tab w:val="left" w:pos="851"/>
      </w:tabs>
      <w:spacing w:before="86"/>
      <w:ind w:left="0" w:firstLine="0"/>
    </w:pPr>
    <w:rPr>
      <w:rFonts w:ascii="Calibri" w:hAnsi="Calibri"/>
      <w:b/>
    </w:rPr>
  </w:style>
  <w:style w:type="paragraph" w:customStyle="1" w:styleId="Proposal">
    <w:name w:val="Proposal"/>
    <w:basedOn w:val="Normal"/>
    <w:next w:val="Normal"/>
    <w:pPr>
      <w:keepNext/>
      <w:tabs>
        <w:tab w:val="clear" w:pos="794"/>
        <w:tab w:val="clear" w:pos="1191"/>
        <w:tab w:val="clear" w:pos="1588"/>
        <w:tab w:val="clear" w:pos="1985"/>
        <w:tab w:val="left" w:pos="1134"/>
      </w:tabs>
      <w:spacing w:before="240"/>
    </w:pPr>
    <w:rPr>
      <w:rFonts w:asciiTheme="minorHAnsi" w:hAnsi="Times New Roman Bold"/>
      <w:b/>
    </w:rPr>
  </w:style>
  <w:style w:type="paragraph" w:customStyle="1" w:styleId="Tabletitle">
    <w:name w:val="Table_title"/>
    <w:basedOn w:val="Normal"/>
    <w:next w:val="Tabletext"/>
    <w:pPr>
      <w:keepNext/>
      <w:tabs>
        <w:tab w:val="clear" w:pos="794"/>
        <w:tab w:val="clear" w:pos="1191"/>
        <w:tab w:val="clear" w:pos="1588"/>
        <w:tab w:val="clear" w:pos="1985"/>
        <w:tab w:val="left" w:pos="2948"/>
        <w:tab w:val="left" w:pos="4082"/>
      </w:tabs>
      <w:spacing w:before="0" w:after="120"/>
      <w:jc w:val="center"/>
    </w:pPr>
    <w:rPr>
      <w:rFonts w:ascii="Calibri" w:hAnsi="Calibri"/>
      <w:b/>
    </w:rPr>
  </w:style>
  <w:style w:type="paragraph" w:styleId="TOC9">
    <w:name w:val="toc 9"/>
    <w:basedOn w:val="Normal"/>
    <w:next w:val="Normal"/>
    <w:autoRedefine/>
    <w:uiPriority w:val="39"/>
    <w:unhideWhenUsed/>
    <w:pPr>
      <w:tabs>
        <w:tab w:val="clear" w:pos="794"/>
        <w:tab w:val="clear" w:pos="1191"/>
        <w:tab w:val="clear" w:pos="1588"/>
        <w:tab w:val="clear" w:pos="1985"/>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en-US" w:eastAsia="zh-CN"/>
    </w:rPr>
  </w:style>
  <w:style w:type="paragraph" w:customStyle="1" w:styleId="AppendixNo">
    <w:name w:val="Appendix_No"/>
    <w:basedOn w:val="AnnexNo"/>
    <w:next w:val="Normal"/>
  </w:style>
  <w:style w:type="paragraph" w:customStyle="1" w:styleId="Appendixtitle">
    <w:name w:val="Appendix_title"/>
    <w:basedOn w:val="Annextitle"/>
    <w:next w:val="Normal"/>
  </w:style>
  <w:style w:type="paragraph" w:customStyle="1" w:styleId="Headingb0">
    <w:name w:val="Heading b"/>
    <w:basedOn w:val="Heading3"/>
    <w:pPr>
      <w:tabs>
        <w:tab w:val="clear" w:pos="794"/>
        <w:tab w:val="clear" w:pos="1191"/>
        <w:tab w:val="clear" w:pos="1588"/>
        <w:tab w:val="clear" w:pos="1985"/>
        <w:tab w:val="left" w:pos="851"/>
        <w:tab w:val="left" w:pos="1871"/>
      </w:tabs>
      <w:spacing w:before="400"/>
      <w:ind w:left="0" w:firstLine="0"/>
      <w:jc w:val="both"/>
      <w:outlineLvl w:val="9"/>
    </w:pPr>
    <w:rPr>
      <w:rFonts w:ascii="Calibri" w:hAnsi="Calibri"/>
    </w:rPr>
  </w:style>
  <w:style w:type="character" w:customStyle="1" w:styleId="observation">
    <w:name w:val="observation"/>
    <w:basedOn w:val="DefaultParagraphFont"/>
  </w:style>
  <w:style w:type="paragraph" w:customStyle="1" w:styleId="SimpleHeading">
    <w:name w:val="Simple Heading"/>
    <w:basedOn w:val="Normal"/>
    <w:qFormat/>
    <w:pPr>
      <w:keepNext/>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paragraph" w:styleId="Caption">
    <w:name w:val="caption"/>
    <w:basedOn w:val="Normal"/>
    <w:next w:val="Normal"/>
    <w:uiPriority w:val="35"/>
    <w:unhideWhenUsed/>
    <w:qFormat/>
    <w:locked/>
    <w:pPr>
      <w:keepNext/>
      <w:tabs>
        <w:tab w:val="clear" w:pos="794"/>
        <w:tab w:val="clear" w:pos="1191"/>
        <w:tab w:val="clear" w:pos="1588"/>
        <w:tab w:val="clear" w:pos="198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character" w:customStyle="1" w:styleId="ListParagraphChar">
    <w:name w:val="List Paragraph Char"/>
    <w:basedOn w:val="DefaultParagraphFont"/>
    <w:link w:val="ListParagraph"/>
    <w:uiPriority w:val="34"/>
    <w:locked/>
    <w:rPr>
      <w:rFonts w:ascii="Calibri" w:hAnsi="Calibri"/>
      <w:sz w:val="24"/>
      <w:szCs w:val="20"/>
      <w:lang w:val="en-GB" w:eastAsia="en-US"/>
    </w:rPr>
  </w:style>
  <w:style w:type="character" w:customStyle="1" w:styleId="AnnexNoChar">
    <w:name w:val="Annex_No Char"/>
    <w:basedOn w:val="DefaultParagraphFont"/>
    <w:link w:val="AnnexNo"/>
    <w:locked/>
    <w:rPr>
      <w:rFonts w:ascii="Calibri" w:hAnsi="Calibri"/>
      <w:caps/>
      <w:sz w:val="28"/>
      <w:szCs w:val="20"/>
      <w:lang w:val="en-GB" w:eastAsia="en-US"/>
    </w:rPr>
  </w:style>
  <w:style w:type="paragraph" w:customStyle="1" w:styleId="Docnumber">
    <w:name w:val="Docnumber"/>
    <w:basedOn w:val="Normal"/>
    <w:link w:val="DocnumberChar"/>
    <w:qFormat/>
    <w:rsid w:val="000E1C35"/>
    <w:pPr>
      <w:jc w:val="right"/>
    </w:pPr>
    <w:rPr>
      <w:b/>
      <w:bCs/>
      <w:sz w:val="40"/>
    </w:rPr>
  </w:style>
  <w:style w:type="character" w:customStyle="1" w:styleId="DocnumberChar">
    <w:name w:val="Docnumber Char"/>
    <w:basedOn w:val="DefaultParagraphFont"/>
    <w:link w:val="Docnumber"/>
    <w:rsid w:val="000E1C35"/>
    <w:rPr>
      <w:b/>
      <w:bCs/>
      <w:sz w:val="4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758139">
      <w:bodyDiv w:val="1"/>
      <w:marLeft w:val="0"/>
      <w:marRight w:val="0"/>
      <w:marTop w:val="0"/>
      <w:marBottom w:val="0"/>
      <w:divBdr>
        <w:top w:val="none" w:sz="0" w:space="0" w:color="auto"/>
        <w:left w:val="none" w:sz="0" w:space="0" w:color="auto"/>
        <w:bottom w:val="none" w:sz="0" w:space="0" w:color="auto"/>
        <w:right w:val="none" w:sz="0" w:space="0" w:color="auto"/>
      </w:divBdr>
    </w:div>
    <w:div w:id="431972477">
      <w:bodyDiv w:val="1"/>
      <w:marLeft w:val="0"/>
      <w:marRight w:val="0"/>
      <w:marTop w:val="0"/>
      <w:marBottom w:val="0"/>
      <w:divBdr>
        <w:top w:val="none" w:sz="0" w:space="0" w:color="auto"/>
        <w:left w:val="none" w:sz="0" w:space="0" w:color="auto"/>
        <w:bottom w:val="none" w:sz="0" w:space="0" w:color="auto"/>
        <w:right w:val="none" w:sz="0" w:space="0" w:color="auto"/>
      </w:divBdr>
      <w:divsChild>
        <w:div w:id="200552040">
          <w:marLeft w:val="720"/>
          <w:marRight w:val="0"/>
          <w:marTop w:val="0"/>
          <w:marBottom w:val="0"/>
          <w:divBdr>
            <w:top w:val="none" w:sz="0" w:space="0" w:color="auto"/>
            <w:left w:val="none" w:sz="0" w:space="0" w:color="auto"/>
            <w:bottom w:val="none" w:sz="0" w:space="0" w:color="auto"/>
            <w:right w:val="none" w:sz="0" w:space="0" w:color="auto"/>
          </w:divBdr>
        </w:div>
        <w:div w:id="1683359496">
          <w:marLeft w:val="720"/>
          <w:marRight w:val="0"/>
          <w:marTop w:val="0"/>
          <w:marBottom w:val="0"/>
          <w:divBdr>
            <w:top w:val="none" w:sz="0" w:space="0" w:color="auto"/>
            <w:left w:val="none" w:sz="0" w:space="0" w:color="auto"/>
            <w:bottom w:val="none" w:sz="0" w:space="0" w:color="auto"/>
            <w:right w:val="none" w:sz="0" w:space="0" w:color="auto"/>
          </w:divBdr>
        </w:div>
        <w:div w:id="1253509124">
          <w:marLeft w:val="720"/>
          <w:marRight w:val="0"/>
          <w:marTop w:val="0"/>
          <w:marBottom w:val="0"/>
          <w:divBdr>
            <w:top w:val="none" w:sz="0" w:space="0" w:color="auto"/>
            <w:left w:val="none" w:sz="0" w:space="0" w:color="auto"/>
            <w:bottom w:val="none" w:sz="0" w:space="0" w:color="auto"/>
            <w:right w:val="none" w:sz="0" w:space="0" w:color="auto"/>
          </w:divBdr>
        </w:div>
      </w:divsChild>
    </w:div>
    <w:div w:id="445545040">
      <w:bodyDiv w:val="1"/>
      <w:marLeft w:val="0"/>
      <w:marRight w:val="0"/>
      <w:marTop w:val="0"/>
      <w:marBottom w:val="0"/>
      <w:divBdr>
        <w:top w:val="none" w:sz="0" w:space="0" w:color="auto"/>
        <w:left w:val="none" w:sz="0" w:space="0" w:color="auto"/>
        <w:bottom w:val="none" w:sz="0" w:space="0" w:color="auto"/>
        <w:right w:val="none" w:sz="0" w:space="0" w:color="auto"/>
      </w:divBdr>
    </w:div>
    <w:div w:id="869030438">
      <w:bodyDiv w:val="1"/>
      <w:marLeft w:val="0"/>
      <w:marRight w:val="0"/>
      <w:marTop w:val="0"/>
      <w:marBottom w:val="0"/>
      <w:divBdr>
        <w:top w:val="none" w:sz="0" w:space="0" w:color="auto"/>
        <w:left w:val="none" w:sz="0" w:space="0" w:color="auto"/>
        <w:bottom w:val="none" w:sz="0" w:space="0" w:color="auto"/>
        <w:right w:val="none" w:sz="0" w:space="0" w:color="auto"/>
      </w:divBdr>
      <w:divsChild>
        <w:div w:id="1883976103">
          <w:marLeft w:val="720"/>
          <w:marRight w:val="0"/>
          <w:marTop w:val="240"/>
          <w:marBottom w:val="0"/>
          <w:divBdr>
            <w:top w:val="none" w:sz="0" w:space="0" w:color="auto"/>
            <w:left w:val="none" w:sz="0" w:space="0" w:color="auto"/>
            <w:bottom w:val="none" w:sz="0" w:space="0" w:color="auto"/>
            <w:right w:val="none" w:sz="0" w:space="0" w:color="auto"/>
          </w:divBdr>
        </w:div>
        <w:div w:id="1722901612">
          <w:marLeft w:val="720"/>
          <w:marRight w:val="0"/>
          <w:marTop w:val="240"/>
          <w:marBottom w:val="0"/>
          <w:divBdr>
            <w:top w:val="none" w:sz="0" w:space="0" w:color="auto"/>
            <w:left w:val="none" w:sz="0" w:space="0" w:color="auto"/>
            <w:bottom w:val="none" w:sz="0" w:space="0" w:color="auto"/>
            <w:right w:val="none" w:sz="0" w:space="0" w:color="auto"/>
          </w:divBdr>
        </w:div>
        <w:div w:id="2136216007">
          <w:marLeft w:val="720"/>
          <w:marRight w:val="0"/>
          <w:marTop w:val="240"/>
          <w:marBottom w:val="0"/>
          <w:divBdr>
            <w:top w:val="none" w:sz="0" w:space="0" w:color="auto"/>
            <w:left w:val="none" w:sz="0" w:space="0" w:color="auto"/>
            <w:bottom w:val="none" w:sz="0" w:space="0" w:color="auto"/>
            <w:right w:val="none" w:sz="0" w:space="0" w:color="auto"/>
          </w:divBdr>
        </w:div>
        <w:div w:id="8987420">
          <w:marLeft w:val="720"/>
          <w:marRight w:val="0"/>
          <w:marTop w:val="240"/>
          <w:marBottom w:val="0"/>
          <w:divBdr>
            <w:top w:val="none" w:sz="0" w:space="0" w:color="auto"/>
            <w:left w:val="none" w:sz="0" w:space="0" w:color="auto"/>
            <w:bottom w:val="none" w:sz="0" w:space="0" w:color="auto"/>
            <w:right w:val="none" w:sz="0" w:space="0" w:color="auto"/>
          </w:divBdr>
        </w:div>
        <w:div w:id="430199293">
          <w:marLeft w:val="720"/>
          <w:marRight w:val="0"/>
          <w:marTop w:val="240"/>
          <w:marBottom w:val="0"/>
          <w:divBdr>
            <w:top w:val="none" w:sz="0" w:space="0" w:color="auto"/>
            <w:left w:val="none" w:sz="0" w:space="0" w:color="auto"/>
            <w:bottom w:val="none" w:sz="0" w:space="0" w:color="auto"/>
            <w:right w:val="none" w:sz="0" w:space="0" w:color="auto"/>
          </w:divBdr>
        </w:div>
        <w:div w:id="1096753249">
          <w:marLeft w:val="720"/>
          <w:marRight w:val="0"/>
          <w:marTop w:val="240"/>
          <w:marBottom w:val="0"/>
          <w:divBdr>
            <w:top w:val="none" w:sz="0" w:space="0" w:color="auto"/>
            <w:left w:val="none" w:sz="0" w:space="0" w:color="auto"/>
            <w:bottom w:val="none" w:sz="0" w:space="0" w:color="auto"/>
            <w:right w:val="none" w:sz="0" w:space="0" w:color="auto"/>
          </w:divBdr>
        </w:div>
      </w:divsChild>
    </w:div>
    <w:div w:id="873343807">
      <w:bodyDiv w:val="1"/>
      <w:marLeft w:val="0"/>
      <w:marRight w:val="0"/>
      <w:marTop w:val="0"/>
      <w:marBottom w:val="0"/>
      <w:divBdr>
        <w:top w:val="none" w:sz="0" w:space="0" w:color="auto"/>
        <w:left w:val="none" w:sz="0" w:space="0" w:color="auto"/>
        <w:bottom w:val="none" w:sz="0" w:space="0" w:color="auto"/>
        <w:right w:val="none" w:sz="0" w:space="0" w:color="auto"/>
      </w:divBdr>
    </w:div>
    <w:div w:id="919485777">
      <w:bodyDiv w:val="1"/>
      <w:marLeft w:val="0"/>
      <w:marRight w:val="0"/>
      <w:marTop w:val="0"/>
      <w:marBottom w:val="0"/>
      <w:divBdr>
        <w:top w:val="none" w:sz="0" w:space="0" w:color="auto"/>
        <w:left w:val="none" w:sz="0" w:space="0" w:color="auto"/>
        <w:bottom w:val="none" w:sz="0" w:space="0" w:color="auto"/>
        <w:right w:val="none" w:sz="0" w:space="0" w:color="auto"/>
      </w:divBdr>
    </w:div>
    <w:div w:id="1260526347">
      <w:bodyDiv w:val="1"/>
      <w:marLeft w:val="0"/>
      <w:marRight w:val="0"/>
      <w:marTop w:val="0"/>
      <w:marBottom w:val="0"/>
      <w:divBdr>
        <w:top w:val="none" w:sz="0" w:space="0" w:color="auto"/>
        <w:left w:val="none" w:sz="0" w:space="0" w:color="auto"/>
        <w:bottom w:val="none" w:sz="0" w:space="0" w:color="auto"/>
        <w:right w:val="none" w:sz="0" w:space="0" w:color="auto"/>
      </w:divBdr>
      <w:divsChild>
        <w:div w:id="1702047402">
          <w:marLeft w:val="720"/>
          <w:marRight w:val="0"/>
          <w:marTop w:val="240"/>
          <w:marBottom w:val="0"/>
          <w:divBdr>
            <w:top w:val="none" w:sz="0" w:space="0" w:color="auto"/>
            <w:left w:val="none" w:sz="0" w:space="0" w:color="auto"/>
            <w:bottom w:val="none" w:sz="0" w:space="0" w:color="auto"/>
            <w:right w:val="none" w:sz="0" w:space="0" w:color="auto"/>
          </w:divBdr>
        </w:div>
        <w:div w:id="1350788925">
          <w:marLeft w:val="720"/>
          <w:marRight w:val="0"/>
          <w:marTop w:val="240"/>
          <w:marBottom w:val="0"/>
          <w:divBdr>
            <w:top w:val="none" w:sz="0" w:space="0" w:color="auto"/>
            <w:left w:val="none" w:sz="0" w:space="0" w:color="auto"/>
            <w:bottom w:val="none" w:sz="0" w:space="0" w:color="auto"/>
            <w:right w:val="none" w:sz="0" w:space="0" w:color="auto"/>
          </w:divBdr>
        </w:div>
        <w:div w:id="699555406">
          <w:marLeft w:val="720"/>
          <w:marRight w:val="0"/>
          <w:marTop w:val="240"/>
          <w:marBottom w:val="0"/>
          <w:divBdr>
            <w:top w:val="none" w:sz="0" w:space="0" w:color="auto"/>
            <w:left w:val="none" w:sz="0" w:space="0" w:color="auto"/>
            <w:bottom w:val="none" w:sz="0" w:space="0" w:color="auto"/>
            <w:right w:val="none" w:sz="0" w:space="0" w:color="auto"/>
          </w:divBdr>
        </w:div>
        <w:div w:id="1641109349">
          <w:marLeft w:val="720"/>
          <w:marRight w:val="0"/>
          <w:marTop w:val="240"/>
          <w:marBottom w:val="0"/>
          <w:divBdr>
            <w:top w:val="none" w:sz="0" w:space="0" w:color="auto"/>
            <w:left w:val="none" w:sz="0" w:space="0" w:color="auto"/>
            <w:bottom w:val="none" w:sz="0" w:space="0" w:color="auto"/>
            <w:right w:val="none" w:sz="0" w:space="0" w:color="auto"/>
          </w:divBdr>
        </w:div>
        <w:div w:id="1004166633">
          <w:marLeft w:val="720"/>
          <w:marRight w:val="0"/>
          <w:marTop w:val="240"/>
          <w:marBottom w:val="0"/>
          <w:divBdr>
            <w:top w:val="none" w:sz="0" w:space="0" w:color="auto"/>
            <w:left w:val="none" w:sz="0" w:space="0" w:color="auto"/>
            <w:bottom w:val="none" w:sz="0" w:space="0" w:color="auto"/>
            <w:right w:val="none" w:sz="0" w:space="0" w:color="auto"/>
          </w:divBdr>
        </w:div>
        <w:div w:id="989796749">
          <w:marLeft w:val="720"/>
          <w:marRight w:val="0"/>
          <w:marTop w:val="240"/>
          <w:marBottom w:val="0"/>
          <w:divBdr>
            <w:top w:val="none" w:sz="0" w:space="0" w:color="auto"/>
            <w:left w:val="none" w:sz="0" w:space="0" w:color="auto"/>
            <w:bottom w:val="none" w:sz="0" w:space="0" w:color="auto"/>
            <w:right w:val="none" w:sz="0" w:space="0" w:color="auto"/>
          </w:divBdr>
        </w:div>
      </w:divsChild>
    </w:div>
    <w:div w:id="1390300775">
      <w:bodyDiv w:val="1"/>
      <w:marLeft w:val="0"/>
      <w:marRight w:val="0"/>
      <w:marTop w:val="0"/>
      <w:marBottom w:val="0"/>
      <w:divBdr>
        <w:top w:val="none" w:sz="0" w:space="0" w:color="auto"/>
        <w:left w:val="none" w:sz="0" w:space="0" w:color="auto"/>
        <w:bottom w:val="none" w:sz="0" w:space="0" w:color="auto"/>
        <w:right w:val="none" w:sz="0" w:space="0" w:color="auto"/>
      </w:divBdr>
      <w:divsChild>
        <w:div w:id="2116512782">
          <w:marLeft w:val="720"/>
          <w:marRight w:val="0"/>
          <w:marTop w:val="240"/>
          <w:marBottom w:val="0"/>
          <w:divBdr>
            <w:top w:val="none" w:sz="0" w:space="0" w:color="auto"/>
            <w:left w:val="none" w:sz="0" w:space="0" w:color="auto"/>
            <w:bottom w:val="none" w:sz="0" w:space="0" w:color="auto"/>
            <w:right w:val="none" w:sz="0" w:space="0" w:color="auto"/>
          </w:divBdr>
        </w:div>
        <w:div w:id="456220388">
          <w:marLeft w:val="720"/>
          <w:marRight w:val="0"/>
          <w:marTop w:val="240"/>
          <w:marBottom w:val="0"/>
          <w:divBdr>
            <w:top w:val="none" w:sz="0" w:space="0" w:color="auto"/>
            <w:left w:val="none" w:sz="0" w:space="0" w:color="auto"/>
            <w:bottom w:val="none" w:sz="0" w:space="0" w:color="auto"/>
            <w:right w:val="none" w:sz="0" w:space="0" w:color="auto"/>
          </w:divBdr>
        </w:div>
        <w:div w:id="1751389206">
          <w:marLeft w:val="720"/>
          <w:marRight w:val="0"/>
          <w:marTop w:val="240"/>
          <w:marBottom w:val="0"/>
          <w:divBdr>
            <w:top w:val="none" w:sz="0" w:space="0" w:color="auto"/>
            <w:left w:val="none" w:sz="0" w:space="0" w:color="auto"/>
            <w:bottom w:val="none" w:sz="0" w:space="0" w:color="auto"/>
            <w:right w:val="none" w:sz="0" w:space="0" w:color="auto"/>
          </w:divBdr>
        </w:div>
        <w:div w:id="149291559">
          <w:marLeft w:val="720"/>
          <w:marRight w:val="0"/>
          <w:marTop w:val="240"/>
          <w:marBottom w:val="0"/>
          <w:divBdr>
            <w:top w:val="none" w:sz="0" w:space="0" w:color="auto"/>
            <w:left w:val="none" w:sz="0" w:space="0" w:color="auto"/>
            <w:bottom w:val="none" w:sz="0" w:space="0" w:color="auto"/>
            <w:right w:val="none" w:sz="0" w:space="0" w:color="auto"/>
          </w:divBdr>
        </w:div>
        <w:div w:id="1712877262">
          <w:marLeft w:val="720"/>
          <w:marRight w:val="0"/>
          <w:marTop w:val="240"/>
          <w:marBottom w:val="0"/>
          <w:divBdr>
            <w:top w:val="none" w:sz="0" w:space="0" w:color="auto"/>
            <w:left w:val="none" w:sz="0" w:space="0" w:color="auto"/>
            <w:bottom w:val="none" w:sz="0" w:space="0" w:color="auto"/>
            <w:right w:val="none" w:sz="0" w:space="0" w:color="auto"/>
          </w:divBdr>
        </w:div>
        <w:div w:id="2064476788">
          <w:marLeft w:val="720"/>
          <w:marRight w:val="0"/>
          <w:marTop w:val="240"/>
          <w:marBottom w:val="0"/>
          <w:divBdr>
            <w:top w:val="none" w:sz="0" w:space="0" w:color="auto"/>
            <w:left w:val="none" w:sz="0" w:space="0" w:color="auto"/>
            <w:bottom w:val="none" w:sz="0" w:space="0" w:color="auto"/>
            <w:right w:val="none" w:sz="0" w:space="0" w:color="auto"/>
          </w:divBdr>
        </w:div>
        <w:div w:id="539708623">
          <w:marLeft w:val="720"/>
          <w:marRight w:val="0"/>
          <w:marTop w:val="240"/>
          <w:marBottom w:val="0"/>
          <w:divBdr>
            <w:top w:val="none" w:sz="0" w:space="0" w:color="auto"/>
            <w:left w:val="none" w:sz="0" w:space="0" w:color="auto"/>
            <w:bottom w:val="none" w:sz="0" w:space="0" w:color="auto"/>
            <w:right w:val="none" w:sz="0" w:space="0" w:color="auto"/>
          </w:divBdr>
        </w:div>
      </w:divsChild>
    </w:div>
    <w:div w:id="1463696603">
      <w:bodyDiv w:val="1"/>
      <w:marLeft w:val="0"/>
      <w:marRight w:val="0"/>
      <w:marTop w:val="0"/>
      <w:marBottom w:val="0"/>
      <w:divBdr>
        <w:top w:val="none" w:sz="0" w:space="0" w:color="auto"/>
        <w:left w:val="none" w:sz="0" w:space="0" w:color="auto"/>
        <w:bottom w:val="none" w:sz="0" w:space="0" w:color="auto"/>
        <w:right w:val="none" w:sz="0" w:space="0" w:color="auto"/>
      </w:divBdr>
    </w:div>
    <w:div w:id="1479417332">
      <w:bodyDiv w:val="1"/>
      <w:marLeft w:val="0"/>
      <w:marRight w:val="0"/>
      <w:marTop w:val="0"/>
      <w:marBottom w:val="0"/>
      <w:divBdr>
        <w:top w:val="none" w:sz="0" w:space="0" w:color="auto"/>
        <w:left w:val="none" w:sz="0" w:space="0" w:color="auto"/>
        <w:bottom w:val="none" w:sz="0" w:space="0" w:color="auto"/>
        <w:right w:val="none" w:sz="0" w:space="0" w:color="auto"/>
      </w:divBdr>
      <w:divsChild>
        <w:div w:id="615062071">
          <w:marLeft w:val="720"/>
          <w:marRight w:val="0"/>
          <w:marTop w:val="240"/>
          <w:marBottom w:val="0"/>
          <w:divBdr>
            <w:top w:val="none" w:sz="0" w:space="0" w:color="auto"/>
            <w:left w:val="none" w:sz="0" w:space="0" w:color="auto"/>
            <w:bottom w:val="none" w:sz="0" w:space="0" w:color="auto"/>
            <w:right w:val="none" w:sz="0" w:space="0" w:color="auto"/>
          </w:divBdr>
        </w:div>
        <w:div w:id="2058507747">
          <w:marLeft w:val="720"/>
          <w:marRight w:val="0"/>
          <w:marTop w:val="240"/>
          <w:marBottom w:val="0"/>
          <w:divBdr>
            <w:top w:val="none" w:sz="0" w:space="0" w:color="auto"/>
            <w:left w:val="none" w:sz="0" w:space="0" w:color="auto"/>
            <w:bottom w:val="none" w:sz="0" w:space="0" w:color="auto"/>
            <w:right w:val="none" w:sz="0" w:space="0" w:color="auto"/>
          </w:divBdr>
        </w:div>
        <w:div w:id="441075083">
          <w:marLeft w:val="720"/>
          <w:marRight w:val="0"/>
          <w:marTop w:val="240"/>
          <w:marBottom w:val="0"/>
          <w:divBdr>
            <w:top w:val="none" w:sz="0" w:space="0" w:color="auto"/>
            <w:left w:val="none" w:sz="0" w:space="0" w:color="auto"/>
            <w:bottom w:val="none" w:sz="0" w:space="0" w:color="auto"/>
            <w:right w:val="none" w:sz="0" w:space="0" w:color="auto"/>
          </w:divBdr>
        </w:div>
        <w:div w:id="1697543284">
          <w:marLeft w:val="720"/>
          <w:marRight w:val="0"/>
          <w:marTop w:val="240"/>
          <w:marBottom w:val="0"/>
          <w:divBdr>
            <w:top w:val="none" w:sz="0" w:space="0" w:color="auto"/>
            <w:left w:val="none" w:sz="0" w:space="0" w:color="auto"/>
            <w:bottom w:val="none" w:sz="0" w:space="0" w:color="auto"/>
            <w:right w:val="none" w:sz="0" w:space="0" w:color="auto"/>
          </w:divBdr>
        </w:div>
        <w:div w:id="2102943239">
          <w:marLeft w:val="720"/>
          <w:marRight w:val="0"/>
          <w:marTop w:val="240"/>
          <w:marBottom w:val="0"/>
          <w:divBdr>
            <w:top w:val="none" w:sz="0" w:space="0" w:color="auto"/>
            <w:left w:val="none" w:sz="0" w:space="0" w:color="auto"/>
            <w:bottom w:val="none" w:sz="0" w:space="0" w:color="auto"/>
            <w:right w:val="none" w:sz="0" w:space="0" w:color="auto"/>
          </w:divBdr>
        </w:div>
        <w:div w:id="2001159135">
          <w:marLeft w:val="720"/>
          <w:marRight w:val="0"/>
          <w:marTop w:val="240"/>
          <w:marBottom w:val="0"/>
          <w:divBdr>
            <w:top w:val="none" w:sz="0" w:space="0" w:color="auto"/>
            <w:left w:val="none" w:sz="0" w:space="0" w:color="auto"/>
            <w:bottom w:val="none" w:sz="0" w:space="0" w:color="auto"/>
            <w:right w:val="none" w:sz="0" w:space="0" w:color="auto"/>
          </w:divBdr>
        </w:div>
      </w:divsChild>
    </w:div>
    <w:div w:id="1484463343">
      <w:bodyDiv w:val="1"/>
      <w:marLeft w:val="0"/>
      <w:marRight w:val="0"/>
      <w:marTop w:val="0"/>
      <w:marBottom w:val="0"/>
      <w:divBdr>
        <w:top w:val="none" w:sz="0" w:space="0" w:color="auto"/>
        <w:left w:val="none" w:sz="0" w:space="0" w:color="auto"/>
        <w:bottom w:val="none" w:sz="0" w:space="0" w:color="auto"/>
        <w:right w:val="none" w:sz="0" w:space="0" w:color="auto"/>
      </w:divBdr>
      <w:divsChild>
        <w:div w:id="966819539">
          <w:marLeft w:val="720"/>
          <w:marRight w:val="0"/>
          <w:marTop w:val="240"/>
          <w:marBottom w:val="0"/>
          <w:divBdr>
            <w:top w:val="none" w:sz="0" w:space="0" w:color="auto"/>
            <w:left w:val="none" w:sz="0" w:space="0" w:color="auto"/>
            <w:bottom w:val="none" w:sz="0" w:space="0" w:color="auto"/>
            <w:right w:val="none" w:sz="0" w:space="0" w:color="auto"/>
          </w:divBdr>
        </w:div>
        <w:div w:id="1237668023">
          <w:marLeft w:val="720"/>
          <w:marRight w:val="0"/>
          <w:marTop w:val="240"/>
          <w:marBottom w:val="0"/>
          <w:divBdr>
            <w:top w:val="none" w:sz="0" w:space="0" w:color="auto"/>
            <w:left w:val="none" w:sz="0" w:space="0" w:color="auto"/>
            <w:bottom w:val="none" w:sz="0" w:space="0" w:color="auto"/>
            <w:right w:val="none" w:sz="0" w:space="0" w:color="auto"/>
          </w:divBdr>
        </w:div>
        <w:div w:id="1787651324">
          <w:marLeft w:val="720"/>
          <w:marRight w:val="0"/>
          <w:marTop w:val="240"/>
          <w:marBottom w:val="0"/>
          <w:divBdr>
            <w:top w:val="none" w:sz="0" w:space="0" w:color="auto"/>
            <w:left w:val="none" w:sz="0" w:space="0" w:color="auto"/>
            <w:bottom w:val="none" w:sz="0" w:space="0" w:color="auto"/>
            <w:right w:val="none" w:sz="0" w:space="0" w:color="auto"/>
          </w:divBdr>
        </w:div>
        <w:div w:id="373623494">
          <w:marLeft w:val="720"/>
          <w:marRight w:val="0"/>
          <w:marTop w:val="240"/>
          <w:marBottom w:val="0"/>
          <w:divBdr>
            <w:top w:val="none" w:sz="0" w:space="0" w:color="auto"/>
            <w:left w:val="none" w:sz="0" w:space="0" w:color="auto"/>
            <w:bottom w:val="none" w:sz="0" w:space="0" w:color="auto"/>
            <w:right w:val="none" w:sz="0" w:space="0" w:color="auto"/>
          </w:divBdr>
        </w:div>
        <w:div w:id="1572886443">
          <w:marLeft w:val="720"/>
          <w:marRight w:val="0"/>
          <w:marTop w:val="240"/>
          <w:marBottom w:val="0"/>
          <w:divBdr>
            <w:top w:val="none" w:sz="0" w:space="0" w:color="auto"/>
            <w:left w:val="none" w:sz="0" w:space="0" w:color="auto"/>
            <w:bottom w:val="none" w:sz="0" w:space="0" w:color="auto"/>
            <w:right w:val="none" w:sz="0" w:space="0" w:color="auto"/>
          </w:divBdr>
        </w:div>
        <w:div w:id="997726712">
          <w:marLeft w:val="720"/>
          <w:marRight w:val="0"/>
          <w:marTop w:val="240"/>
          <w:marBottom w:val="0"/>
          <w:divBdr>
            <w:top w:val="none" w:sz="0" w:space="0" w:color="auto"/>
            <w:left w:val="none" w:sz="0" w:space="0" w:color="auto"/>
            <w:bottom w:val="none" w:sz="0" w:space="0" w:color="auto"/>
            <w:right w:val="none" w:sz="0" w:space="0" w:color="auto"/>
          </w:divBdr>
        </w:div>
      </w:divsChild>
    </w:div>
    <w:div w:id="1732190034">
      <w:bodyDiv w:val="1"/>
      <w:marLeft w:val="0"/>
      <w:marRight w:val="0"/>
      <w:marTop w:val="0"/>
      <w:marBottom w:val="0"/>
      <w:divBdr>
        <w:top w:val="none" w:sz="0" w:space="0" w:color="auto"/>
        <w:left w:val="none" w:sz="0" w:space="0" w:color="auto"/>
        <w:bottom w:val="none" w:sz="0" w:space="0" w:color="auto"/>
        <w:right w:val="none" w:sz="0" w:space="0" w:color="auto"/>
      </w:divBdr>
    </w:div>
    <w:div w:id="1876187741">
      <w:bodyDiv w:val="1"/>
      <w:marLeft w:val="0"/>
      <w:marRight w:val="0"/>
      <w:marTop w:val="0"/>
      <w:marBottom w:val="0"/>
      <w:divBdr>
        <w:top w:val="none" w:sz="0" w:space="0" w:color="auto"/>
        <w:left w:val="none" w:sz="0" w:space="0" w:color="auto"/>
        <w:bottom w:val="none" w:sz="0" w:space="0" w:color="auto"/>
        <w:right w:val="none" w:sz="0" w:space="0" w:color="auto"/>
      </w:divBdr>
      <w:divsChild>
        <w:div w:id="154540984">
          <w:marLeft w:val="720"/>
          <w:marRight w:val="0"/>
          <w:marTop w:val="240"/>
          <w:marBottom w:val="0"/>
          <w:divBdr>
            <w:top w:val="none" w:sz="0" w:space="0" w:color="auto"/>
            <w:left w:val="none" w:sz="0" w:space="0" w:color="auto"/>
            <w:bottom w:val="none" w:sz="0" w:space="0" w:color="auto"/>
            <w:right w:val="none" w:sz="0" w:space="0" w:color="auto"/>
          </w:divBdr>
        </w:div>
        <w:div w:id="176888830">
          <w:marLeft w:val="720"/>
          <w:marRight w:val="0"/>
          <w:marTop w:val="240"/>
          <w:marBottom w:val="0"/>
          <w:divBdr>
            <w:top w:val="none" w:sz="0" w:space="0" w:color="auto"/>
            <w:left w:val="none" w:sz="0" w:space="0" w:color="auto"/>
            <w:bottom w:val="none" w:sz="0" w:space="0" w:color="auto"/>
            <w:right w:val="none" w:sz="0" w:space="0" w:color="auto"/>
          </w:divBdr>
        </w:div>
        <w:div w:id="238908477">
          <w:marLeft w:val="720"/>
          <w:marRight w:val="0"/>
          <w:marTop w:val="240"/>
          <w:marBottom w:val="0"/>
          <w:divBdr>
            <w:top w:val="none" w:sz="0" w:space="0" w:color="auto"/>
            <w:left w:val="none" w:sz="0" w:space="0" w:color="auto"/>
            <w:bottom w:val="none" w:sz="0" w:space="0" w:color="auto"/>
            <w:right w:val="none" w:sz="0" w:space="0" w:color="auto"/>
          </w:divBdr>
        </w:div>
        <w:div w:id="1181432132">
          <w:marLeft w:val="720"/>
          <w:marRight w:val="0"/>
          <w:marTop w:val="240"/>
          <w:marBottom w:val="0"/>
          <w:divBdr>
            <w:top w:val="none" w:sz="0" w:space="0" w:color="auto"/>
            <w:left w:val="none" w:sz="0" w:space="0" w:color="auto"/>
            <w:bottom w:val="none" w:sz="0" w:space="0" w:color="auto"/>
            <w:right w:val="none" w:sz="0" w:space="0" w:color="auto"/>
          </w:divBdr>
        </w:div>
      </w:divsChild>
    </w:div>
    <w:div w:id="1899703007">
      <w:bodyDiv w:val="1"/>
      <w:marLeft w:val="0"/>
      <w:marRight w:val="0"/>
      <w:marTop w:val="0"/>
      <w:marBottom w:val="0"/>
      <w:divBdr>
        <w:top w:val="none" w:sz="0" w:space="0" w:color="auto"/>
        <w:left w:val="none" w:sz="0" w:space="0" w:color="auto"/>
        <w:bottom w:val="none" w:sz="0" w:space="0" w:color="auto"/>
        <w:right w:val="none" w:sz="0" w:space="0" w:color="auto"/>
      </w:divBdr>
      <w:divsChild>
        <w:div w:id="76756749">
          <w:marLeft w:val="720"/>
          <w:marRight w:val="0"/>
          <w:marTop w:val="240"/>
          <w:marBottom w:val="0"/>
          <w:divBdr>
            <w:top w:val="none" w:sz="0" w:space="0" w:color="auto"/>
            <w:left w:val="none" w:sz="0" w:space="0" w:color="auto"/>
            <w:bottom w:val="none" w:sz="0" w:space="0" w:color="auto"/>
            <w:right w:val="none" w:sz="0" w:space="0" w:color="auto"/>
          </w:divBdr>
        </w:div>
        <w:div w:id="2099397489">
          <w:marLeft w:val="720"/>
          <w:marRight w:val="0"/>
          <w:marTop w:val="240"/>
          <w:marBottom w:val="0"/>
          <w:divBdr>
            <w:top w:val="none" w:sz="0" w:space="0" w:color="auto"/>
            <w:left w:val="none" w:sz="0" w:space="0" w:color="auto"/>
            <w:bottom w:val="none" w:sz="0" w:space="0" w:color="auto"/>
            <w:right w:val="none" w:sz="0" w:space="0" w:color="auto"/>
          </w:divBdr>
        </w:div>
        <w:div w:id="235827232">
          <w:marLeft w:val="720"/>
          <w:marRight w:val="0"/>
          <w:marTop w:val="240"/>
          <w:marBottom w:val="0"/>
          <w:divBdr>
            <w:top w:val="none" w:sz="0" w:space="0" w:color="auto"/>
            <w:left w:val="none" w:sz="0" w:space="0" w:color="auto"/>
            <w:bottom w:val="none" w:sz="0" w:space="0" w:color="auto"/>
            <w:right w:val="none" w:sz="0" w:space="0" w:color="auto"/>
          </w:divBdr>
        </w:div>
        <w:div w:id="785386339">
          <w:marLeft w:val="720"/>
          <w:marRight w:val="0"/>
          <w:marTop w:val="240"/>
          <w:marBottom w:val="0"/>
          <w:divBdr>
            <w:top w:val="none" w:sz="0" w:space="0" w:color="auto"/>
            <w:left w:val="none" w:sz="0" w:space="0" w:color="auto"/>
            <w:bottom w:val="none" w:sz="0" w:space="0" w:color="auto"/>
            <w:right w:val="none" w:sz="0" w:space="0" w:color="auto"/>
          </w:divBdr>
        </w:div>
        <w:div w:id="1497067503">
          <w:marLeft w:val="720"/>
          <w:marRight w:val="0"/>
          <w:marTop w:val="240"/>
          <w:marBottom w:val="0"/>
          <w:divBdr>
            <w:top w:val="none" w:sz="0" w:space="0" w:color="auto"/>
            <w:left w:val="none" w:sz="0" w:space="0" w:color="auto"/>
            <w:bottom w:val="none" w:sz="0" w:space="0" w:color="auto"/>
            <w:right w:val="none" w:sz="0" w:space="0" w:color="auto"/>
          </w:divBdr>
        </w:div>
        <w:div w:id="1480489230">
          <w:marLeft w:val="720"/>
          <w:marRight w:val="0"/>
          <w:marTop w:val="240"/>
          <w:marBottom w:val="0"/>
          <w:divBdr>
            <w:top w:val="none" w:sz="0" w:space="0" w:color="auto"/>
            <w:left w:val="none" w:sz="0" w:space="0" w:color="auto"/>
            <w:bottom w:val="none" w:sz="0" w:space="0" w:color="auto"/>
            <w:right w:val="none" w:sz="0" w:space="0" w:color="auto"/>
          </w:divBdr>
        </w:div>
        <w:div w:id="461465770">
          <w:marLeft w:val="720"/>
          <w:marRight w:val="0"/>
          <w:marTop w:val="240"/>
          <w:marBottom w:val="0"/>
          <w:divBdr>
            <w:top w:val="none" w:sz="0" w:space="0" w:color="auto"/>
            <w:left w:val="none" w:sz="0" w:space="0" w:color="auto"/>
            <w:bottom w:val="none" w:sz="0" w:space="0" w:color="auto"/>
            <w:right w:val="none" w:sz="0" w:space="0" w:color="auto"/>
          </w:divBdr>
        </w:div>
      </w:divsChild>
    </w:div>
    <w:div w:id="19500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md/meetingdoc.asp?lang=en&amp;parent=S18-PP-C-014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S18-PP-C-01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7-CL-C-0140/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S18-PP-C-0155" TargetMode="External"/><Relationship Id="rId5" Type="http://schemas.openxmlformats.org/officeDocument/2006/relationships/webSettings" Target="webSettings.xml"/><Relationship Id="rId15" Type="http://schemas.openxmlformats.org/officeDocument/2006/relationships/hyperlink" Target="https://www.itu.int/md/S18-CL-C-0058/en" TargetMode="External"/><Relationship Id="rId10" Type="http://schemas.openxmlformats.org/officeDocument/2006/relationships/hyperlink" Target="https://www.itu.int/web/pp-18/en/page/192-Documents%C2%A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inhard.scholl@itu.int" TargetMode="External"/><Relationship Id="rId14" Type="http://schemas.openxmlformats.org/officeDocument/2006/relationships/hyperlink" Target="https://www.itu.int/web/pp-18/en/page/192-Documents%C2%A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C2C8C-C314-405D-9BDA-9FD22134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31</Pages>
  <Words>12097</Words>
  <Characters>72582</Characters>
  <Application>Microsoft Office Word</Application>
  <DocSecurity>4</DocSecurity>
  <Lines>4269</Lines>
  <Paragraphs>2919</Paragraphs>
  <ScaleCrop>false</ScaleCrop>
  <HeadingPairs>
    <vt:vector size="2" baseType="variant">
      <vt:variant>
        <vt:lpstr>Title</vt:lpstr>
      </vt:variant>
      <vt:variant>
        <vt:i4>1</vt:i4>
      </vt:variant>
    </vt:vector>
  </HeadingPairs>
  <TitlesOfParts>
    <vt:vector size="1" baseType="lpstr">
      <vt:lpstr>Highlights of ITU Plenipotentiary Conference 2018 of interest to ITU-T</vt:lpstr>
    </vt:vector>
  </TitlesOfParts>
  <Manager>ITU-T</Manager>
  <Company>International Telecommunication Union (ITU)</Company>
  <LinksUpToDate>false</LinksUpToDate>
  <CharactersWithSpaces>81760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Highlights of ITU Plenipotentiary Conference 2018 of interest to ITU-T</dc:title>
  <dc:subject/>
  <dc:creator>Director, Telecommunication Standardization Bureau</dc:creator>
  <cp:keywords/>
  <dc:description>TSAG-TD300  For: Geneva, 10-14 December 2018_x000d_Document date: _x000d_Saved by ITU51011769 at 15:20:51 on 23/11/2018</dc:description>
  <cp:lastModifiedBy>Al-Mnini, Lara</cp:lastModifiedBy>
  <cp:revision>2</cp:revision>
  <cp:lastPrinted>2018-11-19T13:44:00Z</cp:lastPrinted>
  <dcterms:created xsi:type="dcterms:W3CDTF">2018-11-23T14:33:00Z</dcterms:created>
  <dcterms:modified xsi:type="dcterms:W3CDTF">2018-11-23T14:33:00Z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TSAG-TD300</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Director, Telecommunication Standardization Bureau</vt:lpwstr>
  </property>
</Properties>
</file>