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17"/>
        <w:gridCol w:w="9"/>
        <w:gridCol w:w="3626"/>
        <w:gridCol w:w="4682"/>
      </w:tblGrid>
      <w:tr w:rsidR="007039F7" w:rsidRPr="00B6695D" w:rsidTr="001D49A3">
        <w:trPr>
          <w:cantSplit/>
          <w:jc w:val="center"/>
        </w:trPr>
        <w:tc>
          <w:tcPr>
            <w:tcW w:w="1189" w:type="dxa"/>
            <w:vMerge w:val="restart"/>
          </w:tcPr>
          <w:p w:rsidR="007039F7" w:rsidRPr="00B6695D" w:rsidRDefault="007039F7" w:rsidP="001D49A3">
            <w:pPr>
              <w:rPr>
                <w:sz w:val="20"/>
                <w:lang w:eastAsia="ja-JP"/>
              </w:rPr>
            </w:pPr>
            <w:r w:rsidRPr="00B6695D">
              <w:rPr>
                <w:noProof/>
                <w:sz w:val="20"/>
                <w:lang w:eastAsia="zh-CN"/>
              </w:rPr>
              <w:drawing>
                <wp:inline distT="0" distB="0" distL="0" distR="0" wp14:anchorId="4C28B1F7" wp14:editId="5040355C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:rsidR="007039F7" w:rsidRPr="00B6695D" w:rsidRDefault="007039F7" w:rsidP="001D49A3">
            <w:pPr>
              <w:spacing w:after="120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B6695D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INTERNATIONAL TELECOMMUNICATION UNION</w:t>
            </w:r>
          </w:p>
          <w:p w:rsidR="007039F7" w:rsidRPr="00B6695D" w:rsidRDefault="007039F7" w:rsidP="001D49A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</w:pPr>
            <w:r w:rsidRPr="00B6695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B6695D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7039F7" w:rsidRPr="00B6695D" w:rsidRDefault="007039F7" w:rsidP="001D49A3">
            <w:pPr>
              <w:rPr>
                <w:rFonts w:asciiTheme="majorBidi" w:hAnsiTheme="majorBidi" w:cstheme="majorBidi"/>
                <w:sz w:val="20"/>
                <w:lang w:eastAsia="ja-JP"/>
              </w:rPr>
            </w:pPr>
            <w:r w:rsidRPr="00B6695D">
              <w:rPr>
                <w:rFonts w:asciiTheme="majorBidi" w:hAnsiTheme="majorBidi" w:cstheme="majorBidi"/>
                <w:sz w:val="20"/>
                <w:lang w:eastAsia="ja-JP"/>
              </w:rPr>
              <w:t xml:space="preserve">STUDY PERIOD </w:t>
            </w:r>
            <w:bookmarkStart w:id="0" w:name="dstudyperiod"/>
            <w:r w:rsidRPr="00B6695D">
              <w:rPr>
                <w:rFonts w:asciiTheme="majorBidi" w:hAnsiTheme="majorBidi" w:cstheme="majorBidi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2" w:type="dxa"/>
            <w:vAlign w:val="center"/>
          </w:tcPr>
          <w:p w:rsidR="007039F7" w:rsidRPr="008C119A" w:rsidRDefault="007039F7" w:rsidP="00203D09">
            <w:pPr>
              <w:jc w:val="right"/>
              <w:rPr>
                <w:rFonts w:asciiTheme="majorBidi" w:hAnsiTheme="majorBidi" w:cstheme="majorBidi"/>
                <w:b/>
                <w:sz w:val="32"/>
                <w:szCs w:val="32"/>
                <w:lang w:eastAsia="ja-JP"/>
              </w:rPr>
            </w:pPr>
            <w:r w:rsidRPr="008C119A">
              <w:rPr>
                <w:b/>
                <w:sz w:val="32"/>
                <w:szCs w:val="32"/>
                <w:lang w:eastAsia="ja-JP"/>
              </w:rPr>
              <w:t>T</w:t>
            </w:r>
            <w:r w:rsidR="008C119A">
              <w:rPr>
                <w:b/>
                <w:sz w:val="32"/>
                <w:szCs w:val="32"/>
                <w:lang w:eastAsia="ja-JP"/>
              </w:rPr>
              <w:t>SAG-T</w:t>
            </w:r>
            <w:r w:rsidRPr="008C119A">
              <w:rPr>
                <w:b/>
                <w:sz w:val="32"/>
                <w:szCs w:val="32"/>
                <w:lang w:eastAsia="ja-JP"/>
              </w:rPr>
              <w:t>D</w:t>
            </w:r>
            <w:r w:rsidR="008C119A">
              <w:rPr>
                <w:b/>
                <w:sz w:val="32"/>
                <w:szCs w:val="32"/>
                <w:lang w:eastAsia="ja-JP"/>
              </w:rPr>
              <w:t>299</w:t>
            </w:r>
          </w:p>
        </w:tc>
      </w:tr>
      <w:tr w:rsidR="007039F7" w:rsidRPr="00B6695D" w:rsidTr="001D49A3">
        <w:trPr>
          <w:cantSplit/>
          <w:jc w:val="center"/>
        </w:trPr>
        <w:tc>
          <w:tcPr>
            <w:tcW w:w="1189" w:type="dxa"/>
            <w:vMerge/>
          </w:tcPr>
          <w:p w:rsidR="007039F7" w:rsidRPr="00B6695D" w:rsidRDefault="007039F7" w:rsidP="001D49A3">
            <w:pPr>
              <w:rPr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</w:tcPr>
          <w:p w:rsidR="007039F7" w:rsidRPr="00B6695D" w:rsidRDefault="007039F7" w:rsidP="001D49A3">
            <w:pPr>
              <w:rPr>
                <w:rFonts w:asciiTheme="majorBidi" w:hAnsiTheme="majorBidi" w:cstheme="majorBidi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</w:tcPr>
          <w:p w:rsidR="007039F7" w:rsidRPr="00B6695D" w:rsidRDefault="007039F7" w:rsidP="001D49A3">
            <w:pPr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</w:pPr>
            <w:r w:rsidRPr="00B6695D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039F7" w:rsidRPr="00B6695D" w:rsidTr="001D49A3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auto"/>
            </w:tcBorders>
          </w:tcPr>
          <w:p w:rsidR="007039F7" w:rsidRPr="00B6695D" w:rsidRDefault="007039F7" w:rsidP="001D49A3">
            <w:pPr>
              <w:rPr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:rsidR="007039F7" w:rsidRPr="00B6695D" w:rsidRDefault="007039F7" w:rsidP="001D49A3">
            <w:pPr>
              <w:rPr>
                <w:rFonts w:asciiTheme="majorBidi" w:hAnsiTheme="majorBidi" w:cstheme="majorBidi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tcBorders>
              <w:bottom w:val="single" w:sz="12" w:space="0" w:color="auto"/>
            </w:tcBorders>
            <w:vAlign w:val="center"/>
          </w:tcPr>
          <w:p w:rsidR="007039F7" w:rsidRPr="00B6695D" w:rsidRDefault="007039F7" w:rsidP="001D49A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</w:pPr>
            <w:r w:rsidRPr="00B6695D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039F7" w:rsidRPr="008C119A" w:rsidTr="001D49A3">
        <w:trPr>
          <w:cantSplit/>
          <w:jc w:val="center"/>
        </w:trPr>
        <w:tc>
          <w:tcPr>
            <w:tcW w:w="1615" w:type="dxa"/>
            <w:gridSpan w:val="3"/>
          </w:tcPr>
          <w:p w:rsidR="007039F7" w:rsidRPr="008C119A" w:rsidRDefault="007039F7" w:rsidP="001D49A3">
            <w:pPr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6" w:type="dxa"/>
          </w:tcPr>
          <w:p w:rsidR="007039F7" w:rsidRPr="008C119A" w:rsidRDefault="007039F7" w:rsidP="001D49A3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8C119A">
              <w:rPr>
                <w:rFonts w:asciiTheme="majorBidi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2" w:type="dxa"/>
          </w:tcPr>
          <w:p w:rsidR="007039F7" w:rsidRPr="008C119A" w:rsidRDefault="00383EE8" w:rsidP="001D49A3">
            <w:pPr>
              <w:wordWrap w:val="0"/>
              <w:jc w:val="right"/>
              <w:rPr>
                <w:rFonts w:asciiTheme="majorBidi" w:hAnsiTheme="majorBidi" w:cstheme="majorBidi"/>
                <w:szCs w:val="24"/>
                <w:lang w:eastAsia="ja-JP"/>
              </w:rPr>
            </w:pPr>
            <w:r>
              <w:rPr>
                <w:rFonts w:asciiTheme="majorBidi" w:hAnsiTheme="majorBidi" w:cstheme="majorBidi"/>
                <w:szCs w:val="24"/>
                <w:lang w:eastAsia="ja-JP"/>
              </w:rPr>
              <w:t xml:space="preserve">Geneva, </w:t>
            </w:r>
            <w:r w:rsidR="00837A7F" w:rsidRPr="008C119A">
              <w:rPr>
                <w:rFonts w:asciiTheme="majorBidi" w:hAnsiTheme="majorBidi" w:cstheme="majorBidi"/>
                <w:szCs w:val="24"/>
                <w:lang w:eastAsia="ja-JP"/>
              </w:rPr>
              <w:t xml:space="preserve">10-14 December </w:t>
            </w:r>
            <w:r w:rsidR="007039F7" w:rsidRPr="008C119A">
              <w:rPr>
                <w:rFonts w:asciiTheme="majorBidi" w:hAnsiTheme="majorBidi" w:cstheme="majorBidi"/>
                <w:szCs w:val="24"/>
                <w:lang w:eastAsia="ja-JP"/>
              </w:rPr>
              <w:t>2018</w:t>
            </w:r>
          </w:p>
        </w:tc>
      </w:tr>
      <w:tr w:rsidR="007039F7" w:rsidRPr="008C119A" w:rsidTr="001D49A3">
        <w:trPr>
          <w:cantSplit/>
          <w:jc w:val="center"/>
        </w:trPr>
        <w:tc>
          <w:tcPr>
            <w:tcW w:w="9923" w:type="dxa"/>
            <w:gridSpan w:val="5"/>
          </w:tcPr>
          <w:p w:rsidR="007039F7" w:rsidRPr="008C119A" w:rsidRDefault="007039F7" w:rsidP="001D49A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7039F7" w:rsidRPr="008C119A" w:rsidTr="001D49A3">
        <w:trPr>
          <w:cantSplit/>
          <w:jc w:val="center"/>
        </w:trPr>
        <w:tc>
          <w:tcPr>
            <w:tcW w:w="1615" w:type="dxa"/>
            <w:gridSpan w:val="3"/>
          </w:tcPr>
          <w:p w:rsidR="007039F7" w:rsidRPr="008C119A" w:rsidRDefault="007039F7" w:rsidP="001D49A3">
            <w:pPr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8" w:type="dxa"/>
            <w:gridSpan w:val="2"/>
          </w:tcPr>
          <w:p w:rsidR="007039F7" w:rsidRPr="008C119A" w:rsidRDefault="001224A7" w:rsidP="001D49A3">
            <w:pPr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>Chairman, FG DFC</w:t>
            </w:r>
          </w:p>
        </w:tc>
      </w:tr>
      <w:tr w:rsidR="007039F7" w:rsidRPr="008C119A" w:rsidTr="001D49A3">
        <w:trPr>
          <w:cantSplit/>
          <w:jc w:val="center"/>
        </w:trPr>
        <w:tc>
          <w:tcPr>
            <w:tcW w:w="1615" w:type="dxa"/>
            <w:gridSpan w:val="3"/>
          </w:tcPr>
          <w:p w:rsidR="007039F7" w:rsidRPr="008C119A" w:rsidRDefault="007039F7" w:rsidP="001D49A3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8" w:type="dxa"/>
            <w:gridSpan w:val="2"/>
          </w:tcPr>
          <w:p w:rsidR="007039F7" w:rsidRPr="008C119A" w:rsidRDefault="001224A7" w:rsidP="00DD662A">
            <w:pPr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>FG-DFC progress report</w:t>
            </w:r>
            <w:r w:rsidR="00DD662A" w:rsidRPr="008C119A">
              <w:rPr>
                <w:rFonts w:asciiTheme="majorBidi" w:hAnsiTheme="majorBidi" w:cstheme="majorBidi"/>
                <w:szCs w:val="24"/>
              </w:rPr>
              <w:t xml:space="preserve"> and extension of Focus Group lifetime</w:t>
            </w:r>
          </w:p>
        </w:tc>
      </w:tr>
      <w:tr w:rsidR="007039F7" w:rsidRPr="008C119A" w:rsidTr="001D49A3">
        <w:trPr>
          <w:cantSplit/>
          <w:jc w:val="center"/>
        </w:trPr>
        <w:tc>
          <w:tcPr>
            <w:tcW w:w="1615" w:type="dxa"/>
            <w:gridSpan w:val="3"/>
            <w:tcBorders>
              <w:bottom w:val="single" w:sz="8" w:space="0" w:color="auto"/>
            </w:tcBorders>
          </w:tcPr>
          <w:p w:rsidR="007039F7" w:rsidRPr="008C119A" w:rsidRDefault="007039F7" w:rsidP="001D49A3">
            <w:pPr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8" w:type="dxa"/>
            <w:gridSpan w:val="2"/>
            <w:tcBorders>
              <w:bottom w:val="single" w:sz="8" w:space="0" w:color="auto"/>
            </w:tcBorders>
          </w:tcPr>
          <w:p w:rsidR="007039F7" w:rsidRPr="008C119A" w:rsidRDefault="004C511E" w:rsidP="001D49A3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  <w:r>
              <w:rPr>
                <w:rFonts w:asciiTheme="majorBidi" w:hAnsiTheme="majorBidi" w:cstheme="majorBidi"/>
                <w:szCs w:val="24"/>
                <w:lang w:eastAsia="ja-JP"/>
              </w:rPr>
              <w:t>Action</w:t>
            </w:r>
            <w:bookmarkStart w:id="3" w:name="_GoBack"/>
            <w:bookmarkEnd w:id="3"/>
          </w:p>
        </w:tc>
      </w:tr>
      <w:bookmarkEnd w:id="2"/>
      <w:tr w:rsidR="007039F7" w:rsidRPr="008C119A" w:rsidTr="001D49A3">
        <w:trPr>
          <w:cantSplit/>
          <w:jc w:val="center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39F7" w:rsidRPr="008C119A" w:rsidRDefault="007039F7" w:rsidP="00C21756">
            <w:pPr>
              <w:spacing w:after="60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039F7" w:rsidRPr="008C119A" w:rsidRDefault="001224A7" w:rsidP="00C21756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>Davi</w:t>
            </w:r>
            <w:r w:rsidR="002F128F" w:rsidRPr="008C119A">
              <w:rPr>
                <w:rFonts w:asciiTheme="majorBidi" w:hAnsiTheme="majorBidi" w:cstheme="majorBidi"/>
                <w:szCs w:val="24"/>
              </w:rPr>
              <w:t>d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Wen</w:t>
            </w:r>
            <w:r w:rsidR="007039F7" w:rsidRPr="008C119A">
              <w:rPr>
                <w:rFonts w:asciiTheme="majorBidi" w:hAnsiTheme="majorBidi" w:cstheme="majorBidi"/>
                <w:szCs w:val="24"/>
              </w:rPr>
              <w:br/>
            </w:r>
            <w:r w:rsidRPr="008C119A">
              <w:rPr>
                <w:rFonts w:asciiTheme="majorBidi" w:hAnsiTheme="majorBidi" w:cstheme="majorBidi"/>
                <w:szCs w:val="24"/>
              </w:rPr>
              <w:t>Chairman, FG DFC</w:t>
            </w:r>
          </w:p>
        </w:tc>
        <w:tc>
          <w:tcPr>
            <w:tcW w:w="4682" w:type="dxa"/>
            <w:tcBorders>
              <w:top w:val="single" w:sz="8" w:space="0" w:color="auto"/>
              <w:bottom w:val="single" w:sz="8" w:space="0" w:color="auto"/>
            </w:tcBorders>
          </w:tcPr>
          <w:p w:rsidR="007039F7" w:rsidRPr="008C119A" w:rsidRDefault="007039F7" w:rsidP="00C21756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>Tel:</w:t>
            </w:r>
            <w:r w:rsidRPr="008C119A">
              <w:rPr>
                <w:rFonts w:asciiTheme="majorBidi" w:hAnsiTheme="majorBidi" w:cstheme="majorBidi"/>
                <w:szCs w:val="24"/>
              </w:rPr>
              <w:tab/>
            </w:r>
            <w:r w:rsidR="002F128F" w:rsidRPr="008C119A">
              <w:rPr>
                <w:rFonts w:asciiTheme="majorBidi" w:hAnsiTheme="majorBidi" w:cstheme="majorBidi"/>
                <w:szCs w:val="24"/>
              </w:rPr>
              <w:t>+1 650 720 5588</w:t>
            </w:r>
            <w:r w:rsidRPr="008C119A">
              <w:rPr>
                <w:rFonts w:asciiTheme="majorBidi" w:hAnsiTheme="majorBidi" w:cstheme="majorBidi"/>
                <w:szCs w:val="24"/>
              </w:rPr>
              <w:br/>
              <w:t xml:space="preserve">E-mail: </w:t>
            </w:r>
            <w:hyperlink r:id="rId8" w:history="1">
              <w:r w:rsidR="002F128F" w:rsidRPr="008C119A">
                <w:rPr>
                  <w:rStyle w:val="Hyperlink"/>
                  <w:rFonts w:asciiTheme="majorBidi" w:hAnsiTheme="majorBidi" w:cstheme="majorBidi"/>
                  <w:szCs w:val="24"/>
                </w:rPr>
                <w:t>david.w@ecurrency.net</w:t>
              </w:r>
            </w:hyperlink>
            <w:r w:rsidR="002F128F" w:rsidRPr="008C119A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</w:tbl>
    <w:p w:rsidR="001224A7" w:rsidRPr="008C119A" w:rsidRDefault="001224A7">
      <w:pPr>
        <w:rPr>
          <w:rFonts w:asciiTheme="majorBidi" w:hAnsiTheme="majorBidi" w:cstheme="majorBidi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1224A7" w:rsidRPr="008C119A" w:rsidTr="001D49A3">
        <w:trPr>
          <w:cantSplit/>
          <w:jc w:val="center"/>
        </w:trPr>
        <w:tc>
          <w:tcPr>
            <w:tcW w:w="1615" w:type="dxa"/>
          </w:tcPr>
          <w:p w:rsidR="001224A7" w:rsidRPr="008C119A" w:rsidRDefault="001224A7" w:rsidP="00FF4914">
            <w:pPr>
              <w:spacing w:after="60"/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</w:rPr>
              <w:t>Keywords:</w:t>
            </w:r>
          </w:p>
        </w:tc>
        <w:tc>
          <w:tcPr>
            <w:tcW w:w="8308" w:type="dxa"/>
          </w:tcPr>
          <w:p w:rsidR="001224A7" w:rsidRPr="008C119A" w:rsidRDefault="002F128F" w:rsidP="00FF4914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>Digital Currency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Digital Fiat Currency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Financial Inclusion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Digital Financial Services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Security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  <w:r w:rsidRPr="008C119A">
              <w:rPr>
                <w:rFonts w:asciiTheme="majorBidi" w:hAnsiTheme="majorBidi" w:cstheme="majorBidi"/>
                <w:szCs w:val="24"/>
              </w:rPr>
              <w:t xml:space="preserve"> Interoperability</w:t>
            </w:r>
            <w:r w:rsidR="008C119A" w:rsidRPr="008C119A">
              <w:rPr>
                <w:rFonts w:asciiTheme="majorBidi" w:hAnsiTheme="majorBidi" w:cstheme="majorBidi"/>
                <w:szCs w:val="24"/>
              </w:rPr>
              <w:t>;</w:t>
            </w:r>
          </w:p>
        </w:tc>
      </w:tr>
      <w:tr w:rsidR="001224A7" w:rsidRPr="008C119A" w:rsidTr="001D49A3">
        <w:trPr>
          <w:cantSplit/>
          <w:jc w:val="center"/>
        </w:trPr>
        <w:tc>
          <w:tcPr>
            <w:tcW w:w="1615" w:type="dxa"/>
          </w:tcPr>
          <w:p w:rsidR="001224A7" w:rsidRPr="008C119A" w:rsidRDefault="001224A7" w:rsidP="00FF4914">
            <w:pPr>
              <w:spacing w:after="60"/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</w:pPr>
            <w:r w:rsidRPr="008C119A">
              <w:rPr>
                <w:rFonts w:asciiTheme="majorBidi" w:hAnsiTheme="majorBidi" w:cstheme="majorBidi"/>
                <w:b/>
                <w:bCs/>
                <w:szCs w:val="24"/>
              </w:rPr>
              <w:t>Abstract:</w:t>
            </w:r>
          </w:p>
        </w:tc>
        <w:tc>
          <w:tcPr>
            <w:tcW w:w="8308" w:type="dxa"/>
          </w:tcPr>
          <w:p w:rsidR="001224A7" w:rsidRPr="008C119A" w:rsidRDefault="002F128F" w:rsidP="00FF4914">
            <w:pPr>
              <w:spacing w:after="60"/>
              <w:ind w:leftChars="14" w:left="34"/>
              <w:rPr>
                <w:rFonts w:asciiTheme="majorBidi" w:hAnsiTheme="majorBidi" w:cstheme="majorBidi"/>
                <w:szCs w:val="24"/>
              </w:rPr>
            </w:pPr>
            <w:r w:rsidRPr="008C119A">
              <w:rPr>
                <w:rFonts w:asciiTheme="majorBidi" w:hAnsiTheme="majorBidi" w:cstheme="majorBidi"/>
                <w:szCs w:val="24"/>
              </w:rPr>
              <w:t xml:space="preserve">The activities of the ITU-T Focus Group Digital Currency including Digital Fiat Currency (FG DFC), since the last TSAG meeting, </w:t>
            </w:r>
            <w:proofErr w:type="gramStart"/>
            <w:r w:rsidRPr="008C119A">
              <w:rPr>
                <w:rFonts w:asciiTheme="majorBidi" w:hAnsiTheme="majorBidi" w:cstheme="majorBidi"/>
                <w:szCs w:val="24"/>
              </w:rPr>
              <w:t>are presented</w:t>
            </w:r>
            <w:proofErr w:type="gramEnd"/>
            <w:r w:rsidRPr="008C119A">
              <w:rPr>
                <w:rFonts w:asciiTheme="majorBidi" w:hAnsiTheme="majorBidi" w:cstheme="majorBidi"/>
                <w:szCs w:val="24"/>
              </w:rPr>
              <w:t xml:space="preserve"> in this document. </w:t>
            </w:r>
          </w:p>
        </w:tc>
      </w:tr>
    </w:tbl>
    <w:p w:rsidR="007039F7" w:rsidRPr="008C119A" w:rsidRDefault="007039F7" w:rsidP="00B1718F">
      <w:pPr>
        <w:tabs>
          <w:tab w:val="clear" w:pos="794"/>
          <w:tab w:val="clear" w:pos="1191"/>
          <w:tab w:val="clear" w:pos="1588"/>
          <w:tab w:val="clear" w:pos="1985"/>
          <w:tab w:val="left" w:pos="2358"/>
        </w:tabs>
        <w:rPr>
          <w:rFonts w:asciiTheme="majorBidi" w:hAnsiTheme="majorBidi" w:cstheme="majorBidi"/>
          <w:b/>
          <w:bCs/>
          <w:szCs w:val="24"/>
        </w:rPr>
      </w:pPr>
    </w:p>
    <w:p w:rsidR="00B1718F" w:rsidRPr="008C119A" w:rsidRDefault="00B1718F" w:rsidP="00B1718F">
      <w:pPr>
        <w:tabs>
          <w:tab w:val="clear" w:pos="794"/>
          <w:tab w:val="clear" w:pos="1191"/>
          <w:tab w:val="clear" w:pos="1588"/>
          <w:tab w:val="clear" w:pos="1985"/>
          <w:tab w:val="left" w:pos="2358"/>
        </w:tabs>
        <w:rPr>
          <w:rFonts w:asciiTheme="majorBidi" w:hAnsiTheme="majorBidi" w:cstheme="majorBidi"/>
          <w:b/>
          <w:bCs/>
          <w:szCs w:val="24"/>
        </w:rPr>
      </w:pPr>
      <w:r w:rsidRPr="008C119A">
        <w:rPr>
          <w:rFonts w:asciiTheme="majorBidi" w:hAnsiTheme="majorBidi" w:cstheme="majorBidi"/>
          <w:b/>
          <w:bCs/>
          <w:szCs w:val="24"/>
        </w:rPr>
        <w:t>Summary</w:t>
      </w:r>
      <w:r w:rsidRPr="008C119A">
        <w:rPr>
          <w:rFonts w:asciiTheme="majorBidi" w:hAnsiTheme="majorBidi" w:cstheme="majorBidi"/>
          <w:b/>
          <w:bCs/>
          <w:szCs w:val="24"/>
        </w:rPr>
        <w:tab/>
      </w:r>
    </w:p>
    <w:p w:rsidR="00B1718F" w:rsidRPr="008C119A" w:rsidRDefault="00B1718F" w:rsidP="00B1718F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This is the progress report of the activities of the ITU-T Focus Group Digital Currency including Digital Fiat Currency (FG DFC). </w:t>
      </w:r>
    </w:p>
    <w:p w:rsidR="00B1718F" w:rsidRPr="008C119A" w:rsidRDefault="00B1718F" w:rsidP="00B1718F">
      <w:pPr>
        <w:rPr>
          <w:rFonts w:asciiTheme="majorBidi" w:hAnsiTheme="majorBidi" w:cstheme="majorBidi"/>
          <w:b/>
          <w:bCs/>
          <w:szCs w:val="24"/>
        </w:rPr>
      </w:pPr>
      <w:r w:rsidRPr="008C119A">
        <w:rPr>
          <w:rFonts w:asciiTheme="majorBidi" w:hAnsiTheme="majorBidi" w:cstheme="majorBidi"/>
          <w:b/>
          <w:bCs/>
          <w:szCs w:val="24"/>
        </w:rPr>
        <w:t>Action required:</w:t>
      </w:r>
    </w:p>
    <w:p w:rsidR="00B1718F" w:rsidRPr="008C119A" w:rsidRDefault="00AB63BA" w:rsidP="00AB63BA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TSAG </w:t>
      </w:r>
      <w:proofErr w:type="gramStart"/>
      <w:r w:rsidRPr="008C119A">
        <w:rPr>
          <w:rFonts w:asciiTheme="majorBidi" w:hAnsiTheme="majorBidi" w:cstheme="majorBidi"/>
          <w:szCs w:val="24"/>
        </w:rPr>
        <w:t>is invited</w:t>
      </w:r>
      <w:proofErr w:type="gramEnd"/>
      <w:r w:rsidRPr="008C119A">
        <w:rPr>
          <w:rFonts w:asciiTheme="majorBidi" w:hAnsiTheme="majorBidi" w:cstheme="majorBidi"/>
          <w:szCs w:val="24"/>
        </w:rPr>
        <w:t xml:space="preserve"> to consider an extension of the Focus Group lifetime from April 2019 to </w:t>
      </w:r>
      <w:r w:rsidR="00DD662A" w:rsidRPr="008C119A">
        <w:rPr>
          <w:rFonts w:asciiTheme="majorBidi" w:hAnsiTheme="majorBidi" w:cstheme="majorBidi"/>
          <w:szCs w:val="24"/>
        </w:rPr>
        <w:t xml:space="preserve">end of </w:t>
      </w:r>
      <w:r w:rsidRPr="008C119A">
        <w:rPr>
          <w:rFonts w:asciiTheme="majorBidi" w:hAnsiTheme="majorBidi" w:cstheme="majorBidi"/>
          <w:szCs w:val="24"/>
        </w:rPr>
        <w:t>September 2019</w:t>
      </w:r>
    </w:p>
    <w:p w:rsidR="00B1718F" w:rsidRPr="008C119A" w:rsidRDefault="00B1718F" w:rsidP="00B1718F">
      <w:pPr>
        <w:pStyle w:val="Heading1"/>
        <w:rPr>
          <w:rFonts w:asciiTheme="majorBidi" w:eastAsia="MS Mincho" w:hAnsiTheme="majorBidi" w:cstheme="majorBidi"/>
          <w:szCs w:val="24"/>
        </w:rPr>
      </w:pPr>
      <w:r w:rsidRPr="008C119A">
        <w:rPr>
          <w:rFonts w:asciiTheme="majorBidi" w:eastAsia="MS Mincho" w:hAnsiTheme="majorBidi" w:cstheme="majorBidi"/>
          <w:szCs w:val="24"/>
        </w:rPr>
        <w:t>Introduction</w:t>
      </w:r>
    </w:p>
    <w:p w:rsidR="00B1718F" w:rsidRPr="008C119A" w:rsidRDefault="00B1718F" w:rsidP="00B1718F">
      <w:pPr>
        <w:jc w:val="both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The </w:t>
      </w:r>
      <w:hyperlink r:id="rId9" w:history="1">
        <w:r w:rsidRPr="008C119A">
          <w:rPr>
            <w:rStyle w:val="Hyperlink"/>
            <w:rFonts w:asciiTheme="majorBidi" w:hAnsiTheme="majorBidi" w:cstheme="majorBidi"/>
            <w:szCs w:val="24"/>
          </w:rPr>
          <w:t>Focus Group Digital Currency including Digital Fiat Currency</w:t>
        </w:r>
      </w:hyperlink>
      <w:r w:rsidRPr="008C119A">
        <w:rPr>
          <w:rFonts w:asciiTheme="majorBidi" w:hAnsiTheme="majorBidi" w:cstheme="majorBidi"/>
          <w:szCs w:val="24"/>
        </w:rPr>
        <w:t xml:space="preserve"> (FG DFC) </w:t>
      </w:r>
      <w:proofErr w:type="gramStart"/>
      <w:r w:rsidRPr="008C119A">
        <w:rPr>
          <w:rFonts w:asciiTheme="majorBidi" w:hAnsiTheme="majorBidi" w:cstheme="majorBidi"/>
          <w:szCs w:val="24"/>
        </w:rPr>
        <w:t>was established</w:t>
      </w:r>
      <w:proofErr w:type="gramEnd"/>
      <w:r w:rsidRPr="008C119A">
        <w:rPr>
          <w:rFonts w:asciiTheme="majorBidi" w:hAnsiTheme="majorBidi" w:cstheme="majorBidi"/>
          <w:szCs w:val="24"/>
        </w:rPr>
        <w:t xml:space="preserve"> by TSAG at its meeting of May 2017. The Focus Group has a duration of two years. </w:t>
      </w:r>
      <w:r w:rsidR="00DD662A" w:rsidRPr="008C119A">
        <w:rPr>
          <w:rFonts w:asciiTheme="majorBidi" w:hAnsiTheme="majorBidi" w:cstheme="majorBidi"/>
          <w:szCs w:val="24"/>
        </w:rPr>
        <w:t xml:space="preserve">The Focus Group held its first meeting in October 2017. </w:t>
      </w:r>
    </w:p>
    <w:p w:rsidR="00B1718F" w:rsidRPr="008C119A" w:rsidRDefault="00B1718F" w:rsidP="00B171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Theme="majorBidi" w:eastAsia="Times New Roman" w:hAnsiTheme="majorBidi" w:cstheme="majorBidi"/>
          <w:color w:val="444444"/>
          <w:szCs w:val="24"/>
          <w:shd w:val="clear" w:color="auto" w:fill="FFFFFF"/>
          <w:lang w:val="en-US" w:eastAsia="zh-CN"/>
        </w:rPr>
      </w:pPr>
    </w:p>
    <w:p w:rsidR="00B1718F" w:rsidRPr="008C119A" w:rsidRDefault="00B1718F" w:rsidP="00B171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shd w:val="clear" w:color="auto" w:fill="FFFFFF"/>
          <w:lang w:val="en-US" w:eastAsia="zh-CN"/>
        </w:rPr>
        <w:t>The main objectives of the Focus Group are: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Study the economic benefit and impact of introducing DFC over mobile money;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Investigate the ecosystem of digital fiat currency implementation for financial inclusion;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Map the functional network reference architecture and process components required to implement digital fiat currency and integration with existing payment systems for interoperability;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Identify use cases, requirements and applications of digital fiat currency;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Develop better understanding of the security, regulatory implications, consumer protection, fraud prevention and counterfeiting issues of DFS and how can digital fiat currency can address these concerns;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lastRenderedPageBreak/>
        <w:t>Identify critical sovereign security, transparency and verifiability of DFC technology and provide guidelines towards the escrow of critical software and hardware components to ensure trust and verifiability; and</w:t>
      </w:r>
    </w:p>
    <w:p w:rsidR="00B1718F" w:rsidRPr="008C119A" w:rsidRDefault="00B1718F" w:rsidP="00B1718F">
      <w:pPr>
        <w:pStyle w:val="ListParagraph"/>
        <w:numPr>
          <w:ilvl w:val="0"/>
          <w:numId w:val="6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714" w:hanging="357"/>
        <w:textAlignment w:val="baseline"/>
        <w:rPr>
          <w:rFonts w:asciiTheme="majorBidi" w:eastAsia="Times New Roman" w:hAnsiTheme="majorBidi" w:cstheme="majorBidi"/>
          <w:szCs w:val="24"/>
          <w:lang w:val="en-US" w:eastAsia="zh-CN"/>
        </w:rPr>
      </w:pPr>
      <w:r w:rsidRPr="008C119A">
        <w:rPr>
          <w:rFonts w:asciiTheme="majorBidi" w:eastAsia="Times New Roman" w:hAnsiTheme="majorBidi" w:cstheme="majorBidi"/>
          <w:szCs w:val="24"/>
          <w:lang w:val="en-US" w:eastAsia="zh-CN"/>
        </w:rPr>
        <w:t>Identify new areas for standardization in ITU-T study groups.</w:t>
      </w:r>
    </w:p>
    <w:p w:rsidR="00B1718F" w:rsidRPr="008C119A" w:rsidRDefault="00B1718F" w:rsidP="00E14D2E">
      <w:pPr>
        <w:pStyle w:val="Heading1"/>
        <w:tabs>
          <w:tab w:val="clear" w:pos="794"/>
          <w:tab w:val="left" w:pos="426"/>
        </w:tabs>
        <w:rPr>
          <w:rFonts w:asciiTheme="majorBidi" w:eastAsia="MS Mincho" w:hAnsiTheme="majorBidi" w:cstheme="majorBidi"/>
          <w:szCs w:val="24"/>
        </w:rPr>
      </w:pPr>
      <w:r w:rsidRPr="008C119A">
        <w:rPr>
          <w:rFonts w:asciiTheme="majorBidi" w:eastAsia="MS Mincho" w:hAnsiTheme="majorBidi" w:cstheme="majorBidi"/>
          <w:szCs w:val="24"/>
        </w:rPr>
        <w:t xml:space="preserve">Meetings </w:t>
      </w:r>
    </w:p>
    <w:p w:rsidR="00B1718F" w:rsidRPr="008C119A" w:rsidRDefault="00B1718F" w:rsidP="00B1718F">
      <w:pPr>
        <w:spacing w:before="0"/>
        <w:ind w:left="-6" w:right="85"/>
        <w:jc w:val="both"/>
        <w:rPr>
          <w:rFonts w:asciiTheme="majorBidi" w:hAnsiTheme="majorBidi" w:cstheme="majorBidi"/>
          <w:szCs w:val="24"/>
        </w:rPr>
      </w:pPr>
    </w:p>
    <w:p w:rsidR="00DD662A" w:rsidRPr="008C119A" w:rsidRDefault="00B1718F" w:rsidP="00DD662A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Since its establishment, the Focus Group has met </w:t>
      </w:r>
      <w:r w:rsidR="00E14D2E" w:rsidRPr="008C119A">
        <w:rPr>
          <w:rFonts w:asciiTheme="majorBidi" w:hAnsiTheme="majorBidi" w:cstheme="majorBidi"/>
          <w:szCs w:val="24"/>
        </w:rPr>
        <w:t>twice</w:t>
      </w:r>
      <w:r w:rsidR="00353520" w:rsidRPr="008C119A">
        <w:rPr>
          <w:rFonts w:asciiTheme="majorBidi" w:hAnsiTheme="majorBidi" w:cstheme="majorBidi"/>
          <w:szCs w:val="24"/>
        </w:rPr>
        <w:t xml:space="preserve"> in-person</w:t>
      </w:r>
      <w:r w:rsidRPr="008C119A">
        <w:rPr>
          <w:rFonts w:asciiTheme="majorBidi" w:hAnsiTheme="majorBidi" w:cstheme="majorBidi"/>
          <w:szCs w:val="24"/>
        </w:rPr>
        <w:t xml:space="preserve"> on 12-13 October 2017 in Beijing, China</w:t>
      </w:r>
      <w:r w:rsidR="00E14D2E" w:rsidRPr="008C119A">
        <w:rPr>
          <w:rFonts w:asciiTheme="majorBidi" w:hAnsiTheme="majorBidi" w:cstheme="majorBidi"/>
          <w:szCs w:val="24"/>
        </w:rPr>
        <w:t xml:space="preserve"> and on 18-20 July 2018 in New York City, USA</w:t>
      </w:r>
      <w:r w:rsidRPr="008C119A">
        <w:rPr>
          <w:rFonts w:asciiTheme="majorBidi" w:hAnsiTheme="majorBidi" w:cstheme="majorBidi"/>
          <w:szCs w:val="24"/>
        </w:rPr>
        <w:t xml:space="preserve">. </w:t>
      </w:r>
      <w:r w:rsidR="00DD662A" w:rsidRPr="008C119A">
        <w:rPr>
          <w:rFonts w:asciiTheme="majorBidi" w:hAnsiTheme="majorBidi" w:cstheme="majorBidi"/>
          <w:szCs w:val="24"/>
        </w:rPr>
        <w:t xml:space="preserve">Since the first FG DFC meeting in Beijing, twelve </w:t>
      </w:r>
      <w:proofErr w:type="spellStart"/>
      <w:r w:rsidR="00DD662A" w:rsidRPr="008C119A">
        <w:rPr>
          <w:rFonts w:asciiTheme="majorBidi" w:hAnsiTheme="majorBidi" w:cstheme="majorBidi"/>
          <w:szCs w:val="24"/>
        </w:rPr>
        <w:t>e-meetings</w:t>
      </w:r>
      <w:proofErr w:type="spellEnd"/>
      <w:r w:rsidR="00DD662A" w:rsidRPr="008C119A">
        <w:rPr>
          <w:rFonts w:asciiTheme="majorBidi" w:hAnsiTheme="majorBidi" w:cstheme="majorBidi"/>
          <w:szCs w:val="24"/>
        </w:rPr>
        <w:t xml:space="preserve"> of the working groups </w:t>
      </w:r>
      <w:proofErr w:type="gramStart"/>
      <w:r w:rsidR="00DD662A" w:rsidRPr="008C119A">
        <w:rPr>
          <w:rFonts w:asciiTheme="majorBidi" w:hAnsiTheme="majorBidi" w:cstheme="majorBidi"/>
          <w:szCs w:val="24"/>
        </w:rPr>
        <w:t>were held</w:t>
      </w:r>
      <w:proofErr w:type="gramEnd"/>
      <w:r w:rsidR="00DD662A" w:rsidRPr="008C119A">
        <w:rPr>
          <w:rFonts w:asciiTheme="majorBidi" w:hAnsiTheme="majorBidi" w:cstheme="majorBidi"/>
          <w:szCs w:val="24"/>
        </w:rPr>
        <w:t xml:space="preserve">. </w:t>
      </w:r>
    </w:p>
    <w:p w:rsidR="00B1718F" w:rsidRPr="008C119A" w:rsidRDefault="00E14D2E" w:rsidP="00E14D2E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Some 98 participants from 29 countries (of which 23 developing countries and Least Developing Countries (LDC)) attended the </w:t>
      </w:r>
      <w:r w:rsidR="00353520" w:rsidRPr="008C119A">
        <w:rPr>
          <w:rFonts w:asciiTheme="majorBidi" w:hAnsiTheme="majorBidi" w:cstheme="majorBidi"/>
          <w:szCs w:val="24"/>
        </w:rPr>
        <w:t xml:space="preserve">second in-person </w:t>
      </w:r>
      <w:r w:rsidRPr="008C119A">
        <w:rPr>
          <w:rFonts w:asciiTheme="majorBidi" w:hAnsiTheme="majorBidi" w:cstheme="majorBidi"/>
          <w:szCs w:val="24"/>
        </w:rPr>
        <w:t xml:space="preserve">FG DFC meeting in July 2018. </w:t>
      </w:r>
      <w:r w:rsidR="00B1718F" w:rsidRPr="008C119A">
        <w:rPr>
          <w:rFonts w:asciiTheme="majorBidi" w:hAnsiTheme="majorBidi" w:cstheme="majorBidi"/>
          <w:szCs w:val="24"/>
        </w:rPr>
        <w:t xml:space="preserve">A workshop on Standards for Digital Fiat Currency </w:t>
      </w:r>
      <w:proofErr w:type="gramStart"/>
      <w:r w:rsidR="00B1718F" w:rsidRPr="008C119A">
        <w:rPr>
          <w:rFonts w:asciiTheme="majorBidi" w:hAnsiTheme="majorBidi" w:cstheme="majorBidi"/>
          <w:szCs w:val="24"/>
        </w:rPr>
        <w:t>was held</w:t>
      </w:r>
      <w:proofErr w:type="gramEnd"/>
      <w:r w:rsidR="00B1718F" w:rsidRPr="008C119A">
        <w:rPr>
          <w:rFonts w:asciiTheme="majorBidi" w:hAnsiTheme="majorBidi" w:cstheme="majorBidi"/>
          <w:szCs w:val="24"/>
        </w:rPr>
        <w:t xml:space="preserve"> on </w:t>
      </w:r>
      <w:r w:rsidRPr="008C119A">
        <w:rPr>
          <w:rFonts w:asciiTheme="majorBidi" w:hAnsiTheme="majorBidi" w:cstheme="majorBidi"/>
          <w:szCs w:val="24"/>
        </w:rPr>
        <w:t>18</w:t>
      </w:r>
      <w:r w:rsidRPr="008C119A">
        <w:rPr>
          <w:rFonts w:asciiTheme="majorBidi" w:hAnsiTheme="majorBidi" w:cstheme="majorBidi"/>
          <w:szCs w:val="24"/>
          <w:vertAlign w:val="superscript"/>
        </w:rPr>
        <w:t>th</w:t>
      </w:r>
      <w:r w:rsidRPr="008C119A">
        <w:rPr>
          <w:rFonts w:asciiTheme="majorBidi" w:hAnsiTheme="majorBidi" w:cstheme="majorBidi"/>
          <w:szCs w:val="24"/>
        </w:rPr>
        <w:t xml:space="preserve"> July 2018</w:t>
      </w:r>
      <w:r w:rsidR="00B1718F" w:rsidRPr="008C119A">
        <w:rPr>
          <w:rFonts w:asciiTheme="majorBidi" w:hAnsiTheme="majorBidi" w:cstheme="majorBidi"/>
          <w:szCs w:val="24"/>
        </w:rPr>
        <w:t xml:space="preserve"> preceding the first meeting. The presentations made at the workshop </w:t>
      </w:r>
      <w:proofErr w:type="gramStart"/>
      <w:r w:rsidR="00B1718F" w:rsidRPr="008C119A">
        <w:rPr>
          <w:rFonts w:asciiTheme="majorBidi" w:hAnsiTheme="majorBidi" w:cstheme="majorBidi"/>
          <w:szCs w:val="24"/>
        </w:rPr>
        <w:t>can be accessed</w:t>
      </w:r>
      <w:proofErr w:type="gramEnd"/>
      <w:r w:rsidR="00B1718F" w:rsidRPr="008C119A">
        <w:rPr>
          <w:rFonts w:asciiTheme="majorBidi" w:hAnsiTheme="majorBidi" w:cstheme="majorBidi"/>
          <w:szCs w:val="24"/>
        </w:rPr>
        <w:t xml:space="preserve"> here:</w:t>
      </w:r>
      <w:r w:rsidRPr="008C119A">
        <w:rPr>
          <w:rFonts w:asciiTheme="majorBidi" w:hAnsiTheme="majorBidi" w:cstheme="majorBidi"/>
          <w:szCs w:val="24"/>
        </w:rPr>
        <w:t xml:space="preserve"> </w:t>
      </w:r>
      <w:hyperlink r:id="rId10" w:history="1">
        <w:r w:rsidRPr="008C119A">
          <w:rPr>
            <w:rStyle w:val="Hyperlink"/>
            <w:rFonts w:asciiTheme="majorBidi" w:hAnsiTheme="majorBidi" w:cstheme="majorBidi"/>
            <w:szCs w:val="24"/>
          </w:rPr>
          <w:t>https://www.itu.int/en/ITU-T/Workshops-and-Seminars/20180718/Pages/Programme.aspx</w:t>
        </w:r>
      </w:hyperlink>
      <w:r w:rsidR="00B1718F" w:rsidRPr="008C119A">
        <w:rPr>
          <w:rFonts w:asciiTheme="majorBidi" w:hAnsiTheme="majorBidi" w:cstheme="majorBidi"/>
          <w:szCs w:val="24"/>
        </w:rPr>
        <w:t xml:space="preserve">.  </w:t>
      </w:r>
    </w:p>
    <w:p w:rsidR="002F3DE6" w:rsidRPr="008C119A" w:rsidRDefault="00B1718F" w:rsidP="00E14D2E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The notes of meeting of the first meeting and the list of participants who attended the meeting </w:t>
      </w:r>
      <w:proofErr w:type="gramStart"/>
      <w:r w:rsidRPr="008C119A">
        <w:rPr>
          <w:rFonts w:asciiTheme="majorBidi" w:hAnsiTheme="majorBidi" w:cstheme="majorBidi"/>
          <w:szCs w:val="24"/>
        </w:rPr>
        <w:t>can be found</w:t>
      </w:r>
      <w:proofErr w:type="gramEnd"/>
      <w:r w:rsidRPr="008C119A">
        <w:rPr>
          <w:rFonts w:asciiTheme="majorBidi" w:hAnsiTheme="majorBidi" w:cstheme="majorBidi"/>
          <w:szCs w:val="24"/>
        </w:rPr>
        <w:t xml:space="preserve"> here:</w:t>
      </w:r>
      <w:r w:rsidR="00E14D2E" w:rsidRPr="008C119A">
        <w:rPr>
          <w:rFonts w:asciiTheme="majorBidi" w:hAnsiTheme="majorBidi" w:cstheme="majorBidi"/>
          <w:szCs w:val="24"/>
        </w:rPr>
        <w:t xml:space="preserve"> </w:t>
      </w:r>
      <w:hyperlink r:id="rId11" w:history="1">
        <w:r w:rsidR="00E14D2E" w:rsidRPr="008C119A">
          <w:rPr>
            <w:rStyle w:val="Hyperlink"/>
            <w:rFonts w:asciiTheme="majorBidi" w:hAnsiTheme="majorBidi" w:cstheme="majorBidi"/>
            <w:szCs w:val="24"/>
          </w:rPr>
          <w:t>https://extranet.itu.int/sites/itu-t/focusgroups/dfc/SitePages/Home.aspx</w:t>
        </w:r>
      </w:hyperlink>
      <w:r w:rsidR="002F3DE6" w:rsidRPr="008C119A">
        <w:rPr>
          <w:rFonts w:asciiTheme="majorBidi" w:hAnsiTheme="majorBidi" w:cstheme="majorBidi"/>
          <w:szCs w:val="24"/>
        </w:rPr>
        <w:t>.</w:t>
      </w:r>
    </w:p>
    <w:p w:rsidR="00311593" w:rsidRPr="008C119A" w:rsidRDefault="00311593" w:rsidP="00311593">
      <w:pPr>
        <w:spacing w:after="120"/>
        <w:contextualSpacing/>
        <w:jc w:val="both"/>
        <w:rPr>
          <w:rFonts w:asciiTheme="majorBidi" w:eastAsia="Times New Roman" w:hAnsiTheme="majorBidi" w:cstheme="majorBidi"/>
          <w:color w:val="000000"/>
          <w:szCs w:val="24"/>
        </w:rPr>
      </w:pPr>
    </w:p>
    <w:p w:rsidR="00BF1B01" w:rsidRPr="008C119A" w:rsidRDefault="00BF1B01" w:rsidP="00BF1B01">
      <w:pPr>
        <w:pStyle w:val="Heading1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Focus Group leadership, structure, deliverables and timeline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As of October 2018, the FG DFC management team is composed </w:t>
      </w:r>
      <w:proofErr w:type="gramStart"/>
      <w:r w:rsidRPr="008C119A">
        <w:rPr>
          <w:rFonts w:asciiTheme="majorBidi" w:hAnsiTheme="majorBidi" w:cstheme="majorBidi"/>
          <w:szCs w:val="24"/>
        </w:rPr>
        <w:t>of</w:t>
      </w:r>
      <w:proofErr w:type="gramEnd"/>
      <w:r w:rsidRPr="008C119A">
        <w:rPr>
          <w:rFonts w:asciiTheme="majorBidi" w:hAnsiTheme="majorBidi" w:cstheme="majorBidi"/>
          <w:szCs w:val="24"/>
        </w:rPr>
        <w:t>: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David Wen​​​​, </w:t>
      </w:r>
      <w:proofErr w:type="spellStart"/>
      <w:r w:rsidRPr="008C119A">
        <w:rPr>
          <w:rFonts w:asciiTheme="majorBidi" w:hAnsiTheme="majorBidi" w:cstheme="majorBidi"/>
          <w:szCs w:val="24"/>
        </w:rPr>
        <w:t>eCurrency</w:t>
      </w:r>
      <w:proofErr w:type="spellEnd"/>
      <w:r w:rsidRPr="008C119A">
        <w:rPr>
          <w:rFonts w:asciiTheme="majorBidi" w:hAnsiTheme="majorBidi" w:cstheme="majorBidi"/>
          <w:szCs w:val="24"/>
        </w:rPr>
        <w:t xml:space="preserve"> (Chairman)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Yao Qian, Institute of Digital Money, People's Bank of China (Vice 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Jacques </w:t>
      </w:r>
      <w:proofErr w:type="spellStart"/>
      <w:r w:rsidRPr="008C119A">
        <w:rPr>
          <w:rFonts w:asciiTheme="majorBidi" w:hAnsiTheme="majorBidi" w:cstheme="majorBidi"/>
          <w:szCs w:val="24"/>
        </w:rPr>
        <w:t>Francoeur</w:t>
      </w:r>
      <w:proofErr w:type="spellEnd"/>
      <w:r w:rsidRPr="008C119A">
        <w:rPr>
          <w:rFonts w:asciiTheme="majorBidi" w:hAnsiTheme="majorBidi" w:cstheme="majorBidi"/>
          <w:szCs w:val="24"/>
        </w:rPr>
        <w:t>, San Jose State University, USA (Vice 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Ahmed Said, NTRA, Egypt (Vice 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proofErr w:type="spellStart"/>
      <w:r w:rsidRPr="008C119A">
        <w:rPr>
          <w:rFonts w:asciiTheme="majorBidi" w:hAnsiTheme="majorBidi" w:cstheme="majorBidi"/>
          <w:szCs w:val="24"/>
        </w:rPr>
        <w:t>Mandar</w:t>
      </w:r>
      <w:proofErr w:type="spellEnd"/>
      <w:r w:rsidRPr="008C119A">
        <w:rPr>
          <w:rFonts w:asciiTheme="majorBidi" w:hAnsiTheme="majorBidi" w:cstheme="majorBidi"/>
          <w:szCs w:val="24"/>
        </w:rPr>
        <w:t xml:space="preserve"> Deshpande, Ministry of Communications, India (Vice 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proofErr w:type="spellStart"/>
      <w:r w:rsidRPr="008C119A">
        <w:rPr>
          <w:rFonts w:asciiTheme="majorBidi" w:hAnsiTheme="majorBidi" w:cstheme="majorBidi"/>
          <w:szCs w:val="24"/>
        </w:rPr>
        <w:t>Njunga</w:t>
      </w:r>
      <w:proofErr w:type="spellEnd"/>
      <w:r w:rsidRPr="008C119A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C119A">
        <w:rPr>
          <w:rFonts w:asciiTheme="majorBidi" w:hAnsiTheme="majorBidi" w:cstheme="majorBidi"/>
          <w:szCs w:val="24"/>
        </w:rPr>
        <w:t>N'dungu</w:t>
      </w:r>
      <w:proofErr w:type="spellEnd"/>
      <w:r w:rsidRPr="008C119A">
        <w:rPr>
          <w:rFonts w:asciiTheme="majorBidi" w:hAnsiTheme="majorBidi" w:cstheme="majorBidi"/>
          <w:szCs w:val="24"/>
        </w:rPr>
        <w:t>, Former Governor, Central Bank Kenya​ (Vice Chairman)</w:t>
      </w:r>
    </w:p>
    <w:p w:rsidR="00BF1B01" w:rsidRPr="008C119A" w:rsidRDefault="00BF1B01" w:rsidP="00BF1B01">
      <w:pPr>
        <w:pStyle w:val="ListParagraph"/>
        <w:numPr>
          <w:ilvl w:val="0"/>
          <w:numId w:val="13"/>
        </w:numPr>
        <w:ind w:right="85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Sami </w:t>
      </w:r>
      <w:proofErr w:type="spellStart"/>
      <w:r w:rsidRPr="008C119A">
        <w:rPr>
          <w:rFonts w:asciiTheme="majorBidi" w:hAnsiTheme="majorBidi" w:cstheme="majorBidi"/>
          <w:szCs w:val="24"/>
        </w:rPr>
        <w:t>Trimmech</w:t>
      </w:r>
      <w:proofErr w:type="spellEnd"/>
      <w:r w:rsidRPr="008C119A">
        <w:rPr>
          <w:rFonts w:asciiTheme="majorBidi" w:hAnsiTheme="majorBidi" w:cstheme="majorBidi"/>
          <w:szCs w:val="24"/>
        </w:rPr>
        <w:t>, Arab ICT Organization (Vice Chairman)</w:t>
      </w:r>
      <w:r w:rsidRPr="008C119A">
        <w:rPr>
          <w:rFonts w:asciiTheme="majorBidi" w:hAnsiTheme="majorBidi" w:cstheme="majorBidi"/>
          <w:szCs w:val="24"/>
        </w:rPr>
        <w:br/>
      </w:r>
      <w:r w:rsidRPr="008C119A">
        <w:rPr>
          <w:rFonts w:asciiTheme="majorBidi" w:eastAsia="Times New Roman" w:hAnsiTheme="majorBidi" w:cstheme="majorBidi"/>
          <w:color w:val="444444"/>
          <w:szCs w:val="24"/>
          <w:lang w:val="en-US"/>
        </w:rPr>
        <w:t>​​​​</w:t>
      </w:r>
    </w:p>
    <w:p w:rsidR="00BF1B01" w:rsidRPr="008C119A" w:rsidRDefault="00BF1B01" w:rsidP="009F2ECF">
      <w:pPr>
        <w:pStyle w:val="enumlev1"/>
        <w:tabs>
          <w:tab w:val="clear" w:pos="794"/>
          <w:tab w:val="left" w:pos="0"/>
        </w:tabs>
        <w:ind w:left="0" w:firstLine="0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The Focus Group expresses its gratitude to </w:t>
      </w:r>
      <w:proofErr w:type="spellStart"/>
      <w:r w:rsidR="009F2ECF" w:rsidRPr="008C119A">
        <w:rPr>
          <w:rFonts w:asciiTheme="majorBidi" w:hAnsiTheme="majorBidi" w:cstheme="majorBidi"/>
          <w:szCs w:val="24"/>
        </w:rPr>
        <w:t>Yury</w:t>
      </w:r>
      <w:proofErr w:type="spellEnd"/>
      <w:r w:rsidR="009F2ECF" w:rsidRPr="008C119A">
        <w:rPr>
          <w:rFonts w:asciiTheme="majorBidi" w:hAnsiTheme="majorBidi" w:cstheme="majorBidi"/>
          <w:szCs w:val="24"/>
        </w:rPr>
        <w:t xml:space="preserve"> Grin, Russian Federation who was unable to </w:t>
      </w:r>
      <w:r w:rsidRPr="008C119A">
        <w:rPr>
          <w:rFonts w:asciiTheme="majorBidi" w:hAnsiTheme="majorBidi" w:cstheme="majorBidi"/>
          <w:szCs w:val="24"/>
        </w:rPr>
        <w:t>continue his duties as FG D</w:t>
      </w:r>
      <w:r w:rsidR="009F2ECF" w:rsidRPr="008C119A">
        <w:rPr>
          <w:rFonts w:asciiTheme="majorBidi" w:hAnsiTheme="majorBidi" w:cstheme="majorBidi"/>
          <w:szCs w:val="24"/>
        </w:rPr>
        <w:t>FC</w:t>
      </w:r>
      <w:r w:rsidRPr="008C119A">
        <w:rPr>
          <w:rFonts w:asciiTheme="majorBidi" w:hAnsiTheme="majorBidi" w:cstheme="majorBidi"/>
          <w:szCs w:val="24"/>
        </w:rPr>
        <w:t xml:space="preserve"> Vice Chairman.</w:t>
      </w:r>
    </w:p>
    <w:p w:rsidR="00BF1B01" w:rsidRPr="008C119A" w:rsidRDefault="00BF1B01" w:rsidP="00F54FD9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The Focus Group deliverables</w:t>
      </w:r>
      <w:r w:rsidR="00F54FD9" w:rsidRPr="008C119A">
        <w:rPr>
          <w:rFonts w:asciiTheme="majorBidi" w:hAnsiTheme="majorBidi" w:cstheme="majorBidi"/>
          <w:szCs w:val="24"/>
        </w:rPr>
        <w:t xml:space="preserve"> by working groups</w:t>
      </w:r>
      <w:r w:rsidRPr="008C119A">
        <w:rPr>
          <w:rFonts w:asciiTheme="majorBidi" w:hAnsiTheme="majorBidi" w:cstheme="majorBidi"/>
          <w:szCs w:val="24"/>
        </w:rPr>
        <w:t xml:space="preserve"> under development and </w:t>
      </w:r>
      <w:r w:rsidR="009F2ECF" w:rsidRPr="008C119A">
        <w:rPr>
          <w:rFonts w:asciiTheme="majorBidi" w:hAnsiTheme="majorBidi" w:cstheme="majorBidi"/>
          <w:szCs w:val="24"/>
        </w:rPr>
        <w:t xml:space="preserve">planned are provided </w:t>
      </w:r>
      <w:r w:rsidRPr="008C119A">
        <w:rPr>
          <w:rFonts w:asciiTheme="majorBidi" w:hAnsiTheme="majorBidi" w:cstheme="majorBidi"/>
          <w:szCs w:val="24"/>
        </w:rPr>
        <w:t xml:space="preserve">in Annex </w:t>
      </w:r>
      <w:r w:rsidR="00F54FD9" w:rsidRPr="008C119A">
        <w:rPr>
          <w:rFonts w:asciiTheme="majorBidi" w:hAnsiTheme="majorBidi" w:cstheme="majorBidi"/>
          <w:szCs w:val="24"/>
        </w:rPr>
        <w:t>1</w:t>
      </w:r>
      <w:r w:rsidRPr="008C119A">
        <w:rPr>
          <w:rFonts w:asciiTheme="majorBidi" w:hAnsiTheme="majorBidi" w:cstheme="majorBidi"/>
          <w:szCs w:val="24"/>
        </w:rPr>
        <w:t>.</w:t>
      </w:r>
    </w:p>
    <w:p w:rsidR="00BF1B01" w:rsidRPr="008C119A" w:rsidRDefault="00353520" w:rsidP="00353520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Since the Focus Group held its first meeting in October 2017, and i</w:t>
      </w:r>
      <w:r w:rsidR="00BF1B01" w:rsidRPr="008C119A">
        <w:rPr>
          <w:rFonts w:asciiTheme="majorBidi" w:hAnsiTheme="majorBidi" w:cstheme="majorBidi"/>
          <w:szCs w:val="24"/>
        </w:rPr>
        <w:t xml:space="preserve">n order </w:t>
      </w:r>
      <w:r w:rsidR="009F2ECF" w:rsidRPr="008C119A">
        <w:rPr>
          <w:rFonts w:asciiTheme="majorBidi" w:hAnsiTheme="majorBidi" w:cstheme="majorBidi"/>
          <w:szCs w:val="24"/>
        </w:rPr>
        <w:t>for FG DFC to achieve its goals and complete the work initiated</w:t>
      </w:r>
      <w:r w:rsidR="00BF1B01" w:rsidRPr="008C119A">
        <w:rPr>
          <w:rFonts w:asciiTheme="majorBidi" w:hAnsiTheme="majorBidi" w:cstheme="majorBidi"/>
          <w:szCs w:val="24"/>
        </w:rPr>
        <w:t xml:space="preserve">, TSAG </w:t>
      </w:r>
      <w:proofErr w:type="gramStart"/>
      <w:r w:rsidR="00BF1B01" w:rsidRPr="008C119A">
        <w:rPr>
          <w:rFonts w:asciiTheme="majorBidi" w:hAnsiTheme="majorBidi" w:cstheme="majorBidi"/>
          <w:szCs w:val="24"/>
        </w:rPr>
        <w:t>is invited</w:t>
      </w:r>
      <w:proofErr w:type="gramEnd"/>
      <w:r w:rsidR="00BF1B01" w:rsidRPr="008C119A">
        <w:rPr>
          <w:rFonts w:asciiTheme="majorBidi" w:hAnsiTheme="majorBidi" w:cstheme="majorBidi"/>
          <w:szCs w:val="24"/>
        </w:rPr>
        <w:t xml:space="preserve"> to consider an extension of the Focus Group lifetime from April 2019 to September 2019. </w:t>
      </w:r>
    </w:p>
    <w:p w:rsidR="00BF1B01" w:rsidRPr="008C119A" w:rsidRDefault="009F2ECF" w:rsidP="00E8314A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FG DFC plans to organise </w:t>
      </w:r>
      <w:proofErr w:type="gramStart"/>
      <w:r w:rsidR="00E8314A" w:rsidRPr="008C119A">
        <w:rPr>
          <w:rFonts w:asciiTheme="majorBidi" w:hAnsiTheme="majorBidi" w:cstheme="majorBidi"/>
          <w:szCs w:val="24"/>
        </w:rPr>
        <w:t>two</w:t>
      </w:r>
      <w:r w:rsidRPr="008C119A">
        <w:rPr>
          <w:rFonts w:asciiTheme="majorBidi" w:hAnsiTheme="majorBidi" w:cstheme="majorBidi"/>
          <w:szCs w:val="24"/>
        </w:rPr>
        <w:t xml:space="preserve"> more </w:t>
      </w:r>
      <w:r w:rsidR="00145F62" w:rsidRPr="008C119A">
        <w:rPr>
          <w:rFonts w:asciiTheme="majorBidi" w:hAnsiTheme="majorBidi" w:cstheme="majorBidi"/>
          <w:szCs w:val="24"/>
        </w:rPr>
        <w:t>physical meeting</w:t>
      </w:r>
      <w:r w:rsidR="00E8314A" w:rsidRPr="008C119A">
        <w:rPr>
          <w:rFonts w:asciiTheme="majorBidi" w:hAnsiTheme="majorBidi" w:cstheme="majorBidi"/>
          <w:szCs w:val="24"/>
        </w:rPr>
        <w:t>s</w:t>
      </w:r>
      <w:r w:rsidRPr="008C119A">
        <w:rPr>
          <w:rFonts w:asciiTheme="majorBidi" w:hAnsiTheme="majorBidi" w:cstheme="majorBidi"/>
          <w:szCs w:val="24"/>
        </w:rPr>
        <w:t xml:space="preserve"> in 201</w:t>
      </w:r>
      <w:r w:rsidR="00F54FD9" w:rsidRPr="008C119A">
        <w:rPr>
          <w:rFonts w:asciiTheme="majorBidi" w:hAnsiTheme="majorBidi" w:cstheme="majorBidi"/>
          <w:szCs w:val="24"/>
        </w:rPr>
        <w:t>9</w:t>
      </w:r>
      <w:proofErr w:type="gramEnd"/>
      <w:r w:rsidRPr="008C119A">
        <w:rPr>
          <w:rFonts w:asciiTheme="majorBidi" w:hAnsiTheme="majorBidi" w:cstheme="majorBidi"/>
          <w:szCs w:val="24"/>
        </w:rPr>
        <w:t>. FG DFC</w:t>
      </w:r>
      <w:r w:rsidR="00BF1B01" w:rsidRPr="008C119A">
        <w:rPr>
          <w:rFonts w:asciiTheme="majorBidi" w:hAnsiTheme="majorBidi" w:cstheme="majorBidi"/>
          <w:szCs w:val="24"/>
        </w:rPr>
        <w:t xml:space="preserve"> will submit its final deliverables to TSAG, at least four calendar weeks before the 2019 TSAG meeting.</w:t>
      </w:r>
    </w:p>
    <w:p w:rsidR="00BF1B01" w:rsidRPr="008C119A" w:rsidRDefault="00BF1B01" w:rsidP="00BF1B01">
      <w:pPr>
        <w:pStyle w:val="Heading1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Relationships and efficient transfer of deliverables to ITU-T study groups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The Focus Group has taken into consideration the guidance provided in Recommendation ITU-T A.7, Appendix I.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In all </w:t>
      </w:r>
      <w:proofErr w:type="gramStart"/>
      <w:r w:rsidRPr="008C119A">
        <w:rPr>
          <w:rFonts w:asciiTheme="majorBidi" w:hAnsiTheme="majorBidi" w:cstheme="majorBidi"/>
          <w:szCs w:val="24"/>
        </w:rPr>
        <w:t>FG  DFC</w:t>
      </w:r>
      <w:proofErr w:type="gramEnd"/>
      <w:r w:rsidRPr="008C119A">
        <w:rPr>
          <w:rFonts w:asciiTheme="majorBidi" w:hAnsiTheme="majorBidi" w:cstheme="majorBidi"/>
          <w:szCs w:val="24"/>
        </w:rPr>
        <w:t xml:space="preserve"> meetings there were presentation of updates and review of liaison statements from ITU-T study group 17 and ITU-T focus group DLT and ISO/TC 68 SC2.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lastRenderedPageBreak/>
        <w:t xml:space="preserve">ISO TC 68 SC2 appointed a liaison representative to follow DFC-related work in FG DFC. 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The Central Banks of Norway, Sweden, Philippines, China, Egypt and Brazil presented their work on digital fiat currency to the Focus Group at its meeting in July 2018. 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FG DFC has taken note of the standardization activities and work items across ITU-T study groups. ITU-T study group 17 have established Questions dedicated to </w:t>
      </w:r>
      <w:proofErr w:type="gramStart"/>
      <w:r w:rsidRPr="008C119A">
        <w:rPr>
          <w:rFonts w:asciiTheme="majorBidi" w:hAnsiTheme="majorBidi" w:cstheme="majorBidi"/>
          <w:szCs w:val="24"/>
        </w:rPr>
        <w:t>DLT  Security</w:t>
      </w:r>
      <w:proofErr w:type="gramEnd"/>
      <w:r w:rsidRPr="008C119A">
        <w:rPr>
          <w:rFonts w:asciiTheme="majorBidi" w:hAnsiTheme="majorBidi" w:cstheme="majorBidi"/>
          <w:szCs w:val="24"/>
        </w:rPr>
        <w:t xml:space="preserve"> which may be linked to the output of the work of FG DFC on Security Architecture for DFC.</w:t>
      </w:r>
    </w:p>
    <w:p w:rsidR="00BF1B01" w:rsidRPr="008C119A" w:rsidRDefault="00837A7F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 xml:space="preserve">It </w:t>
      </w:r>
      <w:proofErr w:type="gramStart"/>
      <w:r w:rsidRPr="008C119A">
        <w:rPr>
          <w:rFonts w:asciiTheme="majorBidi" w:hAnsiTheme="majorBidi" w:cstheme="majorBidi"/>
          <w:szCs w:val="24"/>
        </w:rPr>
        <w:t>is expected</w:t>
      </w:r>
      <w:proofErr w:type="gramEnd"/>
      <w:r w:rsidR="00BF1B01" w:rsidRPr="008C119A">
        <w:rPr>
          <w:rFonts w:asciiTheme="majorBidi" w:hAnsiTheme="majorBidi" w:cstheme="majorBidi"/>
          <w:szCs w:val="24"/>
        </w:rPr>
        <w:t xml:space="preserve"> that the further development and adoption of the deliverables would require a continued collaborative approach between the recipients and other ITU-T study groups, as well as with external bodies, notably ISO/TC 68 SC2. </w:t>
      </w:r>
    </w:p>
    <w:p w:rsidR="00BF1B01" w:rsidRPr="008C119A" w:rsidRDefault="00BF1B01" w:rsidP="00BF1B01">
      <w:pPr>
        <w:pStyle w:val="Heading1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Next steps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  <w:u w:val="single"/>
        </w:rPr>
        <w:t xml:space="preserve">TSAG </w:t>
      </w:r>
      <w:proofErr w:type="gramStart"/>
      <w:r w:rsidRPr="008C119A">
        <w:rPr>
          <w:rFonts w:asciiTheme="majorBidi" w:hAnsiTheme="majorBidi" w:cstheme="majorBidi"/>
          <w:szCs w:val="24"/>
          <w:u w:val="single"/>
        </w:rPr>
        <w:t>is invited</w:t>
      </w:r>
      <w:proofErr w:type="gramEnd"/>
      <w:r w:rsidRPr="008C119A">
        <w:rPr>
          <w:rFonts w:asciiTheme="majorBidi" w:hAnsiTheme="majorBidi" w:cstheme="majorBidi"/>
          <w:szCs w:val="24"/>
          <w:u w:val="single"/>
        </w:rPr>
        <w:t xml:space="preserve"> to consider an extension of the Focus Group lifetime from April 2019 to September 2019</w:t>
      </w:r>
      <w:r w:rsidRPr="008C119A">
        <w:rPr>
          <w:rFonts w:asciiTheme="majorBidi" w:hAnsiTheme="majorBidi" w:cstheme="majorBidi"/>
          <w:szCs w:val="24"/>
        </w:rPr>
        <w:t>.</w:t>
      </w:r>
    </w:p>
    <w:p w:rsidR="00BF1B01" w:rsidRPr="008C119A" w:rsidRDefault="00BF1B01" w:rsidP="00BF1B01">
      <w:pPr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t>FG DFC will complete its deliverables and submit them at least four calendar weeks before the 2019 TSAG meeting.</w:t>
      </w:r>
    </w:p>
    <w:p w:rsidR="001224A7" w:rsidRPr="008C119A" w:rsidRDefault="001224A7" w:rsidP="00111723">
      <w:pPr>
        <w:spacing w:before="0"/>
        <w:jc w:val="both"/>
        <w:rPr>
          <w:rFonts w:asciiTheme="majorBidi" w:hAnsiTheme="majorBidi" w:cstheme="majorBidi"/>
          <w:szCs w:val="24"/>
        </w:rPr>
      </w:pPr>
    </w:p>
    <w:p w:rsidR="00245EBF" w:rsidRPr="008C119A" w:rsidRDefault="00245EBF" w:rsidP="001224A7">
      <w:pPr>
        <w:spacing w:before="0"/>
        <w:jc w:val="center"/>
        <w:rPr>
          <w:rFonts w:asciiTheme="majorBidi" w:hAnsiTheme="majorBidi" w:cstheme="majorBidi"/>
          <w:szCs w:val="24"/>
        </w:rPr>
      </w:pPr>
    </w:p>
    <w:p w:rsidR="00245EBF" w:rsidRPr="008C119A" w:rsidRDefault="00245EBF" w:rsidP="001224A7">
      <w:pPr>
        <w:spacing w:before="0"/>
        <w:jc w:val="center"/>
        <w:rPr>
          <w:rFonts w:asciiTheme="majorBidi" w:hAnsiTheme="majorBidi" w:cstheme="majorBidi"/>
          <w:szCs w:val="24"/>
        </w:rPr>
      </w:pPr>
    </w:p>
    <w:p w:rsidR="00245EBF" w:rsidRPr="008C119A" w:rsidRDefault="00245E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rPr>
          <w:rFonts w:asciiTheme="majorBidi" w:hAnsiTheme="majorBidi" w:cstheme="majorBidi"/>
          <w:szCs w:val="24"/>
        </w:rPr>
      </w:pPr>
      <w:r w:rsidRPr="008C119A">
        <w:rPr>
          <w:rFonts w:asciiTheme="majorBidi" w:hAnsiTheme="majorBidi" w:cstheme="majorBidi"/>
          <w:szCs w:val="24"/>
        </w:rPr>
        <w:br w:type="page"/>
      </w:r>
    </w:p>
    <w:p w:rsidR="00245EBF" w:rsidRPr="008C119A" w:rsidRDefault="00837A7F" w:rsidP="001224A7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  <w:r w:rsidRPr="008C119A">
        <w:rPr>
          <w:rFonts w:asciiTheme="majorBidi" w:hAnsiTheme="majorBidi" w:cstheme="majorBidi"/>
          <w:b/>
          <w:bCs/>
          <w:szCs w:val="24"/>
        </w:rPr>
        <w:lastRenderedPageBreak/>
        <w:t>Annex 1: Status of Deliverables</w:t>
      </w:r>
    </w:p>
    <w:p w:rsidR="00DD662A" w:rsidRPr="008C119A" w:rsidRDefault="00DD662A" w:rsidP="001224A7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</w:p>
    <w:p w:rsidR="00DD662A" w:rsidRPr="008C119A" w:rsidRDefault="00DD662A" w:rsidP="00DD662A">
      <w:pPr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 w:rsidRPr="008C119A">
        <w:rPr>
          <w:rFonts w:asciiTheme="majorBidi" w:eastAsia="Times New Roman" w:hAnsiTheme="majorBidi" w:cstheme="majorBidi"/>
          <w:b/>
          <w:bCs/>
          <w:color w:val="000000"/>
          <w:szCs w:val="24"/>
        </w:rPr>
        <w:t>Regulatory Requirements and Economic Impact WG</w:t>
      </w:r>
    </w:p>
    <w:p w:rsidR="00DD662A" w:rsidRPr="008C119A" w:rsidRDefault="00DD662A" w:rsidP="00DD662A">
      <w:pPr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582"/>
        <w:gridCol w:w="2923"/>
      </w:tblGrid>
      <w:tr w:rsidR="00DD662A" w:rsidRPr="008C119A" w:rsidTr="00DD662A">
        <w:trPr>
          <w:trHeight w:val="389"/>
        </w:trPr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62A" w:rsidRPr="008C119A" w:rsidRDefault="00681AD1" w:rsidP="007C08A9">
            <w:pPr>
              <w:ind w:left="357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Deliverable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62A" w:rsidRPr="008C119A" w:rsidRDefault="00DD662A" w:rsidP="007C08A9">
            <w:pPr>
              <w:spacing w:after="100" w:afterAutospacing="1"/>
              <w:ind w:left="136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Owner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2A" w:rsidRPr="008C119A" w:rsidRDefault="00DD662A" w:rsidP="00DD662A">
            <w:pPr>
              <w:spacing w:after="100" w:afterAutospacing="1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 xml:space="preserve"> Status</w:t>
            </w:r>
          </w:p>
        </w:tc>
      </w:tr>
      <w:tr w:rsidR="00DD662A" w:rsidRPr="008C119A" w:rsidTr="00DD662A">
        <w:trPr>
          <w:trHeight w:val="825"/>
        </w:trPr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662A" w:rsidRPr="008C119A" w:rsidRDefault="00DD662A" w:rsidP="00601E1C">
            <w:pPr>
              <w:numPr>
                <w:ilvl w:val="0"/>
                <w:numId w:val="1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426"/>
              </w:tabs>
              <w:overflowPunct/>
              <w:autoSpaceDE/>
              <w:autoSpaceDN/>
              <w:adjustRightInd/>
              <w:spacing w:before="0" w:after="120"/>
              <w:ind w:left="426" w:right="274" w:hanging="28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Documentation that provides a reference foundation to the governance aspects of Digital Fiat Currency from the Central Bank and regulator perspective.</w:t>
            </w:r>
          </w:p>
          <w:p w:rsidR="00DD662A" w:rsidRPr="008C119A" w:rsidRDefault="00DD662A" w:rsidP="00601E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426"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62A" w:rsidRPr="008C119A" w:rsidRDefault="00DD662A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DD662A" w:rsidRPr="008C119A" w:rsidRDefault="00DD662A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Carolyn McMahon, Nadeem, State Bank Pakistan</w:t>
            </w:r>
          </w:p>
          <w:p w:rsidR="00DD662A" w:rsidRPr="008C119A" w:rsidRDefault="00DD662A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DD662A" w:rsidRPr="008C119A" w:rsidRDefault="00DD662A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2A" w:rsidRPr="008C119A" w:rsidRDefault="00DD662A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DD662A" w:rsidRPr="008C119A" w:rsidRDefault="00DD662A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 xml:space="preserve">First Draft Expected: </w:t>
            </w:r>
            <w:r w:rsidR="00353520" w:rsidRPr="008C119A">
              <w:rPr>
                <w:rFonts w:asciiTheme="majorBidi" w:eastAsia="Times New Roman" w:hAnsiTheme="majorBidi" w:cstheme="majorBidi"/>
                <w:szCs w:val="24"/>
              </w:rPr>
              <w:t>December 2018</w:t>
            </w:r>
          </w:p>
          <w:p w:rsidR="00353520" w:rsidRPr="008C119A" w:rsidRDefault="00353520" w:rsidP="007C08A9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 Spring 2019</w:t>
            </w:r>
          </w:p>
        </w:tc>
      </w:tr>
      <w:tr w:rsidR="00353520" w:rsidRPr="008C119A" w:rsidTr="00DD662A">
        <w:trPr>
          <w:trHeight w:val="885"/>
        </w:trPr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520" w:rsidRPr="008C119A" w:rsidRDefault="00353520" w:rsidP="00353520">
            <w:pPr>
              <w:numPr>
                <w:ilvl w:val="0"/>
                <w:numId w:val="1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426"/>
              </w:tabs>
              <w:overflowPunct/>
              <w:autoSpaceDE/>
              <w:autoSpaceDN/>
              <w:adjustRightInd/>
              <w:spacing w:before="0" w:after="120"/>
              <w:ind w:left="426" w:right="274" w:hanging="28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Report on best practices and guideline on policy and processes to ensure the sovereign security, transparency and verifiability of critical technology components. </w:t>
            </w:r>
          </w:p>
          <w:p w:rsidR="00353520" w:rsidRPr="008C119A" w:rsidRDefault="00353520" w:rsidP="003535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426"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20" w:rsidRPr="008C119A" w:rsidRDefault="00353520" w:rsidP="00353520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Rohan Grey, Reza Jalili </w:t>
            </w:r>
          </w:p>
          <w:p w:rsidR="00353520" w:rsidRPr="008C119A" w:rsidRDefault="00353520" w:rsidP="00353520">
            <w:pPr>
              <w:spacing w:before="100" w:beforeAutospacing="1" w:after="100" w:afterAutospacing="1"/>
              <w:ind w:left="360" w:hanging="360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520" w:rsidRPr="008C119A" w:rsidRDefault="00353520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First Draft Expected: January 2019</w:t>
            </w:r>
          </w:p>
          <w:p w:rsidR="00353520" w:rsidRPr="008C119A" w:rsidRDefault="00353520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 Spring 2019</w:t>
            </w:r>
          </w:p>
        </w:tc>
      </w:tr>
      <w:tr w:rsidR="00353520" w:rsidRPr="008C119A" w:rsidTr="00601E1C">
        <w:trPr>
          <w:trHeight w:val="885"/>
        </w:trPr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520" w:rsidRPr="008C119A" w:rsidRDefault="00353520" w:rsidP="00353520">
            <w:pPr>
              <w:numPr>
                <w:ilvl w:val="0"/>
                <w:numId w:val="1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426"/>
              </w:tabs>
              <w:overflowPunct/>
              <w:autoSpaceDE/>
              <w:autoSpaceDN/>
              <w:adjustRightInd/>
              <w:spacing w:before="0" w:after="120"/>
              <w:ind w:left="426" w:right="274" w:hanging="28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Report on the possible economic benefits and impact of DFC on mobile payment ecosystem. </w:t>
            </w:r>
          </w:p>
          <w:p w:rsidR="00353520" w:rsidRPr="008C119A" w:rsidRDefault="00353520" w:rsidP="003535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426"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20" w:rsidRPr="008C119A" w:rsidRDefault="00353520" w:rsidP="00353520">
            <w:pPr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proofErr w:type="spellStart"/>
            <w:r w:rsidRPr="008C119A">
              <w:rPr>
                <w:rFonts w:asciiTheme="majorBidi" w:eastAsia="Times New Roman" w:hAnsiTheme="majorBidi" w:cstheme="majorBidi"/>
                <w:szCs w:val="24"/>
              </w:rPr>
              <w:t>Njuguna</w:t>
            </w:r>
            <w:proofErr w:type="spellEnd"/>
            <w:r w:rsidRPr="008C119A">
              <w:rPr>
                <w:rFonts w:asciiTheme="majorBidi" w:eastAsia="Times New Roman" w:hAnsiTheme="majorBidi" w:cstheme="majorBidi"/>
                <w:szCs w:val="24"/>
              </w:rPr>
              <w:t xml:space="preserve"> 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szCs w:val="24"/>
              </w:rPr>
              <w:t>Ndung’u</w:t>
            </w:r>
            <w:proofErr w:type="spellEnd"/>
            <w:r w:rsidRPr="008C119A">
              <w:rPr>
                <w:rFonts w:asciiTheme="majorBidi" w:eastAsia="Times New Roman" w:hAnsiTheme="majorBidi" w:cstheme="majorBidi"/>
                <w:szCs w:val="24"/>
              </w:rPr>
              <w:t>  </w:t>
            </w:r>
          </w:p>
          <w:p w:rsidR="00353520" w:rsidRPr="008C119A" w:rsidRDefault="00353520" w:rsidP="00353520">
            <w:pPr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Rohan Grey, Angela 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szCs w:val="24"/>
              </w:rPr>
              <w:t>Walch</w:t>
            </w:r>
            <w:proofErr w:type="spellEnd"/>
          </w:p>
          <w:p w:rsidR="00353520" w:rsidRPr="008C119A" w:rsidRDefault="00353520" w:rsidP="00353520">
            <w:pPr>
              <w:ind w:left="360"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ind w:left="360"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520" w:rsidRPr="008C119A" w:rsidRDefault="00353520" w:rsidP="00353520">
            <w:pPr>
              <w:spacing w:before="100" w:beforeAutospacing="1" w:after="100" w:afterAutospacing="1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First Draft Expected: January 2019</w:t>
            </w:r>
          </w:p>
          <w:p w:rsidR="00353520" w:rsidRPr="008C119A" w:rsidRDefault="00353520" w:rsidP="00353520">
            <w:pPr>
              <w:spacing w:before="0"/>
              <w:ind w:left="357" w:hanging="357"/>
              <w:textAlignment w:val="baseline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353520" w:rsidRPr="008C119A" w:rsidRDefault="00353520" w:rsidP="00353520">
            <w:pPr>
              <w:spacing w:before="0"/>
              <w:ind w:left="357" w:hanging="357"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 Spring 2019</w:t>
            </w:r>
          </w:p>
        </w:tc>
      </w:tr>
      <w:tr w:rsidR="00353520" w:rsidRPr="008C119A" w:rsidTr="00601E1C">
        <w:trPr>
          <w:trHeight w:val="1117"/>
        </w:trPr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520" w:rsidRPr="008C119A" w:rsidRDefault="00353520" w:rsidP="00353520">
            <w:pPr>
              <w:numPr>
                <w:ilvl w:val="0"/>
                <w:numId w:val="14"/>
              </w:numPr>
              <w:tabs>
                <w:tab w:val="clear" w:pos="360"/>
                <w:tab w:val="clear" w:pos="794"/>
                <w:tab w:val="clear" w:pos="1191"/>
                <w:tab w:val="clear" w:pos="1588"/>
                <w:tab w:val="clear" w:pos="1985"/>
                <w:tab w:val="num" w:pos="426"/>
              </w:tabs>
              <w:overflowPunct/>
              <w:autoSpaceDE/>
              <w:autoSpaceDN/>
              <w:adjustRightInd/>
              <w:spacing w:before="0" w:after="120"/>
              <w:ind w:left="426" w:right="274" w:hanging="28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Governance Models Taxonomy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20" w:rsidRPr="008C119A" w:rsidRDefault="00353520" w:rsidP="00353520">
            <w:pPr>
              <w:spacing w:before="0"/>
              <w:textAlignment w:val="baseline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 xml:space="preserve"> Daniel Reiss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520" w:rsidRPr="008C119A" w:rsidRDefault="00353520" w:rsidP="00353520">
            <w:pPr>
              <w:spacing w:before="100" w:beforeAutospacing="1" w:after="100" w:afterAutospacing="1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>First Draft Expected: November 2018</w:t>
            </w:r>
          </w:p>
          <w:p w:rsidR="00353520" w:rsidRPr="008C119A" w:rsidRDefault="00353520" w:rsidP="00353520">
            <w:pPr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353520" w:rsidRPr="008C119A" w:rsidRDefault="00353520" w:rsidP="00353520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 January 2019</w:t>
            </w:r>
          </w:p>
        </w:tc>
      </w:tr>
    </w:tbl>
    <w:p w:rsidR="00DD662A" w:rsidRPr="008C119A" w:rsidRDefault="00DD662A" w:rsidP="00DD662A">
      <w:pPr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</w:p>
    <w:p w:rsidR="00DD662A" w:rsidRPr="008C119A" w:rsidRDefault="00DD662A" w:rsidP="00DD662A">
      <w:pPr>
        <w:spacing w:after="120"/>
        <w:jc w:val="both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 w:rsidRPr="008C119A">
        <w:rPr>
          <w:rFonts w:asciiTheme="majorBidi" w:eastAsia="Times New Roman" w:hAnsiTheme="majorBidi" w:cstheme="majorBidi"/>
          <w:b/>
          <w:bCs/>
          <w:color w:val="000000"/>
          <w:szCs w:val="24"/>
        </w:rPr>
        <w:t>Reference Architecture WG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536"/>
        <w:gridCol w:w="2693"/>
        <w:gridCol w:w="2835"/>
      </w:tblGrid>
      <w:tr w:rsidR="00601E1C" w:rsidRPr="008C119A" w:rsidTr="00353520">
        <w:trPr>
          <w:gridBefore w:val="1"/>
          <w:wBefore w:w="8" w:type="dxa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1E1C" w:rsidRPr="008C119A" w:rsidRDefault="00681AD1" w:rsidP="007C08A9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Deliverable</w:t>
            </w:r>
          </w:p>
        </w:tc>
        <w:tc>
          <w:tcPr>
            <w:tcW w:w="269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1E1C" w:rsidRPr="008C119A" w:rsidRDefault="001B36F2" w:rsidP="007C08A9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Owner</w:t>
            </w:r>
          </w:p>
        </w:tc>
        <w:tc>
          <w:tcPr>
            <w:tcW w:w="2835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</w:tcPr>
          <w:p w:rsidR="00601E1C" w:rsidRPr="008C119A" w:rsidRDefault="001B36F2" w:rsidP="007C08A9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Status</w:t>
            </w:r>
          </w:p>
        </w:tc>
      </w:tr>
      <w:tr w:rsidR="00601E1C" w:rsidRPr="008C119A" w:rsidTr="00353520">
        <w:trPr>
          <w:trHeight w:val="799"/>
        </w:trPr>
        <w:tc>
          <w:tcPr>
            <w:tcW w:w="3544" w:type="dxa"/>
            <w:gridSpan w:val="2"/>
            <w:tcBorders>
              <w:top w:val="outset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01E1C" w:rsidRPr="008C119A" w:rsidRDefault="00601E1C" w:rsidP="00896A12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Report on Use Cases in DFC from Central Banks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C" w:rsidRPr="008C119A" w:rsidRDefault="00601E1C" w:rsidP="00601E1C">
            <w:pPr>
              <w:spacing w:before="0"/>
              <w:ind w:left="147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Feng 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A27D9" w:rsidRPr="008C119A" w:rsidRDefault="002A27D9" w:rsidP="00353520">
            <w:pPr>
              <w:spacing w:before="100" w:beforeAutospacing="1" w:after="100" w:afterAutospacing="1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 xml:space="preserve">First Draft Expected: </w:t>
            </w:r>
            <w:r w:rsidR="00353520" w:rsidRPr="008C119A">
              <w:rPr>
                <w:rFonts w:asciiTheme="majorBidi" w:eastAsia="Times New Roman" w:hAnsiTheme="majorBidi" w:cstheme="majorBidi"/>
                <w:szCs w:val="24"/>
              </w:rPr>
              <w:t>January 2019</w:t>
            </w:r>
          </w:p>
          <w:p w:rsidR="002A27D9" w:rsidRPr="008C119A" w:rsidRDefault="002A27D9" w:rsidP="002A27D9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601E1C" w:rsidRPr="008C119A" w:rsidRDefault="00353520" w:rsidP="002A27D9">
            <w:pPr>
              <w:spacing w:after="12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  <w:r w:rsidR="002A27D9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Spring 2019</w:t>
            </w:r>
          </w:p>
        </w:tc>
      </w:tr>
      <w:tr w:rsidR="00601E1C" w:rsidRPr="008C119A" w:rsidTr="00353520">
        <w:tc>
          <w:tcPr>
            <w:tcW w:w="354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E1C" w:rsidRPr="008C119A" w:rsidRDefault="00601E1C" w:rsidP="00896A12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num" w:pos="426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Report on Taxonomy and definition of terms used in DFC</w:t>
            </w:r>
          </w:p>
          <w:p w:rsidR="00601E1C" w:rsidRPr="008C119A" w:rsidRDefault="00601E1C" w:rsidP="007C08A9">
            <w:pPr>
              <w:spacing w:after="120"/>
              <w:ind w:left="426" w:right="275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E1C" w:rsidRPr="008C119A" w:rsidRDefault="00601E1C" w:rsidP="007C08A9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Daniel Reiss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601E1C" w:rsidRPr="008C119A" w:rsidRDefault="00601E1C" w:rsidP="00353520">
            <w:pPr>
              <w:spacing w:after="12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First Draft: 19 July 2018</w:t>
            </w:r>
          </w:p>
          <w:p w:rsidR="00601E1C" w:rsidRPr="008C119A" w:rsidRDefault="002A27D9" w:rsidP="00353520">
            <w:pPr>
              <w:spacing w:after="12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Second</w:t>
            </w:r>
            <w:r w:rsidR="00601E1C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Draft</w:t>
            </w:r>
            <w:r w:rsidR="00601E1C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: Nov 2018</w:t>
            </w:r>
          </w:p>
          <w:p w:rsidR="002A27D9" w:rsidRPr="008C119A" w:rsidRDefault="002A27D9" w:rsidP="00353520">
            <w:pPr>
              <w:spacing w:after="12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Final Version : January 2019</w:t>
            </w:r>
          </w:p>
        </w:tc>
      </w:tr>
      <w:tr w:rsidR="00601E1C" w:rsidRPr="008C119A" w:rsidTr="00353520">
        <w:tc>
          <w:tcPr>
            <w:tcW w:w="354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E1C" w:rsidRPr="008C119A" w:rsidRDefault="00601E1C" w:rsidP="00896A12">
            <w:pPr>
              <w:numPr>
                <w:ilvl w:val="0"/>
                <w:numId w:val="2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lastRenderedPageBreak/>
              <w:t xml:space="preserve">Report on Reference Architecture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E1C" w:rsidRPr="008C119A" w:rsidRDefault="00601E1C" w:rsidP="00601E1C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  <w:t xml:space="preserve">Thomas 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  <w:t>Kudyricki</w:t>
            </w:r>
            <w:proofErr w:type="spellEnd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  <w:t>, Carolina Caballero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  <w:t>, David Wen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2A27D9" w:rsidRPr="008C119A" w:rsidRDefault="002A27D9" w:rsidP="002A27D9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szCs w:val="24"/>
              </w:rPr>
              <w:t xml:space="preserve">First Draft Expected: </w:t>
            </w:r>
            <w:r w:rsidR="00353520" w:rsidRPr="008C119A">
              <w:rPr>
                <w:rFonts w:asciiTheme="majorBidi" w:eastAsia="Times New Roman" w:hAnsiTheme="majorBidi" w:cstheme="majorBidi"/>
                <w:szCs w:val="24"/>
              </w:rPr>
              <w:t>February 2019</w:t>
            </w:r>
          </w:p>
          <w:p w:rsidR="002A27D9" w:rsidRPr="008C119A" w:rsidRDefault="002A27D9" w:rsidP="002A27D9">
            <w:pPr>
              <w:spacing w:before="100" w:beforeAutospacing="1" w:after="100" w:afterAutospacing="1"/>
              <w:ind w:left="138"/>
              <w:contextualSpacing/>
              <w:textAlignment w:val="baseline"/>
              <w:rPr>
                <w:rFonts w:asciiTheme="majorBidi" w:eastAsia="Times New Roman" w:hAnsiTheme="majorBidi" w:cstheme="majorBidi"/>
                <w:szCs w:val="24"/>
              </w:rPr>
            </w:pPr>
          </w:p>
          <w:p w:rsidR="00601E1C" w:rsidRPr="008C119A" w:rsidRDefault="002A27D9" w:rsidP="002A27D9">
            <w:pPr>
              <w:spacing w:after="12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 Final Version :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Spring 2019</w:t>
            </w:r>
          </w:p>
        </w:tc>
      </w:tr>
    </w:tbl>
    <w:p w:rsidR="00DD662A" w:rsidRPr="008C119A" w:rsidRDefault="00DD662A" w:rsidP="00DD662A">
      <w:pPr>
        <w:spacing w:after="120"/>
        <w:jc w:val="both"/>
        <w:rPr>
          <w:rFonts w:asciiTheme="majorBidi" w:eastAsia="Times New Roman" w:hAnsiTheme="majorBidi" w:cstheme="majorBidi"/>
          <w:color w:val="000000"/>
          <w:szCs w:val="24"/>
          <w:lang w:val="en-US"/>
        </w:rPr>
      </w:pPr>
    </w:p>
    <w:p w:rsidR="00DD662A" w:rsidRPr="008C119A" w:rsidRDefault="00DD662A" w:rsidP="00DD662A">
      <w:pPr>
        <w:spacing w:after="120"/>
        <w:jc w:val="both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 w:rsidRPr="008C119A">
        <w:rPr>
          <w:rFonts w:asciiTheme="majorBidi" w:eastAsia="Times New Roman" w:hAnsiTheme="majorBidi" w:cstheme="majorBidi"/>
          <w:b/>
          <w:bCs/>
          <w:color w:val="000000"/>
          <w:szCs w:val="24"/>
        </w:rPr>
        <w:t>Security Working Group</w:t>
      </w:r>
    </w:p>
    <w:p w:rsidR="00DD662A" w:rsidRPr="008C119A" w:rsidRDefault="00DD662A" w:rsidP="00DD662A">
      <w:pPr>
        <w:spacing w:after="120"/>
        <w:jc w:val="both"/>
        <w:rPr>
          <w:rFonts w:asciiTheme="majorBidi" w:eastAsia="Times New Roman" w:hAnsiTheme="majorBidi" w:cstheme="majorBidi"/>
          <w:color w:val="000000"/>
          <w:szCs w:val="24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820"/>
        <w:gridCol w:w="2409"/>
        <w:gridCol w:w="2835"/>
      </w:tblGrid>
      <w:tr w:rsidR="00896A12" w:rsidRPr="008C119A" w:rsidTr="00896A12">
        <w:trPr>
          <w:gridBefore w:val="1"/>
          <w:wBefore w:w="8" w:type="dxa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A12" w:rsidRPr="008C119A" w:rsidRDefault="00681AD1" w:rsidP="007C08A9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Deliverable</w:t>
            </w:r>
          </w:p>
        </w:tc>
        <w:tc>
          <w:tcPr>
            <w:tcW w:w="240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A12" w:rsidRPr="008C119A" w:rsidRDefault="00896A12" w:rsidP="007C08A9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Owner</w:t>
            </w:r>
          </w:p>
        </w:tc>
        <w:tc>
          <w:tcPr>
            <w:tcW w:w="28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96A12" w:rsidRPr="008C119A" w:rsidRDefault="00896A12" w:rsidP="007C08A9">
            <w:pPr>
              <w:spacing w:after="120"/>
              <w:ind w:left="15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Status</w:t>
            </w:r>
          </w:p>
        </w:tc>
      </w:tr>
      <w:tr w:rsidR="00896A12" w:rsidRPr="008C119A" w:rsidTr="00896A12">
        <w:tc>
          <w:tcPr>
            <w:tcW w:w="382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A12" w:rsidRPr="008C119A" w:rsidRDefault="00896A12" w:rsidP="00896A12">
            <w:pPr>
              <w:pStyle w:val="ListParagraph"/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Security Architecture Report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A12" w:rsidRPr="008C119A" w:rsidRDefault="00896A12" w:rsidP="007C08A9">
            <w:pPr>
              <w:spacing w:after="120"/>
              <w:ind w:left="150"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Jacques 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Francoeur</w:t>
            </w:r>
            <w:proofErr w:type="spellEnd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, San Jose State University</w:t>
            </w:r>
          </w:p>
          <w:p w:rsidR="00896A12" w:rsidRPr="008C119A" w:rsidRDefault="00896A12" w:rsidP="007C08A9">
            <w:pPr>
              <w:spacing w:after="120"/>
              <w:ind w:left="150"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96A12" w:rsidRPr="008C119A" w:rsidRDefault="00896A12" w:rsidP="00896A12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First Draft Completed End    </w:t>
            </w:r>
          </w:p>
          <w:p w:rsidR="00896A12" w:rsidRPr="008C119A" w:rsidRDefault="00896A12" w:rsidP="00896A12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October 2018, </w:t>
            </w:r>
          </w:p>
          <w:p w:rsidR="00896A12" w:rsidRPr="008C119A" w:rsidRDefault="00896A12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</w:p>
          <w:p w:rsidR="00896A12" w:rsidRPr="008C119A" w:rsidRDefault="00896A12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Final 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Version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: 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Spring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2019</w:t>
            </w:r>
          </w:p>
        </w:tc>
      </w:tr>
      <w:tr w:rsidR="00896A12" w:rsidRPr="008C119A" w:rsidTr="00896A12">
        <w:tc>
          <w:tcPr>
            <w:tcW w:w="382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A12" w:rsidRPr="008C119A" w:rsidRDefault="00896A12" w:rsidP="00896A12">
            <w:pPr>
              <w:pStyle w:val="ListParagraph"/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Security Governance Architecture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A12" w:rsidRPr="008C119A" w:rsidRDefault="00896A12" w:rsidP="007C08A9">
            <w:pPr>
              <w:spacing w:after="120"/>
              <w:ind w:left="150"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  <w:lang w:val="fr-CH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fr-CH"/>
              </w:rPr>
              <w:t xml:space="preserve">Jacques Francoeur, San Jose State 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fr-CH"/>
              </w:rPr>
              <w:t>University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96A12" w:rsidRPr="008C119A" w:rsidRDefault="00896A12" w:rsidP="00896A12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  <w:lang w:val="en-US"/>
              </w:rPr>
              <w:t xml:space="preserve"> 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First Draft Completed End    </w:t>
            </w:r>
          </w:p>
          <w:p w:rsidR="00896A12" w:rsidRPr="008C119A" w:rsidRDefault="00896A12" w:rsidP="00896A12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October 2018, </w:t>
            </w:r>
          </w:p>
          <w:p w:rsidR="00896A12" w:rsidRPr="008C119A" w:rsidRDefault="00896A12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</w:p>
          <w:p w:rsidR="00896A12" w:rsidRPr="008C119A" w:rsidRDefault="00896A12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Final 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Version: Spring 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2019</w:t>
            </w:r>
          </w:p>
        </w:tc>
      </w:tr>
      <w:tr w:rsidR="00896A12" w:rsidRPr="008C119A" w:rsidTr="00896A12">
        <w:trPr>
          <w:trHeight w:val="1915"/>
        </w:trPr>
        <w:tc>
          <w:tcPr>
            <w:tcW w:w="382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A12" w:rsidRPr="008C119A" w:rsidRDefault="00896A12" w:rsidP="00896A12">
            <w:pPr>
              <w:pStyle w:val="ListParagraph"/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right="274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Big Data Analytics for DFC Fraud Prevention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A12" w:rsidRPr="008C119A" w:rsidRDefault="00896A12" w:rsidP="007C08A9">
            <w:pPr>
              <w:spacing w:after="120"/>
              <w:ind w:left="150"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Richard O’Brien, CEO, Payment pathways</w:t>
            </w:r>
          </w:p>
          <w:p w:rsidR="00896A12" w:rsidRPr="008C119A" w:rsidRDefault="00896A12" w:rsidP="00896A12">
            <w:pPr>
              <w:spacing w:after="120"/>
              <w:ind w:left="150"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proofErr w:type="spellStart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Yury</w:t>
            </w:r>
            <w:proofErr w:type="spellEnd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Grin, Deputy Director General, </w:t>
            </w:r>
            <w:proofErr w:type="spellStart"/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Intervale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96A12" w:rsidRPr="008C119A" w:rsidRDefault="00896A12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First Draft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: 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  <w:r w:rsidR="00353520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January 2019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</w:p>
          <w:p w:rsidR="00896A12" w:rsidRPr="008C119A" w:rsidRDefault="00353520" w:rsidP="00353520">
            <w:pPr>
              <w:spacing w:after="120"/>
              <w:ind w:right="133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Final Version</w:t>
            </w:r>
            <w:r w:rsidR="00896A12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: </w:t>
            </w:r>
            <w:r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>Spring</w:t>
            </w:r>
            <w:r w:rsidR="00896A12" w:rsidRPr="008C119A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2019</w:t>
            </w:r>
          </w:p>
        </w:tc>
      </w:tr>
    </w:tbl>
    <w:p w:rsidR="00DD662A" w:rsidRPr="008C119A" w:rsidRDefault="00DD662A" w:rsidP="001224A7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</w:p>
    <w:p w:rsidR="008C119A" w:rsidRPr="008C119A" w:rsidRDefault="008C119A" w:rsidP="001224A7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  <w:r w:rsidRPr="008C119A">
        <w:rPr>
          <w:rFonts w:asciiTheme="majorBidi" w:hAnsiTheme="majorBidi" w:cstheme="majorBidi"/>
          <w:b/>
          <w:bCs/>
          <w:szCs w:val="24"/>
        </w:rPr>
        <w:t>_________________</w:t>
      </w:r>
    </w:p>
    <w:sectPr w:rsidR="008C119A" w:rsidRPr="008C119A" w:rsidSect="00837A7F">
      <w:headerReference w:type="default" r:id="rId12"/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3A" w:rsidRDefault="0005773A" w:rsidP="001224A7">
      <w:pPr>
        <w:spacing w:before="0"/>
      </w:pPr>
      <w:r>
        <w:separator/>
      </w:r>
    </w:p>
  </w:endnote>
  <w:endnote w:type="continuationSeparator" w:id="0">
    <w:p w:rsidR="0005773A" w:rsidRDefault="0005773A" w:rsidP="001224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3A" w:rsidRDefault="0005773A" w:rsidP="001224A7">
      <w:pPr>
        <w:spacing w:before="0"/>
      </w:pPr>
      <w:r>
        <w:separator/>
      </w:r>
    </w:p>
  </w:footnote>
  <w:footnote w:type="continuationSeparator" w:id="0">
    <w:p w:rsidR="0005773A" w:rsidRDefault="0005773A" w:rsidP="001224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0173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224A7" w:rsidRPr="001224A7" w:rsidRDefault="001224A7" w:rsidP="008C119A">
        <w:pPr>
          <w:pStyle w:val="Header"/>
          <w:jc w:val="center"/>
          <w:rPr>
            <w:sz w:val="18"/>
            <w:szCs w:val="18"/>
          </w:rPr>
        </w:pPr>
        <w:r w:rsidRPr="001224A7">
          <w:rPr>
            <w:sz w:val="18"/>
            <w:szCs w:val="18"/>
          </w:rPr>
          <w:fldChar w:fldCharType="begin"/>
        </w:r>
        <w:r w:rsidRPr="001224A7">
          <w:rPr>
            <w:sz w:val="18"/>
            <w:szCs w:val="18"/>
          </w:rPr>
          <w:instrText xml:space="preserve"> PAGE   \* MERGEFORMAT </w:instrText>
        </w:r>
        <w:r w:rsidRPr="001224A7">
          <w:rPr>
            <w:sz w:val="18"/>
            <w:szCs w:val="18"/>
          </w:rPr>
          <w:fldChar w:fldCharType="separate"/>
        </w:r>
        <w:r w:rsidR="004C511E">
          <w:rPr>
            <w:noProof/>
            <w:sz w:val="18"/>
            <w:szCs w:val="18"/>
          </w:rPr>
          <w:t>- 5 -</w:t>
        </w:r>
        <w:r w:rsidRPr="001224A7">
          <w:rPr>
            <w:noProof/>
            <w:sz w:val="18"/>
            <w:szCs w:val="18"/>
          </w:rPr>
          <w:fldChar w:fldCharType="end"/>
        </w:r>
        <w:r w:rsidR="00837A7F">
          <w:rPr>
            <w:noProof/>
            <w:sz w:val="18"/>
            <w:szCs w:val="18"/>
          </w:rPr>
          <w:br/>
          <w:t>T</w:t>
        </w:r>
        <w:r w:rsidR="008C119A">
          <w:rPr>
            <w:noProof/>
            <w:sz w:val="18"/>
            <w:szCs w:val="18"/>
          </w:rPr>
          <w:t>SAG-T</w:t>
        </w:r>
        <w:r w:rsidR="00837A7F">
          <w:rPr>
            <w:noProof/>
            <w:sz w:val="18"/>
            <w:szCs w:val="18"/>
          </w:rPr>
          <w:t>D</w:t>
        </w:r>
        <w:r w:rsidR="008C119A">
          <w:rPr>
            <w:noProof/>
            <w:sz w:val="18"/>
            <w:szCs w:val="18"/>
          </w:rPr>
          <w:t>299</w:t>
        </w:r>
      </w:p>
    </w:sdtContent>
  </w:sdt>
  <w:p w:rsidR="001224A7" w:rsidRDefault="0012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95EB0"/>
    <w:multiLevelType w:val="multilevel"/>
    <w:tmpl w:val="8660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 w15:restartNumberingAfterBreak="0">
    <w:nsid w:val="12835856"/>
    <w:multiLevelType w:val="hybridMultilevel"/>
    <w:tmpl w:val="084C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613"/>
    <w:multiLevelType w:val="hybridMultilevel"/>
    <w:tmpl w:val="3AA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27F5"/>
    <w:multiLevelType w:val="hybridMultilevel"/>
    <w:tmpl w:val="46AC9906"/>
    <w:lvl w:ilvl="0" w:tplc="0C80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F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3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E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4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DA181D"/>
    <w:multiLevelType w:val="multilevel"/>
    <w:tmpl w:val="982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 w15:restartNumberingAfterBreak="0">
    <w:nsid w:val="34042B48"/>
    <w:multiLevelType w:val="hybridMultilevel"/>
    <w:tmpl w:val="551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60523"/>
    <w:multiLevelType w:val="hybridMultilevel"/>
    <w:tmpl w:val="8CC261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67E58"/>
    <w:multiLevelType w:val="multilevel"/>
    <w:tmpl w:val="891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B0193"/>
    <w:multiLevelType w:val="multilevel"/>
    <w:tmpl w:val="17600E8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5A519B0"/>
    <w:multiLevelType w:val="multilevel"/>
    <w:tmpl w:val="37E2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F80279"/>
    <w:multiLevelType w:val="multilevel"/>
    <w:tmpl w:val="B68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564110"/>
    <w:multiLevelType w:val="multilevel"/>
    <w:tmpl w:val="8F5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E25CE"/>
    <w:multiLevelType w:val="multilevel"/>
    <w:tmpl w:val="062AB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D04DBE"/>
    <w:multiLevelType w:val="hybridMultilevel"/>
    <w:tmpl w:val="8D9E6DCC"/>
    <w:lvl w:ilvl="0" w:tplc="BD20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0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A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0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7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E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92EBC"/>
    <w:multiLevelType w:val="hybridMultilevel"/>
    <w:tmpl w:val="54246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00B0C"/>
    <w:multiLevelType w:val="multilevel"/>
    <w:tmpl w:val="1B9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5C4894"/>
    <w:multiLevelType w:val="multilevel"/>
    <w:tmpl w:val="3CDAC8A4"/>
    <w:lvl w:ilvl="0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09"/>
        </w:tabs>
        <w:ind w:left="6909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B85253C"/>
    <w:multiLevelType w:val="multilevel"/>
    <w:tmpl w:val="743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D6299"/>
    <w:multiLevelType w:val="multilevel"/>
    <w:tmpl w:val="A20C4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77E42"/>
    <w:multiLevelType w:val="hybridMultilevel"/>
    <w:tmpl w:val="1226BE5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FB37C8D"/>
    <w:multiLevelType w:val="hybridMultilevel"/>
    <w:tmpl w:val="019AC442"/>
    <w:lvl w:ilvl="0" w:tplc="04090001">
      <w:start w:val="1"/>
      <w:numFmt w:val="bullet"/>
      <w:lvlText w:val=""/>
      <w:lvlJc w:val="left"/>
      <w:pPr>
        <w:ind w:left="7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056723C">
      <w:start w:val="1"/>
      <w:numFmt w:val="bullet"/>
      <w:lvlText w:val="o"/>
      <w:lvlJc w:val="left"/>
      <w:pPr>
        <w:ind w:left="1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5E0B10">
      <w:start w:val="1"/>
      <w:numFmt w:val="bullet"/>
      <w:lvlText w:val="▪"/>
      <w:lvlJc w:val="left"/>
      <w:pPr>
        <w:ind w:left="2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E42DD86">
      <w:start w:val="1"/>
      <w:numFmt w:val="bullet"/>
      <w:lvlText w:val="•"/>
      <w:lvlJc w:val="left"/>
      <w:pPr>
        <w:ind w:left="2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CB23744">
      <w:start w:val="1"/>
      <w:numFmt w:val="bullet"/>
      <w:lvlText w:val="o"/>
      <w:lvlJc w:val="left"/>
      <w:pPr>
        <w:ind w:left="3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F4607A4">
      <w:start w:val="1"/>
      <w:numFmt w:val="bullet"/>
      <w:lvlText w:val="▪"/>
      <w:lvlJc w:val="left"/>
      <w:pPr>
        <w:ind w:left="4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BEC4E84">
      <w:start w:val="1"/>
      <w:numFmt w:val="bullet"/>
      <w:lvlText w:val="•"/>
      <w:lvlJc w:val="left"/>
      <w:pPr>
        <w:ind w:left="50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7AA447C">
      <w:start w:val="1"/>
      <w:numFmt w:val="bullet"/>
      <w:lvlText w:val="o"/>
      <w:lvlJc w:val="left"/>
      <w:pPr>
        <w:ind w:left="57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0AD6F0">
      <w:start w:val="1"/>
      <w:numFmt w:val="bullet"/>
      <w:lvlText w:val="▪"/>
      <w:lvlJc w:val="left"/>
      <w:pPr>
        <w:ind w:left="65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1CE3B6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68421E"/>
    <w:multiLevelType w:val="hybridMultilevel"/>
    <w:tmpl w:val="E35A98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0786B"/>
    <w:multiLevelType w:val="hybridMultilevel"/>
    <w:tmpl w:val="F6E07D08"/>
    <w:lvl w:ilvl="0" w:tplc="0874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C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4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8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0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8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4"/>
  </w:num>
  <w:num w:numId="9">
    <w:abstractNumId w:val="24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13"/>
  </w:num>
  <w:num w:numId="21">
    <w:abstractNumId w:val="10"/>
  </w:num>
  <w:num w:numId="22">
    <w:abstractNumId w:val="9"/>
  </w:num>
  <w:num w:numId="23">
    <w:abstractNumId w:val="1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8F"/>
    <w:rsid w:val="00035C29"/>
    <w:rsid w:val="0005773A"/>
    <w:rsid w:val="000816F3"/>
    <w:rsid w:val="00111723"/>
    <w:rsid w:val="001224A7"/>
    <w:rsid w:val="00145F62"/>
    <w:rsid w:val="001B36F2"/>
    <w:rsid w:val="00203D09"/>
    <w:rsid w:val="00216DE5"/>
    <w:rsid w:val="002427A7"/>
    <w:rsid w:val="00245EBF"/>
    <w:rsid w:val="0026062A"/>
    <w:rsid w:val="002A27D9"/>
    <w:rsid w:val="002F128F"/>
    <w:rsid w:val="002F3DE6"/>
    <w:rsid w:val="00311593"/>
    <w:rsid w:val="00353520"/>
    <w:rsid w:val="00383EE8"/>
    <w:rsid w:val="00453278"/>
    <w:rsid w:val="004C511E"/>
    <w:rsid w:val="005D3329"/>
    <w:rsid w:val="00601E1C"/>
    <w:rsid w:val="00681AD1"/>
    <w:rsid w:val="007039F7"/>
    <w:rsid w:val="00761584"/>
    <w:rsid w:val="00837A7F"/>
    <w:rsid w:val="00882354"/>
    <w:rsid w:val="00896A12"/>
    <w:rsid w:val="008B4488"/>
    <w:rsid w:val="008C119A"/>
    <w:rsid w:val="009F2ECF"/>
    <w:rsid w:val="00AB63BA"/>
    <w:rsid w:val="00B1718F"/>
    <w:rsid w:val="00B511B2"/>
    <w:rsid w:val="00BD5F84"/>
    <w:rsid w:val="00BF1B01"/>
    <w:rsid w:val="00C21756"/>
    <w:rsid w:val="00DD662A"/>
    <w:rsid w:val="00DF6AD5"/>
    <w:rsid w:val="00E075F1"/>
    <w:rsid w:val="00E14D2E"/>
    <w:rsid w:val="00E8314A"/>
    <w:rsid w:val="00ED7FFD"/>
    <w:rsid w:val="00F54FD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CCCD"/>
  <w15:chartTrackingRefBased/>
  <w15:docId w15:val="{4FE0EFF0-B450-41F8-90DD-568F110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1718F"/>
    <w:pPr>
      <w:keepNext/>
      <w:keepLines/>
      <w:numPr>
        <w:numId w:val="1"/>
      </w:numPr>
      <w:spacing w:before="360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B1718F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B1718F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B1718F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B1718F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semiHidden/>
    <w:unhideWhenUsed/>
    <w:qFormat/>
    <w:rsid w:val="00B1718F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B1718F"/>
    <w:pPr>
      <w:numPr>
        <w:ilvl w:val="6"/>
      </w:numPr>
      <w:outlineLvl w:val="6"/>
    </w:pPr>
    <w:rPr>
      <w:rFonts w:eastAsia="MS Mincho"/>
    </w:rPr>
  </w:style>
  <w:style w:type="paragraph" w:styleId="Heading8">
    <w:name w:val="heading 8"/>
    <w:basedOn w:val="Heading6"/>
    <w:next w:val="Normal"/>
    <w:link w:val="Heading8Char"/>
    <w:semiHidden/>
    <w:unhideWhenUsed/>
    <w:qFormat/>
    <w:rsid w:val="00B1718F"/>
    <w:pPr>
      <w:numPr>
        <w:ilvl w:val="7"/>
      </w:numPr>
      <w:outlineLvl w:val="7"/>
    </w:pPr>
    <w:rPr>
      <w:rFonts w:eastAsia="MS Mincho"/>
    </w:rPr>
  </w:style>
  <w:style w:type="paragraph" w:styleId="Heading9">
    <w:name w:val="heading 9"/>
    <w:basedOn w:val="Heading6"/>
    <w:next w:val="Normal"/>
    <w:link w:val="Heading9Char"/>
    <w:semiHidden/>
    <w:unhideWhenUsed/>
    <w:qFormat/>
    <w:rsid w:val="00B1718F"/>
    <w:pPr>
      <w:numPr>
        <w:ilvl w:val="8"/>
      </w:numPr>
      <w:outlineLvl w:val="8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B1718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1718F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1718F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1718F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styleId="Hyperlink">
    <w:name w:val="Hyperlink"/>
    <w:uiPriority w:val="99"/>
    <w:unhideWhenUsed/>
    <w:rsid w:val="00B1718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71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11593"/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224A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24A7"/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24A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24A7"/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BF1B01"/>
    <w:pPr>
      <w:spacing w:before="80"/>
      <w:ind w:left="794" w:hanging="794"/>
      <w:textAlignment w:val="baseline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F1B01"/>
    <w:rPr>
      <w:b/>
      <w:bCs/>
    </w:rPr>
  </w:style>
  <w:style w:type="character" w:customStyle="1" w:styleId="ms-rtethemeforecolor-5-4">
    <w:name w:val="ms-rtethemeforecolor-5-4"/>
    <w:basedOn w:val="DefaultParagraphFont"/>
    <w:rsid w:val="00BF1B01"/>
  </w:style>
  <w:style w:type="table" w:styleId="TableGrid">
    <w:name w:val="Table Grid"/>
    <w:basedOn w:val="TableNormal"/>
    <w:uiPriority w:val="39"/>
    <w:rsid w:val="00245E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1C"/>
    <w:rPr>
      <w:rFonts w:ascii="Segoe UI" w:eastAsia="MS Mincho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@ecurrency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tu.int/sites/itu-t/focusgroups/dfc/SitePages/Hom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tu.int/en/ITU-T/Workshops-and-Seminars/20180718/Pages/Program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dfc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Mauree, Venkatesen</dc:creator>
  <cp:keywords/>
  <dc:description/>
  <cp:lastModifiedBy>Al-Mnini, Lara</cp:lastModifiedBy>
  <cp:revision>7</cp:revision>
  <dcterms:created xsi:type="dcterms:W3CDTF">2018-11-13T09:15:00Z</dcterms:created>
  <dcterms:modified xsi:type="dcterms:W3CDTF">2018-11-14T07:45:00Z</dcterms:modified>
</cp:coreProperties>
</file>