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0"/>
        <w:gridCol w:w="3829"/>
        <w:gridCol w:w="284"/>
        <w:gridCol w:w="283"/>
        <w:gridCol w:w="3830"/>
      </w:tblGrid>
      <w:tr w:rsidR="00691C94" w:rsidRPr="001353EF" w14:paraId="0867C755" w14:textId="77777777" w:rsidTr="00C13B93">
        <w:trPr>
          <w:cantSplit/>
          <w:jc w:val="center"/>
        </w:trPr>
        <w:tc>
          <w:tcPr>
            <w:tcW w:w="1134" w:type="dxa"/>
            <w:vMerge w:val="restart"/>
            <w:vAlign w:val="center"/>
          </w:tcPr>
          <w:p w14:paraId="1F4D3F2E" w14:textId="650B48E2" w:rsidR="00691C94" w:rsidRPr="001353EF" w:rsidRDefault="00691C94" w:rsidP="0030352D">
            <w:pPr>
              <w:jc w:val="center"/>
              <w:rPr>
                <w:rFonts w:asciiTheme="majorBidi" w:hAnsiTheme="majorBidi" w:cstheme="majorBidi"/>
                <w:sz w:val="22"/>
                <w:szCs w:val="22"/>
                <w:lang w:val="fr-CH"/>
              </w:rPr>
            </w:pPr>
            <w:r w:rsidRPr="001353EF">
              <w:rPr>
                <w:rFonts w:asciiTheme="majorBidi" w:hAnsiTheme="majorBidi" w:cstheme="majorBidi"/>
                <w:noProof/>
                <w:sz w:val="22"/>
                <w:szCs w:val="22"/>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6" w:type="dxa"/>
            <w:gridSpan w:val="4"/>
            <w:vMerge w:val="restart"/>
          </w:tcPr>
          <w:p w14:paraId="38F19E88" w14:textId="77777777" w:rsidR="00B41790" w:rsidRPr="001353EF" w:rsidRDefault="00B41790" w:rsidP="0030352D">
            <w:pPr>
              <w:rPr>
                <w:rFonts w:asciiTheme="majorBidi" w:hAnsiTheme="majorBidi" w:cstheme="majorBidi"/>
                <w:sz w:val="16"/>
                <w:szCs w:val="16"/>
                <w:lang w:val="fr-CH"/>
              </w:rPr>
            </w:pPr>
            <w:r w:rsidRPr="001353EF">
              <w:rPr>
                <w:rFonts w:asciiTheme="majorBidi" w:hAnsiTheme="majorBidi" w:cstheme="majorBidi"/>
                <w:sz w:val="16"/>
                <w:szCs w:val="16"/>
                <w:lang w:val="fr-CH"/>
              </w:rPr>
              <w:t>UNION INTERNATIONALE DES TÉLÉCOMMUNICATIONS</w:t>
            </w:r>
          </w:p>
          <w:p w14:paraId="285BA525" w14:textId="1B5C0C22" w:rsidR="00B41790" w:rsidRPr="001353EF" w:rsidRDefault="00B41790" w:rsidP="0030352D">
            <w:pPr>
              <w:rPr>
                <w:rFonts w:asciiTheme="majorBidi" w:hAnsiTheme="majorBidi" w:cstheme="majorBidi"/>
                <w:b/>
                <w:bCs/>
                <w:sz w:val="26"/>
                <w:szCs w:val="26"/>
                <w:lang w:val="fr-CH"/>
              </w:rPr>
            </w:pPr>
            <w:r w:rsidRPr="001353EF">
              <w:rPr>
                <w:rFonts w:asciiTheme="majorBidi" w:hAnsiTheme="majorBidi" w:cstheme="majorBidi"/>
                <w:b/>
                <w:bCs/>
                <w:sz w:val="26"/>
                <w:szCs w:val="26"/>
                <w:lang w:val="fr-CH"/>
              </w:rPr>
              <w:t>SECTEUR DE LA NORMALISATION DES T</w:t>
            </w:r>
            <w:r w:rsidR="00217D92" w:rsidRPr="001353EF">
              <w:rPr>
                <w:rFonts w:asciiTheme="majorBidi" w:hAnsiTheme="majorBidi" w:cstheme="majorBidi"/>
                <w:b/>
                <w:bCs/>
                <w:sz w:val="26"/>
                <w:szCs w:val="26"/>
                <w:lang w:val="fr-CH"/>
              </w:rPr>
              <w:t>ÉLÉ</w:t>
            </w:r>
            <w:r w:rsidRPr="001353EF">
              <w:rPr>
                <w:rFonts w:asciiTheme="majorBidi" w:hAnsiTheme="majorBidi" w:cstheme="majorBidi"/>
                <w:b/>
                <w:bCs/>
                <w:sz w:val="26"/>
                <w:szCs w:val="26"/>
                <w:lang w:val="fr-CH"/>
              </w:rPr>
              <w:t>COMMUNICATIONS</w:t>
            </w:r>
          </w:p>
          <w:p w14:paraId="4A330FB4" w14:textId="7D8A4DAB" w:rsidR="00691C94" w:rsidRPr="001353EF" w:rsidRDefault="00B41790" w:rsidP="0030352D">
            <w:pPr>
              <w:rPr>
                <w:rFonts w:asciiTheme="majorBidi" w:hAnsiTheme="majorBidi" w:cstheme="majorBidi"/>
                <w:sz w:val="22"/>
                <w:szCs w:val="22"/>
                <w:lang w:val="fr-CH"/>
              </w:rPr>
            </w:pPr>
            <w:bookmarkStart w:id="0" w:name="dstudyperiod"/>
            <w:r w:rsidRPr="001353EF">
              <w:rPr>
                <w:rFonts w:asciiTheme="majorBidi" w:hAnsiTheme="majorBidi" w:cstheme="majorBidi"/>
                <w:sz w:val="20"/>
                <w:lang w:val="fr-CH"/>
              </w:rPr>
              <w:t>PÉRIODE D</w:t>
            </w:r>
            <w:r w:rsidR="0081777D" w:rsidRPr="001353EF">
              <w:rPr>
                <w:rFonts w:asciiTheme="majorBidi" w:hAnsiTheme="majorBidi" w:cstheme="majorBidi"/>
                <w:sz w:val="20"/>
                <w:lang w:val="fr-CH"/>
              </w:rPr>
              <w:t>'</w:t>
            </w:r>
            <w:r w:rsidRPr="001353EF">
              <w:rPr>
                <w:rFonts w:asciiTheme="majorBidi" w:hAnsiTheme="majorBidi" w:cstheme="majorBidi"/>
                <w:sz w:val="20"/>
                <w:lang w:val="fr-CH"/>
              </w:rPr>
              <w:t>ÉTUDES 2017-2020</w:t>
            </w:r>
            <w:bookmarkEnd w:id="0"/>
          </w:p>
        </w:tc>
        <w:tc>
          <w:tcPr>
            <w:tcW w:w="3830" w:type="dxa"/>
            <w:vAlign w:val="center"/>
          </w:tcPr>
          <w:p w14:paraId="23EE4F5F" w14:textId="5D319302" w:rsidR="00691C94" w:rsidRPr="001353EF" w:rsidRDefault="006126E3" w:rsidP="0030352D">
            <w:pPr>
              <w:pStyle w:val="Docnumber"/>
              <w:rPr>
                <w:rFonts w:asciiTheme="majorBidi" w:hAnsiTheme="majorBidi" w:cstheme="majorBidi"/>
                <w:sz w:val="22"/>
                <w:szCs w:val="22"/>
                <w:lang w:val="fr-CH"/>
              </w:rPr>
            </w:pPr>
            <w:sdt>
              <w:sdtPr>
                <w:rPr>
                  <w:rFonts w:asciiTheme="majorBidi" w:hAnsiTheme="majorBidi" w:cstheme="majorBidi"/>
                  <w:szCs w:val="32"/>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3B32AB" w:rsidRPr="003B32AB">
                  <w:rPr>
                    <w:rFonts w:asciiTheme="majorBidi" w:hAnsiTheme="majorBidi" w:cstheme="majorBidi"/>
                    <w:szCs w:val="32"/>
                  </w:rPr>
                  <w:t>TSAG-TD291-F</w:t>
                </w:r>
              </w:sdtContent>
            </w:sdt>
          </w:p>
        </w:tc>
      </w:tr>
      <w:tr w:rsidR="008F18B8" w:rsidRPr="00CF5D8B" w14:paraId="69A404E2" w14:textId="77777777" w:rsidTr="00C13B93">
        <w:trPr>
          <w:cantSplit/>
          <w:jc w:val="center"/>
        </w:trPr>
        <w:tc>
          <w:tcPr>
            <w:tcW w:w="1134" w:type="dxa"/>
            <w:vMerge/>
          </w:tcPr>
          <w:p w14:paraId="1E90CF83" w14:textId="77777777" w:rsidR="008F18B8" w:rsidRPr="001353EF" w:rsidRDefault="008F18B8" w:rsidP="0030352D">
            <w:pPr>
              <w:rPr>
                <w:rFonts w:asciiTheme="majorBidi" w:hAnsiTheme="majorBidi" w:cstheme="majorBidi"/>
                <w:smallCaps/>
                <w:sz w:val="22"/>
                <w:szCs w:val="22"/>
                <w:lang w:val="fr-CH"/>
              </w:rPr>
            </w:pPr>
          </w:p>
        </w:tc>
        <w:tc>
          <w:tcPr>
            <w:tcW w:w="4676" w:type="dxa"/>
            <w:gridSpan w:val="4"/>
            <w:vMerge/>
          </w:tcPr>
          <w:p w14:paraId="1056B6DD" w14:textId="2F81B887" w:rsidR="008F18B8" w:rsidRPr="001353EF" w:rsidRDefault="008F18B8" w:rsidP="0030352D">
            <w:pPr>
              <w:rPr>
                <w:rFonts w:asciiTheme="majorBidi" w:hAnsiTheme="majorBidi" w:cstheme="majorBidi"/>
                <w:smallCaps/>
                <w:sz w:val="22"/>
                <w:szCs w:val="22"/>
                <w:lang w:val="fr-CH"/>
              </w:rPr>
            </w:pPr>
          </w:p>
        </w:tc>
        <w:tc>
          <w:tcPr>
            <w:tcW w:w="3830" w:type="dxa"/>
          </w:tcPr>
          <w:p w14:paraId="69B1EB7D" w14:textId="147E9CFA" w:rsidR="008F18B8" w:rsidRPr="001353EF" w:rsidRDefault="003B32AB" w:rsidP="0030352D">
            <w:pPr>
              <w:jc w:val="right"/>
              <w:rPr>
                <w:rFonts w:asciiTheme="majorBidi" w:hAnsiTheme="majorBidi" w:cstheme="majorBidi"/>
                <w:b/>
                <w:bCs/>
                <w:sz w:val="26"/>
                <w:szCs w:val="26"/>
                <w:lang w:val="fr-CH"/>
              </w:rPr>
            </w:pPr>
            <w:r>
              <w:rPr>
                <w:rFonts w:asciiTheme="majorBidi" w:hAnsiTheme="majorBidi" w:cstheme="majorBidi"/>
                <w:b/>
                <w:bCs/>
                <w:smallCaps/>
                <w:sz w:val="28"/>
                <w:szCs w:val="28"/>
              </w:rPr>
              <w:t>GCNT</w:t>
            </w:r>
          </w:p>
        </w:tc>
      </w:tr>
      <w:tr w:rsidR="00691C94" w:rsidRPr="001353EF" w14:paraId="2A208DDE" w14:textId="77777777" w:rsidTr="00C13B93">
        <w:trPr>
          <w:cantSplit/>
          <w:jc w:val="center"/>
        </w:trPr>
        <w:tc>
          <w:tcPr>
            <w:tcW w:w="1134" w:type="dxa"/>
            <w:vMerge/>
            <w:tcBorders>
              <w:bottom w:val="single" w:sz="12" w:space="0" w:color="auto"/>
            </w:tcBorders>
          </w:tcPr>
          <w:p w14:paraId="6169B641" w14:textId="77777777" w:rsidR="00691C94" w:rsidRPr="001353EF" w:rsidRDefault="00691C94" w:rsidP="0030352D">
            <w:pPr>
              <w:rPr>
                <w:rFonts w:asciiTheme="majorBidi" w:hAnsiTheme="majorBidi" w:cstheme="majorBidi"/>
                <w:b/>
                <w:bCs/>
                <w:sz w:val="22"/>
                <w:szCs w:val="22"/>
                <w:lang w:val="fr-CH"/>
              </w:rPr>
            </w:pPr>
            <w:bookmarkStart w:id="1" w:name="ddate" w:colFirst="2" w:colLast="2"/>
          </w:p>
        </w:tc>
        <w:tc>
          <w:tcPr>
            <w:tcW w:w="4676" w:type="dxa"/>
            <w:gridSpan w:val="4"/>
            <w:vMerge/>
            <w:tcBorders>
              <w:bottom w:val="single" w:sz="12" w:space="0" w:color="auto"/>
            </w:tcBorders>
          </w:tcPr>
          <w:p w14:paraId="545C3036" w14:textId="32E39F79" w:rsidR="00691C94" w:rsidRPr="001353EF" w:rsidRDefault="00691C94" w:rsidP="0030352D">
            <w:pPr>
              <w:rPr>
                <w:rFonts w:asciiTheme="majorBidi" w:hAnsiTheme="majorBidi" w:cstheme="majorBidi"/>
                <w:b/>
                <w:bCs/>
                <w:sz w:val="22"/>
                <w:szCs w:val="22"/>
                <w:lang w:val="fr-CH"/>
              </w:rPr>
            </w:pPr>
            <w:bookmarkStart w:id="2" w:name="dorlang" w:colFirst="2" w:colLast="2"/>
            <w:bookmarkEnd w:id="1"/>
          </w:p>
        </w:tc>
        <w:tc>
          <w:tcPr>
            <w:tcW w:w="3830" w:type="dxa"/>
            <w:tcBorders>
              <w:bottom w:val="single" w:sz="12" w:space="0" w:color="auto"/>
            </w:tcBorders>
            <w:vAlign w:val="center"/>
          </w:tcPr>
          <w:p w14:paraId="6FB266D9" w14:textId="47729DCC" w:rsidR="00691C94" w:rsidRPr="001353EF" w:rsidRDefault="00691C94" w:rsidP="0030352D">
            <w:pPr>
              <w:jc w:val="right"/>
              <w:rPr>
                <w:rFonts w:asciiTheme="majorBidi" w:hAnsiTheme="majorBidi" w:cstheme="majorBidi"/>
                <w:b/>
                <w:bCs/>
                <w:sz w:val="22"/>
                <w:szCs w:val="22"/>
                <w:lang w:val="fr-CH"/>
              </w:rPr>
            </w:pPr>
            <w:r w:rsidRPr="001353EF">
              <w:rPr>
                <w:rFonts w:asciiTheme="majorBidi" w:hAnsiTheme="majorBidi" w:cstheme="majorBidi"/>
                <w:b/>
                <w:bCs/>
                <w:sz w:val="28"/>
                <w:szCs w:val="28"/>
                <w:lang w:val="fr-CH"/>
              </w:rPr>
              <w:t xml:space="preserve">Original: </w:t>
            </w:r>
            <w:r w:rsidR="002F7EC1">
              <w:rPr>
                <w:rFonts w:asciiTheme="majorBidi" w:hAnsiTheme="majorBidi" w:cstheme="majorBidi"/>
                <w:b/>
                <w:bCs/>
                <w:sz w:val="28"/>
                <w:szCs w:val="28"/>
                <w:lang w:val="fr-CH"/>
              </w:rPr>
              <w:t>angla</w:t>
            </w:r>
            <w:r w:rsidR="00A2333D" w:rsidRPr="001353EF">
              <w:rPr>
                <w:rFonts w:asciiTheme="majorBidi" w:hAnsiTheme="majorBidi" w:cstheme="majorBidi"/>
                <w:b/>
                <w:bCs/>
                <w:sz w:val="28"/>
                <w:szCs w:val="28"/>
                <w:lang w:val="fr-CH"/>
              </w:rPr>
              <w:t>is</w:t>
            </w:r>
          </w:p>
        </w:tc>
      </w:tr>
      <w:tr w:rsidR="008F18B8" w:rsidRPr="001353EF" w14:paraId="1AF38BFE" w14:textId="77777777" w:rsidTr="00C13B93">
        <w:trPr>
          <w:cantSplit/>
          <w:jc w:val="center"/>
        </w:trPr>
        <w:tc>
          <w:tcPr>
            <w:tcW w:w="1414" w:type="dxa"/>
            <w:gridSpan w:val="2"/>
          </w:tcPr>
          <w:p w14:paraId="3DEF3B04" w14:textId="3E085F3B" w:rsidR="008F18B8" w:rsidRPr="001353EF" w:rsidRDefault="008F18B8" w:rsidP="0030352D">
            <w:pPr>
              <w:rPr>
                <w:rFonts w:asciiTheme="majorBidi" w:hAnsiTheme="majorBidi" w:cstheme="majorBidi"/>
                <w:b/>
                <w:bCs/>
                <w:lang w:val="fr-CH"/>
              </w:rPr>
            </w:pPr>
            <w:bookmarkStart w:id="3" w:name="dbluepink" w:colFirst="1" w:colLast="1"/>
            <w:bookmarkEnd w:id="2"/>
            <w:r w:rsidRPr="001353EF">
              <w:rPr>
                <w:rFonts w:asciiTheme="majorBidi" w:hAnsiTheme="majorBidi" w:cstheme="majorBidi"/>
                <w:b/>
                <w:bCs/>
                <w:lang w:val="fr-CH"/>
              </w:rPr>
              <w:t>Question</w:t>
            </w:r>
            <w:r w:rsidR="00CF5D8B">
              <w:rPr>
                <w:rFonts w:asciiTheme="majorBidi" w:hAnsiTheme="majorBidi" w:cstheme="majorBidi"/>
                <w:b/>
                <w:bCs/>
                <w:lang w:val="fr-CH"/>
              </w:rPr>
              <w:t>(s)</w:t>
            </w:r>
            <w:r w:rsidRPr="001353EF">
              <w:rPr>
                <w:rFonts w:asciiTheme="majorBidi" w:hAnsiTheme="majorBidi" w:cstheme="majorBidi"/>
                <w:b/>
                <w:bCs/>
                <w:lang w:val="fr-CH"/>
              </w:rPr>
              <w:t>:</w:t>
            </w:r>
          </w:p>
        </w:tc>
        <w:sdt>
          <w:sdtPr>
            <w:rPr>
              <w:rFonts w:asciiTheme="majorBidi" w:hAnsiTheme="majorBidi" w:cstheme="majorBidi"/>
              <w:lang w:val="fr-CH"/>
            </w:rPr>
            <w:alias w:val="QuestionText"/>
            <w:tag w:val="QuestionText"/>
            <w:id w:val="-58169772"/>
            <w:placeholder>
              <w:docPart w:val="33C35A8436AA4C4B9136D03002FFE8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9" w:type="dxa"/>
              </w:tcPr>
              <w:p w14:paraId="1DB7D93A" w14:textId="4F58B83E" w:rsidR="008F18B8" w:rsidRPr="001353EF" w:rsidRDefault="003B32AB" w:rsidP="0030352D">
                <w:pPr>
                  <w:rPr>
                    <w:rFonts w:asciiTheme="majorBidi" w:hAnsiTheme="majorBidi" w:cstheme="majorBidi"/>
                    <w:lang w:val="fr-CH"/>
                  </w:rPr>
                </w:pPr>
                <w:r>
                  <w:rPr>
                    <w:rFonts w:asciiTheme="majorBidi" w:hAnsiTheme="majorBidi" w:cstheme="majorBidi"/>
                    <w:lang w:val="fr-CH"/>
                  </w:rPr>
                  <w:t>Sans objet</w:t>
                </w:r>
              </w:p>
            </w:tc>
          </w:sdtContent>
        </w:sdt>
        <w:tc>
          <w:tcPr>
            <w:tcW w:w="4397" w:type="dxa"/>
            <w:gridSpan w:val="3"/>
          </w:tcPr>
          <w:p w14:paraId="31155891" w14:textId="50AAC5B2" w:rsidR="008F18B8" w:rsidRPr="001353EF" w:rsidRDefault="003B32AB" w:rsidP="0030352D">
            <w:pPr>
              <w:jc w:val="right"/>
              <w:rPr>
                <w:rFonts w:asciiTheme="majorBidi" w:hAnsiTheme="majorBidi" w:cstheme="majorBidi"/>
                <w:lang w:val="fr-CH"/>
              </w:rPr>
            </w:pPr>
            <w:r>
              <w:rPr>
                <w:rFonts w:asciiTheme="majorBidi" w:hAnsiTheme="majorBidi" w:cstheme="majorBidi"/>
                <w:lang w:val="fr-CH"/>
              </w:rPr>
              <w:t>Genève, 10-14 décembre 2018</w:t>
            </w:r>
            <w:r w:rsidR="008F18B8" w:rsidRPr="001353EF">
              <w:rPr>
                <w:rFonts w:asciiTheme="majorBidi" w:hAnsiTheme="majorBidi" w:cstheme="majorBidi"/>
                <w:lang w:val="fr-CH"/>
              </w:rPr>
              <w:t xml:space="preserve"> </w:t>
            </w:r>
          </w:p>
        </w:tc>
      </w:tr>
      <w:bookmarkEnd w:id="3"/>
      <w:tr w:rsidR="008F18B8" w:rsidRPr="001353EF" w14:paraId="345A6F48" w14:textId="77777777" w:rsidTr="00071F73">
        <w:trPr>
          <w:cantSplit/>
          <w:jc w:val="center"/>
        </w:trPr>
        <w:tc>
          <w:tcPr>
            <w:tcW w:w="9640" w:type="dxa"/>
            <w:gridSpan w:val="6"/>
          </w:tcPr>
          <w:p w14:paraId="0C4E5689" w14:textId="0AC54699" w:rsidR="008F18B8" w:rsidRPr="001353EF" w:rsidRDefault="006126E3" w:rsidP="0030352D">
            <w:pPr>
              <w:jc w:val="center"/>
              <w:rPr>
                <w:rFonts w:asciiTheme="majorBidi" w:hAnsiTheme="majorBidi" w:cstheme="majorBidi"/>
                <w:b/>
                <w:bCs/>
                <w:lang w:val="fr-CH"/>
              </w:rPr>
            </w:pPr>
            <w:sdt>
              <w:sdtPr>
                <w:rPr>
                  <w:rFonts w:asciiTheme="majorBidi" w:hAnsiTheme="majorBidi" w:cstheme="majorBidi"/>
                  <w:b/>
                  <w:bCs/>
                  <w:lang w:val="fr-CH"/>
                </w:rPr>
                <w:alias w:val="DocTypeText"/>
                <w:tag w:val="DocTypeText"/>
                <w:id w:val="-1436660787"/>
                <w:placeholder>
                  <w:docPart w:val="738B5C25308E4808B7BBFD754453C11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3B32AB">
                  <w:rPr>
                    <w:rFonts w:asciiTheme="majorBidi" w:hAnsiTheme="majorBidi" w:cstheme="majorBidi"/>
                    <w:b/>
                    <w:bCs/>
                    <w:lang w:val="fr-CH"/>
                  </w:rPr>
                  <w:t>TD</w:t>
                </w:r>
              </w:sdtContent>
            </w:sdt>
          </w:p>
        </w:tc>
      </w:tr>
      <w:tr w:rsidR="008F18B8" w:rsidRPr="00CF5D8B" w14:paraId="36F226DD" w14:textId="77777777" w:rsidTr="00C13B93">
        <w:trPr>
          <w:cantSplit/>
          <w:jc w:val="center"/>
        </w:trPr>
        <w:tc>
          <w:tcPr>
            <w:tcW w:w="1414" w:type="dxa"/>
            <w:gridSpan w:val="2"/>
          </w:tcPr>
          <w:p w14:paraId="0C6BE8C3" w14:textId="770A837F" w:rsidR="008F18B8" w:rsidRPr="001353EF" w:rsidRDefault="00A2333D" w:rsidP="0030352D">
            <w:pPr>
              <w:rPr>
                <w:rFonts w:asciiTheme="majorBidi" w:hAnsiTheme="majorBidi" w:cstheme="majorBidi"/>
                <w:b/>
                <w:bCs/>
                <w:lang w:val="fr-CH"/>
              </w:rPr>
            </w:pPr>
            <w:r w:rsidRPr="001353EF">
              <w:rPr>
                <w:rFonts w:asciiTheme="majorBidi" w:hAnsiTheme="majorBidi" w:cstheme="majorBidi"/>
                <w:b/>
                <w:bCs/>
                <w:lang w:val="fr-CH"/>
              </w:rPr>
              <w:t>Origine</w:t>
            </w:r>
            <w:r w:rsidR="008F18B8" w:rsidRPr="001353EF">
              <w:rPr>
                <w:rFonts w:asciiTheme="majorBidi" w:hAnsiTheme="majorBidi" w:cstheme="majorBidi"/>
                <w:b/>
                <w:bCs/>
                <w:lang w:val="fr-CH"/>
              </w:rPr>
              <w:t>:</w:t>
            </w:r>
          </w:p>
        </w:tc>
        <w:sdt>
          <w:sdtPr>
            <w:rPr>
              <w:rFonts w:asciiTheme="majorBidi" w:hAnsiTheme="majorBidi" w:cstheme="majorBidi"/>
            </w:rPr>
            <w:alias w:val="DocumentSource"/>
            <w:tag w:val="DocumentSource"/>
            <w:id w:val="-1547363769"/>
            <w:placeholder>
              <w:docPart w:val="8200C6A279344E64A047EA3180671B6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6" w:type="dxa"/>
                <w:gridSpan w:val="4"/>
              </w:tcPr>
              <w:p w14:paraId="22CD3EE2" w14:textId="2C6BC347" w:rsidR="008F18B8" w:rsidRPr="001353EF" w:rsidRDefault="003B32AB" w:rsidP="0030352D">
                <w:pPr>
                  <w:rPr>
                    <w:rFonts w:asciiTheme="majorBidi" w:hAnsiTheme="majorBidi" w:cstheme="majorBidi"/>
                    <w:lang w:val="fr-CH"/>
                  </w:rPr>
                </w:pPr>
                <w:r w:rsidRPr="003B32AB">
                  <w:rPr>
                    <w:rFonts w:asciiTheme="majorBidi" w:hAnsiTheme="majorBidi" w:cstheme="majorBidi"/>
                  </w:rPr>
                  <w:t>Directeur du TSB</w:t>
                </w:r>
              </w:p>
            </w:tc>
          </w:sdtContent>
        </w:sdt>
      </w:tr>
      <w:tr w:rsidR="008F18B8" w:rsidRPr="007A1A3D" w14:paraId="0B1F3ADC" w14:textId="77777777" w:rsidTr="00C13B93">
        <w:trPr>
          <w:cantSplit/>
          <w:jc w:val="center"/>
        </w:trPr>
        <w:tc>
          <w:tcPr>
            <w:tcW w:w="1414" w:type="dxa"/>
            <w:gridSpan w:val="2"/>
          </w:tcPr>
          <w:p w14:paraId="02C9C00F" w14:textId="4A5B5A55" w:rsidR="008F18B8" w:rsidRPr="001353EF" w:rsidRDefault="00A2333D" w:rsidP="0030352D">
            <w:pPr>
              <w:rPr>
                <w:rFonts w:asciiTheme="majorBidi" w:hAnsiTheme="majorBidi" w:cstheme="majorBidi"/>
                <w:lang w:val="fr-CH"/>
              </w:rPr>
            </w:pPr>
            <w:r w:rsidRPr="001353EF">
              <w:rPr>
                <w:rFonts w:asciiTheme="majorBidi" w:hAnsiTheme="majorBidi" w:cstheme="majorBidi"/>
                <w:b/>
                <w:bCs/>
                <w:lang w:val="fr-CH"/>
              </w:rPr>
              <w:t>Titre</w:t>
            </w:r>
            <w:r w:rsidR="008F18B8" w:rsidRPr="001353EF">
              <w:rPr>
                <w:rFonts w:asciiTheme="majorBidi" w:hAnsiTheme="majorBidi" w:cstheme="majorBidi"/>
                <w:b/>
                <w:bCs/>
                <w:lang w:val="fr-CH"/>
              </w:rPr>
              <w:t>:</w:t>
            </w:r>
          </w:p>
        </w:tc>
        <w:tc>
          <w:tcPr>
            <w:tcW w:w="8226" w:type="dxa"/>
            <w:gridSpan w:val="4"/>
          </w:tcPr>
          <w:p w14:paraId="10D9B5C7" w14:textId="0F68AD43" w:rsidR="008F18B8" w:rsidRPr="001353EF" w:rsidRDefault="006126E3" w:rsidP="0030352D">
            <w:pPr>
              <w:rPr>
                <w:rFonts w:asciiTheme="majorBidi" w:hAnsiTheme="majorBidi" w:cstheme="majorBidi"/>
                <w:lang w:val="fr-CH"/>
              </w:rPr>
            </w:pPr>
            <w:sdt>
              <w:sdtPr>
                <w:rPr>
                  <w:rFonts w:asciiTheme="majorBidi" w:hAnsiTheme="majorBidi" w:cstheme="majorBidi"/>
                  <w:lang w:val="fr-FR"/>
                </w:rPr>
                <w:alias w:val="Title"/>
                <w:tag w:val="Title"/>
                <w:id w:val="1877968201"/>
                <w:placeholder>
                  <w:docPart w:val="32C400EF818A49C4A11565C3EADA2C14"/>
                </w:placeholder>
                <w:dataBinding w:prefixMappings="xmlns:ns0='http://purl.org/dc/elements/1.1/' xmlns:ns1='http://schemas.openxmlformats.org/package/2006/metadata/core-properties' " w:xpath="/ns1:coreProperties[1]/ns0:title[1]" w:storeItemID="{6C3C8BC8-F283-45AE-878A-BAB7291924A1}"/>
                <w:text/>
              </w:sdtPr>
              <w:sdtEndPr/>
              <w:sdtContent>
                <w:r w:rsidR="003B32AB" w:rsidRPr="003B32AB">
                  <w:rPr>
                    <w:rFonts w:asciiTheme="majorBidi" w:hAnsiTheme="majorBidi" w:cstheme="majorBidi"/>
                    <w:lang w:val="fr-FR"/>
                  </w:rPr>
                  <w:t>Rapport d'activité de l'UIT-T (de février à octobre 2018)</w:t>
                </w:r>
              </w:sdtContent>
            </w:sdt>
          </w:p>
        </w:tc>
      </w:tr>
      <w:tr w:rsidR="00C13B93" w:rsidRPr="001353EF" w14:paraId="6D233B1D" w14:textId="77777777" w:rsidTr="00C13B93">
        <w:trPr>
          <w:cantSplit/>
          <w:jc w:val="center"/>
        </w:trPr>
        <w:tc>
          <w:tcPr>
            <w:tcW w:w="1414" w:type="dxa"/>
            <w:gridSpan w:val="2"/>
          </w:tcPr>
          <w:p w14:paraId="261E353B" w14:textId="7B9FAAA9" w:rsidR="00C13B93" w:rsidRPr="001353EF" w:rsidRDefault="00C13B93" w:rsidP="0030352D">
            <w:pPr>
              <w:rPr>
                <w:rFonts w:asciiTheme="majorBidi" w:hAnsiTheme="majorBidi" w:cstheme="majorBidi"/>
                <w:b/>
                <w:bCs/>
                <w:lang w:val="fr-CH"/>
              </w:rPr>
            </w:pPr>
            <w:r w:rsidRPr="001353EF">
              <w:rPr>
                <w:rFonts w:asciiTheme="majorBidi" w:hAnsiTheme="majorBidi" w:cstheme="majorBidi"/>
                <w:b/>
                <w:bCs/>
                <w:lang w:val="fr-CH"/>
              </w:rPr>
              <w:t xml:space="preserve">Objet: </w:t>
            </w:r>
          </w:p>
        </w:tc>
        <w:tc>
          <w:tcPr>
            <w:tcW w:w="8226" w:type="dxa"/>
            <w:gridSpan w:val="4"/>
          </w:tcPr>
          <w:p w14:paraId="6FECDE90" w14:textId="1604678D" w:rsidR="00C13B93" w:rsidRPr="001353EF" w:rsidRDefault="003B32AB" w:rsidP="0030352D">
            <w:pPr>
              <w:rPr>
                <w:rFonts w:asciiTheme="majorBidi" w:hAnsiTheme="majorBidi" w:cstheme="majorBidi"/>
                <w:color w:val="000000"/>
                <w:lang w:val="fr-CH"/>
              </w:rPr>
            </w:pPr>
            <w:r>
              <w:rPr>
                <w:rFonts w:asciiTheme="majorBidi" w:hAnsiTheme="majorBidi" w:cstheme="majorBidi"/>
              </w:rPr>
              <w:t>Pour i</w:t>
            </w:r>
            <w:r w:rsidRPr="00A94875">
              <w:rPr>
                <w:rFonts w:asciiTheme="majorBidi" w:hAnsiTheme="majorBidi" w:cstheme="majorBidi"/>
              </w:rPr>
              <w:t>nformation</w:t>
            </w:r>
          </w:p>
        </w:tc>
      </w:tr>
      <w:tr w:rsidR="0081777D" w:rsidRPr="00CF5D8B" w14:paraId="54FDCF36" w14:textId="77777777" w:rsidTr="003B32AB">
        <w:trPr>
          <w:cantSplit/>
          <w:trHeight w:val="532"/>
          <w:jc w:val="center"/>
        </w:trPr>
        <w:tc>
          <w:tcPr>
            <w:tcW w:w="1414" w:type="dxa"/>
            <w:gridSpan w:val="2"/>
            <w:tcBorders>
              <w:top w:val="single" w:sz="6" w:space="0" w:color="auto"/>
              <w:bottom w:val="single" w:sz="6" w:space="0" w:color="auto"/>
            </w:tcBorders>
          </w:tcPr>
          <w:p w14:paraId="5414C31C" w14:textId="77777777" w:rsidR="0081777D" w:rsidRPr="001353EF" w:rsidRDefault="0081777D" w:rsidP="0030352D">
            <w:pPr>
              <w:rPr>
                <w:rFonts w:asciiTheme="majorBidi" w:hAnsiTheme="majorBidi" w:cstheme="majorBidi"/>
                <w:b/>
                <w:bCs/>
                <w:lang w:val="fr-CH"/>
              </w:rPr>
            </w:pPr>
            <w:r w:rsidRPr="001353EF">
              <w:rPr>
                <w:rFonts w:asciiTheme="majorBidi" w:hAnsiTheme="majorBidi" w:cstheme="majorBidi"/>
                <w:b/>
                <w:bCs/>
                <w:lang w:val="fr-CH"/>
              </w:rPr>
              <w:t>Contact:</w:t>
            </w:r>
          </w:p>
        </w:tc>
        <w:tc>
          <w:tcPr>
            <w:tcW w:w="4113" w:type="dxa"/>
            <w:gridSpan w:val="2"/>
            <w:tcBorders>
              <w:top w:val="single" w:sz="6" w:space="0" w:color="auto"/>
              <w:bottom w:val="single" w:sz="6" w:space="0" w:color="auto"/>
            </w:tcBorders>
          </w:tcPr>
          <w:p w14:paraId="3B8DDD8B" w14:textId="1B795CD7" w:rsidR="0081777D" w:rsidRPr="001353EF" w:rsidRDefault="006126E3" w:rsidP="0030352D">
            <w:pPr>
              <w:rPr>
                <w:rFonts w:asciiTheme="majorBidi" w:hAnsiTheme="majorBidi" w:cstheme="majorBidi"/>
                <w:lang w:val="fr-CH"/>
              </w:rPr>
            </w:pPr>
            <w:sdt>
              <w:sdtPr>
                <w:rPr>
                  <w:rFonts w:asciiTheme="majorBidi" w:hAnsiTheme="majorBidi" w:cstheme="majorBidi"/>
                </w:rPr>
                <w:alias w:val="ContactNameOrgCountry"/>
                <w:tag w:val="ContactNameOrgCountry"/>
                <w:id w:val="-450624836"/>
                <w:placeholder>
                  <w:docPart w:val="D56DC2CAAF934D019BCF73109187CB27"/>
                </w:placeholder>
                <w:text w:multiLine="1"/>
              </w:sdtPr>
              <w:sdtEndPr/>
              <w:sdtContent>
                <w:r w:rsidR="003B32AB" w:rsidRPr="003B32AB">
                  <w:rPr>
                    <w:rFonts w:asciiTheme="majorBidi" w:hAnsiTheme="majorBidi" w:cstheme="majorBidi"/>
                  </w:rPr>
                  <w:t>GCNT du TSB</w:t>
                </w:r>
              </w:sdtContent>
            </w:sdt>
          </w:p>
        </w:tc>
        <w:sdt>
          <w:sdtPr>
            <w:rPr>
              <w:lang w:val="fr-CH"/>
            </w:rPr>
            <w:alias w:val="ContactTelFaxEmail"/>
            <w:tag w:val="ContactTelFaxEmail"/>
            <w:id w:val="-1400744340"/>
            <w:placeholder>
              <w:docPart w:val="AF840A4085414D379D80EBCBF2909C47"/>
            </w:placeholder>
          </w:sdtPr>
          <w:sdtEndPr/>
          <w:sdtContent>
            <w:sdt>
              <w:sdtPr>
                <w:rPr>
                  <w:lang w:val="fr-CH"/>
                </w:rPr>
                <w:alias w:val="ContactTelFaxEmail"/>
                <w:tag w:val="ContactTelFaxEmail"/>
                <w:id w:val="1198892150"/>
                <w:placeholder>
                  <w:docPart w:val="44607DC01B4B4329BD53E91DF3921093"/>
                </w:placeholder>
              </w:sdtPr>
              <w:sdtEndPr>
                <w:rPr>
                  <w:lang w:val="fr-FR"/>
                </w:rPr>
              </w:sdtEndPr>
              <w:sdtContent>
                <w:tc>
                  <w:tcPr>
                    <w:tcW w:w="4113" w:type="dxa"/>
                    <w:gridSpan w:val="2"/>
                    <w:tcBorders>
                      <w:top w:val="single" w:sz="6" w:space="0" w:color="auto"/>
                      <w:bottom w:val="single" w:sz="6" w:space="0" w:color="auto"/>
                    </w:tcBorders>
                  </w:tcPr>
                  <w:p w14:paraId="4C78E534" w14:textId="7275CC78" w:rsidR="0081777D" w:rsidRPr="001353EF" w:rsidRDefault="003B32AB" w:rsidP="0030352D">
                    <w:pPr>
                      <w:tabs>
                        <w:tab w:val="left" w:pos="1079"/>
                      </w:tabs>
                      <w:rPr>
                        <w:rFonts w:asciiTheme="majorBidi" w:hAnsiTheme="majorBidi" w:cstheme="majorBidi"/>
                        <w:lang w:val="fr-CH"/>
                      </w:rPr>
                    </w:pPr>
                    <w:r>
                      <w:rPr>
                        <w:rFonts w:asciiTheme="majorBidi" w:hAnsiTheme="majorBidi" w:cstheme="majorBidi"/>
                      </w:rPr>
                      <w:t>Courriel</w:t>
                    </w:r>
                    <w:r w:rsidRPr="00A94875">
                      <w:rPr>
                        <w:rFonts w:asciiTheme="majorBidi" w:hAnsiTheme="majorBidi" w:cstheme="majorBidi"/>
                      </w:rPr>
                      <w:t xml:space="preserve">: </w:t>
                    </w:r>
                    <w:hyperlink r:id="rId12" w:history="1">
                      <w:r w:rsidRPr="00A94875">
                        <w:rPr>
                          <w:rStyle w:val="Hyperlink"/>
                          <w:rFonts w:cstheme="majorBidi"/>
                        </w:rPr>
                        <w:t>tsbtsag@itu.int</w:t>
                      </w:r>
                    </w:hyperlink>
                  </w:p>
                </w:tc>
              </w:sdtContent>
            </w:sdt>
          </w:sdtContent>
        </w:sdt>
      </w:tr>
    </w:tbl>
    <w:p w14:paraId="54663650" w14:textId="77777777" w:rsidR="005B29AA" w:rsidRPr="002F7EC1" w:rsidRDefault="005B29AA" w:rsidP="0030352D">
      <w:pPr>
        <w:rPr>
          <w:lang w:val="fr-CH"/>
        </w:rPr>
      </w:pPr>
    </w:p>
    <w:tbl>
      <w:tblPr>
        <w:tblW w:w="9630" w:type="dxa"/>
        <w:jc w:val="center"/>
        <w:tblLayout w:type="fixed"/>
        <w:tblCellMar>
          <w:left w:w="57" w:type="dxa"/>
          <w:right w:w="57" w:type="dxa"/>
        </w:tblCellMar>
        <w:tblLook w:val="0000" w:firstRow="0" w:lastRow="0" w:firstColumn="0" w:lastColumn="0" w:noHBand="0" w:noVBand="0"/>
      </w:tblPr>
      <w:tblGrid>
        <w:gridCol w:w="1414"/>
        <w:gridCol w:w="8216"/>
      </w:tblGrid>
      <w:tr w:rsidR="008F18B8" w:rsidRPr="007A1A3D" w14:paraId="3B2E1AE1" w14:textId="77777777" w:rsidTr="005B29AA">
        <w:trPr>
          <w:cantSplit/>
          <w:trHeight w:val="629"/>
          <w:jc w:val="center"/>
        </w:trPr>
        <w:tc>
          <w:tcPr>
            <w:tcW w:w="1414" w:type="dxa"/>
          </w:tcPr>
          <w:p w14:paraId="705E8A11" w14:textId="58F6B326" w:rsidR="008F18B8" w:rsidRPr="001353EF" w:rsidRDefault="00A2333D" w:rsidP="0030352D">
            <w:pPr>
              <w:rPr>
                <w:rFonts w:asciiTheme="majorBidi" w:hAnsiTheme="majorBidi" w:cstheme="majorBidi"/>
                <w:b/>
                <w:lang w:val="fr-CH"/>
              </w:rPr>
            </w:pPr>
            <w:bookmarkStart w:id="4" w:name="dtitle1" w:colFirst="1" w:colLast="1"/>
            <w:r w:rsidRPr="001353EF">
              <w:rPr>
                <w:rFonts w:asciiTheme="majorBidi" w:hAnsiTheme="majorBidi" w:cstheme="majorBidi"/>
                <w:b/>
                <w:lang w:val="fr-CH"/>
              </w:rPr>
              <w:t>Mots clés</w:t>
            </w:r>
            <w:r w:rsidR="008F18B8" w:rsidRPr="001353EF">
              <w:rPr>
                <w:rFonts w:asciiTheme="majorBidi" w:hAnsiTheme="majorBidi" w:cstheme="majorBidi"/>
                <w:b/>
                <w:lang w:val="fr-CH"/>
              </w:rPr>
              <w:t>:</w:t>
            </w:r>
          </w:p>
        </w:tc>
        <w:tc>
          <w:tcPr>
            <w:tcW w:w="8216" w:type="dxa"/>
          </w:tcPr>
          <w:p w14:paraId="75E3B1EF" w14:textId="537915A1" w:rsidR="008F18B8" w:rsidRPr="001353EF" w:rsidRDefault="003B32AB" w:rsidP="0030352D">
            <w:pPr>
              <w:rPr>
                <w:rFonts w:asciiTheme="majorBidi" w:hAnsiTheme="majorBidi" w:cstheme="majorBidi"/>
                <w:lang w:val="fr-CH"/>
              </w:rPr>
            </w:pPr>
            <w:r w:rsidRPr="0024482B">
              <w:rPr>
                <w:rFonts w:asciiTheme="majorBidi" w:hAnsiTheme="majorBidi" w:cstheme="majorBidi"/>
                <w:lang w:val="fr-FR"/>
              </w:rPr>
              <w:t>Normalisation; commissions d'études; rapport d'activité; principaux résultats</w:t>
            </w:r>
          </w:p>
        </w:tc>
      </w:tr>
      <w:tr w:rsidR="008F18B8" w:rsidRPr="007A1A3D" w14:paraId="7D0F8B1C" w14:textId="77777777" w:rsidTr="005B29AA">
        <w:trPr>
          <w:cantSplit/>
          <w:trHeight w:val="589"/>
          <w:jc w:val="center"/>
        </w:trPr>
        <w:tc>
          <w:tcPr>
            <w:tcW w:w="1414" w:type="dxa"/>
          </w:tcPr>
          <w:p w14:paraId="72CA09B8" w14:textId="3A609D41" w:rsidR="008F18B8" w:rsidRPr="001353EF" w:rsidRDefault="00A2333D" w:rsidP="0030352D">
            <w:pPr>
              <w:rPr>
                <w:rFonts w:asciiTheme="majorBidi" w:hAnsiTheme="majorBidi" w:cstheme="majorBidi"/>
                <w:b/>
                <w:lang w:val="fr-CH"/>
              </w:rPr>
            </w:pPr>
            <w:r w:rsidRPr="001353EF">
              <w:rPr>
                <w:rFonts w:asciiTheme="majorBidi" w:hAnsiTheme="majorBidi" w:cstheme="majorBidi"/>
                <w:b/>
                <w:lang w:val="fr-CH"/>
              </w:rPr>
              <w:t>Résumé</w:t>
            </w:r>
            <w:r w:rsidR="008F18B8" w:rsidRPr="001353EF">
              <w:rPr>
                <w:rFonts w:asciiTheme="majorBidi" w:hAnsiTheme="majorBidi" w:cstheme="majorBidi"/>
                <w:b/>
                <w:lang w:val="fr-CH"/>
              </w:rPr>
              <w:t>:</w:t>
            </w:r>
          </w:p>
        </w:tc>
        <w:tc>
          <w:tcPr>
            <w:tcW w:w="8216" w:type="dxa"/>
          </w:tcPr>
          <w:p w14:paraId="4BE3CBD5" w14:textId="0A6FA389" w:rsidR="008F18B8" w:rsidRPr="001353EF" w:rsidRDefault="003B32AB" w:rsidP="0030352D">
            <w:pPr>
              <w:rPr>
                <w:rFonts w:asciiTheme="majorBidi" w:hAnsiTheme="majorBidi" w:cstheme="majorBidi"/>
                <w:lang w:val="fr-CH"/>
              </w:rPr>
            </w:pPr>
            <w:r>
              <w:rPr>
                <w:rFonts w:asciiTheme="majorBidi" w:hAnsiTheme="majorBidi" w:cstheme="majorBidi"/>
                <w:lang w:val="fr-FR"/>
              </w:rPr>
              <w:t xml:space="preserve">On </w:t>
            </w:r>
            <w:r w:rsidRPr="0024482B">
              <w:rPr>
                <w:rFonts w:asciiTheme="majorBidi" w:hAnsiTheme="majorBidi" w:cstheme="majorBidi"/>
                <w:lang w:val="fr-FR"/>
              </w:rPr>
              <w:t>trouvera dans le présent rapport un résumé des progrès accomplis dans le cadre des activités de normalisation du Secteur de la nor</w:t>
            </w:r>
            <w:r>
              <w:rPr>
                <w:rFonts w:asciiTheme="majorBidi" w:hAnsiTheme="majorBidi" w:cstheme="majorBidi"/>
                <w:lang w:val="fr-FR"/>
              </w:rPr>
              <w:t>malisation des télécommunications de l'UIT (UIT-T) de février à octobre 2018, ainsi que des mesures prises par le Bureau de la normalisation des télécommunications (TSB) afin d'améliorer la plate-forme de normalisation de l'UIT-T.</w:t>
            </w:r>
          </w:p>
        </w:tc>
      </w:tr>
      <w:bookmarkEnd w:id="4"/>
    </w:tbl>
    <w:p w14:paraId="2291454F" w14:textId="77777777" w:rsidR="003B32AB" w:rsidRDefault="003B32AB" w:rsidP="0030352D">
      <w:pPr>
        <w:rPr>
          <w:lang w:val="fr-FR"/>
        </w:rPr>
      </w:pPr>
    </w:p>
    <w:p w14:paraId="72B2208D" w14:textId="77777777" w:rsidR="003B32AB" w:rsidRDefault="003B32AB" w:rsidP="0030352D">
      <w:pPr>
        <w:pStyle w:val="Heading1"/>
        <w:rPr>
          <w:lang w:val="fr-FR"/>
        </w:rPr>
      </w:pPr>
      <w:r>
        <w:rPr>
          <w:lang w:val="fr-FR"/>
        </w:rPr>
        <w:br w:type="page"/>
      </w:r>
    </w:p>
    <w:p w14:paraId="3697C2D9" w14:textId="2A01F764" w:rsidR="003B32AB" w:rsidRPr="006B5CC7" w:rsidRDefault="006B5CC7" w:rsidP="0030352D">
      <w:pPr>
        <w:jc w:val="center"/>
        <w:rPr>
          <w:lang w:val="fr-FR" w:eastAsia="en-US"/>
        </w:rPr>
      </w:pPr>
      <w:r w:rsidRPr="006B5CC7">
        <w:rPr>
          <w:lang w:val="fr-FR" w:eastAsia="en-US"/>
        </w:rPr>
        <w:lastRenderedPageBreak/>
        <w:t>TABLE DES MATIÈRES</w:t>
      </w:r>
    </w:p>
    <w:p w14:paraId="1A4EF284" w14:textId="4981EBB3" w:rsidR="003B32AB" w:rsidRDefault="003B32AB" w:rsidP="0030352D">
      <w:pPr>
        <w:pStyle w:val="toc0"/>
      </w:pPr>
      <w:r>
        <w:tab/>
        <w:t>Page</w:t>
      </w:r>
    </w:p>
    <w:p w14:paraId="2E96EF5D" w14:textId="0D2D77B5" w:rsidR="0030352D" w:rsidRDefault="0030352D">
      <w:pPr>
        <w:pStyle w:val="TOC1"/>
        <w:rPr>
          <w:rFonts w:asciiTheme="minorHAnsi" w:eastAsiaTheme="minorEastAsia" w:hAnsiTheme="minorHAnsi" w:cstheme="minorBidi"/>
          <w:sz w:val="22"/>
          <w:szCs w:val="22"/>
          <w:lang w:val="fr-CH" w:eastAsia="zh-CN"/>
        </w:rPr>
      </w:pPr>
      <w:r>
        <w:rPr>
          <w:lang w:val="en-US" w:eastAsia="zh-CN"/>
        </w:rPr>
        <w:fldChar w:fldCharType="begin"/>
      </w:r>
      <w:r>
        <w:rPr>
          <w:lang w:val="en-US" w:eastAsia="zh-CN"/>
        </w:rPr>
        <w:instrText xml:space="preserve"> TOC \o "1-1" \h \z \t "Heading 2;2;Heading 3;3;</w:instrText>
      </w:r>
      <w:r>
        <w:rPr>
          <w:lang w:val="en-US" w:eastAsia="zh-CN"/>
        </w:rPr>
        <w:instrText>스타일</w:instrText>
      </w:r>
      <w:r>
        <w:rPr>
          <w:lang w:val="en-US" w:eastAsia="zh-CN"/>
        </w:rPr>
        <w:instrText xml:space="preserve"> </w:instrText>
      </w:r>
      <w:r>
        <w:rPr>
          <w:lang w:val="en-US" w:eastAsia="zh-CN"/>
        </w:rPr>
        <w:instrText>제목</w:instrText>
      </w:r>
      <w:r>
        <w:rPr>
          <w:lang w:val="en-US" w:eastAsia="zh-CN"/>
        </w:rPr>
        <w:instrText xml:space="preserve"> 3 + (</w:instrText>
      </w:r>
      <w:r>
        <w:rPr>
          <w:lang w:val="en-US" w:eastAsia="zh-CN"/>
        </w:rPr>
        <w:instrText>한글</w:instrText>
      </w:r>
      <w:r>
        <w:rPr>
          <w:lang w:val="en-US" w:eastAsia="zh-CN"/>
        </w:rPr>
        <w:instrText xml:space="preserve">) </w:instrText>
      </w:r>
      <w:r>
        <w:rPr>
          <w:lang w:val="en-US" w:eastAsia="zh-CN"/>
        </w:rPr>
        <w:instrText>맑은</w:instrText>
      </w:r>
      <w:r>
        <w:rPr>
          <w:lang w:val="en-US" w:eastAsia="zh-CN"/>
        </w:rPr>
        <w:instrText xml:space="preserve"> </w:instrText>
      </w:r>
      <w:r>
        <w:rPr>
          <w:lang w:val="en-US" w:eastAsia="zh-CN"/>
        </w:rPr>
        <w:instrText>고딕</w:instrText>
      </w:r>
      <w:r>
        <w:rPr>
          <w:lang w:val="en-US" w:eastAsia="zh-CN"/>
        </w:rPr>
        <w:instrText xml:space="preserve"> </w:instrText>
      </w:r>
      <w:r>
        <w:rPr>
          <w:lang w:val="en-US" w:eastAsia="zh-CN"/>
        </w:rPr>
        <w:instrText>굵게</w:instrText>
      </w:r>
      <w:r>
        <w:rPr>
          <w:lang w:val="en-US" w:eastAsia="zh-CN"/>
        </w:rPr>
        <w:instrText xml:space="preserve"> </w:instrText>
      </w:r>
      <w:r>
        <w:rPr>
          <w:lang w:val="en-US" w:eastAsia="zh-CN"/>
        </w:rPr>
        <w:instrText>없음</w:instrText>
      </w:r>
      <w:r>
        <w:rPr>
          <w:lang w:val="en-US" w:eastAsia="zh-CN"/>
        </w:rPr>
        <w:instrText xml:space="preserve"> </w:instrText>
      </w:r>
      <w:r>
        <w:rPr>
          <w:lang w:val="en-US" w:eastAsia="zh-CN"/>
        </w:rPr>
        <w:instrText>검정</w:instrText>
      </w:r>
      <w:r>
        <w:rPr>
          <w:lang w:val="en-US" w:eastAsia="zh-CN"/>
        </w:rPr>
        <w:instrText xml:space="preserve">;3;Header Level 3;3;Paragraph3;3;HeadingForSummary;2;AnnexHeading 2;2;AnnexHeading 4;3;AnnexHeading 5;3;Question_heading;3" </w:instrText>
      </w:r>
      <w:r>
        <w:rPr>
          <w:lang w:val="en-US" w:eastAsia="zh-CN"/>
        </w:rPr>
        <w:fldChar w:fldCharType="separate"/>
      </w:r>
      <w:hyperlink w:anchor="_Toc531254846" w:history="1">
        <w:r w:rsidRPr="00802716">
          <w:rPr>
            <w:rStyle w:val="Hyperlink"/>
            <w:rFonts w:cstheme="majorBidi"/>
            <w:lang w:val="fr-FR"/>
          </w:rPr>
          <w:t>Résumé analytique</w:t>
        </w:r>
        <w:r>
          <w:rPr>
            <w:webHidden/>
          </w:rPr>
          <w:tab/>
        </w:r>
        <w:r>
          <w:rPr>
            <w:webHidden/>
          </w:rPr>
          <w:tab/>
        </w:r>
        <w:r>
          <w:rPr>
            <w:webHidden/>
          </w:rPr>
          <w:fldChar w:fldCharType="begin"/>
        </w:r>
        <w:r>
          <w:rPr>
            <w:webHidden/>
          </w:rPr>
          <w:instrText xml:space="preserve"> PAGEREF _Toc531254846 \h </w:instrText>
        </w:r>
        <w:r>
          <w:rPr>
            <w:webHidden/>
          </w:rPr>
        </w:r>
        <w:r>
          <w:rPr>
            <w:webHidden/>
          </w:rPr>
          <w:fldChar w:fldCharType="separate"/>
        </w:r>
        <w:r>
          <w:rPr>
            <w:webHidden/>
          </w:rPr>
          <w:t>4</w:t>
        </w:r>
        <w:r>
          <w:rPr>
            <w:webHidden/>
          </w:rPr>
          <w:fldChar w:fldCharType="end"/>
        </w:r>
      </w:hyperlink>
    </w:p>
    <w:p w14:paraId="6F699BCC" w14:textId="2456155A" w:rsidR="0030352D" w:rsidRDefault="006126E3">
      <w:pPr>
        <w:pStyle w:val="TOC1"/>
        <w:rPr>
          <w:rFonts w:asciiTheme="minorHAnsi" w:eastAsiaTheme="minorEastAsia" w:hAnsiTheme="minorHAnsi" w:cstheme="minorBidi"/>
          <w:sz w:val="22"/>
          <w:szCs w:val="22"/>
          <w:lang w:val="fr-CH" w:eastAsia="zh-CN"/>
        </w:rPr>
      </w:pPr>
      <w:hyperlink w:anchor="_Toc531254847" w:history="1">
        <w:r w:rsidR="0030352D" w:rsidRPr="00802716">
          <w:rPr>
            <w:rStyle w:val="Hyperlink"/>
            <w:rFonts w:cstheme="majorBidi"/>
          </w:rPr>
          <w:t>Annex – Full Report of activities in ITU-T (from February 2018 to October 2018)</w:t>
        </w:r>
        <w:r w:rsidR="0030352D">
          <w:rPr>
            <w:webHidden/>
          </w:rPr>
          <w:tab/>
        </w:r>
        <w:r w:rsidR="0030352D">
          <w:rPr>
            <w:webHidden/>
          </w:rPr>
          <w:tab/>
        </w:r>
        <w:r w:rsidR="0030352D">
          <w:rPr>
            <w:webHidden/>
          </w:rPr>
          <w:fldChar w:fldCharType="begin"/>
        </w:r>
        <w:r w:rsidR="0030352D">
          <w:rPr>
            <w:webHidden/>
          </w:rPr>
          <w:instrText xml:space="preserve"> PAGEREF _Toc531254847 \h </w:instrText>
        </w:r>
        <w:r w:rsidR="0030352D">
          <w:rPr>
            <w:webHidden/>
          </w:rPr>
        </w:r>
        <w:r w:rsidR="0030352D">
          <w:rPr>
            <w:webHidden/>
          </w:rPr>
          <w:fldChar w:fldCharType="separate"/>
        </w:r>
        <w:r w:rsidR="0030352D">
          <w:rPr>
            <w:webHidden/>
          </w:rPr>
          <w:t>8</w:t>
        </w:r>
        <w:r w:rsidR="0030352D">
          <w:rPr>
            <w:webHidden/>
          </w:rPr>
          <w:fldChar w:fldCharType="end"/>
        </w:r>
      </w:hyperlink>
    </w:p>
    <w:p w14:paraId="418AD938" w14:textId="157DD2D3" w:rsidR="0030352D" w:rsidRDefault="006126E3">
      <w:pPr>
        <w:pStyle w:val="TOC1"/>
        <w:rPr>
          <w:rFonts w:asciiTheme="minorHAnsi" w:eastAsiaTheme="minorEastAsia" w:hAnsiTheme="minorHAnsi" w:cstheme="minorBidi"/>
          <w:sz w:val="22"/>
          <w:szCs w:val="22"/>
          <w:lang w:val="fr-CH" w:eastAsia="zh-CN"/>
        </w:rPr>
      </w:pPr>
      <w:hyperlink w:anchor="_Toc531254848" w:history="1">
        <w:r w:rsidR="0030352D" w:rsidRPr="00802716">
          <w:rPr>
            <w:rStyle w:val="Hyperlink"/>
            <w:rFonts w:cstheme="majorBidi"/>
          </w:rPr>
          <w:t>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Progress achieved in ITU-T standardization</w:t>
        </w:r>
        <w:r w:rsidR="0030352D">
          <w:rPr>
            <w:webHidden/>
          </w:rPr>
          <w:tab/>
        </w:r>
        <w:r w:rsidR="0030352D">
          <w:rPr>
            <w:webHidden/>
          </w:rPr>
          <w:tab/>
        </w:r>
        <w:r w:rsidR="0030352D">
          <w:rPr>
            <w:webHidden/>
          </w:rPr>
          <w:fldChar w:fldCharType="begin"/>
        </w:r>
        <w:r w:rsidR="0030352D">
          <w:rPr>
            <w:webHidden/>
          </w:rPr>
          <w:instrText xml:space="preserve"> PAGEREF _Toc531254848 \h </w:instrText>
        </w:r>
        <w:r w:rsidR="0030352D">
          <w:rPr>
            <w:webHidden/>
          </w:rPr>
        </w:r>
        <w:r w:rsidR="0030352D">
          <w:rPr>
            <w:webHidden/>
          </w:rPr>
          <w:fldChar w:fldCharType="separate"/>
        </w:r>
        <w:r w:rsidR="0030352D">
          <w:rPr>
            <w:webHidden/>
          </w:rPr>
          <w:t>8</w:t>
        </w:r>
        <w:r w:rsidR="0030352D">
          <w:rPr>
            <w:webHidden/>
          </w:rPr>
          <w:fldChar w:fldCharType="end"/>
        </w:r>
      </w:hyperlink>
    </w:p>
    <w:p w14:paraId="06BC19C8" w14:textId="170D93D0" w:rsidR="0030352D" w:rsidRDefault="006126E3">
      <w:pPr>
        <w:pStyle w:val="TOC1"/>
        <w:rPr>
          <w:rFonts w:asciiTheme="minorHAnsi" w:eastAsiaTheme="minorEastAsia" w:hAnsiTheme="minorHAnsi" w:cstheme="minorBidi"/>
          <w:sz w:val="22"/>
          <w:szCs w:val="22"/>
          <w:lang w:val="fr-CH" w:eastAsia="zh-CN"/>
        </w:rPr>
      </w:pPr>
      <w:hyperlink w:anchor="_Toc531254849" w:history="1">
        <w:r w:rsidR="0030352D" w:rsidRPr="00802716">
          <w:rPr>
            <w:rStyle w:val="Hyperlink"/>
            <w:rFonts w:cstheme="majorBidi"/>
          </w:rPr>
          <w:t>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Conformity, interoperability and testing</w:t>
        </w:r>
        <w:r w:rsidR="0030352D">
          <w:rPr>
            <w:webHidden/>
          </w:rPr>
          <w:tab/>
        </w:r>
        <w:r w:rsidR="0030352D">
          <w:rPr>
            <w:webHidden/>
          </w:rPr>
          <w:tab/>
        </w:r>
        <w:r w:rsidR="0030352D">
          <w:rPr>
            <w:webHidden/>
          </w:rPr>
          <w:fldChar w:fldCharType="begin"/>
        </w:r>
        <w:r w:rsidR="0030352D">
          <w:rPr>
            <w:webHidden/>
          </w:rPr>
          <w:instrText xml:space="preserve"> PAGEREF _Toc531254849 \h </w:instrText>
        </w:r>
        <w:r w:rsidR="0030352D">
          <w:rPr>
            <w:webHidden/>
          </w:rPr>
        </w:r>
        <w:r w:rsidR="0030352D">
          <w:rPr>
            <w:webHidden/>
          </w:rPr>
          <w:fldChar w:fldCharType="separate"/>
        </w:r>
        <w:r w:rsidR="0030352D">
          <w:rPr>
            <w:webHidden/>
          </w:rPr>
          <w:t>10</w:t>
        </w:r>
        <w:r w:rsidR="0030352D">
          <w:rPr>
            <w:webHidden/>
          </w:rPr>
          <w:fldChar w:fldCharType="end"/>
        </w:r>
      </w:hyperlink>
    </w:p>
    <w:p w14:paraId="7935B85D" w14:textId="7EEC5E03" w:rsidR="0030352D" w:rsidRDefault="006126E3">
      <w:pPr>
        <w:pStyle w:val="TOC2"/>
        <w:rPr>
          <w:rFonts w:asciiTheme="minorHAnsi" w:eastAsiaTheme="minorEastAsia" w:hAnsiTheme="minorHAnsi" w:cstheme="minorBidi"/>
          <w:sz w:val="22"/>
          <w:szCs w:val="22"/>
          <w:lang w:val="fr-CH" w:eastAsia="zh-CN"/>
        </w:rPr>
      </w:pPr>
      <w:hyperlink w:anchor="_Toc531254850" w:history="1">
        <w:r w:rsidR="0030352D" w:rsidRPr="00802716">
          <w:rPr>
            <w:rStyle w:val="Hyperlink"/>
            <w:rFonts w:cstheme="majorBidi"/>
          </w:rPr>
          <w:t>2.1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Conformance Assessment Steering Committee (CASC)</w:t>
        </w:r>
        <w:r w:rsidR="0030352D">
          <w:rPr>
            <w:webHidden/>
          </w:rPr>
          <w:tab/>
        </w:r>
        <w:r w:rsidR="0030352D">
          <w:rPr>
            <w:webHidden/>
          </w:rPr>
          <w:tab/>
        </w:r>
        <w:r w:rsidR="0030352D">
          <w:rPr>
            <w:webHidden/>
          </w:rPr>
          <w:fldChar w:fldCharType="begin"/>
        </w:r>
        <w:r w:rsidR="0030352D">
          <w:rPr>
            <w:webHidden/>
          </w:rPr>
          <w:instrText xml:space="preserve"> PAGEREF _Toc531254850 \h </w:instrText>
        </w:r>
        <w:r w:rsidR="0030352D">
          <w:rPr>
            <w:webHidden/>
          </w:rPr>
        </w:r>
        <w:r w:rsidR="0030352D">
          <w:rPr>
            <w:webHidden/>
          </w:rPr>
          <w:fldChar w:fldCharType="separate"/>
        </w:r>
        <w:r w:rsidR="0030352D">
          <w:rPr>
            <w:webHidden/>
          </w:rPr>
          <w:t>10</w:t>
        </w:r>
        <w:r w:rsidR="0030352D">
          <w:rPr>
            <w:webHidden/>
          </w:rPr>
          <w:fldChar w:fldCharType="end"/>
        </w:r>
      </w:hyperlink>
    </w:p>
    <w:p w14:paraId="1CEEB628" w14:textId="4CDF95EC" w:rsidR="0030352D" w:rsidRDefault="006126E3">
      <w:pPr>
        <w:pStyle w:val="TOC2"/>
        <w:rPr>
          <w:rFonts w:asciiTheme="minorHAnsi" w:eastAsiaTheme="minorEastAsia" w:hAnsiTheme="minorHAnsi" w:cstheme="minorBidi"/>
          <w:sz w:val="22"/>
          <w:szCs w:val="22"/>
          <w:lang w:val="fr-CH" w:eastAsia="zh-CN"/>
        </w:rPr>
      </w:pPr>
      <w:hyperlink w:anchor="_Toc531254851" w:history="1">
        <w:r w:rsidR="0030352D" w:rsidRPr="00802716">
          <w:rPr>
            <w:rStyle w:val="Hyperlink"/>
            <w:rFonts w:cstheme="majorBidi"/>
          </w:rPr>
          <w:t>2.2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ICT Product Conformity Database</w:t>
        </w:r>
        <w:r w:rsidR="0030352D">
          <w:rPr>
            <w:webHidden/>
          </w:rPr>
          <w:tab/>
        </w:r>
        <w:r w:rsidR="0030352D">
          <w:rPr>
            <w:webHidden/>
          </w:rPr>
          <w:tab/>
        </w:r>
        <w:r w:rsidR="0030352D">
          <w:rPr>
            <w:webHidden/>
          </w:rPr>
          <w:fldChar w:fldCharType="begin"/>
        </w:r>
        <w:r w:rsidR="0030352D">
          <w:rPr>
            <w:webHidden/>
          </w:rPr>
          <w:instrText xml:space="preserve"> PAGEREF _Toc531254851 \h </w:instrText>
        </w:r>
        <w:r w:rsidR="0030352D">
          <w:rPr>
            <w:webHidden/>
          </w:rPr>
        </w:r>
        <w:r w:rsidR="0030352D">
          <w:rPr>
            <w:webHidden/>
          </w:rPr>
          <w:fldChar w:fldCharType="separate"/>
        </w:r>
        <w:r w:rsidR="0030352D">
          <w:rPr>
            <w:webHidden/>
          </w:rPr>
          <w:t>10</w:t>
        </w:r>
        <w:r w:rsidR="0030352D">
          <w:rPr>
            <w:webHidden/>
          </w:rPr>
          <w:fldChar w:fldCharType="end"/>
        </w:r>
      </w:hyperlink>
    </w:p>
    <w:p w14:paraId="0CCEE571" w14:textId="388749E3" w:rsidR="0030352D" w:rsidRDefault="006126E3">
      <w:pPr>
        <w:pStyle w:val="TOC2"/>
        <w:rPr>
          <w:rFonts w:asciiTheme="minorHAnsi" w:eastAsiaTheme="minorEastAsia" w:hAnsiTheme="minorHAnsi" w:cstheme="minorBidi"/>
          <w:sz w:val="22"/>
          <w:szCs w:val="22"/>
          <w:lang w:val="fr-CH" w:eastAsia="zh-CN"/>
        </w:rPr>
      </w:pPr>
      <w:hyperlink w:anchor="_Toc531254852" w:history="1">
        <w:r w:rsidR="0030352D" w:rsidRPr="00802716">
          <w:rPr>
            <w:rStyle w:val="Hyperlink"/>
            <w:rFonts w:cstheme="majorBidi"/>
          </w:rPr>
          <w:t>2.3</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Testing Internet of Things</w:t>
        </w:r>
        <w:r w:rsidR="0030352D">
          <w:rPr>
            <w:webHidden/>
          </w:rPr>
          <w:tab/>
        </w:r>
        <w:r w:rsidR="0030352D">
          <w:rPr>
            <w:webHidden/>
          </w:rPr>
          <w:tab/>
        </w:r>
        <w:r w:rsidR="0030352D">
          <w:rPr>
            <w:webHidden/>
          </w:rPr>
          <w:fldChar w:fldCharType="begin"/>
        </w:r>
        <w:r w:rsidR="0030352D">
          <w:rPr>
            <w:webHidden/>
          </w:rPr>
          <w:instrText xml:space="preserve"> PAGEREF _Toc531254852 \h </w:instrText>
        </w:r>
        <w:r w:rsidR="0030352D">
          <w:rPr>
            <w:webHidden/>
          </w:rPr>
        </w:r>
        <w:r w:rsidR="0030352D">
          <w:rPr>
            <w:webHidden/>
          </w:rPr>
          <w:fldChar w:fldCharType="separate"/>
        </w:r>
        <w:r w:rsidR="0030352D">
          <w:rPr>
            <w:webHidden/>
          </w:rPr>
          <w:t>11</w:t>
        </w:r>
        <w:r w:rsidR="0030352D">
          <w:rPr>
            <w:webHidden/>
          </w:rPr>
          <w:fldChar w:fldCharType="end"/>
        </w:r>
      </w:hyperlink>
    </w:p>
    <w:p w14:paraId="7844C968" w14:textId="392A6A6C" w:rsidR="0030352D" w:rsidRDefault="006126E3">
      <w:pPr>
        <w:pStyle w:val="TOC1"/>
        <w:rPr>
          <w:rFonts w:asciiTheme="minorHAnsi" w:eastAsiaTheme="minorEastAsia" w:hAnsiTheme="minorHAnsi" w:cstheme="minorBidi"/>
          <w:sz w:val="22"/>
          <w:szCs w:val="22"/>
          <w:lang w:val="fr-CH" w:eastAsia="zh-CN"/>
        </w:rPr>
      </w:pPr>
      <w:hyperlink w:anchor="_Toc531254853" w:history="1">
        <w:r w:rsidR="0030352D" w:rsidRPr="00802716">
          <w:rPr>
            <w:rStyle w:val="Hyperlink"/>
            <w:rFonts w:cstheme="majorBidi"/>
          </w:rPr>
          <w:t>3</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Accessible ITU-T meetings</w:t>
        </w:r>
        <w:r w:rsidR="0030352D">
          <w:rPr>
            <w:webHidden/>
          </w:rPr>
          <w:tab/>
        </w:r>
        <w:r w:rsidR="0030352D">
          <w:rPr>
            <w:webHidden/>
          </w:rPr>
          <w:tab/>
        </w:r>
        <w:r w:rsidR="0030352D">
          <w:rPr>
            <w:webHidden/>
          </w:rPr>
          <w:fldChar w:fldCharType="begin"/>
        </w:r>
        <w:r w:rsidR="0030352D">
          <w:rPr>
            <w:webHidden/>
          </w:rPr>
          <w:instrText xml:space="preserve"> PAGEREF _Toc531254853 \h </w:instrText>
        </w:r>
        <w:r w:rsidR="0030352D">
          <w:rPr>
            <w:webHidden/>
          </w:rPr>
        </w:r>
        <w:r w:rsidR="0030352D">
          <w:rPr>
            <w:webHidden/>
          </w:rPr>
          <w:fldChar w:fldCharType="separate"/>
        </w:r>
        <w:r w:rsidR="0030352D">
          <w:rPr>
            <w:webHidden/>
          </w:rPr>
          <w:t>11</w:t>
        </w:r>
        <w:r w:rsidR="0030352D">
          <w:rPr>
            <w:webHidden/>
          </w:rPr>
          <w:fldChar w:fldCharType="end"/>
        </w:r>
      </w:hyperlink>
    </w:p>
    <w:p w14:paraId="01EFA52E" w14:textId="2B418CB9" w:rsidR="0030352D" w:rsidRDefault="006126E3">
      <w:pPr>
        <w:pStyle w:val="TOC1"/>
        <w:rPr>
          <w:rFonts w:asciiTheme="minorHAnsi" w:eastAsiaTheme="minorEastAsia" w:hAnsiTheme="minorHAnsi" w:cstheme="minorBidi"/>
          <w:sz w:val="22"/>
          <w:szCs w:val="22"/>
          <w:lang w:val="fr-CH" w:eastAsia="zh-CN"/>
        </w:rPr>
      </w:pPr>
      <w:hyperlink w:anchor="_Toc531254854" w:history="1">
        <w:r w:rsidR="0030352D" w:rsidRPr="00802716">
          <w:rPr>
            <w:rStyle w:val="Hyperlink"/>
            <w:rFonts w:cstheme="majorBidi"/>
          </w:rPr>
          <w:t>4</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Intellectual property rights</w:t>
        </w:r>
        <w:r w:rsidR="0030352D">
          <w:rPr>
            <w:webHidden/>
          </w:rPr>
          <w:tab/>
        </w:r>
        <w:r w:rsidR="0030352D">
          <w:rPr>
            <w:webHidden/>
          </w:rPr>
          <w:tab/>
        </w:r>
        <w:r w:rsidR="0030352D">
          <w:rPr>
            <w:webHidden/>
          </w:rPr>
          <w:fldChar w:fldCharType="begin"/>
        </w:r>
        <w:r w:rsidR="0030352D">
          <w:rPr>
            <w:webHidden/>
          </w:rPr>
          <w:instrText xml:space="preserve"> PAGEREF _Toc531254854 \h </w:instrText>
        </w:r>
        <w:r w:rsidR="0030352D">
          <w:rPr>
            <w:webHidden/>
          </w:rPr>
        </w:r>
        <w:r w:rsidR="0030352D">
          <w:rPr>
            <w:webHidden/>
          </w:rPr>
          <w:fldChar w:fldCharType="separate"/>
        </w:r>
        <w:r w:rsidR="0030352D">
          <w:rPr>
            <w:webHidden/>
          </w:rPr>
          <w:t>11</w:t>
        </w:r>
        <w:r w:rsidR="0030352D">
          <w:rPr>
            <w:webHidden/>
          </w:rPr>
          <w:fldChar w:fldCharType="end"/>
        </w:r>
      </w:hyperlink>
    </w:p>
    <w:p w14:paraId="61A075B4" w14:textId="0CC066BC" w:rsidR="0030352D" w:rsidRDefault="006126E3">
      <w:pPr>
        <w:pStyle w:val="TOC1"/>
        <w:rPr>
          <w:rFonts w:asciiTheme="minorHAnsi" w:eastAsiaTheme="minorEastAsia" w:hAnsiTheme="minorHAnsi" w:cstheme="minorBidi"/>
          <w:sz w:val="22"/>
          <w:szCs w:val="22"/>
          <w:lang w:val="fr-CH" w:eastAsia="zh-CN"/>
        </w:rPr>
      </w:pPr>
      <w:hyperlink w:anchor="_Toc531254855" w:history="1">
        <w:r w:rsidR="0030352D" w:rsidRPr="00802716">
          <w:rPr>
            <w:rStyle w:val="Hyperlink"/>
            <w:rFonts w:cstheme="majorBidi"/>
          </w:rPr>
          <w:t>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ITU-T Focus Groups: Exploring new directions in ITU standardization</w:t>
        </w:r>
        <w:r w:rsidR="0030352D">
          <w:rPr>
            <w:webHidden/>
          </w:rPr>
          <w:tab/>
        </w:r>
        <w:r w:rsidR="0030352D">
          <w:rPr>
            <w:webHidden/>
          </w:rPr>
          <w:tab/>
        </w:r>
        <w:r w:rsidR="0030352D">
          <w:rPr>
            <w:webHidden/>
          </w:rPr>
          <w:fldChar w:fldCharType="begin"/>
        </w:r>
        <w:r w:rsidR="0030352D">
          <w:rPr>
            <w:webHidden/>
          </w:rPr>
          <w:instrText xml:space="preserve"> PAGEREF _Toc531254855 \h </w:instrText>
        </w:r>
        <w:r w:rsidR="0030352D">
          <w:rPr>
            <w:webHidden/>
          </w:rPr>
        </w:r>
        <w:r w:rsidR="0030352D">
          <w:rPr>
            <w:webHidden/>
          </w:rPr>
          <w:fldChar w:fldCharType="separate"/>
        </w:r>
        <w:r w:rsidR="0030352D">
          <w:rPr>
            <w:webHidden/>
          </w:rPr>
          <w:t>11</w:t>
        </w:r>
        <w:r w:rsidR="0030352D">
          <w:rPr>
            <w:webHidden/>
          </w:rPr>
          <w:fldChar w:fldCharType="end"/>
        </w:r>
      </w:hyperlink>
    </w:p>
    <w:p w14:paraId="63D069BC" w14:textId="4C31DF63" w:rsidR="0030352D" w:rsidRDefault="006126E3">
      <w:pPr>
        <w:pStyle w:val="TOC2"/>
        <w:rPr>
          <w:rFonts w:asciiTheme="minorHAnsi" w:eastAsiaTheme="minorEastAsia" w:hAnsiTheme="minorHAnsi" w:cstheme="minorBidi"/>
          <w:sz w:val="22"/>
          <w:szCs w:val="22"/>
          <w:lang w:val="fr-CH" w:eastAsia="zh-CN"/>
        </w:rPr>
      </w:pPr>
      <w:hyperlink w:anchor="_Toc531254856" w:history="1">
        <w:r w:rsidR="0030352D" w:rsidRPr="00802716">
          <w:rPr>
            <w:rStyle w:val="Hyperlink"/>
            <w:rFonts w:cstheme="majorBidi"/>
          </w:rPr>
          <w:t>5.1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Data Processing and Management to support IoT and Smart Cities &amp; Communities</w:t>
        </w:r>
        <w:r w:rsidR="0030352D">
          <w:rPr>
            <w:webHidden/>
          </w:rPr>
          <w:tab/>
        </w:r>
        <w:r w:rsidR="0030352D">
          <w:rPr>
            <w:webHidden/>
          </w:rPr>
          <w:tab/>
        </w:r>
        <w:r w:rsidR="0030352D">
          <w:rPr>
            <w:webHidden/>
          </w:rPr>
          <w:fldChar w:fldCharType="begin"/>
        </w:r>
        <w:r w:rsidR="0030352D">
          <w:rPr>
            <w:webHidden/>
          </w:rPr>
          <w:instrText xml:space="preserve"> PAGEREF _Toc531254856 \h </w:instrText>
        </w:r>
        <w:r w:rsidR="0030352D">
          <w:rPr>
            <w:webHidden/>
          </w:rPr>
        </w:r>
        <w:r w:rsidR="0030352D">
          <w:rPr>
            <w:webHidden/>
          </w:rPr>
          <w:fldChar w:fldCharType="separate"/>
        </w:r>
        <w:r w:rsidR="0030352D">
          <w:rPr>
            <w:webHidden/>
          </w:rPr>
          <w:t>12</w:t>
        </w:r>
        <w:r w:rsidR="0030352D">
          <w:rPr>
            <w:webHidden/>
          </w:rPr>
          <w:fldChar w:fldCharType="end"/>
        </w:r>
      </w:hyperlink>
    </w:p>
    <w:p w14:paraId="4D753EFE" w14:textId="3053AF6F" w:rsidR="0030352D" w:rsidRDefault="006126E3">
      <w:pPr>
        <w:pStyle w:val="TOC2"/>
        <w:rPr>
          <w:rFonts w:asciiTheme="minorHAnsi" w:eastAsiaTheme="minorEastAsia" w:hAnsiTheme="minorHAnsi" w:cstheme="minorBidi"/>
          <w:sz w:val="22"/>
          <w:szCs w:val="22"/>
          <w:lang w:val="fr-CH" w:eastAsia="zh-CN"/>
        </w:rPr>
      </w:pPr>
      <w:hyperlink w:anchor="_Toc531254857" w:history="1">
        <w:r w:rsidR="0030352D" w:rsidRPr="00802716">
          <w:rPr>
            <w:rStyle w:val="Hyperlink"/>
            <w:rFonts w:cstheme="majorBidi"/>
          </w:rPr>
          <w:t>5.2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Digital Currency including Digital Fiat Currency</w:t>
        </w:r>
        <w:r w:rsidR="0030352D">
          <w:rPr>
            <w:webHidden/>
          </w:rPr>
          <w:tab/>
        </w:r>
        <w:r w:rsidR="0030352D">
          <w:rPr>
            <w:webHidden/>
          </w:rPr>
          <w:tab/>
        </w:r>
        <w:r w:rsidR="0030352D">
          <w:rPr>
            <w:webHidden/>
          </w:rPr>
          <w:fldChar w:fldCharType="begin"/>
        </w:r>
        <w:r w:rsidR="0030352D">
          <w:rPr>
            <w:webHidden/>
          </w:rPr>
          <w:instrText xml:space="preserve"> PAGEREF _Toc531254857 \h </w:instrText>
        </w:r>
        <w:r w:rsidR="0030352D">
          <w:rPr>
            <w:webHidden/>
          </w:rPr>
        </w:r>
        <w:r w:rsidR="0030352D">
          <w:rPr>
            <w:webHidden/>
          </w:rPr>
          <w:fldChar w:fldCharType="separate"/>
        </w:r>
        <w:r w:rsidR="0030352D">
          <w:rPr>
            <w:webHidden/>
          </w:rPr>
          <w:t>12</w:t>
        </w:r>
        <w:r w:rsidR="0030352D">
          <w:rPr>
            <w:webHidden/>
          </w:rPr>
          <w:fldChar w:fldCharType="end"/>
        </w:r>
      </w:hyperlink>
    </w:p>
    <w:p w14:paraId="25FE6D1E" w14:textId="157E0055" w:rsidR="0030352D" w:rsidRDefault="006126E3">
      <w:pPr>
        <w:pStyle w:val="TOC2"/>
        <w:rPr>
          <w:rFonts w:asciiTheme="minorHAnsi" w:eastAsiaTheme="minorEastAsia" w:hAnsiTheme="minorHAnsi" w:cstheme="minorBidi"/>
          <w:sz w:val="22"/>
          <w:szCs w:val="22"/>
          <w:lang w:val="fr-CH" w:eastAsia="zh-CN"/>
        </w:rPr>
      </w:pPr>
      <w:hyperlink w:anchor="_Toc531254858" w:history="1">
        <w:r w:rsidR="0030352D" w:rsidRPr="00802716">
          <w:rPr>
            <w:rStyle w:val="Hyperlink"/>
            <w:rFonts w:cstheme="majorBidi"/>
          </w:rPr>
          <w:t>5.3</w:t>
        </w:r>
        <w:r w:rsidR="0030352D">
          <w:rPr>
            <w:rFonts w:asciiTheme="minorHAnsi" w:eastAsiaTheme="minorEastAsia" w:hAnsiTheme="minorHAnsi" w:cstheme="minorBidi"/>
            <w:sz w:val="22"/>
            <w:szCs w:val="22"/>
            <w:lang w:val="fr-CH" w:eastAsia="zh-CN"/>
          </w:rPr>
          <w:tab/>
        </w:r>
        <w:r w:rsidR="0030352D" w:rsidRPr="00802716">
          <w:rPr>
            <w:rStyle w:val="Hyperlink"/>
          </w:rPr>
          <w:t>Application of Distributed Ledger Technology</w:t>
        </w:r>
        <w:r w:rsidR="0030352D">
          <w:rPr>
            <w:webHidden/>
          </w:rPr>
          <w:tab/>
        </w:r>
        <w:r w:rsidR="0030352D">
          <w:rPr>
            <w:webHidden/>
          </w:rPr>
          <w:tab/>
        </w:r>
        <w:r w:rsidR="0030352D">
          <w:rPr>
            <w:webHidden/>
          </w:rPr>
          <w:fldChar w:fldCharType="begin"/>
        </w:r>
        <w:r w:rsidR="0030352D">
          <w:rPr>
            <w:webHidden/>
          </w:rPr>
          <w:instrText xml:space="preserve"> PAGEREF _Toc531254858 \h </w:instrText>
        </w:r>
        <w:r w:rsidR="0030352D">
          <w:rPr>
            <w:webHidden/>
          </w:rPr>
        </w:r>
        <w:r w:rsidR="0030352D">
          <w:rPr>
            <w:webHidden/>
          </w:rPr>
          <w:fldChar w:fldCharType="separate"/>
        </w:r>
        <w:r w:rsidR="0030352D">
          <w:rPr>
            <w:webHidden/>
          </w:rPr>
          <w:t>12</w:t>
        </w:r>
        <w:r w:rsidR="0030352D">
          <w:rPr>
            <w:webHidden/>
          </w:rPr>
          <w:fldChar w:fldCharType="end"/>
        </w:r>
      </w:hyperlink>
    </w:p>
    <w:p w14:paraId="2CACDF62" w14:textId="1DDF698A" w:rsidR="0030352D" w:rsidRDefault="006126E3">
      <w:pPr>
        <w:pStyle w:val="TOC2"/>
        <w:rPr>
          <w:rFonts w:asciiTheme="minorHAnsi" w:eastAsiaTheme="minorEastAsia" w:hAnsiTheme="minorHAnsi" w:cstheme="minorBidi"/>
          <w:sz w:val="22"/>
          <w:szCs w:val="22"/>
          <w:lang w:val="fr-CH" w:eastAsia="zh-CN"/>
        </w:rPr>
      </w:pPr>
      <w:hyperlink w:anchor="_Toc531254859" w:history="1">
        <w:r w:rsidR="0030352D" w:rsidRPr="00802716">
          <w:rPr>
            <w:rStyle w:val="Hyperlink"/>
            <w:rFonts w:cstheme="majorBidi"/>
          </w:rPr>
          <w:t>5.4</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Machine Learning for Future Networks including 5G</w:t>
        </w:r>
        <w:r w:rsidR="0030352D">
          <w:rPr>
            <w:webHidden/>
          </w:rPr>
          <w:tab/>
        </w:r>
        <w:r w:rsidR="0030352D">
          <w:rPr>
            <w:webHidden/>
          </w:rPr>
          <w:tab/>
        </w:r>
        <w:r w:rsidR="0030352D">
          <w:rPr>
            <w:webHidden/>
          </w:rPr>
          <w:fldChar w:fldCharType="begin"/>
        </w:r>
        <w:r w:rsidR="0030352D">
          <w:rPr>
            <w:webHidden/>
          </w:rPr>
          <w:instrText xml:space="preserve"> PAGEREF _Toc531254859 \h </w:instrText>
        </w:r>
        <w:r w:rsidR="0030352D">
          <w:rPr>
            <w:webHidden/>
          </w:rPr>
        </w:r>
        <w:r w:rsidR="0030352D">
          <w:rPr>
            <w:webHidden/>
          </w:rPr>
          <w:fldChar w:fldCharType="separate"/>
        </w:r>
        <w:r w:rsidR="0030352D">
          <w:rPr>
            <w:webHidden/>
          </w:rPr>
          <w:t>12</w:t>
        </w:r>
        <w:r w:rsidR="0030352D">
          <w:rPr>
            <w:webHidden/>
          </w:rPr>
          <w:fldChar w:fldCharType="end"/>
        </w:r>
      </w:hyperlink>
    </w:p>
    <w:p w14:paraId="7F027103" w14:textId="28144F46" w:rsidR="0030352D" w:rsidRDefault="006126E3">
      <w:pPr>
        <w:pStyle w:val="TOC2"/>
        <w:rPr>
          <w:rFonts w:asciiTheme="minorHAnsi" w:eastAsiaTheme="minorEastAsia" w:hAnsiTheme="minorHAnsi" w:cstheme="minorBidi"/>
          <w:sz w:val="22"/>
          <w:szCs w:val="22"/>
          <w:lang w:val="fr-CH" w:eastAsia="zh-CN"/>
        </w:rPr>
      </w:pPr>
      <w:hyperlink w:anchor="_Toc531254860" w:history="1">
        <w:r w:rsidR="0030352D" w:rsidRPr="00802716">
          <w:rPr>
            <w:rStyle w:val="Hyperlink"/>
            <w:rFonts w:cstheme="majorBidi"/>
          </w:rPr>
          <w:t>5.5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Technologies for Network 2030</w:t>
        </w:r>
        <w:r w:rsidR="0030352D">
          <w:rPr>
            <w:webHidden/>
          </w:rPr>
          <w:tab/>
        </w:r>
        <w:r w:rsidR="0030352D">
          <w:rPr>
            <w:webHidden/>
          </w:rPr>
          <w:tab/>
        </w:r>
        <w:r w:rsidR="0030352D">
          <w:rPr>
            <w:webHidden/>
          </w:rPr>
          <w:fldChar w:fldCharType="begin"/>
        </w:r>
        <w:r w:rsidR="0030352D">
          <w:rPr>
            <w:webHidden/>
          </w:rPr>
          <w:instrText xml:space="preserve"> PAGEREF _Toc531254860 \h </w:instrText>
        </w:r>
        <w:r w:rsidR="0030352D">
          <w:rPr>
            <w:webHidden/>
          </w:rPr>
        </w:r>
        <w:r w:rsidR="0030352D">
          <w:rPr>
            <w:webHidden/>
          </w:rPr>
          <w:fldChar w:fldCharType="separate"/>
        </w:r>
        <w:r w:rsidR="0030352D">
          <w:rPr>
            <w:webHidden/>
          </w:rPr>
          <w:t>12</w:t>
        </w:r>
        <w:r w:rsidR="0030352D">
          <w:rPr>
            <w:webHidden/>
          </w:rPr>
          <w:fldChar w:fldCharType="end"/>
        </w:r>
      </w:hyperlink>
    </w:p>
    <w:p w14:paraId="1BB68C0F" w14:textId="1EE09080" w:rsidR="0030352D" w:rsidRDefault="006126E3">
      <w:pPr>
        <w:pStyle w:val="TOC2"/>
        <w:rPr>
          <w:rFonts w:asciiTheme="minorHAnsi" w:eastAsiaTheme="minorEastAsia" w:hAnsiTheme="minorHAnsi" w:cstheme="minorBidi"/>
          <w:sz w:val="22"/>
          <w:szCs w:val="22"/>
          <w:lang w:val="fr-CH" w:eastAsia="zh-CN"/>
        </w:rPr>
      </w:pPr>
      <w:hyperlink w:anchor="_Toc531254861" w:history="1">
        <w:r w:rsidR="0030352D" w:rsidRPr="00802716">
          <w:rPr>
            <w:rStyle w:val="Hyperlink"/>
            <w:rFonts w:cstheme="majorBidi"/>
          </w:rPr>
          <w:t>5.6</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Artificial Intelligence for Health</w:t>
        </w:r>
        <w:r w:rsidR="0030352D">
          <w:rPr>
            <w:webHidden/>
          </w:rPr>
          <w:tab/>
        </w:r>
        <w:r w:rsidR="0030352D">
          <w:rPr>
            <w:webHidden/>
          </w:rPr>
          <w:tab/>
        </w:r>
        <w:r w:rsidR="0030352D">
          <w:rPr>
            <w:webHidden/>
          </w:rPr>
          <w:fldChar w:fldCharType="begin"/>
        </w:r>
        <w:r w:rsidR="0030352D">
          <w:rPr>
            <w:webHidden/>
          </w:rPr>
          <w:instrText xml:space="preserve"> PAGEREF _Toc531254861 \h </w:instrText>
        </w:r>
        <w:r w:rsidR="0030352D">
          <w:rPr>
            <w:webHidden/>
          </w:rPr>
        </w:r>
        <w:r w:rsidR="0030352D">
          <w:rPr>
            <w:webHidden/>
          </w:rPr>
          <w:fldChar w:fldCharType="separate"/>
        </w:r>
        <w:r w:rsidR="0030352D">
          <w:rPr>
            <w:webHidden/>
          </w:rPr>
          <w:t>12</w:t>
        </w:r>
        <w:r w:rsidR="0030352D">
          <w:rPr>
            <w:webHidden/>
          </w:rPr>
          <w:fldChar w:fldCharType="end"/>
        </w:r>
      </w:hyperlink>
    </w:p>
    <w:p w14:paraId="4527DA9D" w14:textId="2E3202ED" w:rsidR="0030352D" w:rsidRDefault="006126E3">
      <w:pPr>
        <w:pStyle w:val="TOC2"/>
        <w:rPr>
          <w:rFonts w:asciiTheme="minorHAnsi" w:eastAsiaTheme="minorEastAsia" w:hAnsiTheme="minorHAnsi" w:cstheme="minorBidi"/>
          <w:sz w:val="22"/>
          <w:szCs w:val="22"/>
          <w:lang w:val="fr-CH" w:eastAsia="zh-CN"/>
        </w:rPr>
      </w:pPr>
      <w:hyperlink w:anchor="_Toc531254862" w:history="1">
        <w:r w:rsidR="0030352D" w:rsidRPr="00802716">
          <w:rPr>
            <w:rStyle w:val="Hyperlink"/>
            <w:rFonts w:cstheme="majorBidi"/>
          </w:rPr>
          <w:t>5.7</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Vehicular Multimedia</w:t>
        </w:r>
        <w:r w:rsidR="0030352D">
          <w:rPr>
            <w:webHidden/>
          </w:rPr>
          <w:tab/>
        </w:r>
        <w:r w:rsidR="0030352D">
          <w:rPr>
            <w:webHidden/>
          </w:rPr>
          <w:tab/>
        </w:r>
        <w:r w:rsidR="0030352D">
          <w:rPr>
            <w:webHidden/>
          </w:rPr>
          <w:fldChar w:fldCharType="begin"/>
        </w:r>
        <w:r w:rsidR="0030352D">
          <w:rPr>
            <w:webHidden/>
          </w:rPr>
          <w:instrText xml:space="preserve"> PAGEREF _Toc531254862 \h </w:instrText>
        </w:r>
        <w:r w:rsidR="0030352D">
          <w:rPr>
            <w:webHidden/>
          </w:rPr>
        </w:r>
        <w:r w:rsidR="0030352D">
          <w:rPr>
            <w:webHidden/>
          </w:rPr>
          <w:fldChar w:fldCharType="separate"/>
        </w:r>
        <w:r w:rsidR="0030352D">
          <w:rPr>
            <w:webHidden/>
          </w:rPr>
          <w:t>13</w:t>
        </w:r>
        <w:r w:rsidR="0030352D">
          <w:rPr>
            <w:webHidden/>
          </w:rPr>
          <w:fldChar w:fldCharType="end"/>
        </w:r>
      </w:hyperlink>
    </w:p>
    <w:p w14:paraId="24FA9799" w14:textId="4FA71769" w:rsidR="0030352D" w:rsidRDefault="006126E3">
      <w:pPr>
        <w:pStyle w:val="TOC1"/>
        <w:rPr>
          <w:rFonts w:asciiTheme="minorHAnsi" w:eastAsiaTheme="minorEastAsia" w:hAnsiTheme="minorHAnsi" w:cstheme="minorBidi"/>
          <w:sz w:val="22"/>
          <w:szCs w:val="22"/>
          <w:lang w:val="fr-CH" w:eastAsia="zh-CN"/>
        </w:rPr>
      </w:pPr>
      <w:hyperlink w:anchor="_Toc531254863" w:history="1">
        <w:r w:rsidR="0030352D" w:rsidRPr="00802716">
          <w:rPr>
            <w:rStyle w:val="Hyperlink"/>
            <w:rFonts w:cstheme="majorBidi"/>
          </w:rPr>
          <w:t>6</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Collaboration in standardization</w:t>
        </w:r>
        <w:r w:rsidR="0030352D">
          <w:rPr>
            <w:webHidden/>
          </w:rPr>
          <w:tab/>
        </w:r>
        <w:r w:rsidR="0030352D">
          <w:rPr>
            <w:webHidden/>
          </w:rPr>
          <w:tab/>
        </w:r>
        <w:r w:rsidR="0030352D">
          <w:rPr>
            <w:webHidden/>
          </w:rPr>
          <w:fldChar w:fldCharType="begin"/>
        </w:r>
        <w:r w:rsidR="0030352D">
          <w:rPr>
            <w:webHidden/>
          </w:rPr>
          <w:instrText xml:space="preserve"> PAGEREF _Toc531254863 \h </w:instrText>
        </w:r>
        <w:r w:rsidR="0030352D">
          <w:rPr>
            <w:webHidden/>
          </w:rPr>
        </w:r>
        <w:r w:rsidR="0030352D">
          <w:rPr>
            <w:webHidden/>
          </w:rPr>
          <w:fldChar w:fldCharType="separate"/>
        </w:r>
        <w:r w:rsidR="0030352D">
          <w:rPr>
            <w:webHidden/>
          </w:rPr>
          <w:t>13</w:t>
        </w:r>
        <w:r w:rsidR="0030352D">
          <w:rPr>
            <w:webHidden/>
          </w:rPr>
          <w:fldChar w:fldCharType="end"/>
        </w:r>
      </w:hyperlink>
    </w:p>
    <w:p w14:paraId="3C9684E6" w14:textId="583A04C3" w:rsidR="0030352D" w:rsidRDefault="006126E3">
      <w:pPr>
        <w:pStyle w:val="TOC2"/>
        <w:rPr>
          <w:rFonts w:asciiTheme="minorHAnsi" w:eastAsiaTheme="minorEastAsia" w:hAnsiTheme="minorHAnsi" w:cstheme="minorBidi"/>
          <w:sz w:val="22"/>
          <w:szCs w:val="22"/>
          <w:lang w:val="fr-CH" w:eastAsia="zh-CN"/>
        </w:rPr>
      </w:pPr>
      <w:hyperlink w:anchor="_Toc531254864" w:history="1">
        <w:r w:rsidR="0030352D" w:rsidRPr="00802716">
          <w:rPr>
            <w:rStyle w:val="Hyperlink"/>
            <w:rFonts w:cstheme="majorBidi"/>
          </w:rPr>
          <w:t>6.1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Coordination and cooperation among ITU Sectors</w:t>
        </w:r>
        <w:r w:rsidR="0030352D">
          <w:rPr>
            <w:webHidden/>
          </w:rPr>
          <w:tab/>
        </w:r>
        <w:r w:rsidR="0030352D">
          <w:rPr>
            <w:webHidden/>
          </w:rPr>
          <w:tab/>
        </w:r>
        <w:r w:rsidR="0030352D">
          <w:rPr>
            <w:webHidden/>
          </w:rPr>
          <w:fldChar w:fldCharType="begin"/>
        </w:r>
        <w:r w:rsidR="0030352D">
          <w:rPr>
            <w:webHidden/>
          </w:rPr>
          <w:instrText xml:space="preserve"> PAGEREF _Toc531254864 \h </w:instrText>
        </w:r>
        <w:r w:rsidR="0030352D">
          <w:rPr>
            <w:webHidden/>
          </w:rPr>
        </w:r>
        <w:r w:rsidR="0030352D">
          <w:rPr>
            <w:webHidden/>
          </w:rPr>
          <w:fldChar w:fldCharType="separate"/>
        </w:r>
        <w:r w:rsidR="0030352D">
          <w:rPr>
            <w:webHidden/>
          </w:rPr>
          <w:t>13</w:t>
        </w:r>
        <w:r w:rsidR="0030352D">
          <w:rPr>
            <w:webHidden/>
          </w:rPr>
          <w:fldChar w:fldCharType="end"/>
        </w:r>
      </w:hyperlink>
    </w:p>
    <w:p w14:paraId="75754DDC" w14:textId="44D5A314" w:rsidR="0030352D" w:rsidRDefault="006126E3">
      <w:pPr>
        <w:pStyle w:val="TOC2"/>
        <w:rPr>
          <w:rFonts w:asciiTheme="minorHAnsi" w:eastAsiaTheme="minorEastAsia" w:hAnsiTheme="minorHAnsi" w:cstheme="minorBidi"/>
          <w:sz w:val="22"/>
          <w:szCs w:val="22"/>
          <w:lang w:val="fr-CH" w:eastAsia="zh-CN"/>
        </w:rPr>
      </w:pPr>
      <w:hyperlink w:anchor="_Toc531254865" w:history="1">
        <w:r w:rsidR="0030352D" w:rsidRPr="00802716">
          <w:rPr>
            <w:rStyle w:val="Hyperlink"/>
            <w:rFonts w:cstheme="majorBidi"/>
          </w:rPr>
          <w:t>6.2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Coordination and cooperation with the Regions and the Regional Offices</w:t>
        </w:r>
        <w:r w:rsidR="0030352D">
          <w:rPr>
            <w:webHidden/>
          </w:rPr>
          <w:tab/>
        </w:r>
        <w:r w:rsidR="0030352D">
          <w:rPr>
            <w:webHidden/>
          </w:rPr>
          <w:tab/>
        </w:r>
        <w:r w:rsidR="0030352D">
          <w:rPr>
            <w:webHidden/>
          </w:rPr>
          <w:fldChar w:fldCharType="begin"/>
        </w:r>
        <w:r w:rsidR="0030352D">
          <w:rPr>
            <w:webHidden/>
          </w:rPr>
          <w:instrText xml:space="preserve"> PAGEREF _Toc531254865 \h </w:instrText>
        </w:r>
        <w:r w:rsidR="0030352D">
          <w:rPr>
            <w:webHidden/>
          </w:rPr>
        </w:r>
        <w:r w:rsidR="0030352D">
          <w:rPr>
            <w:webHidden/>
          </w:rPr>
          <w:fldChar w:fldCharType="separate"/>
        </w:r>
        <w:r w:rsidR="0030352D">
          <w:rPr>
            <w:webHidden/>
          </w:rPr>
          <w:t>13</w:t>
        </w:r>
        <w:r w:rsidR="0030352D">
          <w:rPr>
            <w:webHidden/>
          </w:rPr>
          <w:fldChar w:fldCharType="end"/>
        </w:r>
      </w:hyperlink>
    </w:p>
    <w:p w14:paraId="3038D6C0" w14:textId="52DE01DE" w:rsidR="0030352D" w:rsidRDefault="006126E3">
      <w:pPr>
        <w:pStyle w:val="TOC2"/>
        <w:rPr>
          <w:rFonts w:asciiTheme="minorHAnsi" w:eastAsiaTheme="minorEastAsia" w:hAnsiTheme="minorHAnsi" w:cstheme="minorBidi"/>
          <w:sz w:val="22"/>
          <w:szCs w:val="22"/>
          <w:lang w:val="fr-CH" w:eastAsia="zh-CN"/>
        </w:rPr>
      </w:pPr>
      <w:hyperlink w:anchor="_Toc531254866" w:history="1">
        <w:r w:rsidR="0030352D" w:rsidRPr="00802716">
          <w:rPr>
            <w:rStyle w:val="Hyperlink"/>
            <w:rFonts w:cstheme="majorBidi"/>
          </w:rPr>
          <w:t>6.3</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General assistance and cooperation</w:t>
        </w:r>
        <w:r w:rsidR="0030352D">
          <w:rPr>
            <w:webHidden/>
          </w:rPr>
          <w:tab/>
        </w:r>
        <w:r w:rsidR="0030352D">
          <w:rPr>
            <w:webHidden/>
          </w:rPr>
          <w:tab/>
        </w:r>
        <w:r w:rsidR="0030352D">
          <w:rPr>
            <w:webHidden/>
          </w:rPr>
          <w:fldChar w:fldCharType="begin"/>
        </w:r>
        <w:r w:rsidR="0030352D">
          <w:rPr>
            <w:webHidden/>
          </w:rPr>
          <w:instrText xml:space="preserve"> PAGEREF _Toc531254866 \h </w:instrText>
        </w:r>
        <w:r w:rsidR="0030352D">
          <w:rPr>
            <w:webHidden/>
          </w:rPr>
        </w:r>
        <w:r w:rsidR="0030352D">
          <w:rPr>
            <w:webHidden/>
          </w:rPr>
          <w:fldChar w:fldCharType="separate"/>
        </w:r>
        <w:r w:rsidR="0030352D">
          <w:rPr>
            <w:webHidden/>
          </w:rPr>
          <w:t>13</w:t>
        </w:r>
        <w:r w:rsidR="0030352D">
          <w:rPr>
            <w:webHidden/>
          </w:rPr>
          <w:fldChar w:fldCharType="end"/>
        </w:r>
      </w:hyperlink>
    </w:p>
    <w:p w14:paraId="0F9357E6" w14:textId="29FA860E" w:rsidR="0030352D" w:rsidRDefault="006126E3">
      <w:pPr>
        <w:pStyle w:val="TOC2"/>
        <w:rPr>
          <w:rFonts w:asciiTheme="minorHAnsi" w:eastAsiaTheme="minorEastAsia" w:hAnsiTheme="minorHAnsi" w:cstheme="minorBidi"/>
          <w:sz w:val="22"/>
          <w:szCs w:val="22"/>
          <w:lang w:val="fr-CH" w:eastAsia="zh-CN"/>
        </w:rPr>
      </w:pPr>
      <w:hyperlink w:anchor="_Toc531254867" w:history="1">
        <w:r w:rsidR="0030352D" w:rsidRPr="00802716">
          <w:rPr>
            <w:rStyle w:val="Hyperlink"/>
            <w:rFonts w:cstheme="majorBidi"/>
          </w:rPr>
          <w:t>6.4</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MoU and cooperation agreements</w:t>
        </w:r>
        <w:r w:rsidR="0030352D">
          <w:rPr>
            <w:webHidden/>
          </w:rPr>
          <w:tab/>
        </w:r>
        <w:r w:rsidR="0030352D">
          <w:rPr>
            <w:webHidden/>
          </w:rPr>
          <w:tab/>
        </w:r>
        <w:r w:rsidR="0030352D">
          <w:rPr>
            <w:webHidden/>
          </w:rPr>
          <w:fldChar w:fldCharType="begin"/>
        </w:r>
        <w:r w:rsidR="0030352D">
          <w:rPr>
            <w:webHidden/>
          </w:rPr>
          <w:instrText xml:space="preserve"> PAGEREF _Toc531254867 \h </w:instrText>
        </w:r>
        <w:r w:rsidR="0030352D">
          <w:rPr>
            <w:webHidden/>
          </w:rPr>
        </w:r>
        <w:r w:rsidR="0030352D">
          <w:rPr>
            <w:webHidden/>
          </w:rPr>
          <w:fldChar w:fldCharType="separate"/>
        </w:r>
        <w:r w:rsidR="0030352D">
          <w:rPr>
            <w:webHidden/>
          </w:rPr>
          <w:t>15</w:t>
        </w:r>
        <w:r w:rsidR="0030352D">
          <w:rPr>
            <w:webHidden/>
          </w:rPr>
          <w:fldChar w:fldCharType="end"/>
        </w:r>
      </w:hyperlink>
    </w:p>
    <w:p w14:paraId="229FC55C" w14:textId="0AF589DA" w:rsidR="0030352D" w:rsidRDefault="006126E3">
      <w:pPr>
        <w:pStyle w:val="TOC2"/>
        <w:rPr>
          <w:rFonts w:asciiTheme="minorHAnsi" w:eastAsiaTheme="minorEastAsia" w:hAnsiTheme="minorHAnsi" w:cstheme="minorBidi"/>
          <w:sz w:val="22"/>
          <w:szCs w:val="22"/>
          <w:lang w:val="fr-CH" w:eastAsia="zh-CN"/>
        </w:rPr>
      </w:pPr>
      <w:hyperlink w:anchor="_Toc531254868" w:history="1">
        <w:r w:rsidR="0030352D" w:rsidRPr="00802716">
          <w:rPr>
            <w:rStyle w:val="Hyperlink"/>
            <w:rFonts w:cstheme="majorBidi"/>
          </w:rPr>
          <w:t>6.5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Cooperation with national and regional standardization organizations</w:t>
        </w:r>
        <w:r w:rsidR="0030352D">
          <w:rPr>
            <w:webHidden/>
          </w:rPr>
          <w:tab/>
        </w:r>
        <w:r w:rsidR="0030352D">
          <w:rPr>
            <w:webHidden/>
          </w:rPr>
          <w:tab/>
        </w:r>
        <w:r w:rsidR="0030352D">
          <w:rPr>
            <w:webHidden/>
          </w:rPr>
          <w:fldChar w:fldCharType="begin"/>
        </w:r>
        <w:r w:rsidR="0030352D">
          <w:rPr>
            <w:webHidden/>
          </w:rPr>
          <w:instrText xml:space="preserve"> PAGEREF _Toc531254868 \h </w:instrText>
        </w:r>
        <w:r w:rsidR="0030352D">
          <w:rPr>
            <w:webHidden/>
          </w:rPr>
        </w:r>
        <w:r w:rsidR="0030352D">
          <w:rPr>
            <w:webHidden/>
          </w:rPr>
          <w:fldChar w:fldCharType="separate"/>
        </w:r>
        <w:r w:rsidR="0030352D">
          <w:rPr>
            <w:webHidden/>
          </w:rPr>
          <w:t>15</w:t>
        </w:r>
        <w:r w:rsidR="0030352D">
          <w:rPr>
            <w:webHidden/>
          </w:rPr>
          <w:fldChar w:fldCharType="end"/>
        </w:r>
      </w:hyperlink>
    </w:p>
    <w:p w14:paraId="666313BD" w14:textId="08B61D9B" w:rsidR="0030352D" w:rsidRDefault="006126E3">
      <w:pPr>
        <w:pStyle w:val="TOC1"/>
        <w:rPr>
          <w:rFonts w:asciiTheme="minorHAnsi" w:eastAsiaTheme="minorEastAsia" w:hAnsiTheme="minorHAnsi" w:cstheme="minorBidi"/>
          <w:sz w:val="22"/>
          <w:szCs w:val="22"/>
          <w:lang w:val="fr-CH" w:eastAsia="zh-CN"/>
        </w:rPr>
      </w:pPr>
      <w:hyperlink w:anchor="_Toc531254869" w:history="1">
        <w:r w:rsidR="0030352D" w:rsidRPr="00802716">
          <w:rPr>
            <w:rStyle w:val="Hyperlink"/>
            <w:rFonts w:cstheme="majorBidi"/>
          </w:rPr>
          <w:t>7</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Bridging the standardization gap</w:t>
        </w:r>
        <w:r w:rsidR="0030352D">
          <w:rPr>
            <w:webHidden/>
          </w:rPr>
          <w:tab/>
        </w:r>
        <w:r w:rsidR="0030352D">
          <w:rPr>
            <w:webHidden/>
          </w:rPr>
          <w:tab/>
        </w:r>
        <w:r w:rsidR="0030352D">
          <w:rPr>
            <w:webHidden/>
          </w:rPr>
          <w:fldChar w:fldCharType="begin"/>
        </w:r>
        <w:r w:rsidR="0030352D">
          <w:rPr>
            <w:webHidden/>
          </w:rPr>
          <w:instrText xml:space="preserve"> PAGEREF _Toc531254869 \h </w:instrText>
        </w:r>
        <w:r w:rsidR="0030352D">
          <w:rPr>
            <w:webHidden/>
          </w:rPr>
        </w:r>
        <w:r w:rsidR="0030352D">
          <w:rPr>
            <w:webHidden/>
          </w:rPr>
          <w:fldChar w:fldCharType="separate"/>
        </w:r>
        <w:r w:rsidR="0030352D">
          <w:rPr>
            <w:webHidden/>
          </w:rPr>
          <w:t>16</w:t>
        </w:r>
        <w:r w:rsidR="0030352D">
          <w:rPr>
            <w:webHidden/>
          </w:rPr>
          <w:fldChar w:fldCharType="end"/>
        </w:r>
      </w:hyperlink>
    </w:p>
    <w:p w14:paraId="01F93825" w14:textId="4D9A79A2" w:rsidR="0030352D" w:rsidRDefault="006126E3">
      <w:pPr>
        <w:pStyle w:val="TOC2"/>
        <w:rPr>
          <w:rFonts w:asciiTheme="minorHAnsi" w:eastAsiaTheme="minorEastAsia" w:hAnsiTheme="minorHAnsi" w:cstheme="minorBidi"/>
          <w:sz w:val="22"/>
          <w:szCs w:val="22"/>
          <w:lang w:val="fr-CH" w:eastAsia="zh-CN"/>
        </w:rPr>
      </w:pPr>
      <w:hyperlink w:anchor="_Toc531254870" w:history="1">
        <w:r w:rsidR="0030352D" w:rsidRPr="00802716">
          <w:rPr>
            <w:rStyle w:val="Hyperlink"/>
            <w:rFonts w:cstheme="majorBidi"/>
          </w:rPr>
          <w:t>7.1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BSG hands-on training sessions</w:t>
        </w:r>
        <w:r w:rsidR="0030352D">
          <w:rPr>
            <w:webHidden/>
          </w:rPr>
          <w:tab/>
        </w:r>
        <w:r w:rsidR="0030352D">
          <w:rPr>
            <w:webHidden/>
          </w:rPr>
          <w:tab/>
        </w:r>
        <w:r w:rsidR="0030352D">
          <w:rPr>
            <w:webHidden/>
          </w:rPr>
          <w:fldChar w:fldCharType="begin"/>
        </w:r>
        <w:r w:rsidR="0030352D">
          <w:rPr>
            <w:webHidden/>
          </w:rPr>
          <w:instrText xml:space="preserve"> PAGEREF _Toc531254870 \h </w:instrText>
        </w:r>
        <w:r w:rsidR="0030352D">
          <w:rPr>
            <w:webHidden/>
          </w:rPr>
        </w:r>
        <w:r w:rsidR="0030352D">
          <w:rPr>
            <w:webHidden/>
          </w:rPr>
          <w:fldChar w:fldCharType="separate"/>
        </w:r>
        <w:r w:rsidR="0030352D">
          <w:rPr>
            <w:webHidden/>
          </w:rPr>
          <w:t>17</w:t>
        </w:r>
        <w:r w:rsidR="0030352D">
          <w:rPr>
            <w:webHidden/>
          </w:rPr>
          <w:fldChar w:fldCharType="end"/>
        </w:r>
      </w:hyperlink>
    </w:p>
    <w:p w14:paraId="50EB87EE" w14:textId="3A3909C7" w:rsidR="0030352D" w:rsidRDefault="006126E3">
      <w:pPr>
        <w:pStyle w:val="TOC2"/>
        <w:rPr>
          <w:rFonts w:asciiTheme="minorHAnsi" w:eastAsiaTheme="minorEastAsia" w:hAnsiTheme="minorHAnsi" w:cstheme="minorBidi"/>
          <w:sz w:val="22"/>
          <w:szCs w:val="22"/>
          <w:lang w:val="fr-CH" w:eastAsia="zh-CN"/>
        </w:rPr>
      </w:pPr>
      <w:hyperlink w:anchor="_Toc531254871" w:history="1">
        <w:r w:rsidR="0030352D" w:rsidRPr="00802716">
          <w:rPr>
            <w:rStyle w:val="Hyperlink"/>
            <w:rFonts w:cstheme="majorBidi"/>
          </w:rPr>
          <w:t>7.2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Regional Groups</w:t>
        </w:r>
        <w:r w:rsidR="0030352D">
          <w:rPr>
            <w:webHidden/>
          </w:rPr>
          <w:tab/>
        </w:r>
        <w:r w:rsidR="0030352D">
          <w:rPr>
            <w:webHidden/>
          </w:rPr>
          <w:tab/>
        </w:r>
        <w:r w:rsidR="0030352D">
          <w:rPr>
            <w:webHidden/>
          </w:rPr>
          <w:fldChar w:fldCharType="begin"/>
        </w:r>
        <w:r w:rsidR="0030352D">
          <w:rPr>
            <w:webHidden/>
          </w:rPr>
          <w:instrText xml:space="preserve"> PAGEREF _Toc531254871 \h </w:instrText>
        </w:r>
        <w:r w:rsidR="0030352D">
          <w:rPr>
            <w:webHidden/>
          </w:rPr>
        </w:r>
        <w:r w:rsidR="0030352D">
          <w:rPr>
            <w:webHidden/>
          </w:rPr>
          <w:fldChar w:fldCharType="separate"/>
        </w:r>
        <w:r w:rsidR="0030352D">
          <w:rPr>
            <w:webHidden/>
          </w:rPr>
          <w:t>17</w:t>
        </w:r>
        <w:r w:rsidR="0030352D">
          <w:rPr>
            <w:webHidden/>
          </w:rPr>
          <w:fldChar w:fldCharType="end"/>
        </w:r>
      </w:hyperlink>
    </w:p>
    <w:p w14:paraId="76CAA0E8" w14:textId="3938ED89" w:rsidR="0030352D" w:rsidRDefault="006126E3">
      <w:pPr>
        <w:pStyle w:val="TOC2"/>
        <w:rPr>
          <w:rFonts w:asciiTheme="minorHAnsi" w:eastAsiaTheme="minorEastAsia" w:hAnsiTheme="minorHAnsi" w:cstheme="minorBidi"/>
          <w:sz w:val="22"/>
          <w:szCs w:val="22"/>
          <w:lang w:val="fr-CH" w:eastAsia="zh-CN"/>
        </w:rPr>
      </w:pPr>
      <w:hyperlink w:anchor="_Toc531254872" w:history="1">
        <w:r w:rsidR="0030352D" w:rsidRPr="00802716">
          <w:rPr>
            <w:rStyle w:val="Hyperlink"/>
            <w:rFonts w:cstheme="majorBidi"/>
          </w:rPr>
          <w:t>7.3</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Regional Standardization Forums</w:t>
        </w:r>
        <w:r w:rsidR="0030352D">
          <w:rPr>
            <w:webHidden/>
          </w:rPr>
          <w:tab/>
        </w:r>
        <w:r w:rsidR="0030352D">
          <w:rPr>
            <w:webHidden/>
          </w:rPr>
          <w:tab/>
        </w:r>
        <w:r w:rsidR="0030352D">
          <w:rPr>
            <w:webHidden/>
          </w:rPr>
          <w:fldChar w:fldCharType="begin"/>
        </w:r>
        <w:r w:rsidR="0030352D">
          <w:rPr>
            <w:webHidden/>
          </w:rPr>
          <w:instrText xml:space="preserve"> PAGEREF _Toc531254872 \h </w:instrText>
        </w:r>
        <w:r w:rsidR="0030352D">
          <w:rPr>
            <w:webHidden/>
          </w:rPr>
        </w:r>
        <w:r w:rsidR="0030352D">
          <w:rPr>
            <w:webHidden/>
          </w:rPr>
          <w:fldChar w:fldCharType="separate"/>
        </w:r>
        <w:r w:rsidR="0030352D">
          <w:rPr>
            <w:webHidden/>
          </w:rPr>
          <w:t>18</w:t>
        </w:r>
        <w:r w:rsidR="0030352D">
          <w:rPr>
            <w:webHidden/>
          </w:rPr>
          <w:fldChar w:fldCharType="end"/>
        </w:r>
      </w:hyperlink>
    </w:p>
    <w:p w14:paraId="568BE741" w14:textId="57FD7D3B" w:rsidR="0030352D" w:rsidRDefault="006126E3">
      <w:pPr>
        <w:pStyle w:val="TOC2"/>
        <w:rPr>
          <w:rFonts w:asciiTheme="minorHAnsi" w:eastAsiaTheme="minorEastAsia" w:hAnsiTheme="minorHAnsi" w:cstheme="minorBidi"/>
          <w:sz w:val="22"/>
          <w:szCs w:val="22"/>
          <w:lang w:val="fr-CH" w:eastAsia="zh-CN"/>
        </w:rPr>
      </w:pPr>
      <w:hyperlink w:anchor="_Toc531254873" w:history="1">
        <w:r w:rsidR="0030352D" w:rsidRPr="00802716">
          <w:rPr>
            <w:rStyle w:val="Hyperlink"/>
            <w:rFonts w:cstheme="majorBidi"/>
          </w:rPr>
          <w:t>7.4</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National Standardization Secretariats</w:t>
        </w:r>
        <w:r w:rsidR="0030352D">
          <w:rPr>
            <w:webHidden/>
          </w:rPr>
          <w:tab/>
        </w:r>
        <w:r w:rsidR="0030352D">
          <w:rPr>
            <w:webHidden/>
          </w:rPr>
          <w:tab/>
        </w:r>
        <w:r w:rsidR="0030352D">
          <w:rPr>
            <w:webHidden/>
          </w:rPr>
          <w:fldChar w:fldCharType="begin"/>
        </w:r>
        <w:r w:rsidR="0030352D">
          <w:rPr>
            <w:webHidden/>
          </w:rPr>
          <w:instrText xml:space="preserve"> PAGEREF _Toc531254873 \h </w:instrText>
        </w:r>
        <w:r w:rsidR="0030352D">
          <w:rPr>
            <w:webHidden/>
          </w:rPr>
        </w:r>
        <w:r w:rsidR="0030352D">
          <w:rPr>
            <w:webHidden/>
          </w:rPr>
          <w:fldChar w:fldCharType="separate"/>
        </w:r>
        <w:r w:rsidR="0030352D">
          <w:rPr>
            <w:webHidden/>
          </w:rPr>
          <w:t>18</w:t>
        </w:r>
        <w:r w:rsidR="0030352D">
          <w:rPr>
            <w:webHidden/>
          </w:rPr>
          <w:fldChar w:fldCharType="end"/>
        </w:r>
      </w:hyperlink>
    </w:p>
    <w:p w14:paraId="503395EF" w14:textId="32BA1FD2" w:rsidR="0030352D" w:rsidRDefault="006126E3">
      <w:pPr>
        <w:pStyle w:val="TOC2"/>
        <w:rPr>
          <w:rFonts w:asciiTheme="minorHAnsi" w:eastAsiaTheme="minorEastAsia" w:hAnsiTheme="minorHAnsi" w:cstheme="minorBidi"/>
          <w:sz w:val="22"/>
          <w:szCs w:val="22"/>
          <w:lang w:val="fr-CH" w:eastAsia="zh-CN"/>
        </w:rPr>
      </w:pPr>
      <w:hyperlink w:anchor="_Toc531254874" w:history="1">
        <w:r w:rsidR="0030352D" w:rsidRPr="00802716">
          <w:rPr>
            <w:rStyle w:val="Hyperlink"/>
            <w:rFonts w:cstheme="majorBidi"/>
          </w:rPr>
          <w:t>7.5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e-Learning courses</w:t>
        </w:r>
        <w:r w:rsidR="0030352D">
          <w:rPr>
            <w:webHidden/>
          </w:rPr>
          <w:tab/>
        </w:r>
        <w:r w:rsidR="0030352D">
          <w:rPr>
            <w:webHidden/>
          </w:rPr>
          <w:tab/>
        </w:r>
        <w:r w:rsidR="0030352D">
          <w:rPr>
            <w:webHidden/>
          </w:rPr>
          <w:fldChar w:fldCharType="begin"/>
        </w:r>
        <w:r w:rsidR="0030352D">
          <w:rPr>
            <w:webHidden/>
          </w:rPr>
          <w:instrText xml:space="preserve"> PAGEREF _Toc531254874 \h </w:instrText>
        </w:r>
        <w:r w:rsidR="0030352D">
          <w:rPr>
            <w:webHidden/>
          </w:rPr>
        </w:r>
        <w:r w:rsidR="0030352D">
          <w:rPr>
            <w:webHidden/>
          </w:rPr>
          <w:fldChar w:fldCharType="separate"/>
        </w:r>
        <w:r w:rsidR="0030352D">
          <w:rPr>
            <w:webHidden/>
          </w:rPr>
          <w:t>18</w:t>
        </w:r>
        <w:r w:rsidR="0030352D">
          <w:rPr>
            <w:webHidden/>
          </w:rPr>
          <w:fldChar w:fldCharType="end"/>
        </w:r>
      </w:hyperlink>
    </w:p>
    <w:p w14:paraId="660BCC30" w14:textId="29637788" w:rsidR="0030352D" w:rsidRDefault="006126E3">
      <w:pPr>
        <w:pStyle w:val="TOC2"/>
        <w:rPr>
          <w:rFonts w:asciiTheme="minorHAnsi" w:eastAsiaTheme="minorEastAsia" w:hAnsiTheme="minorHAnsi" w:cstheme="minorBidi"/>
          <w:sz w:val="22"/>
          <w:szCs w:val="22"/>
          <w:lang w:val="fr-CH" w:eastAsia="zh-CN"/>
        </w:rPr>
      </w:pPr>
      <w:hyperlink w:anchor="_Toc531254875" w:history="1">
        <w:r w:rsidR="0030352D" w:rsidRPr="00802716">
          <w:rPr>
            <w:rStyle w:val="Hyperlink"/>
            <w:rFonts w:cstheme="majorBidi"/>
          </w:rPr>
          <w:t>7.6</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Study Group Mentoring Programme</w:t>
        </w:r>
        <w:r w:rsidR="0030352D">
          <w:rPr>
            <w:webHidden/>
          </w:rPr>
          <w:tab/>
        </w:r>
        <w:r w:rsidR="0030352D">
          <w:rPr>
            <w:webHidden/>
          </w:rPr>
          <w:tab/>
        </w:r>
        <w:r w:rsidR="0030352D">
          <w:rPr>
            <w:webHidden/>
          </w:rPr>
          <w:fldChar w:fldCharType="begin"/>
        </w:r>
        <w:r w:rsidR="0030352D">
          <w:rPr>
            <w:webHidden/>
          </w:rPr>
          <w:instrText xml:space="preserve"> PAGEREF _Toc531254875 \h </w:instrText>
        </w:r>
        <w:r w:rsidR="0030352D">
          <w:rPr>
            <w:webHidden/>
          </w:rPr>
        </w:r>
        <w:r w:rsidR="0030352D">
          <w:rPr>
            <w:webHidden/>
          </w:rPr>
          <w:fldChar w:fldCharType="separate"/>
        </w:r>
        <w:r w:rsidR="0030352D">
          <w:rPr>
            <w:webHidden/>
          </w:rPr>
          <w:t>19</w:t>
        </w:r>
        <w:r w:rsidR="0030352D">
          <w:rPr>
            <w:webHidden/>
          </w:rPr>
          <w:fldChar w:fldCharType="end"/>
        </w:r>
      </w:hyperlink>
    </w:p>
    <w:p w14:paraId="6DA52986" w14:textId="67ED77BE" w:rsidR="0030352D" w:rsidRDefault="006126E3">
      <w:pPr>
        <w:pStyle w:val="TOC2"/>
        <w:rPr>
          <w:rFonts w:asciiTheme="minorHAnsi" w:eastAsiaTheme="minorEastAsia" w:hAnsiTheme="minorHAnsi" w:cstheme="minorBidi"/>
          <w:sz w:val="22"/>
          <w:szCs w:val="22"/>
          <w:lang w:val="fr-CH" w:eastAsia="zh-CN"/>
        </w:rPr>
      </w:pPr>
      <w:hyperlink w:anchor="_Toc531254876" w:history="1">
        <w:r w:rsidR="0030352D" w:rsidRPr="00802716">
          <w:rPr>
            <w:rStyle w:val="Hyperlink"/>
            <w:rFonts w:cstheme="majorBidi"/>
          </w:rPr>
          <w:t>7.7</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Technical Papers</w:t>
        </w:r>
        <w:r w:rsidR="0030352D">
          <w:rPr>
            <w:webHidden/>
          </w:rPr>
          <w:tab/>
        </w:r>
        <w:r w:rsidR="0030352D">
          <w:rPr>
            <w:webHidden/>
          </w:rPr>
          <w:tab/>
        </w:r>
        <w:r w:rsidR="0030352D">
          <w:rPr>
            <w:webHidden/>
          </w:rPr>
          <w:fldChar w:fldCharType="begin"/>
        </w:r>
        <w:r w:rsidR="0030352D">
          <w:rPr>
            <w:webHidden/>
          </w:rPr>
          <w:instrText xml:space="preserve"> PAGEREF _Toc531254876 \h </w:instrText>
        </w:r>
        <w:r w:rsidR="0030352D">
          <w:rPr>
            <w:webHidden/>
          </w:rPr>
        </w:r>
        <w:r w:rsidR="0030352D">
          <w:rPr>
            <w:webHidden/>
          </w:rPr>
          <w:fldChar w:fldCharType="separate"/>
        </w:r>
        <w:r w:rsidR="0030352D">
          <w:rPr>
            <w:webHidden/>
          </w:rPr>
          <w:t>19</w:t>
        </w:r>
        <w:r w:rsidR="0030352D">
          <w:rPr>
            <w:webHidden/>
          </w:rPr>
          <w:fldChar w:fldCharType="end"/>
        </w:r>
      </w:hyperlink>
    </w:p>
    <w:p w14:paraId="7436DC95" w14:textId="1C179DF9" w:rsidR="0030352D" w:rsidRDefault="006126E3">
      <w:pPr>
        <w:pStyle w:val="TOC2"/>
        <w:rPr>
          <w:rFonts w:asciiTheme="minorHAnsi" w:eastAsiaTheme="minorEastAsia" w:hAnsiTheme="minorHAnsi" w:cstheme="minorBidi"/>
          <w:sz w:val="22"/>
          <w:szCs w:val="22"/>
          <w:lang w:val="fr-CH" w:eastAsia="zh-CN"/>
        </w:rPr>
      </w:pPr>
      <w:hyperlink w:anchor="_Toc531254877" w:history="1">
        <w:r w:rsidR="0030352D" w:rsidRPr="00802716">
          <w:rPr>
            <w:rStyle w:val="Hyperlink"/>
            <w:rFonts w:cstheme="majorBidi"/>
          </w:rPr>
          <w:t>7.8</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Fellowships</w:t>
        </w:r>
        <w:r w:rsidR="0030352D">
          <w:rPr>
            <w:webHidden/>
          </w:rPr>
          <w:tab/>
        </w:r>
        <w:r w:rsidR="0030352D">
          <w:rPr>
            <w:webHidden/>
          </w:rPr>
          <w:tab/>
        </w:r>
        <w:r w:rsidR="0030352D">
          <w:rPr>
            <w:webHidden/>
          </w:rPr>
          <w:fldChar w:fldCharType="begin"/>
        </w:r>
        <w:r w:rsidR="0030352D">
          <w:rPr>
            <w:webHidden/>
          </w:rPr>
          <w:instrText xml:space="preserve"> PAGEREF _Toc531254877 \h </w:instrText>
        </w:r>
        <w:r w:rsidR="0030352D">
          <w:rPr>
            <w:webHidden/>
          </w:rPr>
        </w:r>
        <w:r w:rsidR="0030352D">
          <w:rPr>
            <w:webHidden/>
          </w:rPr>
          <w:fldChar w:fldCharType="separate"/>
        </w:r>
        <w:r w:rsidR="0030352D">
          <w:rPr>
            <w:webHidden/>
          </w:rPr>
          <w:t>19</w:t>
        </w:r>
        <w:r w:rsidR="0030352D">
          <w:rPr>
            <w:webHidden/>
          </w:rPr>
          <w:fldChar w:fldCharType="end"/>
        </w:r>
      </w:hyperlink>
    </w:p>
    <w:p w14:paraId="77B93756" w14:textId="51142D27" w:rsidR="0030352D" w:rsidRDefault="006126E3">
      <w:pPr>
        <w:pStyle w:val="TOC2"/>
        <w:rPr>
          <w:rFonts w:asciiTheme="minorHAnsi" w:eastAsiaTheme="minorEastAsia" w:hAnsiTheme="minorHAnsi" w:cstheme="minorBidi"/>
          <w:sz w:val="22"/>
          <w:szCs w:val="22"/>
          <w:lang w:val="fr-CH" w:eastAsia="zh-CN"/>
        </w:rPr>
      </w:pPr>
      <w:hyperlink w:anchor="_Toc531254878" w:history="1">
        <w:r w:rsidR="0030352D" w:rsidRPr="00802716">
          <w:rPr>
            <w:rStyle w:val="Hyperlink"/>
            <w:rFonts w:cstheme="majorBidi"/>
          </w:rPr>
          <w:t>7.9</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Questionnaires for developing countries</w:t>
        </w:r>
        <w:r w:rsidR="0030352D">
          <w:rPr>
            <w:webHidden/>
          </w:rPr>
          <w:tab/>
        </w:r>
        <w:r w:rsidR="0030352D">
          <w:rPr>
            <w:webHidden/>
          </w:rPr>
          <w:tab/>
        </w:r>
        <w:r w:rsidR="0030352D">
          <w:rPr>
            <w:webHidden/>
          </w:rPr>
          <w:fldChar w:fldCharType="begin"/>
        </w:r>
        <w:r w:rsidR="0030352D">
          <w:rPr>
            <w:webHidden/>
          </w:rPr>
          <w:instrText xml:space="preserve"> PAGEREF _Toc531254878 \h </w:instrText>
        </w:r>
        <w:r w:rsidR="0030352D">
          <w:rPr>
            <w:webHidden/>
          </w:rPr>
        </w:r>
        <w:r w:rsidR="0030352D">
          <w:rPr>
            <w:webHidden/>
          </w:rPr>
          <w:fldChar w:fldCharType="separate"/>
        </w:r>
        <w:r w:rsidR="0030352D">
          <w:rPr>
            <w:webHidden/>
          </w:rPr>
          <w:t>21</w:t>
        </w:r>
        <w:r w:rsidR="0030352D">
          <w:rPr>
            <w:webHidden/>
          </w:rPr>
          <w:fldChar w:fldCharType="end"/>
        </w:r>
      </w:hyperlink>
    </w:p>
    <w:p w14:paraId="7248EB04" w14:textId="77777777" w:rsidR="0030352D" w:rsidRDefault="0030352D" w:rsidP="0030352D">
      <w:pPr>
        <w:pStyle w:val="toc0"/>
      </w:pPr>
      <w:r>
        <w:br w:type="page"/>
      </w:r>
    </w:p>
    <w:p w14:paraId="5B0DB77D" w14:textId="4E00083D" w:rsidR="0030352D" w:rsidRDefault="0030352D" w:rsidP="0030352D">
      <w:pPr>
        <w:pStyle w:val="toc0"/>
      </w:pPr>
      <w:r>
        <w:lastRenderedPageBreak/>
        <w:tab/>
        <w:t>Page</w:t>
      </w:r>
    </w:p>
    <w:p w14:paraId="178CDE26" w14:textId="0E1506E4" w:rsidR="0030352D" w:rsidRDefault="006126E3">
      <w:pPr>
        <w:pStyle w:val="TOC1"/>
        <w:rPr>
          <w:rFonts w:asciiTheme="minorHAnsi" w:eastAsiaTheme="minorEastAsia" w:hAnsiTheme="minorHAnsi" w:cstheme="minorBidi"/>
          <w:sz w:val="22"/>
          <w:szCs w:val="22"/>
          <w:lang w:val="fr-CH" w:eastAsia="zh-CN"/>
        </w:rPr>
      </w:pPr>
      <w:hyperlink w:anchor="_Toc531254879" w:history="1">
        <w:r w:rsidR="0030352D" w:rsidRPr="00802716">
          <w:rPr>
            <w:rStyle w:val="Hyperlink"/>
            <w:rFonts w:cstheme="majorBidi"/>
          </w:rPr>
          <w:t>8</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Membership</w:t>
        </w:r>
        <w:r w:rsidR="0030352D">
          <w:rPr>
            <w:webHidden/>
          </w:rPr>
          <w:tab/>
        </w:r>
        <w:r w:rsidR="0030352D">
          <w:rPr>
            <w:webHidden/>
          </w:rPr>
          <w:tab/>
        </w:r>
        <w:r w:rsidR="0030352D">
          <w:rPr>
            <w:webHidden/>
          </w:rPr>
          <w:fldChar w:fldCharType="begin"/>
        </w:r>
        <w:r w:rsidR="0030352D">
          <w:rPr>
            <w:webHidden/>
          </w:rPr>
          <w:instrText xml:space="preserve"> PAGEREF _Toc531254879 \h </w:instrText>
        </w:r>
        <w:r w:rsidR="0030352D">
          <w:rPr>
            <w:webHidden/>
          </w:rPr>
        </w:r>
        <w:r w:rsidR="0030352D">
          <w:rPr>
            <w:webHidden/>
          </w:rPr>
          <w:fldChar w:fldCharType="separate"/>
        </w:r>
        <w:r w:rsidR="0030352D">
          <w:rPr>
            <w:webHidden/>
          </w:rPr>
          <w:t>21</w:t>
        </w:r>
        <w:r w:rsidR="0030352D">
          <w:rPr>
            <w:webHidden/>
          </w:rPr>
          <w:fldChar w:fldCharType="end"/>
        </w:r>
      </w:hyperlink>
    </w:p>
    <w:p w14:paraId="12330DAE" w14:textId="57B60483" w:rsidR="0030352D" w:rsidRDefault="006126E3">
      <w:pPr>
        <w:pStyle w:val="TOC2"/>
        <w:rPr>
          <w:rFonts w:asciiTheme="minorHAnsi" w:eastAsiaTheme="minorEastAsia" w:hAnsiTheme="minorHAnsi" w:cstheme="minorBidi"/>
          <w:sz w:val="22"/>
          <w:szCs w:val="22"/>
          <w:lang w:val="fr-CH" w:eastAsia="zh-CN"/>
        </w:rPr>
      </w:pPr>
      <w:hyperlink w:anchor="_Toc531254880" w:history="1">
        <w:r w:rsidR="0030352D" w:rsidRPr="00802716">
          <w:rPr>
            <w:rStyle w:val="Hyperlink"/>
            <w:rFonts w:cstheme="majorBidi"/>
          </w:rPr>
          <w:t>8.1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Evolution of ITU-T membership</w:t>
        </w:r>
        <w:r w:rsidR="0030352D">
          <w:rPr>
            <w:webHidden/>
          </w:rPr>
          <w:tab/>
        </w:r>
        <w:r w:rsidR="0030352D">
          <w:rPr>
            <w:webHidden/>
          </w:rPr>
          <w:tab/>
        </w:r>
        <w:r w:rsidR="0030352D">
          <w:rPr>
            <w:webHidden/>
          </w:rPr>
          <w:fldChar w:fldCharType="begin"/>
        </w:r>
        <w:r w:rsidR="0030352D">
          <w:rPr>
            <w:webHidden/>
          </w:rPr>
          <w:instrText xml:space="preserve"> PAGEREF _Toc531254880 \h </w:instrText>
        </w:r>
        <w:r w:rsidR="0030352D">
          <w:rPr>
            <w:webHidden/>
          </w:rPr>
        </w:r>
        <w:r w:rsidR="0030352D">
          <w:rPr>
            <w:webHidden/>
          </w:rPr>
          <w:fldChar w:fldCharType="separate"/>
        </w:r>
        <w:r w:rsidR="0030352D">
          <w:rPr>
            <w:webHidden/>
          </w:rPr>
          <w:t>21</w:t>
        </w:r>
        <w:r w:rsidR="0030352D">
          <w:rPr>
            <w:webHidden/>
          </w:rPr>
          <w:fldChar w:fldCharType="end"/>
        </w:r>
      </w:hyperlink>
    </w:p>
    <w:p w14:paraId="4BA096B0" w14:textId="7CD7EB74" w:rsidR="0030352D" w:rsidRDefault="006126E3">
      <w:pPr>
        <w:pStyle w:val="TOC2"/>
        <w:rPr>
          <w:rFonts w:asciiTheme="minorHAnsi" w:eastAsiaTheme="minorEastAsia" w:hAnsiTheme="minorHAnsi" w:cstheme="minorBidi"/>
          <w:sz w:val="22"/>
          <w:szCs w:val="22"/>
          <w:lang w:val="fr-CH" w:eastAsia="zh-CN"/>
        </w:rPr>
      </w:pPr>
      <w:hyperlink w:anchor="_Toc531254881" w:history="1">
        <w:r w:rsidR="0030352D" w:rsidRPr="00802716">
          <w:rPr>
            <w:rStyle w:val="Hyperlink"/>
            <w:rFonts w:cstheme="majorBidi"/>
          </w:rPr>
          <w:t>8.2</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Implementation of SME Pilot Project</w:t>
        </w:r>
        <w:r w:rsidR="0030352D">
          <w:rPr>
            <w:webHidden/>
          </w:rPr>
          <w:tab/>
        </w:r>
        <w:r w:rsidR="0030352D">
          <w:rPr>
            <w:webHidden/>
          </w:rPr>
          <w:tab/>
        </w:r>
        <w:r w:rsidR="0030352D">
          <w:rPr>
            <w:webHidden/>
          </w:rPr>
          <w:fldChar w:fldCharType="begin"/>
        </w:r>
        <w:r w:rsidR="0030352D">
          <w:rPr>
            <w:webHidden/>
          </w:rPr>
          <w:instrText xml:space="preserve"> PAGEREF _Toc531254881 \h </w:instrText>
        </w:r>
        <w:r w:rsidR="0030352D">
          <w:rPr>
            <w:webHidden/>
          </w:rPr>
        </w:r>
        <w:r w:rsidR="0030352D">
          <w:rPr>
            <w:webHidden/>
          </w:rPr>
          <w:fldChar w:fldCharType="separate"/>
        </w:r>
        <w:r w:rsidR="0030352D">
          <w:rPr>
            <w:webHidden/>
          </w:rPr>
          <w:t>22</w:t>
        </w:r>
        <w:r w:rsidR="0030352D">
          <w:rPr>
            <w:webHidden/>
          </w:rPr>
          <w:fldChar w:fldCharType="end"/>
        </w:r>
      </w:hyperlink>
    </w:p>
    <w:p w14:paraId="6AC1CCE7" w14:textId="0270C77E" w:rsidR="0030352D" w:rsidRDefault="006126E3">
      <w:pPr>
        <w:pStyle w:val="TOC1"/>
        <w:rPr>
          <w:rFonts w:asciiTheme="minorHAnsi" w:eastAsiaTheme="minorEastAsia" w:hAnsiTheme="minorHAnsi" w:cstheme="minorBidi"/>
          <w:sz w:val="22"/>
          <w:szCs w:val="22"/>
          <w:lang w:val="fr-CH" w:eastAsia="zh-CN"/>
        </w:rPr>
      </w:pPr>
      <w:hyperlink w:anchor="_Toc531254882" w:history="1">
        <w:r w:rsidR="0030352D" w:rsidRPr="00802716">
          <w:rPr>
            <w:rStyle w:val="Hyperlink"/>
            <w:rFonts w:cstheme="majorBidi"/>
          </w:rPr>
          <w:t>9</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Gender</w:t>
        </w:r>
        <w:r w:rsidR="0030352D">
          <w:rPr>
            <w:webHidden/>
          </w:rPr>
          <w:tab/>
        </w:r>
        <w:r w:rsidR="0030352D">
          <w:rPr>
            <w:webHidden/>
          </w:rPr>
          <w:tab/>
        </w:r>
        <w:r w:rsidR="0030352D">
          <w:rPr>
            <w:webHidden/>
          </w:rPr>
          <w:fldChar w:fldCharType="begin"/>
        </w:r>
        <w:r w:rsidR="0030352D">
          <w:rPr>
            <w:webHidden/>
          </w:rPr>
          <w:instrText xml:space="preserve"> PAGEREF _Toc531254882 \h </w:instrText>
        </w:r>
        <w:r w:rsidR="0030352D">
          <w:rPr>
            <w:webHidden/>
          </w:rPr>
        </w:r>
        <w:r w:rsidR="0030352D">
          <w:rPr>
            <w:webHidden/>
          </w:rPr>
          <w:fldChar w:fldCharType="separate"/>
        </w:r>
        <w:r w:rsidR="0030352D">
          <w:rPr>
            <w:webHidden/>
          </w:rPr>
          <w:t>23</w:t>
        </w:r>
        <w:r w:rsidR="0030352D">
          <w:rPr>
            <w:webHidden/>
          </w:rPr>
          <w:fldChar w:fldCharType="end"/>
        </w:r>
      </w:hyperlink>
    </w:p>
    <w:p w14:paraId="27DEBA7F" w14:textId="3BA1D41D" w:rsidR="0030352D" w:rsidRDefault="006126E3">
      <w:pPr>
        <w:pStyle w:val="TOC1"/>
        <w:rPr>
          <w:rFonts w:asciiTheme="minorHAnsi" w:eastAsiaTheme="minorEastAsia" w:hAnsiTheme="minorHAnsi" w:cstheme="minorBidi"/>
          <w:sz w:val="22"/>
          <w:szCs w:val="22"/>
          <w:lang w:val="fr-CH" w:eastAsia="zh-CN"/>
        </w:rPr>
      </w:pPr>
      <w:hyperlink w:anchor="_Toc531254883" w:history="1">
        <w:r w:rsidR="0030352D" w:rsidRPr="00802716">
          <w:rPr>
            <w:rStyle w:val="Hyperlink"/>
            <w:rFonts w:cstheme="majorBidi"/>
          </w:rPr>
          <w:t>10</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Academia</w:t>
        </w:r>
        <w:r w:rsidR="0030352D">
          <w:rPr>
            <w:webHidden/>
          </w:rPr>
          <w:tab/>
        </w:r>
        <w:r w:rsidR="0030352D">
          <w:rPr>
            <w:webHidden/>
          </w:rPr>
          <w:tab/>
        </w:r>
        <w:r w:rsidR="0030352D">
          <w:rPr>
            <w:webHidden/>
          </w:rPr>
          <w:fldChar w:fldCharType="begin"/>
        </w:r>
        <w:r w:rsidR="0030352D">
          <w:rPr>
            <w:webHidden/>
          </w:rPr>
          <w:instrText xml:space="preserve"> PAGEREF _Toc531254883 \h </w:instrText>
        </w:r>
        <w:r w:rsidR="0030352D">
          <w:rPr>
            <w:webHidden/>
          </w:rPr>
        </w:r>
        <w:r w:rsidR="0030352D">
          <w:rPr>
            <w:webHidden/>
          </w:rPr>
          <w:fldChar w:fldCharType="separate"/>
        </w:r>
        <w:r w:rsidR="0030352D">
          <w:rPr>
            <w:webHidden/>
          </w:rPr>
          <w:t>23</w:t>
        </w:r>
        <w:r w:rsidR="0030352D">
          <w:rPr>
            <w:webHidden/>
          </w:rPr>
          <w:fldChar w:fldCharType="end"/>
        </w:r>
      </w:hyperlink>
    </w:p>
    <w:p w14:paraId="2690EFDA" w14:textId="4A531DE0" w:rsidR="0030352D" w:rsidRDefault="006126E3">
      <w:pPr>
        <w:pStyle w:val="TOC1"/>
        <w:rPr>
          <w:rFonts w:asciiTheme="minorHAnsi" w:eastAsiaTheme="minorEastAsia" w:hAnsiTheme="minorHAnsi" w:cstheme="minorBidi"/>
          <w:sz w:val="22"/>
          <w:szCs w:val="22"/>
          <w:lang w:val="fr-CH" w:eastAsia="zh-CN"/>
        </w:rPr>
      </w:pPr>
      <w:hyperlink w:anchor="_Toc531254887" w:history="1">
        <w:r w:rsidR="0030352D" w:rsidRPr="00802716">
          <w:rPr>
            <w:rStyle w:val="Hyperlink"/>
            <w:rFonts w:cstheme="majorBidi"/>
          </w:rPr>
          <w:t>11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Publications</w:t>
        </w:r>
        <w:r w:rsidR="0030352D">
          <w:rPr>
            <w:webHidden/>
          </w:rPr>
          <w:tab/>
        </w:r>
        <w:r w:rsidR="0030352D">
          <w:rPr>
            <w:webHidden/>
          </w:rPr>
          <w:tab/>
        </w:r>
        <w:r w:rsidR="0030352D">
          <w:rPr>
            <w:webHidden/>
          </w:rPr>
          <w:fldChar w:fldCharType="begin"/>
        </w:r>
        <w:r w:rsidR="0030352D">
          <w:rPr>
            <w:webHidden/>
          </w:rPr>
          <w:instrText xml:space="preserve"> PAGEREF _Toc531254887 \h </w:instrText>
        </w:r>
        <w:r w:rsidR="0030352D">
          <w:rPr>
            <w:webHidden/>
          </w:rPr>
        </w:r>
        <w:r w:rsidR="0030352D">
          <w:rPr>
            <w:webHidden/>
          </w:rPr>
          <w:fldChar w:fldCharType="separate"/>
        </w:r>
        <w:r w:rsidR="0030352D">
          <w:rPr>
            <w:webHidden/>
          </w:rPr>
          <w:t>24</w:t>
        </w:r>
        <w:r w:rsidR="0030352D">
          <w:rPr>
            <w:webHidden/>
          </w:rPr>
          <w:fldChar w:fldCharType="end"/>
        </w:r>
      </w:hyperlink>
    </w:p>
    <w:p w14:paraId="214E563D" w14:textId="71ADF3D6" w:rsidR="0030352D" w:rsidRDefault="006126E3">
      <w:pPr>
        <w:pStyle w:val="TOC1"/>
        <w:rPr>
          <w:rFonts w:asciiTheme="minorHAnsi" w:eastAsiaTheme="minorEastAsia" w:hAnsiTheme="minorHAnsi" w:cstheme="minorBidi"/>
          <w:sz w:val="22"/>
          <w:szCs w:val="22"/>
          <w:lang w:val="fr-CH" w:eastAsia="zh-CN"/>
        </w:rPr>
      </w:pPr>
      <w:hyperlink w:anchor="_Toc531254888" w:history="1">
        <w:r w:rsidR="0030352D" w:rsidRPr="00802716">
          <w:rPr>
            <w:rStyle w:val="Hyperlink"/>
            <w:rFonts w:cstheme="majorBidi"/>
          </w:rPr>
          <w:t>12</w:t>
        </w:r>
        <w:r w:rsidR="0030352D">
          <w:rPr>
            <w:rFonts w:asciiTheme="minorHAnsi" w:eastAsiaTheme="minorEastAsia" w:hAnsiTheme="minorHAnsi" w:cstheme="minorBidi"/>
            <w:sz w:val="22"/>
            <w:szCs w:val="22"/>
            <w:lang w:val="fr-CH" w:eastAsia="zh-CN"/>
          </w:rPr>
          <w:tab/>
        </w:r>
        <w:r w:rsidR="0030352D" w:rsidRPr="00802716">
          <w:rPr>
            <w:rStyle w:val="Hyperlink"/>
          </w:rPr>
          <w:t>Media and promotion</w:t>
        </w:r>
        <w:r w:rsidR="0030352D">
          <w:rPr>
            <w:webHidden/>
          </w:rPr>
          <w:tab/>
        </w:r>
        <w:r w:rsidR="0030352D">
          <w:rPr>
            <w:webHidden/>
          </w:rPr>
          <w:tab/>
        </w:r>
        <w:r w:rsidR="0030352D">
          <w:rPr>
            <w:webHidden/>
          </w:rPr>
          <w:fldChar w:fldCharType="begin"/>
        </w:r>
        <w:r w:rsidR="0030352D">
          <w:rPr>
            <w:webHidden/>
          </w:rPr>
          <w:instrText xml:space="preserve"> PAGEREF _Toc531254888 \h </w:instrText>
        </w:r>
        <w:r w:rsidR="0030352D">
          <w:rPr>
            <w:webHidden/>
          </w:rPr>
        </w:r>
        <w:r w:rsidR="0030352D">
          <w:rPr>
            <w:webHidden/>
          </w:rPr>
          <w:fldChar w:fldCharType="separate"/>
        </w:r>
        <w:r w:rsidR="0030352D">
          <w:rPr>
            <w:webHidden/>
          </w:rPr>
          <w:t>24</w:t>
        </w:r>
        <w:r w:rsidR="0030352D">
          <w:rPr>
            <w:webHidden/>
          </w:rPr>
          <w:fldChar w:fldCharType="end"/>
        </w:r>
      </w:hyperlink>
    </w:p>
    <w:p w14:paraId="554F260B" w14:textId="3970544D" w:rsidR="0030352D" w:rsidRDefault="006126E3">
      <w:pPr>
        <w:pStyle w:val="TOC1"/>
        <w:rPr>
          <w:rFonts w:asciiTheme="minorHAnsi" w:eastAsiaTheme="minorEastAsia" w:hAnsiTheme="minorHAnsi" w:cstheme="minorBidi"/>
          <w:sz w:val="22"/>
          <w:szCs w:val="22"/>
          <w:lang w:val="fr-CH" w:eastAsia="zh-CN"/>
        </w:rPr>
      </w:pPr>
      <w:hyperlink w:anchor="_Toc531254889" w:history="1">
        <w:r w:rsidR="0030352D" w:rsidRPr="00802716">
          <w:rPr>
            <w:rStyle w:val="Hyperlink"/>
            <w:rFonts w:cstheme="majorBidi"/>
          </w:rPr>
          <w:t>13</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Services and tools</w:t>
        </w:r>
        <w:r w:rsidR="0030352D">
          <w:rPr>
            <w:webHidden/>
          </w:rPr>
          <w:tab/>
        </w:r>
        <w:r w:rsidR="0030352D">
          <w:rPr>
            <w:webHidden/>
          </w:rPr>
          <w:tab/>
        </w:r>
        <w:r w:rsidR="0030352D">
          <w:rPr>
            <w:webHidden/>
          </w:rPr>
          <w:fldChar w:fldCharType="begin"/>
        </w:r>
        <w:r w:rsidR="0030352D">
          <w:rPr>
            <w:webHidden/>
          </w:rPr>
          <w:instrText xml:space="preserve"> PAGEREF _Toc531254889 \h </w:instrText>
        </w:r>
        <w:r w:rsidR="0030352D">
          <w:rPr>
            <w:webHidden/>
          </w:rPr>
        </w:r>
        <w:r w:rsidR="0030352D">
          <w:rPr>
            <w:webHidden/>
          </w:rPr>
          <w:fldChar w:fldCharType="separate"/>
        </w:r>
        <w:r w:rsidR="0030352D">
          <w:rPr>
            <w:webHidden/>
          </w:rPr>
          <w:t>25</w:t>
        </w:r>
        <w:r w:rsidR="0030352D">
          <w:rPr>
            <w:webHidden/>
          </w:rPr>
          <w:fldChar w:fldCharType="end"/>
        </w:r>
      </w:hyperlink>
    </w:p>
    <w:p w14:paraId="58736390" w14:textId="255ED5AE" w:rsidR="0030352D" w:rsidRDefault="006126E3">
      <w:pPr>
        <w:pStyle w:val="TOC2"/>
        <w:rPr>
          <w:rFonts w:asciiTheme="minorHAnsi" w:eastAsiaTheme="minorEastAsia" w:hAnsiTheme="minorHAnsi" w:cstheme="minorBidi"/>
          <w:sz w:val="22"/>
          <w:szCs w:val="22"/>
          <w:lang w:val="fr-CH" w:eastAsia="zh-CN"/>
        </w:rPr>
      </w:pPr>
      <w:hyperlink w:anchor="_Toc531254890" w:history="1">
        <w:r w:rsidR="0030352D" w:rsidRPr="00802716">
          <w:rPr>
            <w:rStyle w:val="Hyperlink"/>
            <w:rFonts w:cstheme="majorBidi"/>
          </w:rPr>
          <w:t>13.1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ITU-T Databases</w:t>
        </w:r>
        <w:r w:rsidR="0030352D">
          <w:rPr>
            <w:webHidden/>
          </w:rPr>
          <w:tab/>
        </w:r>
        <w:r w:rsidR="0030352D">
          <w:rPr>
            <w:webHidden/>
          </w:rPr>
          <w:tab/>
        </w:r>
        <w:r w:rsidR="0030352D">
          <w:rPr>
            <w:webHidden/>
          </w:rPr>
          <w:fldChar w:fldCharType="begin"/>
        </w:r>
        <w:r w:rsidR="0030352D">
          <w:rPr>
            <w:webHidden/>
          </w:rPr>
          <w:instrText xml:space="preserve"> PAGEREF _Toc531254890 \h </w:instrText>
        </w:r>
        <w:r w:rsidR="0030352D">
          <w:rPr>
            <w:webHidden/>
          </w:rPr>
        </w:r>
        <w:r w:rsidR="0030352D">
          <w:rPr>
            <w:webHidden/>
          </w:rPr>
          <w:fldChar w:fldCharType="separate"/>
        </w:r>
        <w:r w:rsidR="0030352D">
          <w:rPr>
            <w:webHidden/>
          </w:rPr>
          <w:t>25</w:t>
        </w:r>
        <w:r w:rsidR="0030352D">
          <w:rPr>
            <w:webHidden/>
          </w:rPr>
          <w:fldChar w:fldCharType="end"/>
        </w:r>
      </w:hyperlink>
    </w:p>
    <w:p w14:paraId="5DBF76E8" w14:textId="42384788" w:rsidR="0030352D" w:rsidRDefault="006126E3">
      <w:pPr>
        <w:pStyle w:val="TOC2"/>
        <w:rPr>
          <w:rFonts w:asciiTheme="minorHAnsi" w:eastAsiaTheme="minorEastAsia" w:hAnsiTheme="minorHAnsi" w:cstheme="minorBidi"/>
          <w:sz w:val="22"/>
          <w:szCs w:val="22"/>
          <w:lang w:val="fr-CH" w:eastAsia="zh-CN"/>
        </w:rPr>
      </w:pPr>
      <w:hyperlink w:anchor="_Toc531254891" w:history="1">
        <w:r w:rsidR="0030352D" w:rsidRPr="00802716">
          <w:rPr>
            <w:rStyle w:val="Hyperlink"/>
          </w:rPr>
          <w:t>13.2</w:t>
        </w:r>
        <w:r w:rsidR="0030352D">
          <w:rPr>
            <w:rFonts w:asciiTheme="minorHAnsi" w:eastAsiaTheme="minorEastAsia" w:hAnsiTheme="minorHAnsi" w:cstheme="minorBidi"/>
            <w:sz w:val="22"/>
            <w:szCs w:val="22"/>
            <w:lang w:val="fr-CH" w:eastAsia="zh-CN"/>
          </w:rPr>
          <w:tab/>
        </w:r>
        <w:r w:rsidR="0030352D" w:rsidRPr="00802716">
          <w:rPr>
            <w:rStyle w:val="Hyperlink"/>
          </w:rPr>
          <w:t>ITU-T MyWorkspace</w:t>
        </w:r>
        <w:r w:rsidR="0030352D">
          <w:rPr>
            <w:webHidden/>
          </w:rPr>
          <w:tab/>
        </w:r>
        <w:r w:rsidR="0030352D">
          <w:rPr>
            <w:webHidden/>
          </w:rPr>
          <w:tab/>
        </w:r>
        <w:r w:rsidR="0030352D">
          <w:rPr>
            <w:webHidden/>
          </w:rPr>
          <w:fldChar w:fldCharType="begin"/>
        </w:r>
        <w:r w:rsidR="0030352D">
          <w:rPr>
            <w:webHidden/>
          </w:rPr>
          <w:instrText xml:space="preserve"> PAGEREF _Toc531254891 \h </w:instrText>
        </w:r>
        <w:r w:rsidR="0030352D">
          <w:rPr>
            <w:webHidden/>
          </w:rPr>
        </w:r>
        <w:r w:rsidR="0030352D">
          <w:rPr>
            <w:webHidden/>
          </w:rPr>
          <w:fldChar w:fldCharType="separate"/>
        </w:r>
        <w:r w:rsidR="0030352D">
          <w:rPr>
            <w:webHidden/>
          </w:rPr>
          <w:t>25</w:t>
        </w:r>
        <w:r w:rsidR="0030352D">
          <w:rPr>
            <w:webHidden/>
          </w:rPr>
          <w:fldChar w:fldCharType="end"/>
        </w:r>
      </w:hyperlink>
    </w:p>
    <w:p w14:paraId="15419C31" w14:textId="041D05A6" w:rsidR="0030352D" w:rsidRDefault="006126E3">
      <w:pPr>
        <w:pStyle w:val="TOC2"/>
        <w:rPr>
          <w:rFonts w:asciiTheme="minorHAnsi" w:eastAsiaTheme="minorEastAsia" w:hAnsiTheme="minorHAnsi" w:cstheme="minorBidi"/>
          <w:sz w:val="22"/>
          <w:szCs w:val="22"/>
          <w:lang w:val="fr-CH" w:eastAsia="zh-CN"/>
        </w:rPr>
      </w:pPr>
      <w:hyperlink w:anchor="_Toc531254892" w:history="1">
        <w:r w:rsidR="0030352D" w:rsidRPr="00802716">
          <w:rPr>
            <w:rStyle w:val="Hyperlink"/>
          </w:rPr>
          <w:t>13.3</w:t>
        </w:r>
        <w:r w:rsidR="0030352D">
          <w:rPr>
            <w:rFonts w:asciiTheme="minorHAnsi" w:eastAsiaTheme="minorEastAsia" w:hAnsiTheme="minorHAnsi" w:cstheme="minorBidi"/>
            <w:sz w:val="22"/>
            <w:szCs w:val="22"/>
            <w:lang w:val="fr-CH" w:eastAsia="zh-CN"/>
          </w:rPr>
          <w:tab/>
        </w:r>
        <w:r w:rsidR="0030352D" w:rsidRPr="00802716">
          <w:rPr>
            <w:rStyle w:val="Hyperlink"/>
          </w:rPr>
          <w:t>ITU search engine</w:t>
        </w:r>
        <w:r w:rsidR="0030352D">
          <w:rPr>
            <w:webHidden/>
          </w:rPr>
          <w:tab/>
        </w:r>
        <w:r w:rsidR="0030352D">
          <w:rPr>
            <w:webHidden/>
          </w:rPr>
          <w:tab/>
        </w:r>
        <w:r w:rsidR="0030352D">
          <w:rPr>
            <w:webHidden/>
          </w:rPr>
          <w:fldChar w:fldCharType="begin"/>
        </w:r>
        <w:r w:rsidR="0030352D">
          <w:rPr>
            <w:webHidden/>
          </w:rPr>
          <w:instrText xml:space="preserve"> PAGEREF _Toc531254892 \h </w:instrText>
        </w:r>
        <w:r w:rsidR="0030352D">
          <w:rPr>
            <w:webHidden/>
          </w:rPr>
        </w:r>
        <w:r w:rsidR="0030352D">
          <w:rPr>
            <w:webHidden/>
          </w:rPr>
          <w:fldChar w:fldCharType="separate"/>
        </w:r>
        <w:r w:rsidR="0030352D">
          <w:rPr>
            <w:webHidden/>
          </w:rPr>
          <w:t>26</w:t>
        </w:r>
        <w:r w:rsidR="0030352D">
          <w:rPr>
            <w:webHidden/>
          </w:rPr>
          <w:fldChar w:fldCharType="end"/>
        </w:r>
      </w:hyperlink>
    </w:p>
    <w:p w14:paraId="1111CB96" w14:textId="686E7197" w:rsidR="0030352D" w:rsidRDefault="006126E3">
      <w:pPr>
        <w:pStyle w:val="TOC2"/>
        <w:rPr>
          <w:rFonts w:asciiTheme="minorHAnsi" w:eastAsiaTheme="minorEastAsia" w:hAnsiTheme="minorHAnsi" w:cstheme="minorBidi"/>
          <w:sz w:val="22"/>
          <w:szCs w:val="22"/>
          <w:lang w:val="fr-CH" w:eastAsia="zh-CN"/>
        </w:rPr>
      </w:pPr>
      <w:hyperlink w:anchor="_Toc531254893" w:history="1">
        <w:r w:rsidR="0030352D" w:rsidRPr="00802716">
          <w:rPr>
            <w:rStyle w:val="Hyperlink"/>
            <w:rFonts w:cstheme="majorBidi"/>
          </w:rPr>
          <w:t>13.4</w:t>
        </w:r>
        <w:r w:rsidR="0030352D">
          <w:rPr>
            <w:rFonts w:asciiTheme="minorHAnsi" w:eastAsiaTheme="minorEastAsia" w:hAnsiTheme="minorHAnsi" w:cstheme="minorBidi"/>
            <w:sz w:val="22"/>
            <w:szCs w:val="22"/>
            <w:lang w:val="fr-CH" w:eastAsia="zh-CN"/>
          </w:rPr>
          <w:tab/>
        </w:r>
        <w:r w:rsidR="0030352D" w:rsidRPr="00802716">
          <w:rPr>
            <w:rStyle w:val="Hyperlink"/>
          </w:rPr>
          <w:t>ITU-T services &amp; tools announcements</w:t>
        </w:r>
        <w:r w:rsidR="0030352D">
          <w:rPr>
            <w:webHidden/>
          </w:rPr>
          <w:tab/>
        </w:r>
        <w:r w:rsidR="0030352D">
          <w:rPr>
            <w:webHidden/>
          </w:rPr>
          <w:tab/>
        </w:r>
        <w:r w:rsidR="0030352D">
          <w:rPr>
            <w:webHidden/>
          </w:rPr>
          <w:fldChar w:fldCharType="begin"/>
        </w:r>
        <w:r w:rsidR="0030352D">
          <w:rPr>
            <w:webHidden/>
          </w:rPr>
          <w:instrText xml:space="preserve"> PAGEREF _Toc531254893 \h </w:instrText>
        </w:r>
        <w:r w:rsidR="0030352D">
          <w:rPr>
            <w:webHidden/>
          </w:rPr>
        </w:r>
        <w:r w:rsidR="0030352D">
          <w:rPr>
            <w:webHidden/>
          </w:rPr>
          <w:fldChar w:fldCharType="separate"/>
        </w:r>
        <w:r w:rsidR="0030352D">
          <w:rPr>
            <w:webHidden/>
          </w:rPr>
          <w:t>26</w:t>
        </w:r>
        <w:r w:rsidR="0030352D">
          <w:rPr>
            <w:webHidden/>
          </w:rPr>
          <w:fldChar w:fldCharType="end"/>
        </w:r>
      </w:hyperlink>
    </w:p>
    <w:p w14:paraId="72BBED6A" w14:textId="7008A836" w:rsidR="0030352D" w:rsidRDefault="006126E3">
      <w:pPr>
        <w:pStyle w:val="TOC2"/>
        <w:rPr>
          <w:rFonts w:asciiTheme="minorHAnsi" w:eastAsiaTheme="minorEastAsia" w:hAnsiTheme="minorHAnsi" w:cstheme="minorBidi"/>
          <w:sz w:val="22"/>
          <w:szCs w:val="22"/>
          <w:lang w:val="fr-CH" w:eastAsia="zh-CN"/>
        </w:rPr>
      </w:pPr>
      <w:hyperlink w:anchor="_Toc531254894" w:history="1">
        <w:r w:rsidR="0030352D" w:rsidRPr="00802716">
          <w:rPr>
            <w:rStyle w:val="Hyperlink"/>
            <w:rFonts w:cstheme="majorBidi"/>
          </w:rPr>
          <w:t>13.5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Document Management System for Rapporteur Groups</w:t>
        </w:r>
        <w:r w:rsidR="0030352D">
          <w:rPr>
            <w:webHidden/>
          </w:rPr>
          <w:tab/>
        </w:r>
        <w:r w:rsidR="0030352D">
          <w:rPr>
            <w:webHidden/>
          </w:rPr>
          <w:tab/>
        </w:r>
        <w:r w:rsidR="0030352D">
          <w:rPr>
            <w:webHidden/>
          </w:rPr>
          <w:fldChar w:fldCharType="begin"/>
        </w:r>
        <w:r w:rsidR="0030352D">
          <w:rPr>
            <w:webHidden/>
          </w:rPr>
          <w:instrText xml:space="preserve"> PAGEREF _Toc531254894 \h </w:instrText>
        </w:r>
        <w:r w:rsidR="0030352D">
          <w:rPr>
            <w:webHidden/>
          </w:rPr>
        </w:r>
        <w:r w:rsidR="0030352D">
          <w:rPr>
            <w:webHidden/>
          </w:rPr>
          <w:fldChar w:fldCharType="separate"/>
        </w:r>
        <w:r w:rsidR="0030352D">
          <w:rPr>
            <w:webHidden/>
          </w:rPr>
          <w:t>26</w:t>
        </w:r>
        <w:r w:rsidR="0030352D">
          <w:rPr>
            <w:webHidden/>
          </w:rPr>
          <w:fldChar w:fldCharType="end"/>
        </w:r>
      </w:hyperlink>
    </w:p>
    <w:p w14:paraId="2E8FF6FE" w14:textId="172A1136" w:rsidR="0030352D" w:rsidRDefault="006126E3">
      <w:pPr>
        <w:pStyle w:val="TOC2"/>
        <w:rPr>
          <w:rFonts w:asciiTheme="minorHAnsi" w:eastAsiaTheme="minorEastAsia" w:hAnsiTheme="minorHAnsi" w:cstheme="minorBidi"/>
          <w:sz w:val="22"/>
          <w:szCs w:val="22"/>
          <w:lang w:val="fr-CH" w:eastAsia="zh-CN"/>
        </w:rPr>
      </w:pPr>
      <w:hyperlink w:anchor="_Toc531254895" w:history="1">
        <w:r w:rsidR="0030352D" w:rsidRPr="00802716">
          <w:rPr>
            <w:rStyle w:val="Hyperlink"/>
            <w:rFonts w:cstheme="majorBidi"/>
          </w:rPr>
          <w:t>13.6</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International Numbering Resources (INRs)</w:t>
        </w:r>
        <w:r w:rsidR="0030352D">
          <w:rPr>
            <w:webHidden/>
          </w:rPr>
          <w:tab/>
        </w:r>
        <w:r w:rsidR="0030352D">
          <w:rPr>
            <w:webHidden/>
          </w:rPr>
          <w:tab/>
        </w:r>
        <w:r w:rsidR="0030352D">
          <w:rPr>
            <w:webHidden/>
          </w:rPr>
          <w:fldChar w:fldCharType="begin"/>
        </w:r>
        <w:r w:rsidR="0030352D">
          <w:rPr>
            <w:webHidden/>
          </w:rPr>
          <w:instrText xml:space="preserve"> PAGEREF _Toc531254895 \h </w:instrText>
        </w:r>
        <w:r w:rsidR="0030352D">
          <w:rPr>
            <w:webHidden/>
          </w:rPr>
        </w:r>
        <w:r w:rsidR="0030352D">
          <w:rPr>
            <w:webHidden/>
          </w:rPr>
          <w:fldChar w:fldCharType="separate"/>
        </w:r>
        <w:r w:rsidR="0030352D">
          <w:rPr>
            <w:webHidden/>
          </w:rPr>
          <w:t>26</w:t>
        </w:r>
        <w:r w:rsidR="0030352D">
          <w:rPr>
            <w:webHidden/>
          </w:rPr>
          <w:fldChar w:fldCharType="end"/>
        </w:r>
      </w:hyperlink>
    </w:p>
    <w:p w14:paraId="64032EEF" w14:textId="43E3062E" w:rsidR="0030352D" w:rsidRDefault="006126E3">
      <w:pPr>
        <w:pStyle w:val="TOC2"/>
        <w:rPr>
          <w:rFonts w:asciiTheme="minorHAnsi" w:eastAsiaTheme="minorEastAsia" w:hAnsiTheme="minorHAnsi" w:cstheme="minorBidi"/>
          <w:sz w:val="22"/>
          <w:szCs w:val="22"/>
          <w:lang w:val="fr-CH" w:eastAsia="zh-CN"/>
        </w:rPr>
      </w:pPr>
      <w:hyperlink w:anchor="_Toc531254896" w:history="1">
        <w:r w:rsidR="0030352D" w:rsidRPr="00802716">
          <w:rPr>
            <w:rStyle w:val="Hyperlink"/>
            <w:rFonts w:cstheme="majorBidi"/>
          </w:rPr>
          <w:t>13.7</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ITU-T SharePoint collaboration sites</w:t>
        </w:r>
        <w:r w:rsidR="0030352D">
          <w:rPr>
            <w:webHidden/>
          </w:rPr>
          <w:tab/>
        </w:r>
        <w:r w:rsidR="0030352D">
          <w:rPr>
            <w:webHidden/>
          </w:rPr>
          <w:tab/>
        </w:r>
        <w:r w:rsidR="0030352D">
          <w:rPr>
            <w:webHidden/>
          </w:rPr>
          <w:fldChar w:fldCharType="begin"/>
        </w:r>
        <w:r w:rsidR="0030352D">
          <w:rPr>
            <w:webHidden/>
          </w:rPr>
          <w:instrText xml:space="preserve"> PAGEREF _Toc531254896 \h </w:instrText>
        </w:r>
        <w:r w:rsidR="0030352D">
          <w:rPr>
            <w:webHidden/>
          </w:rPr>
        </w:r>
        <w:r w:rsidR="0030352D">
          <w:rPr>
            <w:webHidden/>
          </w:rPr>
          <w:fldChar w:fldCharType="separate"/>
        </w:r>
        <w:r w:rsidR="0030352D">
          <w:rPr>
            <w:webHidden/>
          </w:rPr>
          <w:t>28</w:t>
        </w:r>
        <w:r w:rsidR="0030352D">
          <w:rPr>
            <w:webHidden/>
          </w:rPr>
          <w:fldChar w:fldCharType="end"/>
        </w:r>
      </w:hyperlink>
    </w:p>
    <w:p w14:paraId="692C7DA9" w14:textId="7770EA13" w:rsidR="0030352D" w:rsidRDefault="006126E3">
      <w:pPr>
        <w:pStyle w:val="TOC2"/>
        <w:rPr>
          <w:rFonts w:asciiTheme="minorHAnsi" w:eastAsiaTheme="minorEastAsia" w:hAnsiTheme="minorHAnsi" w:cstheme="minorBidi"/>
          <w:sz w:val="22"/>
          <w:szCs w:val="22"/>
          <w:lang w:val="fr-CH" w:eastAsia="zh-CN"/>
        </w:rPr>
      </w:pPr>
      <w:hyperlink w:anchor="_Toc531254897" w:history="1">
        <w:r w:rsidR="0030352D" w:rsidRPr="00802716">
          <w:rPr>
            <w:rStyle w:val="Hyperlink"/>
            <w:rFonts w:cstheme="majorBidi"/>
          </w:rPr>
          <w:t>13.8</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Meeting Documents Sync Application</w:t>
        </w:r>
        <w:r w:rsidR="0030352D">
          <w:rPr>
            <w:webHidden/>
          </w:rPr>
          <w:tab/>
        </w:r>
        <w:r w:rsidR="0030352D">
          <w:rPr>
            <w:webHidden/>
          </w:rPr>
          <w:tab/>
        </w:r>
        <w:r w:rsidR="0030352D">
          <w:rPr>
            <w:webHidden/>
          </w:rPr>
          <w:fldChar w:fldCharType="begin"/>
        </w:r>
        <w:r w:rsidR="0030352D">
          <w:rPr>
            <w:webHidden/>
          </w:rPr>
          <w:instrText xml:space="preserve"> PAGEREF _Toc531254897 \h </w:instrText>
        </w:r>
        <w:r w:rsidR="0030352D">
          <w:rPr>
            <w:webHidden/>
          </w:rPr>
        </w:r>
        <w:r w:rsidR="0030352D">
          <w:rPr>
            <w:webHidden/>
          </w:rPr>
          <w:fldChar w:fldCharType="separate"/>
        </w:r>
        <w:r w:rsidR="0030352D">
          <w:rPr>
            <w:webHidden/>
          </w:rPr>
          <w:t>28</w:t>
        </w:r>
        <w:r w:rsidR="0030352D">
          <w:rPr>
            <w:webHidden/>
          </w:rPr>
          <w:fldChar w:fldCharType="end"/>
        </w:r>
      </w:hyperlink>
    </w:p>
    <w:p w14:paraId="6ADD9961" w14:textId="41D0D32A" w:rsidR="0030352D" w:rsidRDefault="006126E3">
      <w:pPr>
        <w:pStyle w:val="TOC2"/>
        <w:rPr>
          <w:rFonts w:asciiTheme="minorHAnsi" w:eastAsiaTheme="minorEastAsia" w:hAnsiTheme="minorHAnsi" w:cstheme="minorBidi"/>
          <w:sz w:val="22"/>
          <w:szCs w:val="22"/>
          <w:lang w:val="fr-CH" w:eastAsia="zh-CN"/>
        </w:rPr>
      </w:pPr>
      <w:hyperlink w:anchor="_Toc531254898" w:history="1">
        <w:r w:rsidR="0030352D" w:rsidRPr="00802716">
          <w:rPr>
            <w:rStyle w:val="Hyperlink"/>
            <w:rFonts w:cstheme="majorBidi"/>
          </w:rPr>
          <w:t>13.9</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Electronic meetings</w:t>
        </w:r>
        <w:r w:rsidR="0030352D">
          <w:rPr>
            <w:webHidden/>
          </w:rPr>
          <w:tab/>
        </w:r>
        <w:r w:rsidR="0030352D">
          <w:rPr>
            <w:webHidden/>
          </w:rPr>
          <w:tab/>
        </w:r>
        <w:r w:rsidR="0030352D">
          <w:rPr>
            <w:webHidden/>
          </w:rPr>
          <w:fldChar w:fldCharType="begin"/>
        </w:r>
        <w:r w:rsidR="0030352D">
          <w:rPr>
            <w:webHidden/>
          </w:rPr>
          <w:instrText xml:space="preserve"> PAGEREF _Toc531254898 \h </w:instrText>
        </w:r>
        <w:r w:rsidR="0030352D">
          <w:rPr>
            <w:webHidden/>
          </w:rPr>
        </w:r>
        <w:r w:rsidR="0030352D">
          <w:rPr>
            <w:webHidden/>
          </w:rPr>
          <w:fldChar w:fldCharType="separate"/>
        </w:r>
        <w:r w:rsidR="0030352D">
          <w:rPr>
            <w:webHidden/>
          </w:rPr>
          <w:t>28</w:t>
        </w:r>
        <w:r w:rsidR="0030352D">
          <w:rPr>
            <w:webHidden/>
          </w:rPr>
          <w:fldChar w:fldCharType="end"/>
        </w:r>
      </w:hyperlink>
    </w:p>
    <w:p w14:paraId="52520809" w14:textId="0341BA45" w:rsidR="0030352D" w:rsidRDefault="006126E3">
      <w:pPr>
        <w:pStyle w:val="TOC2"/>
        <w:rPr>
          <w:rFonts w:asciiTheme="minorHAnsi" w:eastAsiaTheme="minorEastAsia" w:hAnsiTheme="minorHAnsi" w:cstheme="minorBidi"/>
          <w:sz w:val="22"/>
          <w:szCs w:val="22"/>
          <w:lang w:val="fr-CH" w:eastAsia="zh-CN"/>
        </w:rPr>
      </w:pPr>
      <w:hyperlink w:anchor="_Toc531254899" w:history="1">
        <w:r w:rsidR="0030352D" w:rsidRPr="00802716">
          <w:rPr>
            <w:rStyle w:val="Hyperlink"/>
            <w:rFonts w:cstheme="majorBidi"/>
          </w:rPr>
          <w:t>13.10</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Use in the ITU-T of the official languages of the Union on an equal footing</w:t>
        </w:r>
        <w:r w:rsidR="0030352D">
          <w:rPr>
            <w:webHidden/>
          </w:rPr>
          <w:tab/>
        </w:r>
        <w:r w:rsidR="0030352D">
          <w:rPr>
            <w:webHidden/>
          </w:rPr>
          <w:tab/>
        </w:r>
        <w:r w:rsidR="0030352D">
          <w:rPr>
            <w:webHidden/>
          </w:rPr>
          <w:fldChar w:fldCharType="begin"/>
        </w:r>
        <w:r w:rsidR="0030352D">
          <w:rPr>
            <w:webHidden/>
          </w:rPr>
          <w:instrText xml:space="preserve"> PAGEREF _Toc531254899 \h </w:instrText>
        </w:r>
        <w:r w:rsidR="0030352D">
          <w:rPr>
            <w:webHidden/>
          </w:rPr>
        </w:r>
        <w:r w:rsidR="0030352D">
          <w:rPr>
            <w:webHidden/>
          </w:rPr>
          <w:fldChar w:fldCharType="separate"/>
        </w:r>
        <w:r w:rsidR="0030352D">
          <w:rPr>
            <w:webHidden/>
          </w:rPr>
          <w:t>29</w:t>
        </w:r>
        <w:r w:rsidR="0030352D">
          <w:rPr>
            <w:webHidden/>
          </w:rPr>
          <w:fldChar w:fldCharType="end"/>
        </w:r>
      </w:hyperlink>
    </w:p>
    <w:p w14:paraId="300B2D64" w14:textId="0B938B89" w:rsidR="0030352D" w:rsidRDefault="006126E3">
      <w:pPr>
        <w:pStyle w:val="TOC2"/>
        <w:rPr>
          <w:rFonts w:asciiTheme="minorHAnsi" w:eastAsiaTheme="minorEastAsia" w:hAnsiTheme="minorHAnsi" w:cstheme="minorBidi"/>
          <w:sz w:val="22"/>
          <w:szCs w:val="22"/>
          <w:lang w:val="fr-CH" w:eastAsia="zh-CN"/>
        </w:rPr>
      </w:pPr>
      <w:hyperlink w:anchor="_Toc531254900" w:history="1">
        <w:r w:rsidR="0030352D" w:rsidRPr="00802716">
          <w:rPr>
            <w:rStyle w:val="Hyperlink"/>
            <w:rFonts w:cstheme="majorBidi"/>
          </w:rPr>
          <w:t>13.11</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Workshops and symposia</w:t>
        </w:r>
        <w:r w:rsidR="0030352D">
          <w:rPr>
            <w:webHidden/>
          </w:rPr>
          <w:tab/>
        </w:r>
        <w:r w:rsidR="0030352D">
          <w:rPr>
            <w:webHidden/>
          </w:rPr>
          <w:tab/>
        </w:r>
        <w:r w:rsidR="0030352D">
          <w:rPr>
            <w:webHidden/>
          </w:rPr>
          <w:fldChar w:fldCharType="begin"/>
        </w:r>
        <w:r w:rsidR="0030352D">
          <w:rPr>
            <w:webHidden/>
          </w:rPr>
          <w:instrText xml:space="preserve"> PAGEREF _Toc531254900 \h </w:instrText>
        </w:r>
        <w:r w:rsidR="0030352D">
          <w:rPr>
            <w:webHidden/>
          </w:rPr>
        </w:r>
        <w:r w:rsidR="0030352D">
          <w:rPr>
            <w:webHidden/>
          </w:rPr>
          <w:fldChar w:fldCharType="separate"/>
        </w:r>
        <w:r w:rsidR="0030352D">
          <w:rPr>
            <w:webHidden/>
          </w:rPr>
          <w:t>29</w:t>
        </w:r>
        <w:r w:rsidR="0030352D">
          <w:rPr>
            <w:webHidden/>
          </w:rPr>
          <w:fldChar w:fldCharType="end"/>
        </w:r>
      </w:hyperlink>
    </w:p>
    <w:p w14:paraId="37D9334A" w14:textId="365CCF87" w:rsidR="0030352D" w:rsidRDefault="006126E3">
      <w:pPr>
        <w:pStyle w:val="TOC1"/>
        <w:rPr>
          <w:rFonts w:asciiTheme="minorHAnsi" w:eastAsiaTheme="minorEastAsia" w:hAnsiTheme="minorHAnsi" w:cstheme="minorBidi"/>
          <w:sz w:val="22"/>
          <w:szCs w:val="22"/>
          <w:lang w:val="fr-CH" w:eastAsia="zh-CN"/>
        </w:rPr>
      </w:pPr>
      <w:hyperlink w:anchor="_Toc531254901" w:history="1">
        <w:r w:rsidR="0030352D" w:rsidRPr="00802716">
          <w:rPr>
            <w:rStyle w:val="Hyperlink"/>
            <w:rFonts w:cstheme="majorBidi"/>
          </w:rPr>
          <w:t>14</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Implementation of WTSA Resolutions and A-series ITU-T Recommendations</w:t>
        </w:r>
        <w:r w:rsidR="0030352D">
          <w:rPr>
            <w:webHidden/>
          </w:rPr>
          <w:tab/>
        </w:r>
        <w:r w:rsidR="0030352D">
          <w:rPr>
            <w:webHidden/>
          </w:rPr>
          <w:tab/>
        </w:r>
        <w:r w:rsidR="0030352D">
          <w:rPr>
            <w:webHidden/>
          </w:rPr>
          <w:fldChar w:fldCharType="begin"/>
        </w:r>
        <w:r w:rsidR="0030352D">
          <w:rPr>
            <w:webHidden/>
          </w:rPr>
          <w:instrText xml:space="preserve"> PAGEREF _Toc531254901 \h </w:instrText>
        </w:r>
        <w:r w:rsidR="0030352D">
          <w:rPr>
            <w:webHidden/>
          </w:rPr>
        </w:r>
        <w:r w:rsidR="0030352D">
          <w:rPr>
            <w:webHidden/>
          </w:rPr>
          <w:fldChar w:fldCharType="separate"/>
        </w:r>
        <w:r w:rsidR="0030352D">
          <w:rPr>
            <w:webHidden/>
          </w:rPr>
          <w:t>32</w:t>
        </w:r>
        <w:r w:rsidR="0030352D">
          <w:rPr>
            <w:webHidden/>
          </w:rPr>
          <w:fldChar w:fldCharType="end"/>
        </w:r>
      </w:hyperlink>
    </w:p>
    <w:p w14:paraId="22916F2F" w14:textId="219246D3" w:rsidR="0030352D" w:rsidRDefault="006126E3">
      <w:pPr>
        <w:pStyle w:val="TOC1"/>
        <w:rPr>
          <w:rFonts w:asciiTheme="minorHAnsi" w:eastAsiaTheme="minorEastAsia" w:hAnsiTheme="minorHAnsi" w:cstheme="minorBidi"/>
          <w:sz w:val="22"/>
          <w:szCs w:val="22"/>
          <w:lang w:val="fr-CH" w:eastAsia="zh-CN"/>
        </w:rPr>
      </w:pPr>
      <w:hyperlink w:anchor="_Toc531254902" w:history="1">
        <w:r w:rsidR="0030352D" w:rsidRPr="00802716">
          <w:rPr>
            <w:rStyle w:val="Hyperlink"/>
            <w:rFonts w:cstheme="majorBidi"/>
          </w:rPr>
          <w:t>15</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ITU-T's activities in the implementation of WSIS and the Sustainable Development Goals</w:t>
        </w:r>
        <w:r w:rsidR="0030352D">
          <w:rPr>
            <w:webHidden/>
          </w:rPr>
          <w:tab/>
        </w:r>
        <w:r w:rsidR="0030352D">
          <w:rPr>
            <w:webHidden/>
          </w:rPr>
          <w:tab/>
        </w:r>
        <w:r w:rsidR="0030352D">
          <w:rPr>
            <w:webHidden/>
          </w:rPr>
          <w:fldChar w:fldCharType="begin"/>
        </w:r>
        <w:r w:rsidR="0030352D">
          <w:rPr>
            <w:webHidden/>
          </w:rPr>
          <w:instrText xml:space="preserve"> PAGEREF _Toc531254902 \h </w:instrText>
        </w:r>
        <w:r w:rsidR="0030352D">
          <w:rPr>
            <w:webHidden/>
          </w:rPr>
        </w:r>
        <w:r w:rsidR="0030352D">
          <w:rPr>
            <w:webHidden/>
          </w:rPr>
          <w:fldChar w:fldCharType="separate"/>
        </w:r>
        <w:r w:rsidR="0030352D">
          <w:rPr>
            <w:webHidden/>
          </w:rPr>
          <w:t>32</w:t>
        </w:r>
        <w:r w:rsidR="0030352D">
          <w:rPr>
            <w:webHidden/>
          </w:rPr>
          <w:fldChar w:fldCharType="end"/>
        </w:r>
      </w:hyperlink>
    </w:p>
    <w:p w14:paraId="4063149F" w14:textId="03B3E093" w:rsidR="0030352D" w:rsidRDefault="006126E3">
      <w:pPr>
        <w:pStyle w:val="TOC1"/>
        <w:rPr>
          <w:rFonts w:asciiTheme="minorHAnsi" w:eastAsiaTheme="minorEastAsia" w:hAnsiTheme="minorHAnsi" w:cstheme="minorBidi"/>
          <w:sz w:val="22"/>
          <w:szCs w:val="22"/>
          <w:lang w:val="fr-CH" w:eastAsia="zh-CN"/>
        </w:rPr>
      </w:pPr>
      <w:hyperlink w:anchor="_Toc531254903" w:history="1">
        <w:r w:rsidR="0030352D" w:rsidRPr="00802716">
          <w:rPr>
            <w:rStyle w:val="Hyperlink"/>
            <w:rFonts w:cstheme="majorBidi"/>
          </w:rPr>
          <w:t>16</w:t>
        </w:r>
        <w:r w:rsidR="0030352D">
          <w:rPr>
            <w:rFonts w:asciiTheme="minorHAnsi" w:eastAsiaTheme="minorEastAsia" w:hAnsiTheme="minorHAnsi" w:cstheme="minorBidi"/>
            <w:sz w:val="22"/>
            <w:szCs w:val="22"/>
            <w:lang w:val="fr-CH" w:eastAsia="zh-CN"/>
          </w:rPr>
          <w:tab/>
        </w:r>
        <w:r w:rsidR="0030352D" w:rsidRPr="00802716">
          <w:rPr>
            <w:rStyle w:val="Hyperlink"/>
            <w:rFonts w:cstheme="majorBidi"/>
          </w:rPr>
          <w:t>Implementation of trial authorized by TSAG (July 2016 meeting)</w:t>
        </w:r>
        <w:r w:rsidR="0030352D">
          <w:rPr>
            <w:webHidden/>
          </w:rPr>
          <w:tab/>
        </w:r>
        <w:r w:rsidR="0030352D">
          <w:rPr>
            <w:webHidden/>
          </w:rPr>
          <w:tab/>
        </w:r>
        <w:r w:rsidR="0030352D">
          <w:rPr>
            <w:webHidden/>
          </w:rPr>
          <w:fldChar w:fldCharType="begin"/>
        </w:r>
        <w:r w:rsidR="0030352D">
          <w:rPr>
            <w:webHidden/>
          </w:rPr>
          <w:instrText xml:space="preserve"> PAGEREF _Toc531254903 \h </w:instrText>
        </w:r>
        <w:r w:rsidR="0030352D">
          <w:rPr>
            <w:webHidden/>
          </w:rPr>
        </w:r>
        <w:r w:rsidR="0030352D">
          <w:rPr>
            <w:webHidden/>
          </w:rPr>
          <w:fldChar w:fldCharType="separate"/>
        </w:r>
        <w:r w:rsidR="0030352D">
          <w:rPr>
            <w:webHidden/>
          </w:rPr>
          <w:t>33</w:t>
        </w:r>
        <w:r w:rsidR="0030352D">
          <w:rPr>
            <w:webHidden/>
          </w:rPr>
          <w:fldChar w:fldCharType="end"/>
        </w:r>
      </w:hyperlink>
    </w:p>
    <w:p w14:paraId="341AFA98" w14:textId="26BB2BAA" w:rsidR="0030352D" w:rsidRDefault="006126E3">
      <w:pPr>
        <w:pStyle w:val="TOC1"/>
        <w:rPr>
          <w:rFonts w:asciiTheme="minorHAnsi" w:eastAsiaTheme="minorEastAsia" w:hAnsiTheme="minorHAnsi" w:cstheme="minorBidi"/>
          <w:sz w:val="22"/>
          <w:szCs w:val="22"/>
          <w:lang w:val="fr-CH" w:eastAsia="zh-CN"/>
        </w:rPr>
      </w:pPr>
      <w:hyperlink w:anchor="_Toc531254904" w:history="1">
        <w:r w:rsidR="0030352D" w:rsidRPr="00802716">
          <w:rPr>
            <w:rStyle w:val="Hyperlink"/>
            <w:rFonts w:cstheme="majorBidi"/>
          </w:rPr>
          <w:t>Appendix I – List of approved Recommendations and other approved texts</w:t>
        </w:r>
        <w:r w:rsidR="0030352D">
          <w:rPr>
            <w:webHidden/>
          </w:rPr>
          <w:tab/>
        </w:r>
        <w:r w:rsidR="0030352D">
          <w:rPr>
            <w:webHidden/>
          </w:rPr>
          <w:tab/>
        </w:r>
        <w:r w:rsidR="0030352D">
          <w:rPr>
            <w:webHidden/>
          </w:rPr>
          <w:fldChar w:fldCharType="begin"/>
        </w:r>
        <w:r w:rsidR="0030352D">
          <w:rPr>
            <w:webHidden/>
          </w:rPr>
          <w:instrText xml:space="preserve"> PAGEREF _Toc531254904 \h </w:instrText>
        </w:r>
        <w:r w:rsidR="0030352D">
          <w:rPr>
            <w:webHidden/>
          </w:rPr>
        </w:r>
        <w:r w:rsidR="0030352D">
          <w:rPr>
            <w:webHidden/>
          </w:rPr>
          <w:fldChar w:fldCharType="separate"/>
        </w:r>
        <w:r w:rsidR="0030352D">
          <w:rPr>
            <w:webHidden/>
          </w:rPr>
          <w:t>34</w:t>
        </w:r>
        <w:r w:rsidR="0030352D">
          <w:rPr>
            <w:webHidden/>
          </w:rPr>
          <w:fldChar w:fldCharType="end"/>
        </w:r>
      </w:hyperlink>
    </w:p>
    <w:p w14:paraId="546889F9" w14:textId="77777777" w:rsidR="003B32AB" w:rsidRPr="003B32AB" w:rsidRDefault="0030352D" w:rsidP="0030352D">
      <w:pPr>
        <w:pStyle w:val="TOC1"/>
        <w:rPr>
          <w:lang w:val="en-US" w:eastAsia="zh-CN"/>
        </w:rPr>
      </w:pPr>
      <w:r>
        <w:rPr>
          <w:lang w:val="en-US" w:eastAsia="zh-CN"/>
        </w:rPr>
        <w:fldChar w:fldCharType="end"/>
      </w:r>
    </w:p>
    <w:p w14:paraId="44D4A32D" w14:textId="77777777" w:rsidR="003B32AB" w:rsidRPr="009A7823" w:rsidRDefault="003B32AB" w:rsidP="0030352D">
      <w:pPr>
        <w:pStyle w:val="Heading1"/>
        <w:pageBreakBefore/>
        <w:jc w:val="center"/>
        <w:rPr>
          <w:rFonts w:asciiTheme="majorBidi" w:hAnsiTheme="majorBidi" w:cstheme="majorBidi"/>
          <w:lang w:val="fr-FR"/>
        </w:rPr>
      </w:pPr>
      <w:bookmarkStart w:id="5" w:name="_Toc531254846"/>
      <w:r w:rsidRPr="009A7823">
        <w:rPr>
          <w:rFonts w:asciiTheme="majorBidi" w:hAnsiTheme="majorBidi" w:cstheme="majorBidi"/>
          <w:lang w:val="fr-FR"/>
        </w:rPr>
        <w:lastRenderedPageBreak/>
        <w:t>Résumé analytique</w:t>
      </w:r>
      <w:bookmarkEnd w:id="5"/>
    </w:p>
    <w:p w14:paraId="2C84DF26" w14:textId="77777777" w:rsidR="003B32AB" w:rsidRPr="00DD3A8B" w:rsidRDefault="003B32AB" w:rsidP="0030352D">
      <w:pPr>
        <w:pStyle w:val="Headingb"/>
        <w:spacing w:before="480"/>
        <w:rPr>
          <w:rFonts w:asciiTheme="majorBidi" w:hAnsiTheme="majorBidi" w:cstheme="majorBidi"/>
          <w:i/>
          <w:iCs/>
          <w:szCs w:val="24"/>
          <w:lang w:val="fr-FR"/>
        </w:rPr>
      </w:pPr>
      <w:r w:rsidRPr="00DD3A8B">
        <w:rPr>
          <w:rFonts w:asciiTheme="majorBidi" w:hAnsiTheme="majorBidi" w:cstheme="majorBidi"/>
          <w:i/>
          <w:iCs/>
          <w:szCs w:val="24"/>
          <w:lang w:val="fr-FR"/>
        </w:rPr>
        <w:t>Progrès accomplis dans le cadre des activités de normalisation de l'UIT-T</w:t>
      </w:r>
    </w:p>
    <w:p w14:paraId="00717A91" w14:textId="77777777" w:rsidR="003B32AB" w:rsidRPr="009A7823" w:rsidRDefault="003B32AB" w:rsidP="0030352D">
      <w:pPr>
        <w:rPr>
          <w:rFonts w:asciiTheme="majorBidi" w:hAnsiTheme="majorBidi" w:cstheme="majorBidi"/>
          <w:lang w:val="fr-FR"/>
        </w:rPr>
      </w:pPr>
      <w:r>
        <w:rPr>
          <w:rFonts w:asciiTheme="majorBidi" w:hAnsiTheme="majorBidi" w:cstheme="majorBidi"/>
          <w:lang w:val="fr-FR"/>
        </w:rPr>
        <w:t>L'UIT a approuvé environ 250 Recommandations UIT-T nouvelles ou révisées entre février et novembre 2018. L'Appendice I donne la liste de ces Recommandations et des textes connexes de l'UIT-T et présente un résumé de leur contenu.</w:t>
      </w:r>
      <w:r w:rsidRPr="009A7823">
        <w:rPr>
          <w:rFonts w:asciiTheme="majorBidi" w:hAnsiTheme="majorBidi" w:cstheme="majorBidi"/>
          <w:lang w:val="fr-FR"/>
        </w:rPr>
        <w:t xml:space="preserve"> </w:t>
      </w:r>
    </w:p>
    <w:p w14:paraId="1C77C446" w14:textId="6F6E07BB" w:rsidR="003B32AB" w:rsidRDefault="003B32AB" w:rsidP="0030352D">
      <w:pPr>
        <w:rPr>
          <w:rFonts w:asciiTheme="majorBidi" w:hAnsiTheme="majorBidi" w:cstheme="majorBidi"/>
          <w:lang w:val="fr-FR"/>
        </w:rPr>
      </w:pPr>
      <w:r w:rsidRPr="009A7823">
        <w:rPr>
          <w:rFonts w:asciiTheme="majorBidi" w:hAnsiTheme="majorBidi" w:cstheme="majorBidi"/>
          <w:lang w:val="fr-FR"/>
        </w:rPr>
        <w:t>On estime que 95</w:t>
      </w:r>
      <w:r w:rsidR="00DD3A8B">
        <w:rPr>
          <w:rFonts w:asciiTheme="majorBidi" w:hAnsiTheme="majorBidi" w:cstheme="majorBidi"/>
          <w:lang w:val="fr-FR"/>
        </w:rPr>
        <w:t>%</w:t>
      </w:r>
      <w:r w:rsidRPr="009A7823">
        <w:rPr>
          <w:rFonts w:asciiTheme="majorBidi" w:hAnsiTheme="majorBidi" w:cstheme="majorBidi"/>
          <w:lang w:val="fr-FR"/>
        </w:rPr>
        <w:t xml:space="preserve"> du trafic international est acheminé par </w:t>
      </w:r>
      <w:r>
        <w:rPr>
          <w:rFonts w:asciiTheme="majorBidi" w:hAnsiTheme="majorBidi" w:cstheme="majorBidi"/>
          <w:lang w:val="fr-FR"/>
        </w:rPr>
        <w:t>des réseaux de transport optiques conçus conformément a</w:t>
      </w:r>
      <w:r w:rsidRPr="009A7823">
        <w:rPr>
          <w:rFonts w:asciiTheme="majorBidi" w:hAnsiTheme="majorBidi" w:cstheme="majorBidi"/>
          <w:lang w:val="fr-FR"/>
        </w:rPr>
        <w:t>ux normes de l'UIT</w:t>
      </w:r>
      <w:r>
        <w:rPr>
          <w:rFonts w:asciiTheme="majorBidi" w:hAnsiTheme="majorBidi" w:cstheme="majorBidi"/>
          <w:lang w:val="fr-FR"/>
        </w:rPr>
        <w:t xml:space="preserve">. Les nouvelles normes de l'UIT concernant le transport, l'accès et les installations domestiques portent sur la radio sur fibre, </w:t>
      </w:r>
      <w:r>
        <w:rPr>
          <w:color w:val="000000"/>
          <w:lang w:val="fr-FR"/>
        </w:rPr>
        <w:t>les interfaces de ligne DWDM (</w:t>
      </w:r>
      <w:r w:rsidRPr="00881650">
        <w:rPr>
          <w:color w:val="000000"/>
          <w:lang w:val="fr-FR"/>
        </w:rPr>
        <w:t>multiplexage par répartition dense en longueur d'onde</w:t>
      </w:r>
      <w:r>
        <w:rPr>
          <w:color w:val="000000"/>
          <w:lang w:val="fr-FR"/>
        </w:rPr>
        <w:t>) cohérentes 100G compatibles avec les équipements de fabricants différents, les installations par câble à fibre</w:t>
      </w:r>
      <w:r w:rsidR="00DD3A8B">
        <w:rPr>
          <w:color w:val="000000"/>
          <w:lang w:val="fr-FR"/>
        </w:rPr>
        <w:t>s</w:t>
      </w:r>
      <w:r>
        <w:rPr>
          <w:color w:val="000000"/>
          <w:lang w:val="fr-FR"/>
        </w:rPr>
        <w:t xml:space="preserve"> optique</w:t>
      </w:r>
      <w:r w:rsidR="00DD3A8B">
        <w:rPr>
          <w:color w:val="000000"/>
          <w:lang w:val="fr-FR"/>
        </w:rPr>
        <w:t>s</w:t>
      </w:r>
      <w:r>
        <w:rPr>
          <w:color w:val="000000"/>
          <w:lang w:val="fr-FR"/>
        </w:rPr>
        <w:t xml:space="preserve"> dans les zones isolées, </w:t>
      </w:r>
      <w:r w:rsidR="00DD3A8B">
        <w:rPr>
          <w:color w:val="000000"/>
          <w:lang w:val="fr-FR"/>
        </w:rPr>
        <w:t>la technologie</w:t>
      </w:r>
      <w:r>
        <w:rPr>
          <w:color w:val="000000"/>
          <w:lang w:val="fr-FR"/>
        </w:rPr>
        <w:t xml:space="preserve"> des réseaux pilotés par logiciel (SDN) </w:t>
      </w:r>
      <w:r w:rsidR="00DD3A8B">
        <w:rPr>
          <w:color w:val="000000"/>
          <w:lang w:val="fr-FR"/>
        </w:rPr>
        <w:t>dans les</w:t>
      </w:r>
      <w:r>
        <w:rPr>
          <w:color w:val="000000"/>
          <w:lang w:val="fr-FR"/>
        </w:rPr>
        <w:t xml:space="preserve"> réseaux de transport, l</w:t>
      </w:r>
      <w:r w:rsidR="00DD3A8B">
        <w:rPr>
          <w:color w:val="000000"/>
          <w:lang w:val="fr-FR"/>
        </w:rPr>
        <w:t>es</w:t>
      </w:r>
      <w:r>
        <w:rPr>
          <w:color w:val="000000"/>
          <w:lang w:val="fr-FR"/>
        </w:rPr>
        <w:t xml:space="preserve"> communication</w:t>
      </w:r>
      <w:r w:rsidR="00DD3A8B">
        <w:rPr>
          <w:color w:val="000000"/>
          <w:lang w:val="fr-FR"/>
        </w:rPr>
        <w:t>s</w:t>
      </w:r>
      <w:r>
        <w:rPr>
          <w:color w:val="000000"/>
          <w:lang w:val="fr-FR"/>
        </w:rPr>
        <w:t xml:space="preserve"> par lumière visible et la synchronisation pour les IMT-2020/la 5G</w:t>
      </w:r>
      <w:r w:rsidR="00DD3A8B">
        <w:rPr>
          <w:rFonts w:asciiTheme="majorBidi" w:hAnsiTheme="majorBidi" w:cstheme="majorBidi"/>
          <w:lang w:val="fr-FR"/>
        </w:rPr>
        <w:t xml:space="preserve">. </w:t>
      </w:r>
    </w:p>
    <w:p w14:paraId="39B182BB" w14:textId="697BEF82" w:rsidR="003B32AB" w:rsidRPr="00DD3A8B" w:rsidRDefault="00DD3A8B" w:rsidP="0083704A">
      <w:pPr>
        <w:pStyle w:val="enumlev1"/>
        <w:spacing w:before="100" w:after="100"/>
        <w:rPr>
          <w:rStyle w:val="Hyperlink"/>
          <w:rFonts w:eastAsiaTheme="majorEastAsia" w:cstheme="majorBidi"/>
          <w:color w:val="auto"/>
          <w:u w:val="none"/>
          <w:lang w:val="fr-FR"/>
        </w:rPr>
      </w:pPr>
      <w:r w:rsidRPr="00DD3A8B">
        <w:rPr>
          <w:lang w:val="fr-FR"/>
        </w:rPr>
        <w:t>–</w:t>
      </w:r>
      <w:r w:rsidRPr="00DD3A8B">
        <w:rPr>
          <w:lang w:val="fr-FR"/>
        </w:rPr>
        <w:tab/>
      </w:r>
      <w:hyperlink r:id="rId13" w:history="1">
        <w:r w:rsidR="003B32AB" w:rsidRPr="0083704A">
          <w:rPr>
            <w:rStyle w:val="Hyperlink"/>
            <w:rFonts w:eastAsiaTheme="majorEastAsia" w:cstheme="majorBidi"/>
            <w:szCs w:val="24"/>
            <w:lang w:val="fr-FR"/>
          </w:rPr>
          <w:t>Progrès accomplis dans le cadre des activités de normalisation de l'UIT dans le domaine du transport, de l'accès et des installations domestiques</w:t>
        </w:r>
      </w:hyperlink>
    </w:p>
    <w:p w14:paraId="69F101FB" w14:textId="0BEE16D6" w:rsidR="003B32AB" w:rsidRPr="00DD3A8B" w:rsidRDefault="00DD3A8B" w:rsidP="0083704A">
      <w:pPr>
        <w:pStyle w:val="enumlev1"/>
        <w:spacing w:before="100" w:after="100"/>
        <w:rPr>
          <w:lang w:val="fr-FR"/>
        </w:rPr>
      </w:pPr>
      <w:r w:rsidRPr="00DD3A8B">
        <w:rPr>
          <w:lang w:val="fr-FR"/>
        </w:rPr>
        <w:t>–</w:t>
      </w:r>
      <w:r w:rsidRPr="00DD3A8B">
        <w:rPr>
          <w:lang w:val="fr-FR"/>
        </w:rPr>
        <w:tab/>
      </w:r>
      <w:r w:rsidR="003B32AB" w:rsidRPr="007A1A3D">
        <w:rPr>
          <w:rStyle w:val="Hyperlink"/>
          <w:rFonts w:eastAsiaTheme="majorEastAsia"/>
          <w:lang w:val="fr-CH"/>
        </w:rPr>
        <w:t>La Commission d'études 15 de l'UIT-T intensifie ses</w:t>
      </w:r>
      <w:r w:rsidRPr="007A1A3D">
        <w:rPr>
          <w:rStyle w:val="Hyperlink"/>
          <w:rFonts w:eastAsiaTheme="majorEastAsia"/>
          <w:lang w:val="fr-CH"/>
        </w:rPr>
        <w:t xml:space="preserve"> travaux sur le transport </w:t>
      </w:r>
      <w:r w:rsidR="003B32AB" w:rsidRPr="007A1A3D">
        <w:rPr>
          <w:rStyle w:val="Hyperlink"/>
          <w:rFonts w:eastAsiaTheme="majorEastAsia"/>
          <w:lang w:val="fr-CH"/>
        </w:rPr>
        <w:t>5G</w:t>
      </w:r>
    </w:p>
    <w:p w14:paraId="5DE5EBA0" w14:textId="4AB51481" w:rsidR="003B32AB" w:rsidRPr="005C14C7" w:rsidRDefault="003B32AB" w:rsidP="0030352D">
      <w:pPr>
        <w:rPr>
          <w:rFonts w:asciiTheme="majorBidi" w:hAnsiTheme="majorBidi" w:cstheme="majorBidi"/>
          <w:lang w:val="fr-FR"/>
        </w:rPr>
      </w:pPr>
      <w:r w:rsidRPr="00881650">
        <w:rPr>
          <w:rFonts w:asciiTheme="majorBidi" w:hAnsiTheme="majorBidi" w:cstheme="majorBidi"/>
          <w:lang w:val="fr-FR"/>
        </w:rPr>
        <w:t>L</w:t>
      </w:r>
      <w:r>
        <w:rPr>
          <w:rFonts w:asciiTheme="majorBidi" w:hAnsiTheme="majorBidi" w:cstheme="majorBidi"/>
          <w:lang w:val="fr-FR"/>
        </w:rPr>
        <w:t>a</w:t>
      </w:r>
      <w:r w:rsidRPr="00881650">
        <w:rPr>
          <w:rFonts w:asciiTheme="majorBidi" w:hAnsiTheme="majorBidi" w:cstheme="majorBidi"/>
          <w:lang w:val="fr-FR"/>
        </w:rPr>
        <w:t xml:space="preserve"> vidéo représentera plus de 80</w:t>
      </w:r>
      <w:r w:rsidR="00DD3A8B">
        <w:rPr>
          <w:rFonts w:asciiTheme="majorBidi" w:hAnsiTheme="majorBidi" w:cstheme="majorBidi"/>
          <w:lang w:val="fr-FR"/>
        </w:rPr>
        <w:t>%</w:t>
      </w:r>
      <w:r w:rsidRPr="00881650">
        <w:rPr>
          <w:rFonts w:asciiTheme="majorBidi" w:hAnsiTheme="majorBidi" w:cstheme="majorBidi"/>
          <w:lang w:val="fr-FR"/>
        </w:rPr>
        <w:t xml:space="preserve"> de l'ensemble du trafic Internet d'ici à 2020. </w:t>
      </w:r>
      <w:r>
        <w:rPr>
          <w:rFonts w:asciiTheme="majorBidi" w:hAnsiTheme="majorBidi" w:cstheme="majorBidi"/>
          <w:lang w:val="fr-FR"/>
        </w:rPr>
        <w:t xml:space="preserve">Les travaux sur la vidéo menés conjointement par la Commission électrotechnique internationale (CEI), l'Organisation internationale de normalisation (ISO) et l'UIT ont été récompensés par deux "Primetime Emmy Awards", le premier en 2008, pour </w:t>
      </w:r>
      <w:r w:rsidR="006B5CC7">
        <w:rPr>
          <w:rFonts w:asciiTheme="majorBidi" w:hAnsiTheme="majorBidi" w:cstheme="majorBidi"/>
          <w:lang w:val="fr-FR"/>
        </w:rPr>
        <w:t>la Recommandation UIT-T H.264 "</w:t>
      </w:r>
      <w:r>
        <w:rPr>
          <w:rFonts w:asciiTheme="majorBidi" w:hAnsiTheme="majorBidi" w:cstheme="majorBidi"/>
          <w:lang w:val="fr-FR"/>
        </w:rPr>
        <w:t xml:space="preserve">Codage vidéo évolué" et le second en 2017, pour la Recommandation UIT-T H.265 "Codage vidéo à haute efficacité". Le nouveau projet concernant le codage vidéo polyvalent progresse bien. </w:t>
      </w:r>
    </w:p>
    <w:p w14:paraId="588D331D" w14:textId="1FE07541" w:rsidR="003B32AB" w:rsidRPr="00DD3A8B" w:rsidRDefault="00DD3A8B" w:rsidP="0083704A">
      <w:pPr>
        <w:pStyle w:val="enumlev1"/>
        <w:spacing w:before="100" w:after="100"/>
        <w:rPr>
          <w:lang w:val="fr-FR"/>
        </w:rPr>
      </w:pPr>
      <w:r w:rsidRPr="00DD3A8B">
        <w:rPr>
          <w:rFonts w:asciiTheme="majorBidi" w:hAnsiTheme="majorBidi" w:cstheme="majorBidi"/>
          <w:lang w:val="fr-FR"/>
        </w:rPr>
        <w:t>–</w:t>
      </w:r>
      <w:r>
        <w:rPr>
          <w:rFonts w:asciiTheme="majorBidi" w:hAnsiTheme="majorBidi" w:cstheme="majorBidi"/>
          <w:lang w:val="fr-FR"/>
        </w:rPr>
        <w:tab/>
      </w:r>
      <w:hyperlink r:id="rId14" w:history="1">
        <w:r w:rsidR="003B32AB" w:rsidRPr="0083704A">
          <w:rPr>
            <w:rStyle w:val="Hyperlink"/>
            <w:rFonts w:ascii="Times New Roman" w:hAnsi="Times New Roman"/>
            <w:lang w:val="fr-CH"/>
          </w:rPr>
          <w:t xml:space="preserve">Au-delà du codage </w:t>
        </w:r>
        <w:r w:rsidR="0030352D" w:rsidRPr="0083704A">
          <w:rPr>
            <w:rStyle w:val="Hyperlink"/>
            <w:rFonts w:ascii="Times New Roman" w:hAnsi="Times New Roman"/>
            <w:lang w:val="fr-CH"/>
          </w:rPr>
          <w:t>vidéo à haute efficacité</w:t>
        </w:r>
        <w:r w:rsidR="003B32AB" w:rsidRPr="0083704A">
          <w:rPr>
            <w:rStyle w:val="Hyperlink"/>
            <w:rFonts w:ascii="Times New Roman" w:hAnsi="Times New Roman"/>
            <w:lang w:val="fr-CH"/>
          </w:rPr>
          <w:t>: le projet concernant le codage vidéo polyvalent démarre en force</w:t>
        </w:r>
      </w:hyperlink>
    </w:p>
    <w:p w14:paraId="3BEEBF25" w14:textId="2BEE9F63" w:rsidR="003B32AB" w:rsidRPr="00214D1D" w:rsidRDefault="003B32AB" w:rsidP="0030352D">
      <w:pPr>
        <w:rPr>
          <w:rFonts w:ascii="Tahoma" w:hAnsi="Tahoma"/>
          <w:sz w:val="20"/>
          <w:lang w:val="fr-FR"/>
        </w:rPr>
      </w:pPr>
      <w:r>
        <w:rPr>
          <w:rFonts w:asciiTheme="majorBidi" w:hAnsiTheme="majorBidi" w:cstheme="majorBidi"/>
          <w:lang w:val="fr-FR"/>
        </w:rPr>
        <w:t xml:space="preserve">Un rang de priorité élevé a été donné aux travaux de normalisation de l'UIT-T concernant les éléments non radioélectriques des systèmes IMT-2020 (5G). La gestion et l'orchestration des réseaux pilotés par logiciel continuent de transformer les </w:t>
      </w:r>
      <w:r w:rsidR="0030352D">
        <w:rPr>
          <w:rFonts w:asciiTheme="majorBidi" w:hAnsiTheme="majorBidi" w:cstheme="majorBidi"/>
          <w:lang w:val="fr-FR"/>
        </w:rPr>
        <w:t>activités dans le domaine des</w:t>
      </w:r>
      <w:r>
        <w:rPr>
          <w:rFonts w:asciiTheme="majorBidi" w:hAnsiTheme="majorBidi" w:cstheme="majorBidi"/>
          <w:lang w:val="fr-FR"/>
        </w:rPr>
        <w:t xml:space="preserve"> télécommunication</w:t>
      </w:r>
      <w:r w:rsidR="0030352D">
        <w:rPr>
          <w:rFonts w:asciiTheme="majorBidi" w:hAnsiTheme="majorBidi" w:cstheme="majorBidi"/>
          <w:lang w:val="fr-FR"/>
        </w:rPr>
        <w:t>s</w:t>
      </w:r>
      <w:r>
        <w:rPr>
          <w:rFonts w:asciiTheme="majorBidi" w:hAnsiTheme="majorBidi" w:cstheme="majorBidi"/>
          <w:lang w:val="fr-FR"/>
        </w:rPr>
        <w:t>. Les travaux menés par l'UIT-T dans le domaine de la 5G appuient cette transformation par l'élaboration de nouvelles normes pour l'innovation dans le domaine des réseaux, l'évolution du réseau de transport et la durabilité environnementale</w:t>
      </w:r>
      <w:r w:rsidRPr="00214D1D">
        <w:rPr>
          <w:rFonts w:asciiTheme="majorBidi" w:hAnsiTheme="majorBidi" w:cstheme="majorBidi"/>
          <w:lang w:val="fr-FR"/>
        </w:rPr>
        <w:t>.</w:t>
      </w:r>
    </w:p>
    <w:p w14:paraId="5127BF97" w14:textId="1619873B"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15" w:history="1">
        <w:r w:rsidR="003B32AB" w:rsidRPr="0083704A">
          <w:rPr>
            <w:rStyle w:val="Hyperlink"/>
            <w:rFonts w:ascii="Times New Roman" w:hAnsi="Times New Roman" w:cstheme="majorBidi"/>
            <w:lang w:val="fr-CH"/>
          </w:rPr>
          <w:t xml:space="preserve">L'apprentissage automatique pour la 5G: Le nouveau groupe spécialisé de l'UIT </w:t>
        </w:r>
        <w:r w:rsidR="0030352D" w:rsidRPr="0083704A">
          <w:rPr>
            <w:rStyle w:val="Hyperlink"/>
            <w:rFonts w:ascii="Times New Roman" w:hAnsi="Times New Roman" w:cstheme="majorBidi"/>
            <w:lang w:val="fr-CH"/>
          </w:rPr>
          <w:t>définit les enjeux prioritaires</w:t>
        </w:r>
      </w:hyperlink>
    </w:p>
    <w:p w14:paraId="7CEDD2D4" w14:textId="445FF8BB"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16" w:history="1">
        <w:r w:rsidR="003B32AB" w:rsidRPr="007A1A3D">
          <w:rPr>
            <w:rStyle w:val="Hyperlink"/>
            <w:lang w:val="fr-CH"/>
          </w:rPr>
          <w:t>L'UIT entame une nouvelle étude sur les réseaux et les technologies pour 2030 et au-delà</w:t>
        </w:r>
      </w:hyperlink>
    </w:p>
    <w:p w14:paraId="4ABDFA16" w14:textId="7E607EF6" w:rsidR="003B32AB" w:rsidRPr="00F721B0" w:rsidRDefault="003B32AB" w:rsidP="0030352D">
      <w:pPr>
        <w:rPr>
          <w:rFonts w:asciiTheme="majorBidi" w:hAnsiTheme="majorBidi" w:cstheme="majorBidi"/>
          <w:lang w:val="fr-FR"/>
        </w:rPr>
      </w:pPr>
      <w:r w:rsidRPr="00B62909">
        <w:rPr>
          <w:rFonts w:asciiTheme="majorBidi" w:hAnsiTheme="majorBidi" w:cstheme="majorBidi"/>
          <w:lang w:val="fr-FR"/>
        </w:rPr>
        <w:t xml:space="preserve">Les travaux de normalisation de l'UIT-T dans le domaine de l'Internet des objets (IoT) et des villes intelligentes visent à </w:t>
      </w:r>
      <w:r>
        <w:rPr>
          <w:rFonts w:asciiTheme="majorBidi" w:hAnsiTheme="majorBidi" w:cstheme="majorBidi"/>
          <w:lang w:val="fr-FR"/>
        </w:rPr>
        <w:t>promouvoir l'interopérabilité ainsi que</w:t>
      </w:r>
      <w:r w:rsidRPr="00B62909">
        <w:rPr>
          <w:rFonts w:asciiTheme="majorBidi" w:hAnsiTheme="majorBidi" w:cstheme="majorBidi"/>
          <w:lang w:val="fr-FR"/>
        </w:rPr>
        <w:t xml:space="preserve"> le traitement et la gestion effi</w:t>
      </w:r>
      <w:r w:rsidR="00DD3A8B">
        <w:rPr>
          <w:rFonts w:asciiTheme="majorBidi" w:hAnsiTheme="majorBidi" w:cstheme="majorBidi"/>
          <w:lang w:val="fr-FR"/>
        </w:rPr>
        <w:t>c</w:t>
      </w:r>
      <w:r w:rsidRPr="00B62909">
        <w:rPr>
          <w:rFonts w:asciiTheme="majorBidi" w:hAnsiTheme="majorBidi" w:cstheme="majorBidi"/>
          <w:lang w:val="fr-FR"/>
        </w:rPr>
        <w:t xml:space="preserve">aces des données. </w:t>
      </w:r>
      <w:r>
        <w:rPr>
          <w:rFonts w:asciiTheme="majorBidi" w:hAnsiTheme="majorBidi" w:cstheme="majorBidi"/>
          <w:lang w:val="fr-FR"/>
        </w:rPr>
        <w:t xml:space="preserve">La normalisation des spécifications de test pour l'IoT progresse rapidement, appuyée par la collaboration croissante entre l'UIT-T et oneM2M. Aujourd'hui, plus de 50 villes du monde entier mesurent les progrès qu'elles ont accompli au moyen des "indicateurs fondamentaux de performance pour les villes </w:t>
      </w:r>
      <w:r w:rsidR="0030352D">
        <w:rPr>
          <w:rFonts w:asciiTheme="majorBidi" w:hAnsiTheme="majorBidi" w:cstheme="majorBidi"/>
          <w:lang w:val="fr-FR"/>
        </w:rPr>
        <w:t xml:space="preserve">intelligentes et durables", </w:t>
      </w:r>
      <w:r>
        <w:rPr>
          <w:rFonts w:asciiTheme="majorBidi" w:hAnsiTheme="majorBidi" w:cstheme="majorBidi"/>
          <w:lang w:val="fr-FR"/>
        </w:rPr>
        <w:t>indicateurs fondés sur les normes de l'UIT et élaborés dans le cadre de l'initiative "Tous unis pour des villes intelligentes et durables" (U4SCC).</w:t>
      </w:r>
    </w:p>
    <w:p w14:paraId="75300D8F" w14:textId="34D97208" w:rsidR="003B32AB" w:rsidRPr="00DD3A8B" w:rsidRDefault="00DD3A8B" w:rsidP="0083704A">
      <w:pPr>
        <w:pStyle w:val="enumlev1"/>
        <w:spacing w:before="100" w:after="100"/>
        <w:rPr>
          <w:rFonts w:asciiTheme="majorBidi" w:hAnsiTheme="majorBidi" w:cstheme="majorBidi"/>
          <w:lang w:val="fr-FR"/>
        </w:rPr>
      </w:pPr>
      <w:r w:rsidRPr="00DD3A8B">
        <w:rPr>
          <w:lang w:val="fr-CH"/>
        </w:rPr>
        <w:t>–</w:t>
      </w:r>
      <w:r w:rsidRPr="00DD3A8B">
        <w:rPr>
          <w:lang w:val="fr-CH"/>
        </w:rPr>
        <w:tab/>
      </w:r>
      <w:hyperlink r:id="rId17" w:history="1">
        <w:r w:rsidR="003B32AB" w:rsidRPr="007A1A3D">
          <w:rPr>
            <w:rStyle w:val="Hyperlink"/>
            <w:lang w:val="fr-CH"/>
          </w:rPr>
          <w:t>Une nouvelle étude de cas de l'UIT retrace le chemin parcouru par Moscou pour devenir une "ville intelligente"</w:t>
        </w:r>
      </w:hyperlink>
    </w:p>
    <w:p w14:paraId="4837A8D2" w14:textId="77777777" w:rsidR="006B5CC7" w:rsidRDefault="006B5CC7" w:rsidP="0030352D">
      <w:pPr>
        <w:rPr>
          <w:rFonts w:asciiTheme="majorBidi" w:hAnsiTheme="majorBidi" w:cstheme="majorBidi"/>
          <w:lang w:val="fr-FR"/>
        </w:rPr>
      </w:pPr>
      <w:r>
        <w:rPr>
          <w:rFonts w:asciiTheme="majorBidi" w:hAnsiTheme="majorBidi" w:cstheme="majorBidi"/>
          <w:lang w:val="fr-FR"/>
        </w:rPr>
        <w:br w:type="page"/>
      </w:r>
    </w:p>
    <w:p w14:paraId="4F85128C" w14:textId="2CF82F34" w:rsidR="003B32AB" w:rsidRPr="005C14C7" w:rsidRDefault="003B32AB" w:rsidP="0030352D">
      <w:pPr>
        <w:rPr>
          <w:rFonts w:asciiTheme="majorBidi" w:hAnsiTheme="majorBidi" w:cstheme="majorBidi"/>
          <w:lang w:val="fr-FR"/>
        </w:rPr>
      </w:pPr>
      <w:r w:rsidRPr="003A4A58">
        <w:rPr>
          <w:rFonts w:asciiTheme="majorBidi" w:hAnsiTheme="majorBidi" w:cstheme="majorBidi"/>
          <w:lang w:val="fr-FR"/>
        </w:rPr>
        <w:lastRenderedPageBreak/>
        <w:t>Le Groupe spécialisé de l'UIT-T sur l'intelligence artificielle au service de la santé (FG AI4H), dirigé</w:t>
      </w:r>
      <w:r>
        <w:rPr>
          <w:rFonts w:asciiTheme="majorBidi" w:hAnsiTheme="majorBidi" w:cstheme="majorBidi"/>
          <w:lang w:val="fr-FR"/>
        </w:rPr>
        <w:t xml:space="preserve"> par l'UIT et l'Organisation mondiale de la santé (OMS) dans le cadre d'une collaboration étroite, oeuvre à la création d'un cadre et d'un processus connexe pour l'évaluation comparative de la performance des algorithmes d'intelligence artificielle au service de la santé. Des appels à propositions répétés guideront les travaux menés par le Groupe spécialisé afin d'élaborer des méthodes d'évaluation permettant de déterminer dans quelle mesure les cas d'utilisation de l'intelligence artificielle au service de la cybersanté ont été validés.</w:t>
      </w:r>
    </w:p>
    <w:p w14:paraId="3F255868" w14:textId="64775F2C" w:rsidR="003B32AB" w:rsidRPr="00DD3A8B" w:rsidRDefault="00DD3A8B" w:rsidP="0083704A">
      <w:pPr>
        <w:pStyle w:val="enumlev1"/>
        <w:spacing w:before="100" w:after="100"/>
        <w:rPr>
          <w:lang w:val="fr-CH"/>
        </w:rPr>
      </w:pPr>
      <w:r w:rsidRPr="00DD3A8B">
        <w:rPr>
          <w:rFonts w:asciiTheme="majorBidi" w:hAnsiTheme="majorBidi" w:cstheme="majorBidi"/>
          <w:lang w:val="fr-FR"/>
        </w:rPr>
        <w:t>–</w:t>
      </w:r>
      <w:r>
        <w:rPr>
          <w:rFonts w:asciiTheme="majorBidi" w:hAnsiTheme="majorBidi" w:cstheme="majorBidi"/>
          <w:lang w:val="fr-FR"/>
        </w:rPr>
        <w:tab/>
      </w:r>
      <w:hyperlink r:id="rId18" w:history="1">
        <w:r w:rsidR="003B32AB" w:rsidRPr="007A1A3D">
          <w:rPr>
            <w:rStyle w:val="Hyperlink"/>
            <w:lang w:val="fr-CH"/>
          </w:rPr>
          <w:t xml:space="preserve">L'intelligence artificielle au service de la santé: l'UIT et l'OMS </w:t>
        </w:r>
      </w:hyperlink>
      <w:r w:rsidR="003B32AB" w:rsidRPr="007A1A3D">
        <w:rPr>
          <w:rStyle w:val="Hyperlink"/>
          <w:lang w:val="fr-CH"/>
        </w:rPr>
        <w:t>lancent un appel à propositions</w:t>
      </w:r>
    </w:p>
    <w:p w14:paraId="16BD5591" w14:textId="5BD6E9C9" w:rsidR="003B32AB" w:rsidRPr="00925CA7" w:rsidRDefault="003B32AB" w:rsidP="0030352D">
      <w:pPr>
        <w:rPr>
          <w:rFonts w:asciiTheme="majorBidi" w:hAnsiTheme="majorBidi" w:cstheme="majorBidi"/>
          <w:lang w:val="fr-FR"/>
        </w:rPr>
      </w:pPr>
      <w:r w:rsidRPr="00193A6F">
        <w:rPr>
          <w:rFonts w:asciiTheme="majorBidi" w:hAnsiTheme="majorBidi" w:cstheme="majorBidi"/>
          <w:lang w:val="fr-FR"/>
        </w:rPr>
        <w:t>Une nouvelle norme de l'UIT offre des lignes directrices relative</w:t>
      </w:r>
      <w:r>
        <w:rPr>
          <w:rFonts w:asciiTheme="majorBidi" w:hAnsiTheme="majorBidi" w:cstheme="majorBidi"/>
          <w:lang w:val="fr-FR"/>
        </w:rPr>
        <w:t>s</w:t>
      </w:r>
      <w:r w:rsidRPr="00193A6F">
        <w:rPr>
          <w:rFonts w:asciiTheme="majorBidi" w:hAnsiTheme="majorBidi" w:cstheme="majorBidi"/>
          <w:lang w:val="fr-FR"/>
        </w:rPr>
        <w:t xml:space="preserve"> à </w:t>
      </w:r>
      <w:r>
        <w:rPr>
          <w:rFonts w:asciiTheme="majorBidi" w:hAnsiTheme="majorBidi" w:cstheme="majorBidi"/>
          <w:lang w:val="fr-FR"/>
        </w:rPr>
        <w:t>l'écoute sans risque des lecteurs de musique, à l'appui de l'initiative de l'OMS intitulée "Ecouter sans risque". La nouvelle norme met en avant les motifs de son élaboration : "</w:t>
      </w:r>
      <w:r>
        <w:rPr>
          <w:lang w:val="fr-CH"/>
        </w:rPr>
        <w:t>Une perte d’audition peut être la conséquence du fait d’avoir écouté des programmes sonores à un volume élevé pendant des périodes prolongées. L’utilisation sans précaution de dispositifs audio individuels (PAD) représente un danger pour la capacité auditive de millions de personnes</w:t>
      </w:r>
      <w:r>
        <w:rPr>
          <w:sz w:val="22"/>
          <w:lang w:val="fr-CH"/>
        </w:rPr>
        <w:t>"</w:t>
      </w:r>
      <w:r w:rsidR="0030352D">
        <w:rPr>
          <w:sz w:val="22"/>
          <w:lang w:val="fr-CH"/>
        </w:rPr>
        <w:t>.</w:t>
      </w:r>
      <w:r w:rsidRPr="00925CA7">
        <w:rPr>
          <w:rFonts w:asciiTheme="majorBidi" w:hAnsiTheme="majorBidi" w:cstheme="majorBidi"/>
          <w:lang w:val="fr-FR"/>
        </w:rPr>
        <w:t xml:space="preserve"> </w:t>
      </w:r>
    </w:p>
    <w:p w14:paraId="78884F99" w14:textId="4EB09100" w:rsidR="003B32AB" w:rsidRPr="00DD3A8B" w:rsidRDefault="00DD3A8B" w:rsidP="0083704A">
      <w:pPr>
        <w:pStyle w:val="enumlev1"/>
        <w:spacing w:before="100" w:after="100"/>
        <w:rPr>
          <w:lang w:val="fr-CH"/>
        </w:rPr>
      </w:pPr>
      <w:r w:rsidRPr="00DD3A8B">
        <w:rPr>
          <w:rFonts w:asciiTheme="majorBidi" w:hAnsiTheme="majorBidi" w:cstheme="majorBidi"/>
          <w:lang w:val="fr-FR"/>
        </w:rPr>
        <w:t>–</w:t>
      </w:r>
      <w:r>
        <w:rPr>
          <w:rFonts w:asciiTheme="majorBidi" w:hAnsiTheme="majorBidi" w:cstheme="majorBidi"/>
          <w:lang w:val="fr-FR"/>
        </w:rPr>
        <w:tab/>
      </w:r>
      <w:hyperlink r:id="rId19" w:history="1">
        <w:r w:rsidR="003B32AB" w:rsidRPr="007A1A3D">
          <w:rPr>
            <w:rStyle w:val="Hyperlink"/>
            <w:lang w:val="fr-CH"/>
          </w:rPr>
          <w:t>L'écoute responsable: Une nouvelle norme de l'UIT vise à prévenir les pertes d'audition causées par les dispositifs audio</w:t>
        </w:r>
      </w:hyperlink>
    </w:p>
    <w:p w14:paraId="20629C11" w14:textId="7855E757" w:rsidR="003B32AB" w:rsidRPr="00C84FA3" w:rsidRDefault="003B32AB" w:rsidP="0030352D">
      <w:pPr>
        <w:rPr>
          <w:rFonts w:asciiTheme="majorBidi" w:hAnsiTheme="majorBidi" w:cstheme="majorBidi"/>
          <w:lang w:val="fr-FR"/>
        </w:rPr>
      </w:pPr>
      <w:r>
        <w:rPr>
          <w:rFonts w:asciiTheme="majorBidi" w:hAnsiTheme="majorBidi" w:cstheme="majorBidi"/>
          <w:lang w:val="fr-FR"/>
        </w:rPr>
        <w:t>Des</w:t>
      </w:r>
      <w:r w:rsidRPr="00C84FA3">
        <w:rPr>
          <w:rFonts w:asciiTheme="majorBidi" w:hAnsiTheme="majorBidi" w:cstheme="majorBidi"/>
          <w:lang w:val="fr-FR"/>
        </w:rPr>
        <w:t xml:space="preserve"> spécifications de tests de conformité nouvelles et mises à jour pour les </w:t>
      </w:r>
      <w:r>
        <w:rPr>
          <w:rFonts w:asciiTheme="majorBidi" w:hAnsiTheme="majorBidi" w:cstheme="majorBidi"/>
          <w:lang w:val="fr-FR"/>
        </w:rPr>
        <w:t xml:space="preserve">directives de conception de Continua (CDG) figurent dans des Recommandations UIT-T de la série H.810, reflétant les mises à jour contenues dans la quatrième édition ("Kératine", CDG 2017), soit 6 projets de texte nouveaux et 7 projets de texte révisés en cours d'approbation. Les mises à jour portent sur les tests concernant les nouveaux dispositifs spécialisés pour le contrôle de l'état de </w:t>
      </w:r>
      <w:r w:rsidR="0030352D">
        <w:rPr>
          <w:rFonts w:asciiTheme="majorBidi" w:hAnsiTheme="majorBidi" w:cstheme="majorBidi"/>
          <w:lang w:val="fr-FR"/>
        </w:rPr>
        <w:t>consommation d'énergie et</w:t>
      </w:r>
      <w:r>
        <w:rPr>
          <w:rFonts w:asciiTheme="majorBidi" w:hAnsiTheme="majorBidi" w:cstheme="majorBidi"/>
          <w:lang w:val="fr-FR"/>
        </w:rPr>
        <w:t xml:space="preserve"> les nouveaux glucomètres. La capacité de chargement des observations PCD-1 est également actualisée. La Recommandation UIT-T H.820 contient un plan global relatif aux tests d'évaluation de la conformité des systèmes H.810.</w:t>
      </w:r>
    </w:p>
    <w:p w14:paraId="0209F8D8" w14:textId="6B5652E6"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0" w:history="1">
        <w:r w:rsidR="003B32AB" w:rsidRPr="007A1A3D">
          <w:rPr>
            <w:rStyle w:val="Hyperlink"/>
            <w:lang w:val="fr-CH"/>
          </w:rPr>
          <w:t>Progrès accomplis dans le cadre des activités de normalisation de l'UIT dans le domaine de la cybersanté</w:t>
        </w:r>
      </w:hyperlink>
      <w:r w:rsidR="003B32AB" w:rsidRPr="00DD3A8B">
        <w:rPr>
          <w:rFonts w:asciiTheme="majorBidi" w:hAnsiTheme="majorBidi" w:cstheme="majorBidi"/>
          <w:lang w:val="fr-FR"/>
        </w:rPr>
        <w:t xml:space="preserve"> </w:t>
      </w:r>
    </w:p>
    <w:p w14:paraId="539C2094" w14:textId="77777777" w:rsidR="003B32AB" w:rsidRPr="000030BB" w:rsidRDefault="003B32AB" w:rsidP="0030352D">
      <w:pPr>
        <w:rPr>
          <w:rFonts w:asciiTheme="majorBidi" w:hAnsiTheme="majorBidi" w:cstheme="majorBidi"/>
          <w:lang w:val="fr-FR"/>
        </w:rPr>
      </w:pPr>
      <w:r w:rsidRPr="000030BB">
        <w:rPr>
          <w:rFonts w:asciiTheme="majorBidi" w:hAnsiTheme="majorBidi" w:cstheme="majorBidi"/>
          <w:lang w:val="fr-FR"/>
        </w:rPr>
        <w:t xml:space="preserve">Les travaux menés par l'UIT-T dans les domaines de la qualité de fonctionnement, de la qualité de service et de la qualité d'expérience continuent de progresser rapidement, au rythme de l'évolution du secteur des TIC. </w:t>
      </w:r>
      <w:r>
        <w:rPr>
          <w:rFonts w:asciiTheme="majorBidi" w:hAnsiTheme="majorBidi" w:cstheme="majorBidi"/>
          <w:lang w:val="fr-FR"/>
        </w:rPr>
        <w:t>Les nouvelles normes de l'UIT portent sur la qualité des jeux vidéo, les applications de visiophonie, les communications à bord des véhicules, le streaming vidéo à débit adaptatif et les services TIC lors des grandes manifestations sportives ou des spectacles. Les travaux de l'UIT-T visant à fournir des orientations techniques aux régulateurs qui favorisent la qualité de service occupent une place de plus en plus importante dans le programme de travail de l'UIT en matière de normalisation</w:t>
      </w:r>
      <w:r w:rsidRPr="000030BB">
        <w:rPr>
          <w:rFonts w:asciiTheme="majorBidi" w:hAnsiTheme="majorBidi" w:cstheme="majorBidi"/>
          <w:lang w:val="fr-FR"/>
        </w:rPr>
        <w:t>.</w:t>
      </w:r>
    </w:p>
    <w:p w14:paraId="279AAAC1" w14:textId="68A4E7F9"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1" w:history="1">
        <w:r w:rsidR="003B32AB" w:rsidRPr="007A1A3D">
          <w:rPr>
            <w:rStyle w:val="Hyperlink"/>
            <w:lang w:val="fr-CH"/>
          </w:rPr>
          <w:t>Atelier de l'UIT sur la réglementation en matière de qualité de service</w:t>
        </w:r>
      </w:hyperlink>
    </w:p>
    <w:p w14:paraId="7395888D" w14:textId="1298E719" w:rsidR="003B32AB" w:rsidRPr="000030BB" w:rsidRDefault="003B32AB" w:rsidP="0030352D">
      <w:pPr>
        <w:rPr>
          <w:rFonts w:asciiTheme="majorBidi" w:hAnsiTheme="majorBidi" w:cstheme="majorBidi"/>
          <w:lang w:val="fr-FR"/>
        </w:rPr>
      </w:pPr>
      <w:r w:rsidRPr="000030BB">
        <w:rPr>
          <w:rFonts w:asciiTheme="majorBidi" w:hAnsiTheme="majorBidi" w:cstheme="majorBidi"/>
          <w:lang w:val="fr-FR"/>
        </w:rPr>
        <w:t xml:space="preserve">L'UIT-T offre à la communauté internationale un cadre neutre pour </w:t>
      </w:r>
      <w:r>
        <w:rPr>
          <w:rFonts w:asciiTheme="majorBidi" w:hAnsiTheme="majorBidi" w:cstheme="majorBidi"/>
          <w:lang w:val="fr-FR"/>
        </w:rPr>
        <w:t xml:space="preserve">renforcer les liens entre innovation technique, </w:t>
      </w:r>
      <w:r w:rsidRPr="000030BB">
        <w:rPr>
          <w:rFonts w:asciiTheme="majorBidi" w:hAnsiTheme="majorBidi" w:cstheme="majorBidi"/>
          <w:lang w:val="fr-FR"/>
        </w:rPr>
        <w:t xml:space="preserve">besoins des entreprises et exigences économiques et politiques. </w:t>
      </w:r>
      <w:r>
        <w:rPr>
          <w:rFonts w:asciiTheme="majorBidi" w:hAnsiTheme="majorBidi" w:cstheme="majorBidi"/>
          <w:lang w:val="fr-FR"/>
        </w:rPr>
        <w:t xml:space="preserve">Les nouvelles normes de l'UIT qui sont en cours d'approbation portent sur la relation de concurrence entre les opérateurs de réseau et les fournisseurs de services over-the-top (OTT) sur le marché des services mobiles financiers, ainsi que sur les principes </w:t>
      </w:r>
      <w:r w:rsidRPr="000030BB">
        <w:rPr>
          <w:color w:val="000000"/>
          <w:lang w:val="fr-FR"/>
        </w:rPr>
        <w:t>applicables à un format harmonisé pour les listes de prix/tarifs utilisées pour l'échange de trafic téléphonique</w:t>
      </w:r>
      <w:r>
        <w:rPr>
          <w:rFonts w:asciiTheme="majorBidi" w:hAnsiTheme="majorBidi" w:cstheme="majorBidi"/>
          <w:lang w:val="fr-FR"/>
        </w:rPr>
        <w:t>.</w:t>
      </w:r>
    </w:p>
    <w:p w14:paraId="4AA46C47" w14:textId="1B527C52"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2" w:history="1">
        <w:r w:rsidR="003B32AB" w:rsidRPr="007A1A3D">
          <w:rPr>
            <w:rStyle w:val="Hyperlink"/>
            <w:lang w:val="fr-CH"/>
          </w:rPr>
          <w:t>Progrès accomplis dans le cadre des activités de normalisation de l'UIT concernant les questions économiques et politiques</w:t>
        </w:r>
      </w:hyperlink>
    </w:p>
    <w:p w14:paraId="699C91E6" w14:textId="77777777" w:rsidR="006B5CC7" w:rsidRDefault="006B5CC7" w:rsidP="0030352D">
      <w:pPr>
        <w:rPr>
          <w:rFonts w:asciiTheme="majorBidi" w:hAnsiTheme="majorBidi" w:cstheme="majorBidi"/>
          <w:lang w:val="fr-FR"/>
        </w:rPr>
      </w:pPr>
      <w:r>
        <w:rPr>
          <w:rFonts w:asciiTheme="majorBidi" w:hAnsiTheme="majorBidi" w:cstheme="majorBidi"/>
          <w:lang w:val="fr-FR"/>
        </w:rPr>
        <w:br w:type="page"/>
      </w:r>
    </w:p>
    <w:p w14:paraId="20DABEBB" w14:textId="2F018D75" w:rsidR="003B32AB" w:rsidRPr="00A94292" w:rsidRDefault="003B32AB" w:rsidP="0030352D">
      <w:pPr>
        <w:rPr>
          <w:rFonts w:asciiTheme="majorBidi" w:hAnsiTheme="majorBidi" w:cstheme="majorBidi"/>
          <w:lang w:val="fr-FR"/>
        </w:rPr>
      </w:pPr>
      <w:r w:rsidRPr="000030BB">
        <w:rPr>
          <w:rFonts w:asciiTheme="majorBidi" w:hAnsiTheme="majorBidi" w:cstheme="majorBidi"/>
          <w:lang w:val="fr-FR"/>
        </w:rPr>
        <w:lastRenderedPageBreak/>
        <w:t xml:space="preserve">Une nouvelle norme de l'UIT en cours d'approbation fournit un cadre pour des solutions permettant de lutter contre la contrefaçon de dispositifs TIC. </w:t>
      </w:r>
      <w:r>
        <w:rPr>
          <w:rFonts w:asciiTheme="majorBidi" w:hAnsiTheme="majorBidi" w:cstheme="majorBidi"/>
          <w:lang w:val="fr-FR"/>
        </w:rPr>
        <w:t>Ce domaine de travail continue de se développer et englobe aujourd'hui la lutte contre la contrefaçon et le vol de dispositifs mobiles. L'accent a de nouveau été mis sur la nécessité de répondre aux préoccupations concernant l'altération ou le clonage des identifiants des dispositifs TIC</w:t>
      </w:r>
      <w:r w:rsidRPr="00A94292">
        <w:rPr>
          <w:rFonts w:asciiTheme="majorBidi" w:hAnsiTheme="majorBidi" w:cstheme="majorBidi"/>
          <w:lang w:val="fr-FR"/>
        </w:rPr>
        <w:t>.</w:t>
      </w:r>
    </w:p>
    <w:p w14:paraId="112F07A3" w14:textId="6A3CDA73"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3" w:history="1">
        <w:r w:rsidR="003B32AB" w:rsidRPr="007A1A3D">
          <w:rPr>
            <w:rStyle w:val="Hyperlink"/>
            <w:lang w:val="fr-CH"/>
          </w:rPr>
          <w:t xml:space="preserve">Lutte contre la contrefaçon et </w:t>
        </w:r>
        <w:r w:rsidR="0030352D" w:rsidRPr="007A1A3D">
          <w:rPr>
            <w:rStyle w:val="Hyperlink"/>
            <w:lang w:val="fr-CH"/>
          </w:rPr>
          <w:t>le vol de</w:t>
        </w:r>
        <w:r w:rsidR="003B32AB" w:rsidRPr="007A1A3D">
          <w:rPr>
            <w:rStyle w:val="Hyperlink"/>
            <w:lang w:val="fr-CH"/>
          </w:rPr>
          <w:t xml:space="preserve"> dispositifs </w:t>
        </w:r>
        <w:r w:rsidR="0030352D" w:rsidRPr="007A1A3D">
          <w:rPr>
            <w:rStyle w:val="Hyperlink"/>
            <w:lang w:val="fr-CH"/>
          </w:rPr>
          <w:t>TIC</w:t>
        </w:r>
        <w:r w:rsidR="003B32AB" w:rsidRPr="007A1A3D">
          <w:rPr>
            <w:rStyle w:val="Hyperlink"/>
            <w:lang w:val="fr-CH"/>
          </w:rPr>
          <w:t>: La communauté internationale renouvelle son engagement à l'occasion d'un atelier de l'UIT</w:t>
        </w:r>
      </w:hyperlink>
    </w:p>
    <w:p w14:paraId="5444B98E" w14:textId="77777777" w:rsidR="003B32AB" w:rsidRPr="00A94292" w:rsidRDefault="003B32AB" w:rsidP="0030352D">
      <w:pPr>
        <w:rPr>
          <w:rFonts w:asciiTheme="majorBidi" w:hAnsiTheme="majorBidi" w:cstheme="majorBidi"/>
          <w:lang w:val="fr-FR"/>
        </w:rPr>
      </w:pPr>
      <w:r w:rsidRPr="00A94292">
        <w:rPr>
          <w:rFonts w:asciiTheme="majorBidi" w:hAnsiTheme="majorBidi" w:cstheme="majorBidi"/>
          <w:lang w:val="fr-FR"/>
        </w:rPr>
        <w:t xml:space="preserve">Les travaux menés par l'UIT-T sur les réseaux VoLTE/ViLTE concernent le déploiement des protocoles de signalisation pour l'interconnexion des réseaux VoLTE, les questions de numérotage pertinentes, les considérations relatives à la qualité de service et les appels d'urgence sur les réseaux VoLTE. </w:t>
      </w:r>
      <w:r>
        <w:rPr>
          <w:rFonts w:asciiTheme="majorBidi" w:hAnsiTheme="majorBidi" w:cstheme="majorBidi"/>
          <w:lang w:val="fr-FR"/>
        </w:rPr>
        <w:t>Les nouvelles normes de l'UIT portent sur l'interconnexion des réseaux VoLTE/ViLTE et sur les tests d'interconnexion VoLTE/ViLTE pour les scénarios d'itinérance et d'interfonctionnement</w:t>
      </w:r>
      <w:r w:rsidRPr="00A94292">
        <w:rPr>
          <w:rFonts w:asciiTheme="majorBidi" w:hAnsiTheme="majorBidi" w:cstheme="majorBidi"/>
          <w:lang w:val="fr-FR"/>
        </w:rPr>
        <w:t xml:space="preserve">. </w:t>
      </w:r>
    </w:p>
    <w:p w14:paraId="6B8F560C" w14:textId="6538A30D"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4" w:history="1">
        <w:r w:rsidR="003B32AB" w:rsidRPr="007A1A3D">
          <w:rPr>
            <w:rStyle w:val="Hyperlink"/>
            <w:lang w:val="fr-CH"/>
          </w:rPr>
          <w:t>Progrès accomplis dans le cadre des activités de normalisation de l'UIT concernant les réseaux VoLTE/ViLTE</w:t>
        </w:r>
      </w:hyperlink>
    </w:p>
    <w:p w14:paraId="74E505EA" w14:textId="6BD78850" w:rsidR="003B32AB" w:rsidRPr="00856262" w:rsidRDefault="003B32AB" w:rsidP="0030352D">
      <w:pPr>
        <w:rPr>
          <w:rFonts w:asciiTheme="majorBidi" w:hAnsiTheme="majorBidi" w:cstheme="majorBidi"/>
          <w:lang w:val="fr-FR"/>
        </w:rPr>
      </w:pPr>
      <w:r w:rsidRPr="00A94292">
        <w:rPr>
          <w:rFonts w:asciiTheme="majorBidi" w:hAnsiTheme="majorBidi" w:cstheme="majorBidi"/>
          <w:lang w:val="fr-FR"/>
        </w:rPr>
        <w:t xml:space="preserve">Les communications à l'épreuve des attaques quantiques et </w:t>
      </w:r>
      <w:r>
        <w:rPr>
          <w:rFonts w:asciiTheme="majorBidi" w:hAnsiTheme="majorBidi" w:cstheme="majorBidi"/>
          <w:lang w:val="fr-FR"/>
        </w:rPr>
        <w:t>la distribution de clés quantiques sont les</w:t>
      </w:r>
      <w:r w:rsidR="0030352D">
        <w:rPr>
          <w:rFonts w:asciiTheme="majorBidi" w:hAnsiTheme="majorBidi" w:cstheme="majorBidi"/>
          <w:lang w:val="fr-FR"/>
        </w:rPr>
        <w:t xml:space="preserve"> nouveaux domaines d'étude</w:t>
      </w:r>
      <w:r>
        <w:rPr>
          <w:rFonts w:asciiTheme="majorBidi" w:hAnsiTheme="majorBidi" w:cstheme="majorBidi"/>
          <w:lang w:val="fr-FR"/>
        </w:rPr>
        <w:t xml:space="preserve"> traités par les Commissions d'études 13 et 17 de l'UIT-T, avec la participation de nouveaux membres de l'UIT-T</w:t>
      </w:r>
      <w:r w:rsidRPr="00856262">
        <w:rPr>
          <w:rFonts w:asciiTheme="majorBidi" w:hAnsiTheme="majorBidi" w:cstheme="majorBidi"/>
          <w:lang w:val="fr-FR"/>
        </w:rPr>
        <w:t>.</w:t>
      </w:r>
    </w:p>
    <w:p w14:paraId="64665186" w14:textId="77777777" w:rsidR="00DD3A8B" w:rsidRDefault="003B32AB" w:rsidP="0030352D">
      <w:pPr>
        <w:rPr>
          <w:rFonts w:asciiTheme="majorBidi" w:hAnsiTheme="majorBidi" w:cstheme="majorBidi"/>
          <w:lang w:val="fr-FR"/>
        </w:rPr>
      </w:pPr>
      <w:r w:rsidRPr="00856262">
        <w:rPr>
          <w:color w:val="000000"/>
          <w:lang w:val="fr-FR"/>
        </w:rPr>
        <w:t>Les groupes spécialisés de l'UIT-T, constitués en vue de répondre rapidement aux besoins de normalisation en matière de TIC, ont pour tâche de poser les jalons des travaux ultérieurs de normalisation menés par les commissions d'études de l'UIT-T.</w:t>
      </w:r>
      <w:r w:rsidRPr="00856262">
        <w:rPr>
          <w:rFonts w:asciiTheme="majorBidi" w:hAnsiTheme="majorBidi" w:cstheme="majorBidi"/>
          <w:lang w:val="fr-FR"/>
        </w:rPr>
        <w:t xml:space="preserve"> </w:t>
      </w:r>
      <w:r>
        <w:rPr>
          <w:rFonts w:asciiTheme="majorBidi" w:hAnsiTheme="majorBidi" w:cstheme="majorBidi"/>
          <w:lang w:val="fr-FR"/>
        </w:rPr>
        <w:t xml:space="preserve">Ces </w:t>
      </w:r>
      <w:r w:rsidRPr="00856262">
        <w:rPr>
          <w:color w:val="000000"/>
          <w:lang w:val="fr-FR"/>
        </w:rPr>
        <w:t>groupes offrent un cadre pour explorer de nouvelles voies pour les activités de normalisation de l'UIT</w:t>
      </w:r>
      <w:r w:rsidRPr="00856262">
        <w:rPr>
          <w:rFonts w:asciiTheme="majorBidi" w:hAnsiTheme="majorBidi" w:cstheme="majorBidi"/>
          <w:lang w:val="fr-FR"/>
        </w:rPr>
        <w:t xml:space="preserve">. </w:t>
      </w:r>
      <w:r>
        <w:rPr>
          <w:rFonts w:asciiTheme="majorBidi" w:hAnsiTheme="majorBidi" w:cstheme="majorBidi"/>
          <w:lang w:val="fr-FR"/>
        </w:rPr>
        <w:t>Sept groupes spécialisés de l'UIT-T sont actuellement en activité</w:t>
      </w:r>
      <w:r w:rsidRPr="00856262">
        <w:rPr>
          <w:rFonts w:asciiTheme="majorBidi" w:hAnsiTheme="majorBidi" w:cstheme="majorBidi"/>
          <w:lang w:val="fr-FR"/>
        </w:rPr>
        <w:t>:</w:t>
      </w:r>
      <w:r w:rsidR="00DD3A8B" w:rsidRPr="00DD3A8B">
        <w:rPr>
          <w:rFonts w:asciiTheme="majorBidi" w:hAnsiTheme="majorBidi" w:cstheme="majorBidi"/>
          <w:lang w:val="fr-FR"/>
        </w:rPr>
        <w:t xml:space="preserve"> </w:t>
      </w:r>
    </w:p>
    <w:p w14:paraId="32DB62A9" w14:textId="44525D18" w:rsidR="003B32AB" w:rsidRPr="00856262" w:rsidRDefault="00DD3A8B" w:rsidP="0030352D">
      <w:pPr>
        <w:pStyle w:val="enumlev1"/>
        <w:rPr>
          <w:lang w:val="fr-FR"/>
        </w:rPr>
      </w:pPr>
      <w:r w:rsidRPr="00DD3A8B">
        <w:rPr>
          <w:lang w:val="fr-FR"/>
        </w:rPr>
        <w:t>–</w:t>
      </w:r>
      <w:r>
        <w:rPr>
          <w:lang w:val="fr-FR"/>
        </w:rPr>
        <w:tab/>
      </w:r>
      <w:hyperlink r:id="rId25" w:history="1">
        <w:r w:rsidR="003B32AB" w:rsidRPr="00856262">
          <w:rPr>
            <w:rStyle w:val="Hyperlink"/>
            <w:rFonts w:cstheme="majorBidi"/>
            <w:szCs w:val="24"/>
            <w:lang w:val="fr-FR"/>
          </w:rPr>
          <w:t>Groupe spécialisé sur le traitement et la gestion des données à l'appui de l'Internet des objets et des villes et communautés intelligentes (FG-DPM)</w:t>
        </w:r>
      </w:hyperlink>
      <w:r w:rsidR="003B32AB" w:rsidRPr="00856262">
        <w:rPr>
          <w:lang w:val="fr-FR"/>
        </w:rPr>
        <w:t xml:space="preserve"> </w:t>
      </w:r>
    </w:p>
    <w:p w14:paraId="2564CD9B" w14:textId="46956364"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6" w:history="1">
        <w:r w:rsidR="003B32AB" w:rsidRPr="00856262">
          <w:rPr>
            <w:rStyle w:val="Hyperlink"/>
            <w:rFonts w:cstheme="majorBidi"/>
            <w:szCs w:val="24"/>
            <w:lang w:val="fr-FR"/>
          </w:rPr>
          <w:t>Groupe spécialisé sur la monnaie numérique, y compris la monnaie fiduciaire numérique (FG DFC)</w:t>
        </w:r>
      </w:hyperlink>
      <w:r w:rsidR="003B32AB" w:rsidRPr="00856262">
        <w:rPr>
          <w:lang w:val="fr-FR"/>
        </w:rPr>
        <w:t xml:space="preserve"> </w:t>
      </w:r>
    </w:p>
    <w:p w14:paraId="27306F7A" w14:textId="6773AF22"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7" w:history="1">
        <w:r w:rsidR="003B32AB" w:rsidRPr="00856262">
          <w:rPr>
            <w:rStyle w:val="Hyperlink"/>
            <w:rFonts w:cstheme="majorBidi"/>
            <w:szCs w:val="24"/>
            <w:lang w:val="fr-FR"/>
          </w:rPr>
          <w:t>Groupe spécialisé sur l'application de la technologie des registres distribués (FG-DLT)</w:t>
        </w:r>
      </w:hyperlink>
      <w:r w:rsidR="003B32AB" w:rsidRPr="00856262">
        <w:rPr>
          <w:lang w:val="fr-FR"/>
        </w:rPr>
        <w:t xml:space="preserve"> </w:t>
      </w:r>
    </w:p>
    <w:p w14:paraId="08316FB1" w14:textId="15EE42E8"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8" w:history="1">
        <w:r w:rsidR="003B32AB" w:rsidRPr="00856262">
          <w:rPr>
            <w:rStyle w:val="Hyperlink"/>
            <w:rFonts w:cstheme="majorBidi"/>
            <w:szCs w:val="24"/>
            <w:lang w:val="fr-FR"/>
          </w:rPr>
          <w:t>G</w:t>
        </w:r>
        <w:r w:rsidR="003B32AB">
          <w:rPr>
            <w:rStyle w:val="Hyperlink"/>
            <w:rFonts w:cstheme="majorBidi"/>
            <w:szCs w:val="24"/>
            <w:lang w:val="fr-FR"/>
          </w:rPr>
          <w:t>roupe spécialisé sur l</w:t>
        </w:r>
        <w:r w:rsidR="003B32AB" w:rsidRPr="00856262">
          <w:rPr>
            <w:rStyle w:val="Hyperlink"/>
            <w:rFonts w:cstheme="majorBidi"/>
            <w:szCs w:val="24"/>
            <w:lang w:val="fr-FR"/>
          </w:rPr>
          <w:t>'apprentissage automatique pour les réseaux futurs, y compris les réseaux 5G (FG-ML5G)</w:t>
        </w:r>
        <w:r w:rsidR="003B32AB" w:rsidRPr="00856262" w:rsidDel="002534EE">
          <w:rPr>
            <w:rStyle w:val="Hyperlink"/>
            <w:rFonts w:cstheme="majorBidi"/>
            <w:szCs w:val="24"/>
            <w:lang w:val="fr-FR"/>
          </w:rPr>
          <w:t xml:space="preserve"> </w:t>
        </w:r>
      </w:hyperlink>
      <w:r w:rsidR="003B32AB" w:rsidRPr="00856262">
        <w:rPr>
          <w:lang w:val="fr-FR"/>
        </w:rPr>
        <w:t xml:space="preserve"> </w:t>
      </w:r>
    </w:p>
    <w:p w14:paraId="6B96A101" w14:textId="6306CB7A"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9" w:history="1">
        <w:r w:rsidR="003B32AB" w:rsidRPr="00856262">
          <w:rPr>
            <w:rStyle w:val="Hyperlink"/>
            <w:rFonts w:cstheme="majorBidi"/>
            <w:szCs w:val="24"/>
            <w:lang w:val="fr-FR"/>
          </w:rPr>
          <w:t>Groupe spécialisé sur les technologies po</w:t>
        </w:r>
        <w:r w:rsidR="003B32AB">
          <w:rPr>
            <w:rStyle w:val="Hyperlink"/>
            <w:rFonts w:cstheme="majorBidi"/>
            <w:szCs w:val="24"/>
            <w:lang w:val="fr-FR"/>
          </w:rPr>
          <w:t>ur le réseau 2030 (FG NET-2030</w:t>
        </w:r>
        <w:r w:rsidR="003B32AB" w:rsidRPr="00856262">
          <w:rPr>
            <w:rStyle w:val="Hyperlink"/>
            <w:rFonts w:cstheme="majorBidi"/>
            <w:szCs w:val="24"/>
            <w:lang w:val="fr-FR"/>
          </w:rPr>
          <w:t>)</w:t>
        </w:r>
      </w:hyperlink>
      <w:r w:rsidR="003B32AB" w:rsidRPr="00856262">
        <w:rPr>
          <w:lang w:val="fr-FR"/>
        </w:rPr>
        <w:t xml:space="preserve"> </w:t>
      </w:r>
    </w:p>
    <w:p w14:paraId="0CAB9D0D" w14:textId="5D9E9D46"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30" w:history="1">
        <w:r w:rsidR="003B32AB" w:rsidRPr="00856262">
          <w:rPr>
            <w:rStyle w:val="Hyperlink"/>
            <w:rFonts w:cstheme="majorBidi"/>
            <w:szCs w:val="24"/>
            <w:lang w:val="fr-FR"/>
          </w:rPr>
          <w:t>Groupe spécialisé sur l'intelligence artificielle au service de la santé (FG-AI4H)</w:t>
        </w:r>
      </w:hyperlink>
    </w:p>
    <w:p w14:paraId="2EB4AE9A" w14:textId="13DF3B4A"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31" w:history="1">
        <w:r w:rsidR="003B32AB" w:rsidRPr="006B5CC7">
          <w:rPr>
            <w:rStyle w:val="Hyperlink"/>
            <w:rFonts w:cstheme="majorBidi"/>
            <w:shd w:val="clear" w:color="auto" w:fill="FFFFFF"/>
            <w:lang w:val="fr-FR"/>
          </w:rPr>
          <w:t>Groupe spécialisé sur le multimédia dans les véhicules (FG-VM</w:t>
        </w:r>
        <w:r w:rsidR="003B32AB" w:rsidRPr="006B5CC7">
          <w:rPr>
            <w:rStyle w:val="Hyperlink"/>
            <w:rFonts w:cstheme="majorBidi"/>
            <w:bdr w:val="none" w:sz="0" w:space="0" w:color="auto" w:frame="1"/>
            <w:shd w:val="clear" w:color="auto" w:fill="FFFFFF"/>
            <w:lang w:val="fr-FR"/>
          </w:rPr>
          <w:t>)</w:t>
        </w:r>
      </w:hyperlink>
      <w:r w:rsidR="003B32AB" w:rsidRPr="0030352D" w:rsidDel="002534EE">
        <w:rPr>
          <w:rStyle w:val="Hyperlink"/>
          <w:bdr w:val="none" w:sz="0" w:space="0" w:color="auto" w:frame="1"/>
          <w:shd w:val="clear" w:color="auto" w:fill="FFFFFF"/>
          <w:lang w:val="fr-FR"/>
        </w:rPr>
        <w:t xml:space="preserve"> </w:t>
      </w:r>
    </w:p>
    <w:p w14:paraId="649B0A3B" w14:textId="77777777" w:rsidR="003B32AB" w:rsidRPr="0030352D" w:rsidRDefault="003B32AB" w:rsidP="0030352D">
      <w:pPr>
        <w:pStyle w:val="Headingb"/>
        <w:rPr>
          <w:rFonts w:asciiTheme="majorBidi" w:hAnsiTheme="majorBidi" w:cstheme="majorBidi"/>
          <w:i/>
          <w:iCs/>
          <w:szCs w:val="24"/>
          <w:lang w:val="fr-FR"/>
        </w:rPr>
      </w:pPr>
      <w:r w:rsidRPr="0030352D">
        <w:rPr>
          <w:rFonts w:asciiTheme="majorBidi" w:hAnsiTheme="majorBidi" w:cstheme="majorBidi"/>
          <w:i/>
          <w:iCs/>
          <w:szCs w:val="24"/>
          <w:lang w:val="fr-FR"/>
        </w:rPr>
        <w:t>Plate-forme de normalisation de l'UIT</w:t>
      </w:r>
    </w:p>
    <w:p w14:paraId="2AE473CB" w14:textId="2AFCC63F" w:rsidR="003B32AB" w:rsidRPr="002A3307" w:rsidRDefault="003B32AB" w:rsidP="0030352D">
      <w:pPr>
        <w:rPr>
          <w:rFonts w:eastAsia="SimSun"/>
          <w:lang w:val="fr-CH"/>
        </w:rPr>
      </w:pPr>
      <w:r w:rsidRPr="00C87712">
        <w:rPr>
          <w:rFonts w:eastAsia="SimSun"/>
          <w:lang w:val="fr-FR"/>
        </w:rPr>
        <w:t xml:space="preserve">Le nombre de membres de l'UIT-T a </w:t>
      </w:r>
      <w:r>
        <w:rPr>
          <w:rFonts w:eastAsia="SimSun"/>
          <w:lang w:val="fr-FR"/>
        </w:rPr>
        <w:t>fortement</w:t>
      </w:r>
      <w:r w:rsidRPr="00C87712">
        <w:rPr>
          <w:rFonts w:eastAsia="SimSun"/>
          <w:lang w:val="fr-FR"/>
        </w:rPr>
        <w:t xml:space="preserve"> augmenté. </w:t>
      </w:r>
      <w:r>
        <w:rPr>
          <w:rFonts w:eastAsia="SimSun"/>
          <w:lang w:val="fr-FR"/>
        </w:rPr>
        <w:t>L'UIT-T a enregistré une augmentation nette considérable, avec 26 nouveaux membres en 2018, soit une hausse de 92</w:t>
      </w:r>
      <w:r w:rsidR="00DD3A8B">
        <w:rPr>
          <w:rFonts w:eastAsia="SimSun"/>
          <w:lang w:val="fr-FR"/>
        </w:rPr>
        <w:t>%</w:t>
      </w:r>
      <w:r>
        <w:rPr>
          <w:rFonts w:eastAsia="SimSun"/>
          <w:lang w:val="fr-FR"/>
        </w:rPr>
        <w:t xml:space="preserve"> par rapport à l'augmentation nette enregistrée en 2017. Quatorze Membres de Secteur et 29 Associés ont rejoint l'UIT-T en 2018, soit 43 nouveaux membres. Parmi ces nouveaux membres figurent des opérateurs </w:t>
      </w:r>
      <w:r w:rsidRPr="00C87712">
        <w:rPr>
          <w:color w:val="000000"/>
          <w:lang w:val="fr-FR"/>
        </w:rPr>
        <w:t xml:space="preserve">et </w:t>
      </w:r>
      <w:r>
        <w:rPr>
          <w:color w:val="000000"/>
          <w:lang w:val="fr-FR"/>
        </w:rPr>
        <w:t>des</w:t>
      </w:r>
      <w:r w:rsidRPr="00C87712">
        <w:rPr>
          <w:color w:val="000000"/>
          <w:lang w:val="fr-FR"/>
        </w:rPr>
        <w:t xml:space="preserve"> facilitateurs de réseaux virtuels mobiles (MVNO/MVNE</w:t>
      </w:r>
      <w:r>
        <w:rPr>
          <w:color w:val="000000"/>
          <w:lang w:val="fr-FR"/>
        </w:rPr>
        <w:t xml:space="preserve">), des fabricants d'aéronefs sans pilote, des entreprises de télématique et du secteur automobile, des fournisseurs de services OTT, des entreprises de distribution d'énergie et des entreprises spécialisées dans la cryptographie quantique et les communications quantiques. </w:t>
      </w:r>
      <w:r w:rsidRPr="002A3307">
        <w:rPr>
          <w:color w:val="000000"/>
          <w:lang w:val="fr-CH"/>
        </w:rPr>
        <w:t>Voir la Section 8</w:t>
      </w:r>
      <w:r w:rsidRPr="002A3307">
        <w:rPr>
          <w:rFonts w:eastAsia="SimSun"/>
          <w:lang w:val="fr-CH"/>
        </w:rPr>
        <w:t xml:space="preserve">. </w:t>
      </w:r>
    </w:p>
    <w:p w14:paraId="49918AC5" w14:textId="77777777" w:rsidR="006B5CC7" w:rsidRDefault="006B5CC7" w:rsidP="0030352D">
      <w:pPr>
        <w:rPr>
          <w:rFonts w:asciiTheme="majorBidi" w:hAnsiTheme="majorBidi" w:cstheme="majorBidi"/>
          <w:lang w:val="fr-FR"/>
        </w:rPr>
      </w:pPr>
      <w:r>
        <w:rPr>
          <w:rFonts w:asciiTheme="majorBidi" w:hAnsiTheme="majorBidi" w:cstheme="majorBidi"/>
          <w:lang w:val="fr-FR"/>
        </w:rPr>
        <w:br w:type="page"/>
      </w:r>
    </w:p>
    <w:p w14:paraId="193AFDFA" w14:textId="387A5EBF" w:rsidR="003B32AB" w:rsidRPr="002A3307" w:rsidRDefault="003B32AB" w:rsidP="0030352D">
      <w:pPr>
        <w:rPr>
          <w:lang w:val="fr-CH"/>
        </w:rPr>
      </w:pPr>
      <w:r w:rsidRPr="00C87712">
        <w:rPr>
          <w:rFonts w:asciiTheme="majorBidi" w:hAnsiTheme="majorBidi" w:cstheme="majorBidi"/>
          <w:lang w:val="fr-FR"/>
        </w:rPr>
        <w:lastRenderedPageBreak/>
        <w:t xml:space="preserve">Le programme de l'UIT pour la réduction de l'écart en matière de normalisation (BSG) vise à améliorer la capacité des pays en développement de participer à l'élaboration et à l'application des normes internationales relatives aux TIC. </w:t>
      </w:r>
      <w:r>
        <w:rPr>
          <w:rFonts w:asciiTheme="majorBidi" w:hAnsiTheme="majorBidi" w:cstheme="majorBidi"/>
          <w:lang w:val="fr-FR"/>
        </w:rPr>
        <w:t xml:space="preserve">Le programme BSG remanié s'articule selon cinq piliers, conformément à la Résolution 44 de l'AMNT. Ces cinq piliers sont les suivants: participation, savoir-faire, communautés, sensibilisation et partenariats. </w:t>
      </w:r>
      <w:r w:rsidRPr="002A3307">
        <w:rPr>
          <w:rFonts w:asciiTheme="majorBidi" w:hAnsiTheme="majorBidi" w:cstheme="majorBidi"/>
          <w:lang w:val="fr-CH"/>
        </w:rPr>
        <w:t>Voir la Section 7.</w:t>
      </w:r>
      <w:r w:rsidRPr="002A3307">
        <w:rPr>
          <w:lang w:val="fr-CH"/>
        </w:rPr>
        <w:t xml:space="preserve"> </w:t>
      </w:r>
    </w:p>
    <w:p w14:paraId="072E2163" w14:textId="4F289594" w:rsidR="003B32AB" w:rsidRPr="002000AA" w:rsidRDefault="003B32AB" w:rsidP="0030352D">
      <w:pPr>
        <w:rPr>
          <w:lang w:val="fr-FR"/>
        </w:rPr>
      </w:pPr>
      <w:r w:rsidRPr="002000AA">
        <w:rPr>
          <w:lang w:val="fr-FR"/>
        </w:rPr>
        <w:t xml:space="preserve">La </w:t>
      </w:r>
      <w:r w:rsidR="00DD3A8B">
        <w:rPr>
          <w:lang w:val="fr-FR"/>
        </w:rPr>
        <w:t>"</w:t>
      </w:r>
      <w:hyperlink r:id="rId32" w:history="1">
        <w:r w:rsidRPr="002000AA">
          <w:rPr>
            <w:rStyle w:val="Hyperlink"/>
            <w:rFonts w:eastAsiaTheme="majorEastAsia"/>
            <w:lang w:val="fr-FR"/>
          </w:rPr>
          <w:t>base de données sur la conformité des produits TIC</w:t>
        </w:r>
      </w:hyperlink>
      <w:r w:rsidR="00DD3A8B">
        <w:rPr>
          <w:lang w:val="fr-FR"/>
        </w:rPr>
        <w:t>"</w:t>
      </w:r>
      <w:r w:rsidRPr="002000AA">
        <w:rPr>
          <w:lang w:val="fr-FR"/>
        </w:rPr>
        <w:t xml:space="preserve"> </w:t>
      </w:r>
      <w:r>
        <w:rPr>
          <w:lang w:val="fr-FR"/>
        </w:rPr>
        <w:t xml:space="preserve">donne au secteur le moyen de faire connaître la conformité des produits et services TIC aux Recommandations UIT-T, aidant ainsi les utilisateurs à choisir des produits conformes aux normes. La base de données recense notamment des produits utilisés dans le domaine de la cybersanté et des téléphones mobiles compatibles avec les terminaux mains libres des véhicules, les technologies Ethernet et TVIP et la portabilité des numéros mobiles. </w:t>
      </w:r>
      <w:r w:rsidRPr="002000AA">
        <w:rPr>
          <w:lang w:val="fr-FR"/>
        </w:rPr>
        <w:t>Voir la Section 2.</w:t>
      </w:r>
    </w:p>
    <w:p w14:paraId="0FC383F9" w14:textId="34974C55" w:rsidR="003B32AB" w:rsidRPr="002000AA" w:rsidRDefault="003B32AB" w:rsidP="0030352D">
      <w:pPr>
        <w:spacing w:after="120"/>
        <w:rPr>
          <w:rFonts w:asciiTheme="majorBidi" w:hAnsiTheme="majorBidi" w:cstheme="majorBidi"/>
          <w:lang w:val="fr-FR"/>
        </w:rPr>
      </w:pPr>
      <w:r w:rsidRPr="002000AA">
        <w:rPr>
          <w:color w:val="000000"/>
          <w:lang w:val="fr-FR"/>
        </w:rPr>
        <w:t>La diversité du personnel, la promotion de l'égalité hommes/femmes et l'autonomisation des femmes continuent de figurer parmi les priorités du TSB.</w:t>
      </w:r>
      <w:r>
        <w:rPr>
          <w:color w:val="000000"/>
          <w:lang w:val="fr-FR"/>
        </w:rPr>
        <w:t xml:space="preserve"> </w:t>
      </w:r>
      <w:r w:rsidRPr="002000AA">
        <w:rPr>
          <w:color w:val="000000"/>
          <w:lang w:val="fr-FR"/>
        </w:rPr>
        <w:t>Le TSB poursuit ses efforts pour intégrer le principe de l'égalité entre les femmes et les hommes dans toutes ses activités et tous ses programmes, sous les auspices du Groupe spécial de l'UIT sur les questions de genre.</w:t>
      </w:r>
      <w:r>
        <w:rPr>
          <w:color w:val="000000"/>
          <w:lang w:val="fr-FR"/>
        </w:rPr>
        <w:t xml:space="preserve"> </w:t>
      </w:r>
      <w:r w:rsidRPr="002000AA">
        <w:rPr>
          <w:color w:val="000000"/>
          <w:lang w:val="fr-FR"/>
        </w:rPr>
        <w:t>Les femmes représentent 48</w:t>
      </w:r>
      <w:r w:rsidR="00DD3A8B">
        <w:rPr>
          <w:color w:val="000000"/>
          <w:lang w:val="fr-FR"/>
        </w:rPr>
        <w:t>%</w:t>
      </w:r>
      <w:r w:rsidRPr="002000AA">
        <w:rPr>
          <w:color w:val="000000"/>
          <w:lang w:val="fr-FR"/>
        </w:rPr>
        <w:t xml:space="preserve"> du personnel du TSB. Trente-sept pour cent des postes de la catégorie professionnelle </w:t>
      </w:r>
      <w:r>
        <w:rPr>
          <w:color w:val="000000"/>
          <w:lang w:val="fr-FR"/>
        </w:rPr>
        <w:t>et 67</w:t>
      </w:r>
      <w:r w:rsidR="00DD3A8B">
        <w:rPr>
          <w:color w:val="000000"/>
          <w:lang w:val="fr-FR"/>
        </w:rPr>
        <w:t>%</w:t>
      </w:r>
      <w:r>
        <w:rPr>
          <w:color w:val="000000"/>
          <w:lang w:val="fr-FR"/>
        </w:rPr>
        <w:t xml:space="preserve"> des postes de grade P5 sont occupés par des femmes. </w:t>
      </w:r>
      <w:r w:rsidRPr="002000AA">
        <w:rPr>
          <w:rFonts w:asciiTheme="majorBidi" w:hAnsiTheme="majorBidi" w:cstheme="majorBidi"/>
          <w:lang w:val="fr-FR"/>
        </w:rPr>
        <w:t>Voir la Section 9.</w:t>
      </w:r>
    </w:p>
    <w:p w14:paraId="5AAA92FD" w14:textId="77777777" w:rsidR="003B32AB" w:rsidRPr="002A3307" w:rsidRDefault="003B32AB" w:rsidP="0030352D">
      <w:pPr>
        <w:rPr>
          <w:lang w:val="fr-CH"/>
        </w:rPr>
      </w:pPr>
      <w:r w:rsidRPr="002000AA">
        <w:rPr>
          <w:color w:val="000000"/>
          <w:lang w:val="fr-FR"/>
        </w:rPr>
        <w:t>L'UIT</w:t>
      </w:r>
      <w:r>
        <w:rPr>
          <w:color w:val="000000"/>
          <w:lang w:val="fr-FR"/>
        </w:rPr>
        <w:t>-T</w:t>
      </w:r>
      <w:r w:rsidRPr="002000AA">
        <w:rPr>
          <w:color w:val="000000"/>
          <w:lang w:val="fr-FR"/>
        </w:rPr>
        <w:t xml:space="preserve"> continue de </w:t>
      </w:r>
      <w:r>
        <w:rPr>
          <w:color w:val="000000"/>
          <w:lang w:val="fr-FR"/>
        </w:rPr>
        <w:t>jouer un rôle directeur</w:t>
      </w:r>
      <w:r w:rsidRPr="002000AA">
        <w:rPr>
          <w:color w:val="000000"/>
          <w:lang w:val="fr-FR"/>
        </w:rPr>
        <w:t xml:space="preserve"> en instaurant une coopération entre les organismes s'occupant de normalisation des TIC.</w:t>
      </w:r>
      <w:r>
        <w:rPr>
          <w:color w:val="000000"/>
          <w:lang w:val="fr-FR"/>
        </w:rPr>
        <w:t xml:space="preserve"> Le TSB continue de coordonner la contribution de l'UIT-T aux activités menées par d'autres organismes, afin de promouvoir la participation d'autres institutions aux activités des groupes de travail, aux ateliers et aux initiatives de collaboration connexes de l'UIT-T</w:t>
      </w:r>
      <w:r w:rsidRPr="00C431DF">
        <w:rPr>
          <w:lang w:val="fr-FR"/>
        </w:rPr>
        <w:t xml:space="preserve">. </w:t>
      </w:r>
      <w:r w:rsidRPr="002A3307">
        <w:rPr>
          <w:lang w:val="fr-CH"/>
        </w:rPr>
        <w:t>Voir la Section 6.</w:t>
      </w:r>
    </w:p>
    <w:p w14:paraId="5CD5E234" w14:textId="77777777" w:rsidR="003B32AB" w:rsidRPr="007E1BF0" w:rsidRDefault="003B32AB" w:rsidP="0030352D">
      <w:pPr>
        <w:rPr>
          <w:rFonts w:asciiTheme="majorBidi" w:hAnsiTheme="majorBidi" w:cstheme="majorBidi"/>
          <w:lang w:val="fr-FR"/>
        </w:rPr>
      </w:pPr>
      <w:r w:rsidRPr="007E1BF0">
        <w:rPr>
          <w:lang w:val="fr-FR"/>
        </w:rPr>
        <w:t>La Version 2 de</w:t>
      </w:r>
      <w:r>
        <w:rPr>
          <w:lang w:val="fr-FR"/>
        </w:rPr>
        <w:t xml:space="preserve"> la page</w:t>
      </w:r>
      <w:r w:rsidRPr="007E1BF0">
        <w:rPr>
          <w:lang w:val="fr-FR"/>
        </w:rPr>
        <w:t xml:space="preserve"> </w:t>
      </w:r>
      <w:hyperlink r:id="rId33" w:history="1">
        <w:r w:rsidRPr="007E1BF0">
          <w:rPr>
            <w:rStyle w:val="Hyperlink"/>
            <w:rFonts w:eastAsiaTheme="majorEastAsia"/>
            <w:lang w:val="fr-FR"/>
          </w:rPr>
          <w:t>MyWorkspace</w:t>
        </w:r>
      </w:hyperlink>
      <w:r w:rsidRPr="007E1BF0">
        <w:rPr>
          <w:lang w:val="fr-FR"/>
        </w:rPr>
        <w:t xml:space="preserve"> a été publiée, </w:t>
      </w:r>
      <w:r>
        <w:rPr>
          <w:lang w:val="fr-FR"/>
        </w:rPr>
        <w:t>avec</w:t>
      </w:r>
      <w:r w:rsidRPr="007E1BF0">
        <w:rPr>
          <w:lang w:val="fr-FR"/>
        </w:rPr>
        <w:t xml:space="preserve"> de nouvelles fonctionnalités fondées sur les retours d'information des utilisateurs initiaux. MyWorkspace est une </w:t>
      </w:r>
      <w:r>
        <w:rPr>
          <w:lang w:val="fr-FR"/>
        </w:rPr>
        <w:t xml:space="preserve">nouvelle page web personnalisée à l'usage des utilisateurs TIES qui offre un accès rapide aux informations et aux services les plus appréciés des délégués de l'UIT-T. </w:t>
      </w:r>
      <w:r w:rsidRPr="007E1BF0">
        <w:rPr>
          <w:lang w:val="fr-FR"/>
        </w:rPr>
        <w:t xml:space="preserve">Le </w:t>
      </w:r>
      <w:hyperlink r:id="rId34" w:history="1">
        <w:r w:rsidRPr="007E1BF0">
          <w:rPr>
            <w:rStyle w:val="Hyperlink"/>
            <w:rFonts w:cstheme="majorBidi"/>
            <w:lang w:val="fr-FR"/>
          </w:rPr>
          <w:t>moteur de recherche</w:t>
        </w:r>
      </w:hyperlink>
      <w:r w:rsidRPr="007E1BF0">
        <w:rPr>
          <w:rFonts w:asciiTheme="majorBidi" w:hAnsiTheme="majorBidi" w:cstheme="majorBidi"/>
          <w:lang w:val="fr-FR"/>
        </w:rPr>
        <w:t xml:space="preserve"> </w:t>
      </w:r>
      <w:r>
        <w:rPr>
          <w:rFonts w:asciiTheme="majorBidi" w:hAnsiTheme="majorBidi" w:cstheme="majorBidi"/>
          <w:lang w:val="fr-FR"/>
        </w:rPr>
        <w:t>présente les résultats issus du corpus complet de documents, de publications et de pages web de l'UIT. Les sites collaboratifs SharePoint des commissions d'études de l'UIT-T continuent d'être améliorés. Une nouvelle plate-forme d'annonce de nouveaux services</w:t>
      </w:r>
      <w:r w:rsidRPr="007E1BF0">
        <w:rPr>
          <w:rFonts w:asciiTheme="majorBidi" w:hAnsiTheme="majorBidi" w:cstheme="majorBidi"/>
          <w:lang w:val="fr-FR"/>
        </w:rPr>
        <w:t xml:space="preserve">, </w:t>
      </w:r>
      <w:hyperlink r:id="rId35" w:history="1">
        <w:r w:rsidRPr="007E1BF0">
          <w:rPr>
            <w:rStyle w:val="Hyperlink"/>
            <w:rFonts w:cstheme="majorBidi"/>
            <w:lang w:val="fr-FR"/>
          </w:rPr>
          <w:t>http://tsbtech.itu.int/</w:t>
        </w:r>
      </w:hyperlink>
      <w:r w:rsidRPr="007E1BF0">
        <w:rPr>
          <w:rFonts w:asciiTheme="majorBidi" w:hAnsiTheme="majorBidi" w:cstheme="majorBidi"/>
          <w:lang w:val="fr-FR"/>
        </w:rPr>
        <w:t xml:space="preserve">, </w:t>
      </w:r>
      <w:r>
        <w:rPr>
          <w:rFonts w:asciiTheme="majorBidi" w:hAnsiTheme="majorBidi" w:cstheme="majorBidi"/>
          <w:lang w:val="fr-FR"/>
        </w:rPr>
        <w:t>fournit des mises à jour régulières concernant les nouvelles améliorations apportées aux services et aux outils qui sont à la disposition des délégués de l'UIT-T. Voir la Section 13</w:t>
      </w:r>
      <w:r w:rsidRPr="007E1BF0">
        <w:rPr>
          <w:rFonts w:asciiTheme="majorBidi" w:hAnsiTheme="majorBidi" w:cstheme="majorBidi"/>
          <w:lang w:val="fr-FR"/>
        </w:rPr>
        <w:t>.</w:t>
      </w:r>
    </w:p>
    <w:p w14:paraId="1453CD1E" w14:textId="77777777" w:rsidR="003B32AB" w:rsidRPr="00E21209" w:rsidRDefault="003B32AB" w:rsidP="0030352D">
      <w:pPr>
        <w:rPr>
          <w:rFonts w:asciiTheme="majorBidi" w:hAnsiTheme="majorBidi" w:cstheme="majorBidi"/>
          <w:lang w:val="fr-FR"/>
        </w:rPr>
      </w:pPr>
      <w:r w:rsidRPr="007E1BF0">
        <w:rPr>
          <w:rFonts w:asciiTheme="majorBidi" w:hAnsiTheme="majorBidi" w:cstheme="majorBidi"/>
          <w:lang w:val="fr-FR"/>
        </w:rPr>
        <w:t xml:space="preserve">Plus de 9 500 pages de Recommandations et de Suppléments de l'UIT-T ont été publiées entre février et septembre 2018. </w:t>
      </w:r>
      <w:r>
        <w:rPr>
          <w:rFonts w:asciiTheme="majorBidi" w:hAnsiTheme="majorBidi" w:cstheme="majorBidi"/>
          <w:lang w:val="fr-FR"/>
        </w:rPr>
        <w:t>Outre le format PDF habituel, ces documents sont téléchargeables gratuitement au format ePub adaptable. Le produit "Recommandations UIT-T et sélection de Manuels" de l'UIT continue d'être distribué tous les trimestres sur une clé USB.</w:t>
      </w:r>
      <w:r w:rsidRPr="00E21209">
        <w:rPr>
          <w:rFonts w:asciiTheme="majorBidi" w:hAnsiTheme="majorBidi" w:cstheme="majorBidi"/>
          <w:lang w:val="fr-FR"/>
        </w:rPr>
        <w:t xml:space="preserve"> V</w:t>
      </w:r>
      <w:r>
        <w:rPr>
          <w:rFonts w:asciiTheme="majorBidi" w:hAnsiTheme="majorBidi" w:cstheme="majorBidi"/>
          <w:lang w:val="fr-FR"/>
        </w:rPr>
        <w:t>oir la</w:t>
      </w:r>
      <w:r w:rsidRPr="00E21209">
        <w:rPr>
          <w:rFonts w:asciiTheme="majorBidi" w:hAnsiTheme="majorBidi" w:cstheme="majorBidi"/>
          <w:lang w:val="fr-FR"/>
        </w:rPr>
        <w:t xml:space="preserve"> Section 11.</w:t>
      </w:r>
    </w:p>
    <w:p w14:paraId="6DF0C4C6" w14:textId="3BDB7FD8" w:rsidR="003B32AB" w:rsidRPr="00E21209" w:rsidRDefault="003B32AB" w:rsidP="0030352D">
      <w:pPr>
        <w:rPr>
          <w:rFonts w:asciiTheme="majorBidi" w:hAnsiTheme="majorBidi" w:cstheme="majorBidi"/>
          <w:lang w:val="fr-FR"/>
        </w:rPr>
      </w:pPr>
      <w:r w:rsidRPr="00E21209">
        <w:rPr>
          <w:rFonts w:asciiTheme="majorBidi" w:hAnsiTheme="majorBidi" w:cstheme="majorBidi"/>
          <w:lang w:val="fr-FR"/>
        </w:rPr>
        <w:t>Le TSB continue de traduire</w:t>
      </w:r>
      <w:r>
        <w:rPr>
          <w:rFonts w:asciiTheme="majorBidi" w:hAnsiTheme="majorBidi" w:cstheme="majorBidi"/>
          <w:lang w:val="fr-FR"/>
        </w:rPr>
        <w:t xml:space="preserve"> les Recommandations approuvées selon la procédure d'approbation traditionnelle, ainsi que tous les rapports du GCNT, dans toutes les langues de l'Union. En 2018, le TSB a traduit dix Recommandations approuvées selon la variante de la procédure d'approbation pendant la période considérée, conformément aux demandes formulées précédemment par les commissions d'études de l'UIT-T </w:t>
      </w:r>
      <w:r w:rsidR="0030352D">
        <w:rPr>
          <w:rFonts w:asciiTheme="majorBidi" w:hAnsiTheme="majorBidi" w:cstheme="majorBidi"/>
          <w:lang w:val="fr-FR"/>
        </w:rPr>
        <w:t xml:space="preserve">et les groupes linguistiques </w:t>
      </w:r>
      <w:r>
        <w:rPr>
          <w:rFonts w:asciiTheme="majorBidi" w:hAnsiTheme="majorBidi" w:cstheme="majorBidi"/>
          <w:lang w:val="fr-FR"/>
        </w:rPr>
        <w:t>et dans les limites du budget affecté à la traduction. Voir la</w:t>
      </w:r>
      <w:r w:rsidRPr="00E21209">
        <w:rPr>
          <w:rFonts w:asciiTheme="majorBidi" w:hAnsiTheme="majorBidi" w:cstheme="majorBidi"/>
          <w:lang w:val="fr-FR"/>
        </w:rPr>
        <w:t xml:space="preserve"> Section 13.</w:t>
      </w:r>
    </w:p>
    <w:p w14:paraId="3E4E33DB" w14:textId="7DB35A15" w:rsidR="00DD3A8B" w:rsidRDefault="003B32AB" w:rsidP="0030352D">
      <w:pPr>
        <w:rPr>
          <w:lang w:val="fr-FR"/>
        </w:rPr>
      </w:pPr>
      <w:r w:rsidRPr="00E21209">
        <w:rPr>
          <w:lang w:val="fr-FR"/>
        </w:rPr>
        <w:t>Les ateliers et colloques de l'UIT</w:t>
      </w:r>
      <w:r>
        <w:rPr>
          <w:lang w:val="fr-FR"/>
        </w:rPr>
        <w:t xml:space="preserve"> permettent de se pencher sur les nouvelles tendances dans le domaine de la normalisation, d'accroître la visibilité des travaux de l'UIT-T, de renforcer la collaboration entre l'UIT-T et d'autres organismes, d'attirer de no</w:t>
      </w:r>
      <w:r w:rsidR="0030352D">
        <w:rPr>
          <w:lang w:val="fr-FR"/>
        </w:rPr>
        <w:t>uveaux membres au sein de l'UIT</w:t>
      </w:r>
      <w:r w:rsidR="0030352D">
        <w:rPr>
          <w:lang w:val="fr-FR"/>
        </w:rPr>
        <w:noBreakHyphen/>
      </w:r>
      <w:r>
        <w:rPr>
          <w:lang w:val="fr-FR"/>
        </w:rPr>
        <w:t xml:space="preserve">T et d'encourager l'apprentissage par les pairs dans le domaine de l'élaboration et de l'application de normes internationales. Pour </w:t>
      </w:r>
      <w:r w:rsidR="0030352D">
        <w:rPr>
          <w:lang w:val="fr-FR"/>
        </w:rPr>
        <w:t>en savoir plus</w:t>
      </w:r>
      <w:r>
        <w:rPr>
          <w:lang w:val="fr-FR"/>
        </w:rPr>
        <w:t xml:space="preserve"> sur les ateliers et les colloques qui ont été organisés pendant la période considérée et sur les faits nouveaux ou émergents liés à ces manifestations, voir la</w:t>
      </w:r>
      <w:r w:rsidRPr="00E21209">
        <w:rPr>
          <w:lang w:val="fr-FR"/>
        </w:rPr>
        <w:t xml:space="preserve"> Section 13. </w:t>
      </w:r>
    </w:p>
    <w:p w14:paraId="48B9C7B5" w14:textId="592831A6" w:rsidR="003B32AB" w:rsidRPr="00E21209" w:rsidRDefault="003B32AB" w:rsidP="003B32AB">
      <w:pPr>
        <w:spacing w:line="480" w:lineRule="auto"/>
        <w:rPr>
          <w:highlight w:val="yellow"/>
          <w:lang w:val="fr-FR"/>
        </w:rPr>
      </w:pPr>
      <w:r w:rsidRPr="00E21209">
        <w:rPr>
          <w:rFonts w:asciiTheme="majorBidi" w:hAnsiTheme="majorBidi" w:cstheme="majorBidi"/>
          <w:highlight w:val="yellow"/>
          <w:lang w:val="fr-FR"/>
        </w:rPr>
        <w:br w:type="page"/>
      </w:r>
    </w:p>
    <w:p w14:paraId="1FF4A916" w14:textId="77777777" w:rsidR="003B32AB" w:rsidRPr="00A94875" w:rsidRDefault="003B32AB" w:rsidP="003B32AB">
      <w:pPr>
        <w:pStyle w:val="Heading1"/>
        <w:ind w:left="0" w:firstLine="0"/>
        <w:rPr>
          <w:rFonts w:asciiTheme="majorBidi" w:hAnsiTheme="majorBidi" w:cstheme="majorBidi"/>
          <w:highlight w:val="yellow"/>
        </w:rPr>
      </w:pPr>
      <w:bookmarkStart w:id="6" w:name="_Toc480527765"/>
      <w:bookmarkStart w:id="7" w:name="_Toc530571845"/>
      <w:bookmarkStart w:id="8" w:name="_Toc531254847"/>
      <w:bookmarkStart w:id="9" w:name="_Toc462664184"/>
      <w:bookmarkStart w:id="10" w:name="_Toc475550127"/>
      <w:bookmarkStart w:id="11" w:name="_Toc416161323"/>
      <w:bookmarkStart w:id="12" w:name="_Toc438553934"/>
      <w:bookmarkStart w:id="13" w:name="_Toc453929055"/>
      <w:bookmarkStart w:id="14" w:name="_Toc453932927"/>
      <w:bookmarkStart w:id="15" w:name="_Toc454295831"/>
      <w:bookmarkStart w:id="16" w:name="_Toc418526228"/>
      <w:bookmarkStart w:id="17" w:name="_Toc462664185"/>
      <w:r w:rsidRPr="00A94875">
        <w:rPr>
          <w:rFonts w:asciiTheme="majorBidi" w:hAnsiTheme="majorBidi" w:cstheme="majorBidi"/>
        </w:rPr>
        <w:lastRenderedPageBreak/>
        <w:t>Annex – Full Report of activities in ITU-T (from February 2018 to October 2018)</w:t>
      </w:r>
      <w:bookmarkEnd w:id="6"/>
      <w:bookmarkEnd w:id="7"/>
      <w:bookmarkEnd w:id="8"/>
    </w:p>
    <w:p w14:paraId="0807740F" w14:textId="77777777" w:rsidR="003B32AB" w:rsidRPr="00A94875" w:rsidRDefault="003B32AB" w:rsidP="003B32AB">
      <w:pPr>
        <w:pStyle w:val="Heading1"/>
        <w:rPr>
          <w:rFonts w:asciiTheme="majorBidi" w:hAnsiTheme="majorBidi" w:cstheme="majorBidi"/>
        </w:rPr>
      </w:pPr>
      <w:bookmarkStart w:id="18" w:name="_Toc530571846"/>
      <w:bookmarkStart w:id="19" w:name="_Toc531254848"/>
      <w:bookmarkStart w:id="20" w:name="_Toc480527766"/>
      <w:r w:rsidRPr="00A94875">
        <w:rPr>
          <w:rFonts w:asciiTheme="majorBidi" w:hAnsiTheme="majorBidi" w:cstheme="majorBidi"/>
        </w:rPr>
        <w:t>1</w:t>
      </w:r>
      <w:r w:rsidRPr="00A94875">
        <w:rPr>
          <w:rFonts w:asciiTheme="majorBidi" w:hAnsiTheme="majorBidi" w:cstheme="majorBidi"/>
        </w:rPr>
        <w:tab/>
        <w:t>Progress achieved in ITU-T standardization</w:t>
      </w:r>
      <w:bookmarkEnd w:id="18"/>
      <w:bookmarkEnd w:id="19"/>
      <w:r w:rsidRPr="00A94875" w:rsidDel="00A24FAD">
        <w:rPr>
          <w:rFonts w:asciiTheme="majorBidi" w:hAnsiTheme="majorBidi" w:cstheme="majorBidi"/>
        </w:rPr>
        <w:t xml:space="preserve"> </w:t>
      </w:r>
    </w:p>
    <w:p w14:paraId="20FC065E" w14:textId="77777777" w:rsidR="003B32AB" w:rsidRPr="00A94875" w:rsidRDefault="003B32AB" w:rsidP="003B32AB">
      <w:pPr>
        <w:rPr>
          <w:rFonts w:asciiTheme="majorBidi" w:hAnsiTheme="majorBidi" w:cstheme="majorBidi"/>
        </w:rPr>
      </w:pPr>
      <w:r w:rsidRPr="00A94875">
        <w:rPr>
          <w:rFonts w:asciiTheme="majorBidi" w:hAnsiTheme="majorBidi" w:cstheme="majorBidi"/>
        </w:rPr>
        <w:t>ITU approved more than 230 new and revised ITU-T Recommendations from February to October 2018. Appendix I lists these ITU-T Recommendations and related texts and summarizes their contents.</w:t>
      </w:r>
    </w:p>
    <w:p w14:paraId="7F8D1059"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Executive summaries ITU-T Study Group meetings </w:t>
      </w:r>
      <w:proofErr w:type="gramStart"/>
      <w:r w:rsidRPr="00A94875">
        <w:rPr>
          <w:rFonts w:asciiTheme="majorBidi" w:hAnsiTheme="majorBidi" w:cstheme="majorBidi"/>
        </w:rPr>
        <w:t>can be found</w:t>
      </w:r>
      <w:proofErr w:type="gramEnd"/>
      <w:r w:rsidRPr="00A94875">
        <w:rPr>
          <w:rFonts w:asciiTheme="majorBidi" w:hAnsiTheme="majorBidi" w:cstheme="majorBidi"/>
        </w:rPr>
        <w:t xml:space="preserve"> on the homepages of </w:t>
      </w:r>
      <w:hyperlink r:id="rId36" w:history="1">
        <w:r w:rsidRPr="00A94875">
          <w:rPr>
            <w:rStyle w:val="Hyperlink"/>
            <w:rFonts w:eastAsiaTheme="majorEastAsia" w:cstheme="majorBidi"/>
          </w:rPr>
          <w:t>ITU-T Study Groups</w:t>
        </w:r>
      </w:hyperlink>
      <w:r w:rsidRPr="00A94875">
        <w:rPr>
          <w:rFonts w:asciiTheme="majorBidi" w:hAnsiTheme="majorBidi" w:cstheme="majorBidi"/>
        </w:rPr>
        <w:t>. Summaries of the most recent meetings of ITU-T</w:t>
      </w:r>
      <w:r>
        <w:rPr>
          <w:rFonts w:asciiTheme="majorBidi" w:hAnsiTheme="majorBidi" w:cstheme="majorBidi"/>
        </w:rPr>
        <w:t xml:space="preserve"> Study Groups </w:t>
      </w:r>
      <w:proofErr w:type="gramStart"/>
      <w:r>
        <w:rPr>
          <w:rFonts w:asciiTheme="majorBidi" w:hAnsiTheme="majorBidi" w:cstheme="majorBidi"/>
        </w:rPr>
        <w:t>are listed</w:t>
      </w:r>
      <w:proofErr w:type="gramEnd"/>
      <w:r>
        <w:rPr>
          <w:rFonts w:asciiTheme="majorBidi" w:hAnsiTheme="majorBidi" w:cstheme="majorBidi"/>
        </w:rPr>
        <w:t xml:space="preserve"> below.</w:t>
      </w:r>
    </w:p>
    <w:p w14:paraId="61B91C1E"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7" w:history="1">
        <w:r w:rsidRPr="00A94875">
          <w:rPr>
            <w:rStyle w:val="Hyperlink"/>
            <w:rFonts w:eastAsiaTheme="majorEastAsia" w:cstheme="majorBidi"/>
            <w:sz w:val="24"/>
            <w:szCs w:val="24"/>
            <w:lang w:val="en-GB"/>
          </w:rPr>
          <w:t>Meeting report, July 2018</w:t>
        </w:r>
      </w:hyperlink>
    </w:p>
    <w:p w14:paraId="1578996C"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8" w:history="1">
        <w:r w:rsidRPr="00A94875">
          <w:rPr>
            <w:rStyle w:val="Hyperlink"/>
            <w:rFonts w:eastAsiaTheme="majorEastAsia"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14:paraId="4EA274A3"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9" w:history="1">
        <w:r w:rsidRPr="00A94875">
          <w:rPr>
            <w:rStyle w:val="Hyperlink"/>
            <w:rFonts w:eastAsiaTheme="majorEastAsia" w:cstheme="majorBidi"/>
            <w:sz w:val="24"/>
            <w:szCs w:val="24"/>
            <w:lang w:val="en-GB"/>
          </w:rPr>
          <w:t>Executive summary, September 2018</w:t>
        </w:r>
      </w:hyperlink>
    </w:p>
    <w:p w14:paraId="49617817"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40" w:history="1">
        <w:r w:rsidRPr="00A94875">
          <w:rPr>
            <w:rStyle w:val="Hyperlink"/>
            <w:rFonts w:eastAsiaTheme="majorEastAsia" w:cstheme="majorBidi"/>
            <w:sz w:val="24"/>
            <w:szCs w:val="24"/>
            <w:lang w:val="en-GB"/>
          </w:rPr>
          <w:t>Executive summary, January 2018</w:t>
        </w:r>
      </w:hyperlink>
    </w:p>
    <w:p w14:paraId="3B48F341"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41" w:history="1">
        <w:r w:rsidRPr="00A94875">
          <w:rPr>
            <w:rStyle w:val="Hyperlink"/>
            <w:rFonts w:eastAsiaTheme="majorEastAsia" w:cstheme="majorBidi"/>
            <w:sz w:val="24"/>
            <w:szCs w:val="24"/>
            <w:lang w:val="en-GB"/>
          </w:rPr>
          <w:t>Executive summary, July 2018</w:t>
        </w:r>
      </w:hyperlink>
      <w:r w:rsidRPr="00A94875">
        <w:rPr>
          <w:rFonts w:asciiTheme="majorBidi" w:hAnsiTheme="majorBidi" w:cstheme="majorBidi"/>
          <w:sz w:val="24"/>
          <w:szCs w:val="24"/>
          <w:lang w:val="en-GB"/>
        </w:rPr>
        <w:t xml:space="preserve"> </w:t>
      </w:r>
    </w:p>
    <w:p w14:paraId="78A8E9D7"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QoS and QoE): </w:t>
      </w:r>
      <w:hyperlink r:id="rId42" w:history="1">
        <w:r w:rsidRPr="00A94875">
          <w:rPr>
            <w:rStyle w:val="Hyperlink"/>
            <w:rFonts w:eastAsiaTheme="majorEastAsia" w:cstheme="majorBidi"/>
            <w:sz w:val="24"/>
            <w:szCs w:val="24"/>
            <w:lang w:val="en-GB"/>
          </w:rPr>
          <w:t>Executive summary, May 2018</w:t>
        </w:r>
      </w:hyperlink>
    </w:p>
    <w:p w14:paraId="031FC629"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3" w:history="1">
        <w:r w:rsidRPr="00A94875">
          <w:rPr>
            <w:rStyle w:val="Hyperlink"/>
            <w:rFonts w:eastAsiaTheme="majorEastAsia" w:cstheme="majorBidi"/>
            <w:sz w:val="24"/>
            <w:szCs w:val="24"/>
            <w:lang w:val="en-GB"/>
          </w:rPr>
          <w:t>Executive summary, July 2018</w:t>
        </w:r>
      </w:hyperlink>
    </w:p>
    <w:p w14:paraId="7501B97B"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4" w:history="1">
        <w:r w:rsidRPr="00A94875">
          <w:rPr>
            <w:rStyle w:val="Hyperlink"/>
            <w:rFonts w:eastAsiaTheme="majorEastAsia" w:cstheme="majorBidi"/>
            <w:sz w:val="24"/>
            <w:szCs w:val="24"/>
            <w:lang w:val="en-GB"/>
          </w:rPr>
          <w:t>Executive summary, October 2018</w:t>
        </w:r>
      </w:hyperlink>
    </w:p>
    <w:p w14:paraId="5E35926E"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5" w:history="1">
        <w:r w:rsidRPr="00A94875">
          <w:rPr>
            <w:rStyle w:val="Hyperlink"/>
            <w:rFonts w:eastAsiaTheme="majorEastAsia" w:cstheme="majorBidi"/>
            <w:sz w:val="24"/>
            <w:szCs w:val="24"/>
            <w:lang w:val="en-GB"/>
          </w:rPr>
          <w:t>Executive summary, July 2018</w:t>
        </w:r>
      </w:hyperlink>
    </w:p>
    <w:p w14:paraId="483F6259"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6" w:history="1">
        <w:r w:rsidRPr="00A94875">
          <w:rPr>
            <w:rStyle w:val="Hyperlink"/>
            <w:rFonts w:eastAsiaTheme="majorEastAsia" w:cstheme="majorBidi"/>
            <w:sz w:val="24"/>
            <w:szCs w:val="24"/>
            <w:lang w:val="en-GB"/>
          </w:rPr>
          <w:t>Executive summary, September 2018</w:t>
        </w:r>
      </w:hyperlink>
    </w:p>
    <w:p w14:paraId="42ACC8BF"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20 (IoT and smart cities): </w:t>
      </w:r>
      <w:hyperlink r:id="rId47" w:history="1">
        <w:r w:rsidRPr="00A94875">
          <w:rPr>
            <w:rStyle w:val="Hyperlink"/>
            <w:rFonts w:eastAsiaTheme="majorEastAsia" w:cstheme="majorBidi"/>
            <w:sz w:val="24"/>
            <w:szCs w:val="24"/>
            <w:lang w:val="en-GB"/>
          </w:rPr>
          <w:t>Executive summary, May 2018</w:t>
        </w:r>
      </w:hyperlink>
    </w:p>
    <w:p w14:paraId="799E2E1C" w14:textId="77777777" w:rsidR="003B32AB" w:rsidRPr="00A94875" w:rsidRDefault="003B32AB" w:rsidP="003B32AB">
      <w:pPr>
        <w:pStyle w:val="ListParagraph"/>
        <w:rPr>
          <w:rFonts w:asciiTheme="majorBidi" w:hAnsiTheme="majorBidi" w:cstheme="majorBidi"/>
          <w:szCs w:val="24"/>
          <w:lang w:val="en-GB"/>
        </w:rPr>
      </w:pPr>
    </w:p>
    <w:p w14:paraId="445BE980"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15199AC2" w14:textId="77777777" w:rsidR="003B32AB" w:rsidRPr="00A94875" w:rsidRDefault="006126E3" w:rsidP="003B32AB">
      <w:pPr>
        <w:pStyle w:val="ListParagraph"/>
        <w:numPr>
          <w:ilvl w:val="0"/>
          <w:numId w:val="42"/>
        </w:numPr>
        <w:spacing w:after="160" w:line="259" w:lineRule="auto"/>
        <w:rPr>
          <w:rFonts w:asciiTheme="majorBidi" w:hAnsiTheme="majorBidi" w:cstheme="majorBidi"/>
          <w:sz w:val="24"/>
          <w:szCs w:val="24"/>
          <w:lang w:val="en-GB"/>
        </w:rPr>
      </w:pPr>
      <w:hyperlink r:id="rId48" w:history="1">
        <w:r w:rsidR="003B32AB" w:rsidRPr="00A94875">
          <w:rPr>
            <w:rStyle w:val="Hyperlink"/>
            <w:rFonts w:eastAsiaTheme="majorEastAsia" w:cstheme="majorBidi"/>
            <w:sz w:val="24"/>
            <w:szCs w:val="24"/>
            <w:lang w:val="en-GB"/>
          </w:rPr>
          <w:t>Progress update on ITU standardization for transport, access and home</w:t>
        </w:r>
      </w:hyperlink>
    </w:p>
    <w:p w14:paraId="1252D45A"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Video will account for over 80 per cent of all Internet traffic by 2020. This collaborative video work of IEC, ISO and ITU </w:t>
      </w:r>
      <w:proofErr w:type="gramStart"/>
      <w:r w:rsidRPr="00A94875">
        <w:rPr>
          <w:rFonts w:asciiTheme="majorBidi" w:hAnsiTheme="majorBidi" w:cstheme="majorBidi"/>
        </w:rPr>
        <w:t>has been honoured</w:t>
      </w:r>
      <w:proofErr w:type="gramEnd"/>
      <w:r w:rsidRPr="00A94875">
        <w:rPr>
          <w:rFonts w:asciiTheme="majorBidi" w:hAnsiTheme="majorBidi" w:cstheme="majorBidi"/>
        </w:rPr>
        <w:t xml:space="preserve"> with two Primetime Emmy Awards, the first in 2008 in recognition of ITU H.264 'Advanced Video Coding' and the second in 2017 in recognition of ITU H.265 'High Efficiency Video Coding'. The new Versatile Video Coding projects is reporting strong progress. </w:t>
      </w:r>
    </w:p>
    <w:p w14:paraId="0EA94C4D" w14:textId="77777777" w:rsidR="003B32AB" w:rsidRPr="00A94875" w:rsidRDefault="006126E3" w:rsidP="003B32AB">
      <w:pPr>
        <w:pStyle w:val="ListParagraph"/>
        <w:numPr>
          <w:ilvl w:val="0"/>
          <w:numId w:val="41"/>
        </w:numPr>
        <w:spacing w:after="160" w:line="259" w:lineRule="auto"/>
        <w:rPr>
          <w:rFonts w:asciiTheme="majorBidi" w:hAnsiTheme="majorBidi" w:cstheme="majorBidi"/>
          <w:sz w:val="24"/>
          <w:szCs w:val="24"/>
          <w:lang w:val="en-GB"/>
        </w:rPr>
      </w:pPr>
      <w:hyperlink r:id="rId49" w:history="1">
        <w:r w:rsidR="003B32AB" w:rsidRPr="00A94875">
          <w:rPr>
            <w:rStyle w:val="Hyperlink"/>
            <w:rFonts w:eastAsiaTheme="majorEastAsia" w:cstheme="majorBidi"/>
            <w:sz w:val="24"/>
            <w:szCs w:val="24"/>
            <w:lang w:val="en-GB"/>
          </w:rPr>
          <w:t>Beyond HEVC: Versatile Video Coding project starts strongly</w:t>
        </w:r>
      </w:hyperlink>
      <w:r w:rsidR="003B32AB" w:rsidRPr="00A94875">
        <w:rPr>
          <w:rFonts w:asciiTheme="majorBidi" w:hAnsiTheme="majorBidi" w:cstheme="majorBidi"/>
          <w:sz w:val="24"/>
          <w:szCs w:val="24"/>
          <w:lang w:val="en-GB"/>
        </w:rPr>
        <w:t xml:space="preserve"> </w:t>
      </w:r>
    </w:p>
    <w:p w14:paraId="0FE0E404"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High priority </w:t>
      </w:r>
      <w:proofErr w:type="gramStart"/>
      <w:r w:rsidRPr="00A94875">
        <w:rPr>
          <w:rFonts w:asciiTheme="majorBidi" w:hAnsiTheme="majorBidi" w:cstheme="majorBidi"/>
        </w:rPr>
        <w:t>has been assigned</w:t>
      </w:r>
      <w:proofErr w:type="gramEnd"/>
      <w:r w:rsidRPr="00A94875">
        <w:rPr>
          <w:rFonts w:asciiTheme="majorBidi" w:hAnsiTheme="majorBidi" w:cstheme="majorBidi"/>
        </w:rPr>
        <w:t xml:space="preserve">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41983037" w14:textId="77777777" w:rsidR="003B32AB" w:rsidRPr="00A94875" w:rsidRDefault="006126E3" w:rsidP="003B32AB">
      <w:pPr>
        <w:pStyle w:val="ListParagraph"/>
        <w:numPr>
          <w:ilvl w:val="0"/>
          <w:numId w:val="40"/>
        </w:numPr>
        <w:spacing w:after="160" w:line="259" w:lineRule="auto"/>
        <w:rPr>
          <w:rFonts w:asciiTheme="majorBidi" w:hAnsiTheme="majorBidi" w:cstheme="majorBidi"/>
          <w:sz w:val="24"/>
          <w:szCs w:val="24"/>
          <w:lang w:val="en-GB"/>
        </w:rPr>
      </w:pPr>
      <w:hyperlink r:id="rId50" w:history="1">
        <w:r w:rsidR="003B32AB" w:rsidRPr="00A94875">
          <w:rPr>
            <w:rStyle w:val="Hyperlink"/>
            <w:rFonts w:eastAsiaTheme="majorEastAsia" w:cstheme="majorBidi"/>
            <w:sz w:val="24"/>
            <w:szCs w:val="24"/>
            <w:lang w:val="en-GB"/>
          </w:rPr>
          <w:t>ITU-T Study Group 15 accelerates work on 5G transport</w:t>
        </w:r>
      </w:hyperlink>
    </w:p>
    <w:p w14:paraId="067E81C1"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3E447F70" w14:textId="77777777" w:rsidR="003B32AB" w:rsidRPr="00A94875" w:rsidRDefault="006126E3" w:rsidP="003B32AB">
      <w:pPr>
        <w:pStyle w:val="ListParagraph"/>
        <w:numPr>
          <w:ilvl w:val="0"/>
          <w:numId w:val="39"/>
        </w:numPr>
        <w:spacing w:after="160" w:line="259" w:lineRule="auto"/>
        <w:rPr>
          <w:rFonts w:asciiTheme="majorBidi" w:hAnsiTheme="majorBidi" w:cstheme="majorBidi"/>
          <w:sz w:val="24"/>
          <w:szCs w:val="24"/>
          <w:lang w:val="en-GB"/>
        </w:rPr>
      </w:pPr>
      <w:hyperlink r:id="rId51" w:history="1">
        <w:r w:rsidR="003B32AB" w:rsidRPr="00A94875">
          <w:rPr>
            <w:rStyle w:val="Hyperlink"/>
            <w:rFonts w:eastAsiaTheme="majorEastAsia" w:cstheme="majorBidi"/>
            <w:sz w:val="24"/>
            <w:szCs w:val="24"/>
            <w:lang w:val="en-GB"/>
          </w:rPr>
          <w:t>New ITU case study maps the Moscow ‘smart city’ journey</w:t>
        </w:r>
      </w:hyperlink>
    </w:p>
    <w:p w14:paraId="64D9B99C" w14:textId="77777777" w:rsidR="003B32AB" w:rsidRPr="00A94875" w:rsidRDefault="003B32AB" w:rsidP="003B32AB">
      <w:pPr>
        <w:rPr>
          <w:rFonts w:asciiTheme="majorBidi" w:hAnsiTheme="majorBidi" w:cstheme="majorBidi"/>
        </w:rPr>
      </w:pPr>
      <w:r w:rsidRPr="00A94875">
        <w:rPr>
          <w:rFonts w:asciiTheme="majorBidi" w:hAnsiTheme="majorBidi" w:cstheme="majorBidi"/>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rPr>
        <w:t>Calls for Proposals</w:t>
      </w:r>
      <w:r w:rsidRPr="00A94875">
        <w:rPr>
          <w:rFonts w:asciiTheme="majorBidi" w:hAnsiTheme="majorBidi" w:cstheme="majorBidi"/>
        </w:rPr>
        <w:t xml:space="preserve"> will guide the Focus Group’s development of evaluation methods to assess the degree to which ‘AI for Health’ use cases have achieved Proof of Concept.</w:t>
      </w:r>
    </w:p>
    <w:p w14:paraId="0FB29248" w14:textId="77777777" w:rsidR="003B32AB" w:rsidRPr="00A94875" w:rsidRDefault="006126E3" w:rsidP="003B32AB">
      <w:pPr>
        <w:pStyle w:val="ListParagraph"/>
        <w:numPr>
          <w:ilvl w:val="0"/>
          <w:numId w:val="38"/>
        </w:numPr>
        <w:spacing w:after="160" w:line="259" w:lineRule="auto"/>
        <w:rPr>
          <w:rFonts w:asciiTheme="majorBidi" w:hAnsiTheme="majorBidi" w:cstheme="majorBidi"/>
          <w:sz w:val="24"/>
          <w:szCs w:val="24"/>
          <w:lang w:val="en-GB"/>
        </w:rPr>
      </w:pPr>
      <w:hyperlink r:id="rId52" w:history="1">
        <w:r w:rsidR="003B32AB" w:rsidRPr="00A94875">
          <w:rPr>
            <w:rStyle w:val="Hyperlink"/>
            <w:rFonts w:eastAsiaTheme="majorEastAsia" w:cstheme="majorBidi"/>
            <w:sz w:val="24"/>
            <w:szCs w:val="24"/>
            <w:lang w:val="en-GB"/>
          </w:rPr>
          <w:t>Artificial Intelligence for Health: ITU and WHO call for proposals</w:t>
        </w:r>
      </w:hyperlink>
    </w:p>
    <w:p w14:paraId="50A28A41" w14:textId="77777777" w:rsidR="003B32AB" w:rsidRPr="00A94875" w:rsidRDefault="003B32AB" w:rsidP="003B32AB">
      <w:pPr>
        <w:rPr>
          <w:rFonts w:asciiTheme="majorBidi" w:hAnsiTheme="majorBidi" w:cstheme="majorBidi"/>
        </w:rPr>
      </w:pPr>
      <w:r w:rsidRPr="00A94875">
        <w:rPr>
          <w:rFonts w:asciiTheme="majorBidi" w:hAnsiTheme="majorBidi" w:cstheme="majorBidi"/>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069EBF00" w14:textId="77777777" w:rsidR="003B32AB" w:rsidRPr="00A94875" w:rsidRDefault="006126E3" w:rsidP="003B32AB">
      <w:pPr>
        <w:pStyle w:val="ListParagraph"/>
        <w:numPr>
          <w:ilvl w:val="0"/>
          <w:numId w:val="37"/>
        </w:numPr>
        <w:spacing w:after="160" w:line="259" w:lineRule="auto"/>
        <w:rPr>
          <w:rFonts w:asciiTheme="majorBidi" w:hAnsiTheme="majorBidi" w:cstheme="majorBidi"/>
          <w:sz w:val="24"/>
          <w:szCs w:val="24"/>
          <w:lang w:val="en-GB"/>
        </w:rPr>
      </w:pPr>
      <w:hyperlink r:id="rId53" w:history="1">
        <w:r w:rsidR="003B32AB" w:rsidRPr="00A94875">
          <w:rPr>
            <w:rStyle w:val="Hyperlink"/>
            <w:rFonts w:eastAsiaTheme="majorEastAsia" w:cstheme="majorBidi"/>
            <w:sz w:val="24"/>
            <w:szCs w:val="24"/>
            <w:lang w:val="en-GB"/>
          </w:rPr>
          <w:t>Listen responsibly: New ITU standard to prevent audio devices from causing hearing loss</w:t>
        </w:r>
      </w:hyperlink>
    </w:p>
    <w:p w14:paraId="13121F3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New and updated conformance testing specifications for the ITU-T H.810 Continua Design Guidelines (CDG) in the ITU-T H.810-series of Recommendations reflect updates contained in </w:t>
      </w:r>
      <w:proofErr w:type="gramStart"/>
      <w:r w:rsidRPr="00A94875">
        <w:rPr>
          <w:rFonts w:asciiTheme="majorBidi" w:hAnsiTheme="majorBidi" w:cstheme="majorBidi"/>
        </w:rPr>
        <w:t>4th</w:t>
      </w:r>
      <w:proofErr w:type="gramEnd"/>
      <w:r w:rsidRPr="00A94875">
        <w:rPr>
          <w:rFonts w:asciiTheme="majorBidi" w:hAnsiTheme="majorBidi" w:cstheme="majorBidi"/>
        </w:rPr>
        <w:t xml:space="preserve"> edition ("Keratin", CDG 2017), with 6 new and 7 revised draft texts under approval. The updates cover testing for new device specializations for power status monitoring and updated glucose monitors, and updates the PCD-1 observation upload capability. ITU-T H.820 contains an overall </w:t>
      </w:r>
      <w:proofErr w:type="gramStart"/>
      <w:r w:rsidRPr="00A94875">
        <w:rPr>
          <w:rFonts w:asciiTheme="majorBidi" w:hAnsiTheme="majorBidi" w:cstheme="majorBidi"/>
        </w:rPr>
        <w:t>conformity assessment test plan</w:t>
      </w:r>
      <w:proofErr w:type="gramEnd"/>
      <w:r w:rsidRPr="00A94875">
        <w:rPr>
          <w:rFonts w:asciiTheme="majorBidi" w:hAnsiTheme="majorBidi" w:cstheme="majorBidi"/>
        </w:rPr>
        <w:t xml:space="preserve"> for testing conformance for H.810 systems.</w:t>
      </w:r>
    </w:p>
    <w:p w14:paraId="394568DD" w14:textId="77777777" w:rsidR="003B32AB" w:rsidRPr="00A94875" w:rsidRDefault="006126E3" w:rsidP="003B32AB">
      <w:pPr>
        <w:pStyle w:val="ListParagraph"/>
        <w:numPr>
          <w:ilvl w:val="0"/>
          <w:numId w:val="36"/>
        </w:numPr>
        <w:spacing w:after="160" w:line="259" w:lineRule="auto"/>
        <w:rPr>
          <w:rFonts w:asciiTheme="majorBidi" w:hAnsiTheme="majorBidi" w:cstheme="majorBidi"/>
          <w:sz w:val="24"/>
          <w:szCs w:val="24"/>
          <w:lang w:val="en-GB"/>
        </w:rPr>
      </w:pPr>
      <w:hyperlink r:id="rId54" w:history="1">
        <w:r w:rsidR="003B32AB" w:rsidRPr="00A94875">
          <w:rPr>
            <w:rStyle w:val="Hyperlink"/>
            <w:rFonts w:eastAsiaTheme="majorEastAsia" w:cstheme="majorBidi"/>
            <w:sz w:val="24"/>
            <w:szCs w:val="24"/>
            <w:lang w:val="en-GB"/>
          </w:rPr>
          <w:t>Progress update on ITU standardization for e-health</w:t>
        </w:r>
      </w:hyperlink>
      <w:r w:rsidR="003B32AB" w:rsidRPr="00A94875">
        <w:rPr>
          <w:rFonts w:asciiTheme="majorBidi" w:hAnsiTheme="majorBidi" w:cstheme="majorBidi"/>
          <w:sz w:val="24"/>
          <w:szCs w:val="24"/>
          <w:lang w:val="en-GB"/>
        </w:rPr>
        <w:t xml:space="preserve"> </w:t>
      </w:r>
    </w:p>
    <w:p w14:paraId="36D4A9DF"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14:paraId="1785A3B6" w14:textId="77777777" w:rsidR="003B32AB" w:rsidRPr="00A94875" w:rsidRDefault="006126E3" w:rsidP="003B32AB">
      <w:pPr>
        <w:pStyle w:val="ListParagraph"/>
        <w:numPr>
          <w:ilvl w:val="0"/>
          <w:numId w:val="35"/>
        </w:numPr>
        <w:spacing w:after="160" w:line="259" w:lineRule="auto"/>
        <w:rPr>
          <w:rFonts w:asciiTheme="majorBidi" w:hAnsiTheme="majorBidi" w:cstheme="majorBidi"/>
          <w:sz w:val="24"/>
          <w:szCs w:val="24"/>
          <w:lang w:val="en-GB"/>
        </w:rPr>
      </w:pPr>
      <w:hyperlink r:id="rId55" w:history="1">
        <w:r w:rsidR="003B32AB" w:rsidRPr="00A94875">
          <w:rPr>
            <w:rStyle w:val="Hyperlink"/>
            <w:rFonts w:eastAsiaTheme="majorEastAsia" w:cstheme="majorBidi"/>
            <w:sz w:val="24"/>
            <w:szCs w:val="24"/>
            <w:lang w:val="en-GB"/>
          </w:rPr>
          <w:t>ITU workshop on Quality of Service regulation</w:t>
        </w:r>
      </w:hyperlink>
    </w:p>
    <w:p w14:paraId="7CE62C78"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2544F001" w14:textId="77777777" w:rsidR="003B32AB" w:rsidRPr="00A94875" w:rsidRDefault="006126E3" w:rsidP="003B32AB">
      <w:pPr>
        <w:pStyle w:val="ListParagraph"/>
        <w:numPr>
          <w:ilvl w:val="0"/>
          <w:numId w:val="34"/>
        </w:numPr>
        <w:spacing w:after="160" w:line="259" w:lineRule="auto"/>
        <w:rPr>
          <w:rFonts w:asciiTheme="majorBidi" w:hAnsiTheme="majorBidi" w:cstheme="majorBidi"/>
          <w:sz w:val="24"/>
          <w:szCs w:val="24"/>
          <w:lang w:val="en-GB"/>
        </w:rPr>
      </w:pPr>
      <w:hyperlink r:id="rId56" w:history="1">
        <w:r w:rsidR="003B32AB" w:rsidRPr="00A94875">
          <w:rPr>
            <w:rStyle w:val="Hyperlink"/>
            <w:rFonts w:eastAsiaTheme="majorEastAsia" w:cstheme="majorBidi"/>
            <w:sz w:val="24"/>
            <w:szCs w:val="24"/>
            <w:lang w:val="en-GB"/>
          </w:rPr>
          <w:t>Progress update on ITU standardization for economic and policy issues</w:t>
        </w:r>
      </w:hyperlink>
    </w:p>
    <w:p w14:paraId="60B82C4E"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 new ITU standard under approval provides a framework for solution to combat counterfeit ICT devices. </w:t>
      </w:r>
      <w:proofErr w:type="gramStart"/>
      <w:r w:rsidRPr="00A94875">
        <w:rPr>
          <w:rFonts w:asciiTheme="majorBidi" w:hAnsiTheme="majorBidi" w:cstheme="majorBidi"/>
        </w:rPr>
        <w:t>This area of work continues to accelerate and has expanded to combat counterfeiting as well as the theft of mobile devices.</w:t>
      </w:r>
      <w:proofErr w:type="gramEnd"/>
      <w:r w:rsidRPr="00A94875">
        <w:rPr>
          <w:rFonts w:asciiTheme="majorBidi" w:hAnsiTheme="majorBidi" w:cstheme="majorBidi"/>
        </w:rPr>
        <w:t xml:space="preserve"> Renewed emphasis has been placed on the need to concerns surrounding the tampering with or cloning of ICT device identifiers.</w:t>
      </w:r>
    </w:p>
    <w:p w14:paraId="1488934A" w14:textId="77777777" w:rsidR="003B32AB" w:rsidRPr="00A94875" w:rsidRDefault="006126E3" w:rsidP="003B32AB">
      <w:pPr>
        <w:pStyle w:val="ListParagraph"/>
        <w:numPr>
          <w:ilvl w:val="0"/>
          <w:numId w:val="33"/>
        </w:numPr>
        <w:spacing w:after="160" w:line="259" w:lineRule="auto"/>
        <w:rPr>
          <w:rFonts w:asciiTheme="majorBidi" w:hAnsiTheme="majorBidi" w:cstheme="majorBidi"/>
          <w:sz w:val="24"/>
          <w:szCs w:val="24"/>
          <w:lang w:val="en-GB"/>
        </w:rPr>
      </w:pPr>
      <w:hyperlink r:id="rId57" w:history="1">
        <w:r w:rsidR="003B32AB" w:rsidRPr="00A94875">
          <w:rPr>
            <w:rStyle w:val="Hyperlink"/>
            <w:rFonts w:eastAsiaTheme="majorEastAsia" w:cstheme="majorBidi"/>
            <w:sz w:val="24"/>
            <w:szCs w:val="24"/>
            <w:lang w:val="en-GB"/>
          </w:rPr>
          <w:t>Combating counterfeit and stolen ICT devices: ITU workshop renews international commitment</w:t>
        </w:r>
      </w:hyperlink>
    </w:p>
    <w:p w14:paraId="5687476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14:paraId="1ECA8213" w14:textId="77777777" w:rsidR="003B32AB" w:rsidRPr="00950992" w:rsidRDefault="006126E3" w:rsidP="003B32AB">
      <w:pPr>
        <w:pStyle w:val="ListParagraph"/>
        <w:numPr>
          <w:ilvl w:val="0"/>
          <w:numId w:val="32"/>
        </w:numPr>
        <w:spacing w:after="160" w:line="259" w:lineRule="auto"/>
        <w:rPr>
          <w:rStyle w:val="Hyperlink"/>
          <w:rFonts w:cstheme="majorBidi"/>
          <w:sz w:val="24"/>
          <w:szCs w:val="24"/>
          <w:lang w:val="en-GB"/>
        </w:rPr>
      </w:pPr>
      <w:hyperlink r:id="rId58" w:history="1">
        <w:r w:rsidR="003B32AB" w:rsidRPr="00A94875">
          <w:rPr>
            <w:rStyle w:val="Hyperlink"/>
            <w:rFonts w:eastAsiaTheme="majorEastAsia" w:cstheme="majorBidi"/>
            <w:sz w:val="24"/>
            <w:szCs w:val="24"/>
            <w:lang w:val="en-GB"/>
          </w:rPr>
          <w:t>Progress update on ITU standardization for VoLTE/ViLTE</w:t>
        </w:r>
      </w:hyperlink>
      <w:bookmarkEnd w:id="9"/>
      <w:bookmarkEnd w:id="10"/>
      <w:bookmarkEnd w:id="20"/>
    </w:p>
    <w:p w14:paraId="59ECD5F6"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Quantum safe communications and quantum key distribution are new study areas </w:t>
      </w:r>
      <w:proofErr w:type="gramStart"/>
      <w:r w:rsidRPr="00A94875">
        <w:rPr>
          <w:rFonts w:asciiTheme="majorBidi" w:hAnsiTheme="majorBidi" w:cstheme="majorBidi"/>
        </w:rPr>
        <w:t>being tackled</w:t>
      </w:r>
      <w:proofErr w:type="gramEnd"/>
      <w:r w:rsidRPr="00A94875">
        <w:rPr>
          <w:rFonts w:asciiTheme="majorBidi" w:hAnsiTheme="majorBidi" w:cstheme="majorBidi"/>
        </w:rPr>
        <w:t xml:space="preserve"> by ITU Study Group 13 and ITU-T Study Group 17, where also new members have joined ITU-T.</w:t>
      </w:r>
    </w:p>
    <w:p w14:paraId="6DD92E02" w14:textId="77777777" w:rsidR="003B32AB" w:rsidRPr="00950992" w:rsidRDefault="003B32AB" w:rsidP="003B32AB">
      <w:pPr>
        <w:spacing w:after="160" w:line="259" w:lineRule="auto"/>
        <w:rPr>
          <w:rFonts w:asciiTheme="majorBidi" w:hAnsiTheme="majorBidi" w:cstheme="majorBidi"/>
        </w:rPr>
      </w:pPr>
    </w:p>
    <w:p w14:paraId="3FC6F54B" w14:textId="77777777" w:rsidR="003B32AB" w:rsidRPr="00A94875" w:rsidRDefault="003B32AB" w:rsidP="003B32AB">
      <w:pPr>
        <w:pStyle w:val="Heading1"/>
        <w:rPr>
          <w:rFonts w:asciiTheme="majorBidi" w:eastAsiaTheme="minorEastAsia" w:hAnsiTheme="majorBidi" w:cstheme="majorBidi"/>
        </w:rPr>
      </w:pPr>
      <w:bookmarkStart w:id="21" w:name="_2.8_IPTV_and"/>
      <w:bookmarkStart w:id="22" w:name="a353677d2-7347-4cd3-8301-15d8ee365aeb"/>
      <w:bookmarkStart w:id="23" w:name="_3.4_e-Health"/>
      <w:bookmarkStart w:id="24" w:name="_3.6_Aviation_applications"/>
      <w:bookmarkStart w:id="25" w:name="_Toc416161352"/>
      <w:bookmarkStart w:id="26" w:name="_Toc438553972"/>
      <w:bookmarkStart w:id="27" w:name="_Toc453929091"/>
      <w:bookmarkStart w:id="28" w:name="_Toc453932962"/>
      <w:bookmarkStart w:id="29" w:name="_Toc454295868"/>
      <w:bookmarkStart w:id="30" w:name="_Toc462664223"/>
      <w:bookmarkStart w:id="31" w:name="_Toc480527817"/>
      <w:bookmarkStart w:id="32" w:name="_Toc530571847"/>
      <w:bookmarkStart w:id="33" w:name="_Toc531254849"/>
      <w:bookmarkEnd w:id="11"/>
      <w:bookmarkEnd w:id="12"/>
      <w:bookmarkEnd w:id="13"/>
      <w:bookmarkEnd w:id="14"/>
      <w:bookmarkEnd w:id="15"/>
      <w:bookmarkEnd w:id="16"/>
      <w:bookmarkEnd w:id="17"/>
      <w:bookmarkEnd w:id="21"/>
      <w:bookmarkEnd w:id="22"/>
      <w:bookmarkEnd w:id="23"/>
      <w:bookmarkEnd w:id="24"/>
      <w:r w:rsidRPr="00A94875">
        <w:rPr>
          <w:rFonts w:asciiTheme="majorBidi" w:eastAsiaTheme="minorEastAsia" w:hAnsiTheme="majorBidi" w:cstheme="majorBidi"/>
        </w:rPr>
        <w:lastRenderedPageBreak/>
        <w:t>2</w:t>
      </w:r>
      <w:r w:rsidRPr="00A94875">
        <w:rPr>
          <w:rFonts w:asciiTheme="majorBidi" w:eastAsiaTheme="minorEastAsia" w:hAnsiTheme="majorBidi" w:cstheme="majorBidi"/>
        </w:rPr>
        <w:tab/>
        <w:t>Conformity, interoperability</w:t>
      </w:r>
      <w:bookmarkEnd w:id="25"/>
      <w:r w:rsidRPr="00A94875">
        <w:rPr>
          <w:rFonts w:asciiTheme="majorBidi" w:eastAsiaTheme="minorEastAsia" w:hAnsiTheme="majorBidi" w:cstheme="majorBidi"/>
        </w:rPr>
        <w:t xml:space="preserve"> and testing</w:t>
      </w:r>
      <w:bookmarkEnd w:id="26"/>
      <w:bookmarkEnd w:id="27"/>
      <w:bookmarkEnd w:id="28"/>
      <w:bookmarkEnd w:id="29"/>
      <w:bookmarkEnd w:id="30"/>
      <w:bookmarkEnd w:id="31"/>
      <w:bookmarkEnd w:id="32"/>
      <w:bookmarkEnd w:id="33"/>
    </w:p>
    <w:p w14:paraId="4EBD0DBF" w14:textId="77777777" w:rsidR="003B32AB" w:rsidRPr="00A94875" w:rsidRDefault="003B32AB" w:rsidP="003B32AB">
      <w:pPr>
        <w:pStyle w:val="Heading2"/>
        <w:rPr>
          <w:rFonts w:asciiTheme="majorBidi" w:hAnsiTheme="majorBidi" w:cstheme="majorBidi"/>
        </w:rPr>
      </w:pPr>
      <w:bookmarkStart w:id="34" w:name="_Toc462664224"/>
      <w:bookmarkStart w:id="35" w:name="_Toc480527818"/>
      <w:bookmarkStart w:id="36" w:name="_Toc530571848"/>
      <w:bookmarkStart w:id="37" w:name="_Toc531254850"/>
      <w:bookmarkStart w:id="38" w:name="_Toc453929092"/>
      <w:bookmarkStart w:id="39" w:name="_Toc453932963"/>
      <w:bookmarkStart w:id="40" w:name="_Toc454295869"/>
      <w:r w:rsidRPr="00A94875">
        <w:rPr>
          <w:rFonts w:asciiTheme="majorBidi" w:hAnsiTheme="majorBidi" w:cstheme="majorBidi"/>
        </w:rPr>
        <w:t>2.1</w:t>
      </w:r>
      <w:r w:rsidRPr="00A94875">
        <w:rPr>
          <w:rFonts w:asciiTheme="majorBidi" w:hAnsiTheme="majorBidi" w:cstheme="majorBidi"/>
        </w:rPr>
        <w:tab/>
        <w:t>Conformance Assessment Steering Committee (CASC)</w:t>
      </w:r>
      <w:bookmarkEnd w:id="34"/>
      <w:bookmarkEnd w:id="35"/>
      <w:bookmarkEnd w:id="36"/>
      <w:bookmarkEnd w:id="37"/>
    </w:p>
    <w:p w14:paraId="45C52783" w14:textId="77777777" w:rsidR="003B32AB" w:rsidRPr="00A94875" w:rsidRDefault="003B32AB" w:rsidP="003B32AB">
      <w:pPr>
        <w:snapToGrid w:val="0"/>
        <w:rPr>
          <w:rFonts w:asciiTheme="majorBidi" w:hAnsiTheme="majorBidi" w:cstheme="majorBidi"/>
        </w:rPr>
      </w:pPr>
      <w:r w:rsidRPr="00A94875">
        <w:rPr>
          <w:rFonts w:asciiTheme="majorBidi" w:hAnsiTheme="majorBidi" w:cstheme="majorBidi"/>
        </w:rPr>
        <w:t xml:space="preserve">The main objective of ITU-T CASC is to set up criteria, rules and procedures to recognize Test Laboratories (TL) with competence in ITU-T Recommendation(s) and register these TLs in the ITU recognized TL list. This effort </w:t>
      </w:r>
      <w:proofErr w:type="gramStart"/>
      <w:r w:rsidRPr="00A94875">
        <w:rPr>
          <w:rFonts w:asciiTheme="majorBidi" w:hAnsiTheme="majorBidi" w:cstheme="majorBidi"/>
        </w:rPr>
        <w:t>is supported</w:t>
      </w:r>
      <w:proofErr w:type="gramEnd"/>
      <w:r w:rsidRPr="00A94875">
        <w:rPr>
          <w:rFonts w:asciiTheme="majorBidi" w:hAnsiTheme="majorBidi" w:cstheme="majorBidi"/>
        </w:rPr>
        <w:t xml:space="preserve">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14:paraId="37899F3D"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14:paraId="35AEA80D"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In July 2018, IEC presented the draft Operational Document (OD) named “ICT Laboratory Recognition Service on ITU–T Recommendations”, which specifies the requirements and processes of the ICT Laboratory Recognition Service based on ITU–T Recommendations. This service </w:t>
      </w:r>
      <w:proofErr w:type="gramStart"/>
      <w:r w:rsidRPr="00A94875">
        <w:rPr>
          <w:rFonts w:asciiTheme="majorBidi" w:hAnsiTheme="majorBidi" w:cstheme="majorBidi"/>
          <w:sz w:val="24"/>
          <w:szCs w:val="24"/>
          <w:lang w:val="en-GB"/>
        </w:rPr>
        <w:t>is based</w:t>
      </w:r>
      <w:proofErr w:type="gramEnd"/>
      <w:r w:rsidRPr="00A94875">
        <w:rPr>
          <w:rFonts w:asciiTheme="majorBidi" w:hAnsiTheme="majorBidi" w:cstheme="majorBidi"/>
          <w:sz w:val="24"/>
          <w:szCs w:val="24"/>
          <w:lang w:val="en-GB"/>
        </w:rPr>
        <w:t xml:space="preserve"> on IECEE peer assessment processes by using ITU-T recommendations and it will become a standalone service provided by IECEE CB scheme.</w:t>
      </w:r>
    </w:p>
    <w:p w14:paraId="0871B9BE"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 was decided to seek approval of the conceptual, draft, OD in IECEE first, and then CASC will develop its own </w:t>
      </w:r>
      <w:proofErr w:type="gramStart"/>
      <w:r w:rsidRPr="00A94875">
        <w:rPr>
          <w:rFonts w:asciiTheme="majorBidi" w:hAnsiTheme="majorBidi" w:cstheme="majorBidi"/>
          <w:sz w:val="24"/>
          <w:szCs w:val="24"/>
          <w:lang w:val="en-GB"/>
        </w:rPr>
        <w:t>guideline which</w:t>
      </w:r>
      <w:proofErr w:type="gramEnd"/>
      <w:r w:rsidRPr="00A94875">
        <w:rPr>
          <w:rFonts w:asciiTheme="majorBidi" w:hAnsiTheme="majorBidi" w:cstheme="majorBidi"/>
          <w:sz w:val="24"/>
          <w:szCs w:val="24"/>
          <w:lang w:val="en-GB"/>
        </w:rPr>
        <w:t xml:space="preserve"> would refer to the OD accordingly.</w:t>
      </w:r>
    </w:p>
    <w:p w14:paraId="0DEF5849"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9" w:history="1">
        <w:r w:rsidRPr="00A94875">
          <w:rPr>
            <w:rStyle w:val="Hyperlink"/>
            <w:rFonts w:cstheme="majorBidi"/>
            <w:sz w:val="24"/>
            <w:szCs w:val="24"/>
            <w:lang w:val="en-GB"/>
          </w:rPr>
          <w:t>web page</w:t>
        </w:r>
      </w:hyperlink>
      <w:r w:rsidRPr="00A94875">
        <w:rPr>
          <w:rFonts w:asciiTheme="majorBidi" w:hAnsiTheme="majorBidi" w:cstheme="majorBidi"/>
          <w:sz w:val="24"/>
          <w:szCs w:val="24"/>
          <w:lang w:val="en-GB"/>
        </w:rPr>
        <w:t>.</w:t>
      </w:r>
    </w:p>
    <w:p w14:paraId="321AAD15" w14:textId="77777777" w:rsidR="003B32AB" w:rsidRPr="00A94875" w:rsidRDefault="003B32AB" w:rsidP="003B32AB">
      <w:pPr>
        <w:pStyle w:val="Heading2"/>
        <w:rPr>
          <w:rFonts w:asciiTheme="majorBidi" w:hAnsiTheme="majorBidi" w:cstheme="majorBidi"/>
        </w:rPr>
      </w:pPr>
      <w:bookmarkStart w:id="41" w:name="_Toc462664225"/>
      <w:bookmarkStart w:id="42" w:name="_Toc480527819"/>
      <w:bookmarkStart w:id="43" w:name="_Toc530571849"/>
      <w:bookmarkStart w:id="44" w:name="_Toc531254851"/>
      <w:bookmarkStart w:id="45" w:name="_Toc453932965"/>
      <w:bookmarkStart w:id="46" w:name="_Toc438553975"/>
      <w:bookmarkStart w:id="47" w:name="_Toc453929094"/>
      <w:bookmarkStart w:id="48" w:name="_Toc454295871"/>
      <w:r w:rsidRPr="00A94875">
        <w:rPr>
          <w:rFonts w:asciiTheme="majorBidi" w:hAnsiTheme="majorBidi" w:cstheme="majorBidi"/>
        </w:rPr>
        <w:t>2.2</w:t>
      </w:r>
      <w:r w:rsidRPr="00A94875">
        <w:rPr>
          <w:rFonts w:asciiTheme="majorBidi" w:hAnsiTheme="majorBidi" w:cstheme="majorBidi"/>
        </w:rPr>
        <w:tab/>
        <w:t>ICT Product Conformity Database</w:t>
      </w:r>
      <w:bookmarkEnd w:id="41"/>
      <w:bookmarkEnd w:id="42"/>
      <w:bookmarkEnd w:id="43"/>
      <w:bookmarkEnd w:id="44"/>
    </w:p>
    <w:p w14:paraId="446EB9D3" w14:textId="77777777" w:rsidR="003B32AB" w:rsidRPr="00A94875" w:rsidRDefault="003B32AB" w:rsidP="003B32AB">
      <w:pPr>
        <w:rPr>
          <w:color w:val="555555"/>
          <w:sz w:val="21"/>
        </w:rPr>
      </w:pPr>
      <w:r w:rsidRPr="00A94875">
        <w:t>The “</w:t>
      </w:r>
      <w:hyperlink r:id="rId60" w:history="1">
        <w:r w:rsidRPr="00A94875">
          <w:rPr>
            <w:rStyle w:val="Hyperlink"/>
            <w:rFonts w:eastAsiaTheme="majorEastAsia"/>
          </w:rPr>
          <w:t>ICT product conformity database</w:t>
        </w:r>
      </w:hyperlink>
      <w:r w:rsidRPr="00A94875">
        <w:t xml:space="preserve">” enables industry to publicize the conformance of ICT products and services to ITU-T Recommendations, assisting users in their efforts to select standards-compliant products. Four categories of products and services </w:t>
      </w:r>
      <w:proofErr w:type="gramStart"/>
      <w:r w:rsidRPr="00A94875">
        <w:t>have been submitted</w:t>
      </w:r>
      <w:proofErr w:type="gramEnd"/>
      <w:r w:rsidRPr="00A94875">
        <w:t xml:space="preserve"> to the database:</w:t>
      </w:r>
    </w:p>
    <w:p w14:paraId="66DB9A28"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rPr>
          <w:i/>
        </w:rPr>
      </w:pPr>
      <w:proofErr w:type="gramStart"/>
      <w:r w:rsidRPr="00A94875">
        <w:rPr>
          <w:b/>
          <w:bCs/>
        </w:rPr>
        <w:t>e-Health</w:t>
      </w:r>
      <w:proofErr w:type="gramEnd"/>
      <w:r w:rsidRPr="00A94875">
        <w:t xml:space="preserve"> solutions complying with the specifications of ITU-T H.810 “Interoperability design guidelines for personal health systems”, a transposition of the Continua Design Guidelines.</w:t>
      </w:r>
      <w:r w:rsidRPr="00A94875">
        <w:br/>
      </w:r>
      <w:r w:rsidRPr="00A94875">
        <w:rPr>
          <w:i/>
        </w:rPr>
        <w:t xml:space="preserve">Note: Six new texts </w:t>
      </w:r>
      <w:proofErr w:type="gramStart"/>
      <w:r w:rsidRPr="00A94875">
        <w:rPr>
          <w:i/>
        </w:rPr>
        <w:t>were added</w:t>
      </w:r>
      <w:proofErr w:type="gramEnd"/>
      <w:r w:rsidRPr="00A94875">
        <w:rPr>
          <w:i/>
        </w:rPr>
        <w:t xml:space="preserve"> to the series of</w:t>
      </w:r>
      <w:r w:rsidRPr="00A94875">
        <w:rPr>
          <w:b/>
          <w:bCs/>
          <w:i/>
        </w:rPr>
        <w:t xml:space="preserve"> </w:t>
      </w:r>
      <w:r w:rsidRPr="00A94875">
        <w:rPr>
          <w:i/>
        </w:rPr>
        <w:t xml:space="preserve">Recommendations in the ITU-T H.820-H.850 series for conformance testing of e-Health solutions complying with the specifications of ITU-T H.810 “Interoperability design guidelines for personal health systems”. Seven existing testing specifications </w:t>
      </w:r>
      <w:proofErr w:type="gramStart"/>
      <w:r w:rsidRPr="00A94875">
        <w:rPr>
          <w:i/>
        </w:rPr>
        <w:t>were revised</w:t>
      </w:r>
      <w:proofErr w:type="gramEnd"/>
      <w:r w:rsidRPr="00A94875">
        <w:rPr>
          <w:i/>
        </w:rPr>
        <w:t xml:space="preserve">. The updates allow testing of implementations complying with the </w:t>
      </w:r>
      <w:proofErr w:type="gramStart"/>
      <w:r w:rsidRPr="00A94875">
        <w:rPr>
          <w:i/>
        </w:rPr>
        <w:t>4th</w:t>
      </w:r>
      <w:proofErr w:type="gramEnd"/>
      <w:r w:rsidRPr="00A94875">
        <w:rPr>
          <w:i/>
        </w:rPr>
        <w:t xml:space="preserve"> edition of ITU-T H.810.</w:t>
      </w:r>
    </w:p>
    <w:p w14:paraId="11B5EDD1"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A94875">
        <w:rPr>
          <w:b/>
          <w:bCs/>
        </w:rPr>
        <w:t>Mobile phones</w:t>
      </w:r>
      <w:r w:rsidRPr="00A94875">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0B711304"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bCs/>
        </w:rPr>
        <w:t xml:space="preserve">Ethernet </w:t>
      </w:r>
      <w:r w:rsidRPr="00A94875">
        <w:t xml:space="preserve">products complying with ITU-T G.8011/Y.1307 “Ethernet Services Characteristics”. This standard as well as the corresponding tests </w:t>
      </w:r>
      <w:proofErr w:type="gramStart"/>
      <w:r w:rsidRPr="00A94875">
        <w:t>are based</w:t>
      </w:r>
      <w:proofErr w:type="gramEnd"/>
      <w:r w:rsidRPr="00A94875">
        <w:t xml:space="preserve"> on the work of MEF (formerly called Metro Ethernet Forum).</w:t>
      </w:r>
    </w:p>
    <w:p w14:paraId="0BF33AC0"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bCs/>
        </w:rPr>
        <w:t xml:space="preserve">IPTV </w:t>
      </w:r>
      <w:r w:rsidRPr="00A94875">
        <w:t xml:space="preserve">products meet the requirements of </w:t>
      </w:r>
      <w:hyperlink r:id="rId61" w:history="1">
        <w:r w:rsidRPr="00A94875">
          <w:rPr>
            <w:rStyle w:val="Hyperlink"/>
            <w:rFonts w:cstheme="majorBidi"/>
          </w:rPr>
          <w:t>ITU-T H.721</w:t>
        </w:r>
      </w:hyperlink>
      <w:r w:rsidRPr="00A94875">
        <w:rPr>
          <w:rFonts w:asciiTheme="majorBidi" w:hAnsiTheme="majorBidi" w:cstheme="majorBidi"/>
        </w:rPr>
        <w:t xml:space="preserve"> </w:t>
      </w:r>
      <w:r w:rsidRPr="00A94875">
        <w:t xml:space="preserve">“IPTV terminal devices: Basic Model” and </w:t>
      </w:r>
      <w:hyperlink r:id="rId62" w:history="1">
        <w:r w:rsidRPr="00A94875">
          <w:rPr>
            <w:rStyle w:val="Hyperlink"/>
            <w:rFonts w:cstheme="majorBidi"/>
          </w:rPr>
          <w:t>ITU-T H.702</w:t>
        </w:r>
      </w:hyperlink>
      <w:r w:rsidRPr="00A94875">
        <w:rPr>
          <w:rFonts w:asciiTheme="majorBidi" w:hAnsiTheme="majorBidi" w:cstheme="majorBidi"/>
        </w:rPr>
        <w:t xml:space="preserve"> “</w:t>
      </w:r>
      <w:r w:rsidRPr="00A94875">
        <w:t xml:space="preserve">Accessibility profiles for IPTV systems”, tested to </w:t>
      </w:r>
      <w:hyperlink r:id="rId63" w:history="1">
        <w:r w:rsidRPr="00A94875">
          <w:rPr>
            <w:rStyle w:val="Hyperlink"/>
            <w:rFonts w:cstheme="majorBidi"/>
          </w:rPr>
          <w:t>HSTP-CONF H721</w:t>
        </w:r>
      </w:hyperlink>
      <w:r w:rsidRPr="00A94875">
        <w:rPr>
          <w:rFonts w:asciiTheme="majorBidi" w:hAnsiTheme="majorBidi" w:cstheme="majorBidi"/>
        </w:rPr>
        <w:t xml:space="preserve"> and </w:t>
      </w:r>
      <w:hyperlink r:id="rId64" w:history="1">
        <w:r w:rsidRPr="00A94875">
          <w:rPr>
            <w:rStyle w:val="Hyperlink"/>
            <w:rFonts w:cstheme="majorBidi"/>
          </w:rPr>
          <w:t>HSTP-CONF-H702</w:t>
        </w:r>
      </w:hyperlink>
      <w:r w:rsidRPr="00A94875">
        <w:rPr>
          <w:rStyle w:val="Hyperlink"/>
          <w:rFonts w:cstheme="majorBidi"/>
        </w:rPr>
        <w:t>.</w:t>
      </w:r>
    </w:p>
    <w:p w14:paraId="0D21975E"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rPr>
        <w:lastRenderedPageBreak/>
        <w:t>Mobile Number Portability (MNP)</w:t>
      </w:r>
      <w:r w:rsidRPr="00A94875">
        <w:t xml:space="preserve"> products comply with ITU-T Q.Suppl.4/ITU-T Q.3905.</w:t>
      </w:r>
    </w:p>
    <w:p w14:paraId="5CB8ACCA" w14:textId="77777777" w:rsidR="003B32AB" w:rsidRPr="00A94875" w:rsidRDefault="003B32AB" w:rsidP="003B32AB">
      <w:pPr>
        <w:rPr>
          <w:rFonts w:asciiTheme="majorBidi" w:hAnsiTheme="majorBidi" w:cstheme="majorBidi"/>
          <w:lang w:eastAsia="en-US"/>
        </w:rPr>
      </w:pPr>
      <w:r w:rsidRPr="00A94875">
        <w:rPr>
          <w:rFonts w:asciiTheme="majorBidi" w:hAnsiTheme="majorBidi" w:cstheme="majorBidi"/>
          <w:lang w:eastAsia="en-US"/>
        </w:rPr>
        <w:t xml:space="preserve">A Technical Paper FSTP-CONF-F921 </w:t>
      </w:r>
      <w:proofErr w:type="gramStart"/>
      <w:r w:rsidRPr="00A94875">
        <w:rPr>
          <w:rFonts w:asciiTheme="majorBidi" w:hAnsiTheme="majorBidi" w:cstheme="majorBidi"/>
          <w:lang w:eastAsia="en-US"/>
        </w:rPr>
        <w:t>was also approved</w:t>
      </w:r>
      <w:proofErr w:type="gramEnd"/>
      <w:r w:rsidRPr="00A94875">
        <w:rPr>
          <w:rFonts w:asciiTheme="majorBidi" w:hAnsiTheme="majorBidi" w:cstheme="majorBidi"/>
          <w:lang w:eastAsia="en-US"/>
        </w:rPr>
        <w:t>, which allows conformance testing of deployments of systems complying with Recommendation ITU-T F.921 "Audio-based indoor and outdoor network navigation system for persons with vision impairment".</w:t>
      </w:r>
    </w:p>
    <w:p w14:paraId="33C9B1B4" w14:textId="77777777" w:rsidR="003B32AB" w:rsidRPr="00A94875" w:rsidRDefault="003B32AB" w:rsidP="003B32AB">
      <w:pPr>
        <w:pStyle w:val="Heading2"/>
        <w:rPr>
          <w:rFonts w:asciiTheme="majorBidi" w:hAnsiTheme="majorBidi" w:cstheme="majorBidi"/>
        </w:rPr>
      </w:pPr>
      <w:bookmarkStart w:id="49" w:name="_Toc530571850"/>
      <w:bookmarkStart w:id="50" w:name="_Toc531254852"/>
      <w:r w:rsidRPr="00A94875">
        <w:rPr>
          <w:rFonts w:asciiTheme="majorBidi" w:hAnsiTheme="majorBidi" w:cstheme="majorBidi"/>
        </w:rPr>
        <w:t>2.3</w:t>
      </w:r>
      <w:r w:rsidRPr="00A94875">
        <w:rPr>
          <w:rFonts w:asciiTheme="majorBidi" w:hAnsiTheme="majorBidi" w:cstheme="majorBidi"/>
        </w:rPr>
        <w:tab/>
        <w:t>Testing Internet of Things</w:t>
      </w:r>
      <w:bookmarkEnd w:id="49"/>
      <w:bookmarkEnd w:id="50"/>
    </w:p>
    <w:p w14:paraId="5BB3049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 xml:space="preserve">Membership has approved the new ITU standard, Recommendation ITU-T Q.4060 “The structure of the testing of heterogeneous Internet of Things gateways in a laboratory environment”. Following the completion of this standard, a new subcategory of the Q.series </w:t>
      </w:r>
      <w:proofErr w:type="gramStart"/>
      <w:r w:rsidRPr="00A94875">
        <w:rPr>
          <w:rFonts w:asciiTheme="majorBidi" w:hAnsiTheme="majorBidi" w:cstheme="majorBidi"/>
          <w:bCs/>
        </w:rPr>
        <w:t>was established</w:t>
      </w:r>
      <w:proofErr w:type="gramEnd"/>
      <w:r w:rsidRPr="00A94875">
        <w:rPr>
          <w:rFonts w:asciiTheme="majorBidi" w:hAnsiTheme="majorBidi" w:cstheme="majorBidi"/>
          <w:bCs/>
        </w:rPr>
        <w:t>: Q.4060-Q.4099 “Testing specifications for IMT-2020 and IoT”.</w:t>
      </w:r>
    </w:p>
    <w:p w14:paraId="7DC398D3"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ITU-T is developing three work items on IoT testing:</w:t>
      </w:r>
    </w:p>
    <w:p w14:paraId="53CAC88B"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r w:rsidRPr="00A94875">
        <w:rPr>
          <w:rFonts w:asciiTheme="majorBidi" w:hAnsiTheme="majorBidi" w:cstheme="majorBidi"/>
          <w:bCs/>
        </w:rPr>
        <w:t>Q.39_FW_Test_ID_IoT “The framework of testing of identification systems used in IoT”</w:t>
      </w:r>
    </w:p>
    <w:p w14:paraId="257C59EF"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r w:rsidRPr="00A94875">
        <w:rPr>
          <w:rFonts w:asciiTheme="majorBidi" w:hAnsiTheme="majorBidi" w:cstheme="majorBidi"/>
          <w:bCs/>
        </w:rPr>
        <w:t>Q.TI-TEST “Framework of model network for Tactile Internet testing”</w:t>
      </w:r>
    </w:p>
    <w:p w14:paraId="2E92ECB5"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r w:rsidRPr="00A94875">
        <w:rPr>
          <w:rFonts w:asciiTheme="majorBidi" w:hAnsiTheme="majorBidi" w:cstheme="majorBidi"/>
          <w:bCs/>
        </w:rPr>
        <w:t>Q.FW_IoT/Test “Framework for IoT Testing”</w:t>
      </w:r>
    </w:p>
    <w:p w14:paraId="558FAF26" w14:textId="77777777" w:rsidR="003B32AB" w:rsidRPr="00A94875" w:rsidRDefault="003B32AB" w:rsidP="003B32AB">
      <w:pPr>
        <w:tabs>
          <w:tab w:val="left" w:pos="1134"/>
          <w:tab w:val="left" w:pos="1871"/>
          <w:tab w:val="left" w:pos="2268"/>
        </w:tabs>
        <w:rPr>
          <w:rFonts w:asciiTheme="majorBidi" w:hAnsiTheme="majorBidi" w:cstheme="majorBidi"/>
          <w:bCs/>
        </w:rPr>
      </w:pPr>
      <w:r w:rsidRPr="00A94875">
        <w:rPr>
          <w:rFonts w:asciiTheme="majorBidi" w:hAnsiTheme="majorBidi" w:cstheme="majorBidi"/>
          <w:bCs/>
        </w:rPr>
        <w:t xml:space="preserve">Membership has approved the following new standards:  </w:t>
      </w:r>
    </w:p>
    <w:p w14:paraId="043F2504" w14:textId="77777777" w:rsidR="003B32AB" w:rsidRPr="00A94875" w:rsidRDefault="003B32AB" w:rsidP="003B32AB">
      <w:pPr>
        <w:pStyle w:val="ListParagraph"/>
        <w:numPr>
          <w:ilvl w:val="0"/>
          <w:numId w:val="30"/>
        </w:numPr>
        <w:tabs>
          <w:tab w:val="left" w:pos="1134"/>
          <w:tab w:val="left" w:pos="1871"/>
          <w:tab w:val="left" w:pos="2268"/>
        </w:tabs>
        <w:spacing w:before="120" w:after="0" w:line="240" w:lineRule="auto"/>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14:paraId="057BC6A0" w14:textId="77777777" w:rsidR="003B32AB" w:rsidRPr="00A94875" w:rsidRDefault="003B32AB" w:rsidP="003B32AB">
      <w:pPr>
        <w:pStyle w:val="ListParagraph"/>
        <w:numPr>
          <w:ilvl w:val="0"/>
          <w:numId w:val="30"/>
        </w:numPr>
        <w:tabs>
          <w:tab w:val="left" w:pos="1134"/>
          <w:tab w:val="left" w:pos="1871"/>
          <w:tab w:val="left" w:pos="2268"/>
        </w:tabs>
        <w:spacing w:before="120" w:after="0" w:line="240" w:lineRule="auto"/>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14:paraId="787F9621" w14:textId="77777777" w:rsidR="003B32AB" w:rsidRPr="00A94875" w:rsidRDefault="003B32AB" w:rsidP="003B32AB">
      <w:pPr>
        <w:pStyle w:val="Heading1"/>
        <w:spacing w:before="240"/>
        <w:rPr>
          <w:rFonts w:asciiTheme="majorBidi" w:hAnsiTheme="majorBidi" w:cstheme="majorBidi"/>
          <w:b w:val="0"/>
          <w:bCs/>
          <w:sz w:val="22"/>
        </w:rPr>
      </w:pPr>
      <w:bookmarkStart w:id="51" w:name="_Toc438553988"/>
      <w:bookmarkStart w:id="52" w:name="_Toc453929112"/>
      <w:bookmarkStart w:id="53" w:name="_Toc453932983"/>
      <w:bookmarkStart w:id="54" w:name="_Toc454295889"/>
      <w:bookmarkStart w:id="55" w:name="_Toc462664270"/>
      <w:bookmarkStart w:id="56" w:name="_Toc480527824"/>
      <w:bookmarkStart w:id="57" w:name="_Toc530571851"/>
      <w:bookmarkStart w:id="58" w:name="_Toc531254853"/>
      <w:bookmarkStart w:id="59" w:name="_Toc416161354"/>
      <w:bookmarkStart w:id="60" w:name="_Toc438553977"/>
      <w:bookmarkStart w:id="61" w:name="_Toc453929096"/>
      <w:bookmarkStart w:id="62" w:name="_Toc453932967"/>
      <w:bookmarkStart w:id="63" w:name="_Toc454295873"/>
      <w:bookmarkStart w:id="64" w:name="_Toc462664237"/>
      <w:bookmarkEnd w:id="38"/>
      <w:bookmarkEnd w:id="39"/>
      <w:bookmarkEnd w:id="40"/>
      <w:bookmarkEnd w:id="45"/>
      <w:bookmarkEnd w:id="46"/>
      <w:bookmarkEnd w:id="47"/>
      <w:bookmarkEnd w:id="48"/>
      <w:r w:rsidRPr="00A94875">
        <w:rPr>
          <w:rFonts w:asciiTheme="majorBidi" w:eastAsiaTheme="minorEastAsia" w:hAnsiTheme="majorBidi" w:cstheme="majorBidi"/>
        </w:rPr>
        <w:t>3</w:t>
      </w:r>
      <w:r w:rsidRPr="00A94875">
        <w:rPr>
          <w:rFonts w:asciiTheme="majorBidi" w:eastAsiaTheme="minorEastAsia" w:hAnsiTheme="majorBidi" w:cstheme="majorBidi"/>
        </w:rPr>
        <w:tab/>
        <w:t>Accessible ITU-T meetings</w:t>
      </w:r>
      <w:bookmarkEnd w:id="51"/>
      <w:bookmarkEnd w:id="52"/>
      <w:bookmarkEnd w:id="53"/>
      <w:bookmarkEnd w:id="54"/>
      <w:bookmarkEnd w:id="55"/>
      <w:bookmarkEnd w:id="56"/>
      <w:bookmarkEnd w:id="57"/>
      <w:bookmarkEnd w:id="58"/>
    </w:p>
    <w:p w14:paraId="51AF5E0F"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 provides services such as sign-language interpretation and captioning, and financial support in some cases, to engage persons with disabilities in the ITU-T standardization process.</w:t>
      </w:r>
    </w:p>
    <w:p w14:paraId="4FB838D8"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As an activity of </w:t>
      </w:r>
      <w:hyperlink r:id="rId65" w:history="1">
        <w:r w:rsidRPr="00A94875">
          <w:rPr>
            <w:rStyle w:val="Hyperlink"/>
            <w:rFonts w:cstheme="majorBidi"/>
          </w:rPr>
          <w:t>JCA-AHF</w:t>
        </w:r>
      </w:hyperlink>
      <w:r w:rsidRPr="00A94875">
        <w:rPr>
          <w:rFonts w:asciiTheme="majorBidi" w:hAnsiTheme="majorBidi" w:cstheme="majorBidi"/>
        </w:rPr>
        <w:t xml:space="preserve"> in addition to its meetings (since last TSAG in February 2018, a meeting was held in Ljubljana, Slovenia on 18 July 2018, report is submitted to TSAG), JCA-AHF organized a workshop on “</w:t>
      </w:r>
      <w:hyperlink r:id="rId66" w:anchor="intro" w:history="1">
        <w:r w:rsidRPr="00A94875">
          <w:rPr>
            <w:rStyle w:val="Hyperlink"/>
            <w:rFonts w:cstheme="majorBidi"/>
          </w:rPr>
          <w:t>Achieving an inclusive society by designing and implementing accessible ICTs</w:t>
        </w:r>
      </w:hyperlink>
      <w:r w:rsidRPr="00A94875">
        <w:rPr>
          <w:rFonts w:asciiTheme="majorBidi" w:hAnsiTheme="majorBidi" w:cstheme="majorBidi"/>
        </w:rPr>
        <w:t xml:space="preserve">” on 22 March 2018 at </w:t>
      </w:r>
      <w:hyperlink r:id="rId67" w:anchor="intro" w:history="1">
        <w:r w:rsidRPr="00A94875">
          <w:rPr>
            <w:rStyle w:val="Hyperlink"/>
            <w:rFonts w:cstheme="majorBidi"/>
          </w:rPr>
          <w:t>WSIS Forum 2018</w:t>
        </w:r>
      </w:hyperlink>
      <w:r w:rsidRPr="00A94875">
        <w:rPr>
          <w:rFonts w:asciiTheme="majorBidi" w:hAnsiTheme="majorBidi" w:cstheme="majorBidi"/>
        </w:rPr>
        <w:t xml:space="preserve">. </w:t>
      </w:r>
    </w:p>
    <w:p w14:paraId="696996AD"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During this workshop, the first trial within ITU of remote American Sign Language (ASL) Interpretation </w:t>
      </w:r>
      <w:proofErr w:type="gramStart"/>
      <w:r w:rsidRPr="00A94875">
        <w:rPr>
          <w:rFonts w:asciiTheme="majorBidi" w:hAnsiTheme="majorBidi" w:cstheme="majorBidi"/>
        </w:rPr>
        <w:t>was successfully conducted</w:t>
      </w:r>
      <w:proofErr w:type="gramEnd"/>
      <w:r w:rsidRPr="00A94875">
        <w:rPr>
          <w:rFonts w:asciiTheme="majorBidi" w:hAnsiTheme="majorBidi" w:cstheme="majorBidi"/>
        </w:rPr>
        <w:t xml:space="preserve">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withing WSIS Forum 2018.</w:t>
      </w:r>
    </w:p>
    <w:p w14:paraId="12C64D62" w14:textId="77777777" w:rsidR="003B32AB" w:rsidRPr="00A94875" w:rsidRDefault="003B32AB" w:rsidP="003B32AB">
      <w:pPr>
        <w:pStyle w:val="Heading1"/>
        <w:rPr>
          <w:rFonts w:asciiTheme="majorBidi" w:eastAsiaTheme="minorEastAsia" w:hAnsiTheme="majorBidi" w:cstheme="majorBidi"/>
        </w:rPr>
      </w:pPr>
      <w:bookmarkStart w:id="65" w:name="_Toc480527828"/>
      <w:bookmarkStart w:id="66" w:name="_Toc530571852"/>
      <w:bookmarkStart w:id="67" w:name="_Toc531254854"/>
      <w:r w:rsidRPr="00A94875">
        <w:rPr>
          <w:rFonts w:asciiTheme="majorBidi" w:eastAsiaTheme="minorEastAsia" w:hAnsiTheme="majorBidi" w:cstheme="majorBidi"/>
        </w:rPr>
        <w:t>4</w:t>
      </w:r>
      <w:r w:rsidRPr="00A94875">
        <w:rPr>
          <w:rFonts w:asciiTheme="majorBidi" w:eastAsiaTheme="minorEastAsia" w:hAnsiTheme="majorBidi" w:cstheme="majorBidi"/>
        </w:rPr>
        <w:tab/>
        <w:t>Intellectual property rights</w:t>
      </w:r>
      <w:bookmarkEnd w:id="59"/>
      <w:bookmarkEnd w:id="60"/>
      <w:bookmarkEnd w:id="61"/>
      <w:bookmarkEnd w:id="62"/>
      <w:bookmarkEnd w:id="63"/>
      <w:bookmarkEnd w:id="64"/>
      <w:bookmarkEnd w:id="65"/>
      <w:bookmarkEnd w:id="66"/>
      <w:bookmarkEnd w:id="67"/>
    </w:p>
    <w:p w14:paraId="5C93569B"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 xml:space="preserve">The </w:t>
      </w:r>
      <w:hyperlink r:id="rId68" w:history="1">
        <w:r w:rsidRPr="00A94875">
          <w:rPr>
            <w:rStyle w:val="Hyperlink"/>
            <w:rFonts w:cstheme="majorBidi"/>
          </w:rPr>
          <w:t>TSB Director’s Ad Hoc Group on Intellectual Property Rights (IPR AHG)</w:t>
        </w:r>
      </w:hyperlink>
      <w:r w:rsidRPr="00A94875">
        <w:rPr>
          <w:rFonts w:asciiTheme="majorBidi" w:hAnsiTheme="majorBidi" w:cstheme="majorBidi"/>
        </w:rPr>
        <w:t xml:space="preserve"> continues its work to protect the integrity of the standards-development process by clarifying aspects of the </w:t>
      </w:r>
      <w:hyperlink r:id="rId69" w:history="1">
        <w:r w:rsidRPr="00A94875">
          <w:rPr>
            <w:rStyle w:val="Hyperlink"/>
            <w:rFonts w:cstheme="majorBidi"/>
          </w:rPr>
          <w:t>ITU-R/ITU-T/ISO/IEC Patent Policy and related Guidelines</w:t>
        </w:r>
      </w:hyperlink>
      <w:r w:rsidRPr="00A94875">
        <w:rPr>
          <w:rFonts w:asciiTheme="majorBidi" w:hAnsiTheme="majorBidi" w:cstheme="majorBidi"/>
        </w:rPr>
        <w:t xml:space="preserve"> – the Union's main tool to manage the challenges associated with the incorporation of patents in </w:t>
      </w:r>
      <w:hyperlink r:id="rId70" w:history="1">
        <w:r w:rsidRPr="00A94875">
          <w:rPr>
            <w:rStyle w:val="Hyperlink"/>
            <w:rFonts w:cstheme="majorBidi"/>
          </w:rPr>
          <w:t>ITU-T and ITU-R Recommendations</w:t>
        </w:r>
      </w:hyperlink>
      <w:bookmarkStart w:id="68" w:name="_10.1_TSB_Director's"/>
      <w:bookmarkEnd w:id="68"/>
      <w:r w:rsidRPr="00A94875">
        <w:rPr>
          <w:rFonts w:asciiTheme="majorBidi" w:hAnsiTheme="majorBidi" w:cstheme="majorBidi"/>
        </w:rPr>
        <w:t xml:space="preserve">. The next meeting of the group will take place in ITU headquarters in Geneva, 28 January 2019. The meeting </w:t>
      </w:r>
      <w:proofErr w:type="gramStart"/>
      <w:r w:rsidRPr="00A94875">
        <w:rPr>
          <w:rFonts w:asciiTheme="majorBidi" w:hAnsiTheme="majorBidi" w:cstheme="majorBidi"/>
        </w:rPr>
        <w:t>will be followed</w:t>
      </w:r>
      <w:proofErr w:type="gramEnd"/>
      <w:r w:rsidRPr="00A94875">
        <w:rPr>
          <w:rFonts w:asciiTheme="majorBidi" w:hAnsiTheme="majorBidi" w:cstheme="majorBidi"/>
        </w:rPr>
        <w:t xml:space="preserve"> by the third joint ITU-NGMN workshop on open source, 29-30 January 2019, and a meeting of the NGMN IPR Group, 31 January 2019.</w:t>
      </w:r>
    </w:p>
    <w:p w14:paraId="1B6E6661" w14:textId="77777777" w:rsidR="003B32AB" w:rsidRPr="00A94875" w:rsidRDefault="003B32AB" w:rsidP="003B32AB">
      <w:pPr>
        <w:pStyle w:val="Heading1"/>
        <w:rPr>
          <w:rFonts w:asciiTheme="majorBidi" w:hAnsiTheme="majorBidi" w:cstheme="majorBidi"/>
        </w:rPr>
      </w:pPr>
      <w:bookmarkStart w:id="69" w:name="_Toc480527831"/>
      <w:bookmarkStart w:id="70" w:name="_Toc530571853"/>
      <w:bookmarkStart w:id="71" w:name="_Toc531254855"/>
      <w:bookmarkStart w:id="72" w:name="_Toc438553939"/>
      <w:bookmarkStart w:id="73" w:name="_Toc453929065"/>
      <w:bookmarkStart w:id="74" w:name="_Toc453932937"/>
      <w:bookmarkStart w:id="75" w:name="_Toc454295841"/>
      <w:r w:rsidRPr="00A94875">
        <w:rPr>
          <w:rFonts w:asciiTheme="majorBidi" w:eastAsiaTheme="minorEastAsia" w:hAnsiTheme="majorBidi" w:cstheme="majorBidi"/>
        </w:rPr>
        <w:t>5</w:t>
      </w:r>
      <w:r w:rsidRPr="00A94875">
        <w:rPr>
          <w:rFonts w:asciiTheme="majorBidi" w:eastAsiaTheme="minorEastAsia" w:hAnsiTheme="majorBidi" w:cstheme="majorBidi"/>
        </w:rPr>
        <w:tab/>
      </w:r>
      <w:r w:rsidRPr="00A94875">
        <w:rPr>
          <w:rFonts w:asciiTheme="majorBidi" w:hAnsiTheme="majorBidi" w:cstheme="majorBidi"/>
        </w:rPr>
        <w:t>ITU-T Focus Groups: Exploring new directions in ITU standardization</w:t>
      </w:r>
      <w:bookmarkEnd w:id="69"/>
      <w:bookmarkEnd w:id="70"/>
      <w:bookmarkEnd w:id="71"/>
    </w:p>
    <w:p w14:paraId="755A6A8E"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Focus Groups </w:t>
      </w:r>
      <w:proofErr w:type="gramStart"/>
      <w:r w:rsidRPr="00A94875">
        <w:rPr>
          <w:rFonts w:asciiTheme="majorBidi" w:hAnsiTheme="majorBidi" w:cstheme="majorBidi"/>
        </w:rPr>
        <w:t>are formed</w:t>
      </w:r>
      <w:proofErr w:type="gramEnd"/>
      <w:r w:rsidRPr="00A94875">
        <w:rPr>
          <w:rFonts w:asciiTheme="majorBidi" w:hAnsiTheme="majorBidi" w:cstheme="majorBidi"/>
        </w:rPr>
        <w:t xml:space="preserve"> in response to immediate ICT standardization demands, tasked with establishing the basis for subsequent standardization work in ITU-T Study Groups. These groups </w:t>
      </w:r>
      <w:r w:rsidRPr="00A94875">
        <w:rPr>
          <w:rFonts w:asciiTheme="majorBidi" w:hAnsiTheme="majorBidi" w:cstheme="majorBidi"/>
        </w:rPr>
        <w:lastRenderedPageBreak/>
        <w:t xml:space="preserve">are the place to explore new directions in ITU standardization. Focus Groups are open to ITU members as well as organizations outside ITU's membership, and these groups </w:t>
      </w:r>
      <w:proofErr w:type="gramStart"/>
      <w:r w:rsidRPr="00A94875">
        <w:rPr>
          <w:rFonts w:asciiTheme="majorBidi" w:hAnsiTheme="majorBidi" w:cstheme="majorBidi"/>
        </w:rPr>
        <w:t>are afforded</w:t>
      </w:r>
      <w:proofErr w:type="gramEnd"/>
      <w:r w:rsidRPr="00A94875">
        <w:rPr>
          <w:rFonts w:asciiTheme="majorBidi" w:hAnsiTheme="majorBidi" w:cstheme="majorBidi"/>
        </w:rPr>
        <w:t xml:space="preserve"> great flexibility in their chosen deliverables and working methods.</w:t>
      </w:r>
    </w:p>
    <w:p w14:paraId="28B6C931" w14:textId="77777777" w:rsidR="003B32AB" w:rsidRPr="00A94875" w:rsidRDefault="003B32AB" w:rsidP="003B32AB">
      <w:pPr>
        <w:pStyle w:val="Heading2"/>
        <w:rPr>
          <w:rFonts w:asciiTheme="majorBidi" w:hAnsiTheme="majorBidi" w:cstheme="majorBidi"/>
        </w:rPr>
      </w:pPr>
      <w:bookmarkStart w:id="76" w:name="_Toc530571854"/>
      <w:bookmarkStart w:id="77" w:name="_Toc531254856"/>
      <w:bookmarkStart w:id="78" w:name="_Toc480527833"/>
      <w:bookmarkEnd w:id="72"/>
      <w:bookmarkEnd w:id="73"/>
      <w:bookmarkEnd w:id="74"/>
      <w:bookmarkEnd w:id="75"/>
      <w:r w:rsidRPr="00A94875">
        <w:rPr>
          <w:rFonts w:asciiTheme="majorBidi" w:hAnsiTheme="majorBidi" w:cstheme="majorBidi"/>
        </w:rPr>
        <w:t>5.1</w:t>
      </w:r>
      <w:r w:rsidRPr="00A94875">
        <w:rPr>
          <w:rFonts w:asciiTheme="majorBidi" w:hAnsiTheme="majorBidi" w:cstheme="majorBidi"/>
        </w:rPr>
        <w:tab/>
        <w:t>Data Processing and Management to support IoT and Smart Cities &amp; Communities</w:t>
      </w:r>
      <w:bookmarkEnd w:id="76"/>
      <w:bookmarkEnd w:id="77"/>
    </w:p>
    <w:p w14:paraId="07511D2B" w14:textId="77777777" w:rsidR="003B32AB" w:rsidRPr="00A94875" w:rsidRDefault="003B32AB" w:rsidP="003B32AB">
      <w:r w:rsidRPr="00A94875">
        <w:t xml:space="preserve">The </w:t>
      </w:r>
      <w:hyperlink r:id="rId71" w:history="1">
        <w:r w:rsidRPr="00A94875">
          <w:rPr>
            <w:rStyle w:val="Hyperlink"/>
          </w:rPr>
          <w:t>ITU-T Focus Group on Data Processing and Management to support IoT and Smart Cities &amp; Communities (FG-DPM)</w:t>
        </w:r>
      </w:hyperlink>
      <w:r w:rsidRPr="00A94875">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IoT and Smart Cities. The lifetime of the FG-DPM </w:t>
      </w:r>
      <w:proofErr w:type="gramStart"/>
      <w:r w:rsidRPr="00A94875">
        <w:t>has been extended</w:t>
      </w:r>
      <w:proofErr w:type="gramEnd"/>
      <w:r w:rsidRPr="00A94875">
        <w:t xml:space="preserve"> for one additional year until July 2019. </w:t>
      </w:r>
    </w:p>
    <w:p w14:paraId="4DD8AF38" w14:textId="77777777" w:rsidR="003B32AB" w:rsidRPr="00A94875" w:rsidRDefault="003B32AB" w:rsidP="003B32AB">
      <w:pPr>
        <w:pStyle w:val="Heading2"/>
        <w:rPr>
          <w:rFonts w:asciiTheme="majorBidi" w:hAnsiTheme="majorBidi" w:cstheme="majorBidi"/>
        </w:rPr>
      </w:pPr>
      <w:bookmarkStart w:id="79" w:name="_Toc530571855"/>
      <w:bookmarkStart w:id="80" w:name="_Toc531254857"/>
      <w:r w:rsidRPr="00A94875">
        <w:rPr>
          <w:rFonts w:asciiTheme="majorBidi" w:hAnsiTheme="majorBidi" w:cstheme="majorBidi"/>
        </w:rPr>
        <w:t>5.2</w:t>
      </w:r>
      <w:r w:rsidRPr="00A94875">
        <w:rPr>
          <w:rFonts w:asciiTheme="majorBidi" w:hAnsiTheme="majorBidi" w:cstheme="majorBidi"/>
        </w:rPr>
        <w:tab/>
        <w:t>Digital Currency including Digital Fiat Currency</w:t>
      </w:r>
      <w:bookmarkEnd w:id="79"/>
      <w:bookmarkEnd w:id="80"/>
    </w:p>
    <w:p w14:paraId="0CC6E4D1"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w:t>
      </w:r>
      <w:hyperlink r:id="rId72" w:history="1">
        <w:r w:rsidRPr="00A94875">
          <w:rPr>
            <w:rStyle w:val="Hyperlink"/>
            <w:lang w:val="en-GB"/>
          </w:rPr>
          <w:t>ITU-T Focus Group Digital Currency including Digital Fiat Currency (FG DFC)</w:t>
        </w:r>
      </w:hyperlink>
      <w:r w:rsidRPr="00A94875">
        <w:rPr>
          <w:lang w:val="en-GB"/>
        </w:rPr>
        <w:t xml:space="preserve"> is a forum for dialogue among players in the banking, fintech and telecom sectors to share information and best practices and showcase innovations, as well as develop a series of deliverables highlighting requirements for network infrastructure and standards in the area of central bank issued digital currency.</w:t>
      </w:r>
    </w:p>
    <w:p w14:paraId="4544E7DD" w14:textId="77777777" w:rsidR="003B32AB" w:rsidRPr="00A94875" w:rsidRDefault="003B32AB" w:rsidP="003B32AB">
      <w:pPr>
        <w:pStyle w:val="Heading2"/>
      </w:pPr>
      <w:bookmarkStart w:id="81" w:name="_Toc530571856"/>
      <w:bookmarkStart w:id="82" w:name="_Toc531254858"/>
      <w:r w:rsidRPr="00A94875">
        <w:rPr>
          <w:rFonts w:asciiTheme="majorBidi" w:hAnsiTheme="majorBidi" w:cstheme="majorBidi"/>
        </w:rPr>
        <w:t>5.3</w:t>
      </w:r>
      <w:r w:rsidRPr="00A94875">
        <w:rPr>
          <w:rFonts w:asciiTheme="majorBidi" w:hAnsiTheme="majorBidi" w:cstheme="majorBidi"/>
        </w:rPr>
        <w:tab/>
      </w:r>
      <w:r w:rsidRPr="00A94875">
        <w:t>Application of Distributed Ledger Technology</w:t>
      </w:r>
      <w:bookmarkEnd w:id="81"/>
      <w:bookmarkEnd w:id="82"/>
    </w:p>
    <w:p w14:paraId="7F7FDD20" w14:textId="77777777" w:rsidR="003B32AB" w:rsidRPr="00A94875" w:rsidRDefault="003B32AB" w:rsidP="003B32AB">
      <w:r w:rsidRPr="00A94875">
        <w:t xml:space="preserve">The </w:t>
      </w:r>
      <w:hyperlink r:id="rId73" w:history="1">
        <w:r w:rsidRPr="00A94875">
          <w:rPr>
            <w:rStyle w:val="Hyperlink"/>
          </w:rPr>
          <w:t>ITU-T Focus Group on Application of Distributed Ledger Technology (FG DLT)</w:t>
        </w:r>
      </w:hyperlink>
      <w:r w:rsidRPr="00A94875">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w:t>
      </w:r>
      <w:proofErr w:type="gramStart"/>
      <w:r w:rsidRPr="00A94875">
        <w:t>These studies guide the Focus Group’s abstraction of the common requirements necessary to describe a DLT architecture and associated assessment criteria.</w:t>
      </w:r>
      <w:proofErr w:type="gramEnd"/>
    </w:p>
    <w:p w14:paraId="67531EA4" w14:textId="77777777" w:rsidR="003B32AB" w:rsidRPr="00A94875" w:rsidRDefault="003B32AB" w:rsidP="003B32AB">
      <w:pPr>
        <w:pStyle w:val="Heading2"/>
        <w:rPr>
          <w:rFonts w:asciiTheme="majorBidi" w:hAnsiTheme="majorBidi" w:cstheme="majorBidi"/>
        </w:rPr>
      </w:pPr>
      <w:bookmarkStart w:id="83" w:name="_Toc530571857"/>
      <w:bookmarkStart w:id="84" w:name="_Toc531254859"/>
      <w:r w:rsidRPr="00A94875">
        <w:rPr>
          <w:rFonts w:asciiTheme="majorBidi" w:hAnsiTheme="majorBidi" w:cstheme="majorBidi"/>
        </w:rPr>
        <w:t>5.4</w:t>
      </w:r>
      <w:r w:rsidRPr="00A94875">
        <w:rPr>
          <w:rFonts w:asciiTheme="majorBidi" w:hAnsiTheme="majorBidi" w:cstheme="majorBidi"/>
        </w:rPr>
        <w:tab/>
        <w:t>Machine Learning for Future Networks including 5G</w:t>
      </w:r>
      <w:bookmarkEnd w:id="83"/>
      <w:bookmarkEnd w:id="84"/>
    </w:p>
    <w:p w14:paraId="7ACB69E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lang w:val="en-GB"/>
        </w:rPr>
        <w:t xml:space="preserve">The </w:t>
      </w:r>
      <w:hyperlink r:id="rId74" w:history="1">
        <w:r w:rsidRPr="00A94875">
          <w:rPr>
            <w:rStyle w:val="Hyperlink"/>
            <w:lang w:val="en-GB"/>
          </w:rPr>
          <w:t>ITU-T Focus Group on Machine Learning for Future Networks including 5G (FG ML5G)</w:t>
        </w:r>
        <w:r w:rsidRPr="00A94875" w:rsidDel="002534EE">
          <w:rPr>
            <w:rStyle w:val="Hyperlink"/>
            <w:lang w:val="en-GB"/>
          </w:rPr>
          <w:t xml:space="preserve"> </w:t>
        </w:r>
      </w:hyperlink>
      <w:r w:rsidRPr="00A94875">
        <w:rPr>
          <w:lang w:val="en-GB"/>
        </w:rPr>
        <w:t xml:space="preserve"> will propose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w:t>
      </w:r>
      <w:proofErr w:type="gramStart"/>
      <w:r w:rsidRPr="00A94875">
        <w:rPr>
          <w:lang w:val="en-GB"/>
        </w:rPr>
        <w:t>fuel machine learning algorithms</w:t>
      </w:r>
      <w:proofErr w:type="gramEnd"/>
      <w:r w:rsidRPr="00A94875">
        <w:rPr>
          <w:lang w:val="en-GB"/>
        </w:rPr>
        <w:t xml:space="preserve">. </w:t>
      </w:r>
    </w:p>
    <w:p w14:paraId="68AA5ABE" w14:textId="77777777" w:rsidR="003B32AB" w:rsidRPr="00A94875" w:rsidRDefault="003B32AB" w:rsidP="003B32AB">
      <w:pPr>
        <w:pStyle w:val="Heading2"/>
        <w:rPr>
          <w:rFonts w:asciiTheme="majorBidi" w:hAnsiTheme="majorBidi" w:cstheme="majorBidi"/>
        </w:rPr>
      </w:pPr>
      <w:bookmarkStart w:id="85" w:name="_Toc530571858"/>
      <w:bookmarkStart w:id="86" w:name="_Toc531254860"/>
      <w:r w:rsidRPr="00A94875">
        <w:rPr>
          <w:rFonts w:asciiTheme="majorBidi" w:hAnsiTheme="majorBidi" w:cstheme="majorBidi"/>
        </w:rPr>
        <w:t>5.5</w:t>
      </w:r>
      <w:r w:rsidRPr="00A94875">
        <w:rPr>
          <w:rFonts w:asciiTheme="majorBidi" w:hAnsiTheme="majorBidi" w:cstheme="majorBidi"/>
        </w:rPr>
        <w:tab/>
        <w:t>Technologies for Network 2030</w:t>
      </w:r>
      <w:bookmarkEnd w:id="85"/>
      <w:bookmarkEnd w:id="86"/>
    </w:p>
    <w:p w14:paraId="6A68223B" w14:textId="77777777" w:rsidR="003B32AB" w:rsidRPr="00A94875" w:rsidRDefault="003B32AB" w:rsidP="003B32AB">
      <w:pPr>
        <w:pStyle w:val="NormalWeb"/>
        <w:shd w:val="clear" w:color="auto" w:fill="FFFFFF"/>
        <w:spacing w:before="120" w:beforeAutospacing="0" w:after="0" w:afterAutospacing="0"/>
        <w:rPr>
          <w:rFonts w:asciiTheme="majorBidi" w:hAnsiTheme="majorBidi" w:cstheme="majorBidi"/>
          <w:lang w:val="en-GB"/>
        </w:rPr>
      </w:pPr>
      <w:r w:rsidRPr="00A94875">
        <w:rPr>
          <w:lang w:val="en-GB"/>
        </w:rPr>
        <w:t xml:space="preserve">The </w:t>
      </w:r>
      <w:hyperlink r:id="rId75" w:history="1">
        <w:r w:rsidRPr="00A94875">
          <w:rPr>
            <w:rStyle w:val="Hyperlink"/>
            <w:color w:val="039BE5"/>
            <w:lang w:val="en-GB"/>
          </w:rPr>
          <w:t>ITU-T Focus Group on Technologies for Network 2030 (FG NET-2030)</w:t>
        </w:r>
      </w:hyperlink>
      <w:r w:rsidRPr="00A94875">
        <w:rPr>
          <w:lang w:val="en-GB"/>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t>
      </w:r>
      <w:proofErr w:type="gramStart"/>
      <w:r w:rsidRPr="00A94875">
        <w:rPr>
          <w:lang w:val="en-GB"/>
        </w:rPr>
        <w:t>will also</w:t>
      </w:r>
      <w:proofErr w:type="gramEnd"/>
      <w:r w:rsidRPr="00A94875">
        <w:rPr>
          <w:lang w:val="en-GB"/>
        </w:rPr>
        <w:t xml:space="preserve"> respond to increasing user demands for time-sensitive applications.</w:t>
      </w:r>
    </w:p>
    <w:p w14:paraId="37F63143" w14:textId="77777777" w:rsidR="003B32AB" w:rsidRPr="00A94875" w:rsidRDefault="003B32AB" w:rsidP="003B32AB">
      <w:pPr>
        <w:pStyle w:val="Heading2"/>
        <w:rPr>
          <w:rFonts w:asciiTheme="majorBidi" w:hAnsiTheme="majorBidi" w:cstheme="majorBidi"/>
        </w:rPr>
      </w:pPr>
      <w:bookmarkStart w:id="87" w:name="_Toc530571859"/>
      <w:bookmarkStart w:id="88" w:name="_Toc531254861"/>
      <w:r w:rsidRPr="00A94875">
        <w:rPr>
          <w:rFonts w:asciiTheme="majorBidi" w:hAnsiTheme="majorBidi" w:cstheme="majorBidi"/>
        </w:rPr>
        <w:t>5.6</w:t>
      </w:r>
      <w:r w:rsidRPr="00A94875">
        <w:rPr>
          <w:rFonts w:asciiTheme="majorBidi" w:hAnsiTheme="majorBidi" w:cstheme="majorBidi"/>
        </w:rPr>
        <w:tab/>
        <w:t>Artificial Intelligence for Health</w:t>
      </w:r>
      <w:bookmarkEnd w:id="87"/>
      <w:bookmarkEnd w:id="88"/>
    </w:p>
    <w:p w14:paraId="7ACCAC88" w14:textId="77777777" w:rsidR="003B32AB" w:rsidRPr="00A94875" w:rsidRDefault="003B32AB" w:rsidP="003B32AB">
      <w:pPr>
        <w:pStyle w:val="NormalWeb"/>
        <w:shd w:val="clear" w:color="auto" w:fill="FFFFFF"/>
        <w:spacing w:before="120" w:beforeAutospacing="0" w:after="0" w:afterAutospacing="0"/>
        <w:rPr>
          <w:lang w:val="en-GB"/>
        </w:rPr>
      </w:pPr>
      <w:r w:rsidRPr="00A94875">
        <w:rPr>
          <w:lang w:val="en-GB"/>
        </w:rPr>
        <w:t xml:space="preserve">The </w:t>
      </w:r>
      <w:hyperlink r:id="rId76" w:history="1">
        <w:r w:rsidRPr="00A94875">
          <w:rPr>
            <w:rStyle w:val="Hyperlink"/>
            <w:lang w:val="en-GB"/>
          </w:rPr>
          <w:t>ITU-T Focus Group on Artificial Intelligence for Health (FG AI4H)</w:t>
        </w:r>
      </w:hyperlink>
      <w:r w:rsidRPr="00A94875">
        <w:rPr>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lang w:val="en-GB"/>
        </w:rPr>
        <w:t xml:space="preserve">Calls </w:t>
      </w:r>
      <w:r w:rsidRPr="00A94875">
        <w:rPr>
          <w:rStyle w:val="Emphasis"/>
          <w:lang w:val="en-GB"/>
        </w:rPr>
        <w:lastRenderedPageBreak/>
        <w:t>for Proposals</w:t>
      </w:r>
      <w:r w:rsidRPr="00A94875">
        <w:rPr>
          <w:lang w:val="en-GB"/>
        </w:rPr>
        <w:t xml:space="preserve"> will guide the Focus Group’s development of evaluation methods to assess the degree to which ‘AI for Health’ use cases have achieved Proof of Concept. The first </w:t>
      </w:r>
      <w:r w:rsidRPr="00A94875">
        <w:rPr>
          <w:rStyle w:val="Emphasis"/>
          <w:lang w:val="en-GB"/>
        </w:rPr>
        <w:t>Call for Proposals</w:t>
      </w:r>
      <w:r w:rsidRPr="00A94875">
        <w:rPr>
          <w:lang w:val="en-GB"/>
        </w:rPr>
        <w:t xml:space="preserve"> aims to identify compelling use cases of AI in strengthening health services and overarching health systems, soliciting AI use cases and associated datasets in the fields of clinical and public health. Proposals should highlight the motivations behind an ‘AI for Health’ use case, the value of performance benchmarking in such cases, and the datasets required to train relevant AI algorithms. </w:t>
      </w:r>
    </w:p>
    <w:p w14:paraId="1903CB67" w14:textId="77777777" w:rsidR="003B32AB" w:rsidRPr="00A94875" w:rsidRDefault="003B32AB" w:rsidP="003B32AB">
      <w:pPr>
        <w:pStyle w:val="Heading2"/>
        <w:rPr>
          <w:rFonts w:asciiTheme="majorBidi" w:hAnsiTheme="majorBidi" w:cstheme="majorBidi"/>
        </w:rPr>
      </w:pPr>
      <w:bookmarkStart w:id="89" w:name="_Toc530571860"/>
      <w:bookmarkStart w:id="90" w:name="_Toc531254862"/>
      <w:r w:rsidRPr="00A94875">
        <w:rPr>
          <w:rFonts w:asciiTheme="majorBidi" w:hAnsiTheme="majorBidi" w:cstheme="majorBidi"/>
        </w:rPr>
        <w:t>5.7</w:t>
      </w:r>
      <w:r w:rsidRPr="00A94875">
        <w:rPr>
          <w:rFonts w:asciiTheme="majorBidi" w:hAnsiTheme="majorBidi" w:cstheme="majorBidi"/>
        </w:rPr>
        <w:tab/>
        <w:t>Vehicular Multimedia</w:t>
      </w:r>
      <w:bookmarkEnd w:id="89"/>
      <w:bookmarkEnd w:id="90"/>
    </w:p>
    <w:p w14:paraId="419EFAC5" w14:textId="77777777" w:rsidR="003B32AB" w:rsidRPr="00A94875" w:rsidRDefault="003B32AB" w:rsidP="003B32AB">
      <w:pPr>
        <w:pStyle w:val="NormalWeb"/>
        <w:shd w:val="clear" w:color="auto" w:fill="FFFFFF"/>
        <w:spacing w:before="120" w:beforeAutospacing="0" w:after="0" w:afterAutospacing="0"/>
        <w:rPr>
          <w:color w:val="444444"/>
          <w:shd w:val="clear" w:color="auto" w:fill="FFFFFF"/>
          <w:lang w:val="en-GB"/>
        </w:rPr>
      </w:pPr>
      <w:r w:rsidRPr="00A94875">
        <w:rPr>
          <w:lang w:val="en-GB"/>
        </w:rPr>
        <w:t xml:space="preserve">The </w:t>
      </w:r>
      <w:hyperlink r:id="rId77" w:history="1">
        <w:r w:rsidRPr="00A94875">
          <w:rPr>
            <w:rStyle w:val="Hyperlink"/>
            <w:lang w:val="en-GB"/>
          </w:rPr>
          <w:t xml:space="preserve">ITU-T Focus Group on </w:t>
        </w:r>
        <w:r w:rsidRPr="00A94875">
          <w:rPr>
            <w:rStyle w:val="Hyperlink"/>
            <w:shd w:val="clear" w:color="auto" w:fill="FFFFFF"/>
            <w:lang w:val="en-GB"/>
          </w:rPr>
          <w:t>Vehicular Multimedia (</w:t>
        </w:r>
        <w:r w:rsidRPr="00A94875">
          <w:rPr>
            <w:rStyle w:val="Hyperlink"/>
            <w:bdr w:val="none" w:sz="0" w:space="0" w:color="auto" w:frame="1"/>
            <w:shd w:val="clear" w:color="auto" w:fill="FFFFFF"/>
            <w:lang w:val="en-GB"/>
          </w:rPr>
          <w:t>FG VM)</w:t>
        </w:r>
        <w:r w:rsidRPr="00A94875" w:rsidDel="002534EE">
          <w:rPr>
            <w:rStyle w:val="Hyperlink"/>
            <w:bdr w:val="none" w:sz="0" w:space="0" w:color="auto" w:frame="1"/>
            <w:shd w:val="clear" w:color="auto" w:fill="FFFFFF"/>
            <w:lang w:val="en-GB"/>
          </w:rPr>
          <w:t xml:space="preserve"> </w:t>
        </w:r>
      </w:hyperlink>
      <w:r w:rsidRPr="00A94875">
        <w:rPr>
          <w:color w:val="444444"/>
          <w:shd w:val="clear" w:color="auto" w:fill="FFFFFF"/>
          <w:lang w:val="en-GB"/>
        </w:rPr>
        <w:t xml:space="preserve"> </w:t>
      </w:r>
      <w:r w:rsidRPr="00A94875">
        <w:rPr>
          <w:lang w:val="en-GB"/>
        </w:rPr>
        <w:t xml:space="preserve"> is identifying use cases and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14:paraId="0B0734EE" w14:textId="77777777" w:rsidR="003B32AB" w:rsidRPr="00A94875" w:rsidRDefault="003B32AB" w:rsidP="003B32AB">
      <w:pPr>
        <w:pStyle w:val="Heading1"/>
        <w:rPr>
          <w:rFonts w:asciiTheme="majorBidi" w:hAnsiTheme="majorBidi" w:cstheme="majorBidi"/>
        </w:rPr>
      </w:pPr>
      <w:bookmarkStart w:id="91" w:name="_Toc416161369"/>
      <w:bookmarkStart w:id="92" w:name="_Toc438553990"/>
      <w:bookmarkStart w:id="93" w:name="_Toc453929114"/>
      <w:bookmarkStart w:id="94" w:name="_Toc453932985"/>
      <w:bookmarkStart w:id="95" w:name="_Toc454295891"/>
      <w:bookmarkStart w:id="96" w:name="_Toc462664250"/>
      <w:bookmarkStart w:id="97" w:name="_Toc480527836"/>
      <w:bookmarkStart w:id="98" w:name="_Toc530571861"/>
      <w:bookmarkStart w:id="99" w:name="_Toc531254863"/>
      <w:bookmarkEnd w:id="78"/>
      <w:r w:rsidRPr="00A94875">
        <w:rPr>
          <w:rFonts w:asciiTheme="majorBidi" w:hAnsiTheme="majorBidi" w:cstheme="majorBidi"/>
        </w:rPr>
        <w:t>6</w:t>
      </w:r>
      <w:r w:rsidRPr="00A94875">
        <w:rPr>
          <w:rFonts w:asciiTheme="majorBidi" w:hAnsiTheme="majorBidi" w:cstheme="majorBidi"/>
        </w:rPr>
        <w:tab/>
        <w:t xml:space="preserve">Collaboration </w:t>
      </w:r>
      <w:bookmarkEnd w:id="91"/>
      <w:bookmarkEnd w:id="92"/>
      <w:bookmarkEnd w:id="93"/>
      <w:bookmarkEnd w:id="94"/>
      <w:bookmarkEnd w:id="95"/>
      <w:r w:rsidRPr="00A94875">
        <w:rPr>
          <w:rFonts w:asciiTheme="majorBidi" w:hAnsiTheme="majorBidi" w:cstheme="majorBidi"/>
        </w:rPr>
        <w:t>in standardization</w:t>
      </w:r>
      <w:bookmarkEnd w:id="96"/>
      <w:bookmarkEnd w:id="97"/>
      <w:bookmarkEnd w:id="98"/>
      <w:bookmarkEnd w:id="99"/>
    </w:p>
    <w:p w14:paraId="2E864E60" w14:textId="77777777" w:rsidR="003B32AB" w:rsidRPr="00A94875" w:rsidRDefault="003B32AB" w:rsidP="003B32AB">
      <w:pPr>
        <w:pStyle w:val="Heading2"/>
        <w:rPr>
          <w:rFonts w:asciiTheme="majorBidi" w:hAnsiTheme="majorBidi" w:cstheme="majorBidi"/>
        </w:rPr>
      </w:pPr>
      <w:bookmarkStart w:id="100" w:name="_Toc480527837"/>
      <w:bookmarkStart w:id="101" w:name="_Toc530571862"/>
      <w:bookmarkStart w:id="102" w:name="_Toc531254864"/>
      <w:bookmarkStart w:id="103" w:name="_Toc462664251"/>
      <w:r w:rsidRPr="00A94875">
        <w:rPr>
          <w:rFonts w:asciiTheme="majorBidi" w:hAnsiTheme="majorBidi" w:cstheme="majorBidi"/>
        </w:rPr>
        <w:t>6.1</w:t>
      </w:r>
      <w:r w:rsidRPr="00A94875">
        <w:rPr>
          <w:rFonts w:asciiTheme="majorBidi" w:hAnsiTheme="majorBidi" w:cstheme="majorBidi"/>
        </w:rPr>
        <w:tab/>
        <w:t>Coordination and cooperation among ITU Sectors</w:t>
      </w:r>
      <w:bookmarkEnd w:id="100"/>
      <w:bookmarkEnd w:id="101"/>
      <w:bookmarkEnd w:id="102"/>
    </w:p>
    <w:p w14:paraId="7179906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w:t>
      </w:r>
      <w:proofErr w:type="gramStart"/>
      <w:r w:rsidRPr="00A94875">
        <w:rPr>
          <w:rFonts w:asciiTheme="majorBidi" w:hAnsiTheme="majorBidi" w:cstheme="majorBidi"/>
        </w:rPr>
        <w:t>is performed</w:t>
      </w:r>
      <w:proofErr w:type="gramEnd"/>
      <w:r w:rsidRPr="00A94875">
        <w:rPr>
          <w:rFonts w:asciiTheme="majorBidi" w:hAnsiTheme="majorBidi" w:cstheme="majorBidi"/>
        </w:rPr>
        <w:t xml:space="preserve"> on a regular basis based on information received. </w:t>
      </w:r>
    </w:p>
    <w:p w14:paraId="5FA52C29"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TSAG maintains a close relationship with RAG and TDAG in order to develop synergies with the objective of strengthening coordination and cooperation among the three ITU Sectors on matters of mutual interest. </w:t>
      </w:r>
      <w:bookmarkStart w:id="104" w:name="Item18_01"/>
      <w:bookmarkEnd w:id="104"/>
    </w:p>
    <w:p w14:paraId="5E9C0705" w14:textId="77777777" w:rsidR="003B32AB" w:rsidRPr="00A94875" w:rsidRDefault="003B32AB" w:rsidP="003B32AB">
      <w:pPr>
        <w:rPr>
          <w:rFonts w:asciiTheme="majorBidi" w:hAnsiTheme="majorBidi" w:cstheme="majorBidi"/>
        </w:rPr>
      </w:pPr>
      <w:r w:rsidRPr="00A94875">
        <w:rPr>
          <w:rFonts w:asciiTheme="majorBidi" w:hAnsiTheme="majorBidi" w:cstheme="majorBidi"/>
        </w:rPr>
        <w:t>Three inter-Sector Rapporteur groups (IRGs) work on items of interests to various ITU-T and ITU-R study groups.</w:t>
      </w:r>
    </w:p>
    <w:p w14:paraId="22C63AC3"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IRG-AVA: Intersector Rapporteur Group Audiovisual Media Accessibility, amongst ITU-T SG9, ITU-T SG16 and ITU-R SG6.</w:t>
      </w:r>
    </w:p>
    <w:p w14:paraId="29C90C8E"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IRG-AVQA: Intersector Rapporteur Group Audiovisual Quality Assessment, amongst ITU-T SG12 and ITU-R SG6.</w:t>
      </w:r>
    </w:p>
    <w:p w14:paraId="20F36287"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IRG-IBB: Intersector Rapporteur Group Integrated Broadcast-Broadband, between ITU-T SG9, ITU-T SG16 and ITU-R WP 6B.</w:t>
      </w:r>
    </w:p>
    <w:p w14:paraId="34179EB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Inter-Sector Coordination Team (ISCT) is composed by representatives of all three advisory groups, and works to identify </w:t>
      </w:r>
      <w:proofErr w:type="gramStart"/>
      <w:r w:rsidRPr="00A94875">
        <w:rPr>
          <w:rFonts w:asciiTheme="majorBidi" w:hAnsiTheme="majorBidi" w:cstheme="majorBidi"/>
        </w:rPr>
        <w:t>subjects</w:t>
      </w:r>
      <w:proofErr w:type="gramEnd"/>
      <w:r w:rsidRPr="00A94875">
        <w:rPr>
          <w:rFonts w:asciiTheme="majorBidi" w:hAnsiTheme="majorBidi" w:cstheme="majorBidi"/>
        </w:rPr>
        <w:t xml:space="preserve"> common interest to the tree Sector. It also seeks to identify the necessary mechanisms to strengthen cooperation and joint activity among the three Sectors, with particular emphasis on the interests of developing countries. In addition, the ITU Inter-Sectoral Coordination Task Force (ISC-TF) is coordinating activities among the three Bureaux.</w:t>
      </w:r>
      <w:bookmarkStart w:id="105" w:name="Item57_02"/>
      <w:bookmarkEnd w:id="105"/>
    </w:p>
    <w:p w14:paraId="093001B6" w14:textId="77777777" w:rsidR="003B32AB" w:rsidRPr="00A94875" w:rsidRDefault="003B32AB" w:rsidP="003B32AB">
      <w:pPr>
        <w:pStyle w:val="Heading2"/>
        <w:rPr>
          <w:rFonts w:asciiTheme="majorBidi" w:hAnsiTheme="majorBidi" w:cstheme="majorBidi"/>
        </w:rPr>
      </w:pPr>
      <w:bookmarkStart w:id="106" w:name="_Toc530571863"/>
      <w:bookmarkStart w:id="107" w:name="_Toc531254865"/>
      <w:r w:rsidRPr="00A94875">
        <w:rPr>
          <w:rFonts w:asciiTheme="majorBidi" w:hAnsiTheme="majorBidi" w:cstheme="majorBidi"/>
        </w:rPr>
        <w:t>6.2</w:t>
      </w:r>
      <w:r w:rsidRPr="00A94875">
        <w:rPr>
          <w:rFonts w:asciiTheme="majorBidi" w:hAnsiTheme="majorBidi" w:cstheme="majorBidi"/>
        </w:rPr>
        <w:tab/>
        <w:t>Coordination and cooperation with the Regions and the Regional Offices</w:t>
      </w:r>
      <w:bookmarkEnd w:id="106"/>
      <w:bookmarkEnd w:id="107"/>
    </w:p>
    <w:p w14:paraId="11BE5DF0" w14:textId="77777777" w:rsidR="003B32AB" w:rsidRPr="00A94875" w:rsidRDefault="003B32AB" w:rsidP="003B32AB">
      <w:pPr>
        <w:rPr>
          <w:rFonts w:asciiTheme="majorBidi" w:hAnsiTheme="majorBidi" w:cstheme="majorBidi"/>
        </w:rPr>
      </w:pPr>
      <w:r w:rsidRPr="00A94875">
        <w:rPr>
          <w:rFonts w:asciiTheme="majorBidi" w:hAnsiTheme="majorBidi" w:cstheme="majorBidi"/>
        </w:rPr>
        <w:t>With the goal of improving coordination and increasing the efficiency of the overall operations, events and activities of the Sector and the Bureau, TSB organizes conference calls and face-to-face meetings on a regular basis with the Regional and Areas Offices.</w:t>
      </w:r>
    </w:p>
    <w:p w14:paraId="4F268A37" w14:textId="77777777" w:rsidR="003B32AB" w:rsidRPr="00A94875" w:rsidRDefault="003B32AB" w:rsidP="003B32AB">
      <w:pPr>
        <w:rPr>
          <w:rFonts w:asciiTheme="majorBidi" w:hAnsiTheme="majorBidi" w:cstheme="majorBidi"/>
        </w:rPr>
      </w:pPr>
      <w:r w:rsidRPr="00A94875">
        <w:rPr>
          <w:rFonts w:asciiTheme="majorBidi" w:hAnsiTheme="majorBidi" w:cstheme="majorBidi"/>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14:paraId="14914B81" w14:textId="77777777" w:rsidR="003B32AB" w:rsidRPr="00A94875" w:rsidRDefault="003B32AB" w:rsidP="003B32AB">
      <w:pPr>
        <w:pStyle w:val="Heading2"/>
        <w:rPr>
          <w:rFonts w:asciiTheme="majorBidi" w:hAnsiTheme="majorBidi" w:cstheme="majorBidi"/>
        </w:rPr>
      </w:pPr>
      <w:bookmarkStart w:id="108" w:name="_Toc530571864"/>
      <w:bookmarkStart w:id="109" w:name="_Toc531254866"/>
      <w:r w:rsidRPr="00A94875">
        <w:rPr>
          <w:rFonts w:asciiTheme="majorBidi" w:hAnsiTheme="majorBidi" w:cstheme="majorBidi"/>
        </w:rPr>
        <w:lastRenderedPageBreak/>
        <w:t>6.3</w:t>
      </w:r>
      <w:r w:rsidRPr="00A94875">
        <w:rPr>
          <w:rFonts w:asciiTheme="majorBidi" w:hAnsiTheme="majorBidi" w:cstheme="majorBidi"/>
        </w:rPr>
        <w:tab/>
        <w:t>General assistance and cooperation</w:t>
      </w:r>
      <w:bookmarkEnd w:id="108"/>
      <w:bookmarkEnd w:id="109"/>
    </w:p>
    <w:p w14:paraId="250A6071" w14:textId="77777777" w:rsidR="003B32AB" w:rsidRPr="00A94875" w:rsidRDefault="003B32AB" w:rsidP="003B32AB">
      <w:bookmarkStart w:id="110" w:name="_6.5_Focus_Group"/>
      <w:bookmarkStart w:id="111" w:name="_7.5_Focus_Group"/>
      <w:bookmarkStart w:id="112" w:name="_7.2_TSB_Director’s"/>
      <w:bookmarkStart w:id="113" w:name="_13_Chief_Technology"/>
      <w:bookmarkStart w:id="114" w:name="_8.1_ITU-UNECE_event"/>
      <w:bookmarkStart w:id="115" w:name="_8.3_3rd_ITU"/>
      <w:bookmarkStart w:id="116" w:name="_8.5_Standards_collaboration,"/>
      <w:bookmarkStart w:id="117" w:name="_8.6_Montevideo_forum"/>
      <w:bookmarkStart w:id="118" w:name="_8.8_Accessible_Inclusion"/>
      <w:bookmarkStart w:id="119" w:name="_10_Chief_Technology"/>
      <w:bookmarkEnd w:id="103"/>
      <w:bookmarkEnd w:id="110"/>
      <w:bookmarkEnd w:id="111"/>
      <w:bookmarkEnd w:id="112"/>
      <w:bookmarkEnd w:id="113"/>
      <w:bookmarkEnd w:id="114"/>
      <w:bookmarkEnd w:id="115"/>
      <w:bookmarkEnd w:id="116"/>
      <w:bookmarkEnd w:id="117"/>
      <w:bookmarkEnd w:id="118"/>
      <w:bookmarkEnd w:id="119"/>
      <w:r w:rsidRPr="00A94875">
        <w:t xml:space="preserve">ITU continues to provide leadership in </w:t>
      </w:r>
      <w:r w:rsidRPr="00A94875">
        <w:rPr>
          <w:bCs/>
        </w:rPr>
        <w:t>building cooperation</w:t>
      </w:r>
      <w:r w:rsidRPr="00A94875">
        <w:t xml:space="preserve"> among the many interests served by ICT standardization.</w:t>
      </w:r>
    </w:p>
    <w:p w14:paraId="1A229AF5" w14:textId="77777777" w:rsidR="003B32AB" w:rsidRPr="00A94875" w:rsidRDefault="003B32AB" w:rsidP="003B32AB">
      <w:pPr>
        <w:rPr>
          <w:rFonts w:asciiTheme="majorBidi" w:hAnsiTheme="majorBidi" w:cstheme="majorBidi"/>
          <w:highlight w:val="yellow"/>
        </w:rPr>
      </w:pPr>
      <w:r w:rsidRPr="00A94875">
        <w:t xml:space="preserve">The </w:t>
      </w:r>
      <w:r w:rsidRPr="00A94875">
        <w:rPr>
          <w:b/>
        </w:rPr>
        <w:t xml:space="preserve">World </w:t>
      </w:r>
      <w:r w:rsidRPr="00A94875">
        <w:rPr>
          <w:rFonts w:asciiTheme="majorBidi" w:hAnsiTheme="majorBidi" w:cstheme="majorBidi"/>
          <w:b/>
        </w:rPr>
        <w:t>Standards Cooperation</w:t>
      </w:r>
      <w:r w:rsidRPr="00A94875">
        <w:rPr>
          <w:rFonts w:asciiTheme="majorBidi" w:hAnsiTheme="majorBidi" w:cstheme="majorBidi"/>
        </w:rPr>
        <w:t xml:space="preserve"> is a partnership of ITU, ISO and IEC to promote international standards. The theme of World Standards Day 2018 (14 October 2018) was “International Standards and the Fourth Industrial Revolution”.  </w:t>
      </w:r>
      <w:proofErr w:type="gramStart"/>
      <w:r w:rsidRPr="00A94875">
        <w:rPr>
          <w:rFonts w:asciiTheme="majorBidi" w:hAnsiTheme="majorBidi" w:cstheme="majorBidi"/>
        </w:rPr>
        <w:t>and</w:t>
      </w:r>
      <w:proofErr w:type="gramEnd"/>
      <w:r w:rsidRPr="00A94875">
        <w:rPr>
          <w:rFonts w:asciiTheme="majorBidi" w:hAnsiTheme="majorBidi" w:cstheme="majorBidi"/>
        </w:rPr>
        <w:t xml:space="preserve"> ITU, ISO and IEC issued a </w:t>
      </w:r>
      <w:hyperlink r:id="rId78" w:history="1">
        <w:r w:rsidRPr="00A94875">
          <w:rPr>
            <w:rStyle w:val="Hyperlink"/>
            <w:rFonts w:cstheme="majorBidi"/>
          </w:rPr>
          <w:t>press release</w:t>
        </w:r>
      </w:hyperlink>
      <w:r w:rsidRPr="00A94875">
        <w:rPr>
          <w:rFonts w:asciiTheme="majorBidi" w:hAnsiTheme="majorBidi" w:cstheme="majorBidi"/>
        </w:rPr>
        <w:t>.</w:t>
      </w:r>
    </w:p>
    <w:p w14:paraId="3C9F5C8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 is a strong advocate of “Universal Design”</w:t>
      </w:r>
      <w:r w:rsidRPr="00A94875">
        <w:rPr>
          <w:rFonts w:asciiTheme="majorBidi" w:hAnsiTheme="majorBidi" w:cstheme="majorBidi"/>
          <w:bCs/>
        </w:rPr>
        <w:t xml:space="preserve"> and has standardization guidelines to produce solutions that are inherently accessible to persons with and without disabilities.</w:t>
      </w:r>
    </w:p>
    <w:p w14:paraId="48AE8C3A" w14:textId="77777777" w:rsidR="003B32AB" w:rsidRPr="00A94875" w:rsidRDefault="003B32AB" w:rsidP="003B32AB">
      <w:pPr>
        <w:rPr>
          <w:bCs/>
        </w:rPr>
      </w:pPr>
      <w:proofErr w:type="gramStart"/>
      <w:r w:rsidRPr="00A94875">
        <w:rPr>
          <w:rFonts w:asciiTheme="majorBidi" w:hAnsiTheme="majorBidi" w:cstheme="majorBidi"/>
          <w:b/>
        </w:rPr>
        <w:t>ITU’s</w:t>
      </w:r>
      <w:proofErr w:type="gramEnd"/>
      <w:r w:rsidRPr="00A94875">
        <w:rPr>
          <w:rFonts w:asciiTheme="majorBidi" w:hAnsiTheme="majorBidi" w:cstheme="majorBidi"/>
          <w:b/>
        </w:rPr>
        <w:t xml:space="preserve"> Bridging the Standardization Gap (BSG) programme</w:t>
      </w:r>
      <w:r w:rsidRPr="00A94875">
        <w:rPr>
          <w:rFonts w:asciiTheme="majorBidi" w:hAnsiTheme="majorBidi" w:cstheme="majorBidi"/>
          <w:bCs/>
        </w:rPr>
        <w:t xml:space="preserve"> improves the capacity</w:t>
      </w:r>
      <w:r w:rsidRPr="00A94875">
        <w:rPr>
          <w:bCs/>
        </w:rPr>
        <w:t xml:space="preserve"> of developing countries to participate in the development and implementation of international ICT standards.</w:t>
      </w:r>
    </w:p>
    <w:p w14:paraId="6B466256" w14:textId="77777777" w:rsidR="003B32AB" w:rsidRPr="00A94875" w:rsidRDefault="003B32AB" w:rsidP="003B32AB">
      <w:pPr>
        <w:rPr>
          <w:bCs/>
        </w:rPr>
      </w:pPr>
      <w:r w:rsidRPr="00A94875">
        <w:rPr>
          <w:b/>
        </w:rPr>
        <w:t>ITU’s conformity and interoperability (C&amp;I) programme</w:t>
      </w:r>
      <w:r w:rsidRPr="00A94875">
        <w:rPr>
          <w:bCs/>
        </w:rPr>
        <w:t xml:space="preserve"> is of particular value to developing countries in their efforts to enhance conformity and interoperability of ICT products implementing ITU Recommendations or part thereof.</w:t>
      </w:r>
    </w:p>
    <w:p w14:paraId="06377236" w14:textId="77777777" w:rsidR="003B32AB" w:rsidRPr="00A94875" w:rsidRDefault="003B32AB" w:rsidP="003B32AB">
      <w:pPr>
        <w:rPr>
          <w:bCs/>
        </w:rPr>
      </w:pPr>
      <w:r w:rsidRPr="00A94875">
        <w:rPr>
          <w:b/>
        </w:rPr>
        <w:t xml:space="preserve">Chief Technology Officer </w:t>
      </w:r>
      <w:proofErr w:type="gramStart"/>
      <w:r w:rsidRPr="00A94875">
        <w:rPr>
          <w:b/>
        </w:rPr>
        <w:t>meetings</w:t>
      </w:r>
      <w:proofErr w:type="gramEnd"/>
      <w:r w:rsidRPr="00A94875">
        <w:rPr>
          <w:bCs/>
        </w:rPr>
        <w:t xml:space="preserve">: </w:t>
      </w:r>
      <w:hyperlink r:id="rId79" w:history="1">
        <w:r w:rsidRPr="00A94875">
          <w:rPr>
            <w:rStyle w:val="Hyperlink"/>
            <w:rFonts w:eastAsiaTheme="majorEastAsia"/>
            <w:bCs/>
          </w:rPr>
          <w:t>CTO and CxO meetings</w:t>
        </w:r>
      </w:hyperlink>
      <w:r w:rsidRPr="00A94875">
        <w:rPr>
          <w:bCs/>
        </w:rPr>
        <w:t xml:space="preserve"> bring together industry executives to highlight their business priorities and supporting standardization strategies. The annual CTO meeting </w:t>
      </w:r>
      <w:proofErr w:type="gramStart"/>
      <w:r w:rsidRPr="00A94875">
        <w:rPr>
          <w:bCs/>
        </w:rPr>
        <w:t>was held</w:t>
      </w:r>
      <w:proofErr w:type="gramEnd"/>
      <w:r w:rsidRPr="00A94875">
        <w:rPr>
          <w:bCs/>
        </w:rPr>
        <w:t xml:space="preserve"> in Durban, South Africa, 9 September 2018, in conjunction with ITU Telecom World 2018. A consultation with North-American CxOs </w:t>
      </w:r>
      <w:proofErr w:type="gramStart"/>
      <w:r w:rsidRPr="00A94875">
        <w:rPr>
          <w:bCs/>
        </w:rPr>
        <w:t>was held</w:t>
      </w:r>
      <w:proofErr w:type="gramEnd"/>
      <w:r w:rsidRPr="00A94875">
        <w:rPr>
          <w:bCs/>
        </w:rPr>
        <w:t xml:space="preserve"> in California, United States, 9 May 2018, California, United States.</w:t>
      </w:r>
      <w:bookmarkStart w:id="120" w:name="_GoBack"/>
      <w:bookmarkEnd w:id="120"/>
    </w:p>
    <w:p w14:paraId="18252390" w14:textId="77777777" w:rsidR="003B32AB" w:rsidRPr="00A94875" w:rsidRDefault="003B32AB" w:rsidP="003B32AB">
      <w:pPr>
        <w:rPr>
          <w:bCs/>
        </w:rPr>
      </w:pPr>
      <w:r w:rsidRPr="00A94875">
        <w:rPr>
          <w:bCs/>
        </w:rPr>
        <w:t xml:space="preserve">The </w:t>
      </w:r>
      <w:r w:rsidRPr="00A94875">
        <w:rPr>
          <w:b/>
        </w:rPr>
        <w:t>AI for Good Global Summit</w:t>
      </w:r>
      <w:r w:rsidRPr="00A94875">
        <w:rPr>
          <w:bCs/>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14:paraId="63D209A7" w14:textId="77777777" w:rsidR="003B32AB" w:rsidRPr="00A94875" w:rsidRDefault="003B32AB" w:rsidP="003B32AB">
      <w:pPr>
        <w:rPr>
          <w:bCs/>
        </w:rPr>
      </w:pPr>
      <w:proofErr w:type="gramStart"/>
      <w:r w:rsidRPr="00A94875">
        <w:rPr>
          <w:b/>
        </w:rPr>
        <w:t>e-Health</w:t>
      </w:r>
      <w:proofErr w:type="gramEnd"/>
      <w:r w:rsidRPr="00A94875">
        <w:rPr>
          <w:bCs/>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0BC92A4E" w14:textId="7215B86B" w:rsidR="003B32AB" w:rsidRPr="00A94875" w:rsidRDefault="003B32AB" w:rsidP="006126E3">
      <w:r w:rsidRPr="00A94875">
        <w:rPr>
          <w:b/>
          <w:bCs/>
        </w:rPr>
        <w:t xml:space="preserve">Safe listening: </w:t>
      </w:r>
      <w:proofErr w:type="gramStart"/>
      <w:r w:rsidRPr="00A94875">
        <w:t>ITU-T and WHO continue to collaborate in support of the WHO “Make Listening Safe” initiative</w:t>
      </w:r>
      <w:proofErr w:type="gramEnd"/>
      <w:r w:rsidRPr="00A94875">
        <w:t xml:space="preserve">. Recommendation ITU-T H.870 “Guidelines for safe listening devices/systems” is the first standard to result from this collaboration, focusing on the safe listening of ‘personal or portable audio systems’, particularly music players. Future standards in the series expected to address communications and assistive devices as well as gaming consoles. </w:t>
      </w:r>
    </w:p>
    <w:p w14:paraId="3F68B59F" w14:textId="77777777" w:rsidR="003B32AB" w:rsidRPr="00A94875" w:rsidRDefault="003B32AB" w:rsidP="003B32AB">
      <w:pPr>
        <w:rPr>
          <w:bCs/>
        </w:rPr>
      </w:pPr>
      <w:r w:rsidRPr="00A94875">
        <w:rPr>
          <w:b/>
        </w:rPr>
        <w:t>Intelligent transport systems (ITS)</w:t>
      </w:r>
      <w:r w:rsidRPr="00A94875">
        <w:rPr>
          <w:bCs/>
        </w:rPr>
        <w:t xml:space="preserve">: The </w:t>
      </w:r>
      <w:hyperlink r:id="rId80" w:history="1">
        <w:r w:rsidRPr="00A94875">
          <w:rPr>
            <w:rStyle w:val="Hyperlink"/>
            <w:rFonts w:eastAsiaTheme="majorEastAsia"/>
            <w:bCs/>
          </w:rPr>
          <w:t>Collaboration on ITS Communication Standards</w:t>
        </w:r>
      </w:hyperlink>
      <w:r w:rsidRPr="00A94875">
        <w:rPr>
          <w:bCs/>
        </w:rPr>
        <w:t xml:space="preserve"> is a body responsible for the coordination of technical standardization work to encourage the offer of interoperable ITS products. CITS meetings </w:t>
      </w:r>
      <w:proofErr w:type="gramStart"/>
      <w:r w:rsidRPr="00A94875">
        <w:rPr>
          <w:bCs/>
        </w:rPr>
        <w:t>are held</w:t>
      </w:r>
      <w:proofErr w:type="gramEnd"/>
      <w:r w:rsidRPr="00A94875">
        <w:rPr>
          <w:bCs/>
        </w:rPr>
        <w:t xml:space="preserve"> back-to-back with ITU workshops on intelligent transport systems. </w:t>
      </w:r>
    </w:p>
    <w:p w14:paraId="2F0C72F3" w14:textId="77777777" w:rsidR="003B32AB" w:rsidRPr="00A94875" w:rsidRDefault="003B32AB" w:rsidP="003B32AB">
      <w:pPr>
        <w:rPr>
          <w:bCs/>
        </w:rPr>
      </w:pPr>
      <w:r w:rsidRPr="00A94875">
        <w:rPr>
          <w:b/>
        </w:rPr>
        <w:t>Smart Sustainable Cities</w:t>
      </w:r>
      <w:r w:rsidRPr="00A94875">
        <w:rPr>
          <w:bCs/>
        </w:rPr>
        <w:t xml:space="preserve">: The </w:t>
      </w:r>
      <w:hyperlink r:id="rId81" w:history="1">
        <w:r w:rsidRPr="00A94875">
          <w:rPr>
            <w:rStyle w:val="Hyperlink"/>
            <w:rFonts w:eastAsiaTheme="majorEastAsia"/>
            <w:bCs/>
          </w:rPr>
          <w:t>United for Smart Sustainable Cities (U4SSC)</w:t>
        </w:r>
      </w:hyperlink>
      <w:r w:rsidRPr="00A94875">
        <w:rPr>
          <w:rStyle w:val="Hyperlink"/>
          <w:rFonts w:eastAsiaTheme="majorEastAsia"/>
          <w:bCs/>
        </w:rPr>
        <w:t xml:space="preserve"> initiative</w:t>
      </w:r>
      <w:r w:rsidRPr="00A94875">
        <w:rPr>
          <w:bCs/>
        </w:rPr>
        <w:t>, supported by 16 UN bodies, advocates for public policy to ensure that ICTs – and ICT standards in particular – play a definitive role in the transition to smart cities.</w:t>
      </w:r>
    </w:p>
    <w:p w14:paraId="0BA2941F" w14:textId="77777777" w:rsidR="003B32AB" w:rsidRPr="00A94875" w:rsidRDefault="003B32AB" w:rsidP="003B32AB">
      <w:pPr>
        <w:rPr>
          <w:bCs/>
        </w:rPr>
      </w:pPr>
      <w:r w:rsidRPr="00A94875">
        <w:rPr>
          <w:b/>
        </w:rPr>
        <w:t xml:space="preserve">ITU/WMO/UNESCO-IOC Joint Task Force on SMART Cable Systems: </w:t>
      </w:r>
      <w:r w:rsidRPr="00A94875">
        <w:rPr>
          <w:bCs/>
        </w:rPr>
        <w:t>The task force</w:t>
      </w:r>
      <w:r w:rsidRPr="00A94875">
        <w:t xml:space="preserve"> is leading an ambitious new project to equip submarine communications cables with climate and hazard-monitoring sensors.</w:t>
      </w:r>
    </w:p>
    <w:p w14:paraId="77191371" w14:textId="77777777" w:rsidR="003B32AB" w:rsidRPr="00A94875" w:rsidRDefault="003B32AB" w:rsidP="003B32AB">
      <w:pPr>
        <w:rPr>
          <w:bCs/>
        </w:rPr>
      </w:pPr>
      <w:r w:rsidRPr="00A94875">
        <w:rPr>
          <w:b/>
        </w:rPr>
        <w:t xml:space="preserve">Project implementing the ITU-UNECE Key Performance Indicators for Smart Sustainable Cities: </w:t>
      </w:r>
      <w:r w:rsidRPr="00A94875">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14:paraId="180BE05F" w14:textId="77777777" w:rsidR="003B32AB" w:rsidRPr="00A94875" w:rsidRDefault="003B32AB" w:rsidP="003B32AB">
      <w:pPr>
        <w:rPr>
          <w:bCs/>
        </w:rPr>
      </w:pPr>
      <w:r w:rsidRPr="00A94875">
        <w:rPr>
          <w:b/>
        </w:rPr>
        <w:lastRenderedPageBreak/>
        <w:t>ICT, environment and climate change</w:t>
      </w:r>
      <w:r w:rsidRPr="00A94875">
        <w:rPr>
          <w:bCs/>
        </w:rPr>
        <w:t>: ITU-T maintains cooperation with bodies active in environmental sustainability. Participating organizations include UN bodies, standards bodies, regional organizations, academic and research institutes, and industry associations.</w:t>
      </w:r>
    </w:p>
    <w:p w14:paraId="1AAB5BFB" w14:textId="77777777" w:rsidR="003B32AB" w:rsidRPr="00A94875" w:rsidRDefault="003B32AB" w:rsidP="003B32AB">
      <w:r w:rsidRPr="00A94875">
        <w:rPr>
          <w:b/>
        </w:rPr>
        <w:t>Identity management:</w:t>
      </w:r>
      <w:r w:rsidRPr="00A94875">
        <w:t xml:space="preserve"> ITU-T participated in the ID2020 Summit 2018 in New York, United States, 14 September 2018, with a view to exploring the potential for future ITU collaboration with the ID2020 alliance. </w:t>
      </w:r>
    </w:p>
    <w:p w14:paraId="3AF459E4" w14:textId="77777777" w:rsidR="003B32AB" w:rsidRPr="00A94875" w:rsidRDefault="003B32AB" w:rsidP="003B32AB">
      <w:pPr>
        <w:pStyle w:val="Heading2"/>
        <w:rPr>
          <w:rFonts w:asciiTheme="majorBidi" w:hAnsiTheme="majorBidi" w:cstheme="majorBidi"/>
        </w:rPr>
      </w:pPr>
      <w:bookmarkStart w:id="121" w:name="_Toc530571865"/>
      <w:bookmarkStart w:id="122" w:name="_Toc531254867"/>
      <w:r w:rsidRPr="00A94875">
        <w:rPr>
          <w:rFonts w:asciiTheme="majorBidi" w:hAnsiTheme="majorBidi" w:cstheme="majorBidi"/>
        </w:rPr>
        <w:t>6.4</w:t>
      </w:r>
      <w:r w:rsidRPr="00A94875">
        <w:rPr>
          <w:rFonts w:asciiTheme="majorBidi" w:hAnsiTheme="majorBidi" w:cstheme="majorBidi"/>
        </w:rPr>
        <w:tab/>
        <w:t>MoU and cooperation agreements</w:t>
      </w:r>
      <w:bookmarkEnd w:id="121"/>
      <w:bookmarkEnd w:id="122"/>
    </w:p>
    <w:p w14:paraId="4B295206" w14:textId="77777777" w:rsidR="003B32AB" w:rsidRPr="00A94875" w:rsidRDefault="003B32AB" w:rsidP="003B32AB">
      <w:pPr>
        <w:rPr>
          <w:sz w:val="21"/>
        </w:rPr>
      </w:pPr>
      <w:r w:rsidRPr="00A94875">
        <w:rPr>
          <w:b/>
        </w:rPr>
        <w:t>IEC, ISO and ITU</w:t>
      </w:r>
      <w:r w:rsidRPr="00A94875">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rPr>
        <w:t>TSB Director participated in a panel on “Cooperation with IEC and ITU” at the ISO General Assembly in September 2018.</w:t>
      </w:r>
    </w:p>
    <w:p w14:paraId="0B3C93FD" w14:textId="77777777" w:rsidR="003B32AB" w:rsidRPr="00A94875" w:rsidRDefault="003B32AB" w:rsidP="003B32AB">
      <w:r w:rsidRPr="00A94875">
        <w:rPr>
          <w:b/>
        </w:rPr>
        <w:t>Global Standards Collaboration</w:t>
      </w:r>
      <w:r w:rsidRPr="00A94875">
        <w:t xml:space="preserve"> </w:t>
      </w:r>
      <w:r w:rsidRPr="00A94875">
        <w:rPr>
          <w:b/>
          <w:bCs/>
        </w:rPr>
        <w:t>(GSC)</w:t>
      </w:r>
      <w:r w:rsidRPr="00A94875">
        <w:t xml:space="preserve"> assists regional and international SDOs in coordinating their contributions to fields of mutual interest. Topics discussed at GSC meetings from 2015 to 2017 include IoT, 5G, critical communications and public safety, security and privacy, SMEs, Artificial Intelligence and smart cities. ITU hosts the </w:t>
      </w:r>
      <w:hyperlink r:id="rId82" w:history="1">
        <w:r w:rsidRPr="00A94875">
          <w:rPr>
            <w:rStyle w:val="Hyperlink"/>
            <w:rFonts w:eastAsiaTheme="majorEastAsia"/>
          </w:rPr>
          <w:t>repository</w:t>
        </w:r>
      </w:hyperlink>
      <w:r w:rsidRPr="00A94875">
        <w:t xml:space="preserve"> of GSC-documents from past meetings. See </w:t>
      </w:r>
      <w:hyperlink r:id="rId83" w:history="1">
        <w:r w:rsidRPr="00A94875">
          <w:rPr>
            <w:rStyle w:val="Hyperlink"/>
            <w:rFonts w:eastAsiaTheme="majorEastAsia"/>
          </w:rPr>
          <w:t>GSC website</w:t>
        </w:r>
      </w:hyperlink>
      <w:r w:rsidRPr="00A94875">
        <w:t>.</w:t>
      </w:r>
    </w:p>
    <w:p w14:paraId="2E06024A" w14:textId="77777777" w:rsidR="003B32AB" w:rsidRPr="00A94875" w:rsidRDefault="003B32AB" w:rsidP="003B32AB">
      <w:r w:rsidRPr="00A94875">
        <w:rPr>
          <w:b/>
        </w:rPr>
        <w:t>ITU and ETSI</w:t>
      </w:r>
      <w:r w:rsidRPr="00A94875">
        <w:t xml:space="preserve"> reaffirmed their MoU in 2016. ETSI and ITU continue to enjoy successful collaboration in areas including ICT energy efficiency and methodologies to assess ICTs’ environmental impacts and standardization for </w:t>
      </w:r>
      <w:proofErr w:type="gramStart"/>
      <w:r w:rsidRPr="00A94875">
        <w:t>C&amp;I</w:t>
      </w:r>
      <w:proofErr w:type="gramEnd"/>
      <w:r w:rsidRPr="00A94875">
        <w:t xml:space="preserve"> testing.</w:t>
      </w:r>
    </w:p>
    <w:p w14:paraId="37929F42" w14:textId="77777777" w:rsidR="003B32AB" w:rsidRPr="00A94875" w:rsidRDefault="003B32AB" w:rsidP="003B32AB">
      <w:r w:rsidRPr="00A94875">
        <w:rPr>
          <w:b/>
          <w:bCs/>
        </w:rPr>
        <w:t xml:space="preserve">ITU and the NGMN Alliance </w:t>
      </w:r>
      <w:r w:rsidRPr="00A94875">
        <w:t>cooperate in support of</w:t>
      </w:r>
      <w:r w:rsidRPr="00A94875">
        <w:rPr>
          <w:b/>
          <w:bCs/>
        </w:rPr>
        <w:t xml:space="preserve"> </w:t>
      </w:r>
      <w:r w:rsidRPr="00A94875">
        <w:t>the development of next-generation mobile broadband technologies.</w:t>
      </w:r>
    </w:p>
    <w:p w14:paraId="0EF480AB" w14:textId="77777777" w:rsidR="003B32AB" w:rsidRPr="00A94875" w:rsidRDefault="003B32AB" w:rsidP="003B32AB">
      <w:r w:rsidRPr="00A94875">
        <w:rPr>
          <w:b/>
          <w:bCs/>
        </w:rPr>
        <w:t>Financial Inclusion Global Initiative</w:t>
      </w:r>
      <w:r w:rsidRPr="00A94875">
        <w:t xml:space="preserve"> </w:t>
      </w:r>
      <w:r w:rsidRPr="00A94875">
        <w:rPr>
          <w:b/>
          <w:bCs/>
        </w:rPr>
        <w:t>(FIGI)</w:t>
      </w:r>
      <w:r w:rsidRPr="00A94875">
        <w:t xml:space="preserve"> is a three-year programme of collective action led by ITU, the World Bank Group and the Committee on Payments and Market Infrastructures, with support from the Bill &amp; Melinda Gates Foundation. The initiative </w:t>
      </w:r>
      <w:proofErr w:type="gramStart"/>
      <w:r w:rsidRPr="00A94875">
        <w:t>is designed</w:t>
      </w:r>
      <w:proofErr w:type="gramEnd"/>
      <w:r w:rsidRPr="00A94875">
        <w:t xml:space="preserve"> to advance research in digital finance and accelerate digital financial inclusion in developing countries.</w:t>
      </w:r>
    </w:p>
    <w:p w14:paraId="54F8E3DB" w14:textId="77777777" w:rsidR="003B32AB" w:rsidRPr="00A94875" w:rsidRDefault="003B32AB" w:rsidP="003B32AB">
      <w:r w:rsidRPr="00A94875">
        <w:rPr>
          <w:b/>
          <w:bCs/>
        </w:rPr>
        <w:t>ITU cooperates with the</w:t>
      </w:r>
      <w:r w:rsidRPr="00A94875">
        <w:t xml:space="preserve"> </w:t>
      </w:r>
      <w:r w:rsidRPr="00A94875">
        <w:rPr>
          <w:b/>
        </w:rPr>
        <w:t xml:space="preserve">European Committee for Standardization (CEN) and European Committee for Electrotechnical Standardization (CENELEC) </w:t>
      </w:r>
      <w:r w:rsidRPr="00A94875">
        <w:t>in areas of mutual interest, such as trust, privacy, and intelligent transportation systems.</w:t>
      </w:r>
    </w:p>
    <w:p w14:paraId="6B4A2A30" w14:textId="77777777" w:rsidR="003B32AB" w:rsidRPr="00A94875" w:rsidRDefault="003B32AB" w:rsidP="003B32AB">
      <w:pPr>
        <w:rPr>
          <w:highlight w:val="yellow"/>
        </w:rPr>
      </w:pPr>
      <w:r w:rsidRPr="00A94875">
        <w:rPr>
          <w:b/>
        </w:rPr>
        <w:t>ITU and Gesellschaft für Wissenschaftliche Datenverarbeitung Göttingen mbh (GWDG)</w:t>
      </w:r>
      <w:r w:rsidRPr="00A94875">
        <w:t xml:space="preserve"> – the data and competence centre for the Max Planck Society and the Göttingen University – share information on means to improve user experience, data management, and research and training in information technology and data management.</w:t>
      </w:r>
    </w:p>
    <w:p w14:paraId="17416748" w14:textId="77777777" w:rsidR="003B32AB" w:rsidRPr="00A94875" w:rsidRDefault="003B32AB" w:rsidP="003B32AB">
      <w:pPr>
        <w:pStyle w:val="Heading2"/>
        <w:rPr>
          <w:rFonts w:asciiTheme="majorBidi" w:hAnsiTheme="majorBidi" w:cstheme="majorBidi"/>
        </w:rPr>
      </w:pPr>
      <w:bookmarkStart w:id="123" w:name="_Toc530571866"/>
      <w:bookmarkStart w:id="124" w:name="_Toc531254868"/>
      <w:r w:rsidRPr="00A94875">
        <w:rPr>
          <w:rFonts w:asciiTheme="majorBidi" w:hAnsiTheme="majorBidi" w:cstheme="majorBidi"/>
        </w:rPr>
        <w:t>6.5</w:t>
      </w:r>
      <w:r w:rsidRPr="00A94875">
        <w:rPr>
          <w:rFonts w:asciiTheme="majorBidi" w:hAnsiTheme="majorBidi" w:cstheme="majorBidi"/>
        </w:rPr>
        <w:tab/>
        <w:t>Cooperation with national and regional standardization organizations</w:t>
      </w:r>
      <w:bookmarkEnd w:id="123"/>
      <w:bookmarkEnd w:id="124"/>
    </w:p>
    <w:p w14:paraId="4323E1BD" w14:textId="77777777" w:rsidR="003B32AB" w:rsidRPr="00A94875" w:rsidRDefault="003B32AB" w:rsidP="003B32AB">
      <w:pPr>
        <w:spacing w:before="240"/>
      </w:pPr>
      <w:r w:rsidRPr="00A94875">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generated positive results, resulting in increasing requests for additional information on ITU-T activities from national and regional standards bodies. </w:t>
      </w:r>
    </w:p>
    <w:p w14:paraId="5297EC6C" w14:textId="77777777" w:rsidR="003B32AB" w:rsidRPr="00A94875" w:rsidRDefault="003B32AB" w:rsidP="003B32AB">
      <w:proofErr w:type="gramStart"/>
      <w:r w:rsidRPr="00A94875">
        <w:t>2018</w:t>
      </w:r>
      <w:proofErr w:type="gramEnd"/>
      <w:r w:rsidRPr="00A94875">
        <w:t xml:space="preserve"> activities with notable participation from other standards bodies include:</w:t>
      </w:r>
    </w:p>
    <w:p w14:paraId="2955C021"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rPr>
          <w:rFonts w:eastAsiaTheme="majorEastAsia"/>
        </w:rPr>
      </w:pPr>
      <w:r w:rsidRPr="00A94875">
        <w:rPr>
          <w:rFonts w:eastAsiaTheme="majorEastAsia"/>
        </w:rPr>
        <w:t>ITU Workshop on Performance, Quality of Service and Quality of Experience for Multimedia Services, 19-20 March 2018, Dakar, Senegal.</w:t>
      </w:r>
    </w:p>
    <w:p w14:paraId="59B8841C"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rPr>
          <w:rStyle w:val="Hyperlink"/>
          <w:rFonts w:eastAsiaTheme="majorEastAsia"/>
        </w:rPr>
        <w:lastRenderedPageBreak/>
        <w:t>6</w:t>
      </w:r>
      <w:r w:rsidRPr="00A94875">
        <w:rPr>
          <w:rStyle w:val="Hyperlink"/>
        </w:rPr>
        <w:t>th</w:t>
      </w:r>
      <w:r w:rsidRPr="00A94875">
        <w:rPr>
          <w:rStyle w:val="Hyperlink"/>
          <w:rFonts w:eastAsiaTheme="majorEastAsia"/>
        </w:rPr>
        <w:t xml:space="preserve"> ITU-T Study Group 13 regional workshop for Africa on "Standardization of future networks: What are the future opportunities for Africa?"</w:t>
      </w:r>
      <w:r w:rsidRPr="00A94875">
        <w:t>, 26-27 March 2018, Abidjan, Côte D’Ivoire</w:t>
      </w:r>
    </w:p>
    <w:p w14:paraId="16B10303"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rPr>
          <w:rStyle w:val="ms-rtefontface-31"/>
          <w:rFonts w:eastAsiaTheme="majorEastAsia"/>
          <w:color w:val="000000"/>
        </w:rPr>
        <w:t xml:space="preserve">8th ITU Green Standards </w:t>
      </w:r>
      <w:proofErr w:type="gramStart"/>
      <w:r w:rsidRPr="00A94875">
        <w:rPr>
          <w:rStyle w:val="ms-rtefontface-31"/>
          <w:rFonts w:eastAsiaTheme="majorEastAsia"/>
          <w:color w:val="000000"/>
        </w:rPr>
        <w:t xml:space="preserve">Week </w:t>
      </w:r>
      <w:r w:rsidRPr="00A94875">
        <w:t>,</w:t>
      </w:r>
      <w:proofErr w:type="gramEnd"/>
      <w:r w:rsidRPr="00A94875">
        <w:t xml:space="preserve"> 9-12 April 2018, Zanzibar, Tanzania.</w:t>
      </w:r>
    </w:p>
    <w:p w14:paraId="1FCD3F97"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t xml:space="preserve">The yearly Academic Conference Kaleidoscope 2018, as well as the ITU Journal: ICT Discoveries </w:t>
      </w:r>
      <w:proofErr w:type="gramStart"/>
      <w:r w:rsidRPr="00A94875">
        <w:t>were also presented</w:t>
      </w:r>
      <w:proofErr w:type="gramEnd"/>
      <w:r w:rsidRPr="00A94875">
        <w:t>.</w:t>
      </w:r>
    </w:p>
    <w:p w14:paraId="200D51DC"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t>The World Smart City Forum, 29-30 November 2018, organized by IEC, ISO and ITU.</w:t>
      </w:r>
    </w:p>
    <w:p w14:paraId="3A0A1BC5" w14:textId="77777777" w:rsidR="003B32AB" w:rsidRPr="00A94875" w:rsidRDefault="003B32AB" w:rsidP="003B32AB">
      <w:pPr>
        <w:rPr>
          <w:color w:val="000000"/>
        </w:rPr>
      </w:pPr>
      <w:r w:rsidRPr="00A94875">
        <w:rPr>
          <w:color w:val="000000"/>
        </w:rPr>
        <w:t>TSB continues to increase its engagement with the activities of other standards bodies, including:</w:t>
      </w:r>
    </w:p>
    <w:p w14:paraId="30D82CE8" w14:textId="77777777" w:rsidR="003B32AB" w:rsidRPr="00A94875" w:rsidRDefault="003B32AB" w:rsidP="003B32AB">
      <w:pPr>
        <w:rPr>
          <w:color w:val="000000"/>
        </w:rPr>
      </w:pPr>
      <w:r w:rsidRPr="00A94875">
        <w:rPr>
          <w:b/>
          <w:bCs/>
          <w:color w:val="000000"/>
        </w:rPr>
        <w:t>CEN</w:t>
      </w:r>
      <w:r w:rsidRPr="00A94875">
        <w:rPr>
          <w:color w:val="000000"/>
        </w:rPr>
        <w:t>-</w:t>
      </w:r>
      <w:r w:rsidRPr="00A94875">
        <w:rPr>
          <w:b/>
          <w:bCs/>
          <w:color w:val="000000"/>
        </w:rPr>
        <w:t>CENELEC:</w:t>
      </w:r>
      <w:r w:rsidRPr="00A94875">
        <w:rPr>
          <w:bCs/>
          <w:color w:val="000000"/>
        </w:rPr>
        <w:t xml:space="preserve"> </w:t>
      </w:r>
      <w:r w:rsidRPr="00A94875">
        <w:rPr>
          <w:color w:val="000000"/>
        </w:rPr>
        <w:t>TSB participates in CEN-CENELEC Annual Meetings, which in 2018 took place in Bled, Slovenia, 21-22 June 2018.</w:t>
      </w:r>
    </w:p>
    <w:p w14:paraId="703FA009" w14:textId="77777777" w:rsidR="003B32AB" w:rsidRPr="00A94875" w:rsidRDefault="003B32AB" w:rsidP="003B32AB">
      <w:pPr>
        <w:rPr>
          <w:color w:val="000000"/>
        </w:rPr>
      </w:pPr>
      <w:r w:rsidRPr="00A94875">
        <w:rPr>
          <w:b/>
          <w:bCs/>
          <w:color w:val="000000"/>
        </w:rPr>
        <w:t>Pan American Standards Commission (COPANT):</w:t>
      </w:r>
      <w:r w:rsidRPr="00A94875">
        <w:rPr>
          <w:color w:val="000000"/>
        </w:rPr>
        <w:t xml:space="preserve"> TSB participated in COPANT’s Annual General Assembly in Montego </w:t>
      </w:r>
      <w:proofErr w:type="gramStart"/>
      <w:r w:rsidRPr="00A94875">
        <w:rPr>
          <w:color w:val="000000"/>
        </w:rPr>
        <w:t>bay</w:t>
      </w:r>
      <w:proofErr w:type="gramEnd"/>
      <w:r w:rsidRPr="00A94875">
        <w:rPr>
          <w:color w:val="000000"/>
        </w:rPr>
        <w:t>, Jamaica, 15-20 April 2018. In September 2018, TSB briefed COPANT executives on the work of ITU-T.</w:t>
      </w:r>
    </w:p>
    <w:p w14:paraId="53EB7EB7" w14:textId="77777777" w:rsidR="003B32AB" w:rsidRPr="00A94875" w:rsidRDefault="003B32AB" w:rsidP="003B32AB">
      <w:pPr>
        <w:rPr>
          <w:color w:val="000000"/>
        </w:rPr>
      </w:pPr>
      <w:r w:rsidRPr="00A94875">
        <w:rPr>
          <w:b/>
          <w:bCs/>
          <w:color w:val="000000"/>
        </w:rPr>
        <w:t>Pacific Area Standards Congress (PASC)</w:t>
      </w:r>
      <w:r w:rsidRPr="00A94875">
        <w:rPr>
          <w:color w:val="000000"/>
        </w:rPr>
        <w:t>: TSB participated in the 41</w:t>
      </w:r>
      <w:r w:rsidRPr="00A94875">
        <w:rPr>
          <w:color w:val="000000"/>
          <w:vertAlign w:val="superscript"/>
        </w:rPr>
        <w:t>st</w:t>
      </w:r>
      <w:r w:rsidRPr="00A94875">
        <w:rPr>
          <w:color w:val="000000"/>
        </w:rPr>
        <w:t xml:space="preserve"> session of PASC in Okayama, </w:t>
      </w:r>
      <w:proofErr w:type="gramStart"/>
      <w:r w:rsidRPr="00A94875">
        <w:rPr>
          <w:color w:val="000000"/>
        </w:rPr>
        <w:t>Japan,</w:t>
      </w:r>
      <w:proofErr w:type="gramEnd"/>
      <w:r w:rsidRPr="00A94875">
        <w:rPr>
          <w:color w:val="000000"/>
        </w:rPr>
        <w:t xml:space="preserve"> 15-18 May 2018, focusing on discussions aimed strengthen the cooperation among standards bodies. Following the meeting, TSB briefed PASC executives on the work of ITU-T.</w:t>
      </w:r>
    </w:p>
    <w:p w14:paraId="0C691FA8" w14:textId="77777777" w:rsidR="003B32AB" w:rsidRPr="00A94875" w:rsidRDefault="003B32AB" w:rsidP="003B32AB">
      <w:pPr>
        <w:rPr>
          <w:color w:val="000000"/>
        </w:rPr>
      </w:pPr>
      <w:r w:rsidRPr="00A94875">
        <w:rPr>
          <w:b/>
          <w:bCs/>
          <w:color w:val="000000"/>
        </w:rPr>
        <w:t xml:space="preserve">African Organization for Standardization (ARSO): </w:t>
      </w:r>
      <w:r w:rsidRPr="00A94875">
        <w:rPr>
          <w:color w:val="000000"/>
        </w:rPr>
        <w:t xml:space="preserve"> TSB participated in the 24th ARSO General Assembly and African Day of Standardization in Durban, South Africa, 18-22 June 2018. In September 2018, TSB briefed ARSO executives on the work of ITU-T.</w:t>
      </w:r>
    </w:p>
    <w:p w14:paraId="37F01618" w14:textId="77777777" w:rsidR="003B32AB" w:rsidRPr="00A94875" w:rsidRDefault="003B32AB" w:rsidP="003B32AB">
      <w:pPr>
        <w:pStyle w:val="Heading1"/>
        <w:rPr>
          <w:rFonts w:asciiTheme="majorBidi" w:hAnsiTheme="majorBidi" w:cstheme="majorBidi"/>
        </w:rPr>
      </w:pPr>
      <w:bookmarkStart w:id="125" w:name="_Toc416161356"/>
      <w:bookmarkStart w:id="126" w:name="_Toc438553979"/>
      <w:bookmarkStart w:id="127" w:name="_Toc453929098"/>
      <w:bookmarkStart w:id="128" w:name="_Toc453932969"/>
      <w:bookmarkStart w:id="129" w:name="_Toc454295875"/>
      <w:bookmarkStart w:id="130" w:name="_Toc480527846"/>
      <w:bookmarkStart w:id="131" w:name="_Toc530571867"/>
      <w:bookmarkStart w:id="132" w:name="_Toc531254869"/>
      <w:r w:rsidRPr="00A94875">
        <w:rPr>
          <w:rFonts w:asciiTheme="majorBidi" w:eastAsiaTheme="minorEastAsia" w:hAnsiTheme="majorBidi" w:cstheme="majorBidi"/>
        </w:rPr>
        <w:t>7</w:t>
      </w:r>
      <w:r w:rsidRPr="00A94875">
        <w:rPr>
          <w:rFonts w:asciiTheme="majorBidi" w:eastAsiaTheme="minorEastAsia" w:hAnsiTheme="majorBidi" w:cstheme="majorBidi"/>
        </w:rPr>
        <w:tab/>
      </w:r>
      <w:r w:rsidRPr="00A94875">
        <w:rPr>
          <w:rFonts w:asciiTheme="majorBidi" w:hAnsiTheme="majorBidi" w:cstheme="majorBidi"/>
        </w:rPr>
        <w:t>Bridging the standardization gap</w:t>
      </w:r>
      <w:bookmarkStart w:id="133" w:name="_Toc328209623"/>
      <w:bookmarkStart w:id="134" w:name="_Toc337476742"/>
      <w:bookmarkStart w:id="135" w:name="_Toc416161362"/>
      <w:bookmarkStart w:id="136" w:name="_Toc438553985"/>
      <w:bookmarkStart w:id="137" w:name="_Toc453929107"/>
      <w:bookmarkStart w:id="138" w:name="_Toc453932978"/>
      <w:bookmarkStart w:id="139" w:name="_Toc454295884"/>
      <w:bookmarkEnd w:id="125"/>
      <w:bookmarkEnd w:id="126"/>
      <w:bookmarkEnd w:id="127"/>
      <w:bookmarkEnd w:id="128"/>
      <w:bookmarkEnd w:id="129"/>
      <w:bookmarkEnd w:id="130"/>
      <w:bookmarkEnd w:id="131"/>
      <w:bookmarkEnd w:id="132"/>
    </w:p>
    <w:p w14:paraId="108C7B0D"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rPr>
        <w:t>ITU’s</w:t>
      </w:r>
      <w:proofErr w:type="gramEnd"/>
      <w:r w:rsidRPr="00A94875">
        <w:rPr>
          <w:rFonts w:asciiTheme="majorBidi" w:hAnsiTheme="majorBidi" w:cstheme="majorBidi"/>
        </w:rPr>
        <w:t xml:space="preserve"> Bridging the Standardization Gap (BSG) programme improves the capacity of developing countries to participate in the development and implementation of international ICT standards.</w:t>
      </w:r>
    </w:p>
    <w:p w14:paraId="78595D83" w14:textId="77777777" w:rsidR="003B32AB" w:rsidRPr="00A94875" w:rsidRDefault="003B32AB" w:rsidP="003B32AB">
      <w:pPr>
        <w:rPr>
          <w:rFonts w:asciiTheme="majorBidi" w:hAnsiTheme="majorBidi" w:cstheme="majorBidi"/>
        </w:rPr>
      </w:pPr>
      <w:r w:rsidRPr="00A94875">
        <w:rPr>
          <w:rFonts w:asciiTheme="majorBidi" w:hAnsiTheme="majorBidi" w:cstheme="majorBidi"/>
        </w:rPr>
        <w:t>WTSA-16 agreed an Action Plan to address further the disparity in standardization between developed and developing countries, including least-developed countries, Small Island Developing States (SIDS) and countries with economies in transition.</w:t>
      </w:r>
    </w:p>
    <w:p w14:paraId="176568D9" w14:textId="77777777" w:rsidR="003B32AB" w:rsidRPr="00A94875" w:rsidRDefault="003B32AB" w:rsidP="003B32AB">
      <w:r w:rsidRPr="00A94875">
        <w:t xml:space="preserve">The revamped BSG Programme is structured around </w:t>
      </w:r>
      <w:proofErr w:type="gramStart"/>
      <w:r w:rsidRPr="00A94875">
        <w:t>5</w:t>
      </w:r>
      <w:proofErr w:type="gramEnd"/>
      <w:r w:rsidRPr="00A94875">
        <w:t xml:space="preserve"> pillars, responding to WTSA Resolution 44. The </w:t>
      </w:r>
      <w:proofErr w:type="gramStart"/>
      <w:r w:rsidRPr="00A94875">
        <w:t>5</w:t>
      </w:r>
      <w:proofErr w:type="gramEnd"/>
      <w:r w:rsidRPr="00A94875">
        <w:t xml:space="preserve"> pillars of the BSG programme are: Engagement, know-how, community, awareness, and partnering:</w:t>
      </w:r>
    </w:p>
    <w:p w14:paraId="287402DB"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14:paraId="059E63FA"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Know-how</w:t>
      </w:r>
      <w:proofErr w:type="gramEnd"/>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tutorials and e-learning courses.</w:t>
      </w:r>
    </w:p>
    <w:p w14:paraId="286E2E2F"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focused on empowerment at regional and national levels. Regional Groups within ITU-T Study Groups are a prime example, ensuring that </w:t>
      </w:r>
      <w:proofErr w:type="gramStart"/>
      <w:r w:rsidRPr="00A94875">
        <w:rPr>
          <w:rFonts w:asciiTheme="majorBidi" w:hAnsiTheme="majorBidi" w:cstheme="majorBidi"/>
          <w:sz w:val="24"/>
          <w:szCs w:val="24"/>
          <w:lang w:val="en-GB"/>
        </w:rPr>
        <w:t>standards-making</w:t>
      </w:r>
      <w:proofErr w:type="gramEnd"/>
      <w:r w:rsidRPr="00A94875">
        <w:rPr>
          <w:rFonts w:asciiTheme="majorBidi" w:hAnsiTheme="majorBidi" w:cstheme="majorBidi"/>
          <w:sz w:val="24"/>
          <w:szCs w:val="24"/>
          <w:lang w:val="en-GB"/>
        </w:rPr>
        <w:t xml:space="preserve"> is inclusive of the needs of all regions.</w:t>
      </w:r>
    </w:p>
    <w:p w14:paraId="25EE9C0A"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using ITU-T publications on a wide range of topics as well as Regional and Inter-Regional standardization forums.</w:t>
      </w:r>
    </w:p>
    <w:p w14:paraId="4DE4F2BD"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Partnering</w:t>
      </w:r>
      <w:proofErr w:type="gramEnd"/>
      <w:r w:rsidRPr="00A94875">
        <w:rPr>
          <w:rFonts w:asciiTheme="majorBidi" w:hAnsiTheme="majorBidi" w:cstheme="majorBidi"/>
          <w:sz w:val="24"/>
          <w:szCs w:val="24"/>
          <w:lang w:val="en-GB"/>
        </w:rPr>
        <w:t xml:space="preserve"> is about mobilizing resources and fostering collaboration.</w:t>
      </w:r>
    </w:p>
    <w:p w14:paraId="634124F5" w14:textId="77777777" w:rsidR="003B32AB" w:rsidRPr="00A94875" w:rsidRDefault="003B32AB" w:rsidP="003B32AB">
      <w:pPr>
        <w:keepNext/>
        <w:jc w:val="center"/>
      </w:pPr>
      <w:r w:rsidRPr="00A94875">
        <w:rPr>
          <w:rFonts w:asciiTheme="majorBidi" w:hAnsiTheme="majorBidi" w:cstheme="majorBidi"/>
          <w:noProof/>
          <w:lang w:eastAsia="zh-CN"/>
        </w:rPr>
        <w:lastRenderedPageBreak/>
        <w:drawing>
          <wp:inline distT="0" distB="0" distL="0" distR="0" wp14:anchorId="0D7C8E7F" wp14:editId="7E7347A5">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4"/>
                    <a:stretch>
                      <a:fillRect/>
                    </a:stretch>
                  </pic:blipFill>
                  <pic:spPr>
                    <a:xfrm>
                      <a:off x="0" y="0"/>
                      <a:ext cx="4129240" cy="2451669"/>
                    </a:xfrm>
                    <a:prstGeom prst="rect">
                      <a:avLst/>
                    </a:prstGeom>
                  </pic:spPr>
                </pic:pic>
              </a:graphicData>
            </a:graphic>
          </wp:inline>
        </w:drawing>
      </w:r>
    </w:p>
    <w:p w14:paraId="5533C536" w14:textId="77777777" w:rsidR="003B32AB" w:rsidRPr="00A94875" w:rsidRDefault="003B32AB" w:rsidP="003B32AB">
      <w:pPr>
        <w:pStyle w:val="Caption"/>
        <w:jc w:val="center"/>
        <w:rPr>
          <w:rFonts w:asciiTheme="majorBidi" w:hAnsiTheme="majorBidi" w:cstheme="majorBidi"/>
          <w:sz w:val="24"/>
          <w:szCs w:val="24"/>
        </w:rPr>
      </w:pPr>
      <w:r w:rsidRPr="00A94875">
        <w:rPr>
          <w:sz w:val="24"/>
          <w:szCs w:val="24"/>
        </w:rPr>
        <w:t xml:space="preserve">Figure </w:t>
      </w:r>
      <w:r w:rsidRPr="00A94875">
        <w:rPr>
          <w:sz w:val="24"/>
          <w:szCs w:val="24"/>
        </w:rPr>
        <w:fldChar w:fldCharType="begin"/>
      </w:r>
      <w:r w:rsidRPr="00A94875">
        <w:rPr>
          <w:sz w:val="24"/>
          <w:szCs w:val="24"/>
        </w:rPr>
        <w:instrText xml:space="preserve"> SEQ Figure \* ARABIC </w:instrText>
      </w:r>
      <w:r w:rsidRPr="00A94875">
        <w:rPr>
          <w:sz w:val="24"/>
          <w:szCs w:val="24"/>
        </w:rPr>
        <w:fldChar w:fldCharType="separate"/>
      </w:r>
      <w:r>
        <w:rPr>
          <w:noProof/>
          <w:sz w:val="24"/>
          <w:szCs w:val="24"/>
        </w:rPr>
        <w:t>1</w:t>
      </w:r>
      <w:r w:rsidRPr="00A94875">
        <w:rPr>
          <w:sz w:val="24"/>
          <w:szCs w:val="24"/>
        </w:rPr>
        <w:fldChar w:fldCharType="end"/>
      </w:r>
      <w:r w:rsidRPr="00A94875">
        <w:rPr>
          <w:sz w:val="24"/>
          <w:szCs w:val="24"/>
        </w:rPr>
        <w:t xml:space="preserve"> - Five pillars of the BSG Programme</w:t>
      </w:r>
    </w:p>
    <w:p w14:paraId="3E218C46" w14:textId="77777777" w:rsidR="003B32AB" w:rsidRPr="00A94875" w:rsidRDefault="003B32AB" w:rsidP="003B32AB">
      <w:pPr>
        <w:pStyle w:val="Heading2"/>
        <w:rPr>
          <w:rFonts w:asciiTheme="majorBidi" w:hAnsiTheme="majorBidi" w:cstheme="majorBidi"/>
        </w:rPr>
      </w:pPr>
      <w:bookmarkStart w:id="140" w:name="_Toc462664261"/>
      <w:bookmarkStart w:id="141" w:name="_Toc480527847"/>
      <w:bookmarkStart w:id="142" w:name="_Toc530571868"/>
      <w:bookmarkStart w:id="143" w:name="_Toc531254870"/>
      <w:r w:rsidRPr="00A94875">
        <w:rPr>
          <w:rFonts w:asciiTheme="majorBidi" w:hAnsiTheme="majorBidi" w:cstheme="majorBidi"/>
        </w:rPr>
        <w:t>7.1</w:t>
      </w:r>
      <w:r w:rsidRPr="00A94875">
        <w:rPr>
          <w:rFonts w:asciiTheme="majorBidi" w:hAnsiTheme="majorBidi" w:cstheme="majorBidi"/>
        </w:rPr>
        <w:tab/>
      </w:r>
      <w:bookmarkEnd w:id="140"/>
      <w:r w:rsidRPr="00A94875">
        <w:rPr>
          <w:rFonts w:asciiTheme="majorBidi" w:hAnsiTheme="majorBidi" w:cstheme="majorBidi"/>
        </w:rPr>
        <w:t>BSG hands-on training sessions</w:t>
      </w:r>
      <w:bookmarkEnd w:id="141"/>
      <w:bookmarkEnd w:id="142"/>
      <w:bookmarkEnd w:id="143"/>
    </w:p>
    <w:p w14:paraId="280F233C" w14:textId="77777777" w:rsidR="003B32AB" w:rsidRPr="00A94875" w:rsidRDefault="003B32AB" w:rsidP="003B32AB">
      <w:r w:rsidRPr="00A94875">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67C78B69" w14:textId="77777777" w:rsidR="003B32AB" w:rsidRPr="00A94875" w:rsidRDefault="003B32AB" w:rsidP="003B32AB">
      <w:pPr>
        <w:keepNext/>
        <w:jc w:val="center"/>
      </w:pPr>
      <w:r w:rsidRPr="00A94875">
        <w:rPr>
          <w:noProof/>
          <w:lang w:eastAsia="zh-CN"/>
        </w:rPr>
        <w:drawing>
          <wp:inline distT="0" distB="0" distL="0" distR="0" wp14:anchorId="279076E9" wp14:editId="6C2E86C2">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14:paraId="6D3C3A72" w14:textId="77777777" w:rsidR="003B32AB" w:rsidRPr="00A94875" w:rsidRDefault="003B32AB" w:rsidP="003B32AB">
      <w:pPr>
        <w:pStyle w:val="Caption"/>
        <w:jc w:val="center"/>
        <w:rPr>
          <w:rFonts w:asciiTheme="majorBidi" w:hAnsiTheme="majorBidi" w:cstheme="majorBidi"/>
          <w:sz w:val="24"/>
          <w:szCs w:val="24"/>
        </w:rPr>
      </w:pPr>
      <w:r w:rsidRPr="00A94875">
        <w:rPr>
          <w:rFonts w:asciiTheme="majorBidi" w:hAnsiTheme="majorBidi" w:cstheme="majorBidi"/>
          <w:sz w:val="24"/>
          <w:szCs w:val="24"/>
        </w:rPr>
        <w:t xml:space="preserve">Figure </w:t>
      </w:r>
      <w:proofErr w:type="gramStart"/>
      <w:r w:rsidRPr="00A94875">
        <w:rPr>
          <w:rFonts w:asciiTheme="majorBidi" w:hAnsiTheme="majorBidi" w:cstheme="majorBidi"/>
          <w:sz w:val="24"/>
          <w:szCs w:val="24"/>
        </w:rPr>
        <w:t>1</w:t>
      </w:r>
      <w:proofErr w:type="gramEnd"/>
      <w:r w:rsidRPr="00A94875">
        <w:rPr>
          <w:rFonts w:asciiTheme="majorBidi" w:hAnsiTheme="majorBidi" w:cstheme="majorBidi"/>
          <w:sz w:val="24"/>
          <w:szCs w:val="24"/>
        </w:rPr>
        <w:t xml:space="preserve"> – Key Statistics on hands-on capacity-building training sessions</w:t>
      </w:r>
    </w:p>
    <w:p w14:paraId="3A9B188E" w14:textId="77777777" w:rsidR="003B32AB" w:rsidRPr="00A94875" w:rsidRDefault="003B32AB" w:rsidP="003B32AB">
      <w:pPr>
        <w:pStyle w:val="Heading2"/>
        <w:rPr>
          <w:rFonts w:asciiTheme="majorBidi" w:hAnsiTheme="majorBidi" w:cstheme="majorBidi"/>
        </w:rPr>
      </w:pPr>
      <w:bookmarkStart w:id="144" w:name="_Toc480527848"/>
      <w:bookmarkStart w:id="145" w:name="_Toc530571869"/>
      <w:bookmarkStart w:id="146" w:name="_Toc531254871"/>
      <w:r w:rsidRPr="00A94875">
        <w:rPr>
          <w:rFonts w:asciiTheme="majorBidi" w:hAnsiTheme="majorBidi" w:cstheme="majorBidi"/>
        </w:rPr>
        <w:t>7.2</w:t>
      </w:r>
      <w:r w:rsidRPr="00A94875">
        <w:rPr>
          <w:rFonts w:asciiTheme="majorBidi" w:hAnsiTheme="majorBidi" w:cstheme="majorBidi"/>
        </w:rPr>
        <w:tab/>
        <w:t>Regional Groups</w:t>
      </w:r>
      <w:bookmarkEnd w:id="144"/>
      <w:bookmarkEnd w:id="145"/>
      <w:bookmarkEnd w:id="146"/>
    </w:p>
    <w:p w14:paraId="6B09E436" w14:textId="77777777" w:rsidR="003B32AB" w:rsidRPr="00A94875" w:rsidRDefault="003B32AB" w:rsidP="003B32AB">
      <w:pPr>
        <w:rPr>
          <w:rFonts w:asciiTheme="majorBidi" w:hAnsiTheme="majorBidi" w:cstheme="majorBidi"/>
        </w:rPr>
      </w:pPr>
      <w:bookmarkStart w:id="147" w:name="_Toc480527849"/>
      <w:r w:rsidRPr="00A94875">
        <w:rPr>
          <w:rFonts w:asciiTheme="majorBidi" w:hAnsiTheme="majorBidi" w:cstheme="majorBidi"/>
        </w:rPr>
        <w:t>Regional Groups within ITU-T Study Groups have proven effective mechanisms to coordinate regional contributions to ITU and increase the number and quality of technical contributions from developing countries.</w:t>
      </w:r>
    </w:p>
    <w:p w14:paraId="7584E9A5" w14:textId="77777777" w:rsidR="003B32AB" w:rsidRPr="00A94875" w:rsidRDefault="003B32AB" w:rsidP="003B32AB">
      <w:pPr>
        <w:tabs>
          <w:tab w:val="left" w:pos="1134"/>
          <w:tab w:val="left" w:pos="1871"/>
          <w:tab w:val="left" w:pos="2268"/>
        </w:tabs>
        <w:rPr>
          <w:rFonts w:asciiTheme="majorBidi" w:hAnsiTheme="majorBidi" w:cstheme="majorBidi"/>
        </w:rPr>
      </w:pPr>
      <w:r w:rsidRPr="00A94875">
        <w:rPr>
          <w:rFonts w:asciiTheme="majorBidi" w:hAnsiTheme="majorBidi" w:cstheme="majorBidi"/>
        </w:rPr>
        <w:t>Participation in Regional Group meetings continues to increase, with more than 520 delegates participating in 2018, compared to just over 300 in 2016.</w:t>
      </w:r>
    </w:p>
    <w:p w14:paraId="07044CDD" w14:textId="77777777" w:rsidR="003B32AB" w:rsidRPr="00A94875" w:rsidRDefault="003B32AB" w:rsidP="003B32AB">
      <w:pPr>
        <w:tabs>
          <w:tab w:val="left" w:pos="1134"/>
          <w:tab w:val="left" w:pos="1871"/>
          <w:tab w:val="left" w:pos="2268"/>
        </w:tabs>
        <w:rPr>
          <w:rFonts w:asciiTheme="majorBidi" w:hAnsiTheme="majorBidi" w:cstheme="majorBidi"/>
        </w:rPr>
      </w:pPr>
      <w:r w:rsidRPr="00A94875">
        <w:rPr>
          <w:b/>
          <w:bCs/>
          <w:noProof/>
          <w:lang w:eastAsia="zh-CN"/>
        </w:rPr>
        <w:drawing>
          <wp:anchor distT="0" distB="0" distL="114300" distR="114300" simplePos="0" relativeHeight="251659264" behindDoc="1" locked="0" layoutInCell="1" allowOverlap="1" wp14:anchorId="4FF4B092" wp14:editId="7926A0AF">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6"/>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rPr>
        <w:t xml:space="preserve">In 2018, ITU celebrates 50 years of the existence of ITU-T Regional Groups. The first four Regional Groups under ITU-T Study Group 3 were established in 1968 by the </w:t>
      </w:r>
      <w:proofErr w:type="gramStart"/>
      <w:r w:rsidRPr="00A94875">
        <w:rPr>
          <w:rFonts w:asciiTheme="majorBidi" w:hAnsiTheme="majorBidi" w:cstheme="majorBidi"/>
        </w:rPr>
        <w:t>4th</w:t>
      </w:r>
      <w:proofErr w:type="gramEnd"/>
      <w:r w:rsidRPr="00A94875">
        <w:rPr>
          <w:rFonts w:asciiTheme="majorBidi" w:hAnsiTheme="majorBidi" w:cstheme="majorBidi"/>
        </w:rPr>
        <w:t xml:space="preserve"> Plenary Assembly of CCITT.</w:t>
      </w:r>
    </w:p>
    <w:p w14:paraId="4B057FBE" w14:textId="77777777" w:rsidR="003B32AB" w:rsidRPr="00A94875" w:rsidRDefault="003B32AB" w:rsidP="003B32AB">
      <w:pPr>
        <w:tabs>
          <w:tab w:val="left" w:pos="1134"/>
          <w:tab w:val="left" w:pos="1871"/>
          <w:tab w:val="left" w:pos="2268"/>
        </w:tabs>
        <w:spacing w:line="276" w:lineRule="auto"/>
        <w:rPr>
          <w:rFonts w:asciiTheme="majorBidi" w:hAnsiTheme="majorBidi" w:cstheme="majorBidi"/>
        </w:rPr>
      </w:pPr>
      <w:r w:rsidRPr="00A94875">
        <w:rPr>
          <w:rFonts w:asciiTheme="majorBidi" w:hAnsiTheme="majorBidi" w:cstheme="majorBidi"/>
        </w:rPr>
        <w:t>Since February 2018, 15 Regional Groups have held meetings:</w:t>
      </w:r>
    </w:p>
    <w:p w14:paraId="2D02847A"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14:paraId="54A0F7BD"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14:paraId="3E4CE913"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14:paraId="27964875"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14:paraId="4B668014"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14:paraId="364C555C" w14:textId="77777777" w:rsidR="003B32AB" w:rsidRPr="00A94875" w:rsidRDefault="003B32AB" w:rsidP="003B32AB">
      <w:pPr>
        <w:pStyle w:val="Heading2"/>
        <w:rPr>
          <w:rFonts w:asciiTheme="majorBidi" w:hAnsiTheme="majorBidi" w:cstheme="majorBidi"/>
        </w:rPr>
      </w:pPr>
      <w:bookmarkStart w:id="148" w:name="_Toc530571870"/>
      <w:bookmarkStart w:id="149" w:name="_Toc531254872"/>
      <w:r w:rsidRPr="00A94875">
        <w:rPr>
          <w:rFonts w:asciiTheme="majorBidi" w:hAnsiTheme="majorBidi" w:cstheme="majorBidi"/>
        </w:rPr>
        <w:lastRenderedPageBreak/>
        <w:t>7.3</w:t>
      </w:r>
      <w:r w:rsidRPr="00A94875">
        <w:rPr>
          <w:rFonts w:asciiTheme="majorBidi" w:hAnsiTheme="majorBidi" w:cstheme="majorBidi"/>
        </w:rPr>
        <w:tab/>
        <w:t>Regional Standardization Forums</w:t>
      </w:r>
      <w:bookmarkEnd w:id="147"/>
      <w:bookmarkEnd w:id="148"/>
      <w:bookmarkEnd w:id="149"/>
    </w:p>
    <w:p w14:paraId="297378F3" w14:textId="77777777" w:rsidR="003B32AB" w:rsidRPr="00A94875" w:rsidRDefault="003B32AB" w:rsidP="003B32AB">
      <w:r w:rsidRPr="00A94875">
        <w:t xml:space="preserve">Regional Standardization Forums (RSFs) provide tutorials on ITU-T working methods as well as more </w:t>
      </w:r>
      <w:proofErr w:type="gramStart"/>
      <w:r w:rsidRPr="00A94875">
        <w:t>technically-oriented</w:t>
      </w:r>
      <w:proofErr w:type="gramEnd"/>
      <w:r w:rsidRPr="00A94875">
        <w:t xml:space="preserve"> themes such as human exposure to EMF, quality of service, smart water management, international mobile roaming, mobile financial services, digital identity, big data, and security and trust.</w:t>
      </w:r>
    </w:p>
    <w:p w14:paraId="4DF3C38A" w14:textId="77777777" w:rsidR="003B32AB" w:rsidRPr="00A94875" w:rsidRDefault="003B32AB" w:rsidP="003B32AB">
      <w:r w:rsidRPr="00A94875">
        <w:t xml:space="preserve">RSFs </w:t>
      </w:r>
      <w:proofErr w:type="gramStart"/>
      <w:r w:rsidRPr="00A94875">
        <w:t>are being held</w:t>
      </w:r>
      <w:proofErr w:type="gramEnd"/>
      <w:r w:rsidRPr="00A94875">
        <w:t xml:space="preserve">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14:paraId="1BA166FE" w14:textId="77777777" w:rsidR="003B32AB" w:rsidRPr="00A94875" w:rsidRDefault="003B32AB" w:rsidP="003B32AB">
      <w:r w:rsidRPr="00A94875">
        <w:t xml:space="preserve">The following RSFs </w:t>
      </w:r>
      <w:proofErr w:type="gramStart"/>
      <w:r w:rsidRPr="00A94875">
        <w:t>were held</w:t>
      </w:r>
      <w:proofErr w:type="gramEnd"/>
      <w:r w:rsidRPr="00A94875">
        <w:t xml:space="preserve"> in 2018:</w:t>
      </w:r>
    </w:p>
    <w:p w14:paraId="19F8DA4B" w14:textId="77777777" w:rsidR="003B32AB" w:rsidRPr="00A94875" w:rsidRDefault="003B32AB" w:rsidP="003B32AB">
      <w:pPr>
        <w:pStyle w:val="ListParagraph"/>
        <w:numPr>
          <w:ilvl w:val="0"/>
          <w:numId w:val="23"/>
        </w:numPr>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14:paraId="7ADB35AD" w14:textId="77777777" w:rsidR="003B32AB" w:rsidRPr="00A94875" w:rsidRDefault="003B32AB" w:rsidP="003B32AB">
      <w:pPr>
        <w:pStyle w:val="ListParagraph"/>
        <w:numPr>
          <w:ilvl w:val="0"/>
          <w:numId w:val="23"/>
        </w:numPr>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X’ian, China, 27 August 2018.</w:t>
      </w:r>
    </w:p>
    <w:p w14:paraId="46A72429" w14:textId="77777777" w:rsidR="003B32AB" w:rsidRPr="00A94875" w:rsidRDefault="003B32AB" w:rsidP="003B32AB">
      <w:pPr>
        <w:pStyle w:val="Heading2"/>
        <w:rPr>
          <w:rFonts w:asciiTheme="majorBidi" w:hAnsiTheme="majorBidi" w:cstheme="majorBidi"/>
        </w:rPr>
      </w:pPr>
      <w:bookmarkStart w:id="150" w:name="_Toc475354525"/>
      <w:bookmarkStart w:id="151" w:name="_Toc480527850"/>
      <w:bookmarkStart w:id="152" w:name="_Toc530571871"/>
      <w:bookmarkStart w:id="153" w:name="_Toc531254873"/>
      <w:r w:rsidRPr="00A94875">
        <w:rPr>
          <w:rFonts w:asciiTheme="majorBidi" w:hAnsiTheme="majorBidi" w:cstheme="majorBidi"/>
        </w:rPr>
        <w:t>7.4</w:t>
      </w:r>
      <w:r w:rsidRPr="00A94875">
        <w:rPr>
          <w:rFonts w:asciiTheme="majorBidi" w:hAnsiTheme="majorBidi" w:cstheme="majorBidi"/>
        </w:rPr>
        <w:tab/>
      </w:r>
      <w:bookmarkStart w:id="154" w:name="_Toc475354527"/>
      <w:bookmarkStart w:id="155" w:name="_Toc480527852"/>
      <w:bookmarkEnd w:id="150"/>
      <w:bookmarkEnd w:id="151"/>
      <w:r w:rsidRPr="00A94875">
        <w:rPr>
          <w:rFonts w:asciiTheme="majorBidi" w:hAnsiTheme="majorBidi" w:cstheme="majorBidi"/>
        </w:rPr>
        <w:t>National Standardization Secretariats</w:t>
      </w:r>
      <w:bookmarkEnd w:id="152"/>
      <w:bookmarkEnd w:id="153"/>
      <w:r w:rsidRPr="00A94875">
        <w:rPr>
          <w:rFonts w:asciiTheme="majorBidi" w:hAnsiTheme="majorBidi" w:cstheme="majorBidi"/>
        </w:rPr>
        <w:t xml:space="preserve"> </w:t>
      </w:r>
    </w:p>
    <w:p w14:paraId="15230B8B" w14:textId="77777777" w:rsidR="003B32AB" w:rsidRPr="00A94875" w:rsidRDefault="003B32AB" w:rsidP="003B32AB">
      <w:pPr>
        <w:keepNext/>
        <w:keepLines/>
      </w:pPr>
      <w:r w:rsidRPr="00A94875">
        <w:rPr>
          <w:rFonts w:asciiTheme="majorBidi" w:hAnsiTheme="majorBidi" w:cstheme="majorBidi"/>
        </w:rPr>
        <w:t xml:space="preserve">ITU-T is finalizing new Guidelines for National Standardization Secretariats (NSS), taking into account the Membership feedback on the </w:t>
      </w:r>
      <w:hyperlink r:id="rId87" w:history="1">
        <w:r w:rsidRPr="00A94875">
          <w:rPr>
            <w:rStyle w:val="Hyperlink"/>
            <w:rFonts w:cstheme="majorBidi"/>
          </w:rPr>
          <w:t>"Guidelines on the establishment of a National Standardization Secretariat for ITU-T"</w:t>
        </w:r>
      </w:hyperlink>
      <w:r w:rsidRPr="00A94875">
        <w:rPr>
          <w:rFonts w:asciiTheme="majorBidi" w:hAnsiTheme="majorBidi" w:cstheme="majorBidi"/>
        </w:rPr>
        <w:t xml:space="preserve"> first published in 2014. </w:t>
      </w:r>
      <w:r w:rsidRPr="00A94875">
        <w:t>The new Guidelines set out a number of options for developing national procedures and processes to support effective participation in the ITU-T standards-development process.</w:t>
      </w:r>
    </w:p>
    <w:p w14:paraId="7C7E9461" w14:textId="77777777" w:rsidR="003B32AB" w:rsidRPr="00A94875" w:rsidRDefault="003B32AB" w:rsidP="003B32AB">
      <w:r w:rsidRPr="00A94875">
        <w:t xml:space="preserve">The working procedures of ITU-T </w:t>
      </w:r>
      <w:proofErr w:type="gramStart"/>
      <w:r w:rsidRPr="00A94875">
        <w:t>are briefly outlined</w:t>
      </w:r>
      <w:proofErr w:type="gramEnd"/>
      <w:r w:rsidRPr="00A94875">
        <w:t>,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14:paraId="1F0F58FB" w14:textId="77777777" w:rsidR="003B32AB" w:rsidRPr="00A94875" w:rsidRDefault="003B32AB" w:rsidP="003B32AB">
      <w:proofErr w:type="gramStart"/>
      <w:r w:rsidRPr="00A94875">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roofErr w:type="gramEnd"/>
    </w:p>
    <w:p w14:paraId="2AD565E2" w14:textId="77777777" w:rsidR="003B32AB" w:rsidRPr="00A94875" w:rsidRDefault="003B32AB" w:rsidP="003B32AB">
      <w:pPr>
        <w:pStyle w:val="Heading2"/>
        <w:keepNext w:val="0"/>
        <w:keepLines w:val="0"/>
        <w:rPr>
          <w:rFonts w:asciiTheme="majorBidi" w:hAnsiTheme="majorBidi" w:cstheme="majorBidi"/>
        </w:rPr>
      </w:pPr>
      <w:bookmarkStart w:id="156" w:name="_Toc530571872"/>
      <w:bookmarkStart w:id="157" w:name="_Toc531254874"/>
      <w:r w:rsidRPr="00A94875">
        <w:rPr>
          <w:rFonts w:asciiTheme="majorBidi" w:hAnsiTheme="majorBidi" w:cstheme="majorBidi"/>
        </w:rPr>
        <w:t>7.5</w:t>
      </w:r>
      <w:r w:rsidRPr="00A94875">
        <w:rPr>
          <w:rFonts w:asciiTheme="majorBidi" w:hAnsiTheme="majorBidi" w:cstheme="majorBidi"/>
        </w:rPr>
        <w:tab/>
        <w:t>e-Learning courses</w:t>
      </w:r>
      <w:bookmarkEnd w:id="154"/>
      <w:bookmarkEnd w:id="155"/>
      <w:bookmarkEnd w:id="156"/>
      <w:bookmarkEnd w:id="157"/>
    </w:p>
    <w:p w14:paraId="57B25AA1" w14:textId="77777777" w:rsidR="003B32AB" w:rsidRPr="00A94875" w:rsidRDefault="003B32AB" w:rsidP="003B32AB">
      <w:pPr>
        <w:rPr>
          <w:rFonts w:asciiTheme="majorBidi" w:eastAsia="SimSun" w:hAnsiTheme="majorBidi" w:cstheme="majorBidi"/>
          <w:color w:val="000000"/>
        </w:rPr>
      </w:pPr>
      <w:r w:rsidRPr="00A94875">
        <w:rPr>
          <w:rFonts w:asciiTheme="majorBidi" w:eastAsia="SimSun" w:hAnsiTheme="majorBidi" w:cstheme="majorBidi"/>
          <w:color w:val="000000"/>
        </w:rPr>
        <w:t>One of the new BSG measures adopted under WTSA Resolution 44 was to exploration of the use of e-learning channels for training on ITU-T Recommendations.</w:t>
      </w:r>
    </w:p>
    <w:p w14:paraId="704BAFEC" w14:textId="77777777" w:rsidR="003B32AB" w:rsidRPr="00A94875" w:rsidRDefault="003B32AB" w:rsidP="003B32AB">
      <w:pPr>
        <w:spacing w:before="80"/>
        <w:rPr>
          <w:rFonts w:asciiTheme="majorBidi" w:eastAsia="SimSun" w:hAnsiTheme="majorBidi" w:cstheme="majorBidi"/>
          <w:color w:val="000000"/>
        </w:rPr>
      </w:pPr>
      <w:r w:rsidRPr="00A94875">
        <w:rPr>
          <w:rFonts w:asciiTheme="majorBidi" w:eastAsia="SimSun" w:hAnsiTheme="majorBidi" w:cstheme="majorBidi"/>
          <w:color w:val="000000"/>
        </w:rPr>
        <w:t>In this context, TSB has developed two e-learning courses:</w:t>
      </w:r>
    </w:p>
    <w:p w14:paraId="22A8DDFB" w14:textId="77777777" w:rsidR="003B32AB" w:rsidRPr="00A94875" w:rsidRDefault="003B32AB" w:rsidP="003B32AB">
      <w:pPr>
        <w:pStyle w:val="ListParagraph"/>
        <w:numPr>
          <w:ilvl w:val="0"/>
          <w:numId w:val="24"/>
        </w:numPr>
        <w:tabs>
          <w:tab w:val="left" w:pos="794"/>
          <w:tab w:val="left" w:pos="1191"/>
          <w:tab w:val="left" w:pos="1588"/>
          <w:tab w:val="left" w:pos="1985"/>
        </w:tabs>
        <w:overflowPunct w:val="0"/>
        <w:autoSpaceDE w:val="0"/>
        <w:autoSpaceDN w:val="0"/>
        <w:adjustRightInd w:val="0"/>
        <w:spacing w:before="80" w:after="0" w:line="240" w:lineRule="auto"/>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14:paraId="4358B9BB" w14:textId="77777777" w:rsidR="003B32AB" w:rsidRPr="00A94875" w:rsidRDefault="003B32AB" w:rsidP="003B32AB">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main objectives of the e-learning course are to introduce the structures, management, coordination mechanisms and operating procedures of ITU-T Study Groups as defined in Recommendation ITU-T A.1. The course </w:t>
      </w:r>
      <w:proofErr w:type="gramStart"/>
      <w:r w:rsidRPr="00A94875">
        <w:rPr>
          <w:rFonts w:asciiTheme="majorBidi" w:eastAsia="SimSun" w:hAnsiTheme="majorBidi" w:cstheme="majorBidi"/>
          <w:color w:val="000000"/>
          <w:sz w:val="24"/>
          <w:szCs w:val="24"/>
          <w:lang w:val="en-GB"/>
        </w:rPr>
        <w:t>is intended</w:t>
      </w:r>
      <w:proofErr w:type="gramEnd"/>
      <w:r w:rsidRPr="00A94875">
        <w:rPr>
          <w:rFonts w:asciiTheme="majorBidi" w:eastAsia="SimSun" w:hAnsiTheme="majorBidi" w:cstheme="majorBidi"/>
          <w:color w:val="000000"/>
          <w:sz w:val="24"/>
          <w:szCs w:val="24"/>
          <w:lang w:val="en-GB"/>
        </w:rPr>
        <w:t xml:space="preserve"> for delegates participating in ITU-T study group meetings, especially new participants.</w:t>
      </w:r>
    </w:p>
    <w:p w14:paraId="3DDA02B7" w14:textId="77777777" w:rsidR="003B32AB" w:rsidRPr="00A94875" w:rsidRDefault="003B32AB" w:rsidP="003B32AB">
      <w:pPr>
        <w:spacing w:before="80"/>
        <w:ind w:firstLine="720"/>
        <w:rPr>
          <w:rFonts w:asciiTheme="majorBidi" w:eastAsia="SimSun" w:hAnsiTheme="majorBidi" w:cstheme="majorBidi"/>
          <w:color w:val="000000"/>
        </w:rPr>
      </w:pPr>
      <w:r w:rsidRPr="00A94875">
        <w:rPr>
          <w:rFonts w:asciiTheme="majorBidi" w:eastAsia="SimSun" w:hAnsiTheme="majorBidi" w:cstheme="majorBidi"/>
          <w:color w:val="000000"/>
        </w:rPr>
        <w:t>The course is comprised of six modules:</w:t>
      </w:r>
    </w:p>
    <w:p w14:paraId="6FA700C4"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Standardization in ITU-T</w:t>
      </w:r>
    </w:p>
    <w:p w14:paraId="74D55AAF"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r>
      <w:proofErr w:type="gramStart"/>
      <w:r w:rsidRPr="00A94875">
        <w:rPr>
          <w:rFonts w:eastAsia="SimSun"/>
          <w:szCs w:val="24"/>
        </w:rPr>
        <w:t>Managing</w:t>
      </w:r>
      <w:proofErr w:type="gramEnd"/>
      <w:r w:rsidRPr="00A94875">
        <w:rPr>
          <w:rFonts w:eastAsia="SimSun"/>
          <w:szCs w:val="24"/>
        </w:rPr>
        <w:t xml:space="preserve"> the study groups</w:t>
      </w:r>
    </w:p>
    <w:p w14:paraId="3804D29A"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Coordination</w:t>
      </w:r>
    </w:p>
    <w:p w14:paraId="2C102E7F" w14:textId="77777777" w:rsidR="003B32AB" w:rsidRPr="00A94875" w:rsidRDefault="003B32AB" w:rsidP="003B32AB">
      <w:pPr>
        <w:pStyle w:val="enumlev1"/>
        <w:spacing w:before="40"/>
        <w:ind w:left="1154"/>
        <w:rPr>
          <w:rFonts w:eastAsia="SimSun"/>
          <w:szCs w:val="24"/>
        </w:rPr>
      </w:pPr>
      <w:r w:rsidRPr="00A94875">
        <w:rPr>
          <w:rFonts w:eastAsia="SimSun"/>
          <w:szCs w:val="24"/>
        </w:rPr>
        <w:lastRenderedPageBreak/>
        <w:t>‒</w:t>
      </w:r>
      <w:r w:rsidRPr="00A94875">
        <w:rPr>
          <w:rFonts w:eastAsia="SimSun"/>
          <w:szCs w:val="24"/>
        </w:rPr>
        <w:tab/>
        <w:t>Inputs to the study groups</w:t>
      </w:r>
    </w:p>
    <w:p w14:paraId="03D47BBB"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Outputs of the study groups</w:t>
      </w:r>
    </w:p>
    <w:p w14:paraId="099B7440"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r>
      <w:proofErr w:type="gramStart"/>
      <w:r w:rsidRPr="00A94875">
        <w:rPr>
          <w:rFonts w:eastAsia="SimSun"/>
          <w:szCs w:val="24"/>
        </w:rPr>
        <w:t>Further</w:t>
      </w:r>
      <w:proofErr w:type="gramEnd"/>
      <w:r w:rsidRPr="00A94875">
        <w:rPr>
          <w:rFonts w:eastAsia="SimSun"/>
          <w:szCs w:val="24"/>
        </w:rPr>
        <w:t xml:space="preserve"> infrastructure supporting the study group process</w:t>
      </w:r>
    </w:p>
    <w:p w14:paraId="2BC78162" w14:textId="77777777" w:rsidR="003B32AB" w:rsidRPr="00A94875" w:rsidRDefault="003B32AB" w:rsidP="003B32AB">
      <w:pPr>
        <w:spacing w:before="80"/>
        <w:ind w:left="360"/>
        <w:rPr>
          <w:rFonts w:asciiTheme="majorBidi" w:eastAsia="SimSun" w:hAnsiTheme="majorBidi" w:cstheme="majorBidi"/>
          <w:color w:val="000000"/>
        </w:rPr>
      </w:pPr>
      <w:r w:rsidRPr="00A94875">
        <w:rPr>
          <w:rFonts w:asciiTheme="majorBidi" w:eastAsia="SimSun" w:hAnsiTheme="majorBidi" w:cstheme="majorBidi"/>
          <w:color w:val="000000"/>
        </w:rPr>
        <w:t>Each module is a self-contained unit, including course content and quizzes. Scores of at least 80 per cent in the final assessment of the e-learning course result in the award of a certificate of achievement.</w:t>
      </w:r>
    </w:p>
    <w:p w14:paraId="1FBB670B" w14:textId="77777777" w:rsidR="003B32AB" w:rsidRPr="00A94875" w:rsidRDefault="003B32AB" w:rsidP="003B32AB">
      <w:pPr>
        <w:pStyle w:val="enumlev1"/>
        <w:keepNext/>
        <w:keepLines/>
        <w:numPr>
          <w:ilvl w:val="0"/>
          <w:numId w:val="44"/>
        </w:numPr>
        <w:spacing w:before="40"/>
        <w:rPr>
          <w:rFonts w:eastAsia="SimSun"/>
          <w:b/>
          <w:szCs w:val="24"/>
        </w:rPr>
      </w:pPr>
      <w:r w:rsidRPr="00A94875">
        <w:rPr>
          <w:rFonts w:eastAsia="SimSun"/>
          <w:b/>
          <w:szCs w:val="24"/>
        </w:rPr>
        <w:t xml:space="preserve">Introduction to Next Generation Networks </w:t>
      </w:r>
    </w:p>
    <w:p w14:paraId="736CCDAF" w14:textId="77777777" w:rsidR="003B32AB" w:rsidRPr="00A94875" w:rsidRDefault="003B32AB" w:rsidP="003B32AB">
      <w:pPr>
        <w:pStyle w:val="enumlev1"/>
        <w:keepNext/>
        <w:keepLines/>
        <w:spacing w:before="40"/>
        <w:ind w:left="720" w:firstLine="0"/>
        <w:rPr>
          <w:rFonts w:eastAsia="SimSun"/>
          <w:szCs w:val="24"/>
        </w:rPr>
      </w:pPr>
      <w:r w:rsidRPr="00A94875">
        <w:rPr>
          <w:rFonts w:eastAsia="SimSun"/>
          <w:szCs w:val="24"/>
        </w:rPr>
        <w:t xml:space="preserve">The course </w:t>
      </w:r>
      <w:proofErr w:type="gramStart"/>
      <w:r w:rsidRPr="00A94875">
        <w:rPr>
          <w:rFonts w:eastAsia="SimSun"/>
          <w:szCs w:val="24"/>
        </w:rPr>
        <w:t>provides an introduction to</w:t>
      </w:r>
      <w:proofErr w:type="gramEnd"/>
      <w:r w:rsidRPr="00A94875">
        <w:rPr>
          <w:rFonts w:eastAsia="SimSun"/>
          <w:szCs w:val="24"/>
        </w:rPr>
        <w:t xml:space="preserve"> Next Generation Networks (NGN), building understanding of the forces driving the migration to NGN and their possible impacts on telecommunication regulatory frameworks. </w:t>
      </w:r>
    </w:p>
    <w:p w14:paraId="301BB7B9" w14:textId="77777777" w:rsidR="003B32AB" w:rsidRPr="00A94875" w:rsidRDefault="003B32AB" w:rsidP="003B32AB">
      <w:pPr>
        <w:pStyle w:val="ListParagraph"/>
        <w:numPr>
          <w:ilvl w:val="0"/>
          <w:numId w:val="44"/>
        </w:numPr>
        <w:spacing w:before="80" w:after="0" w:line="240" w:lineRule="auto"/>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14:paraId="32640581" w14:textId="77777777" w:rsidR="003B32AB" w:rsidRPr="00A94875" w:rsidRDefault="003B32AB" w:rsidP="003B32AB">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recent addition to the ITU Academia platform trains developers of systems compliant with Recommendcation ITU-T F.921. </w:t>
      </w:r>
      <w:proofErr w:type="gramStart"/>
      <w:r w:rsidRPr="00A94875">
        <w:rPr>
          <w:rFonts w:asciiTheme="majorBidi" w:eastAsia="SimSun" w:hAnsiTheme="majorBidi" w:cstheme="majorBidi"/>
          <w:color w:val="000000"/>
          <w:sz w:val="24"/>
          <w:szCs w:val="24"/>
          <w:lang w:val="en-GB"/>
        </w:rPr>
        <w:t>The course was developed by Wayfindr</w:t>
      </w:r>
      <w:proofErr w:type="gramEnd"/>
      <w:r w:rsidRPr="00A94875">
        <w:rPr>
          <w:rFonts w:asciiTheme="majorBidi" w:eastAsia="SimSun" w:hAnsiTheme="majorBidi" w:cstheme="majorBidi"/>
          <w:color w:val="000000"/>
          <w:sz w:val="24"/>
          <w:szCs w:val="24"/>
          <w:lang w:val="en-GB"/>
        </w:rPr>
        <w:t xml:space="preserve">, in collaboration with TSB and BDT. </w:t>
      </w:r>
    </w:p>
    <w:p w14:paraId="423402C6" w14:textId="77777777" w:rsidR="003B32AB" w:rsidRPr="00A94875" w:rsidRDefault="003B32AB" w:rsidP="003B32AB">
      <w:pPr>
        <w:spacing w:before="80"/>
        <w:rPr>
          <w:rFonts w:asciiTheme="majorBidi" w:eastAsia="SimSun" w:hAnsiTheme="majorBidi" w:cstheme="majorBidi"/>
          <w:color w:val="000000"/>
        </w:rPr>
      </w:pPr>
      <w:r w:rsidRPr="00A94875">
        <w:rPr>
          <w:rFonts w:asciiTheme="majorBidi" w:eastAsia="SimSun" w:hAnsiTheme="majorBidi" w:cstheme="majorBidi"/>
          <w:color w:val="000000"/>
        </w:rPr>
        <w:t>These courses are available on the ITU Academy website at</w:t>
      </w:r>
      <w:r w:rsidRPr="00A94875">
        <w:rPr>
          <w:rFonts w:asciiTheme="majorBidi" w:hAnsiTheme="majorBidi" w:cstheme="majorBidi"/>
        </w:rPr>
        <w:t xml:space="preserve"> </w:t>
      </w:r>
      <w:hyperlink r:id="rId88" w:history="1">
        <w:r w:rsidRPr="00A94875">
          <w:rPr>
            <w:rStyle w:val="Hyperlink"/>
            <w:rFonts w:cstheme="majorBidi"/>
          </w:rPr>
          <w:t>http://academy.itu.int</w:t>
        </w:r>
      </w:hyperlink>
      <w:r w:rsidRPr="00A94875">
        <w:rPr>
          <w:rFonts w:asciiTheme="majorBidi" w:hAnsiTheme="majorBidi" w:cstheme="majorBidi"/>
        </w:rPr>
        <w:t xml:space="preserve">. </w:t>
      </w:r>
    </w:p>
    <w:p w14:paraId="605B48C2" w14:textId="77777777" w:rsidR="003B32AB" w:rsidRPr="00A94875" w:rsidRDefault="003B32AB" w:rsidP="003B32AB">
      <w:pPr>
        <w:pStyle w:val="Heading2"/>
        <w:rPr>
          <w:rFonts w:asciiTheme="majorBidi" w:hAnsiTheme="majorBidi" w:cstheme="majorBidi"/>
        </w:rPr>
      </w:pPr>
      <w:bookmarkStart w:id="158" w:name="_Toc475354528"/>
      <w:bookmarkStart w:id="159" w:name="_Toc480527853"/>
      <w:bookmarkStart w:id="160" w:name="_Toc530571873"/>
      <w:bookmarkStart w:id="161" w:name="_Toc531254875"/>
      <w:r w:rsidRPr="00A94875">
        <w:rPr>
          <w:rFonts w:asciiTheme="majorBidi" w:hAnsiTheme="majorBidi" w:cstheme="majorBidi"/>
        </w:rPr>
        <w:t>7.6</w:t>
      </w:r>
      <w:r w:rsidRPr="00A94875">
        <w:rPr>
          <w:rFonts w:asciiTheme="majorBidi" w:hAnsiTheme="majorBidi" w:cstheme="majorBidi"/>
        </w:rPr>
        <w:tab/>
        <w:t>Study Group Mentoring Programme</w:t>
      </w:r>
      <w:bookmarkEnd w:id="158"/>
      <w:bookmarkEnd w:id="159"/>
      <w:bookmarkEnd w:id="160"/>
      <w:bookmarkEnd w:id="161"/>
    </w:p>
    <w:p w14:paraId="29032AB9"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In 2011, a mentoring programme for ITU-T Study Groups </w:t>
      </w:r>
      <w:proofErr w:type="gramStart"/>
      <w:r w:rsidRPr="00A94875">
        <w:rPr>
          <w:rFonts w:asciiTheme="majorBidi" w:hAnsiTheme="majorBidi" w:cstheme="majorBidi"/>
        </w:rPr>
        <w:t>was introduced</w:t>
      </w:r>
      <w:proofErr w:type="gramEnd"/>
      <w:r w:rsidRPr="00A94875">
        <w:rPr>
          <w:rFonts w:asciiTheme="majorBidi" w:hAnsiTheme="majorBidi" w:cstheme="majorBidi"/>
        </w:rPr>
        <w:t>.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798AB26D" w14:textId="77777777" w:rsidR="003B32AB" w:rsidRPr="00A94875" w:rsidRDefault="003B32AB" w:rsidP="003B32AB">
      <w:pPr>
        <w:pStyle w:val="Heading2"/>
        <w:rPr>
          <w:rFonts w:asciiTheme="majorBidi" w:hAnsiTheme="majorBidi" w:cstheme="majorBidi"/>
        </w:rPr>
      </w:pPr>
      <w:bookmarkStart w:id="162" w:name="_Toc480527855"/>
      <w:bookmarkStart w:id="163" w:name="_Toc530571874"/>
      <w:bookmarkStart w:id="164" w:name="_Toc531254876"/>
      <w:r w:rsidRPr="00A94875">
        <w:rPr>
          <w:rFonts w:asciiTheme="majorBidi" w:hAnsiTheme="majorBidi" w:cstheme="majorBidi"/>
        </w:rPr>
        <w:t>7.7</w:t>
      </w:r>
      <w:r w:rsidRPr="00A94875">
        <w:rPr>
          <w:rFonts w:asciiTheme="majorBidi" w:hAnsiTheme="majorBidi" w:cstheme="majorBidi"/>
        </w:rPr>
        <w:tab/>
        <w:t>Technical Papers</w:t>
      </w:r>
      <w:bookmarkEnd w:id="162"/>
      <w:bookmarkEnd w:id="163"/>
      <w:bookmarkEnd w:id="164"/>
    </w:p>
    <w:p w14:paraId="58EBFAC7"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 series of technical reports and papers produced provide additional information for developing countries on the best practices in implementing ITU-T Recommendations. See the technical reports and papers </w:t>
      </w:r>
      <w:hyperlink r:id="rId89" w:history="1">
        <w:r w:rsidRPr="00A94875">
          <w:rPr>
            <w:rStyle w:val="Hyperlink"/>
            <w:rFonts w:cstheme="majorBidi"/>
          </w:rPr>
          <w:t>web page</w:t>
        </w:r>
      </w:hyperlink>
      <w:r w:rsidRPr="00A94875">
        <w:rPr>
          <w:rFonts w:asciiTheme="majorBidi" w:hAnsiTheme="majorBidi" w:cstheme="majorBidi"/>
        </w:rPr>
        <w:t>.</w:t>
      </w:r>
    </w:p>
    <w:p w14:paraId="700095CF" w14:textId="77777777" w:rsidR="003B32AB" w:rsidRPr="00A94875" w:rsidRDefault="003B32AB" w:rsidP="003B32AB">
      <w:pPr>
        <w:pStyle w:val="Heading2"/>
        <w:rPr>
          <w:rFonts w:asciiTheme="majorBidi" w:hAnsiTheme="majorBidi" w:cstheme="majorBidi"/>
        </w:rPr>
      </w:pPr>
      <w:bookmarkStart w:id="165" w:name="_Toc480527856"/>
      <w:bookmarkStart w:id="166" w:name="_Toc530571875"/>
      <w:bookmarkStart w:id="167" w:name="_Toc531254877"/>
      <w:r w:rsidRPr="00A94875">
        <w:rPr>
          <w:rFonts w:asciiTheme="majorBidi" w:hAnsiTheme="majorBidi" w:cstheme="majorBidi"/>
        </w:rPr>
        <w:t>7.8</w:t>
      </w:r>
      <w:r w:rsidRPr="00A94875">
        <w:rPr>
          <w:rFonts w:asciiTheme="majorBidi" w:hAnsiTheme="majorBidi" w:cstheme="majorBidi"/>
        </w:rPr>
        <w:tab/>
        <w:t>Fellowships</w:t>
      </w:r>
      <w:bookmarkEnd w:id="165"/>
      <w:bookmarkEnd w:id="166"/>
      <w:bookmarkEnd w:id="167"/>
    </w:p>
    <w:p w14:paraId="61800728" w14:textId="77777777" w:rsidR="003B32AB" w:rsidRPr="00A94875" w:rsidRDefault="003B32AB" w:rsidP="003B32AB">
      <w:pPr>
        <w:spacing w:after="120"/>
        <w:rPr>
          <w:rFonts w:asciiTheme="majorBidi" w:hAnsiTheme="majorBidi" w:cstheme="majorBidi"/>
        </w:rPr>
      </w:pPr>
      <w:bookmarkStart w:id="168" w:name="_Toc462664265"/>
      <w:bookmarkStart w:id="169" w:name="_Toc462665590"/>
      <w:bookmarkStart w:id="170" w:name="_Toc462669176"/>
      <w:r w:rsidRPr="00A94875">
        <w:rPr>
          <w:rFonts w:asciiTheme="majorBidi" w:hAnsiTheme="majorBidi" w:cstheme="majorBidi"/>
        </w:rPr>
        <w:t xml:space="preserve">The table below shows the fellowships awarded during the period from January 2018 until September 2018. </w:t>
      </w:r>
      <w:proofErr w:type="gramStart"/>
      <w:r w:rsidRPr="00A94875">
        <w:rPr>
          <w:rFonts w:asciiTheme="majorBidi" w:hAnsiTheme="majorBidi" w:cstheme="majorBidi"/>
        </w:rPr>
        <w:t>239</w:t>
      </w:r>
      <w:proofErr w:type="gramEnd"/>
      <w:r w:rsidRPr="00A94875">
        <w:rPr>
          <w:rFonts w:asciiTheme="majorBidi" w:hAnsiTheme="majorBidi" w:cstheme="majorBidi"/>
        </w:rPr>
        <w:t xml:space="preserve"> fellowships were requested and 176 fellowships were awarded. Of the 176 fellowships awarded, 148 fellowships </w:t>
      </w:r>
      <w:proofErr w:type="gramStart"/>
      <w:r w:rsidRPr="00A94875">
        <w:rPr>
          <w:rFonts w:asciiTheme="majorBidi" w:hAnsiTheme="majorBidi" w:cstheme="majorBidi"/>
        </w:rPr>
        <w:t>were used</w:t>
      </w:r>
      <w:proofErr w:type="gramEnd"/>
      <w:r w:rsidRPr="00A94875">
        <w:rPr>
          <w:rFonts w:asciiTheme="majorBidi" w:hAnsiTheme="majorBidi" w:cstheme="majorBidi"/>
        </w:rPr>
        <w:t xml:space="preserve">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3B32AB" w:rsidRPr="00A94875" w14:paraId="2C60E953" w14:textId="77777777" w:rsidTr="0030352D">
        <w:trPr>
          <w:cantSplit/>
          <w:tblHeader/>
        </w:trPr>
        <w:tc>
          <w:tcPr>
            <w:tcW w:w="3828" w:type="dxa"/>
            <w:vMerge w:val="restart"/>
            <w:shd w:val="clear" w:color="auto" w:fill="BDD6EE" w:themeFill="accent1" w:themeFillTint="66"/>
            <w:vAlign w:val="center"/>
          </w:tcPr>
          <w:p w14:paraId="079F652C" w14:textId="77777777" w:rsidR="003B32AB" w:rsidRPr="00A94875" w:rsidRDefault="003B32AB" w:rsidP="0030352D">
            <w:pPr>
              <w:rPr>
                <w:rFonts w:asciiTheme="majorBidi" w:hAnsiTheme="majorBidi" w:cstheme="majorBidi"/>
                <w:b/>
                <w:bCs/>
              </w:rPr>
            </w:pPr>
            <w:r w:rsidRPr="00A94875">
              <w:rPr>
                <w:rFonts w:asciiTheme="majorBidi" w:hAnsiTheme="majorBidi" w:cstheme="majorBidi"/>
                <w:b/>
                <w:bCs/>
              </w:rPr>
              <w:t>Meeting</w:t>
            </w:r>
          </w:p>
        </w:tc>
        <w:tc>
          <w:tcPr>
            <w:tcW w:w="3260" w:type="dxa"/>
            <w:gridSpan w:val="2"/>
            <w:shd w:val="clear" w:color="auto" w:fill="BDD6EE" w:themeFill="accent1" w:themeFillTint="66"/>
            <w:vAlign w:val="center"/>
          </w:tcPr>
          <w:p w14:paraId="08F90215"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Fellows</w:t>
            </w:r>
          </w:p>
        </w:tc>
        <w:tc>
          <w:tcPr>
            <w:tcW w:w="2551" w:type="dxa"/>
            <w:vMerge w:val="restart"/>
            <w:shd w:val="clear" w:color="auto" w:fill="BDD6EE" w:themeFill="accent1" w:themeFillTint="66"/>
            <w:vAlign w:val="center"/>
          </w:tcPr>
          <w:p w14:paraId="53D1A2D7"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Total</w:t>
            </w:r>
          </w:p>
        </w:tc>
      </w:tr>
      <w:tr w:rsidR="003B32AB" w:rsidRPr="00A94875" w14:paraId="0ADFD631" w14:textId="77777777" w:rsidTr="0030352D">
        <w:trPr>
          <w:cantSplit/>
          <w:tblHeader/>
        </w:trPr>
        <w:tc>
          <w:tcPr>
            <w:tcW w:w="3828" w:type="dxa"/>
            <w:vMerge/>
            <w:shd w:val="clear" w:color="auto" w:fill="BDD6EE" w:themeFill="accent1" w:themeFillTint="66"/>
            <w:vAlign w:val="center"/>
          </w:tcPr>
          <w:p w14:paraId="1CE3D91D" w14:textId="77777777" w:rsidR="003B32AB" w:rsidRPr="00A94875" w:rsidRDefault="003B32AB" w:rsidP="0030352D">
            <w:pPr>
              <w:rPr>
                <w:rFonts w:asciiTheme="majorBidi" w:hAnsiTheme="majorBidi" w:cstheme="majorBidi"/>
                <w:b/>
                <w:bCs/>
              </w:rPr>
            </w:pPr>
          </w:p>
        </w:tc>
        <w:tc>
          <w:tcPr>
            <w:tcW w:w="1701" w:type="dxa"/>
            <w:shd w:val="clear" w:color="auto" w:fill="BDD6EE" w:themeFill="accent1" w:themeFillTint="66"/>
            <w:vAlign w:val="center"/>
          </w:tcPr>
          <w:p w14:paraId="6C0CFDB5"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Female</w:t>
            </w:r>
          </w:p>
        </w:tc>
        <w:tc>
          <w:tcPr>
            <w:tcW w:w="1559" w:type="dxa"/>
            <w:shd w:val="clear" w:color="auto" w:fill="BDD6EE" w:themeFill="accent1" w:themeFillTint="66"/>
            <w:vAlign w:val="center"/>
          </w:tcPr>
          <w:p w14:paraId="496DF03B"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Male</w:t>
            </w:r>
          </w:p>
        </w:tc>
        <w:tc>
          <w:tcPr>
            <w:tcW w:w="2551" w:type="dxa"/>
            <w:vMerge/>
            <w:shd w:val="clear" w:color="auto" w:fill="BDD6EE" w:themeFill="accent1" w:themeFillTint="66"/>
            <w:vAlign w:val="center"/>
          </w:tcPr>
          <w:p w14:paraId="19A5DB6E" w14:textId="77777777" w:rsidR="003B32AB" w:rsidRPr="00A94875" w:rsidRDefault="003B32AB" w:rsidP="0030352D">
            <w:pPr>
              <w:jc w:val="center"/>
              <w:rPr>
                <w:rFonts w:asciiTheme="majorBidi" w:hAnsiTheme="majorBidi" w:cstheme="majorBidi"/>
                <w:b/>
                <w:bCs/>
              </w:rPr>
            </w:pPr>
          </w:p>
        </w:tc>
      </w:tr>
      <w:tr w:rsidR="003B32AB" w:rsidRPr="00A94875" w14:paraId="1F499226" w14:textId="77777777" w:rsidTr="0030352D">
        <w:tc>
          <w:tcPr>
            <w:tcW w:w="3828" w:type="dxa"/>
          </w:tcPr>
          <w:p w14:paraId="4828D75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15 Meeting</w:t>
            </w:r>
          </w:p>
          <w:p w14:paraId="61DAE22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Geneva, 29 January – 9 February 2018</w:t>
            </w:r>
          </w:p>
        </w:tc>
        <w:tc>
          <w:tcPr>
            <w:tcW w:w="1701" w:type="dxa"/>
          </w:tcPr>
          <w:p w14:paraId="2522C411"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41C8881B"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3</w:t>
            </w:r>
          </w:p>
        </w:tc>
        <w:tc>
          <w:tcPr>
            <w:tcW w:w="2551" w:type="dxa"/>
          </w:tcPr>
          <w:p w14:paraId="451A5C09"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r w:rsidRPr="00A94875">
              <w:rPr>
                <w:rFonts w:asciiTheme="majorBidi" w:hAnsiTheme="majorBidi" w:cstheme="majorBidi"/>
              </w:rPr>
              <w:br/>
              <w:t>3 participants</w:t>
            </w:r>
          </w:p>
        </w:tc>
      </w:tr>
      <w:tr w:rsidR="003B32AB" w:rsidRPr="00A94875" w14:paraId="4616E126" w14:textId="77777777" w:rsidTr="0030352D">
        <w:tc>
          <w:tcPr>
            <w:tcW w:w="3828" w:type="dxa"/>
          </w:tcPr>
          <w:p w14:paraId="64787D3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 RG-AFR Meeting</w:t>
            </w:r>
          </w:p>
          <w:p w14:paraId="7D6896C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Kigali, Rwanda 5 – 8 February 2018</w:t>
            </w:r>
          </w:p>
        </w:tc>
        <w:tc>
          <w:tcPr>
            <w:tcW w:w="1701" w:type="dxa"/>
          </w:tcPr>
          <w:p w14:paraId="306D041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+ 1 cancelled</w:t>
            </w:r>
          </w:p>
        </w:tc>
        <w:tc>
          <w:tcPr>
            <w:tcW w:w="1559" w:type="dxa"/>
          </w:tcPr>
          <w:p w14:paraId="6141EDCB"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+ 1 cancelled</w:t>
            </w:r>
          </w:p>
        </w:tc>
        <w:tc>
          <w:tcPr>
            <w:tcW w:w="2551" w:type="dxa"/>
          </w:tcPr>
          <w:p w14:paraId="394C7AF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17 fellowships awarded, 15 participants</w:t>
            </w:r>
          </w:p>
        </w:tc>
      </w:tr>
      <w:tr w:rsidR="003B32AB" w:rsidRPr="00A94875" w14:paraId="4CF26660" w14:textId="77777777" w:rsidTr="0030352D">
        <w:tc>
          <w:tcPr>
            <w:tcW w:w="3828" w:type="dxa"/>
          </w:tcPr>
          <w:p w14:paraId="76C8533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TSAG Meeting</w:t>
            </w:r>
          </w:p>
          <w:p w14:paraId="7E2D016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26 February- 2 March 2018</w:t>
            </w:r>
          </w:p>
        </w:tc>
        <w:tc>
          <w:tcPr>
            <w:tcW w:w="1701" w:type="dxa"/>
          </w:tcPr>
          <w:p w14:paraId="1F9ABA1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DE19B5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w:t>
            </w:r>
          </w:p>
          <w:p w14:paraId="2311E93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012BF5A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11 fellowships awarded</w:t>
            </w:r>
          </w:p>
          <w:p w14:paraId="0E7C2D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participants</w:t>
            </w:r>
          </w:p>
        </w:tc>
      </w:tr>
      <w:tr w:rsidR="003B32AB" w:rsidRPr="00A94875" w14:paraId="29829609" w14:textId="77777777" w:rsidTr="0030352D">
        <w:tc>
          <w:tcPr>
            <w:tcW w:w="3828" w:type="dxa"/>
          </w:tcPr>
          <w:p w14:paraId="0A4E4C4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(WP2/5) Meeting</w:t>
            </w:r>
          </w:p>
          <w:p w14:paraId="78D00D7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5-9 March 2018</w:t>
            </w:r>
          </w:p>
        </w:tc>
        <w:tc>
          <w:tcPr>
            <w:tcW w:w="1701" w:type="dxa"/>
          </w:tcPr>
          <w:p w14:paraId="60A15C6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2961E07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2551" w:type="dxa"/>
          </w:tcPr>
          <w:p w14:paraId="2AECE5E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fellowship awarded</w:t>
            </w:r>
          </w:p>
          <w:p w14:paraId="5D3DDE3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participant</w:t>
            </w:r>
          </w:p>
        </w:tc>
      </w:tr>
      <w:tr w:rsidR="003B32AB" w:rsidRPr="00A94875" w14:paraId="77062FBD" w14:textId="77777777" w:rsidTr="0030352D">
        <w:tc>
          <w:tcPr>
            <w:tcW w:w="3828" w:type="dxa"/>
          </w:tcPr>
          <w:p w14:paraId="11C297A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lastRenderedPageBreak/>
              <w:t>ITU-T Study Group 12 RG-AFR Meeting</w:t>
            </w:r>
          </w:p>
          <w:p w14:paraId="713FFCD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Dakar, Senegal 19-23 March 2018</w:t>
            </w:r>
          </w:p>
        </w:tc>
        <w:tc>
          <w:tcPr>
            <w:tcW w:w="1701" w:type="dxa"/>
          </w:tcPr>
          <w:p w14:paraId="3ED2A50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32120C4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+ 2 cancelled</w:t>
            </w:r>
          </w:p>
        </w:tc>
        <w:tc>
          <w:tcPr>
            <w:tcW w:w="2551" w:type="dxa"/>
          </w:tcPr>
          <w:p w14:paraId="796E00F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0C2809A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6C9692D0" w14:textId="77777777" w:rsidTr="0030352D">
        <w:tc>
          <w:tcPr>
            <w:tcW w:w="3828" w:type="dxa"/>
          </w:tcPr>
          <w:p w14:paraId="4362661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17</w:t>
            </w:r>
          </w:p>
          <w:p w14:paraId="30F340B8"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 xml:space="preserve"> Geneva 20-29 March 2018</w:t>
            </w:r>
          </w:p>
        </w:tc>
        <w:tc>
          <w:tcPr>
            <w:tcW w:w="1701" w:type="dxa"/>
          </w:tcPr>
          <w:p w14:paraId="7F06ADC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tc>
        <w:tc>
          <w:tcPr>
            <w:tcW w:w="1559" w:type="dxa"/>
          </w:tcPr>
          <w:p w14:paraId="3E46A54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p w14:paraId="374089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41EFE5E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2B54BAF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B850790" w14:textId="77777777" w:rsidTr="0030352D">
        <w:tc>
          <w:tcPr>
            <w:tcW w:w="3828" w:type="dxa"/>
          </w:tcPr>
          <w:p w14:paraId="678B2F0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13 RG-AFR Meeting</w:t>
            </w:r>
          </w:p>
          <w:p w14:paraId="6197BD9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Abidjan, Côte d’Ivoire 26-29 March 2018</w:t>
            </w:r>
          </w:p>
        </w:tc>
        <w:tc>
          <w:tcPr>
            <w:tcW w:w="1701" w:type="dxa"/>
          </w:tcPr>
          <w:p w14:paraId="15511D7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+ 1 cancelled</w:t>
            </w:r>
          </w:p>
        </w:tc>
        <w:tc>
          <w:tcPr>
            <w:tcW w:w="1559" w:type="dxa"/>
          </w:tcPr>
          <w:p w14:paraId="63E4A01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w:t>
            </w:r>
          </w:p>
          <w:p w14:paraId="54DDA8B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569DFD3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15 fellowships awarded</w:t>
            </w:r>
          </w:p>
          <w:p w14:paraId="06093D6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13 participants</w:t>
            </w:r>
          </w:p>
        </w:tc>
      </w:tr>
      <w:tr w:rsidR="003B32AB" w:rsidRPr="00A94875" w14:paraId="17930FD4" w14:textId="77777777" w:rsidTr="0030352D">
        <w:tc>
          <w:tcPr>
            <w:tcW w:w="3828" w:type="dxa"/>
          </w:tcPr>
          <w:p w14:paraId="297FD7CF"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RG-AFR and SG5 RG-ARB and SG20 RG-AFR Meetings (Green Standards Week)</w:t>
            </w:r>
          </w:p>
          <w:p w14:paraId="2886F864"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Zanzibar, Tanzania 9-12 April 2018</w:t>
            </w:r>
          </w:p>
        </w:tc>
        <w:tc>
          <w:tcPr>
            <w:tcW w:w="1701" w:type="dxa"/>
          </w:tcPr>
          <w:p w14:paraId="5CF3E62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+ 1 cancelled</w:t>
            </w:r>
          </w:p>
        </w:tc>
        <w:tc>
          <w:tcPr>
            <w:tcW w:w="1559" w:type="dxa"/>
          </w:tcPr>
          <w:p w14:paraId="13D1272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p w14:paraId="59D7095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298DF4B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 fellowships awarded</w:t>
            </w:r>
          </w:p>
          <w:p w14:paraId="45F3085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10 participants</w:t>
            </w:r>
          </w:p>
        </w:tc>
      </w:tr>
      <w:tr w:rsidR="003B32AB" w:rsidRPr="00A94875" w14:paraId="35257BAD" w14:textId="77777777" w:rsidTr="0030352D">
        <w:tc>
          <w:tcPr>
            <w:tcW w:w="3828" w:type="dxa"/>
          </w:tcPr>
          <w:p w14:paraId="7FD2E9E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 Meeting</w:t>
            </w:r>
          </w:p>
          <w:p w14:paraId="5964B52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9-18 April 2018</w:t>
            </w:r>
          </w:p>
        </w:tc>
        <w:tc>
          <w:tcPr>
            <w:tcW w:w="1701" w:type="dxa"/>
          </w:tcPr>
          <w:p w14:paraId="0786C92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+ 1 cancelled</w:t>
            </w:r>
          </w:p>
        </w:tc>
        <w:tc>
          <w:tcPr>
            <w:tcW w:w="1559" w:type="dxa"/>
          </w:tcPr>
          <w:p w14:paraId="58E090A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tc>
        <w:tc>
          <w:tcPr>
            <w:tcW w:w="2551" w:type="dxa"/>
          </w:tcPr>
          <w:p w14:paraId="3A1B01B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14 fellowships awarded</w:t>
            </w:r>
          </w:p>
          <w:p w14:paraId="391D53D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xml:space="preserve">13 participants </w:t>
            </w:r>
          </w:p>
        </w:tc>
      </w:tr>
      <w:tr w:rsidR="003B32AB" w:rsidRPr="00A94875" w14:paraId="7B26EEA5" w14:textId="77777777" w:rsidTr="0030352D">
        <w:tc>
          <w:tcPr>
            <w:tcW w:w="3828" w:type="dxa"/>
          </w:tcPr>
          <w:p w14:paraId="7A06744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RG-AFR Meeting</w:t>
            </w:r>
          </w:p>
          <w:p w14:paraId="64A7151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Tunis, Tunisia 23-25 April 2018</w:t>
            </w:r>
          </w:p>
        </w:tc>
        <w:tc>
          <w:tcPr>
            <w:tcW w:w="1701" w:type="dxa"/>
          </w:tcPr>
          <w:p w14:paraId="78E0083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45A7F40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tc>
        <w:tc>
          <w:tcPr>
            <w:tcW w:w="2551" w:type="dxa"/>
          </w:tcPr>
          <w:p w14:paraId="574AA16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p>
          <w:p w14:paraId="651F41A9"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participants</w:t>
            </w:r>
          </w:p>
        </w:tc>
      </w:tr>
      <w:tr w:rsidR="003B32AB" w:rsidRPr="00A94875" w14:paraId="26499108" w14:textId="77777777" w:rsidTr="0030352D">
        <w:tc>
          <w:tcPr>
            <w:tcW w:w="3828" w:type="dxa"/>
          </w:tcPr>
          <w:p w14:paraId="1F9E329E"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2 RG-AFR and SG2 RG-ARB Meetings</w:t>
            </w:r>
          </w:p>
          <w:p w14:paraId="1308A8D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Tunis, Tunisia 26-27 April 2018</w:t>
            </w:r>
          </w:p>
        </w:tc>
        <w:tc>
          <w:tcPr>
            <w:tcW w:w="1701" w:type="dxa"/>
          </w:tcPr>
          <w:p w14:paraId="4E42515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+ 1 cancelled</w:t>
            </w:r>
          </w:p>
        </w:tc>
        <w:tc>
          <w:tcPr>
            <w:tcW w:w="1559" w:type="dxa"/>
          </w:tcPr>
          <w:p w14:paraId="61366B0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2551" w:type="dxa"/>
          </w:tcPr>
          <w:p w14:paraId="7FB4431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417E532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C49D10F" w14:textId="77777777" w:rsidTr="0030352D">
        <w:tc>
          <w:tcPr>
            <w:tcW w:w="3828" w:type="dxa"/>
          </w:tcPr>
          <w:p w14:paraId="6F4DB5C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C&amp;I Training for AFR Region</w:t>
            </w:r>
          </w:p>
          <w:p w14:paraId="13434CE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Tunis, Tunisia 30 April - 4 May 2018</w:t>
            </w:r>
          </w:p>
        </w:tc>
        <w:tc>
          <w:tcPr>
            <w:tcW w:w="1701" w:type="dxa"/>
          </w:tcPr>
          <w:p w14:paraId="17EA7A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1972597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w:t>
            </w:r>
          </w:p>
          <w:p w14:paraId="52DE9FF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41ABA4F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10 fellowships awarded</w:t>
            </w:r>
          </w:p>
          <w:p w14:paraId="70E56B1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participants</w:t>
            </w:r>
          </w:p>
        </w:tc>
      </w:tr>
      <w:tr w:rsidR="003B32AB" w:rsidRPr="00A94875" w14:paraId="72F84014" w14:textId="77777777" w:rsidTr="0030352D">
        <w:tc>
          <w:tcPr>
            <w:tcW w:w="3828" w:type="dxa"/>
          </w:tcPr>
          <w:p w14:paraId="26E5EA6B"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12 Meeting</w:t>
            </w:r>
          </w:p>
          <w:p w14:paraId="5D5EC6A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1-10 May 2018</w:t>
            </w:r>
          </w:p>
        </w:tc>
        <w:tc>
          <w:tcPr>
            <w:tcW w:w="1701" w:type="dxa"/>
          </w:tcPr>
          <w:p w14:paraId="17F83FA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29AE9F9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4</w:t>
            </w:r>
          </w:p>
          <w:p w14:paraId="2B2E41D9"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28A0E65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fellowships awarded</w:t>
            </w:r>
          </w:p>
          <w:p w14:paraId="3FB08C0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participants</w:t>
            </w:r>
          </w:p>
        </w:tc>
      </w:tr>
      <w:tr w:rsidR="003B32AB" w:rsidRPr="00A94875" w14:paraId="543EF713" w14:textId="77777777" w:rsidTr="0030352D">
        <w:tc>
          <w:tcPr>
            <w:tcW w:w="3828" w:type="dxa"/>
          </w:tcPr>
          <w:p w14:paraId="38BF3C2C"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20 Meeting</w:t>
            </w:r>
          </w:p>
          <w:p w14:paraId="1B74360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 xml:space="preserve"> </w:t>
            </w:r>
            <w:r w:rsidRPr="00A94875">
              <w:rPr>
                <w:rFonts w:asciiTheme="majorBidi" w:hAnsiTheme="majorBidi" w:cstheme="majorBidi"/>
                <w:i/>
                <w:iCs/>
              </w:rPr>
              <w:t>Cairo, Egypt 6-16 May 2018</w:t>
            </w:r>
          </w:p>
        </w:tc>
        <w:tc>
          <w:tcPr>
            <w:tcW w:w="1701" w:type="dxa"/>
          </w:tcPr>
          <w:p w14:paraId="5449A6C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+ 1 cancelled</w:t>
            </w:r>
          </w:p>
        </w:tc>
        <w:tc>
          <w:tcPr>
            <w:tcW w:w="1559" w:type="dxa"/>
          </w:tcPr>
          <w:p w14:paraId="288FD9E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2551" w:type="dxa"/>
          </w:tcPr>
          <w:p w14:paraId="31A7B3A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09A32E9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8B9F298" w14:textId="77777777" w:rsidTr="0030352D">
        <w:tc>
          <w:tcPr>
            <w:tcW w:w="3828" w:type="dxa"/>
          </w:tcPr>
          <w:p w14:paraId="0E9971C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RG-EECAT and SG20RG-EECAT Meetings</w:t>
            </w:r>
          </w:p>
          <w:p w14:paraId="2FAF1CB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Saint Petersburg, Russia 4-6 June 2018</w:t>
            </w:r>
          </w:p>
        </w:tc>
        <w:tc>
          <w:tcPr>
            <w:tcW w:w="1701" w:type="dxa"/>
          </w:tcPr>
          <w:p w14:paraId="6BED532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A9BBB4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2551" w:type="dxa"/>
          </w:tcPr>
          <w:p w14:paraId="136BC6E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fellowship awarded</w:t>
            </w:r>
            <w:r w:rsidRPr="00A94875">
              <w:rPr>
                <w:rFonts w:asciiTheme="majorBidi" w:hAnsiTheme="majorBidi" w:cstheme="majorBidi"/>
              </w:rPr>
              <w:br/>
              <w:t>1 participant</w:t>
            </w:r>
          </w:p>
        </w:tc>
      </w:tr>
      <w:tr w:rsidR="003B32AB" w:rsidRPr="00A94875" w14:paraId="71E97994" w14:textId="77777777" w:rsidTr="0030352D">
        <w:tc>
          <w:tcPr>
            <w:tcW w:w="3828" w:type="dxa"/>
          </w:tcPr>
          <w:p w14:paraId="009C7BE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 xml:space="preserve">ITU-T Study Group 2 Meeting, </w:t>
            </w:r>
          </w:p>
          <w:p w14:paraId="0E4AEA4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4-13 July 2018</w:t>
            </w:r>
          </w:p>
        </w:tc>
        <w:tc>
          <w:tcPr>
            <w:tcW w:w="1701" w:type="dxa"/>
          </w:tcPr>
          <w:p w14:paraId="6B0940B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5D056D6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+ 1 cancelled</w:t>
            </w:r>
          </w:p>
        </w:tc>
        <w:tc>
          <w:tcPr>
            <w:tcW w:w="2551" w:type="dxa"/>
          </w:tcPr>
          <w:p w14:paraId="34442A9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fellowships awarded</w:t>
            </w:r>
          </w:p>
          <w:p w14:paraId="3622D8F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participants</w:t>
            </w:r>
          </w:p>
        </w:tc>
      </w:tr>
      <w:tr w:rsidR="003B32AB" w:rsidRPr="00A94875" w14:paraId="451DC747" w14:textId="77777777" w:rsidTr="0030352D">
        <w:tc>
          <w:tcPr>
            <w:tcW w:w="3828" w:type="dxa"/>
          </w:tcPr>
          <w:p w14:paraId="24EA0F6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16 Meeting</w:t>
            </w:r>
          </w:p>
          <w:p w14:paraId="425E17AB"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Ljubljana, Slovenia 9 – 20 July 2018</w:t>
            </w:r>
          </w:p>
        </w:tc>
        <w:tc>
          <w:tcPr>
            <w:tcW w:w="1701" w:type="dxa"/>
          </w:tcPr>
          <w:p w14:paraId="2EBEE3D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6C38B94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p w14:paraId="5729B04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755BECC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p>
          <w:p w14:paraId="62968FF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participants</w:t>
            </w:r>
          </w:p>
        </w:tc>
      </w:tr>
      <w:tr w:rsidR="003B32AB" w:rsidRPr="00A94875" w14:paraId="082794EC" w14:textId="77777777" w:rsidTr="0030352D">
        <w:tc>
          <w:tcPr>
            <w:tcW w:w="3828" w:type="dxa"/>
          </w:tcPr>
          <w:p w14:paraId="2272D2C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13 Meeting</w:t>
            </w:r>
          </w:p>
          <w:p w14:paraId="2A0BCF1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16-27 July 2018</w:t>
            </w:r>
          </w:p>
        </w:tc>
        <w:tc>
          <w:tcPr>
            <w:tcW w:w="1701" w:type="dxa"/>
          </w:tcPr>
          <w:p w14:paraId="2213855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61EE022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+ 1 cancelled</w:t>
            </w:r>
          </w:p>
        </w:tc>
        <w:tc>
          <w:tcPr>
            <w:tcW w:w="2551" w:type="dxa"/>
          </w:tcPr>
          <w:p w14:paraId="02D4DBC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3AFFF35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33B0A359" w14:textId="77777777" w:rsidTr="0030352D">
        <w:tc>
          <w:tcPr>
            <w:tcW w:w="3828" w:type="dxa"/>
          </w:tcPr>
          <w:p w14:paraId="7188E85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Meeting</w:t>
            </w:r>
          </w:p>
          <w:p w14:paraId="2C45495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18-27 July 2018</w:t>
            </w:r>
          </w:p>
        </w:tc>
        <w:tc>
          <w:tcPr>
            <w:tcW w:w="1701" w:type="dxa"/>
          </w:tcPr>
          <w:p w14:paraId="791A4C7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0F4593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p w14:paraId="39100AC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3779F55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5CC604B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03E12365" w14:textId="77777777" w:rsidTr="0030352D">
        <w:tc>
          <w:tcPr>
            <w:tcW w:w="3828" w:type="dxa"/>
          </w:tcPr>
          <w:p w14:paraId="1A775B4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3RG-AO Meeting</w:t>
            </w:r>
          </w:p>
          <w:p w14:paraId="6FF4C93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lastRenderedPageBreak/>
              <w:t>Xi’an, China 28-31 August 2018</w:t>
            </w:r>
          </w:p>
        </w:tc>
        <w:tc>
          <w:tcPr>
            <w:tcW w:w="1701" w:type="dxa"/>
          </w:tcPr>
          <w:p w14:paraId="1CD845C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lastRenderedPageBreak/>
              <w:t>1</w:t>
            </w:r>
          </w:p>
        </w:tc>
        <w:tc>
          <w:tcPr>
            <w:tcW w:w="1559" w:type="dxa"/>
          </w:tcPr>
          <w:p w14:paraId="2FFACF5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+ 1 cancelled</w:t>
            </w:r>
          </w:p>
        </w:tc>
        <w:tc>
          <w:tcPr>
            <w:tcW w:w="2551" w:type="dxa"/>
          </w:tcPr>
          <w:p w14:paraId="43F239B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fellowships awarded</w:t>
            </w:r>
          </w:p>
          <w:p w14:paraId="3E9C0E6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participant</w:t>
            </w:r>
          </w:p>
        </w:tc>
      </w:tr>
      <w:tr w:rsidR="003B32AB" w:rsidRPr="00A94875" w14:paraId="3573BC34" w14:textId="77777777" w:rsidTr="0030352D">
        <w:tc>
          <w:tcPr>
            <w:tcW w:w="3828" w:type="dxa"/>
          </w:tcPr>
          <w:p w14:paraId="6F177FF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17 Meeting</w:t>
            </w:r>
          </w:p>
          <w:p w14:paraId="7395930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29 August -7 September 2018</w:t>
            </w:r>
          </w:p>
        </w:tc>
        <w:tc>
          <w:tcPr>
            <w:tcW w:w="1701" w:type="dxa"/>
          </w:tcPr>
          <w:p w14:paraId="4C37560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w:t>
            </w:r>
          </w:p>
        </w:tc>
        <w:tc>
          <w:tcPr>
            <w:tcW w:w="1559" w:type="dxa"/>
          </w:tcPr>
          <w:p w14:paraId="01EC319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+ 1 cancelled</w:t>
            </w:r>
          </w:p>
        </w:tc>
        <w:tc>
          <w:tcPr>
            <w:tcW w:w="2551" w:type="dxa"/>
          </w:tcPr>
          <w:p w14:paraId="5D367E8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0EA0449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participants</w:t>
            </w:r>
          </w:p>
        </w:tc>
      </w:tr>
      <w:tr w:rsidR="003B32AB" w:rsidRPr="00A94875" w14:paraId="6C50CD94" w14:textId="77777777" w:rsidTr="0030352D">
        <w:tc>
          <w:tcPr>
            <w:tcW w:w="3828" w:type="dxa"/>
          </w:tcPr>
          <w:p w14:paraId="3407F9F2"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Meeting</w:t>
            </w:r>
          </w:p>
          <w:p w14:paraId="310C97B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11-21 September 2018</w:t>
            </w:r>
          </w:p>
        </w:tc>
        <w:tc>
          <w:tcPr>
            <w:tcW w:w="1701" w:type="dxa"/>
          </w:tcPr>
          <w:p w14:paraId="4B247F4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1559" w:type="dxa"/>
          </w:tcPr>
          <w:p w14:paraId="5232903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4 + 3 cancelled</w:t>
            </w:r>
          </w:p>
        </w:tc>
        <w:tc>
          <w:tcPr>
            <w:tcW w:w="2551" w:type="dxa"/>
          </w:tcPr>
          <w:p w14:paraId="78D28EC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 fellowships awarded</w:t>
            </w:r>
          </w:p>
          <w:p w14:paraId="40BB4B9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participants</w:t>
            </w:r>
          </w:p>
        </w:tc>
      </w:tr>
    </w:tbl>
    <w:p w14:paraId="72EB9728" w14:textId="77777777" w:rsidR="003B32AB" w:rsidRPr="00A94875" w:rsidRDefault="003B32AB" w:rsidP="003B32AB">
      <w:pPr>
        <w:pStyle w:val="Heading2"/>
        <w:rPr>
          <w:rFonts w:asciiTheme="majorBidi" w:hAnsiTheme="majorBidi" w:cstheme="majorBidi"/>
        </w:rPr>
      </w:pPr>
      <w:bookmarkStart w:id="171" w:name="_Toc530571876"/>
      <w:bookmarkStart w:id="172" w:name="_Toc531254878"/>
      <w:bookmarkStart w:id="173" w:name="_Toc480527858"/>
      <w:r w:rsidRPr="00A94875">
        <w:rPr>
          <w:rFonts w:asciiTheme="majorBidi" w:hAnsiTheme="majorBidi" w:cstheme="majorBidi"/>
        </w:rPr>
        <w:t>7.9</w:t>
      </w:r>
      <w:r w:rsidRPr="00A94875">
        <w:rPr>
          <w:rFonts w:asciiTheme="majorBidi" w:hAnsiTheme="majorBidi" w:cstheme="majorBidi"/>
        </w:rPr>
        <w:tab/>
        <w:t>Questionnaires for developing countries</w:t>
      </w:r>
      <w:bookmarkEnd w:id="171"/>
      <w:bookmarkEnd w:id="172"/>
    </w:p>
    <w:p w14:paraId="5312C50D" w14:textId="77777777" w:rsidR="003B32AB" w:rsidRPr="00A94875" w:rsidRDefault="003B32AB" w:rsidP="003B32AB">
      <w:pPr>
        <w:rPr>
          <w:szCs w:val="22"/>
        </w:rPr>
      </w:pPr>
      <w:r w:rsidRPr="00A94875">
        <w:rPr>
          <w:szCs w:val="22"/>
        </w:rPr>
        <w:t>Two questionnaires on</w:t>
      </w:r>
      <w:r w:rsidRPr="00A94875">
        <w:rPr>
          <w:i/>
          <w:iCs/>
          <w:szCs w:val="22"/>
        </w:rPr>
        <w:t xml:space="preserve"> </w:t>
      </w:r>
      <w:r w:rsidRPr="00A94875">
        <w:rPr>
          <w:szCs w:val="22"/>
        </w:rPr>
        <w:t>“Big Data Adoption in Developing Countries” and on the “Use of ITU-T Recommendations by Developing Countries”</w:t>
      </w:r>
      <w:r w:rsidRPr="00A94875">
        <w:rPr>
          <w:b/>
          <w:bCs/>
          <w:szCs w:val="22"/>
        </w:rPr>
        <w:t xml:space="preserve"> </w:t>
      </w:r>
      <w:r w:rsidRPr="00A94875">
        <w:rPr>
          <w:szCs w:val="22"/>
        </w:rPr>
        <w:t xml:space="preserve">were distributed in July 2018. </w:t>
      </w:r>
    </w:p>
    <w:p w14:paraId="121E76BE" w14:textId="77777777" w:rsidR="003B32AB" w:rsidRPr="00A94875" w:rsidRDefault="003B32AB" w:rsidP="003B32AB">
      <w:pPr>
        <w:rPr>
          <w:szCs w:val="22"/>
        </w:rPr>
      </w:pPr>
      <w:r w:rsidRPr="00A94875">
        <w:rPr>
          <w:szCs w:val="22"/>
        </w:rPr>
        <w:t xml:space="preserve">Responses to the first questionnaire will inform the development of a new Supplement on “Big Data Adoption in Developing Countries”. </w:t>
      </w:r>
      <w:r w:rsidRPr="00A94875">
        <w:rPr>
          <w:iCs/>
          <w:szCs w:val="22"/>
        </w:rPr>
        <w:t xml:space="preserve">The questionnaire is </w:t>
      </w:r>
      <w:r w:rsidRPr="00A94875">
        <w:rPr>
          <w:szCs w:val="22"/>
        </w:rPr>
        <w:t xml:space="preserve">collecting data on the main opportunities, requirements, use cases and challenges relevant to Big Data adoption in developing countries. Its objective is to identify issues that </w:t>
      </w:r>
      <w:proofErr w:type="gramStart"/>
      <w:r w:rsidRPr="00A94875">
        <w:rPr>
          <w:szCs w:val="22"/>
        </w:rPr>
        <w:t>could be addressed</w:t>
      </w:r>
      <w:proofErr w:type="gramEnd"/>
      <w:r w:rsidRPr="00A94875">
        <w:rPr>
          <w:szCs w:val="22"/>
        </w:rPr>
        <w:t xml:space="preserve"> by ITU-T Recommendations or related guidelines on the adoption of Big Data technologies in these countries.</w:t>
      </w:r>
    </w:p>
    <w:p w14:paraId="35BE0388" w14:textId="77777777" w:rsidR="003B32AB" w:rsidRPr="00A94875" w:rsidRDefault="003B32AB" w:rsidP="003B32AB">
      <w:pPr>
        <w:rPr>
          <w:szCs w:val="22"/>
        </w:rPr>
      </w:pPr>
      <w:r w:rsidRPr="00A94875">
        <w:rPr>
          <w:szCs w:val="22"/>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14:paraId="559A4E33" w14:textId="77777777" w:rsidR="003B32AB" w:rsidRPr="00A94875" w:rsidRDefault="003B32AB" w:rsidP="003B32AB">
      <w:pPr>
        <w:pStyle w:val="Heading1"/>
        <w:rPr>
          <w:rFonts w:asciiTheme="majorBidi" w:hAnsiTheme="majorBidi" w:cstheme="majorBidi"/>
        </w:rPr>
      </w:pPr>
      <w:bookmarkStart w:id="174" w:name="_Toc530571877"/>
      <w:bookmarkStart w:id="175" w:name="_Toc531254879"/>
      <w:r w:rsidRPr="00A94875">
        <w:rPr>
          <w:rFonts w:asciiTheme="majorBidi" w:hAnsiTheme="majorBidi" w:cstheme="majorBidi"/>
        </w:rPr>
        <w:t>8</w:t>
      </w:r>
      <w:r w:rsidRPr="00A94875">
        <w:rPr>
          <w:rFonts w:asciiTheme="majorBidi" w:hAnsiTheme="majorBidi" w:cstheme="majorBidi"/>
        </w:rPr>
        <w:tab/>
        <w:t>Membership</w:t>
      </w:r>
      <w:bookmarkEnd w:id="133"/>
      <w:bookmarkEnd w:id="134"/>
      <w:bookmarkEnd w:id="135"/>
      <w:bookmarkEnd w:id="136"/>
      <w:bookmarkEnd w:id="137"/>
      <w:bookmarkEnd w:id="138"/>
      <w:bookmarkEnd w:id="139"/>
      <w:bookmarkEnd w:id="168"/>
      <w:bookmarkEnd w:id="169"/>
      <w:bookmarkEnd w:id="170"/>
      <w:bookmarkEnd w:id="173"/>
      <w:bookmarkEnd w:id="174"/>
      <w:bookmarkEnd w:id="175"/>
    </w:p>
    <w:p w14:paraId="1BB6D38B" w14:textId="77777777" w:rsidR="003B32AB" w:rsidRPr="00A94875" w:rsidRDefault="003B32AB" w:rsidP="003B32AB">
      <w:pPr>
        <w:pStyle w:val="Heading2"/>
        <w:spacing w:before="120"/>
        <w:rPr>
          <w:rFonts w:asciiTheme="majorBidi" w:hAnsiTheme="majorBidi" w:cstheme="majorBidi"/>
        </w:rPr>
      </w:pPr>
      <w:bookmarkStart w:id="176" w:name="_Toc462664266"/>
      <w:bookmarkStart w:id="177" w:name="_Toc480527859"/>
      <w:bookmarkStart w:id="178" w:name="_Toc530571878"/>
      <w:bookmarkStart w:id="179" w:name="_Toc531254880"/>
      <w:r w:rsidRPr="00A94875">
        <w:rPr>
          <w:rFonts w:asciiTheme="majorBidi" w:hAnsiTheme="majorBidi" w:cstheme="majorBidi"/>
        </w:rPr>
        <w:t>8.1</w:t>
      </w:r>
      <w:r w:rsidRPr="00A94875">
        <w:rPr>
          <w:rFonts w:asciiTheme="majorBidi" w:hAnsiTheme="majorBidi" w:cstheme="majorBidi"/>
        </w:rPr>
        <w:tab/>
        <w:t>Evolution of ITU-T membership</w:t>
      </w:r>
      <w:bookmarkEnd w:id="176"/>
      <w:bookmarkEnd w:id="177"/>
      <w:bookmarkEnd w:id="178"/>
      <w:bookmarkEnd w:id="179"/>
    </w:p>
    <w:p w14:paraId="4FDE4D3E" w14:textId="77777777" w:rsidR="003B32AB" w:rsidRPr="00A94875" w:rsidRDefault="003B32AB" w:rsidP="003B32AB">
      <w:pPr>
        <w:rPr>
          <w:rFonts w:eastAsia="SimSun"/>
        </w:rPr>
      </w:pPr>
      <w:r w:rsidRPr="00A94875">
        <w:rPr>
          <w:rFonts w:eastAsia="SimSun"/>
        </w:rPr>
        <w:t>ITU-T has achieved a significant net increase of 26 new memberships in 2018, a 92 per cent improvement over the net increase achieved in 2017.</w:t>
      </w:r>
      <w:r w:rsidRPr="00A94875">
        <w:rPr>
          <w:rFonts w:eastAsia="SimSun"/>
          <w:bCs/>
        </w:rPr>
        <w:t xml:space="preserve"> </w:t>
      </w:r>
      <w:r w:rsidRPr="00A94875">
        <w:rPr>
          <w:rFonts w:eastAsia="SimSun"/>
        </w:rPr>
        <w:t>14 Sector Members and 29 Associates have joined ITU-T in 2018, amounting to 43 new members.</w:t>
      </w:r>
    </w:p>
    <w:p w14:paraId="1E4623E2" w14:textId="77777777" w:rsidR="003B32AB" w:rsidRPr="00A94875" w:rsidRDefault="003B32AB" w:rsidP="003B32AB">
      <w:pPr>
        <w:rPr>
          <w:rFonts w:eastAsia="SimSun"/>
        </w:rPr>
      </w:pPr>
      <w:r w:rsidRPr="00A94875">
        <w:rPr>
          <w:rFonts w:eastAsia="SimSun"/>
        </w:rPr>
        <w:t xml:space="preserve">New ITU-T members include </w:t>
      </w:r>
      <w:r w:rsidRPr="00A94875">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rPr>
        <w:t>.</w:t>
      </w:r>
    </w:p>
    <w:p w14:paraId="03DB5F36" w14:textId="77777777" w:rsidR="003B32AB" w:rsidRPr="00A94875" w:rsidRDefault="003B32AB" w:rsidP="003B32AB">
      <w:pPr>
        <w:rPr>
          <w:rFonts w:eastAsia="SimSun"/>
        </w:rPr>
      </w:pPr>
      <w:r w:rsidRPr="00A94875">
        <w:rPr>
          <w:rFonts w:eastAsia="SimSun"/>
        </w:rPr>
        <w:t>Targeted membership outreach and campaigns – executed in collaboration by TSB Membership, Communications and Study Groups divisions – continue to show great promise in attracting and recruiting new ITU-T members.</w:t>
      </w:r>
    </w:p>
    <w:p w14:paraId="11E04062" w14:textId="77777777" w:rsidR="003B32AB" w:rsidRPr="00A94875" w:rsidRDefault="003B32AB" w:rsidP="003B32AB">
      <w:pPr>
        <w:rPr>
          <w:rFonts w:eastAsia="SimSun"/>
        </w:rPr>
      </w:pPr>
      <w:r w:rsidRPr="00A94875">
        <w:rPr>
          <w:rFonts w:eastAsia="SimSun"/>
        </w:rPr>
        <w:t>TSB Membership and Communications have put increased emphasis on tailored outreach to membership prospects while also enhancing the level of account management to ITU-T’s existing membership.</w:t>
      </w:r>
    </w:p>
    <w:p w14:paraId="6312B80E" w14:textId="77777777" w:rsidR="003B32AB" w:rsidRPr="00A94875" w:rsidRDefault="003B32AB" w:rsidP="003B32AB">
      <w:pPr>
        <w:rPr>
          <w:u w:val="single"/>
        </w:rPr>
      </w:pPr>
      <w:r w:rsidRPr="00A94875">
        <w:rPr>
          <w:u w:val="single"/>
        </w:rPr>
        <w:t>New Sector Members since January 2018:</w:t>
      </w:r>
    </w:p>
    <w:p w14:paraId="602BE3B9" w14:textId="77777777" w:rsidR="003B32AB" w:rsidRPr="00A94875" w:rsidRDefault="003B32AB" w:rsidP="003B32AB">
      <w:proofErr w:type="gramStart"/>
      <w:r w:rsidRPr="00A94875">
        <w:t>Nepal Telecommunications Authority (NTA), SZ DJI Technology Co. Ltd., Telecom Regulatory Authority of India (TRAI), 360 Technology Co, Ltd., OneWeb, Bayernwerk AG, ATDI, Common Market for Eastern &amp; Southern Africa (COMESA), Telematics Industry Application Alliance (TIAA), Tencent Technology (Shenzhen) Company Limited, Hangzhou Hikvision Digital Technology Co.,Ltd., Information Science Academy of China Electronics Technology Group Corporation (ISA CETC), Tata Communications (UK) Limited, Yong Xin Hua Yun Cultural Development Corporation.</w:t>
      </w:r>
      <w:proofErr w:type="gramEnd"/>
    </w:p>
    <w:p w14:paraId="0ECC2CF7" w14:textId="77777777" w:rsidR="003B32AB" w:rsidRPr="00A94875" w:rsidRDefault="003B32AB" w:rsidP="003B32AB">
      <w:pPr>
        <w:keepNext/>
        <w:keepLines/>
        <w:rPr>
          <w:u w:val="single"/>
        </w:rPr>
      </w:pPr>
      <w:r w:rsidRPr="00A94875">
        <w:rPr>
          <w:u w:val="single"/>
        </w:rPr>
        <w:lastRenderedPageBreak/>
        <w:t>New Associates since January 2018:</w:t>
      </w:r>
    </w:p>
    <w:p w14:paraId="49E5C3C4" w14:textId="77777777" w:rsidR="003B32AB" w:rsidRPr="00A94875" w:rsidRDefault="003B32AB" w:rsidP="003B32AB">
      <w:pPr>
        <w:keepNext/>
        <w:keepLines/>
        <w:rPr>
          <w:u w:val="single"/>
        </w:rPr>
      </w:pPr>
      <w:proofErr w:type="gramStart"/>
      <w:r w:rsidRPr="00A94875">
        <w:t>Cubic Telecom Ltd. (SG2), GloTell B.V. (SG2), Truphone Limited (SG2), 1nce GmbH (SG2), Limitless Mobile Inc. (SG2), JpU Io Ltd. (SG2), Arm Limited (SG2), Internet Initiative Japan (SG3), XOX Com Sdn Bhd (SG3), FraudBuster (SG3), Xiamen SET Electronics Co., Ltd (SG5), Beijing JiShi HuiTong Technology Co.,Ltd (SG9), Shenzhen Skyworth Digital Technology Co. Ltd. (SG9), Toda Network Corporation (SG11), Botswana Fibre Networks (SG15), Yangtze Optical Fibre and Cable Joint Stock Limited Company (SG15), Power Plus Communications AG (SG15), devolo AG (SG15), Corinex Communications (SG15), Applied Optoelectronics, Inc.(SG15), Google Fiber (SG15), Iberdrola (SG15), BOE Technology Group Co. Ltd (SG16), Guizhou Creco Technology Ltd. (SG16), Shenzhen OLYM Information Security Technology Co. Ltd. (SG17), itk AVtobvS Sarl (SG17), ID Quantique (SG17), Quantum Xchange (SG17), Hudson Institute (SG17).</w:t>
      </w:r>
      <w:proofErr w:type="gramEnd"/>
    </w:p>
    <w:p w14:paraId="0E940D59" w14:textId="77777777" w:rsidR="003B32AB" w:rsidRPr="00A94875" w:rsidRDefault="003B32AB" w:rsidP="003B32AB">
      <w:pPr>
        <w:spacing w:before="240"/>
      </w:pPr>
      <w:r w:rsidRPr="00A94875">
        <w:t>Total ITU-T Sector Members, Associates and Academia (2006-present):</w:t>
      </w:r>
    </w:p>
    <w:p w14:paraId="60D0CC52" w14:textId="77777777" w:rsidR="003B32AB" w:rsidRPr="00A94875" w:rsidRDefault="003B32AB" w:rsidP="003B32AB">
      <w:pPr>
        <w:keepNext/>
        <w:keepLines/>
        <w:spacing w:after="120"/>
        <w:jc w:val="center"/>
        <w:rPr>
          <w:b/>
        </w:rPr>
      </w:pPr>
      <w:r w:rsidRPr="00A94875">
        <w:rPr>
          <w: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3B32AB" w:rsidRPr="00A94875" w14:paraId="5CF8A1DD" w14:textId="77777777" w:rsidTr="0030352D">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453B6072" w14:textId="77777777" w:rsidR="003B32AB" w:rsidRPr="00A94875" w:rsidRDefault="003B32AB" w:rsidP="0030352D"/>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EFDC8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rPr>
            </w:pPr>
            <w:r w:rsidRPr="00A94875">
              <w:rPr>
                <w:b/>
                <w:sz w:val="20"/>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9EB8B6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C4F7A8F"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01D83C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54921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274D2A0"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C0F102"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2EAAC00"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FD5576A"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687480F"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E45D6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9DF753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2017</w:t>
            </w:r>
          </w:p>
        </w:tc>
        <w:tc>
          <w:tcPr>
            <w:tcW w:w="656" w:type="dxa"/>
            <w:tcBorders>
              <w:top w:val="single" w:sz="12" w:space="0" w:color="auto"/>
              <w:left w:val="nil"/>
              <w:bottom w:val="single" w:sz="12" w:space="0" w:color="auto"/>
              <w:right w:val="single" w:sz="12" w:space="0" w:color="auto"/>
            </w:tcBorders>
            <w:hideMark/>
          </w:tcPr>
          <w:p w14:paraId="6CA04EB7"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2018</w:t>
            </w:r>
          </w:p>
        </w:tc>
      </w:tr>
      <w:tr w:rsidR="003B32AB" w:rsidRPr="00A94875" w14:paraId="1B21B85B"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9667DF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BFB4F0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313F21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3B7D3A"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83FF35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866045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CC1C4B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0A3858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C4673F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5DBC87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BA628C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076AF2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5429939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 258</w:t>
            </w:r>
          </w:p>
        </w:tc>
        <w:tc>
          <w:tcPr>
            <w:tcW w:w="656" w:type="dxa"/>
            <w:tcBorders>
              <w:top w:val="nil"/>
              <w:left w:val="nil"/>
              <w:bottom w:val="single" w:sz="8" w:space="0" w:color="auto"/>
              <w:right w:val="single" w:sz="12" w:space="0" w:color="auto"/>
            </w:tcBorders>
            <w:hideMark/>
          </w:tcPr>
          <w:p w14:paraId="5A0F61A4"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262</w:t>
            </w:r>
          </w:p>
        </w:tc>
      </w:tr>
      <w:tr w:rsidR="003B32AB" w:rsidRPr="00A94875" w14:paraId="0461F6D2"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7AA447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A12498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A9C6D7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E20D78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CFA548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A8A89A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CEA83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619730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95E638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51C19C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21630A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854469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4424C7E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139</w:t>
            </w:r>
          </w:p>
        </w:tc>
        <w:tc>
          <w:tcPr>
            <w:tcW w:w="656" w:type="dxa"/>
            <w:tcBorders>
              <w:top w:val="nil"/>
              <w:left w:val="nil"/>
              <w:bottom w:val="single" w:sz="8" w:space="0" w:color="auto"/>
              <w:right w:val="single" w:sz="12" w:space="0" w:color="auto"/>
            </w:tcBorders>
            <w:hideMark/>
          </w:tcPr>
          <w:p w14:paraId="5214D5F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161</w:t>
            </w:r>
          </w:p>
        </w:tc>
      </w:tr>
      <w:tr w:rsidR="003B32AB" w:rsidRPr="00A94875" w14:paraId="47998F12"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D469AB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8A998A5"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D51E70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19DA4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CD6C54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65A400E"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F58331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5AC3F8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C0D55B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69F02A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D34EBE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24BAC3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4C1B11B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125</w:t>
            </w:r>
          </w:p>
        </w:tc>
        <w:tc>
          <w:tcPr>
            <w:tcW w:w="656" w:type="dxa"/>
            <w:tcBorders>
              <w:top w:val="nil"/>
              <w:left w:val="nil"/>
              <w:bottom w:val="single" w:sz="8" w:space="0" w:color="auto"/>
              <w:right w:val="single" w:sz="12" w:space="0" w:color="auto"/>
            </w:tcBorders>
            <w:hideMark/>
          </w:tcPr>
          <w:p w14:paraId="4582D7B2"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154</w:t>
            </w:r>
          </w:p>
        </w:tc>
      </w:tr>
      <w:tr w:rsidR="003B32AB" w:rsidRPr="00A94875" w14:paraId="550C3983" w14:textId="77777777" w:rsidTr="0030352D">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912835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645D70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058193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ECD1B3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D9AEA72"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B20F7D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AD110FA"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1853C3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F64958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0CA0E4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2927B4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89049B5"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7268625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522</w:t>
            </w:r>
          </w:p>
        </w:tc>
        <w:tc>
          <w:tcPr>
            <w:tcW w:w="656" w:type="dxa"/>
            <w:tcBorders>
              <w:top w:val="nil"/>
              <w:left w:val="nil"/>
              <w:bottom w:val="single" w:sz="12" w:space="0" w:color="auto"/>
              <w:right w:val="single" w:sz="12" w:space="0" w:color="auto"/>
            </w:tcBorders>
            <w:hideMark/>
          </w:tcPr>
          <w:p w14:paraId="2991AFA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577</w:t>
            </w:r>
          </w:p>
        </w:tc>
      </w:tr>
    </w:tbl>
    <w:p w14:paraId="510737FF" w14:textId="77777777" w:rsidR="003B32AB" w:rsidRPr="00A94875" w:rsidRDefault="003B32AB" w:rsidP="003B32AB">
      <w:pPr>
        <w:jc w:val="center"/>
      </w:pPr>
      <w:r w:rsidRPr="00A94875">
        <w:rPr>
          <w:noProof/>
          <w:lang w:eastAsia="zh-CN"/>
        </w:rPr>
        <w:drawing>
          <wp:inline distT="0" distB="0" distL="0" distR="0" wp14:anchorId="59EF5CFF" wp14:editId="4ECF938E">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1CFC1093" w14:textId="77777777" w:rsidR="003B32AB" w:rsidRPr="00A94875" w:rsidRDefault="003B32AB" w:rsidP="003B32AB">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 xml:space="preserve">NOTE – The Academia category </w:t>
      </w:r>
      <w:proofErr w:type="gramStart"/>
      <w:r w:rsidRPr="00A94875">
        <w:rPr>
          <w:rFonts w:asciiTheme="majorBidi" w:hAnsiTheme="majorBidi" w:cstheme="majorBidi"/>
          <w:lang w:val="en-GB"/>
        </w:rPr>
        <w:t>was created</w:t>
      </w:r>
      <w:proofErr w:type="gramEnd"/>
      <w:r w:rsidRPr="00A94875">
        <w:rPr>
          <w:rFonts w:asciiTheme="majorBidi" w:hAnsiTheme="majorBidi" w:cstheme="majorBidi"/>
          <w:lang w:val="en-GB"/>
        </w:rPr>
        <w:t xml:space="preserve"> in 2011.</w:t>
      </w:r>
    </w:p>
    <w:p w14:paraId="0D149034" w14:textId="77777777" w:rsidR="003B32AB" w:rsidRPr="00A94875" w:rsidRDefault="003B32AB" w:rsidP="003B32AB">
      <w:pPr>
        <w:pStyle w:val="Caption"/>
        <w:jc w:val="center"/>
        <w:rPr>
          <w:rFonts w:asciiTheme="majorBidi" w:hAnsiTheme="majorBidi" w:cstheme="majorBidi"/>
          <w:sz w:val="24"/>
          <w:szCs w:val="24"/>
        </w:rPr>
      </w:pPr>
      <w:r w:rsidRPr="00A94875">
        <w:rPr>
          <w:rFonts w:asciiTheme="majorBidi" w:hAnsiTheme="majorBidi" w:cstheme="majorBidi"/>
          <w:sz w:val="24"/>
          <w:szCs w:val="24"/>
        </w:rPr>
        <w:t xml:space="preserve">Figure </w:t>
      </w:r>
      <w:proofErr w:type="gramStart"/>
      <w:r w:rsidRPr="00A94875">
        <w:rPr>
          <w:rFonts w:asciiTheme="majorBidi" w:hAnsiTheme="majorBidi" w:cstheme="majorBidi"/>
          <w:sz w:val="24"/>
          <w:szCs w:val="24"/>
        </w:rPr>
        <w:t>3</w:t>
      </w:r>
      <w:proofErr w:type="gramEnd"/>
      <w:r w:rsidRPr="00A94875">
        <w:rPr>
          <w:rFonts w:asciiTheme="majorBidi" w:hAnsiTheme="majorBidi" w:cstheme="majorBidi"/>
          <w:sz w:val="24"/>
          <w:szCs w:val="24"/>
        </w:rPr>
        <w:t xml:space="preserve"> – Evolution of ITU-T membership from 31 December 2006 to 31 October 2018</w:t>
      </w:r>
    </w:p>
    <w:p w14:paraId="68ECC23A" w14:textId="77777777" w:rsidR="003B32AB" w:rsidRPr="00A94875" w:rsidRDefault="003B32AB" w:rsidP="003B32AB">
      <w:pPr>
        <w:pStyle w:val="Heading2"/>
        <w:keepNext w:val="0"/>
        <w:keepLines w:val="0"/>
        <w:spacing w:before="120"/>
        <w:rPr>
          <w:b w:val="0"/>
          <w:bCs/>
          <w:szCs w:val="24"/>
          <w:lang w:eastAsia="ja-JP"/>
        </w:rPr>
      </w:pPr>
      <w:bookmarkStart w:id="180" w:name="_Toc530571879"/>
      <w:bookmarkStart w:id="181" w:name="_Toc531254881"/>
      <w:r w:rsidRPr="00A94875">
        <w:rPr>
          <w:rFonts w:asciiTheme="majorBidi" w:hAnsiTheme="majorBidi" w:cstheme="majorBidi"/>
        </w:rPr>
        <w:t>8.2</w:t>
      </w:r>
      <w:r w:rsidRPr="00A94875">
        <w:rPr>
          <w:rFonts w:asciiTheme="majorBidi" w:hAnsiTheme="majorBidi" w:cstheme="majorBidi"/>
        </w:rPr>
        <w:tab/>
        <w:t>Implementation of SME Pilot Project</w:t>
      </w:r>
      <w:bookmarkEnd w:id="180"/>
      <w:bookmarkEnd w:id="181"/>
      <w:r w:rsidRPr="00A94875">
        <w:rPr>
          <w:rFonts w:asciiTheme="majorBidi" w:hAnsiTheme="majorBidi" w:cstheme="majorBidi"/>
        </w:rPr>
        <w:t xml:space="preserve"> </w:t>
      </w:r>
    </w:p>
    <w:p w14:paraId="5DE412C5" w14:textId="77777777" w:rsidR="003B32AB" w:rsidRPr="00A94875" w:rsidRDefault="003B32AB" w:rsidP="003B32AB">
      <w:r w:rsidRPr="00A94875">
        <w:t xml:space="preserve">ITU-T Study Groups 5, 11, 16 and 20 have implemented a pilot project to increase the engagement of SMEs in the work of ITU. </w:t>
      </w:r>
      <w:proofErr w:type="gramStart"/>
      <w:r w:rsidRPr="00A94875">
        <w:t>15</w:t>
      </w:r>
      <w:proofErr w:type="gramEnd"/>
      <w:r w:rsidRPr="00A94875">
        <w:t xml:space="preserve"> SMEs were approved by relevant administrations to participate in ITU-T meetings under the pilot. </w:t>
      </w:r>
    </w:p>
    <w:p w14:paraId="11B0F865" w14:textId="77777777" w:rsidR="003B32AB" w:rsidRPr="00A94875" w:rsidRDefault="003B32AB" w:rsidP="003B32AB">
      <w:r w:rsidRPr="00A94875">
        <w:t xml:space="preserve">ITU-T Study Group 16 has experienced positive results. For example, ASTEM (Japan) has contributed significant specifications for standards on accessible IPTV terminals and their testing, which </w:t>
      </w:r>
      <w:proofErr w:type="gramStart"/>
      <w:r w:rsidRPr="00A94875">
        <w:t>are now found</w:t>
      </w:r>
      <w:proofErr w:type="gramEnd"/>
      <w:r w:rsidRPr="00A94875">
        <w:t xml:space="preserve"> in Recommendation ITU-T H.702 and Technical Paper ITU-T HSTP-CONF-</w:t>
      </w:r>
      <w:r w:rsidRPr="00A94875">
        <w:lastRenderedPageBreak/>
        <w:t>H702. Wayfindr (United Kingdom) brought specifications for audio-based network navigation system for persons with vision impairment and its conformance testing (Recommendation ITU-T F.921 and Technical Paper ITU-T HSTP-CONF-F921). Wayfindr also developed associated online training material found on the ITU Academy platform.</w:t>
      </w:r>
    </w:p>
    <w:p w14:paraId="4D35F296" w14:textId="77777777" w:rsidR="003B32AB" w:rsidRPr="00A94875" w:rsidRDefault="003B32AB" w:rsidP="003B32AB">
      <w:pPr>
        <w:pStyle w:val="Heading1"/>
        <w:rPr>
          <w:rFonts w:asciiTheme="majorBidi" w:hAnsiTheme="majorBidi" w:cstheme="majorBidi"/>
        </w:rPr>
      </w:pPr>
      <w:bookmarkStart w:id="182" w:name="_Toc530571880"/>
      <w:bookmarkStart w:id="183" w:name="_Toc531254882"/>
      <w:bookmarkStart w:id="184" w:name="_Toc438553987"/>
      <w:bookmarkStart w:id="185" w:name="_Toc453929111"/>
      <w:bookmarkStart w:id="186" w:name="_Toc453932982"/>
      <w:bookmarkStart w:id="187" w:name="_Toc454295888"/>
      <w:bookmarkStart w:id="188" w:name="_Toc462664268"/>
      <w:bookmarkStart w:id="189" w:name="_Toc480527861"/>
      <w:r w:rsidRPr="00A94875">
        <w:rPr>
          <w:rFonts w:asciiTheme="majorBidi" w:hAnsiTheme="majorBidi" w:cstheme="majorBidi"/>
        </w:rPr>
        <w:t>9</w:t>
      </w:r>
      <w:r w:rsidRPr="00A94875">
        <w:rPr>
          <w:rFonts w:asciiTheme="majorBidi" w:hAnsiTheme="majorBidi" w:cstheme="majorBidi"/>
        </w:rPr>
        <w:tab/>
        <w:t>Gender</w:t>
      </w:r>
      <w:bookmarkEnd w:id="182"/>
      <w:bookmarkEnd w:id="183"/>
    </w:p>
    <w:p w14:paraId="29A851AA" w14:textId="77777777" w:rsidR="003B32AB" w:rsidRPr="00A94875" w:rsidRDefault="003B32AB" w:rsidP="003B32AB">
      <w:pPr>
        <w:rPr>
          <w:rFonts w:asciiTheme="majorBidi" w:hAnsiTheme="majorBidi" w:cstheme="majorBidi"/>
        </w:rPr>
      </w:pPr>
      <w:r w:rsidRPr="00A94875">
        <w:rPr>
          <w:rFonts w:asciiTheme="majorBidi" w:hAnsiTheme="majorBidi" w:cstheme="majorBidi"/>
        </w:rPr>
        <w:t>TSB continues its efforts to include a gender perspective in all of its activities and programmes under the umbrella of the ITU Gender Task Force.</w:t>
      </w:r>
    </w:p>
    <w:p w14:paraId="3951B32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WTSA-16 reaffirmed WTSA </w:t>
      </w:r>
      <w:r w:rsidRPr="00A94875">
        <w:rPr>
          <w:rStyle w:val="Hyperlink"/>
          <w:rFonts w:cstheme="majorBidi"/>
          <w:szCs w:val="22"/>
        </w:rPr>
        <w:t>Resolution 55</w:t>
      </w:r>
      <w:r w:rsidRPr="00A94875">
        <w:rPr>
          <w:rFonts w:asciiTheme="majorBidi" w:hAnsiTheme="majorBidi" w:cstheme="majorBidi"/>
          <w:szCs w:val="22"/>
        </w:rPr>
        <w:t xml:space="preserve"> </w:t>
      </w:r>
      <w:r w:rsidRPr="00A94875">
        <w:rPr>
          <w:rFonts w:asciiTheme="majorBidi" w:hAnsiTheme="majorBidi" w:cstheme="majorBidi"/>
        </w:rPr>
        <w:t>to promote gender equality in ITU-T. ITU Member States and Sector Members are encouraged to support the active involvement of women experts in standardization groups and activities.</w:t>
      </w:r>
    </w:p>
    <w:p w14:paraId="0E53F668"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rPr>
        <w:t>48 per cent</w:t>
      </w:r>
      <w:proofErr w:type="gramEnd"/>
      <w:r w:rsidRPr="00A94875">
        <w:rPr>
          <w:rFonts w:asciiTheme="majorBidi" w:hAnsiTheme="majorBidi" w:cstheme="majorBidi"/>
        </w:rPr>
        <w:t xml:space="preserve"> of all TSB staff are women. </w:t>
      </w:r>
      <w:proofErr w:type="gramStart"/>
      <w:r w:rsidRPr="00A94875">
        <w:rPr>
          <w:rFonts w:asciiTheme="majorBidi" w:hAnsiTheme="majorBidi" w:cstheme="majorBidi"/>
        </w:rPr>
        <w:t>37 per cent of professional posts are held by women</w:t>
      </w:r>
      <w:proofErr w:type="gramEnd"/>
      <w:r w:rsidRPr="00A94875">
        <w:rPr>
          <w:rFonts w:asciiTheme="majorBidi" w:hAnsiTheme="majorBidi" w:cstheme="majorBidi"/>
        </w:rPr>
        <w:t xml:space="preserve">, and women hold 67 per cent of P5 posts in TSB. </w:t>
      </w:r>
    </w:p>
    <w:p w14:paraId="4620AF93" w14:textId="77777777" w:rsidR="003B32AB" w:rsidRPr="00A94875" w:rsidRDefault="003B32AB" w:rsidP="003B32AB">
      <w:pPr>
        <w:rPr>
          <w:rFonts w:asciiTheme="majorBidi" w:hAnsiTheme="majorBidi" w:cstheme="majorBidi"/>
        </w:rPr>
      </w:pPr>
      <w:r w:rsidRPr="00A94875">
        <w:rPr>
          <w:rFonts w:asciiTheme="majorBidi" w:hAnsiTheme="majorBidi" w:cstheme="majorBidi"/>
        </w:rPr>
        <w:t>Diversity of staff, gender equality and the empowerment of women continue to be among TSB's priorities.</w:t>
      </w:r>
    </w:p>
    <w:p w14:paraId="6EFC724A" w14:textId="77777777" w:rsidR="003B32AB" w:rsidRPr="00A94875" w:rsidRDefault="003B32AB" w:rsidP="003B32AB">
      <w:pPr>
        <w:pStyle w:val="Heading1"/>
        <w:rPr>
          <w:rFonts w:asciiTheme="majorBidi" w:hAnsiTheme="majorBidi" w:cstheme="majorBidi"/>
        </w:rPr>
      </w:pPr>
      <w:bookmarkStart w:id="190" w:name="_Toc530571881"/>
      <w:bookmarkStart w:id="191" w:name="_Toc531254883"/>
      <w:r w:rsidRPr="00A94875">
        <w:rPr>
          <w:rFonts w:asciiTheme="majorBidi" w:hAnsiTheme="majorBidi" w:cstheme="majorBidi"/>
        </w:rPr>
        <w:t>10</w:t>
      </w:r>
      <w:r w:rsidRPr="00A94875">
        <w:rPr>
          <w:rFonts w:asciiTheme="majorBidi" w:hAnsiTheme="majorBidi" w:cstheme="majorBidi"/>
        </w:rPr>
        <w:tab/>
        <w:t>Academia</w:t>
      </w:r>
      <w:bookmarkEnd w:id="184"/>
      <w:bookmarkEnd w:id="185"/>
      <w:bookmarkEnd w:id="186"/>
      <w:bookmarkEnd w:id="187"/>
      <w:bookmarkEnd w:id="188"/>
      <w:bookmarkEnd w:id="189"/>
      <w:bookmarkEnd w:id="190"/>
      <w:bookmarkEnd w:id="191"/>
    </w:p>
    <w:p w14:paraId="65B9838E" w14:textId="77777777" w:rsidR="003B32AB" w:rsidRPr="00A94875" w:rsidRDefault="003B32AB" w:rsidP="003B32AB">
      <w:pPr>
        <w:pStyle w:val="Heading3"/>
        <w:rPr>
          <w:rFonts w:asciiTheme="majorBidi" w:hAnsiTheme="majorBidi" w:cstheme="majorBidi"/>
        </w:rPr>
      </w:pPr>
      <w:bookmarkStart w:id="192" w:name="_Toc531254884"/>
      <w:r w:rsidRPr="00A94875">
        <w:rPr>
          <w:rFonts w:asciiTheme="majorBidi" w:hAnsiTheme="majorBidi" w:cstheme="majorBidi"/>
        </w:rPr>
        <w:t>10.1</w:t>
      </w:r>
      <w:r w:rsidRPr="00A94875">
        <w:rPr>
          <w:rFonts w:asciiTheme="majorBidi" w:hAnsiTheme="majorBidi" w:cstheme="majorBidi"/>
        </w:rPr>
        <w:tab/>
        <w:t>ITU Kaleidoscope academic conferences</w:t>
      </w:r>
      <w:bookmarkEnd w:id="192"/>
    </w:p>
    <w:p w14:paraId="18F8D666" w14:textId="77777777" w:rsidR="003B32AB" w:rsidRPr="00A94875" w:rsidRDefault="003B32AB" w:rsidP="003B32AB">
      <w:pPr>
        <w:pStyle w:val="NormalWeb"/>
        <w:spacing w:before="120" w:beforeAutospacing="0" w:after="0" w:afterAutospacing="0"/>
        <w:rPr>
          <w:lang w:val="en-GB"/>
        </w:rPr>
      </w:pPr>
      <w:r w:rsidRPr="00A94875">
        <w:rPr>
          <w:lang w:val="en-GB"/>
        </w:rPr>
        <w:t>The ITU Kaleidoscope series of peer-reviewed academic conferences – technically co-sponsored by the IEEE Communications Society – calls for original research on ICT innovation and related demands on international standardization.</w:t>
      </w:r>
    </w:p>
    <w:p w14:paraId="1D45CB8B"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10th edition of Kaleidoscope, </w:t>
      </w:r>
      <w:hyperlink r:id="rId91" w:history="1">
        <w:r w:rsidRPr="00A94875">
          <w:rPr>
            <w:rStyle w:val="Hyperlink"/>
            <w:rFonts w:cstheme="majorBidi"/>
            <w:lang w:val="en-GB"/>
          </w:rPr>
          <w:t xml:space="preserve">Kaleidosope 2018: </w:t>
        </w:r>
        <w:r w:rsidRPr="00A94875">
          <w:rPr>
            <w:rStyle w:val="Hyperlink"/>
            <w:rFonts w:cstheme="majorBidi"/>
            <w:i/>
            <w:iCs/>
            <w:lang w:val="en-GB"/>
          </w:rPr>
          <w:t>Machine Learning for a 5G future</w:t>
        </w:r>
      </w:hyperlink>
      <w:proofErr w:type="gramStart"/>
      <w:r w:rsidRPr="00A94875">
        <w:rPr>
          <w:lang w:val="en-GB"/>
        </w:rPr>
        <w:t>,</w:t>
      </w:r>
      <w:proofErr w:type="gramEnd"/>
      <w:r w:rsidRPr="00A94875">
        <w:rPr>
          <w:lang w:val="en-GB"/>
        </w:rPr>
        <w:t xml:space="preserve"> will be held in Santa Fe, Argentina, 26-28 November 2018, hosted by Universidad Tecnológica Nacional.</w:t>
      </w:r>
    </w:p>
    <w:p w14:paraId="199E47B9"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t>
      </w:r>
      <w:proofErr w:type="gramStart"/>
      <w:r w:rsidRPr="00A94875">
        <w:rPr>
          <w:rFonts w:asciiTheme="majorBidi" w:hAnsiTheme="majorBidi" w:cstheme="majorBidi"/>
          <w:lang w:val="en-GB"/>
        </w:rPr>
        <w:t>will be invited</w:t>
      </w:r>
      <w:proofErr w:type="gramEnd"/>
      <w:r w:rsidRPr="00A94875">
        <w:rPr>
          <w:rFonts w:asciiTheme="majorBidi" w:hAnsiTheme="majorBidi" w:cstheme="majorBidi"/>
          <w:lang w:val="en-GB"/>
        </w:rPr>
        <w:t xml:space="preserve"> to contribute to the work of the </w:t>
      </w:r>
      <w:hyperlink r:id="rId92" w:history="1">
        <w:r w:rsidRPr="00A94875">
          <w:rPr>
            <w:rStyle w:val="Hyperlink"/>
            <w:rFonts w:cstheme="majorBidi"/>
            <w:lang w:val="en-GB"/>
          </w:rPr>
          <w:t>ITU-T Focus Group on Machine Learning for Future Networks including 5G</w:t>
        </w:r>
      </w:hyperlink>
      <w:r w:rsidRPr="00A94875">
        <w:rPr>
          <w:rFonts w:asciiTheme="majorBidi" w:hAnsiTheme="majorBidi" w:cstheme="majorBidi"/>
          <w:lang w:val="en-GB"/>
        </w:rPr>
        <w:t>.</w:t>
      </w:r>
    </w:p>
    <w:p w14:paraId="68324ED5" w14:textId="77777777" w:rsidR="003B32AB" w:rsidRPr="00A94875" w:rsidRDefault="003B32AB" w:rsidP="003B32AB">
      <w:pPr>
        <w:pStyle w:val="Heading3"/>
        <w:spacing w:before="240"/>
        <w:rPr>
          <w:rFonts w:asciiTheme="majorBidi" w:hAnsiTheme="majorBidi" w:cstheme="majorBidi"/>
        </w:rPr>
      </w:pPr>
      <w:bookmarkStart w:id="193" w:name="_Toc531254885"/>
      <w:r w:rsidRPr="00A94875">
        <w:rPr>
          <w:rFonts w:asciiTheme="majorBidi" w:hAnsiTheme="majorBidi" w:cstheme="majorBidi"/>
        </w:rPr>
        <w:t>10.2</w:t>
      </w:r>
      <w:r w:rsidRPr="00A94875">
        <w:rPr>
          <w:rFonts w:asciiTheme="majorBidi" w:hAnsiTheme="majorBidi" w:cstheme="majorBidi"/>
        </w:rPr>
        <w:tab/>
        <w:t xml:space="preserve">ITU Journal: </w:t>
      </w:r>
      <w:r w:rsidRPr="00A94875">
        <w:rPr>
          <w:rFonts w:asciiTheme="majorBidi" w:hAnsiTheme="majorBidi" w:cstheme="majorBidi"/>
          <w:i/>
          <w:iCs/>
        </w:rPr>
        <w:t>ICT Discoveries</w:t>
      </w:r>
      <w:bookmarkEnd w:id="193"/>
    </w:p>
    <w:p w14:paraId="6D073E48"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first issue of the </w:t>
      </w:r>
      <w:hyperlink r:id="rId93" w:history="1">
        <w:r w:rsidRPr="00A94875">
          <w:rPr>
            <w:rStyle w:val="Hyperlink"/>
            <w:lang w:val="en-GB"/>
          </w:rPr>
          <w:t>ITU Journal</w:t>
        </w:r>
      </w:hyperlink>
      <w:r w:rsidRPr="00A94875">
        <w:rPr>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14:paraId="49ED487E"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w:t>
      </w:r>
      <w:hyperlink r:id="rId94" w:history="1">
        <w:r w:rsidRPr="00A94875">
          <w:rPr>
            <w:rStyle w:val="Hyperlink"/>
            <w:lang w:val="en-GB"/>
          </w:rPr>
          <w:t>second issue</w:t>
        </w:r>
      </w:hyperlink>
      <w:r w:rsidRPr="00A94875">
        <w:rPr>
          <w:lang w:val="en-GB"/>
        </w:rPr>
        <w:t xml:space="preserve"> of the ITU Journal, to </w:t>
      </w:r>
      <w:proofErr w:type="gramStart"/>
      <w:r w:rsidRPr="00A94875">
        <w:rPr>
          <w:lang w:val="en-GB"/>
        </w:rPr>
        <w:t>be published</w:t>
      </w:r>
      <w:proofErr w:type="gramEnd"/>
      <w:r w:rsidRPr="00A94875">
        <w:rPr>
          <w:lang w:val="en-GB"/>
        </w:rPr>
        <w:t xml:space="preserve"> in December 2018, is dedicated to the theme “Data for Good”. It will publish original academic papers investigating the technical, business and policy challenges underlying effective data management and analysis. </w:t>
      </w:r>
    </w:p>
    <w:p w14:paraId="2F02D8D3" w14:textId="77777777" w:rsidR="003B32AB" w:rsidRPr="00A94875" w:rsidRDefault="003B32AB" w:rsidP="003B32AB">
      <w:pPr>
        <w:pStyle w:val="Heading3"/>
        <w:spacing w:before="240"/>
        <w:rPr>
          <w:rFonts w:asciiTheme="majorBidi" w:hAnsiTheme="majorBidi" w:cstheme="majorBidi"/>
        </w:rPr>
      </w:pPr>
      <w:bookmarkStart w:id="194" w:name="_Toc531254886"/>
      <w:r w:rsidRPr="00A94875">
        <w:rPr>
          <w:rFonts w:asciiTheme="majorBidi" w:hAnsiTheme="majorBidi" w:cstheme="majorBidi"/>
        </w:rPr>
        <w:t>10.3</w:t>
      </w:r>
      <w:r w:rsidRPr="00A94875">
        <w:rPr>
          <w:rFonts w:asciiTheme="majorBidi" w:hAnsiTheme="majorBidi" w:cstheme="majorBidi"/>
        </w:rPr>
        <w:tab/>
        <w:t>World Standards Cooperation and Academia</w:t>
      </w:r>
      <w:bookmarkEnd w:id="194"/>
    </w:p>
    <w:p w14:paraId="1B44E255" w14:textId="77777777" w:rsidR="003B32AB" w:rsidRPr="00A94875" w:rsidRDefault="003B32AB" w:rsidP="003B32AB">
      <w:pPr>
        <w:tabs>
          <w:tab w:val="num" w:pos="720"/>
        </w:tabs>
        <w:rPr>
          <w:rFonts w:asciiTheme="majorBidi" w:hAnsiTheme="majorBidi" w:cstheme="majorBidi"/>
        </w:rPr>
      </w:pPr>
      <w:r w:rsidRPr="00A94875">
        <w:rPr>
          <w:rFonts w:asciiTheme="majorBidi" w:hAnsiTheme="majorBidi" w:cstheme="majorBidi"/>
        </w:rPr>
        <w:t>IEC, ISO and ITU organize World Standards Cooperation (WSC) Academic events, which aim at discussing the role of academia in the standards-development process.</w:t>
      </w:r>
    </w:p>
    <w:p w14:paraId="3CAB9BE3" w14:textId="77777777" w:rsidR="003B32AB" w:rsidRPr="00A94875" w:rsidRDefault="003B32AB" w:rsidP="003B32AB">
      <w:pPr>
        <w:tabs>
          <w:tab w:val="num" w:pos="720"/>
        </w:tabs>
        <w:rPr>
          <w:rFonts w:asciiTheme="majorBidi" w:hAnsiTheme="majorBidi" w:cstheme="majorBidi"/>
        </w:rPr>
      </w:pPr>
      <w:r w:rsidRPr="00A94875">
        <w:rPr>
          <w:rFonts w:asciiTheme="majorBidi" w:hAnsiTheme="majorBidi" w:cstheme="majorBidi"/>
        </w:rPr>
        <w:t xml:space="preserve">WSC Academic Day events took place in China (2011), Indonesia (2012), France (2013), Canada (2014), Korea (2015), Germany (2016), and the United States (2017). These events </w:t>
      </w:r>
      <w:proofErr w:type="gramStart"/>
      <w:r w:rsidRPr="00A94875">
        <w:rPr>
          <w:rFonts w:asciiTheme="majorBidi" w:hAnsiTheme="majorBidi" w:cstheme="majorBidi"/>
        </w:rPr>
        <w:t>are held</w:t>
      </w:r>
      <w:proofErr w:type="gramEnd"/>
      <w:r w:rsidRPr="00A94875">
        <w:rPr>
          <w:rFonts w:asciiTheme="majorBidi" w:hAnsiTheme="majorBidi" w:cstheme="majorBidi"/>
        </w:rPr>
        <w:t xml:space="preserve"> in conjunction with the annual International Cooperation for Education about Standardization (ICES) conferences.</w:t>
      </w:r>
    </w:p>
    <w:p w14:paraId="1E883878" w14:textId="77777777" w:rsidR="003B32AB" w:rsidRPr="00A94875" w:rsidRDefault="003B32AB" w:rsidP="003B32AB">
      <w:pPr>
        <w:jc w:val="both"/>
        <w:rPr>
          <w:rFonts w:eastAsia="Arial"/>
          <w:spacing w:val="-1"/>
          <w:highlight w:val="yellow"/>
        </w:rPr>
      </w:pPr>
      <w:r w:rsidRPr="00A94875">
        <w:rPr>
          <w:rFonts w:asciiTheme="majorBidi" w:eastAsia="Arial" w:hAnsiTheme="majorBidi" w:cstheme="majorBidi"/>
          <w:spacing w:val="-1"/>
        </w:rPr>
        <w:t>The ICES conference and WSC Academic Day 2018 took place</w:t>
      </w:r>
      <w:r w:rsidRPr="00A94875">
        <w:rPr>
          <w:rFonts w:asciiTheme="majorBidi" w:hAnsiTheme="majorBidi" w:cstheme="majorBidi"/>
        </w:rPr>
        <w:t xml:space="preserve"> Yogyakarta, Indonesia, 3-5 July 2018, hosted by Universitas Islam Indonesia, the national standards body of Indonesia and Diponegoro University</w:t>
      </w:r>
      <w:r w:rsidRPr="00A94875">
        <w:rPr>
          <w:rFonts w:asciiTheme="majorBidi" w:eastAsia="Arial" w:hAnsiTheme="majorBidi" w:cstheme="majorBidi"/>
          <w:spacing w:val="-1"/>
        </w:rPr>
        <w:t>. The theme of the ICES conference was “</w:t>
      </w:r>
      <w:r w:rsidRPr="00A94875">
        <w:rPr>
          <w:rFonts w:asciiTheme="majorBidi" w:hAnsiTheme="majorBidi" w:cstheme="majorBidi"/>
          <w:bCs/>
        </w:rPr>
        <w:t>Leveraging Internet-based technologies to teach standardization</w:t>
      </w:r>
      <w:r w:rsidRPr="00A94875">
        <w:rPr>
          <w:rFonts w:asciiTheme="majorBidi" w:eastAsia="Arial" w:hAnsiTheme="majorBidi" w:cstheme="majorBidi"/>
          <w:spacing w:val="-1"/>
        </w:rPr>
        <w:t xml:space="preserve">”. The aim of the WSC Academic Day 2018 was to review the potential of Internet-based technologies to improve teaching, training and education about standardization. Participants </w:t>
      </w:r>
      <w:r w:rsidRPr="00A94875">
        <w:rPr>
          <w:rFonts w:asciiTheme="majorBidi" w:eastAsia="Arial" w:hAnsiTheme="majorBidi" w:cstheme="majorBidi"/>
          <w:spacing w:val="-1"/>
        </w:rPr>
        <w:lastRenderedPageBreak/>
        <w:t xml:space="preserve">recommended </w:t>
      </w:r>
      <w:r w:rsidRPr="00A94875">
        <w:rPr>
          <w:rFonts w:asciiTheme="majorBidi" w:hAnsiTheme="majorBidi" w:cstheme="majorBidi"/>
        </w:rPr>
        <w:t>that IEC, ISO and ITU consider launching a joint project, with appropriate external partners, to develop an entry-level Massive Open Online Course about standardization.</w:t>
      </w:r>
    </w:p>
    <w:p w14:paraId="6AEB27BC" w14:textId="77777777" w:rsidR="003B32AB" w:rsidRPr="00A94875" w:rsidRDefault="003B32AB" w:rsidP="003B32AB">
      <w:pPr>
        <w:pStyle w:val="Heading1"/>
        <w:rPr>
          <w:rFonts w:asciiTheme="majorBidi" w:hAnsiTheme="majorBidi" w:cstheme="majorBidi"/>
        </w:rPr>
      </w:pPr>
      <w:bookmarkStart w:id="195" w:name="_Toc462664274"/>
      <w:bookmarkStart w:id="196" w:name="_Toc480527863"/>
      <w:bookmarkStart w:id="197" w:name="_Toc530571882"/>
      <w:bookmarkStart w:id="198" w:name="_Toc531254887"/>
      <w:bookmarkStart w:id="199" w:name="_Toc453929120"/>
      <w:bookmarkStart w:id="200" w:name="_Toc453932991"/>
      <w:bookmarkStart w:id="201" w:name="_Toc454295897"/>
      <w:bookmarkStart w:id="202" w:name="_Toc387390042"/>
      <w:bookmarkStart w:id="203" w:name="_Toc416161372"/>
      <w:bookmarkStart w:id="204" w:name="_Toc438553998"/>
      <w:r w:rsidRPr="00A94875">
        <w:rPr>
          <w:rFonts w:asciiTheme="majorBidi" w:hAnsiTheme="majorBidi" w:cstheme="majorBidi"/>
        </w:rPr>
        <w:t>11</w:t>
      </w:r>
      <w:r w:rsidRPr="00A94875">
        <w:rPr>
          <w:rFonts w:asciiTheme="majorBidi" w:hAnsiTheme="majorBidi" w:cstheme="majorBidi"/>
        </w:rPr>
        <w:tab/>
        <w:t>Publications</w:t>
      </w:r>
      <w:bookmarkEnd w:id="195"/>
      <w:bookmarkEnd w:id="196"/>
      <w:bookmarkEnd w:id="197"/>
      <w:bookmarkEnd w:id="198"/>
    </w:p>
    <w:p w14:paraId="5A6056D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Over 9,500 pages of ITU-T Recommendations and Supplements </w:t>
      </w:r>
      <w:proofErr w:type="gramStart"/>
      <w:r w:rsidRPr="00A94875">
        <w:rPr>
          <w:rFonts w:asciiTheme="majorBidi" w:hAnsiTheme="majorBidi" w:cstheme="majorBidi"/>
        </w:rPr>
        <w:t>were published</w:t>
      </w:r>
      <w:proofErr w:type="gramEnd"/>
      <w:r w:rsidRPr="00A94875">
        <w:rPr>
          <w:rFonts w:asciiTheme="majorBidi" w:hAnsiTheme="majorBidi" w:cstheme="majorBidi"/>
        </w:rPr>
        <w:t xml:space="preserve"> between February and September 2018. Figure 4 illustrates the number of Recommendations (including Supplements) published per year </w:t>
      </w:r>
      <w:r>
        <w:rPr>
          <w:rFonts w:asciiTheme="majorBidi" w:hAnsiTheme="majorBidi" w:cstheme="majorBidi"/>
        </w:rPr>
        <w:t>since 2014; note that the 2018 figure is estimated</w:t>
      </w:r>
      <w:r w:rsidRPr="00A94875">
        <w:rPr>
          <w:rFonts w:asciiTheme="majorBidi" w:hAnsiTheme="majorBidi" w:cstheme="majorBidi"/>
        </w:rPr>
        <w:t>.</w:t>
      </w:r>
    </w:p>
    <w:p w14:paraId="3CEFBC7C"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All major revisions of ITU-T Recommendations are now also being published </w:t>
      </w:r>
      <w:proofErr w:type="gramStart"/>
      <w:r w:rsidRPr="00A94875">
        <w:rPr>
          <w:rFonts w:asciiTheme="majorBidi" w:hAnsiTheme="majorBidi" w:cstheme="majorBidi"/>
        </w:rPr>
        <w:t>for free</w:t>
      </w:r>
      <w:proofErr w:type="gramEnd"/>
      <w:r w:rsidRPr="00A94875">
        <w:rPr>
          <w:rFonts w:asciiTheme="majorBidi" w:hAnsiTheme="majorBidi" w:cstheme="majorBidi"/>
        </w:rPr>
        <w:t xml:space="preserve"> download in the reflowable ePub format, alongside the usual PDF format. The ePub format allows users to read the Recommendations on devices of different screen sizes, </w:t>
      </w:r>
      <w:proofErr w:type="gramStart"/>
      <w:r w:rsidRPr="00A94875">
        <w:rPr>
          <w:rFonts w:asciiTheme="majorBidi" w:hAnsiTheme="majorBidi" w:cstheme="majorBidi"/>
        </w:rPr>
        <w:t>and also</w:t>
      </w:r>
      <w:proofErr w:type="gramEnd"/>
      <w:r w:rsidRPr="00A94875">
        <w:rPr>
          <w:rFonts w:asciiTheme="majorBidi" w:hAnsiTheme="majorBidi" w:cstheme="majorBidi"/>
        </w:rPr>
        <w:t xml:space="preserve"> to apply functions such as bookmarks, notes and highlights. It </w:t>
      </w:r>
      <w:proofErr w:type="gramStart"/>
      <w:r w:rsidRPr="00A94875">
        <w:rPr>
          <w:rFonts w:asciiTheme="majorBidi" w:hAnsiTheme="majorBidi" w:cstheme="majorBidi"/>
        </w:rPr>
        <w:t>is expected</w:t>
      </w:r>
      <w:proofErr w:type="gramEnd"/>
      <w:r w:rsidRPr="00A94875">
        <w:rPr>
          <w:rFonts w:asciiTheme="majorBidi" w:hAnsiTheme="majorBidi" w:cstheme="majorBidi"/>
        </w:rPr>
        <w:t xml:space="preserve"> that by mid-February 2019, all major revisions approved in the current study period will be available in this new format.</w:t>
      </w:r>
    </w:p>
    <w:p w14:paraId="541EC719" w14:textId="77777777" w:rsidR="003B32AB" w:rsidRDefault="003B32AB" w:rsidP="003B32AB">
      <w:pPr>
        <w:rPr>
          <w:rFonts w:asciiTheme="majorBidi" w:hAnsiTheme="majorBidi" w:cstheme="majorBidi"/>
        </w:rPr>
      </w:pPr>
      <w:r w:rsidRPr="00A94875">
        <w:rPr>
          <w:rFonts w:asciiTheme="majorBidi" w:hAnsiTheme="majorBidi" w:cstheme="majorBidi"/>
        </w:rPr>
        <w:t xml:space="preserve">The ITU product "ITU-T Recommendations and selected Handbooks" continues to </w:t>
      </w:r>
      <w:proofErr w:type="gramStart"/>
      <w:r w:rsidRPr="00A94875">
        <w:rPr>
          <w:rFonts w:asciiTheme="majorBidi" w:hAnsiTheme="majorBidi" w:cstheme="majorBidi"/>
        </w:rPr>
        <w:t>be distributed</w:t>
      </w:r>
      <w:proofErr w:type="gramEnd"/>
      <w:r w:rsidRPr="00A94875">
        <w:rPr>
          <w:rFonts w:asciiTheme="majorBidi" w:hAnsiTheme="majorBidi" w:cstheme="majorBidi"/>
        </w:rPr>
        <w:t xml:space="preserve">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w:t>
      </w:r>
      <w:proofErr w:type="gramStart"/>
      <w:r w:rsidRPr="00A94875">
        <w:rPr>
          <w:rFonts w:asciiTheme="majorBidi" w:hAnsiTheme="majorBidi" w:cstheme="majorBidi"/>
        </w:rPr>
        <w:t>Search parameters can be defined by keywords, timeframe and Study Group</w:t>
      </w:r>
      <w:proofErr w:type="gramEnd"/>
      <w:r w:rsidRPr="00A94875">
        <w:rPr>
          <w:rFonts w:asciiTheme="majorBidi" w:hAnsiTheme="majorBidi" w:cstheme="majorBidi"/>
        </w:rPr>
        <w:t>, among others, with searches applicable to the title or the full text of the standard.</w:t>
      </w:r>
    </w:p>
    <w:p w14:paraId="3BC8F30F" w14:textId="77777777" w:rsidR="003B32AB" w:rsidRDefault="003B32AB" w:rsidP="003B32AB">
      <w:pPr>
        <w:jc w:val="center"/>
        <w:rPr>
          <w:rFonts w:asciiTheme="majorBidi" w:hAnsiTheme="majorBidi" w:cstheme="majorBidi"/>
        </w:rPr>
      </w:pPr>
      <w:r>
        <w:rPr>
          <w:noProof/>
          <w:lang w:eastAsia="zh-CN"/>
        </w:rPr>
        <w:drawing>
          <wp:inline distT="0" distB="0" distL="0" distR="0" wp14:anchorId="0C5C7E2A" wp14:editId="5360C0FC">
            <wp:extent cx="4603805" cy="2775281"/>
            <wp:effectExtent l="0" t="0" r="635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7214C49" w14:textId="77777777" w:rsidR="003B32AB" w:rsidRPr="00A94875" w:rsidRDefault="003B32AB" w:rsidP="003B32AB">
      <w:pPr>
        <w:pStyle w:val="FigureNotitle"/>
        <w:keepLines w:val="0"/>
        <w:rPr>
          <w:rFonts w:asciiTheme="majorBidi" w:hAnsiTheme="majorBidi" w:cstheme="majorBidi"/>
          <w:highlight w:val="yellow"/>
        </w:rPr>
      </w:pPr>
      <w:r w:rsidRPr="00A94875">
        <w:rPr>
          <w:rFonts w:asciiTheme="majorBidi" w:hAnsiTheme="majorBidi" w:cstheme="majorBidi"/>
        </w:rPr>
        <w:t xml:space="preserve">Figure </w:t>
      </w:r>
      <w:proofErr w:type="gramStart"/>
      <w:r w:rsidRPr="00A94875">
        <w:rPr>
          <w:rFonts w:asciiTheme="majorBidi" w:hAnsiTheme="majorBidi" w:cstheme="majorBidi"/>
        </w:rPr>
        <w:t>4</w:t>
      </w:r>
      <w:proofErr w:type="gramEnd"/>
      <w:r w:rsidRPr="00A94875">
        <w:rPr>
          <w:rFonts w:asciiTheme="majorBidi" w:hAnsiTheme="majorBidi" w:cstheme="majorBidi"/>
        </w:rPr>
        <w:t xml:space="preserve"> – Number of Recommendations, amendments and Supplements </w:t>
      </w:r>
      <w:r w:rsidRPr="00A94875">
        <w:rPr>
          <w:rFonts w:asciiTheme="majorBidi" w:hAnsiTheme="majorBidi" w:cstheme="majorBidi"/>
        </w:rPr>
        <w:br/>
        <w:t>published per year since 2014</w:t>
      </w:r>
      <w:r>
        <w:rPr>
          <w:rFonts w:asciiTheme="majorBidi" w:hAnsiTheme="majorBidi" w:cstheme="majorBidi"/>
        </w:rPr>
        <w:t>. (*) estimate</w:t>
      </w:r>
    </w:p>
    <w:p w14:paraId="43784B16" w14:textId="77777777" w:rsidR="003B32AB" w:rsidRPr="00A94875" w:rsidRDefault="003B32AB" w:rsidP="003B32AB">
      <w:pPr>
        <w:pStyle w:val="Heading1"/>
      </w:pPr>
      <w:bookmarkStart w:id="205" w:name="_Toc462664275"/>
      <w:bookmarkStart w:id="206" w:name="_Toc480527864"/>
      <w:bookmarkStart w:id="207" w:name="_Toc530571883"/>
      <w:bookmarkStart w:id="208" w:name="_Toc531254888"/>
      <w:r w:rsidRPr="00A94875">
        <w:rPr>
          <w:rFonts w:asciiTheme="majorBidi" w:hAnsiTheme="majorBidi" w:cstheme="majorBidi"/>
        </w:rPr>
        <w:t>12</w:t>
      </w:r>
      <w:r w:rsidRPr="00A94875">
        <w:rPr>
          <w:rFonts w:asciiTheme="majorBidi" w:hAnsiTheme="majorBidi" w:cstheme="majorBidi"/>
        </w:rPr>
        <w:tab/>
      </w:r>
      <w:bookmarkStart w:id="209" w:name="_Toc480527865"/>
      <w:bookmarkStart w:id="210" w:name="_Toc505235939"/>
      <w:bookmarkEnd w:id="199"/>
      <w:bookmarkEnd w:id="200"/>
      <w:bookmarkEnd w:id="201"/>
      <w:bookmarkEnd w:id="202"/>
      <w:bookmarkEnd w:id="203"/>
      <w:bookmarkEnd w:id="204"/>
      <w:bookmarkEnd w:id="205"/>
      <w:bookmarkEnd w:id="206"/>
      <w:r w:rsidRPr="00A94875">
        <w:t>Media and promotion</w:t>
      </w:r>
      <w:bookmarkEnd w:id="207"/>
      <w:bookmarkEnd w:id="209"/>
      <w:bookmarkEnd w:id="210"/>
      <w:bookmarkEnd w:id="208"/>
    </w:p>
    <w:p w14:paraId="78E5582A"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14:paraId="117446E9"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6" w:history="1">
        <w:r w:rsidRPr="00A94875">
          <w:rPr>
            <w:rStyle w:val="Hyperlink"/>
            <w:rFonts w:cstheme="majorBidi"/>
            <w:lang w:val="en-GB"/>
          </w:rPr>
          <w:t>ITU News platform</w:t>
        </w:r>
      </w:hyperlink>
      <w:r w:rsidRPr="00A94875">
        <w:rPr>
          <w:rFonts w:asciiTheme="majorBidi" w:hAnsiTheme="majorBidi" w:cstheme="majorBidi"/>
          <w:color w:val="000000"/>
          <w:lang w:val="en-GB"/>
        </w:rPr>
        <w:t xml:space="preserve">, a mobile-optimized platform </w:t>
      </w:r>
      <w:proofErr w:type="gramStart"/>
      <w:r w:rsidRPr="00A94875">
        <w:rPr>
          <w:rFonts w:asciiTheme="majorBidi" w:hAnsiTheme="majorBidi" w:cstheme="majorBidi"/>
          <w:color w:val="000000"/>
          <w:lang w:val="en-GB"/>
        </w:rPr>
        <w:t>which</w:t>
      </w:r>
      <w:proofErr w:type="gramEnd"/>
      <w:r w:rsidRPr="00A94875">
        <w:rPr>
          <w:rFonts w:asciiTheme="majorBidi" w:hAnsiTheme="majorBidi" w:cstheme="majorBidi"/>
          <w:color w:val="000000"/>
          <w:lang w:val="en-GB"/>
        </w:rPr>
        <w:t xml:space="preserve"> supports the incorporation of multimedia and improves search-engine results and sharing. A new </w:t>
      </w:r>
      <w:hyperlink r:id="rId97" w:history="1">
        <w:r w:rsidRPr="00A94875">
          <w:rPr>
            <w:rStyle w:val="Hyperlink"/>
            <w:rFonts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14:paraId="34D111AA" w14:textId="77777777" w:rsidR="003B32AB" w:rsidRPr="00A94875" w:rsidRDefault="003B32AB" w:rsidP="003B32AB">
      <w:r w:rsidRPr="00A94875">
        <w:t xml:space="preserve">TSB communications </w:t>
      </w:r>
      <w:proofErr w:type="gramStart"/>
      <w:r w:rsidRPr="00A94875">
        <w:t>are systematically distributed</w:t>
      </w:r>
      <w:proofErr w:type="gramEnd"/>
      <w:r w:rsidRPr="00A94875">
        <w:t xml:space="preserve"> using a variety of social media channels including Twitter, Facebook, LinkedIn, Weibo and YouTube. SlideShare and related promotion in </w:t>
      </w:r>
      <w:r w:rsidRPr="00A94875">
        <w:lastRenderedPageBreak/>
        <w:t xml:space="preserve">relevant LinkedIn professional communities has proven effective in highlighting expert-oriented content developed by ITU-T standardization experts. </w:t>
      </w:r>
    </w:p>
    <w:p w14:paraId="539F895D"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14:paraId="2A659020"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Transport and access, video coding, and performance, QoS and QoE are of great interest to ITU-T’s audience. The success of related ITU-T news </w:t>
      </w:r>
      <w:proofErr w:type="gramStart"/>
      <w:r w:rsidRPr="00A94875">
        <w:rPr>
          <w:rFonts w:asciiTheme="majorBidi" w:hAnsiTheme="majorBidi" w:cstheme="majorBidi"/>
          <w:sz w:val="24"/>
          <w:szCs w:val="24"/>
          <w:lang w:val="en-GB"/>
        </w:rPr>
        <w:t>can be attributed</w:t>
      </w:r>
      <w:proofErr w:type="gramEnd"/>
      <w:r w:rsidRPr="00A94875">
        <w:rPr>
          <w:rFonts w:asciiTheme="majorBidi" w:hAnsiTheme="majorBidi" w:cstheme="majorBidi"/>
          <w:sz w:val="24"/>
          <w:szCs w:val="24"/>
          <w:lang w:val="en-GB"/>
        </w:rPr>
        <w:t xml:space="preserve"> to ITU’s leadership and credibility in these fields.</w:t>
      </w:r>
    </w:p>
    <w:p w14:paraId="1556DF37"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IoT and Smart Cities are effective ‘headline’ topics, helping ITU-T news to highlight how ITU standards support ICT users. </w:t>
      </w:r>
    </w:p>
    <w:p w14:paraId="40BDEE50"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Blockchain and DFS </w:t>
      </w:r>
      <w:proofErr w:type="gramStart"/>
      <w:r w:rsidRPr="00A94875">
        <w:rPr>
          <w:rFonts w:asciiTheme="majorBidi" w:hAnsiTheme="majorBidi" w:cstheme="majorBidi"/>
          <w:sz w:val="24"/>
          <w:szCs w:val="24"/>
          <w:lang w:val="en-GB"/>
        </w:rPr>
        <w:t>are also</w:t>
      </w:r>
      <w:proofErr w:type="gramEnd"/>
      <w:r w:rsidRPr="00A94875">
        <w:rPr>
          <w:rFonts w:asciiTheme="majorBidi" w:hAnsiTheme="majorBidi" w:cstheme="majorBidi"/>
          <w:sz w:val="24"/>
          <w:szCs w:val="24"/>
          <w:lang w:val="en-GB"/>
        </w:rPr>
        <w:t xml:space="preserve"> proving very popular with ITU-T’s audience.</w:t>
      </w:r>
    </w:p>
    <w:p w14:paraId="516C48C8" w14:textId="77777777" w:rsidR="003B32AB" w:rsidRPr="00A94875" w:rsidRDefault="003B32AB" w:rsidP="003B32AB">
      <w:r w:rsidRPr="00A94875">
        <w:t xml:space="preserve">Infographics, animations and video form part of coordinated packages of TSB communications. TSB communications incorporate ITU-T expert interviews, event wrap-up videos and videos expressly designed for social media. An </w:t>
      </w:r>
      <w:hyperlink r:id="rId98" w:history="1">
        <w:r w:rsidRPr="00A94875">
          <w:rPr>
            <w:rStyle w:val="Hyperlink"/>
          </w:rPr>
          <w:t xml:space="preserve">animated video </w:t>
        </w:r>
        <w:proofErr w:type="gramStart"/>
        <w:r w:rsidRPr="00A94875">
          <w:rPr>
            <w:rStyle w:val="Hyperlink"/>
          </w:rPr>
          <w:t>providing an introduction to</w:t>
        </w:r>
        <w:proofErr w:type="gramEnd"/>
        <w:r w:rsidRPr="00A94875">
          <w:rPr>
            <w:rStyle w:val="Hyperlink"/>
          </w:rPr>
          <w:t xml:space="preserve"> ITU-T’s work</w:t>
        </w:r>
      </w:hyperlink>
      <w:r w:rsidRPr="00A94875">
        <w:t xml:space="preserve"> sponsored by NTT and KT, released in May 2016, continues to feature among ITU’s most popular videos each year. </w:t>
      </w:r>
    </w:p>
    <w:p w14:paraId="4230F2B4" w14:textId="77777777" w:rsidR="003B32AB" w:rsidRPr="00A94875" w:rsidRDefault="003B32AB" w:rsidP="003B32AB">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14:paraId="6ADBB942"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9" w:history="1">
        <w:r w:rsidRPr="00A94875">
          <w:rPr>
            <w:rStyle w:val="Hyperlink"/>
            <w:rFonts w:cstheme="majorBidi"/>
            <w:lang w:val="en-GB"/>
          </w:rPr>
          <w:t>network aspects of IMT-2020</w:t>
        </w:r>
      </w:hyperlink>
      <w:r w:rsidRPr="00A94875">
        <w:rPr>
          <w:rFonts w:asciiTheme="majorBidi" w:hAnsiTheme="majorBidi" w:cstheme="majorBidi"/>
          <w:color w:val="000000"/>
          <w:lang w:val="en-GB"/>
        </w:rPr>
        <w:t xml:space="preserve">; </w:t>
      </w:r>
      <w:hyperlink r:id="rId100" w:history="1">
        <w:r w:rsidRPr="00A94875">
          <w:rPr>
            <w:rStyle w:val="Hyperlink"/>
            <w:rFonts w:cstheme="majorBidi"/>
            <w:lang w:val="en-GB"/>
          </w:rPr>
          <w:t>Digital Financial Services</w:t>
        </w:r>
      </w:hyperlink>
      <w:proofErr w:type="gramStart"/>
      <w:r w:rsidRPr="00A94875">
        <w:rPr>
          <w:rFonts w:asciiTheme="majorBidi" w:hAnsiTheme="majorBidi" w:cstheme="majorBidi"/>
          <w:color w:val="000000"/>
          <w:lang w:val="en-GB"/>
        </w:rPr>
        <w:t>;</w:t>
      </w:r>
      <w:proofErr w:type="gramEnd"/>
      <w:r w:rsidRPr="00A94875">
        <w:rPr>
          <w:rFonts w:asciiTheme="majorBidi" w:hAnsiTheme="majorBidi" w:cstheme="majorBidi"/>
          <w:color w:val="000000"/>
          <w:lang w:val="en-GB"/>
        </w:rPr>
        <w:t xml:space="preserve"> </w:t>
      </w:r>
      <w:hyperlink r:id="rId101" w:history="1">
        <w:r w:rsidRPr="00A94875">
          <w:rPr>
            <w:rStyle w:val="Hyperlink"/>
            <w:rFonts w:cstheme="majorBidi"/>
            <w:lang w:val="en-GB"/>
          </w:rPr>
          <w:t>Future Networked Car</w:t>
        </w:r>
      </w:hyperlink>
      <w:r w:rsidRPr="00A94875">
        <w:rPr>
          <w:rFonts w:asciiTheme="majorBidi" w:hAnsiTheme="majorBidi" w:cstheme="majorBidi"/>
          <w:color w:val="000000"/>
          <w:lang w:val="en-GB"/>
        </w:rPr>
        <w:t>.</w:t>
      </w:r>
    </w:p>
    <w:p w14:paraId="0A5EF8F7"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e.g </w:t>
      </w:r>
      <w:hyperlink r:id="rId102" w:history="1">
        <w:r w:rsidRPr="00A94875">
          <w:rPr>
            <w:rStyle w:val="Hyperlink"/>
            <w:rFonts w:cstheme="majorBidi"/>
            <w:lang w:val="en-GB"/>
          </w:rPr>
          <w:t>Artificial Intelligence</w:t>
        </w:r>
      </w:hyperlink>
      <w:r w:rsidRPr="00A94875">
        <w:rPr>
          <w:rFonts w:asciiTheme="majorBidi" w:hAnsiTheme="majorBidi" w:cstheme="majorBidi"/>
          <w:color w:val="000000"/>
          <w:lang w:val="en-GB"/>
        </w:rPr>
        <w:t xml:space="preserve">; </w:t>
      </w:r>
      <w:hyperlink r:id="rId103" w:history="1">
        <w:r w:rsidRPr="00A94875">
          <w:rPr>
            <w:rStyle w:val="Hyperlink"/>
            <w:rFonts w:cstheme="majorBidi"/>
            <w:lang w:val="en-GB"/>
          </w:rPr>
          <w:t>Intelligent Transport Systems</w:t>
        </w:r>
      </w:hyperlink>
      <w:proofErr w:type="gramStart"/>
      <w:r w:rsidRPr="00A94875">
        <w:rPr>
          <w:rFonts w:asciiTheme="majorBidi" w:hAnsiTheme="majorBidi" w:cstheme="majorBidi"/>
          <w:color w:val="000000"/>
          <w:lang w:val="en-GB"/>
        </w:rPr>
        <w:t>;</w:t>
      </w:r>
      <w:proofErr w:type="gramEnd"/>
      <w:r w:rsidRPr="00A94875">
        <w:rPr>
          <w:rFonts w:asciiTheme="majorBidi" w:hAnsiTheme="majorBidi" w:cstheme="majorBidi"/>
          <w:color w:val="000000"/>
          <w:lang w:val="en-GB"/>
        </w:rPr>
        <w:t xml:space="preserve"> </w:t>
      </w:r>
      <w:hyperlink r:id="rId104" w:history="1">
        <w:r w:rsidRPr="00A94875">
          <w:rPr>
            <w:rStyle w:val="Hyperlink"/>
            <w:rFonts w:cstheme="majorBidi"/>
            <w:lang w:val="en-GB"/>
          </w:rPr>
          <w:t>QoS at major events</w:t>
        </w:r>
      </w:hyperlink>
      <w:r w:rsidRPr="00A94875">
        <w:rPr>
          <w:rFonts w:asciiTheme="majorBidi" w:hAnsiTheme="majorBidi" w:cstheme="majorBidi"/>
          <w:color w:val="000000"/>
          <w:lang w:val="en-GB"/>
        </w:rPr>
        <w:t xml:space="preserve">. </w:t>
      </w:r>
    </w:p>
    <w:p w14:paraId="7881C311"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 interviews, e.g. Chairmen of ITU-T Study Groups on </w:t>
      </w:r>
      <w:hyperlink r:id="rId105" w:history="1">
        <w:r w:rsidRPr="00A94875">
          <w:rPr>
            <w:rStyle w:val="Hyperlink"/>
            <w:rFonts w:cstheme="majorBidi"/>
            <w:lang w:val="en-GB"/>
          </w:rPr>
          <w:t>'SG at a Glance' webpages</w:t>
        </w:r>
      </w:hyperlink>
      <w:r w:rsidRPr="00A94875">
        <w:rPr>
          <w:rFonts w:asciiTheme="majorBidi" w:hAnsiTheme="majorBidi" w:cstheme="majorBidi"/>
          <w:color w:val="000000"/>
          <w:lang w:val="en-GB"/>
        </w:rPr>
        <w:t>.</w:t>
      </w:r>
    </w:p>
    <w:p w14:paraId="25254AE1" w14:textId="77777777" w:rsidR="003B32AB" w:rsidRPr="00A94875" w:rsidRDefault="003B32AB" w:rsidP="003B32AB">
      <w:pPr>
        <w:pStyle w:val="Heading1"/>
        <w:spacing w:before="240"/>
        <w:rPr>
          <w:rFonts w:asciiTheme="majorBidi" w:hAnsiTheme="majorBidi" w:cstheme="majorBidi"/>
        </w:rPr>
      </w:pPr>
      <w:bookmarkStart w:id="211" w:name="_Toc416161374"/>
      <w:bookmarkStart w:id="212" w:name="_Toc438553999"/>
      <w:bookmarkStart w:id="213" w:name="_Toc453929121"/>
      <w:bookmarkStart w:id="214" w:name="_Toc453932992"/>
      <w:bookmarkStart w:id="215" w:name="_Toc454295898"/>
      <w:bookmarkStart w:id="216" w:name="_Toc462664276"/>
      <w:bookmarkStart w:id="217" w:name="_Toc480527868"/>
      <w:bookmarkStart w:id="218" w:name="_Toc530571884"/>
      <w:bookmarkStart w:id="219" w:name="_Toc531254889"/>
      <w:r w:rsidRPr="00A94875">
        <w:rPr>
          <w:rFonts w:asciiTheme="majorBidi" w:hAnsiTheme="majorBidi" w:cstheme="majorBidi"/>
        </w:rPr>
        <w:t>13</w:t>
      </w:r>
      <w:r w:rsidRPr="00A94875">
        <w:rPr>
          <w:rFonts w:asciiTheme="majorBidi" w:hAnsiTheme="majorBidi" w:cstheme="majorBidi"/>
        </w:rPr>
        <w:tab/>
        <w:t>Services and tools</w:t>
      </w:r>
      <w:bookmarkEnd w:id="211"/>
      <w:bookmarkEnd w:id="212"/>
      <w:bookmarkEnd w:id="213"/>
      <w:bookmarkEnd w:id="214"/>
      <w:bookmarkEnd w:id="215"/>
      <w:bookmarkEnd w:id="216"/>
      <w:bookmarkEnd w:id="217"/>
      <w:bookmarkEnd w:id="218"/>
      <w:bookmarkEnd w:id="219"/>
    </w:p>
    <w:p w14:paraId="22B65C34" w14:textId="77777777" w:rsidR="003B32AB" w:rsidRPr="00A94875" w:rsidRDefault="003B32AB" w:rsidP="003B32AB">
      <w:pPr>
        <w:rPr>
          <w:rFonts w:asciiTheme="majorBidi" w:hAnsiTheme="majorBidi" w:cstheme="majorBidi"/>
        </w:rPr>
      </w:pPr>
      <w:r w:rsidRPr="00A94875">
        <w:rPr>
          <w:rFonts w:asciiTheme="majorBidi" w:hAnsiTheme="majorBidi" w:cstheme="majorBidi"/>
        </w:rPr>
        <w:t>Electronic working methods offer crucial support to members engaged in ITU-T standardization work. TSB continues to develop new applications and services to maintain and expand ITU-T's advanced electronic working environment.</w:t>
      </w:r>
    </w:p>
    <w:p w14:paraId="48FBEEC9" w14:textId="77777777" w:rsidR="003B32AB" w:rsidRPr="00A94875" w:rsidRDefault="003B32AB" w:rsidP="003B32AB">
      <w:pPr>
        <w:pStyle w:val="Heading2"/>
        <w:rPr>
          <w:rFonts w:asciiTheme="majorBidi" w:hAnsiTheme="majorBidi" w:cstheme="majorBidi"/>
        </w:rPr>
      </w:pPr>
      <w:bookmarkStart w:id="220" w:name="_Toc312148142"/>
      <w:bookmarkStart w:id="221" w:name="_Toc462664277"/>
      <w:bookmarkStart w:id="222" w:name="_Toc480527869"/>
      <w:bookmarkStart w:id="223" w:name="_Toc530571885"/>
      <w:bookmarkStart w:id="224" w:name="_Toc531254890"/>
      <w:r w:rsidRPr="00A94875">
        <w:rPr>
          <w:rFonts w:asciiTheme="majorBidi" w:hAnsiTheme="majorBidi" w:cstheme="majorBidi"/>
        </w:rPr>
        <w:t>13.1</w:t>
      </w:r>
      <w:r w:rsidRPr="00A94875">
        <w:rPr>
          <w:rFonts w:asciiTheme="majorBidi" w:hAnsiTheme="majorBidi" w:cstheme="majorBidi"/>
        </w:rPr>
        <w:tab/>
        <w:t>ITU-T Databases</w:t>
      </w:r>
      <w:bookmarkEnd w:id="220"/>
      <w:bookmarkEnd w:id="221"/>
      <w:bookmarkEnd w:id="222"/>
      <w:bookmarkEnd w:id="223"/>
      <w:bookmarkEnd w:id="224"/>
    </w:p>
    <w:p w14:paraId="04048232" w14:textId="77777777" w:rsidR="003B32AB" w:rsidRPr="00A94875" w:rsidRDefault="003B32AB" w:rsidP="003B32AB">
      <w:pPr>
        <w:rPr>
          <w:rFonts w:asciiTheme="majorBidi" w:hAnsiTheme="majorBidi" w:cstheme="majorBidi"/>
        </w:rPr>
      </w:pPr>
      <w:r w:rsidRPr="00A94875">
        <w:rPr>
          <w:rFonts w:asciiTheme="majorBidi" w:hAnsiTheme="majorBidi" w:cstheme="majorBidi"/>
        </w:rPr>
        <w:t>To serve ITU-T delegates and secretariat staff, the following databases are available online:</w:t>
      </w:r>
    </w:p>
    <w:p w14:paraId="3C035E3A" w14:textId="77777777" w:rsidR="003B32AB" w:rsidRPr="00A94875" w:rsidRDefault="006126E3" w:rsidP="003B32AB">
      <w:pPr>
        <w:numPr>
          <w:ilvl w:val="0"/>
          <w:numId w:val="11"/>
        </w:numPr>
        <w:overflowPunct w:val="0"/>
        <w:autoSpaceDE w:val="0"/>
        <w:autoSpaceDN w:val="0"/>
        <w:adjustRightInd w:val="0"/>
        <w:spacing w:before="0"/>
        <w:textAlignment w:val="baseline"/>
        <w:rPr>
          <w:rStyle w:val="Hyperlink"/>
          <w:rFonts w:cstheme="majorBidi"/>
        </w:rPr>
      </w:pPr>
      <w:hyperlink r:id="rId106" w:history="1">
        <w:r w:rsidR="003B32AB" w:rsidRPr="00A94875">
          <w:rPr>
            <w:rStyle w:val="Hyperlink"/>
            <w:rFonts w:eastAsia="SimSun" w:cstheme="majorBidi"/>
          </w:rPr>
          <w:t>ITU-T Work Programme</w:t>
        </w:r>
      </w:hyperlink>
    </w:p>
    <w:p w14:paraId="6842BB66"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07" w:history="1">
        <w:r w:rsidR="003B32AB" w:rsidRPr="00A94875">
          <w:rPr>
            <w:rStyle w:val="Hyperlink"/>
            <w:rFonts w:eastAsia="SimSun" w:cstheme="majorBidi"/>
          </w:rPr>
          <w:t>ITU-T A.4, A.5 and A.6 recognized organizations</w:t>
        </w:r>
      </w:hyperlink>
    </w:p>
    <w:p w14:paraId="631C1A35" w14:textId="77777777" w:rsidR="003B32AB" w:rsidRPr="00A94875" w:rsidRDefault="006126E3" w:rsidP="003B32AB">
      <w:pPr>
        <w:numPr>
          <w:ilvl w:val="0"/>
          <w:numId w:val="11"/>
        </w:numPr>
        <w:overflowPunct w:val="0"/>
        <w:autoSpaceDE w:val="0"/>
        <w:autoSpaceDN w:val="0"/>
        <w:adjustRightInd w:val="0"/>
        <w:spacing w:before="0"/>
        <w:textAlignment w:val="baseline"/>
        <w:rPr>
          <w:rStyle w:val="Hyperlink"/>
          <w:rFonts w:cstheme="majorBidi"/>
        </w:rPr>
      </w:pPr>
      <w:hyperlink r:id="rId108" w:history="1">
        <w:r w:rsidR="003B32AB" w:rsidRPr="00A94875">
          <w:rPr>
            <w:rStyle w:val="Hyperlink"/>
            <w:rFonts w:cstheme="majorBidi"/>
          </w:rPr>
          <w:t>ITU-T AAP</w:t>
        </w:r>
      </w:hyperlink>
      <w:r w:rsidR="003B32AB" w:rsidRPr="00A94875">
        <w:rPr>
          <w:rStyle w:val="Hyperlink"/>
          <w:rFonts w:cstheme="majorBidi"/>
        </w:rPr>
        <w:t xml:space="preserve"> &amp; </w:t>
      </w:r>
      <w:hyperlink r:id="rId109" w:history="1">
        <w:r w:rsidR="003B32AB" w:rsidRPr="00A94875">
          <w:rPr>
            <w:rStyle w:val="Hyperlink"/>
            <w:rFonts w:cstheme="majorBidi"/>
          </w:rPr>
          <w:t>TAP</w:t>
        </w:r>
      </w:hyperlink>
    </w:p>
    <w:p w14:paraId="48266182"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0" w:history="1">
        <w:r w:rsidR="003B32AB" w:rsidRPr="00A94875">
          <w:rPr>
            <w:rStyle w:val="Hyperlink"/>
            <w:rFonts w:eastAsia="SimSun" w:cstheme="majorBidi"/>
          </w:rPr>
          <w:t>ITU-T Recommendations</w:t>
        </w:r>
      </w:hyperlink>
    </w:p>
    <w:p w14:paraId="0377948B"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1" w:history="1">
        <w:r w:rsidR="003B32AB" w:rsidRPr="00A94875">
          <w:rPr>
            <w:rStyle w:val="Hyperlink"/>
            <w:rFonts w:eastAsia="SimSun" w:cstheme="majorBidi"/>
          </w:rPr>
          <w:t>ITU-T Liaison Statements</w:t>
        </w:r>
      </w:hyperlink>
    </w:p>
    <w:p w14:paraId="1D8A4395"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2" w:history="1">
        <w:r w:rsidR="003B32AB" w:rsidRPr="00A94875">
          <w:rPr>
            <w:rStyle w:val="Hyperlink"/>
            <w:rFonts w:eastAsia="SimSun" w:cstheme="majorBidi"/>
          </w:rPr>
          <w:t>ITU-T Patents and Software Copyrights</w:t>
        </w:r>
      </w:hyperlink>
    </w:p>
    <w:p w14:paraId="5C4F6F9D"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3" w:history="1">
        <w:r w:rsidR="003B32AB" w:rsidRPr="00A94875">
          <w:rPr>
            <w:rStyle w:val="Hyperlink"/>
            <w:rFonts w:eastAsia="SimSun" w:cstheme="majorBidi"/>
          </w:rPr>
          <w:t>ITU Product Conformity Database</w:t>
        </w:r>
      </w:hyperlink>
    </w:p>
    <w:p w14:paraId="6E79B49F"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4" w:history="1">
        <w:r w:rsidR="003B32AB" w:rsidRPr="00A94875">
          <w:rPr>
            <w:rStyle w:val="Hyperlink"/>
            <w:rFonts w:eastAsia="SimSun" w:cstheme="majorBidi"/>
          </w:rPr>
          <w:t>ITU-T Formal descriptions and Object identifiers</w:t>
        </w:r>
      </w:hyperlink>
    </w:p>
    <w:p w14:paraId="4E1328C1"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5" w:history="1">
        <w:r w:rsidR="003B32AB" w:rsidRPr="00A94875">
          <w:rPr>
            <w:rStyle w:val="Hyperlink"/>
            <w:rFonts w:eastAsia="SimSun" w:cstheme="majorBidi"/>
          </w:rPr>
          <w:t>ITU-T Test Signals</w:t>
        </w:r>
      </w:hyperlink>
    </w:p>
    <w:p w14:paraId="500F4AA8"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6" w:history="1">
        <w:r w:rsidR="003B32AB" w:rsidRPr="00A94875">
          <w:rPr>
            <w:rStyle w:val="Hyperlink"/>
            <w:rFonts w:eastAsia="SimSun" w:cstheme="majorBidi"/>
          </w:rPr>
          <w:t>ITU-T Terms &amp; Definitions</w:t>
        </w:r>
      </w:hyperlink>
    </w:p>
    <w:p w14:paraId="75AFE100" w14:textId="77777777" w:rsidR="003B32AB" w:rsidRPr="00A94875" w:rsidRDefault="006126E3"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7" w:history="1">
        <w:r w:rsidR="003B32AB" w:rsidRPr="00A94875">
          <w:rPr>
            <w:rStyle w:val="Hyperlink"/>
            <w:rFonts w:eastAsia="SimSun" w:cstheme="majorBidi"/>
          </w:rPr>
          <w:t>International Numbering Resources</w:t>
        </w:r>
      </w:hyperlink>
      <w:r w:rsidR="003B32AB" w:rsidRPr="00A94875">
        <w:t xml:space="preserve"> (See section 13.6 for more details).</w:t>
      </w:r>
    </w:p>
    <w:p w14:paraId="7757B242" w14:textId="77777777" w:rsidR="003B32AB" w:rsidRPr="00A94875" w:rsidRDefault="003B32AB" w:rsidP="003B32AB">
      <w:pPr>
        <w:pStyle w:val="Heading2"/>
      </w:pPr>
      <w:bookmarkStart w:id="225" w:name="_Toc530571886"/>
      <w:bookmarkStart w:id="226" w:name="_Toc531254891"/>
      <w:r w:rsidRPr="00A94875">
        <w:t>13.2</w:t>
      </w:r>
      <w:r w:rsidRPr="00A94875">
        <w:tab/>
        <w:t>ITU-T MyWorkspace</w:t>
      </w:r>
      <w:bookmarkEnd w:id="225"/>
      <w:bookmarkEnd w:id="226"/>
    </w:p>
    <w:p w14:paraId="7A5E9884" w14:textId="77777777" w:rsidR="003B32AB" w:rsidRPr="00A94875" w:rsidRDefault="003B32AB" w:rsidP="003B32AB">
      <w:pPr>
        <w:rPr>
          <w:sz w:val="22"/>
        </w:rPr>
      </w:pPr>
      <w:r w:rsidRPr="00A94875">
        <w:t xml:space="preserve">Version 2 of </w:t>
      </w:r>
      <w:hyperlink r:id="rId118" w:history="1">
        <w:r w:rsidRPr="00A94875">
          <w:rPr>
            <w:rStyle w:val="Hyperlink"/>
            <w:rFonts w:eastAsiaTheme="majorEastAsia"/>
          </w:rPr>
          <w:t>MyWorkspace</w:t>
        </w:r>
      </w:hyperlink>
      <w:r w:rsidRPr="00A94875">
        <w:t xml:space="preserve"> </w:t>
      </w:r>
      <w:proofErr w:type="gramStart"/>
      <w:r w:rsidRPr="00A94875">
        <w:t>has been released</w:t>
      </w:r>
      <w:proofErr w:type="gramEnd"/>
      <w:r w:rsidRPr="00A94875">
        <w:t>. MyWorkspace is a personalized webpage restricted to users with an active ITU account. MyWorkspace provides easy access to the information and services most valued by ITU-T delegates, including:</w:t>
      </w:r>
    </w:p>
    <w:p w14:paraId="1A0DFA9D" w14:textId="77777777" w:rsidR="003B32AB" w:rsidRPr="00A94875" w:rsidRDefault="006126E3" w:rsidP="003B32AB">
      <w:pPr>
        <w:pStyle w:val="enumlev1"/>
        <w:numPr>
          <w:ilvl w:val="0"/>
          <w:numId w:val="12"/>
        </w:numPr>
        <w:spacing w:before="0"/>
        <w:ind w:left="1361" w:hanging="794"/>
      </w:pPr>
      <w:hyperlink r:id="rId119" w:history="1">
        <w:r w:rsidR="003B32AB" w:rsidRPr="00A94875">
          <w:rPr>
            <w:rStyle w:val="Hyperlink"/>
          </w:rPr>
          <w:t>ITU-T community</w:t>
        </w:r>
      </w:hyperlink>
      <w:r w:rsidR="003B32AB" w:rsidRPr="00A94875">
        <w:t xml:space="preserve"> and </w:t>
      </w:r>
      <w:hyperlink r:id="rId120" w:history="1">
        <w:r w:rsidR="003B32AB" w:rsidRPr="00A94875">
          <w:rPr>
            <w:rStyle w:val="Hyperlink"/>
          </w:rPr>
          <w:t>Chat service</w:t>
        </w:r>
      </w:hyperlink>
      <w:r w:rsidR="003B32AB" w:rsidRPr="00A94875">
        <w:t>;</w:t>
      </w:r>
    </w:p>
    <w:p w14:paraId="255419DA" w14:textId="77777777" w:rsidR="003B32AB" w:rsidRPr="00A94875" w:rsidRDefault="006126E3" w:rsidP="003B32AB">
      <w:pPr>
        <w:pStyle w:val="enumlev1"/>
        <w:numPr>
          <w:ilvl w:val="0"/>
          <w:numId w:val="12"/>
        </w:numPr>
        <w:spacing w:before="0"/>
        <w:ind w:left="1361" w:hanging="794"/>
      </w:pPr>
      <w:hyperlink r:id="rId121" w:history="1">
        <w:r w:rsidR="003B32AB" w:rsidRPr="00A94875">
          <w:rPr>
            <w:rStyle w:val="Hyperlink"/>
          </w:rPr>
          <w:t>Meeting documents</w:t>
        </w:r>
      </w:hyperlink>
      <w:r w:rsidR="003B32AB" w:rsidRPr="00A94875">
        <w:t xml:space="preserve"> with a section to retrieve </w:t>
      </w:r>
      <w:hyperlink r:id="rId122" w:history="1">
        <w:r w:rsidR="003B32AB" w:rsidRPr="00A94875">
          <w:rPr>
            <w:rStyle w:val="Hyperlink"/>
          </w:rPr>
          <w:t>bookmarked documents</w:t>
        </w:r>
      </w:hyperlink>
      <w:r w:rsidR="003B32AB" w:rsidRPr="00A94875">
        <w:t>;</w:t>
      </w:r>
    </w:p>
    <w:p w14:paraId="2670783E" w14:textId="77777777" w:rsidR="003B32AB" w:rsidRPr="00A94875" w:rsidRDefault="006126E3" w:rsidP="003B32AB">
      <w:pPr>
        <w:pStyle w:val="enumlev1"/>
        <w:numPr>
          <w:ilvl w:val="0"/>
          <w:numId w:val="12"/>
        </w:numPr>
        <w:spacing w:before="0"/>
        <w:ind w:left="1361" w:hanging="794"/>
      </w:pPr>
      <w:hyperlink r:id="rId123" w:history="1">
        <w:r w:rsidR="003B32AB" w:rsidRPr="00A94875">
          <w:rPr>
            <w:rStyle w:val="Hyperlink"/>
          </w:rPr>
          <w:t>Mailing list subscriptions</w:t>
        </w:r>
      </w:hyperlink>
      <w:r w:rsidR="003B32AB" w:rsidRPr="00A94875">
        <w:t>;</w:t>
      </w:r>
    </w:p>
    <w:p w14:paraId="43C1B744" w14:textId="77777777" w:rsidR="003B32AB" w:rsidRPr="00A94875" w:rsidRDefault="006126E3" w:rsidP="003B32AB">
      <w:pPr>
        <w:pStyle w:val="enumlev1"/>
        <w:numPr>
          <w:ilvl w:val="0"/>
          <w:numId w:val="12"/>
        </w:numPr>
        <w:spacing w:before="0"/>
        <w:ind w:left="1361" w:hanging="794"/>
      </w:pPr>
      <w:hyperlink r:id="rId124" w:history="1">
        <w:r w:rsidR="003B32AB" w:rsidRPr="00A94875">
          <w:rPr>
            <w:rStyle w:val="Hyperlink"/>
          </w:rPr>
          <w:t>Calendar of current and future events</w:t>
        </w:r>
      </w:hyperlink>
      <w:r w:rsidR="003B32AB" w:rsidRPr="00A94875">
        <w:t>;</w:t>
      </w:r>
    </w:p>
    <w:p w14:paraId="79A0963F" w14:textId="77777777" w:rsidR="003B32AB" w:rsidRPr="00A94875" w:rsidRDefault="003B32AB" w:rsidP="003B32AB">
      <w:pPr>
        <w:pStyle w:val="enumlev1"/>
        <w:numPr>
          <w:ilvl w:val="0"/>
          <w:numId w:val="12"/>
        </w:numPr>
        <w:spacing w:before="0"/>
        <w:ind w:left="1361" w:hanging="794"/>
      </w:pPr>
      <w:r w:rsidRPr="00A94875">
        <w:t>Personalized profile and preferences</w:t>
      </w:r>
      <w:proofErr w:type="gramStart"/>
      <w:r w:rsidRPr="00A94875">
        <w:t>;</w:t>
      </w:r>
      <w:proofErr w:type="gramEnd"/>
      <w:r w:rsidRPr="00A94875">
        <w:t xml:space="preserve"> and more.</w:t>
      </w:r>
    </w:p>
    <w:p w14:paraId="20B0FA55" w14:textId="77777777" w:rsidR="003B32AB" w:rsidRPr="00A94875" w:rsidRDefault="003B32AB" w:rsidP="003B32AB">
      <w:pPr>
        <w:pStyle w:val="Heading2"/>
      </w:pPr>
      <w:bookmarkStart w:id="227" w:name="_Toc530571887"/>
      <w:bookmarkStart w:id="228" w:name="_Toc531254892"/>
      <w:r w:rsidRPr="00A94875">
        <w:t>13.3</w:t>
      </w:r>
      <w:r w:rsidRPr="00A94875">
        <w:tab/>
        <w:t>ITU search engine</w:t>
      </w:r>
      <w:bookmarkEnd w:id="227"/>
      <w:bookmarkEnd w:id="228"/>
    </w:p>
    <w:p w14:paraId="408043B4"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To ease access to ITU resources, TSB has developed a </w:t>
      </w:r>
      <w:hyperlink r:id="rId125" w:history="1">
        <w:r w:rsidRPr="00A94875">
          <w:rPr>
            <w:rStyle w:val="Hyperlink"/>
            <w:rFonts w:cstheme="majorBidi"/>
          </w:rPr>
          <w:t>search engine</w:t>
        </w:r>
      </w:hyperlink>
      <w:proofErr w:type="gramStart"/>
      <w:r w:rsidRPr="00A94875">
        <w:rPr>
          <w:rFonts w:asciiTheme="majorBidi" w:hAnsiTheme="majorBidi" w:cstheme="majorBidi"/>
        </w:rPr>
        <w:t xml:space="preserve"> which</w:t>
      </w:r>
      <w:proofErr w:type="gramEnd"/>
      <w:r w:rsidRPr="00A94875">
        <w:rPr>
          <w:rFonts w:asciiTheme="majorBidi" w:hAnsiTheme="majorBidi" w:cstheme="majorBidi"/>
        </w:rPr>
        <w:t xml:space="preserve"> has been constantly enriched with the full collections of ITU documents, publications and web pages. </w:t>
      </w:r>
    </w:p>
    <w:p w14:paraId="13B22C68" w14:textId="77777777" w:rsidR="003B32AB" w:rsidRPr="00A94875" w:rsidRDefault="003B32AB" w:rsidP="003B32AB">
      <w:pPr>
        <w:pStyle w:val="Heading2"/>
        <w:rPr>
          <w:rFonts w:asciiTheme="majorBidi" w:hAnsiTheme="majorBidi" w:cstheme="majorBidi"/>
        </w:rPr>
      </w:pPr>
      <w:bookmarkStart w:id="229" w:name="_Toc530571888"/>
      <w:bookmarkStart w:id="230" w:name="_Toc531254893"/>
      <w:r w:rsidRPr="00A94875">
        <w:rPr>
          <w:rFonts w:asciiTheme="majorBidi" w:hAnsiTheme="majorBidi" w:cstheme="majorBidi"/>
        </w:rPr>
        <w:t>13.4</w:t>
      </w:r>
      <w:r w:rsidRPr="00A94875">
        <w:rPr>
          <w:rFonts w:asciiTheme="majorBidi" w:hAnsiTheme="majorBidi" w:cstheme="majorBidi"/>
        </w:rPr>
        <w:tab/>
      </w:r>
      <w:r w:rsidRPr="00A94875">
        <w:t>ITU-T services &amp; tools announcements</w:t>
      </w:r>
      <w:bookmarkEnd w:id="229"/>
      <w:bookmarkEnd w:id="230"/>
    </w:p>
    <w:p w14:paraId="355E475B" w14:textId="77777777" w:rsidR="003B32AB" w:rsidRPr="00A94875" w:rsidRDefault="003B32AB" w:rsidP="003B32AB">
      <w:pPr>
        <w:rPr>
          <w:rFonts w:asciiTheme="majorBidi" w:hAnsiTheme="majorBidi" w:cstheme="majorBidi"/>
          <w:b/>
        </w:rPr>
      </w:pPr>
      <w:r w:rsidRPr="00A94875">
        <w:rPr>
          <w:rFonts w:asciiTheme="majorBidi" w:hAnsiTheme="majorBidi" w:cstheme="majorBidi"/>
        </w:rPr>
        <w:t xml:space="preserve">A service announcements platform, </w:t>
      </w:r>
      <w:hyperlink r:id="rId126" w:history="1">
        <w:r w:rsidRPr="00A94875">
          <w:rPr>
            <w:rStyle w:val="Hyperlink"/>
            <w:rFonts w:cstheme="majorBidi"/>
          </w:rPr>
          <w:t>http://tsbtech.itu.int/</w:t>
        </w:r>
      </w:hyperlink>
      <w:r w:rsidRPr="00A94875">
        <w:rPr>
          <w:rFonts w:asciiTheme="majorBidi" w:hAnsiTheme="majorBidi" w:cstheme="majorBidi"/>
        </w:rPr>
        <w:t>, keeps the ITU-T community up to date with the latest services and tool enhancements.</w:t>
      </w:r>
    </w:p>
    <w:p w14:paraId="7CE44306" w14:textId="77777777" w:rsidR="003B32AB" w:rsidRPr="00A94875" w:rsidRDefault="003B32AB" w:rsidP="003B32AB">
      <w:pPr>
        <w:pStyle w:val="Heading2"/>
        <w:rPr>
          <w:rFonts w:asciiTheme="majorBidi" w:hAnsiTheme="majorBidi" w:cstheme="majorBidi"/>
        </w:rPr>
      </w:pPr>
      <w:bookmarkStart w:id="231" w:name="_Toc480527871"/>
      <w:bookmarkStart w:id="232" w:name="_Toc530571889"/>
      <w:bookmarkStart w:id="233" w:name="_Toc531254894"/>
      <w:r w:rsidRPr="00A94875">
        <w:rPr>
          <w:rFonts w:asciiTheme="majorBidi" w:hAnsiTheme="majorBidi" w:cstheme="majorBidi"/>
        </w:rPr>
        <w:t>13.5</w:t>
      </w:r>
      <w:r w:rsidRPr="00A94875">
        <w:rPr>
          <w:rFonts w:asciiTheme="majorBidi" w:hAnsiTheme="majorBidi" w:cstheme="majorBidi"/>
        </w:rPr>
        <w:tab/>
        <w:t>Document Management System for Rapporteur Groups</w:t>
      </w:r>
      <w:bookmarkEnd w:id="231"/>
      <w:bookmarkEnd w:id="232"/>
      <w:bookmarkEnd w:id="233"/>
    </w:p>
    <w:p w14:paraId="5BEC3CA2" w14:textId="77777777" w:rsidR="003B32AB" w:rsidRPr="00A94875" w:rsidRDefault="003B32AB" w:rsidP="003B32AB">
      <w:pPr>
        <w:rPr>
          <w:rFonts w:asciiTheme="majorBidi" w:hAnsiTheme="majorBidi" w:cstheme="majorBidi"/>
        </w:rPr>
      </w:pPr>
      <w:r w:rsidRPr="00A94875">
        <w:t>The MS SharePoint-based Document Management System for ITU-T Rapporteur Group Meetings (RGMs) has been used</w:t>
      </w:r>
      <w:r w:rsidRPr="00A94875">
        <w:rPr>
          <w:rFonts w:asciiTheme="majorBidi" w:hAnsiTheme="majorBidi" w:cstheme="majorBidi"/>
        </w:rPr>
        <w:t xml:space="preserve"> </w:t>
      </w:r>
      <w:r w:rsidRPr="00A94875">
        <w:t>extensively by the majority of ITU-T Study Groups, notably Study Groups 2, 3, 9, 11, 13, 15, 16 and TSAG. Feedback from Rapporteurs drives the continuous improvement of the RGM system</w:t>
      </w:r>
      <w:proofErr w:type="gramStart"/>
      <w:r w:rsidRPr="00A94875">
        <w:t>..</w:t>
      </w:r>
      <w:proofErr w:type="gramEnd"/>
    </w:p>
    <w:p w14:paraId="10DEEBA5" w14:textId="77777777" w:rsidR="003B32AB" w:rsidRPr="00A94875" w:rsidRDefault="003B32AB" w:rsidP="003B32AB">
      <w:r w:rsidRPr="00A94875">
        <w:t xml:space="preserve">Current and past RGM meetings </w:t>
      </w:r>
      <w:proofErr w:type="gramStart"/>
      <w:r w:rsidRPr="00A94875">
        <w:t>can be accessed</w:t>
      </w:r>
      <w:proofErr w:type="gramEnd"/>
      <w:r w:rsidRPr="00A94875">
        <w:t xml:space="preserve"> at </w:t>
      </w:r>
      <w:hyperlink r:id="rId127" w:history="1">
        <w:r w:rsidRPr="00A94875">
          <w:rPr>
            <w:rStyle w:val="Hyperlink"/>
          </w:rPr>
          <w:t>http://itu.int/go/itu-t/rgm</w:t>
        </w:r>
      </w:hyperlink>
    </w:p>
    <w:p w14:paraId="5302D5C8" w14:textId="77777777" w:rsidR="003B32AB" w:rsidRPr="00A94875" w:rsidRDefault="003B32AB" w:rsidP="003B32AB">
      <w:r w:rsidRPr="00A94875">
        <w:t xml:space="preserve">A comprehensive support and FAQs page offering RGM tips and best practices is available at </w:t>
      </w:r>
      <w:hyperlink r:id="rId128" w:history="1">
        <w:r w:rsidRPr="00A94875">
          <w:rPr>
            <w:rStyle w:val="Hyperlink"/>
          </w:rPr>
          <w:t>http://itu.int/go/itu-t/rgm-support</w:t>
        </w:r>
      </w:hyperlink>
    </w:p>
    <w:p w14:paraId="2ED04661" w14:textId="77777777" w:rsidR="003B32AB" w:rsidRPr="00A94875" w:rsidRDefault="003B32AB" w:rsidP="003B32AB">
      <w:r w:rsidRPr="00A94875">
        <w:t xml:space="preserve">A detailed online user guide for the RGM System, including video tutorials, is available at </w:t>
      </w:r>
      <w:hyperlink r:id="rId129" w:history="1">
        <w:r w:rsidRPr="00A94875">
          <w:rPr>
            <w:rStyle w:val="Hyperlink"/>
          </w:rPr>
          <w:t>http://itu.int/go/itu-t/rgm-guide</w:t>
        </w:r>
      </w:hyperlink>
    </w:p>
    <w:p w14:paraId="0728C039" w14:textId="77777777" w:rsidR="003B32AB" w:rsidRPr="00A94875" w:rsidRDefault="003B32AB" w:rsidP="003B32AB">
      <w:r w:rsidRPr="00A94875">
        <w:rPr>
          <w:rFonts w:asciiTheme="majorBidi" w:hAnsiTheme="majorBidi" w:cstheme="majorBidi"/>
        </w:rPr>
        <w:t xml:space="preserve">The RGM system </w:t>
      </w:r>
      <w:r w:rsidRPr="00A94875">
        <w:t xml:space="preserve">is one </w:t>
      </w:r>
      <w:r w:rsidRPr="00A94875">
        <w:rPr>
          <w:rFonts w:asciiTheme="majorBidi" w:hAnsiTheme="majorBidi" w:cstheme="majorBidi"/>
        </w:rPr>
        <w:t xml:space="preserve">of several services available in the ITU-T SharePoint collaboration sites. These sites are restricted to ITU-T Members and </w:t>
      </w:r>
      <w:proofErr w:type="gramStart"/>
      <w:r w:rsidRPr="00A94875">
        <w:rPr>
          <w:rFonts w:asciiTheme="majorBidi" w:hAnsiTheme="majorBidi" w:cstheme="majorBidi"/>
        </w:rPr>
        <w:t>can be accessed</w:t>
      </w:r>
      <w:proofErr w:type="gramEnd"/>
      <w:r w:rsidRPr="00A94875">
        <w:rPr>
          <w:rFonts w:asciiTheme="majorBidi" w:hAnsiTheme="majorBidi" w:cstheme="majorBidi"/>
        </w:rPr>
        <w:t xml:space="preserve"> using an ITU User (TIES) account.</w:t>
      </w:r>
    </w:p>
    <w:p w14:paraId="4162FB09" w14:textId="77777777" w:rsidR="003B32AB" w:rsidRPr="00A94875" w:rsidRDefault="003B32AB" w:rsidP="003B32AB">
      <w:pPr>
        <w:pStyle w:val="Heading2"/>
        <w:rPr>
          <w:rFonts w:asciiTheme="majorBidi" w:hAnsiTheme="majorBidi" w:cstheme="majorBidi"/>
        </w:rPr>
      </w:pPr>
      <w:bookmarkStart w:id="234" w:name="_Toc480527873"/>
      <w:bookmarkStart w:id="235" w:name="_Toc530571890"/>
      <w:bookmarkStart w:id="236" w:name="_Toc531254895"/>
      <w:r w:rsidRPr="00A94875">
        <w:rPr>
          <w:rFonts w:asciiTheme="majorBidi" w:hAnsiTheme="majorBidi" w:cstheme="majorBidi"/>
        </w:rPr>
        <w:t>13.6</w:t>
      </w:r>
      <w:r w:rsidRPr="00A94875">
        <w:rPr>
          <w:rFonts w:asciiTheme="majorBidi" w:hAnsiTheme="majorBidi" w:cstheme="majorBidi"/>
        </w:rPr>
        <w:tab/>
        <w:t>International Numbering Resources (INRs)</w:t>
      </w:r>
      <w:bookmarkEnd w:id="234"/>
      <w:bookmarkEnd w:id="235"/>
      <w:bookmarkEnd w:id="236"/>
    </w:p>
    <w:p w14:paraId="0D45682E" w14:textId="77777777" w:rsidR="003B32AB" w:rsidRPr="00A94875" w:rsidRDefault="003B32AB" w:rsidP="003B32AB">
      <w:pPr>
        <w:rPr>
          <w:rFonts w:asciiTheme="majorBidi" w:hAnsiTheme="majorBidi" w:cstheme="majorBidi"/>
        </w:rPr>
      </w:pPr>
      <w:r w:rsidRPr="00A94875">
        <w:rPr>
          <w:rFonts w:asciiTheme="majorBidi" w:hAnsiTheme="majorBidi" w:cstheme="majorBidi"/>
        </w:rPr>
        <w:t>ITU assigns about two-dozen types of International Numbering Resources (INRs), either directly or indirectly.</w:t>
      </w:r>
    </w:p>
    <w:p w14:paraId="3ABA735E"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Notifications of national numbering/identification plan updates and assignments or reclamations of national numbering/identification resources </w:t>
      </w:r>
      <w:proofErr w:type="gramStart"/>
      <w:r w:rsidRPr="00A94875">
        <w:rPr>
          <w:rFonts w:asciiTheme="majorBidi" w:hAnsiTheme="majorBidi" w:cstheme="majorBidi"/>
        </w:rPr>
        <w:t xml:space="preserve">are received and published in the </w:t>
      </w:r>
      <w:hyperlink r:id="rId130" w:history="1">
        <w:r w:rsidRPr="00A94875">
          <w:rPr>
            <w:rFonts w:asciiTheme="majorBidi" w:hAnsiTheme="majorBidi" w:cstheme="majorBidi"/>
            <w:color w:val="0000FF"/>
            <w:u w:val="single" w:color="0000FF"/>
          </w:rPr>
          <w:t>ITU Operational Bulletin</w:t>
        </w:r>
        <w:proofErr w:type="gramEnd"/>
      </w:hyperlink>
      <w:r w:rsidRPr="00A94875">
        <w:rPr>
          <w:rFonts w:asciiTheme="majorBidi" w:hAnsiTheme="majorBidi" w:cstheme="majorBidi"/>
        </w:rPr>
        <w:t xml:space="preserve">. The ITU Operational Bulletin </w:t>
      </w:r>
      <w:proofErr w:type="gramStart"/>
      <w:r w:rsidRPr="00A94875">
        <w:rPr>
          <w:rFonts w:asciiTheme="majorBidi" w:hAnsiTheme="majorBidi" w:cstheme="majorBidi"/>
        </w:rPr>
        <w:t>is published</w:t>
      </w:r>
      <w:proofErr w:type="gramEnd"/>
      <w:r w:rsidRPr="00A94875">
        <w:rPr>
          <w:rFonts w:asciiTheme="majorBidi" w:hAnsiTheme="majorBidi" w:cstheme="majorBidi"/>
        </w:rPr>
        <w:t xml:space="preserve"> in the six official languages of the Union twice a month. Some 20 annexes </w:t>
      </w:r>
      <w:proofErr w:type="gramStart"/>
      <w:r w:rsidRPr="00A94875">
        <w:rPr>
          <w:rFonts w:asciiTheme="majorBidi" w:hAnsiTheme="majorBidi" w:cstheme="majorBidi"/>
        </w:rPr>
        <w:t>are maintained</w:t>
      </w:r>
      <w:proofErr w:type="gramEnd"/>
      <w:r w:rsidRPr="00A94875">
        <w:rPr>
          <w:rFonts w:asciiTheme="majorBidi" w:hAnsiTheme="majorBidi" w:cstheme="majorBidi"/>
        </w:rPr>
        <w:t xml:space="preserve"> on numbers and codes allocated in accordance with the following recommendations:</w:t>
      </w:r>
    </w:p>
    <w:p w14:paraId="1DE8C201"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E.164 "The international public telecommunication numbering plan"</w:t>
      </w:r>
    </w:p>
    <w:p w14:paraId="05676693"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E.118 "The international telecommunication charge card"</w:t>
      </w:r>
    </w:p>
    <w:p w14:paraId="6AD6D072"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E.212 "The international identification plan for public networks and subscriptions"</w:t>
      </w:r>
    </w:p>
    <w:p w14:paraId="4E078459"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E.218 "Management of the allocation of terrestrial trunk radio Mobile Country Codes"</w:t>
      </w:r>
    </w:p>
    <w:p w14:paraId="116D2992"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Q.708 "Assignment procedures for international signalling point codes".</w:t>
      </w:r>
    </w:p>
    <w:p w14:paraId="23E07459" w14:textId="77777777" w:rsidR="003B32AB" w:rsidRPr="00A94875" w:rsidRDefault="006126E3" w:rsidP="003B32AB">
      <w:pPr>
        <w:rPr>
          <w:rFonts w:asciiTheme="majorBidi" w:hAnsiTheme="majorBidi" w:cstheme="majorBidi"/>
        </w:rPr>
      </w:pPr>
      <w:hyperlink r:id="rId131" w:tooltip="Guidelines for ITU-T action on reported misuse of E.164 number resources" w:history="1">
        <w:r w:rsidR="003B32AB" w:rsidRPr="00A94875">
          <w:rPr>
            <w:rStyle w:val="Hyperlink"/>
            <w:rFonts w:cstheme="majorBidi"/>
          </w:rPr>
          <w:t>Recommendation ITU-T E.156 “Guidelines for ITU-T action on reported misuse of E.164 number resources”</w:t>
        </w:r>
      </w:hyperlink>
      <w:r w:rsidR="003B32AB" w:rsidRPr="00A94875">
        <w:rPr>
          <w:rFonts w:asciiTheme="majorBidi" w:hAnsiTheme="majorBidi" w:cstheme="majorBidi"/>
        </w:rPr>
        <w:t xml:space="preserve"> is under revision to include new cases of misuse and to investigate </w:t>
      </w:r>
      <w:proofErr w:type="gramStart"/>
      <w:r w:rsidR="003B32AB" w:rsidRPr="00A94875">
        <w:rPr>
          <w:rFonts w:asciiTheme="majorBidi" w:hAnsiTheme="majorBidi" w:cstheme="majorBidi"/>
        </w:rPr>
        <w:t>more efficient means of combating misuse</w:t>
      </w:r>
      <w:proofErr w:type="gramEnd"/>
      <w:r w:rsidR="003B32AB" w:rsidRPr="00A94875">
        <w:rPr>
          <w:rFonts w:asciiTheme="majorBidi" w:hAnsiTheme="majorBidi" w:cstheme="majorBidi"/>
        </w:rPr>
        <w:t>.</w:t>
      </w:r>
    </w:p>
    <w:p w14:paraId="74DC378C" w14:textId="77777777" w:rsidR="003B32AB" w:rsidRPr="00A94875" w:rsidRDefault="003B32AB" w:rsidP="003B32AB">
      <w:pPr>
        <w:snapToGrid w:val="0"/>
        <w:spacing w:after="120"/>
        <w:rPr>
          <w:rFonts w:asciiTheme="majorBidi" w:hAnsiTheme="majorBidi" w:cstheme="majorBidi"/>
          <w:color w:val="000000"/>
        </w:rPr>
      </w:pPr>
      <w:r w:rsidRPr="00A94875">
        <w:rPr>
          <w:rFonts w:asciiTheme="majorBidi" w:eastAsia="SimSun" w:hAnsiTheme="majorBidi" w:cstheme="majorBidi"/>
          <w:color w:val="000000"/>
        </w:rPr>
        <w:t xml:space="preserve">Council 2017 </w:t>
      </w:r>
      <w:r w:rsidRPr="00A94875">
        <w:rPr>
          <w:rFonts w:asciiTheme="majorBidi" w:hAnsiTheme="majorBidi" w:cstheme="majorBidi"/>
          <w:color w:val="000000"/>
        </w:rPr>
        <w:t>approved the new fee structure for UIFN (Universal International Freephone Number) and IIN (Issuer Identifier Number) by approving new Decision 600 (</w:t>
      </w:r>
      <w:hyperlink r:id="rId132" w:history="1">
        <w:r w:rsidRPr="00A94875">
          <w:rPr>
            <w:rStyle w:val="Hyperlink"/>
            <w:rFonts w:cstheme="majorBidi"/>
          </w:rPr>
          <w:t>C17/133</w:t>
        </w:r>
      </w:hyperlink>
      <w:r w:rsidRPr="00A94875">
        <w:rPr>
          <w:rFonts w:asciiTheme="majorBidi" w:hAnsiTheme="majorBidi" w:cstheme="majorBidi"/>
          <w:color w:val="000000"/>
        </w:rPr>
        <w:t>) and 601 (</w:t>
      </w:r>
      <w:hyperlink r:id="rId133" w:history="1">
        <w:r w:rsidRPr="00A94875">
          <w:rPr>
            <w:rStyle w:val="Hyperlink"/>
            <w:rFonts w:cstheme="majorBidi"/>
          </w:rPr>
          <w:t>C17/134</w:t>
        </w:r>
      </w:hyperlink>
      <w:r w:rsidRPr="00A94875">
        <w:rPr>
          <w:rFonts w:asciiTheme="majorBidi" w:hAnsiTheme="majorBidi" w:cstheme="majorBidi"/>
          <w:color w:val="000000"/>
        </w:rPr>
        <w:t xml:space="preserve">). The improved systems went live on 16 January 2018 following the new fee structure approved in </w:t>
      </w:r>
      <w:r w:rsidRPr="00A94875">
        <w:rPr>
          <w:rFonts w:asciiTheme="majorBidi" w:hAnsiTheme="majorBidi" w:cstheme="majorBidi"/>
          <w:color w:val="000000"/>
        </w:rPr>
        <w:lastRenderedPageBreak/>
        <w:t>Council Decision 600</w:t>
      </w:r>
      <w:r w:rsidRPr="00A94875">
        <w:rPr>
          <w:rFonts w:asciiTheme="majorBidi" w:eastAsia="SimSun" w:hAnsiTheme="majorBidi" w:cstheme="majorBidi"/>
          <w:color w:val="000000"/>
        </w:rPr>
        <w:t xml:space="preserve">. It was found that the following RoAs are still not reachable, accounting for </w:t>
      </w:r>
      <w:proofErr w:type="gramStart"/>
      <w:r w:rsidRPr="00A94875">
        <w:rPr>
          <w:rFonts w:asciiTheme="majorBidi" w:eastAsia="SimSun" w:hAnsiTheme="majorBidi" w:cstheme="majorBidi"/>
          <w:color w:val="000000"/>
        </w:rPr>
        <w:t>a total of 93</w:t>
      </w:r>
      <w:proofErr w:type="gramEnd"/>
      <w:r w:rsidRPr="00A94875">
        <w:rPr>
          <w:rFonts w:asciiTheme="majorBidi" w:eastAsia="SimSun" w:hAnsiTheme="majorBidi" w:cstheme="majorBidi"/>
          <w:color w:val="000000"/>
        </w:rPr>
        <w:t xml:space="preserve"> UIFNs</w:t>
      </w:r>
      <w:r w:rsidRPr="00A94875">
        <w:rPr>
          <w:rFonts w:asciiTheme="majorBidi" w:hAnsiTheme="majorBidi" w:cstheme="majorBidi"/>
          <w:color w:val="000000"/>
        </w:rPr>
        <w:t>:</w:t>
      </w:r>
    </w:p>
    <w:p w14:paraId="3F4BDF0F"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AES - AES Comunicaciónes Bolivia S.A. (1 UIFN)</w:t>
      </w:r>
    </w:p>
    <w:p w14:paraId="5CB91D30"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AXICOM - Axicom Communications Group Inc., USA (2 UIFN)</w:t>
      </w:r>
    </w:p>
    <w:p w14:paraId="44A19301"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14:paraId="05915BAB"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14:paraId="34765B7B"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CTE - Compañia de Telecomunicaciones de El Salvador, S.A. de C.V. (1 UIFN)</w:t>
      </w:r>
    </w:p>
    <w:p w14:paraId="3BA0458A"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NEXTRA - GTS Nextra, a.s., Slovakia (4 UIFN)</w:t>
      </w:r>
    </w:p>
    <w:p w14:paraId="0E98A065"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HANSE - HanseNet Telekommunikation GmbH, Germany (1 UIFN)</w:t>
      </w:r>
    </w:p>
    <w:p w14:paraId="104DED54"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ABS - Inclarity PLC, UK (9 UIFN)</w:t>
      </w:r>
    </w:p>
    <w:p w14:paraId="1896708E"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STRADA - Infostrada S.p.A., Italy (2 UIFN)</w:t>
      </w:r>
    </w:p>
    <w:p w14:paraId="5E68C489"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IRT - Interoute Belgium NV, Belgium (1 UIFN)</w:t>
      </w:r>
    </w:p>
    <w:p w14:paraId="7448AA83"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14:paraId="22C24F44"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NETZ - Netzquadrat GmbH, Germany (2 UIFN)</w:t>
      </w:r>
    </w:p>
    <w:p w14:paraId="136797EE"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14:paraId="083C5018"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CTS - WorldXchange Communications, USA (10 UIFN)</w:t>
      </w:r>
    </w:p>
    <w:p w14:paraId="0CD958E7"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DTMS – dtms gmbh, Germany (1 UIFN)</w:t>
      </w:r>
    </w:p>
    <w:p w14:paraId="09344188"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 xml:space="preserve">Of the 813 registered IINs, 20 </w:t>
      </w:r>
      <w:proofErr w:type="gramStart"/>
      <w:r w:rsidRPr="00A94875">
        <w:rPr>
          <w:rFonts w:asciiTheme="majorBidi" w:hAnsiTheme="majorBidi" w:cstheme="majorBidi"/>
        </w:rPr>
        <w:t>were registered</w:t>
      </w:r>
      <w:proofErr w:type="gramEnd"/>
      <w:r w:rsidRPr="00A94875">
        <w:rPr>
          <w:rFonts w:asciiTheme="majorBidi" w:hAnsiTheme="majorBidi" w:cstheme="majorBidi"/>
        </w:rPr>
        <w:t xml:space="preserve"> in the reporting period; 168 IINs wereupdated; and 25 IINs were withdrawn. These updates </w:t>
      </w:r>
      <w:proofErr w:type="gramStart"/>
      <w:r w:rsidRPr="00A94875">
        <w:rPr>
          <w:rFonts w:asciiTheme="majorBidi" w:hAnsiTheme="majorBidi" w:cstheme="majorBidi"/>
        </w:rPr>
        <w:t>have all been published</w:t>
      </w:r>
      <w:proofErr w:type="gramEnd"/>
      <w:r w:rsidRPr="00A94875">
        <w:rPr>
          <w:rFonts w:asciiTheme="majorBidi" w:hAnsiTheme="majorBidi" w:cstheme="majorBidi"/>
        </w:rPr>
        <w:t xml:space="preserve"> in ITU Operational Bulletin. </w:t>
      </w:r>
      <w:proofErr w:type="gramStart"/>
      <w:r w:rsidRPr="00A94875">
        <w:rPr>
          <w:rFonts w:asciiTheme="majorBidi" w:hAnsiTheme="majorBidi" w:cstheme="majorBidi"/>
        </w:rPr>
        <w:t>341</w:t>
      </w:r>
      <w:proofErr w:type="gramEnd"/>
      <w:r w:rsidRPr="00A94875">
        <w:rPr>
          <w:rFonts w:asciiTheme="majorBidi" w:hAnsiTheme="majorBidi" w:cstheme="majorBidi"/>
        </w:rPr>
        <w:t xml:space="preserve"> IINs are now undergoing review.</w:t>
      </w:r>
    </w:p>
    <w:p w14:paraId="34C2A6F2" w14:textId="77777777" w:rsidR="003B32AB" w:rsidRPr="00A94875" w:rsidRDefault="003B32AB" w:rsidP="003B32AB">
      <w:pPr>
        <w:pStyle w:val="NormalWeb"/>
        <w:spacing w:before="120" w:beforeAutospacing="0" w:after="120" w:afterAutospacing="0"/>
        <w:rPr>
          <w:rFonts w:eastAsia="SimSun"/>
          <w:lang w:val="en-GB"/>
        </w:rPr>
      </w:pPr>
      <w:proofErr w:type="gramStart"/>
      <w:r w:rsidRPr="00A94875">
        <w:rPr>
          <w:rFonts w:eastAsia="SimSun"/>
          <w:lang w:val="en-GB"/>
        </w:rPr>
        <w:t>The recommendation below was approved by ITU Council</w:t>
      </w:r>
      <w:proofErr w:type="gramEnd"/>
      <w:r w:rsidRPr="00A94875">
        <w:rPr>
          <w:rFonts w:eastAsia="SimSun"/>
          <w:lang w:val="en-GB"/>
        </w:rPr>
        <w:t xml:space="preserve"> at its 2018 session (Annex A to the document </w:t>
      </w:r>
      <w:hyperlink r:id="rId134" w:history="1">
        <w:r w:rsidRPr="00A94875">
          <w:rPr>
            <w:rStyle w:val="Hyperlink"/>
            <w:rFonts w:eastAsia="SimSun"/>
            <w:lang w:val="en-GB"/>
          </w:rPr>
          <w:t>C18/121</w:t>
        </w:r>
      </w:hyperlink>
      <w:r w:rsidRPr="00A94875">
        <w:rPr>
          <w:rFonts w:eastAsia="SimSun"/>
          <w:lang w:val="en-GB"/>
        </w:rPr>
        <w:t xml:space="preserve">). </w:t>
      </w:r>
      <w:r w:rsidRPr="00A94875">
        <w:rPr>
          <w:rFonts w:asciiTheme="majorBidi" w:eastAsia="SimSun" w:hAnsiTheme="majorBidi" w:cstheme="majorBidi"/>
          <w:lang w:val="en-GB"/>
        </w:rPr>
        <w:t>“</w:t>
      </w:r>
      <w:r w:rsidRPr="00A94875">
        <w:rPr>
          <w:rFonts w:eastAsia="SimSun"/>
          <w:lang w:val="en-GB"/>
        </w:rPr>
        <w:t xml:space="preserve">The Committee recommends that the Council take note of the first proposal in Document </w:t>
      </w:r>
      <w:hyperlink r:id="rId135" w:history="1">
        <w:r w:rsidRPr="00A94875">
          <w:rPr>
            <w:rStyle w:val="Hyperlink"/>
            <w:rFonts w:eastAsia="SimSun"/>
            <w:lang w:val="en-GB"/>
          </w:rPr>
          <w:t>C18/100</w:t>
        </w:r>
      </w:hyperlink>
      <w:r w:rsidRPr="00A94875">
        <w:rPr>
          <w:rFonts w:eastAsia="SimSun"/>
          <w:lang w:val="en-GB"/>
        </w:rPr>
        <w:t>:</w:t>
      </w:r>
    </w:p>
    <w:p w14:paraId="2A8B4FA8" w14:textId="77777777" w:rsidR="003B32AB" w:rsidRPr="00A94875" w:rsidRDefault="003B32AB" w:rsidP="003B32AB">
      <w:pPr>
        <w:keepNext/>
        <w:keepLines/>
        <w:ind w:left="590" w:hanging="567"/>
        <w:rPr>
          <w:rFonts w:asciiTheme="majorBidi" w:eastAsia="SimSun" w:hAnsiTheme="majorBidi" w:cstheme="majorBidi"/>
          <w:i/>
          <w:iCs/>
        </w:rPr>
      </w:pPr>
      <w:r w:rsidRPr="00A94875">
        <w:rPr>
          <w:rFonts w:asciiTheme="majorBidi" w:eastAsia="SimSun" w:hAnsiTheme="majorBidi" w:cstheme="majorBidi"/>
          <w:i/>
          <w:iCs/>
        </w:rPr>
        <w:tab/>
        <w:t xml:space="preserve">National Administrations/regulators </w:t>
      </w:r>
      <w:proofErr w:type="gramStart"/>
      <w:r w:rsidRPr="00A94875">
        <w:rPr>
          <w:rFonts w:asciiTheme="majorBidi" w:eastAsia="SimSun" w:hAnsiTheme="majorBidi" w:cstheme="majorBidi"/>
          <w:i/>
          <w:iCs/>
        </w:rPr>
        <w:t>are invited</w:t>
      </w:r>
      <w:proofErr w:type="gramEnd"/>
      <w:r w:rsidRPr="00A94875">
        <w:rPr>
          <w:rFonts w:asciiTheme="majorBidi" w:eastAsia="SimSun" w:hAnsiTheme="majorBidi" w:cstheme="majorBidi"/>
          <w:i/>
          <w:iCs/>
        </w:rPr>
        <w:t xml:space="preserve"> to provide a focal point for providing or investigating up-to-date contacts for UIFN service providers (RoAs) and the assignees of IINs.</w:t>
      </w:r>
    </w:p>
    <w:p w14:paraId="3D7BAD48" w14:textId="77777777" w:rsidR="003B32AB" w:rsidRPr="00A94875" w:rsidRDefault="003B32AB" w:rsidP="003B32AB">
      <w:pPr>
        <w:keepNext/>
        <w:keepLines/>
        <w:tabs>
          <w:tab w:val="left" w:pos="842"/>
        </w:tabs>
        <w:rPr>
          <w:rFonts w:asciiTheme="majorBidi" w:eastAsia="SimSun" w:hAnsiTheme="majorBidi" w:cstheme="majorBidi"/>
        </w:rPr>
      </w:pPr>
      <w:r w:rsidRPr="00A94875">
        <w:rPr>
          <w:rFonts w:asciiTheme="majorBidi" w:eastAsia="SimSun" w:hAnsiTheme="majorBidi" w:cstheme="majorBidi"/>
        </w:rPr>
        <w:t>The Committee recommends that the Council approve the revised second proposal in Document C18/100:</w:t>
      </w:r>
    </w:p>
    <w:p w14:paraId="4CB38769" w14:textId="77777777" w:rsidR="003B32AB" w:rsidRPr="00A94875" w:rsidRDefault="003B32AB" w:rsidP="003B32AB">
      <w:pPr>
        <w:keepNext/>
        <w:keepLines/>
        <w:ind w:left="590" w:hanging="567"/>
        <w:rPr>
          <w:rFonts w:asciiTheme="majorBidi" w:eastAsia="SimSun" w:hAnsiTheme="majorBidi" w:cstheme="majorBidi"/>
        </w:rPr>
      </w:pPr>
      <w:r w:rsidRPr="00A94875">
        <w:rPr>
          <w:rFonts w:asciiTheme="majorBidi" w:eastAsia="SimSun" w:hAnsiTheme="majorBidi" w:cstheme="majorBidi"/>
          <w:i/>
          <w:iCs/>
        </w:rPr>
        <w:tab/>
        <w:t xml:space="preserve">For Entities for which national Administrations/regulators have lost contact and for which no contacts </w:t>
      </w:r>
      <w:proofErr w:type="gramStart"/>
      <w:r w:rsidRPr="00A94875">
        <w:rPr>
          <w:rFonts w:asciiTheme="majorBidi" w:eastAsia="SimSun" w:hAnsiTheme="majorBidi" w:cstheme="majorBidi"/>
          <w:i/>
          <w:iCs/>
        </w:rPr>
        <w:t>could be found</w:t>
      </w:r>
      <w:proofErr w:type="gramEnd"/>
      <w:r w:rsidRPr="00A94875">
        <w:rPr>
          <w:rFonts w:asciiTheme="majorBidi" w:eastAsia="SimSun" w:hAnsiTheme="majorBidi" w:cstheme="majorBidi"/>
          <w:i/>
          <w:iCs/>
        </w:rPr>
        <w:t xml:space="preserve"> by the end of Council 2019, all records relevant to these entities will be removed from the ITU database based on confirmations/notifications from national Administrations/regulators.</w:t>
      </w:r>
    </w:p>
    <w:p w14:paraId="1E5EA256" w14:textId="77777777" w:rsidR="003B32AB" w:rsidRPr="00A94875" w:rsidRDefault="003B32AB" w:rsidP="003B32AB">
      <w:pPr>
        <w:snapToGrid w:val="0"/>
        <w:rPr>
          <w:rFonts w:asciiTheme="majorBidi" w:eastAsia="SimSun" w:hAnsiTheme="majorBidi" w:cstheme="majorBidi"/>
        </w:rPr>
      </w:pPr>
      <w:r w:rsidRPr="00A94875">
        <w:rPr>
          <w:rFonts w:asciiTheme="majorBidi" w:eastAsia="SimSun" w:hAnsiTheme="majorBidi" w:cstheme="majorBidi"/>
        </w:rPr>
        <w:t>The Committee recommends that the Council instruct the secretariat, as an interim step, to undertake consultations with national administrations in order to submit a report on the status of those consultations to CWG-FHR.”</w:t>
      </w:r>
    </w:p>
    <w:p w14:paraId="2F8672E4"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 xml:space="preserve">TSB has been investigating the contacts of the unreachable UIFN Service Providers and IIN assignees and over 100 national Administrations/regulators </w:t>
      </w:r>
      <w:proofErr w:type="gramStart"/>
      <w:r w:rsidRPr="00A94875">
        <w:rPr>
          <w:rFonts w:asciiTheme="majorBidi" w:hAnsiTheme="majorBidi" w:cstheme="majorBidi"/>
        </w:rPr>
        <w:t>have been contacted</w:t>
      </w:r>
      <w:proofErr w:type="gramEnd"/>
      <w:r w:rsidRPr="00A94875">
        <w:rPr>
          <w:rFonts w:asciiTheme="majorBidi" w:hAnsiTheme="majorBidi" w:cstheme="majorBidi"/>
        </w:rPr>
        <w:t>.</w:t>
      </w:r>
    </w:p>
    <w:p w14:paraId="53F270C4" w14:textId="77777777" w:rsidR="003B32AB" w:rsidRPr="00A94875" w:rsidRDefault="003B32AB" w:rsidP="003B32AB">
      <w:pPr>
        <w:snapToGrid w:val="0"/>
        <w:spacing w:after="120"/>
        <w:rPr>
          <w:rFonts w:asciiTheme="majorBidi" w:eastAsia="SimSun" w:hAnsiTheme="majorBidi" w:cstheme="majorBidi"/>
          <w:color w:val="000000"/>
        </w:rPr>
      </w:pPr>
      <w:r w:rsidRPr="00A94875">
        <w:rPr>
          <w:rFonts w:asciiTheme="majorBidi" w:hAnsiTheme="majorBidi" w:cstheme="majorBidi"/>
        </w:rPr>
        <w:t>Revisions were proposed to Recommendation ITU-T E.169.1 “Application of Recommendation E.164 numbering plan for universal international freephone numbers for international freephone service” and ITU-T E.118 “The international telecommunication charge card” to reflect Council Decision 600 and 601. The draft revised ITU-T E.169.1 and Amendment1 to E.118 achieved ITU members’ first-stage approval (‘determination’) in July 2018.</w:t>
      </w:r>
    </w:p>
    <w:p w14:paraId="16DCE42D" w14:textId="77777777" w:rsidR="003B32AB" w:rsidRPr="00A94875" w:rsidRDefault="003B32AB" w:rsidP="003B32AB">
      <w:pPr>
        <w:rPr>
          <w:rFonts w:asciiTheme="majorBidi" w:hAnsiTheme="majorBidi" w:cstheme="majorBidi"/>
        </w:rPr>
      </w:pPr>
      <w:proofErr w:type="gramStart"/>
      <w:r w:rsidRPr="00A94875">
        <w:rPr>
          <w:rFonts w:asciiTheme="majorBidi" w:eastAsia="SimSun" w:hAnsiTheme="majorBidi" w:cstheme="majorBidi"/>
          <w:color w:val="000000"/>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w:t>
      </w:r>
      <w:r w:rsidRPr="00A94875">
        <w:rPr>
          <w:rFonts w:asciiTheme="majorBidi" w:eastAsia="SimSun" w:hAnsiTheme="majorBidi" w:cstheme="majorBidi"/>
          <w:color w:val="000000"/>
        </w:rPr>
        <w:lastRenderedPageBreak/>
        <w:t>resources reserved, assigned or allocated to each operator/service provider (to the extentpossible) within every country, including presentation of E.164 national numbering plans on the basis of Recommendation ITU-T E.129, and international numbering resources assigned by the Director of TSB.</w:t>
      </w:r>
      <w:proofErr w:type="gramEnd"/>
      <w:r w:rsidRPr="00A94875">
        <w:rPr>
          <w:rFonts w:asciiTheme="majorBidi" w:eastAsia="SimSun" w:hAnsiTheme="majorBidi" w:cstheme="majorBidi"/>
          <w:color w:val="000000"/>
        </w:rPr>
        <w:t xml:space="preserve"> On the request of ITU-T Study Group 2, TSB has provided and presented the information on the implementation of WTSA Resolution 91 to the meetings of ITU-T Study Group 2 held 29 March - 7 April 2017 (</w:t>
      </w:r>
      <w:hyperlink r:id="rId136" w:history="1">
        <w:r w:rsidRPr="00A94875">
          <w:rPr>
            <w:rStyle w:val="Hyperlink"/>
            <w:rFonts w:eastAsia="SimSun" w:cstheme="majorBidi"/>
          </w:rPr>
          <w:t>SG2-TD143</w:t>
        </w:r>
      </w:hyperlink>
      <w:r w:rsidRPr="00A94875">
        <w:rPr>
          <w:rFonts w:asciiTheme="majorBidi" w:eastAsia="SimSun" w:hAnsiTheme="majorBidi" w:cstheme="majorBidi"/>
          <w:color w:val="000000"/>
        </w:rPr>
        <w:t xml:space="preserve">), </w:t>
      </w:r>
      <w:r w:rsidRPr="00A94875">
        <w:t>27 November - 1 December 2017 (</w:t>
      </w:r>
      <w:hyperlink r:id="rId137" w:history="1">
        <w:r w:rsidRPr="00A94875">
          <w:rPr>
            <w:rStyle w:val="Hyperlink"/>
          </w:rPr>
          <w:t>SG2-TD233-R1</w:t>
        </w:r>
      </w:hyperlink>
      <w:r w:rsidRPr="00A94875">
        <w:t xml:space="preserve">) and 4-13 July 2018 (SG2-TD419). A prototype of the new repository of national numbering plans is available </w:t>
      </w:r>
      <w:proofErr w:type="gramStart"/>
      <w:r w:rsidRPr="00A94875">
        <w:t>at:</w:t>
      </w:r>
      <w:proofErr w:type="gramEnd"/>
      <w:r w:rsidRPr="00A94875">
        <w:t xml:space="preserve"> </w:t>
      </w:r>
      <w:hyperlink r:id="rId138" w:history="1">
        <w:r w:rsidRPr="00A94875">
          <w:rPr>
            <w:rStyle w:val="Hyperlink"/>
          </w:rPr>
          <w:t>https://www.itu.int/net4/itu-t/nnp</w:t>
        </w:r>
      </w:hyperlink>
      <w:r w:rsidRPr="00A94875">
        <w:t xml:space="preserve">. </w:t>
      </w:r>
      <w:r w:rsidRPr="00A94875">
        <w:rPr>
          <w:rFonts w:asciiTheme="majorBidi" w:eastAsia="SimSun" w:hAnsiTheme="majorBidi" w:cstheme="majorBidi"/>
          <w:color w:val="000000"/>
        </w:rPr>
        <w:t xml:space="preserve">Pursuant to the relevant ITU-T Recommendations, Member States are invited to </w:t>
      </w:r>
      <w:r w:rsidRPr="00A94875">
        <w:rPr>
          <w:rFonts w:asciiTheme="majorBidi" w:hAnsiTheme="majorBidi" w:cstheme="majorBidi"/>
        </w:rPr>
        <w:t xml:space="preserve">provide information on the presentation of their national numbering plans and amendments thereto in a timely manner, </w:t>
      </w:r>
      <w:proofErr w:type="gramStart"/>
      <w:r w:rsidRPr="00A94875">
        <w:rPr>
          <w:rFonts w:asciiTheme="majorBidi" w:hAnsiTheme="majorBidi" w:cstheme="majorBidi"/>
        </w:rPr>
        <w:t>so as to</w:t>
      </w:r>
      <w:proofErr w:type="gramEnd"/>
      <w:r w:rsidRPr="00A94875">
        <w:rPr>
          <w:rFonts w:asciiTheme="majorBidi" w:hAnsiTheme="majorBidi" w:cstheme="majorBidi"/>
        </w:rPr>
        <w:t xml:space="preserve"> ensure that the electronic repository remains up to date.</w:t>
      </w:r>
    </w:p>
    <w:p w14:paraId="332A4513" w14:textId="77777777" w:rsidR="003B32AB" w:rsidRPr="00A94875" w:rsidRDefault="003B32AB" w:rsidP="003B32AB">
      <w:pPr>
        <w:pStyle w:val="Heading2"/>
        <w:rPr>
          <w:rFonts w:asciiTheme="majorBidi" w:hAnsiTheme="majorBidi" w:cstheme="majorBidi"/>
        </w:rPr>
      </w:pPr>
      <w:bookmarkStart w:id="237" w:name="_Toc462664279"/>
      <w:bookmarkStart w:id="238" w:name="_Toc480527874"/>
      <w:bookmarkStart w:id="239" w:name="_Toc530571891"/>
      <w:bookmarkStart w:id="240" w:name="_Toc531254896"/>
      <w:r w:rsidRPr="00A94875">
        <w:rPr>
          <w:rFonts w:asciiTheme="majorBidi" w:hAnsiTheme="majorBidi" w:cstheme="majorBidi"/>
        </w:rPr>
        <w:t>13.7</w:t>
      </w:r>
      <w:r w:rsidRPr="00A94875">
        <w:rPr>
          <w:rFonts w:asciiTheme="majorBidi" w:hAnsiTheme="majorBidi" w:cstheme="majorBidi"/>
        </w:rPr>
        <w:tab/>
        <w:t>ITU-T SharePoint collaboration sites</w:t>
      </w:r>
      <w:bookmarkEnd w:id="237"/>
      <w:bookmarkEnd w:id="238"/>
      <w:bookmarkEnd w:id="239"/>
      <w:bookmarkEnd w:id="240"/>
    </w:p>
    <w:p w14:paraId="77A8C29D" w14:textId="77777777" w:rsidR="003B32AB" w:rsidRPr="00A94875" w:rsidRDefault="003B32AB" w:rsidP="003B32AB">
      <w:r w:rsidRPr="00A94875">
        <w:t xml:space="preserve">The ITU-T SharePoint collaboration sites enable participants in ITU-T working groups to conduct online discussions, work on projects, schedule </w:t>
      </w:r>
      <w:proofErr w:type="gramStart"/>
      <w:r w:rsidRPr="00A94875">
        <w:t>meetings and manage</w:t>
      </w:r>
      <w:proofErr w:type="gramEnd"/>
      <w:r w:rsidRPr="00A94875">
        <w:t xml:space="preserve"> and store documents in a secure shared environment.</w:t>
      </w:r>
    </w:p>
    <w:p w14:paraId="203F03A3" w14:textId="77777777" w:rsidR="003B32AB" w:rsidRPr="00A94875" w:rsidRDefault="003B32AB" w:rsidP="003B32AB">
      <w:pPr>
        <w:rPr>
          <w:rStyle w:val="Hyperlink"/>
          <w:rFonts w:cstheme="majorBidi"/>
        </w:rPr>
      </w:pPr>
      <w:r w:rsidRPr="00A94875">
        <w:rPr>
          <w:rFonts w:asciiTheme="majorBidi" w:hAnsiTheme="majorBidi" w:cstheme="majorBidi"/>
        </w:rPr>
        <w:t xml:space="preserve">The home of ITU-T SharePoint collaboration sites can be accessed </w:t>
      </w:r>
      <w:proofErr w:type="gramStart"/>
      <w:r w:rsidRPr="00A94875">
        <w:rPr>
          <w:rFonts w:asciiTheme="majorBidi" w:hAnsiTheme="majorBidi" w:cstheme="majorBidi"/>
        </w:rPr>
        <w:t>at:</w:t>
      </w:r>
      <w:proofErr w:type="gramEnd"/>
      <w:r w:rsidRPr="00A94875">
        <w:rPr>
          <w:rFonts w:asciiTheme="majorBidi" w:hAnsiTheme="majorBidi" w:cstheme="majorBidi"/>
        </w:rPr>
        <w:t xml:space="preserve"> </w:t>
      </w:r>
      <w:hyperlink r:id="rId139" w:history="1">
        <w:r w:rsidRPr="00A94875">
          <w:rPr>
            <w:rStyle w:val="Hyperlink"/>
            <w:rFonts w:cstheme="majorBidi"/>
          </w:rPr>
          <w:t>https://extranet.itu.int/sites/ITU-T/</w:t>
        </w:r>
      </w:hyperlink>
      <w:r w:rsidRPr="00A94875">
        <w:rPr>
          <w:rStyle w:val="Hyperlink"/>
          <w:rFonts w:cstheme="majorBidi"/>
        </w:rPr>
        <w:t>.</w:t>
      </w:r>
    </w:p>
    <w:p w14:paraId="2C7B4EC5"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 xml:space="preserve">A selection of notable collaboration sites </w:t>
      </w:r>
      <w:proofErr w:type="gramStart"/>
      <w:r w:rsidRPr="00A94875">
        <w:rPr>
          <w:rFonts w:asciiTheme="majorBidi" w:hAnsiTheme="majorBidi" w:cstheme="majorBidi"/>
          <w:lang w:val="en-GB"/>
        </w:rPr>
        <w:t>is found</w:t>
      </w:r>
      <w:proofErr w:type="gramEnd"/>
      <w:r w:rsidRPr="00A94875">
        <w:rPr>
          <w:rFonts w:asciiTheme="majorBidi" w:hAnsiTheme="majorBidi" w:cstheme="majorBidi"/>
          <w:lang w:val="en-GB"/>
        </w:rPr>
        <w:t xml:space="preserve"> below:</w:t>
      </w:r>
    </w:p>
    <w:p w14:paraId="1189AB25" w14:textId="77777777" w:rsidR="003B32AB" w:rsidRPr="00A94875" w:rsidRDefault="003B32AB" w:rsidP="003B32AB">
      <w:pPr>
        <w:pStyle w:val="NormalWeb"/>
        <w:numPr>
          <w:ilvl w:val="0"/>
          <w:numId w:val="14"/>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40" w:history="1">
        <w:r w:rsidRPr="00A94875">
          <w:rPr>
            <w:rStyle w:val="Hyperlink"/>
            <w:rFonts w:cstheme="majorBidi"/>
            <w:lang w:val="en-GB"/>
          </w:rPr>
          <w:t>https://extranet.itu.int/sites/itu-t/studygroups/2017-2020</w:t>
        </w:r>
      </w:hyperlink>
      <w:r w:rsidRPr="00A94875">
        <w:rPr>
          <w:rFonts w:asciiTheme="majorBidi" w:hAnsiTheme="majorBidi" w:cstheme="majorBidi"/>
          <w:lang w:val="en-GB"/>
        </w:rPr>
        <w:t>)</w:t>
      </w:r>
    </w:p>
    <w:p w14:paraId="69775A2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41" w:history="1">
        <w:r w:rsidRPr="00A94875">
          <w:rPr>
            <w:rStyle w:val="Hyperlink"/>
            <w:rFonts w:cstheme="majorBidi"/>
            <w:lang w:val="en-GB"/>
          </w:rPr>
          <w:t>https://extranet.itu.int/sites/itu-t/initiatives/U4SSC/</w:t>
        </w:r>
      </w:hyperlink>
      <w:r w:rsidRPr="00A94875">
        <w:rPr>
          <w:rFonts w:asciiTheme="majorBidi" w:hAnsiTheme="majorBidi" w:cstheme="majorBidi"/>
          <w:lang w:val="en-GB"/>
        </w:rPr>
        <w:t>)</w:t>
      </w:r>
    </w:p>
    <w:p w14:paraId="22CB1883"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2" w:history="1">
        <w:r w:rsidRPr="00A94875">
          <w:rPr>
            <w:rStyle w:val="Hyperlink"/>
            <w:rFonts w:cstheme="majorBidi"/>
            <w:lang w:val="en-GB"/>
          </w:rPr>
          <w:t>https://extranet.itu.int/sites/itu-t/initiatives/sitwg/</w:t>
        </w:r>
      </w:hyperlink>
      <w:r w:rsidRPr="00A94875">
        <w:rPr>
          <w:rFonts w:asciiTheme="majorBidi" w:hAnsiTheme="majorBidi" w:cstheme="majorBidi"/>
          <w:lang w:val="en-GB"/>
        </w:rPr>
        <w:t>)</w:t>
      </w:r>
    </w:p>
    <w:p w14:paraId="64781ADA"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DPM - ITU-T Focus Group on Data Processing and Management to support IoT and Smart Cities &amp; Communities (</w:t>
      </w:r>
      <w:hyperlink r:id="rId143" w:history="1">
        <w:r w:rsidRPr="00A94875">
          <w:rPr>
            <w:rStyle w:val="Hyperlink"/>
            <w:rFonts w:cstheme="majorBidi"/>
            <w:lang w:val="en-GB"/>
          </w:rPr>
          <w:t>https://extranet.itu.int/sites/itu-t/focusgroups/dpm/</w:t>
        </w:r>
      </w:hyperlink>
      <w:r w:rsidRPr="00A94875">
        <w:rPr>
          <w:rFonts w:asciiTheme="majorBidi" w:hAnsiTheme="majorBidi" w:cstheme="majorBidi"/>
          <w:lang w:val="en-GB"/>
        </w:rPr>
        <w:t>)</w:t>
      </w:r>
    </w:p>
    <w:p w14:paraId="6EAAFF0D"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4" w:history="1">
        <w:r w:rsidRPr="00A94875">
          <w:rPr>
            <w:rStyle w:val="Hyperlink"/>
            <w:rFonts w:eastAsia="MS Gothic" w:cstheme="majorBidi"/>
            <w:lang w:val="en-GB"/>
          </w:rPr>
          <w:t>https://extranet.itu.int/sites/itu-t/focusgroups/dfc/</w:t>
        </w:r>
      </w:hyperlink>
      <w:r w:rsidRPr="00A94875">
        <w:rPr>
          <w:rFonts w:asciiTheme="majorBidi" w:eastAsia="MS Gothic" w:hAnsiTheme="majorBidi" w:cstheme="majorBidi"/>
          <w:lang w:val="en-GB"/>
        </w:rPr>
        <w:t>)</w:t>
      </w:r>
    </w:p>
    <w:p w14:paraId="3107781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5" w:history="1">
        <w:r w:rsidRPr="00A94875">
          <w:rPr>
            <w:rStyle w:val="Hyperlink"/>
            <w:rFonts w:cstheme="majorBidi"/>
            <w:lang w:val="en-GB"/>
          </w:rPr>
          <w:t>https://extranet.itu.int/sites/itu-t/focusgroups/fgdlt/</w:t>
        </w:r>
      </w:hyperlink>
      <w:r w:rsidRPr="00A94875">
        <w:rPr>
          <w:rFonts w:asciiTheme="majorBidi" w:hAnsiTheme="majorBidi" w:cstheme="majorBidi"/>
          <w:lang w:val="en-GB"/>
        </w:rPr>
        <w:t>)</w:t>
      </w:r>
    </w:p>
    <w:p w14:paraId="06976A52"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6" w:history="1">
        <w:r w:rsidRPr="00A94875">
          <w:rPr>
            <w:rStyle w:val="Hyperlink"/>
            <w:rFonts w:cstheme="majorBidi"/>
            <w:lang w:val="en-GB"/>
          </w:rPr>
          <w:t>https://extranet.itu.int/sites/itu-t/focusgroups/ML5G/</w:t>
        </w:r>
      </w:hyperlink>
      <w:r w:rsidRPr="00A94875">
        <w:rPr>
          <w:rFonts w:asciiTheme="majorBidi" w:hAnsiTheme="majorBidi" w:cstheme="majorBidi"/>
          <w:lang w:val="en-GB"/>
        </w:rPr>
        <w:t>)</w:t>
      </w:r>
    </w:p>
    <w:p w14:paraId="79D67C57"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7" w:history="1">
        <w:r w:rsidRPr="00A94875">
          <w:rPr>
            <w:rStyle w:val="Hyperlink"/>
            <w:rFonts w:cstheme="majorBidi"/>
            <w:lang w:val="en-GB"/>
          </w:rPr>
          <w:t>https://extranet.itu.int/sites/itu-t/focusgroups/net-2030/</w:t>
        </w:r>
      </w:hyperlink>
      <w:r w:rsidRPr="00A94875">
        <w:rPr>
          <w:rFonts w:asciiTheme="majorBidi" w:hAnsiTheme="majorBidi" w:cstheme="majorBidi"/>
          <w:lang w:val="en-GB"/>
        </w:rPr>
        <w:t>)</w:t>
      </w:r>
    </w:p>
    <w:p w14:paraId="346D0A6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8" w:history="1">
        <w:r w:rsidRPr="00A94875">
          <w:rPr>
            <w:rStyle w:val="Hyperlink"/>
            <w:rFonts w:cstheme="majorBidi"/>
            <w:lang w:val="en-GB"/>
          </w:rPr>
          <w:t>https://extranet.itu.int/sites/itu-t/focusgroups/ai4h/</w:t>
        </w:r>
      </w:hyperlink>
      <w:r w:rsidRPr="00A94875">
        <w:rPr>
          <w:rFonts w:asciiTheme="majorBidi" w:hAnsiTheme="majorBidi" w:cstheme="majorBidi"/>
          <w:lang w:val="en-GB"/>
        </w:rPr>
        <w:t>)</w:t>
      </w:r>
    </w:p>
    <w:p w14:paraId="56358B9A"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9" w:history="1">
        <w:r w:rsidRPr="00A94875">
          <w:rPr>
            <w:rStyle w:val="Hyperlink"/>
            <w:rFonts w:cstheme="majorBidi"/>
            <w:lang w:val="en-GB"/>
          </w:rPr>
          <w:t>https://extranet.itu.int/sites/itu-t/focusgroups/vm/</w:t>
        </w:r>
      </w:hyperlink>
      <w:r w:rsidRPr="00A94875">
        <w:rPr>
          <w:rFonts w:asciiTheme="majorBidi" w:hAnsiTheme="majorBidi" w:cstheme="majorBidi"/>
          <w:lang w:val="en-GB"/>
        </w:rPr>
        <w:t>)</w:t>
      </w:r>
    </w:p>
    <w:p w14:paraId="5F397FE4"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 support site containing a knowledge base of FAQs and user guides on the various SharePoint services is available </w:t>
      </w:r>
      <w:proofErr w:type="gramStart"/>
      <w:r w:rsidRPr="00A94875">
        <w:rPr>
          <w:rFonts w:asciiTheme="majorBidi" w:hAnsiTheme="majorBidi" w:cstheme="majorBidi"/>
        </w:rPr>
        <w:t>at:</w:t>
      </w:r>
      <w:proofErr w:type="gramEnd"/>
      <w:r w:rsidRPr="00A94875">
        <w:rPr>
          <w:rFonts w:asciiTheme="majorBidi" w:hAnsiTheme="majorBidi" w:cstheme="majorBidi"/>
        </w:rPr>
        <w:t xml:space="preserve"> </w:t>
      </w:r>
      <w:hyperlink r:id="rId150" w:history="1">
        <w:r w:rsidRPr="00A94875">
          <w:rPr>
            <w:rStyle w:val="Hyperlink"/>
            <w:rFonts w:cstheme="majorBidi"/>
          </w:rPr>
          <w:t>https://extranet.itu.int/ITU-T/support/</w:t>
        </w:r>
      </w:hyperlink>
      <w:r w:rsidRPr="00A94875">
        <w:rPr>
          <w:rFonts w:asciiTheme="majorBidi" w:hAnsiTheme="majorBidi" w:cstheme="majorBidi"/>
        </w:rPr>
        <w:t>.</w:t>
      </w:r>
    </w:p>
    <w:p w14:paraId="3BEC2BB7" w14:textId="77777777" w:rsidR="003B32AB" w:rsidRPr="00A94875" w:rsidRDefault="003B32AB" w:rsidP="003B32AB">
      <w:pPr>
        <w:rPr>
          <w:rFonts w:asciiTheme="majorBidi" w:hAnsiTheme="majorBidi" w:cstheme="majorBidi"/>
        </w:rPr>
      </w:pPr>
      <w:r w:rsidRPr="00A94875">
        <w:rPr>
          <w:rFonts w:asciiTheme="majorBidi" w:hAnsiTheme="majorBidi" w:cstheme="majorBidi"/>
        </w:rPr>
        <w:t>Most of the collaboration sites are restricted to ITU-T members, accessed using an ITU User (TIES) account. Certain collaboration sites are open to non-members, accessed using non-member ITU User accounts.</w:t>
      </w:r>
    </w:p>
    <w:p w14:paraId="6E55D5CF" w14:textId="77777777" w:rsidR="003B32AB" w:rsidRPr="00A94875" w:rsidRDefault="003B32AB" w:rsidP="003B32AB">
      <w:pPr>
        <w:pStyle w:val="Heading2"/>
        <w:rPr>
          <w:rFonts w:asciiTheme="majorBidi" w:hAnsiTheme="majorBidi" w:cstheme="majorBidi"/>
        </w:rPr>
      </w:pPr>
      <w:bookmarkStart w:id="241" w:name="_Toc462664281"/>
      <w:bookmarkStart w:id="242" w:name="_Toc480527876"/>
      <w:bookmarkStart w:id="243" w:name="_Toc530571892"/>
      <w:bookmarkStart w:id="244" w:name="_Toc531254897"/>
      <w:r w:rsidRPr="00A94875">
        <w:rPr>
          <w:rFonts w:asciiTheme="majorBidi" w:hAnsiTheme="majorBidi" w:cstheme="majorBidi"/>
        </w:rPr>
        <w:t>13.8</w:t>
      </w:r>
      <w:r w:rsidRPr="00A94875">
        <w:rPr>
          <w:rFonts w:asciiTheme="majorBidi" w:hAnsiTheme="majorBidi" w:cstheme="majorBidi"/>
        </w:rPr>
        <w:tab/>
        <w:t>Meeting Documents Sync Application</w:t>
      </w:r>
      <w:bookmarkEnd w:id="241"/>
      <w:bookmarkEnd w:id="242"/>
      <w:bookmarkEnd w:id="243"/>
      <w:bookmarkEnd w:id="244"/>
    </w:p>
    <w:p w14:paraId="6DF8473B" w14:textId="77777777" w:rsidR="003B32AB" w:rsidRPr="00A94875" w:rsidRDefault="003B32AB" w:rsidP="003B32AB">
      <w:pPr>
        <w:rPr>
          <w:rFonts w:asciiTheme="majorBidi" w:hAnsiTheme="majorBidi" w:cstheme="majorBidi"/>
          <w:color w:val="000000"/>
        </w:rPr>
      </w:pPr>
      <w:bookmarkStart w:id="245" w:name="_Toc462664282"/>
      <w:r w:rsidRPr="00A94875">
        <w:rPr>
          <w:rFonts w:asciiTheme="majorBidi" w:hAnsiTheme="majorBidi" w:cstheme="majorBidi"/>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rPr>
        <w:t xml:space="preserve">The application </w:t>
      </w:r>
      <w:proofErr w:type="gramStart"/>
      <w:r w:rsidRPr="00A94875">
        <w:rPr>
          <w:rFonts w:asciiTheme="majorBidi" w:hAnsiTheme="majorBidi" w:cstheme="majorBidi"/>
          <w:color w:val="000000"/>
        </w:rPr>
        <w:t xml:space="preserve">is constantly enhanced and </w:t>
      </w:r>
      <w:r w:rsidRPr="00A94875">
        <w:rPr>
          <w:rFonts w:asciiTheme="majorBidi" w:hAnsiTheme="majorBidi" w:cstheme="majorBidi"/>
          <w:color w:val="000000"/>
        </w:rPr>
        <w:lastRenderedPageBreak/>
        <w:t>updated following feedback and suggestions from users</w:t>
      </w:r>
      <w:proofErr w:type="gramEnd"/>
      <w:r w:rsidRPr="00A94875">
        <w:rPr>
          <w:rFonts w:asciiTheme="majorBidi" w:hAnsiTheme="majorBidi" w:cstheme="majorBidi"/>
          <w:color w:val="000000"/>
        </w:rPr>
        <w:t>. An improved Windows version and a new Mac version of the sync application for Rapporteur Group Meeting (RGM) documents are also now available.</w:t>
      </w:r>
    </w:p>
    <w:p w14:paraId="68D184F6" w14:textId="77777777" w:rsidR="003B32AB" w:rsidRPr="00A94875" w:rsidRDefault="003B32AB" w:rsidP="003B32AB">
      <w:pPr>
        <w:pStyle w:val="Heading2"/>
        <w:rPr>
          <w:rFonts w:asciiTheme="majorBidi" w:hAnsiTheme="majorBidi" w:cstheme="majorBidi"/>
        </w:rPr>
      </w:pPr>
      <w:bookmarkStart w:id="246" w:name="_Toc530571893"/>
      <w:bookmarkStart w:id="247" w:name="_Toc531254898"/>
      <w:r w:rsidRPr="00A94875">
        <w:rPr>
          <w:rFonts w:asciiTheme="majorBidi" w:hAnsiTheme="majorBidi" w:cstheme="majorBidi"/>
        </w:rPr>
        <w:t>13.9</w:t>
      </w:r>
      <w:r w:rsidRPr="00A94875">
        <w:rPr>
          <w:rFonts w:asciiTheme="majorBidi" w:hAnsiTheme="majorBidi" w:cstheme="majorBidi"/>
        </w:rPr>
        <w:tab/>
        <w:t>Electronic meetings</w:t>
      </w:r>
      <w:bookmarkEnd w:id="245"/>
      <w:bookmarkEnd w:id="246"/>
      <w:bookmarkEnd w:id="247"/>
    </w:p>
    <w:p w14:paraId="48E6CC2D"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TSB continues to improve electronic meeting facilities offered to ITU-T members. TSB now provides GoToMeeting and Adobe Connect as remote participation tools for e-meetings. TSB uses Adobe Connect as the official remote participation tool to complement physical meetings that </w:t>
      </w:r>
      <w:proofErr w:type="gramStart"/>
      <w:r w:rsidRPr="00A94875">
        <w:rPr>
          <w:rFonts w:asciiTheme="majorBidi" w:hAnsiTheme="majorBidi" w:cstheme="majorBidi"/>
        </w:rPr>
        <w:t>are held</w:t>
      </w:r>
      <w:proofErr w:type="gramEnd"/>
      <w:r w:rsidRPr="00A94875">
        <w:rPr>
          <w:rFonts w:asciiTheme="majorBidi" w:hAnsiTheme="majorBidi" w:cstheme="majorBidi"/>
        </w:rPr>
        <w:t xml:space="preserve"> at ITU Headquarters in Geneva. GoToMeeting is used for physical, fully online (virtual) and any on-demand ad-hoc meetings. Statistics on e-meetings for the last three years </w:t>
      </w:r>
      <w:proofErr w:type="gramStart"/>
      <w:r w:rsidRPr="00A94875">
        <w:rPr>
          <w:rFonts w:asciiTheme="majorBidi" w:hAnsiTheme="majorBidi" w:cstheme="majorBidi"/>
        </w:rPr>
        <w:t>are indicated</w:t>
      </w:r>
      <w:proofErr w:type="gramEnd"/>
      <w:r w:rsidRPr="00A94875">
        <w:rPr>
          <w:rFonts w:asciiTheme="majorBidi" w:hAnsiTheme="majorBidi" w:cstheme="majorBidi"/>
        </w:rPr>
        <w:t xml:space="preserve"> below.</w:t>
      </w:r>
    </w:p>
    <w:p w14:paraId="5933A905" w14:textId="77777777" w:rsidR="003B32AB" w:rsidRPr="00A94875" w:rsidRDefault="003B32AB" w:rsidP="003B32AB">
      <w:pPr>
        <w:jc w:val="center"/>
        <w:rPr>
          <w:rFonts w:asciiTheme="majorBidi" w:hAnsiTheme="majorBidi" w:cstheme="majorBidi"/>
          <w:b/>
          <w:bCs/>
          <w:highlight w:val="yellow"/>
        </w:rPr>
      </w:pPr>
      <w:r w:rsidRPr="00A94875">
        <w:rPr>
          <w:noProof/>
          <w:lang w:eastAsia="zh-CN"/>
        </w:rPr>
        <w:drawing>
          <wp:anchor distT="0" distB="0" distL="114300" distR="114300" simplePos="0" relativeHeight="251660288" behindDoc="0" locked="0" layoutInCell="1" allowOverlap="1" wp14:anchorId="41D8786F" wp14:editId="289121F4">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anchor>
        </w:drawing>
      </w:r>
      <w:r w:rsidRPr="00A94875">
        <w:rPr>
          <w:rFonts w:asciiTheme="majorBidi" w:hAnsiTheme="majorBidi" w:cstheme="majorBidi"/>
          <w:b/>
          <w:bCs/>
        </w:rPr>
        <w:t xml:space="preserve">Figure </w:t>
      </w:r>
      <w:proofErr w:type="gramStart"/>
      <w:r w:rsidRPr="00A94875">
        <w:rPr>
          <w:rFonts w:asciiTheme="majorBidi" w:hAnsiTheme="majorBidi" w:cstheme="majorBidi"/>
          <w:b/>
          <w:bCs/>
        </w:rPr>
        <w:t>5</w:t>
      </w:r>
      <w:proofErr w:type="gramEnd"/>
      <w:r w:rsidRPr="00A94875">
        <w:rPr>
          <w:rFonts w:asciiTheme="majorBidi" w:hAnsiTheme="majorBidi" w:cstheme="majorBidi"/>
          <w:b/>
          <w:bCs/>
        </w:rPr>
        <w:t xml:space="preserve"> – Remote participation and e-meetings</w:t>
      </w:r>
    </w:p>
    <w:p w14:paraId="2DE81A61" w14:textId="77777777" w:rsidR="003B32AB" w:rsidRPr="00A94875" w:rsidRDefault="003B32AB" w:rsidP="003B32AB">
      <w:pPr>
        <w:pStyle w:val="Heading2"/>
        <w:rPr>
          <w:rFonts w:asciiTheme="majorBidi" w:hAnsiTheme="majorBidi" w:cstheme="majorBidi"/>
        </w:rPr>
      </w:pPr>
      <w:bookmarkStart w:id="248" w:name="_Toc389154483"/>
      <w:bookmarkStart w:id="249" w:name="_Toc462664285"/>
      <w:bookmarkStart w:id="250" w:name="_Toc480527879"/>
      <w:bookmarkStart w:id="251" w:name="_Toc530571894"/>
      <w:bookmarkStart w:id="252" w:name="_Toc531254899"/>
      <w:r w:rsidRPr="00A94875">
        <w:rPr>
          <w:rFonts w:asciiTheme="majorBidi" w:hAnsiTheme="majorBidi" w:cstheme="majorBidi"/>
        </w:rPr>
        <w:t>13.10</w:t>
      </w:r>
      <w:r w:rsidRPr="00A94875">
        <w:rPr>
          <w:rFonts w:asciiTheme="majorBidi" w:hAnsiTheme="majorBidi" w:cstheme="majorBidi"/>
        </w:rPr>
        <w:tab/>
        <w:t>Use in the ITU-T of the official languages of the Union on an equal footing</w:t>
      </w:r>
      <w:bookmarkEnd w:id="248"/>
      <w:bookmarkEnd w:id="249"/>
      <w:bookmarkEnd w:id="250"/>
      <w:bookmarkEnd w:id="251"/>
      <w:bookmarkEnd w:id="252"/>
    </w:p>
    <w:p w14:paraId="3C48D4DA"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Standardization Committee for Vocabulary (SCV), composed of ITU-T </w:t>
      </w:r>
      <w:proofErr w:type="gramStart"/>
      <w:r w:rsidRPr="00A94875">
        <w:rPr>
          <w:rFonts w:asciiTheme="majorBidi" w:hAnsiTheme="majorBidi" w:cstheme="majorBidi"/>
        </w:rPr>
        <w:t>members</w:t>
      </w:r>
      <w:proofErr w:type="gramEnd"/>
      <w:r w:rsidRPr="00A94875">
        <w:rPr>
          <w:rFonts w:asciiTheme="majorBidi" w:hAnsiTheme="majorBidi" w:cstheme="majorBidi"/>
        </w:rPr>
        <w:t xml:space="preserve"> expert in all the official languages, serves as focal point to ITU-T Study Groups in terminology-related matters. SCV guides the adoption of terms and definitions in ITU-T Recommendations in accordance with WTSA Resolution 67.</w:t>
      </w:r>
    </w:p>
    <w:p w14:paraId="511A9253" w14:textId="77777777" w:rsidR="003B32AB" w:rsidRPr="00A94875" w:rsidRDefault="006126E3" w:rsidP="003B32AB">
      <w:pPr>
        <w:rPr>
          <w:rFonts w:asciiTheme="majorBidi" w:hAnsiTheme="majorBidi" w:cstheme="majorBidi"/>
        </w:rPr>
      </w:pPr>
      <w:hyperlink r:id="rId152" w:history="1">
        <w:r w:rsidR="003B32AB" w:rsidRPr="00A94875">
          <w:rPr>
            <w:rStyle w:val="Hyperlink"/>
            <w:rFonts w:eastAsiaTheme="majorEastAsia"/>
          </w:rPr>
          <w:t>Council Resolution 1386</w:t>
        </w:r>
      </w:hyperlink>
      <w:r w:rsidR="003B32AB" w:rsidRPr="00A94875">
        <w:t xml:space="preserve"> of 26 May 2017 created the ITU Coordination Committee for Terminology (CCT), which is composed of SCV, the ITU-R Coordination Committee for Vocabulary (CCV) and </w:t>
      </w:r>
      <w:proofErr w:type="gramStart"/>
      <w:r w:rsidR="003B32AB" w:rsidRPr="00A94875">
        <w:t>two</w:t>
      </w:r>
      <w:proofErr w:type="gramEnd"/>
      <w:r w:rsidR="003B32AB" w:rsidRPr="00A94875">
        <w:t xml:space="preserve"> representatives of ITU-D. SCV has thus met twice in 2018 under the umbrella of CCT in the interest of ensuring the harmonization of terminology across the Union.</w:t>
      </w:r>
    </w:p>
    <w:p w14:paraId="036C5FE9" w14:textId="77777777" w:rsidR="003B32AB" w:rsidRPr="00A94875" w:rsidRDefault="003B32AB" w:rsidP="003B32AB">
      <w:pPr>
        <w:rPr>
          <w:rFonts w:asciiTheme="majorBidi" w:hAnsiTheme="majorBidi" w:cstheme="majorBidi"/>
        </w:rPr>
      </w:pPr>
      <w:r w:rsidRPr="00A94875">
        <w:rPr>
          <w:rFonts w:asciiTheme="majorBidi" w:hAnsiTheme="majorBidi" w:cstheme="majorBidi"/>
        </w:rPr>
        <w:t>TSB continues to collect all new terms and definitions proposed by ITU-T Study Groups, entering them into the online ITU Terms and Definitions database.</w:t>
      </w:r>
    </w:p>
    <w:p w14:paraId="6FA81461" w14:textId="77777777" w:rsidR="003B32AB" w:rsidRPr="00A94875" w:rsidRDefault="003B32AB" w:rsidP="003B32AB">
      <w:pPr>
        <w:rPr>
          <w:rFonts w:asciiTheme="majorBidi" w:hAnsiTheme="majorBidi" w:cstheme="majorBidi"/>
        </w:rPr>
      </w:pPr>
      <w:r w:rsidRPr="00A94875">
        <w:rPr>
          <w:rFonts w:asciiTheme="majorBidi" w:hAnsiTheme="majorBidi" w:cstheme="majorBidi"/>
        </w:rPr>
        <w:t>As requested by WTSA Resolution 67, TSB continues to translate all Recommendations approved under the Traditional Approval Process (TAP) as well as all TSAG reports.</w:t>
      </w:r>
    </w:p>
    <w:p w14:paraId="1E22C9EC"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TSB also translated, in the reporting period, 10 AAP Recommendations, in accordance with requests received from ITU-T Study Groups and linguistic groups.</w:t>
      </w:r>
    </w:p>
    <w:p w14:paraId="37A91FCD" w14:textId="77777777" w:rsidR="003B32AB" w:rsidRPr="00A94875" w:rsidRDefault="003B32AB" w:rsidP="003B32AB">
      <w:pPr>
        <w:pStyle w:val="Heading2"/>
        <w:rPr>
          <w:rFonts w:asciiTheme="majorBidi" w:hAnsiTheme="majorBidi" w:cstheme="majorBidi"/>
        </w:rPr>
      </w:pPr>
      <w:bookmarkStart w:id="253" w:name="_Toc530571895"/>
      <w:bookmarkStart w:id="254" w:name="_Toc531254900"/>
      <w:r w:rsidRPr="00A94875">
        <w:rPr>
          <w:rFonts w:asciiTheme="majorBidi" w:hAnsiTheme="majorBidi" w:cstheme="majorBidi"/>
        </w:rPr>
        <w:t>13.11</w:t>
      </w:r>
      <w:r w:rsidRPr="00A94875">
        <w:rPr>
          <w:rFonts w:asciiTheme="majorBidi" w:hAnsiTheme="majorBidi" w:cstheme="majorBidi"/>
        </w:rPr>
        <w:tab/>
        <w:t>Workshops and symposia</w:t>
      </w:r>
      <w:bookmarkEnd w:id="253"/>
      <w:bookmarkEnd w:id="254"/>
    </w:p>
    <w:p w14:paraId="6E35D6BC" w14:textId="77777777" w:rsidR="003B32AB" w:rsidRPr="00A94875" w:rsidRDefault="003B32AB" w:rsidP="003B32AB">
      <w:r w:rsidRPr="00A94875">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227BCD47" w14:textId="77777777" w:rsidR="003B32AB" w:rsidRPr="00A94875" w:rsidRDefault="003B32AB" w:rsidP="003B32AB">
      <w:r w:rsidRPr="00A94875">
        <w:t>Below provides a snapshot of new and evolving features of ITU workshops and symposia.</w:t>
      </w:r>
    </w:p>
    <w:p w14:paraId="027EF4B0" w14:textId="77777777" w:rsidR="003B32AB" w:rsidRPr="00A94875" w:rsidRDefault="003B32AB" w:rsidP="003B32AB">
      <w:r w:rsidRPr="00A94875">
        <w:rPr>
          <w:b/>
          <w:bCs/>
        </w:rPr>
        <w:lastRenderedPageBreak/>
        <w:t>Executive summary</w:t>
      </w:r>
      <w:r w:rsidRPr="00A94875">
        <w:t xml:space="preserve"> – An executive summary </w:t>
      </w:r>
      <w:proofErr w:type="gramStart"/>
      <w:r w:rsidRPr="00A94875">
        <w:t>is generated</w:t>
      </w:r>
      <w:proofErr w:type="gramEnd"/>
      <w:r w:rsidRPr="00A94875">
        <w:t xml:space="preserve"> for the majority of ITU workshops and symposia to offer a concise summary of an event’s key points of discussion and notable outcomes.</w:t>
      </w:r>
    </w:p>
    <w:p w14:paraId="5B7DB9E2" w14:textId="77777777" w:rsidR="003B32AB" w:rsidRPr="00A94875" w:rsidRDefault="003B32AB" w:rsidP="003B32AB">
      <w:r w:rsidRPr="00A94875">
        <w:rPr>
          <w:b/>
          <w:bCs/>
        </w:rPr>
        <w:t>Automatic audience engagement system</w:t>
      </w:r>
      <w:r w:rsidRPr="00A94875">
        <w:t xml:space="preserve"> – PigeonHole is a new addition to ITU workshops and symposia. The tool increases audience engagement by capturing questions, and their degree of popularity among the audience, via participants’ PCs and mobile devices. </w:t>
      </w:r>
    </w:p>
    <w:p w14:paraId="01510AEB" w14:textId="77777777" w:rsidR="003B32AB" w:rsidRPr="00A94875" w:rsidRDefault="003B32AB" w:rsidP="003B32AB">
      <w:r w:rsidRPr="00A94875">
        <w:rPr>
          <w:b/>
          <w:bCs/>
        </w:rPr>
        <w:t>CRM Registration</w:t>
      </w:r>
      <w:r w:rsidRPr="00A94875">
        <w:t xml:space="preserve"> – A new registration system </w:t>
      </w:r>
      <w:proofErr w:type="gramStart"/>
      <w:r w:rsidRPr="00A94875">
        <w:t>has been implemented</w:t>
      </w:r>
      <w:proofErr w:type="gramEnd"/>
      <w:r w:rsidRPr="00A94875">
        <w:t xml:space="preserve"> for ITU workshops and symposia with the goal of delivering a rapid, user-friendly registration experience. </w:t>
      </w:r>
    </w:p>
    <w:p w14:paraId="1D1C8E7F" w14:textId="77777777" w:rsidR="003B32AB" w:rsidRPr="00A94875" w:rsidRDefault="003B32AB" w:rsidP="003B32AB">
      <w:r w:rsidRPr="00A94875">
        <w:rPr>
          <w:b/>
          <w:bCs/>
        </w:rPr>
        <w:t xml:space="preserve">Open content </w:t>
      </w:r>
      <w:r w:rsidRPr="00A94875">
        <w:t xml:space="preserve">– Speakers’ presentations and biographies </w:t>
      </w:r>
      <w:proofErr w:type="gramStart"/>
      <w:r w:rsidRPr="00A94875">
        <w:t>are all published</w:t>
      </w:r>
      <w:proofErr w:type="gramEnd"/>
      <w:r w:rsidRPr="00A94875">
        <w:t xml:space="preserve"> on ITU’s website to ensure open access to workshop content.</w:t>
      </w:r>
    </w:p>
    <w:p w14:paraId="6B936FA8" w14:textId="77777777" w:rsidR="003B32AB" w:rsidRPr="00A94875" w:rsidRDefault="003B32AB" w:rsidP="003B32AB">
      <w:r w:rsidRPr="00A94875">
        <w:rPr>
          <w:b/>
          <w:bCs/>
        </w:rPr>
        <w:t>Remote participation and webcasts</w:t>
      </w:r>
      <w:r w:rsidRPr="00A94875">
        <w:t xml:space="preserve"> – The majority of ITU workshops and symposia feature online remote participation and webcasts. Archived recordings </w:t>
      </w:r>
      <w:proofErr w:type="gramStart"/>
      <w:r w:rsidRPr="00A94875">
        <w:t>are found</w:t>
      </w:r>
      <w:proofErr w:type="gramEnd"/>
      <w:r w:rsidRPr="00A94875">
        <w:t xml:space="preserve"> on ITU’s website to ensure open access to workshop content. For more information on remote participation, see Section 13.9.</w:t>
      </w:r>
    </w:p>
    <w:p w14:paraId="122F7D5A" w14:textId="77777777" w:rsidR="003B32AB" w:rsidRPr="00A94875" w:rsidRDefault="003B32AB" w:rsidP="003B32AB">
      <w:r w:rsidRPr="00A94875">
        <w:t xml:space="preserve">The following ITU workshops and symposia, arranged by venue, </w:t>
      </w:r>
      <w:proofErr w:type="gramStart"/>
      <w:r w:rsidRPr="00A94875">
        <w:t>were organized</w:t>
      </w:r>
      <w:proofErr w:type="gramEnd"/>
      <w:r w:rsidRPr="00A94875">
        <w:t xml:space="preserve"> by TSB since January 2018:</w:t>
      </w:r>
    </w:p>
    <w:p w14:paraId="42E8A48F" w14:textId="77777777" w:rsidR="003B32AB" w:rsidRPr="00A94875" w:rsidRDefault="003B32AB" w:rsidP="003B32AB">
      <w:r w:rsidRPr="00A94875">
        <w:rPr>
          <w:b/>
          <w:bCs/>
        </w:rPr>
        <w:t>Geneva, Switzerland:</w:t>
      </w:r>
    </w:p>
    <w:p w14:paraId="71FDEAFF"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14:paraId="352D2BCD"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14:paraId="20F6385B"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14:paraId="20DCCF94"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14:paraId="52143668"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14:paraId="6C782538"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14:paraId="5838D5B2"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14:paraId="176AED5A"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14:paraId="7C204772"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14:paraId="7D61D1A1"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14:paraId="2CB3F903"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14:paraId="0F64B4BF"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14:paraId="2576AFE5" w14:textId="77777777" w:rsidR="003B32AB" w:rsidRPr="00A94875" w:rsidRDefault="003B32AB" w:rsidP="003B32AB">
      <w:pPr>
        <w:rPr>
          <w:b/>
          <w:bCs/>
        </w:rPr>
      </w:pPr>
      <w:r w:rsidRPr="00A94875">
        <w:rPr>
          <w:b/>
          <w:bCs/>
        </w:rPr>
        <w:t>Europe:</w:t>
      </w:r>
    </w:p>
    <w:p w14:paraId="5546B9FC"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1st ITU Workshop on Data Processing and Management for IoT and Smart Cities &amp; Communities, Brussels, Belgium, 19 February 2018.</w:t>
      </w:r>
    </w:p>
    <w:p w14:paraId="1559D191"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14:paraId="31C9530F"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IoT Week 2018, Bilbao, Spain, 4-7 June 2018.</w:t>
      </w:r>
    </w:p>
    <w:p w14:paraId="138446CF"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14:paraId="549D3D4D"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 Turkey, 3-4 September 2018.</w:t>
      </w:r>
    </w:p>
    <w:p w14:paraId="2F45A577"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14:paraId="1DE98EB0" w14:textId="77777777" w:rsidR="003B32AB" w:rsidRPr="00A94875" w:rsidRDefault="003B32AB" w:rsidP="003B32AB">
      <w:pPr>
        <w:rPr>
          <w:b/>
          <w:bCs/>
        </w:rPr>
      </w:pPr>
      <w:r w:rsidRPr="00A94875">
        <w:rPr>
          <w:b/>
          <w:bCs/>
        </w:rPr>
        <w:t>Africa:</w:t>
      </w:r>
    </w:p>
    <w:p w14:paraId="2413C237"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lastRenderedPageBreak/>
        <w:t>ITU Regional Standardization Forum on Emerging Economic, Regulatory and Policy Trends in a Fast-Changing Digital World, Kigali, Rwanda, 5 February 2018</w:t>
      </w:r>
    </w:p>
    <w:p w14:paraId="250E8E60"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Performance, QoS and QoE for Multimedia Services, Dakar, Senegal, 19-20 March 2018.</w:t>
      </w:r>
    </w:p>
    <w:p w14:paraId="3A78BCE9"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14:paraId="44F40DC9"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8th</w:t>
      </w:r>
      <w:proofErr w:type="gramEnd"/>
      <w:r w:rsidRPr="00A94875">
        <w:rPr>
          <w:rFonts w:ascii="Times New Roman" w:hAnsi="Times New Roman"/>
          <w:sz w:val="24"/>
          <w:szCs w:val="24"/>
          <w:lang w:val="en-GB"/>
        </w:rPr>
        <w:t xml:space="preserve"> Green Standards Week, Zanzibar, Tanzania, 9-12 April 2018.</w:t>
      </w:r>
    </w:p>
    <w:p w14:paraId="61C1BB5F"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14:paraId="603E262B"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14:paraId="4B4B26B9"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14:paraId="1D195EA7"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10th</w:t>
      </w:r>
      <w:proofErr w:type="gramEnd"/>
      <w:r w:rsidRPr="00A94875">
        <w:rPr>
          <w:rFonts w:ascii="Times New Roman" w:hAnsi="Times New Roman"/>
          <w:sz w:val="24"/>
          <w:szCs w:val="24"/>
          <w:lang w:val="en-GB"/>
        </w:rPr>
        <w:t xml:space="preserve"> TSB Director's CTO Meeting, Durban, South Africa, 9 September 2018.</w:t>
      </w:r>
    </w:p>
    <w:p w14:paraId="7150DF2B"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the Rise of the MVNOs - Leveraging MVNOs in an "everything connected world", Durban, South Africa, 12 September 2018.</w:t>
      </w:r>
    </w:p>
    <w:p w14:paraId="468E5ECB"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Smart ABC Programme 2018 (Artificial Intelligence, Banking and Cities), Durban, South Africa, 10-13 September 2018.</w:t>
      </w:r>
    </w:p>
    <w:p w14:paraId="5ED77A6B" w14:textId="77777777" w:rsidR="003B32AB" w:rsidRPr="00A94875" w:rsidRDefault="003B32AB" w:rsidP="003B32AB">
      <w:pPr>
        <w:rPr>
          <w:b/>
          <w:bCs/>
        </w:rPr>
      </w:pPr>
      <w:r w:rsidRPr="00A94875">
        <w:rPr>
          <w:b/>
          <w:bCs/>
        </w:rPr>
        <w:t>Asia and the Pacific:</w:t>
      </w:r>
    </w:p>
    <w:p w14:paraId="0B805190"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14:paraId="54C5A9FF"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4th</w:t>
      </w:r>
      <w:proofErr w:type="gramEnd"/>
      <w:r w:rsidRPr="00A94875">
        <w:rPr>
          <w:rFonts w:ascii="Times New Roman" w:hAnsi="Times New Roman"/>
          <w:sz w:val="24"/>
          <w:szCs w:val="24"/>
          <w:lang w:val="en-GB"/>
        </w:rPr>
        <w:t xml:space="preserve"> Asia-Pacific Forum on Smart Sustainable Cities and e-Government 2018, Thanh Hoa City, Vietnam, 4-6 July 2018.</w:t>
      </w:r>
    </w:p>
    <w:p w14:paraId="3E178DAE"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14:paraId="28A31139"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14:paraId="12D8765A"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14:paraId="1541087B" w14:textId="77777777" w:rsidR="003B32AB" w:rsidRPr="00A94875" w:rsidRDefault="003B32AB" w:rsidP="003B32AB">
      <w:r w:rsidRPr="00A94875">
        <w:rPr>
          <w:b/>
          <w:bCs/>
        </w:rPr>
        <w:t>Arab States</w:t>
      </w:r>
      <w:r w:rsidRPr="00A94875">
        <w:t>:</w:t>
      </w:r>
    </w:p>
    <w:p w14:paraId="7AEF097B"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14:paraId="3F4BB9BB"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14:paraId="57211320"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14:paraId="2AE78473"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14:paraId="0ED0F0BE"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The Bridging the Standardization Gap Session on IoT (Training on IoT), Cairo, Egypt, 6 May 2018.</w:t>
      </w:r>
    </w:p>
    <w:p w14:paraId="00B06F03"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Second ITU Workshop on Data Processing and Management for IoT and Smart Cities &amp; Communities, Tunis, Tunisia, 17 September 2018.</w:t>
      </w:r>
    </w:p>
    <w:p w14:paraId="0B9F6C3B" w14:textId="77777777" w:rsidR="003B32AB" w:rsidRPr="00A94875" w:rsidRDefault="003B32AB" w:rsidP="003B32AB">
      <w:pPr>
        <w:rPr>
          <w:b/>
          <w:bCs/>
        </w:rPr>
      </w:pPr>
      <w:r w:rsidRPr="00A94875">
        <w:rPr>
          <w:b/>
          <w:bCs/>
        </w:rPr>
        <w:t>Americas:</w:t>
      </w:r>
    </w:p>
    <w:p w14:paraId="7E07D85E"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14:paraId="0E0477B0"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14:paraId="5C705B99"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lastRenderedPageBreak/>
        <w:t>Information Session on “Exploring the Role of Small and Medium Enterprises (SMEs) in Linking AI and IoT in Smart Cities”, Buenos Aires, Argentina, 30 May 2018.</w:t>
      </w:r>
    </w:p>
    <w:p w14:paraId="5D76F36B"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2018</w:t>
      </w:r>
      <w:proofErr w:type="gramEnd"/>
      <w:r w:rsidRPr="00A94875">
        <w:rPr>
          <w:rFonts w:ascii="Times New Roman" w:hAnsi="Times New Roman"/>
          <w:sz w:val="24"/>
          <w:szCs w:val="24"/>
          <w:lang w:val="en-GB"/>
        </w:rPr>
        <w:t xml:space="preserve"> HLPF Side Event: "Shaping Smarter and More Sustainable Cities: Striving for Sustainable Development Goals", New York, United States, 12 July 2018.</w:t>
      </w:r>
    </w:p>
    <w:p w14:paraId="37652CDC"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14:paraId="3F76B75C"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14:paraId="48650A2E"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14:paraId="674464AB"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14:paraId="45D6EBC8"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14:paraId="61203491"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14:paraId="2B8D8182"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14:paraId="6EAE221A" w14:textId="77777777" w:rsidR="003B32AB" w:rsidRPr="00A94875" w:rsidRDefault="003B32AB" w:rsidP="003B32AB">
      <w:pPr>
        <w:rPr>
          <w:b/>
          <w:bCs/>
        </w:rPr>
      </w:pPr>
      <w:r w:rsidRPr="00A94875">
        <w:rPr>
          <w:b/>
          <w:bCs/>
        </w:rPr>
        <w:t>CIS:</w:t>
      </w:r>
    </w:p>
    <w:p w14:paraId="295F4365" w14:textId="77777777" w:rsidR="003B32AB" w:rsidRPr="00A94875" w:rsidRDefault="003B32AB" w:rsidP="003B32AB">
      <w:pPr>
        <w:pStyle w:val="ListParagraph"/>
        <w:numPr>
          <w:ilvl w:val="0"/>
          <w:numId w:val="52"/>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Forum on “Internet of Things, Telecommunication Networks and Big Data as basic infrastructure for Digital Economy”, </w:t>
      </w:r>
      <w:proofErr w:type="gramStart"/>
      <w:r w:rsidRPr="00A94875">
        <w:rPr>
          <w:rFonts w:ascii="Times New Roman" w:hAnsi="Times New Roman"/>
          <w:sz w:val="24"/>
          <w:szCs w:val="24"/>
          <w:lang w:val="en-GB"/>
        </w:rPr>
        <w:t>Saint-Petersburg, Russian Federation</w:t>
      </w:r>
      <w:proofErr w:type="gramEnd"/>
      <w:r w:rsidRPr="00A94875">
        <w:rPr>
          <w:rFonts w:ascii="Times New Roman" w:hAnsi="Times New Roman"/>
          <w:sz w:val="24"/>
          <w:szCs w:val="24"/>
          <w:lang w:val="en-GB"/>
        </w:rPr>
        <w:t>, 4-6 June 2018.</w:t>
      </w:r>
    </w:p>
    <w:p w14:paraId="46A94E96" w14:textId="77777777" w:rsidR="003B32AB" w:rsidRPr="00A94875" w:rsidRDefault="003B32AB" w:rsidP="003B32AB">
      <w:pPr>
        <w:pStyle w:val="ListParagraph"/>
        <w:numPr>
          <w:ilvl w:val="0"/>
          <w:numId w:val="52"/>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Regional Workshop on Deployment of VoLTE/ViLTE networks based on IMS: from Standardization to Implementation, Samarkand, Republic of Uzbekistan, 2-3 October 2018.</w:t>
      </w:r>
    </w:p>
    <w:p w14:paraId="6838A29D" w14:textId="77777777" w:rsidR="003B32AB" w:rsidRPr="00A94875" w:rsidRDefault="003B32AB" w:rsidP="003B32AB">
      <w:pPr>
        <w:pStyle w:val="Heading1"/>
        <w:rPr>
          <w:rFonts w:asciiTheme="majorBidi" w:hAnsiTheme="majorBidi" w:cstheme="majorBidi"/>
        </w:rPr>
      </w:pPr>
      <w:bookmarkStart w:id="255" w:name="_Toc480527880"/>
      <w:bookmarkStart w:id="256" w:name="_Toc530571896"/>
      <w:bookmarkStart w:id="257" w:name="_Toc531254901"/>
      <w:bookmarkStart w:id="258" w:name="_Toc438554000"/>
      <w:bookmarkStart w:id="259" w:name="_Toc453929122"/>
      <w:bookmarkStart w:id="260" w:name="_Toc453932993"/>
      <w:bookmarkStart w:id="261" w:name="_Toc454295899"/>
      <w:bookmarkStart w:id="262" w:name="_Toc462664286"/>
      <w:r w:rsidRPr="00A94875">
        <w:rPr>
          <w:rFonts w:asciiTheme="majorBidi" w:hAnsiTheme="majorBidi" w:cstheme="majorBidi"/>
        </w:rPr>
        <w:t>14</w:t>
      </w:r>
      <w:r w:rsidRPr="00A94875">
        <w:rPr>
          <w:rFonts w:asciiTheme="majorBidi" w:hAnsiTheme="majorBidi" w:cstheme="majorBidi"/>
        </w:rPr>
        <w:tab/>
        <w:t>Implementation of WTSA Resolutions</w:t>
      </w:r>
      <w:bookmarkEnd w:id="255"/>
      <w:r w:rsidRPr="00A94875">
        <w:rPr>
          <w:rFonts w:asciiTheme="majorBidi" w:hAnsiTheme="majorBidi" w:cstheme="majorBidi"/>
        </w:rPr>
        <w:t xml:space="preserve"> and A-series ITU-T Recommendations</w:t>
      </w:r>
      <w:bookmarkEnd w:id="256"/>
      <w:bookmarkEnd w:id="257"/>
    </w:p>
    <w:p w14:paraId="5FC33DD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WTSA Resolution 22 instructs the TSB Director to report to TSAG on the implementation of WTSA resolutions and actions to </w:t>
      </w:r>
      <w:proofErr w:type="gramStart"/>
      <w:r w:rsidRPr="00A94875">
        <w:rPr>
          <w:rFonts w:asciiTheme="majorBidi" w:hAnsiTheme="majorBidi" w:cstheme="majorBidi"/>
        </w:rPr>
        <w:t>be undertaken</w:t>
      </w:r>
      <w:proofErr w:type="gramEnd"/>
      <w:r w:rsidRPr="00A94875">
        <w:rPr>
          <w:rFonts w:asciiTheme="majorBidi" w:hAnsiTheme="majorBidi" w:cstheme="majorBidi"/>
        </w:rPr>
        <w:t xml:space="preserve"> pursuant to their operative paragraphs. WTSA Resolution 22 also instructs the TSB Director to report to TSAG on the implementation of the A-series ITU-T Recommendations.</w:t>
      </w:r>
    </w:p>
    <w:p w14:paraId="60296FD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WTSA Resolutions are available at </w:t>
      </w:r>
      <w:hyperlink r:id="rId153" w:history="1">
        <w:r w:rsidRPr="00A94875">
          <w:rPr>
            <w:rStyle w:val="Hyperlink"/>
            <w:rFonts w:cstheme="majorBidi"/>
          </w:rPr>
          <w:t>http://www.itu.int/pub/T-RES</w:t>
        </w:r>
      </w:hyperlink>
      <w:r w:rsidRPr="00A94875">
        <w:rPr>
          <w:rFonts w:asciiTheme="majorBidi" w:hAnsiTheme="majorBidi" w:cstheme="majorBidi"/>
        </w:rPr>
        <w:t xml:space="preserve">. </w:t>
      </w:r>
    </w:p>
    <w:p w14:paraId="30B5B260" w14:textId="77777777" w:rsidR="003B32AB" w:rsidRPr="00A94875" w:rsidRDefault="003B32AB" w:rsidP="003B32AB">
      <w:pPr>
        <w:rPr>
          <w:rFonts w:asciiTheme="majorBidi" w:hAnsiTheme="majorBidi" w:cstheme="majorBidi"/>
        </w:rPr>
      </w:pPr>
      <w:r w:rsidRPr="00A94875">
        <w:rPr>
          <w:rFonts w:asciiTheme="majorBidi" w:hAnsiTheme="majorBidi" w:cstheme="majorBidi"/>
        </w:rPr>
        <w:t>The WTSA-16 Action Plan (</w:t>
      </w:r>
      <w:hyperlink r:id="rId154" w:history="1">
        <w:r w:rsidRPr="00A94875">
          <w:rPr>
            <w:rStyle w:val="Hyperlink"/>
          </w:rPr>
          <w:t>TSAG-TD292</w:t>
        </w:r>
      </w:hyperlink>
      <w:r w:rsidRPr="00A94875">
        <w:rPr>
          <w:rFonts w:asciiTheme="majorBidi" w:hAnsiTheme="majorBidi" w:cstheme="majorBidi"/>
        </w:rPr>
        <w:t xml:space="preserve">) assigns action items to the operational provisions in the Resolutions </w:t>
      </w:r>
      <w:proofErr w:type="gramStart"/>
      <w:r w:rsidRPr="00A94875">
        <w:rPr>
          <w:rFonts w:asciiTheme="majorBidi" w:hAnsiTheme="majorBidi" w:cstheme="majorBidi"/>
        </w:rPr>
        <w:t>and also</w:t>
      </w:r>
      <w:proofErr w:type="gramEnd"/>
      <w:r w:rsidRPr="00A94875">
        <w:rPr>
          <w:rFonts w:asciiTheme="majorBidi" w:hAnsiTheme="majorBidi" w:cstheme="majorBidi"/>
        </w:rPr>
        <w:t xml:space="preserve"> reports information on the progress of the implementation of those action items.</w:t>
      </w:r>
    </w:p>
    <w:p w14:paraId="4588EA16"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A-series ITU-T Recommendations are available at </w:t>
      </w:r>
      <w:hyperlink r:id="rId155" w:history="1">
        <w:r w:rsidRPr="00A94875">
          <w:rPr>
            <w:rStyle w:val="Hyperlink"/>
            <w:rFonts w:cstheme="majorBidi"/>
          </w:rPr>
          <w:t>http://www.itu.int/ITU-T/recommendations/index.aspx?ser=A</w:t>
        </w:r>
      </w:hyperlink>
      <w:r w:rsidRPr="00A94875">
        <w:rPr>
          <w:rFonts w:asciiTheme="majorBidi" w:hAnsiTheme="majorBidi" w:cstheme="majorBidi"/>
        </w:rPr>
        <w:t>.</w:t>
      </w:r>
    </w:p>
    <w:p w14:paraId="30892655"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Regarding the liaison template in Recommendation ITU-T A.1, TSB noticed that the "For Comment" field of liaison statements </w:t>
      </w:r>
      <w:proofErr w:type="gramStart"/>
      <w:r w:rsidRPr="00A94875">
        <w:rPr>
          <w:rFonts w:asciiTheme="majorBidi" w:hAnsiTheme="majorBidi" w:cstheme="majorBidi"/>
        </w:rPr>
        <w:t>should be discontinued</w:t>
      </w:r>
      <w:proofErr w:type="gramEnd"/>
      <w:r w:rsidRPr="00A94875">
        <w:rPr>
          <w:rFonts w:asciiTheme="majorBidi" w:hAnsiTheme="majorBidi" w:cstheme="majorBidi"/>
        </w:rPr>
        <w:t>, as was agreed by TSAG 2016; however, this change was not brought to WTSA-16 and A.1 is yet to be updated accordingly.</w:t>
      </w:r>
    </w:p>
    <w:p w14:paraId="18906AA4" w14:textId="77777777" w:rsidR="003B32AB" w:rsidRPr="00A94875" w:rsidRDefault="003B32AB" w:rsidP="003B32AB">
      <w:pPr>
        <w:pStyle w:val="Heading1"/>
        <w:rPr>
          <w:rFonts w:asciiTheme="majorBidi" w:hAnsiTheme="majorBidi" w:cstheme="majorBidi"/>
        </w:rPr>
      </w:pPr>
      <w:bookmarkStart w:id="263" w:name="_Toc480527881"/>
      <w:bookmarkStart w:id="264" w:name="_Toc530571897"/>
      <w:bookmarkStart w:id="265" w:name="_Toc531254902"/>
      <w:r w:rsidRPr="00A94875">
        <w:rPr>
          <w:rFonts w:asciiTheme="majorBidi" w:hAnsiTheme="majorBidi" w:cstheme="majorBidi"/>
        </w:rPr>
        <w:t>15</w:t>
      </w:r>
      <w:r w:rsidRPr="00A94875">
        <w:rPr>
          <w:rFonts w:asciiTheme="majorBidi" w:hAnsiTheme="majorBidi" w:cstheme="majorBidi"/>
        </w:rPr>
        <w:tab/>
        <w:t>ITU-T's activities in the implementation of WSIS</w:t>
      </w:r>
      <w:bookmarkEnd w:id="258"/>
      <w:bookmarkEnd w:id="259"/>
      <w:bookmarkEnd w:id="260"/>
      <w:bookmarkEnd w:id="261"/>
      <w:bookmarkEnd w:id="262"/>
      <w:r w:rsidRPr="00A94875">
        <w:rPr>
          <w:rFonts w:asciiTheme="majorBidi" w:hAnsiTheme="majorBidi" w:cstheme="majorBidi"/>
        </w:rPr>
        <w:t xml:space="preserve"> and the Sustainable Development Goals</w:t>
      </w:r>
      <w:bookmarkStart w:id="266" w:name="_Toc261186390"/>
      <w:bookmarkStart w:id="267" w:name="_Toc261186391"/>
      <w:bookmarkEnd w:id="263"/>
      <w:bookmarkEnd w:id="264"/>
      <w:bookmarkEnd w:id="265"/>
    </w:p>
    <w:p w14:paraId="7757CE4C"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7E9226B4" w14:textId="77777777" w:rsidR="003B32AB" w:rsidRPr="00A94875" w:rsidRDefault="003B32AB" w:rsidP="003B32AB">
      <w:pPr>
        <w:rPr>
          <w:rFonts w:asciiTheme="majorBidi" w:hAnsiTheme="majorBidi" w:cstheme="majorBidi"/>
        </w:rPr>
      </w:pPr>
      <w:r w:rsidRPr="00A94875">
        <w:rPr>
          <w:rFonts w:asciiTheme="majorBidi" w:hAnsiTheme="majorBidi" w:cstheme="majorBidi"/>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47E3B336"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This mapping of ITU-T work to the SDGs will support the WSIS process in its promotion of efforts to leverage ICTs for sustainable development (see the </w:t>
      </w:r>
      <w:hyperlink r:id="rId156" w:history="1">
        <w:r w:rsidRPr="00A94875">
          <w:rPr>
            <w:rStyle w:val="Hyperlink"/>
            <w:rFonts w:cstheme="majorBidi"/>
          </w:rPr>
          <w:t>WSIS-SDG Matrix</w:t>
        </w:r>
      </w:hyperlink>
      <w:r w:rsidRPr="00A94875">
        <w:rPr>
          <w:rFonts w:asciiTheme="majorBidi" w:hAnsiTheme="majorBidi" w:cstheme="majorBidi"/>
        </w:rPr>
        <w:t xml:space="preserve"> linking WSIS Action Lines with the SDGs), highlighting areas where these efforts will receive support from the international standards developed by ITU-T.</w:t>
      </w:r>
    </w:p>
    <w:p w14:paraId="055F0725"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This mapping </w:t>
      </w:r>
      <w:proofErr w:type="gramStart"/>
      <w:r w:rsidRPr="00A94875">
        <w:rPr>
          <w:rFonts w:asciiTheme="majorBidi" w:hAnsiTheme="majorBidi" w:cstheme="majorBidi"/>
        </w:rPr>
        <w:t>was presented to the February 2016 meeting of TSAG (</w:t>
      </w:r>
      <w:hyperlink r:id="rId157" w:history="1">
        <w:r w:rsidRPr="00A94875">
          <w:rPr>
            <w:rStyle w:val="Hyperlink"/>
            <w:rFonts w:cstheme="majorBidi"/>
          </w:rPr>
          <w:t>TSAG-TD419</w:t>
        </w:r>
      </w:hyperlink>
      <w:r w:rsidRPr="00A94875">
        <w:rPr>
          <w:rFonts w:asciiTheme="majorBidi" w:hAnsiTheme="majorBidi" w:cstheme="majorBidi"/>
        </w:rPr>
        <w:t>) and led to the development of a mapping tool to map ITU-wide objectives and outputs to SDG goals and targets</w:t>
      </w:r>
      <w:proofErr w:type="gramEnd"/>
      <w:r w:rsidRPr="00A94875">
        <w:rPr>
          <w:rFonts w:asciiTheme="majorBidi" w:hAnsiTheme="majorBidi" w:cstheme="majorBidi"/>
        </w:rPr>
        <w:t>.</w:t>
      </w:r>
    </w:p>
    <w:p w14:paraId="29A1D8D4" w14:textId="77777777" w:rsidR="003B32AB" w:rsidRPr="00A94875" w:rsidRDefault="003B32AB" w:rsidP="003B32AB">
      <w:pPr>
        <w:pStyle w:val="Heading1"/>
        <w:rPr>
          <w:rFonts w:asciiTheme="majorBidi" w:hAnsiTheme="majorBidi" w:cstheme="majorBidi"/>
        </w:rPr>
      </w:pPr>
      <w:bookmarkStart w:id="268" w:name="_Toc530571898"/>
      <w:bookmarkStart w:id="269" w:name="_Toc531254903"/>
      <w:r w:rsidRPr="00A94875">
        <w:rPr>
          <w:rFonts w:asciiTheme="majorBidi" w:hAnsiTheme="majorBidi" w:cstheme="majorBidi"/>
        </w:rPr>
        <w:t>16</w:t>
      </w:r>
      <w:r w:rsidRPr="00A94875">
        <w:rPr>
          <w:rFonts w:asciiTheme="majorBidi" w:hAnsiTheme="majorBidi" w:cstheme="majorBidi"/>
        </w:rPr>
        <w:tab/>
        <w:t>Implementation of trial authorized by TSAG (July 2016 meeting)</w:t>
      </w:r>
      <w:bookmarkEnd w:id="266"/>
      <w:bookmarkEnd w:id="268"/>
      <w:bookmarkEnd w:id="269"/>
    </w:p>
    <w:p w14:paraId="4108144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In implementing the decision of the July 2016 meeting of TSAG (C.108/TSAG), an ad-hoc group under ITU-T Study Group 13 created in February 2017 is developing guidance for drafting ITU-T Recommendations. </w:t>
      </w:r>
      <w:proofErr w:type="gramStart"/>
      <w:r w:rsidRPr="00A94875">
        <w:rPr>
          <w:rFonts w:asciiTheme="majorBidi" w:hAnsiTheme="majorBidi" w:cstheme="majorBidi"/>
        </w:rPr>
        <w:t>This ad-hoc group is led by Wu Tong (China Telecom) and Marco Carugi (NEC, Japan)</w:t>
      </w:r>
      <w:proofErr w:type="gramEnd"/>
      <w:r w:rsidRPr="00A94875">
        <w:rPr>
          <w:rFonts w:asciiTheme="majorBidi" w:hAnsiTheme="majorBidi" w:cstheme="majorBidi"/>
        </w:rPr>
        <w:t xml:space="preserve">. </w:t>
      </w:r>
    </w:p>
    <w:p w14:paraId="6DFFE5A0" w14:textId="77777777" w:rsidR="003B32AB" w:rsidRPr="00A94875" w:rsidRDefault="006126E3" w:rsidP="003B32AB">
      <w:pPr>
        <w:rPr>
          <w:rFonts w:asciiTheme="majorBidi" w:hAnsiTheme="majorBidi" w:cstheme="majorBidi"/>
        </w:rPr>
      </w:pPr>
      <w:hyperlink r:id="rId158" w:history="1">
        <w:r w:rsidR="003B32AB" w:rsidRPr="00A94875">
          <w:rPr>
            <w:rStyle w:val="Hyperlink"/>
            <w:rFonts w:cstheme="majorBidi"/>
          </w:rPr>
          <w:t>The current draft</w:t>
        </w:r>
      </w:hyperlink>
      <w:r w:rsidR="003B32AB" w:rsidRPr="00A94875">
        <w:rPr>
          <w:rFonts w:asciiTheme="majorBidi" w:hAnsiTheme="majorBidi" w:cstheme="majorBidi"/>
        </w:rPr>
        <w:t xml:space="preserve"> “Guidelines and Methodologies for Developing Technical Recommendations” attempts to address all questions likely to </w:t>
      </w:r>
      <w:proofErr w:type="gramStart"/>
      <w:r w:rsidR="003B32AB" w:rsidRPr="00A94875">
        <w:rPr>
          <w:rFonts w:asciiTheme="majorBidi" w:hAnsiTheme="majorBidi" w:cstheme="majorBidi"/>
        </w:rPr>
        <w:t>be asked</w:t>
      </w:r>
      <w:proofErr w:type="gramEnd"/>
      <w:r w:rsidR="003B32AB" w:rsidRPr="00A94875">
        <w:rPr>
          <w:rFonts w:asciiTheme="majorBidi" w:hAnsiTheme="majorBidi" w:cstheme="majorBidi"/>
        </w:rPr>
        <w:t xml:space="preserve"> by experts contributing to the development of ITU-T Recommendations. </w:t>
      </w:r>
    </w:p>
    <w:p w14:paraId="0D191D8B"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ITU-T Study Group 13 has extended the timeframe for the delivery of the guidelines from July 2018 to March 2019. </w:t>
      </w:r>
    </w:p>
    <w:p w14:paraId="178F1F10" w14:textId="77777777" w:rsidR="003B32AB" w:rsidRPr="00A94875" w:rsidRDefault="003B32AB" w:rsidP="003B32AB">
      <w:pPr>
        <w:pStyle w:val="Heading1"/>
        <w:pageBreakBefore/>
        <w:jc w:val="center"/>
        <w:rPr>
          <w:rFonts w:asciiTheme="majorBidi" w:hAnsiTheme="majorBidi" w:cstheme="majorBidi"/>
        </w:rPr>
      </w:pPr>
      <w:bookmarkStart w:id="270" w:name="_Toc480527885"/>
      <w:bookmarkStart w:id="271" w:name="_Toc530571899"/>
      <w:bookmarkStart w:id="272" w:name="_Toc531254904"/>
      <w:r w:rsidRPr="00A94875">
        <w:rPr>
          <w:rFonts w:asciiTheme="majorBidi" w:hAnsiTheme="majorBidi" w:cstheme="majorBidi"/>
        </w:rPr>
        <w:lastRenderedPageBreak/>
        <w:t>Appendix I – List of approved Recommendations and other approved texts</w:t>
      </w:r>
      <w:bookmarkEnd w:id="270"/>
      <w:bookmarkEnd w:id="271"/>
      <w:bookmarkEnd w:id="272"/>
    </w:p>
    <w:p w14:paraId="68A759D0" w14:textId="77777777" w:rsidR="003B32AB" w:rsidRPr="00A94875" w:rsidRDefault="003B32AB" w:rsidP="003B32AB">
      <w:pPr>
        <w:rPr>
          <w:sz w:val="22"/>
          <w:szCs w:val="22"/>
        </w:rPr>
      </w:pPr>
      <w:r w:rsidRPr="00A94875">
        <w:rPr>
          <w:sz w:val="22"/>
          <w:szCs w:val="22"/>
        </w:rPr>
        <w:t xml:space="preserve">Note – Corrigenda </w:t>
      </w:r>
      <w:proofErr w:type="gramStart"/>
      <w:r w:rsidRPr="00A94875">
        <w:rPr>
          <w:sz w:val="22"/>
          <w:szCs w:val="22"/>
        </w:rPr>
        <w:t>are not listed</w:t>
      </w:r>
      <w:proofErr w:type="gramEnd"/>
      <w:r w:rsidRPr="00A94875">
        <w:rPr>
          <w:sz w:val="22"/>
          <w:szCs w:val="22"/>
        </w:rPr>
        <w:t xml:space="preserve"> here.</w:t>
      </w:r>
    </w:p>
    <w:p w14:paraId="772D78D2" w14:textId="77777777" w:rsidR="003B32AB" w:rsidRPr="00A94875" w:rsidRDefault="003B32AB" w:rsidP="003B32AB">
      <w:pPr>
        <w:spacing w:before="240"/>
        <w:rPr>
          <w:b/>
          <w:sz w:val="22"/>
          <w:szCs w:val="22"/>
        </w:rPr>
      </w:pPr>
      <w:bookmarkStart w:id="273" w:name="_Toc480527886"/>
      <w:bookmarkStart w:id="274" w:name="_Toc480527890"/>
      <w:r w:rsidRPr="00A94875">
        <w:rPr>
          <w:b/>
          <w:sz w:val="22"/>
          <w:szCs w:val="22"/>
        </w:rPr>
        <w:t>I.1.1</w:t>
      </w:r>
      <w:r w:rsidRPr="00A94875">
        <w:rPr>
          <w:b/>
          <w:sz w:val="22"/>
          <w:szCs w:val="22"/>
        </w:rPr>
        <w:tab/>
        <w:t>G.fast and DSL: Breathing new life into existing copper infrastructure</w:t>
      </w:r>
    </w:p>
    <w:p w14:paraId="2680FE9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G.993.2 (revised) “Very high speed digital subscriber line transceivers 2 (VDSL2)” </w:t>
      </w:r>
      <w:r w:rsidRPr="00A94875">
        <w:rPr>
          <w:rFonts w:asciiTheme="majorBidi" w:hAnsiTheme="majorBidi" w:cstheme="majorBidi"/>
          <w:szCs w:val="20"/>
          <w:lang w:val="en-GB"/>
        </w:rPr>
        <w:t xml:space="preserve">(under approval) specifies an access technology that exploits the existing infrastructure of copper wires that were originally deployed for POTS services. It </w:t>
      </w:r>
      <w:proofErr w:type="gramStart"/>
      <w:r w:rsidRPr="00A94875">
        <w:rPr>
          <w:rFonts w:asciiTheme="majorBidi" w:hAnsiTheme="majorBidi" w:cstheme="majorBidi"/>
          <w:szCs w:val="20"/>
          <w:lang w:val="en-GB"/>
        </w:rPr>
        <w:t>can be deployed</w:t>
      </w:r>
      <w:proofErr w:type="gramEnd"/>
      <w:r w:rsidRPr="00A94875">
        <w:rPr>
          <w:rFonts w:asciiTheme="majorBidi" w:hAnsiTheme="majorBidi" w:cstheme="majorBidi"/>
          <w:szCs w:val="20"/>
          <w:lang w:val="en-GB"/>
        </w:rPr>
        <w:t xml:space="preserve">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14:paraId="3DB3825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This version of this Recommendation integrates all the previous amendments and corrigenda with the 2011 version of Recommendation ITU-T G.993.2. This version of Recommendation ITU-T G.993.2 corrects or adds the following functionality:</w:t>
      </w:r>
    </w:p>
    <w:p w14:paraId="2A9CA9F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Method to address the misestimation of the SNR during MEDLEY (Amendment 2)</w:t>
      </w:r>
    </w:p>
    <w:p w14:paraId="57301D9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Segmentation of SOC messages for profile 35b (Corrigendum 1)</w:t>
      </w:r>
    </w:p>
    <w:p w14:paraId="6BEC665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D: Long reach VDSL2 (Amendment 3)</w:t>
      </w:r>
    </w:p>
    <w:p w14:paraId="67204B0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Near-end anomalies for loss-of-power, host-reinit and spontaneous interruptions (Amendment 4)</w:t>
      </w:r>
    </w:p>
    <w:p w14:paraId="5CEA9FB5"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operation per the North American region for profile 35b (Annex Q) (Amendment 4)</w:t>
      </w:r>
    </w:p>
    <w:p w14:paraId="2FFDD8F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operation per the China region for profile 35b (Annex Q) (new)</w:t>
      </w:r>
    </w:p>
    <w:p w14:paraId="387A53E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Successful SRA counter (new)</w:t>
      </w:r>
    </w:p>
    <w:p w14:paraId="47F09CC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proofErr w:type="gramStart"/>
      <w:r w:rsidRPr="00A94875">
        <w:rPr>
          <w:rFonts w:asciiTheme="majorBidi" w:hAnsiTheme="majorBidi" w:cstheme="majorBidi"/>
          <w:szCs w:val="20"/>
          <w:lang w:val="en-GB"/>
        </w:rPr>
        <w:t>–</w:t>
      </w:r>
      <w:r w:rsidRPr="00A94875">
        <w:rPr>
          <w:rFonts w:asciiTheme="majorBidi" w:hAnsiTheme="majorBidi" w:cstheme="majorBidi"/>
          <w:szCs w:val="20"/>
          <w:lang w:val="en-GB"/>
        </w:rPr>
        <w:tab/>
        <w:t>Long</w:t>
      </w:r>
      <w:proofErr w:type="gramEnd"/>
      <w:r w:rsidRPr="00A94875">
        <w:rPr>
          <w:rFonts w:asciiTheme="majorBidi" w:hAnsiTheme="majorBidi" w:cstheme="majorBidi"/>
          <w:szCs w:val="20"/>
          <w:lang w:val="en-GB"/>
        </w:rPr>
        <w:t xml:space="preserve"> reach VDSL2 corrigendum related to MAXNOMATP (new)</w:t>
      </w:r>
    </w:p>
    <w:p w14:paraId="74BB676A"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Corrigendum to MAXMASK definition in Table 7 5 (new)</w:t>
      </w:r>
    </w:p>
    <w:p w14:paraId="547B47A4"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Corrigendum to use of US0 with 35b profile for the North-America region (new).</w:t>
      </w:r>
    </w:p>
    <w:p w14:paraId="18783B6B" w14:textId="77777777" w:rsidR="003B32AB" w:rsidRPr="00A94875" w:rsidRDefault="003B32AB" w:rsidP="003B32AB">
      <w:pPr>
        <w:pStyle w:val="NormalWeb"/>
        <w:spacing w:before="120" w:beforeAutospacing="0" w:after="120" w:afterAutospacing="0"/>
        <w:rPr>
          <w:rFonts w:asciiTheme="majorBidi" w:hAnsiTheme="majorBidi" w:cstheme="majorBidi"/>
          <w:bCs/>
          <w:szCs w:val="20"/>
          <w:lang w:val="en-GB"/>
        </w:rPr>
      </w:pPr>
      <w:r w:rsidRPr="00A94875">
        <w:rPr>
          <w:rFonts w:asciiTheme="majorBidi" w:hAnsiTheme="majorBidi" w:cstheme="majorBidi"/>
          <w:b/>
          <w:szCs w:val="20"/>
          <w:lang w:val="en-GB"/>
        </w:rPr>
        <w:t xml:space="preserve">ITU-T G.993.2 (2015) Amd.3 “Very high speed digital subscriber line transceivers 2 (VDSL2) - Annex D: Long Reach VDSL2” </w:t>
      </w:r>
      <w:r w:rsidRPr="00A94875">
        <w:rPr>
          <w:rFonts w:asciiTheme="majorBidi" w:hAnsiTheme="majorBidi" w:cstheme="majorBidi"/>
          <w:bCs/>
          <w:szCs w:val="20"/>
          <w:lang w:val="en-GB"/>
        </w:rPr>
        <w:t>defines the Long Reach operation for VDSL2 without vectoring.</w:t>
      </w:r>
    </w:p>
    <w:p w14:paraId="578C2D5E"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 xml:space="preserve">ITU-T G.993.2 (2015) Amd.4 “Very </w:t>
      </w:r>
      <w:proofErr w:type="gramStart"/>
      <w:r w:rsidRPr="00A94875">
        <w:rPr>
          <w:rFonts w:asciiTheme="majorBidi" w:hAnsiTheme="majorBidi" w:cstheme="majorBidi"/>
          <w:b/>
          <w:bCs/>
          <w:szCs w:val="20"/>
          <w:lang w:val="en-GB"/>
        </w:rPr>
        <w:t>high speed</w:t>
      </w:r>
      <w:proofErr w:type="gramEnd"/>
      <w:r w:rsidRPr="00A94875">
        <w:rPr>
          <w:rFonts w:asciiTheme="majorBidi" w:hAnsiTheme="majorBidi" w:cstheme="majorBidi"/>
          <w:b/>
          <w:bCs/>
          <w:szCs w:val="20"/>
          <w:lang w:val="en-GB"/>
        </w:rPr>
        <w:t xml:space="preserve"> digital subscriber line transceivers 2 (VDSL2) - Amendment 4”</w:t>
      </w:r>
      <w:r w:rsidRPr="00A94875">
        <w:rPr>
          <w:rFonts w:asciiTheme="majorBidi" w:hAnsiTheme="majorBidi" w:cstheme="majorBidi"/>
          <w:bCs/>
          <w:szCs w:val="20"/>
          <w:lang w:val="en-GB"/>
        </w:rPr>
        <w:t xml:space="preserve"> addresses the following:</w:t>
      </w:r>
    </w:p>
    <w:p w14:paraId="37B56383" w14:textId="77777777" w:rsidR="003B32AB" w:rsidRPr="00A94875" w:rsidRDefault="003B32AB" w:rsidP="003B32AB">
      <w:pPr>
        <w:pStyle w:val="NormalWeb"/>
        <w:spacing w:before="120" w:beforeAutospacing="0" w:after="0" w:afterAutospacing="0"/>
        <w:ind w:left="567"/>
        <w:rPr>
          <w:rFonts w:asciiTheme="majorBidi" w:hAnsiTheme="majorBidi" w:cstheme="majorBidi"/>
          <w:bCs/>
          <w:szCs w:val="20"/>
          <w:lang w:val="en-GB"/>
        </w:rPr>
      </w:pPr>
      <w:r w:rsidRPr="00A94875">
        <w:rPr>
          <w:rFonts w:asciiTheme="majorBidi" w:hAnsiTheme="majorBidi" w:cstheme="majorBidi"/>
          <w:bCs/>
          <w:szCs w:val="20"/>
          <w:lang w:val="en-GB"/>
        </w:rPr>
        <w:t>-</w:t>
      </w:r>
      <w:r w:rsidRPr="00A94875">
        <w:rPr>
          <w:rFonts w:asciiTheme="majorBidi" w:hAnsiTheme="majorBidi" w:cstheme="majorBidi"/>
          <w:bCs/>
          <w:szCs w:val="20"/>
          <w:lang w:val="en-GB"/>
        </w:rPr>
        <w:tab/>
        <w:t>Addition of a Band plan and Limit PSD masks for profile 35b for the North American region (Annex A).</w:t>
      </w:r>
    </w:p>
    <w:p w14:paraId="44B775CD" w14:textId="77777777" w:rsidR="003B32AB" w:rsidRPr="00A94875" w:rsidRDefault="003B32AB" w:rsidP="003B32AB">
      <w:pPr>
        <w:pStyle w:val="NormalWeb"/>
        <w:spacing w:before="120" w:beforeAutospacing="0" w:after="0" w:afterAutospacing="0"/>
        <w:ind w:left="567"/>
        <w:rPr>
          <w:rFonts w:asciiTheme="majorBidi" w:hAnsiTheme="majorBidi" w:cstheme="majorBidi"/>
          <w:bCs/>
          <w:szCs w:val="20"/>
          <w:lang w:val="en-GB"/>
        </w:rPr>
      </w:pPr>
      <w:r w:rsidRPr="00A94875">
        <w:rPr>
          <w:rFonts w:asciiTheme="majorBidi" w:hAnsiTheme="majorBidi" w:cstheme="majorBidi"/>
          <w:bCs/>
          <w:szCs w:val="20"/>
          <w:lang w:val="en-GB"/>
        </w:rPr>
        <w:t>-</w:t>
      </w:r>
      <w:r w:rsidRPr="00A94875">
        <w:rPr>
          <w:rFonts w:asciiTheme="majorBidi" w:hAnsiTheme="majorBidi" w:cstheme="majorBidi"/>
          <w:bCs/>
          <w:szCs w:val="20"/>
          <w:lang w:val="en-GB"/>
        </w:rPr>
        <w:tab/>
        <w:t>Addition of operation per the North American region for profile 35b (Annex Q).</w:t>
      </w:r>
    </w:p>
    <w:p w14:paraId="4D2F11D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G.993.5 (revised) “Self-FEXT cancellation (vectoring) for use with VDSL2 transceivers”</w:t>
      </w:r>
      <w:r w:rsidRPr="00A94875">
        <w:rPr>
          <w:rFonts w:asciiTheme="majorBidi" w:hAnsiTheme="majorBidi" w:cstheme="majorBidi"/>
          <w:szCs w:val="20"/>
          <w:lang w:val="en-GB"/>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w:t>
      </w:r>
      <w:proofErr w:type="gramStart"/>
      <w:r w:rsidRPr="00A94875">
        <w:rPr>
          <w:rFonts w:asciiTheme="majorBidi" w:hAnsiTheme="majorBidi" w:cstheme="majorBidi"/>
          <w:szCs w:val="20"/>
          <w:lang w:val="en-GB"/>
        </w:rPr>
        <w:t>is cancelled</w:t>
      </w:r>
      <w:proofErr w:type="gramEnd"/>
      <w:r w:rsidRPr="00A94875">
        <w:rPr>
          <w:rFonts w:asciiTheme="majorBidi" w:hAnsiTheme="majorBidi" w:cstheme="majorBidi"/>
          <w:szCs w:val="20"/>
          <w:lang w:val="en-GB"/>
        </w:rPr>
        <w:t xml:space="preserve">. This cancellation takes place between very high-bit-rate digital subscriber line </w:t>
      </w:r>
      <w:proofErr w:type="gramStart"/>
      <w:r w:rsidRPr="00A94875">
        <w:rPr>
          <w:rFonts w:asciiTheme="majorBidi" w:hAnsiTheme="majorBidi" w:cstheme="majorBidi"/>
          <w:szCs w:val="20"/>
          <w:lang w:val="en-GB"/>
        </w:rPr>
        <w:t>2</w:t>
      </w:r>
      <w:proofErr w:type="gramEnd"/>
      <w:r w:rsidRPr="00A94875">
        <w:rPr>
          <w:rFonts w:asciiTheme="majorBidi" w:hAnsiTheme="majorBidi" w:cstheme="majorBidi"/>
          <w:szCs w:val="20"/>
          <w:lang w:val="en-GB"/>
        </w:rPr>
        <w:t xml:space="preserve"> (VDSL2) transceivers, not necessarily of the same profile. This Recommendation </w:t>
      </w:r>
      <w:proofErr w:type="gramStart"/>
      <w:r w:rsidRPr="00A94875">
        <w:rPr>
          <w:rFonts w:asciiTheme="majorBidi" w:hAnsiTheme="majorBidi" w:cstheme="majorBidi"/>
          <w:szCs w:val="20"/>
          <w:lang w:val="en-GB"/>
        </w:rPr>
        <w:t>is intended to be implemented</w:t>
      </w:r>
      <w:proofErr w:type="gramEnd"/>
      <w:r w:rsidRPr="00A94875">
        <w:rPr>
          <w:rFonts w:asciiTheme="majorBidi" w:hAnsiTheme="majorBidi" w:cstheme="majorBidi"/>
          <w:szCs w:val="20"/>
          <w:lang w:val="en-GB"/>
        </w:rPr>
        <w:t xml:space="preserve">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21CB385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Typographical correction in clause 8.2 (Corrigendum 1)</w:t>
      </w:r>
    </w:p>
    <w:p w14:paraId="0C3C80E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lastRenderedPageBreak/>
        <w:t>–</w:t>
      </w:r>
      <w:r w:rsidRPr="00A94875">
        <w:rPr>
          <w:rFonts w:asciiTheme="majorBidi" w:hAnsiTheme="majorBidi" w:cstheme="majorBidi"/>
          <w:szCs w:val="20"/>
          <w:lang w:val="en-GB"/>
        </w:rPr>
        <w:tab/>
        <w:t>Generalization of the segmentation of SOC messages in clause 10.4.2.2 for vectoring of profile 35b (Corrigendum 1)</w:t>
      </w:r>
    </w:p>
    <w:p w14:paraId="0828D81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Transceiver O-DEACTIVATING state (Amendment 1)</w:t>
      </w:r>
    </w:p>
    <w:p w14:paraId="21F76FA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A: Mitigating strong FEXT (Amendment 2)</w:t>
      </w:r>
    </w:p>
    <w:p w14:paraId="2C825BF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B: Vectored Long Reach VDSL2 (Amendment 2)</w:t>
      </w:r>
    </w:p>
    <w:p w14:paraId="200DE7F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Encoding of R-P-VECTOR-2 in LR mode with long loop operation (Annex B) (Corrigendum 2)</w:t>
      </w:r>
    </w:p>
    <w:p w14:paraId="5088F08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proofErr w:type="gramStart"/>
      <w:r w:rsidRPr="00A94875">
        <w:rPr>
          <w:rFonts w:asciiTheme="majorBidi" w:hAnsiTheme="majorBidi" w:cstheme="majorBidi"/>
          <w:szCs w:val="20"/>
          <w:lang w:val="en-GB"/>
        </w:rPr>
        <w:t>–</w:t>
      </w:r>
      <w:r w:rsidRPr="00A94875">
        <w:rPr>
          <w:rFonts w:asciiTheme="majorBidi" w:hAnsiTheme="majorBidi" w:cstheme="majorBidi"/>
          <w:szCs w:val="20"/>
          <w:lang w:val="en-GB"/>
        </w:rPr>
        <w:tab/>
        <w:t>Long</w:t>
      </w:r>
      <w:proofErr w:type="gramEnd"/>
      <w:r w:rsidRPr="00A94875">
        <w:rPr>
          <w:rFonts w:asciiTheme="majorBidi" w:hAnsiTheme="majorBidi" w:cstheme="majorBidi"/>
          <w:szCs w:val="20"/>
          <w:lang w:val="en-GB"/>
        </w:rPr>
        <w:t xml:space="preserve"> reach VDSL2 corrigendum related to MAXNOMATP (new).</w:t>
      </w:r>
    </w:p>
    <w:p w14:paraId="307F75C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G.994.1 (revised) “Handshake procedures for digital subscriber line transceivers” </w:t>
      </w:r>
      <w:r w:rsidRPr="00A94875">
        <w:rPr>
          <w:rFonts w:asciiTheme="majorBidi" w:hAnsiTheme="majorBidi" w:cstheme="majorBidi"/>
          <w:szCs w:val="20"/>
          <w:lang w:val="en-GB"/>
        </w:rPr>
        <w:t xml:space="preserve">(under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w:t>
      </w:r>
      <w:proofErr w:type="gramStart"/>
      <w:r w:rsidRPr="00A94875">
        <w:rPr>
          <w:rFonts w:asciiTheme="majorBidi" w:hAnsiTheme="majorBidi" w:cstheme="majorBidi"/>
          <w:szCs w:val="20"/>
          <w:lang w:val="en-GB"/>
        </w:rPr>
        <w:t>is anticipated</w:t>
      </w:r>
      <w:proofErr w:type="gramEnd"/>
      <w:r w:rsidRPr="00A94875">
        <w:rPr>
          <w:rFonts w:asciiTheme="majorBidi" w:hAnsiTheme="majorBidi" w:cstheme="majorBidi"/>
          <w:szCs w:val="20"/>
          <w:lang w:val="en-GB"/>
        </w:rPr>
        <w:t xml:space="preserve">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14:paraId="24D6493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gramStart"/>
      <w:r w:rsidRPr="00A94875">
        <w:rPr>
          <w:rFonts w:asciiTheme="majorBidi" w:hAnsiTheme="majorBidi" w:cstheme="majorBidi"/>
          <w:szCs w:val="20"/>
          <w:lang w:val="en-GB"/>
        </w:rPr>
        <w:t>codepoints</w:t>
      </w:r>
      <w:proofErr w:type="gramEnd"/>
      <w:r w:rsidRPr="00A94875">
        <w:rPr>
          <w:rFonts w:asciiTheme="majorBidi" w:hAnsiTheme="majorBidi" w:cstheme="majorBidi"/>
          <w:szCs w:val="20"/>
          <w:lang w:val="en-GB"/>
        </w:rPr>
        <w:t xml:space="preserve"> for support of US0 of G.993.2 Annex N PSD masks</w:t>
      </w:r>
    </w:p>
    <w:p w14:paraId="4BC4328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gramStart"/>
      <w:r w:rsidRPr="00A94875">
        <w:rPr>
          <w:rFonts w:asciiTheme="majorBidi" w:hAnsiTheme="majorBidi" w:cstheme="majorBidi"/>
          <w:szCs w:val="20"/>
          <w:lang w:val="en-GB"/>
        </w:rPr>
        <w:t>codepoints</w:t>
      </w:r>
      <w:proofErr w:type="gramEnd"/>
      <w:r w:rsidRPr="00A94875">
        <w:rPr>
          <w:rFonts w:asciiTheme="majorBidi" w:hAnsiTheme="majorBidi" w:cstheme="majorBidi"/>
          <w:szCs w:val="20"/>
          <w:lang w:val="en-GB"/>
        </w:rPr>
        <w:t xml:space="preserve"> for support of US0 together with profile 35b of G.993.2 Annex A PSD masks</w:t>
      </w:r>
    </w:p>
    <w:p w14:paraId="40D3339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gramStart"/>
      <w:r w:rsidRPr="00A94875">
        <w:rPr>
          <w:rFonts w:asciiTheme="majorBidi" w:hAnsiTheme="majorBidi" w:cstheme="majorBidi"/>
          <w:szCs w:val="20"/>
          <w:lang w:val="en-GB"/>
        </w:rPr>
        <w:t>codepoints</w:t>
      </w:r>
      <w:proofErr w:type="gramEnd"/>
      <w:r w:rsidRPr="00A94875">
        <w:rPr>
          <w:rFonts w:asciiTheme="majorBidi" w:hAnsiTheme="majorBidi" w:cstheme="majorBidi"/>
          <w:szCs w:val="20"/>
          <w:lang w:val="en-GB"/>
        </w:rPr>
        <w:t xml:space="preserve"> for support of G.9701 extended probesequence length.</w:t>
      </w:r>
    </w:p>
    <w:p w14:paraId="016E294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G.994.1 (2017) Amd.2 “Handshake procedures for digital subscriber line transceivers: Amendment 2” </w:t>
      </w:r>
      <w:r w:rsidRPr="00A94875">
        <w:rPr>
          <w:rFonts w:asciiTheme="majorBidi" w:hAnsiTheme="majorBidi" w:cstheme="majorBidi"/>
          <w:szCs w:val="20"/>
          <w:lang w:val="en-GB"/>
        </w:rPr>
        <w:t>includes:</w:t>
      </w:r>
    </w:p>
    <w:p w14:paraId="7A3350D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 codepoint for the support of G.9701 Annex D.</w:t>
      </w:r>
    </w:p>
    <w:p w14:paraId="1DB0B76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w:t>
      </w:r>
      <w:r>
        <w:rPr>
          <w:rFonts w:asciiTheme="majorBidi" w:hAnsiTheme="majorBidi" w:cstheme="majorBidi"/>
          <w:b/>
          <w:szCs w:val="20"/>
          <w:lang w:val="en-GB"/>
        </w:rPr>
        <w:t>U</w:t>
      </w:r>
      <w:r w:rsidRPr="00A94875">
        <w:rPr>
          <w:rFonts w:asciiTheme="majorBidi" w:hAnsiTheme="majorBidi" w:cstheme="majorBidi"/>
          <w:b/>
          <w:szCs w:val="20"/>
          <w:lang w:val="en-GB"/>
        </w:rPr>
        <w:t xml:space="preserve">-T G.996.2 (revised) “Single-ended line testing for digital subscriber lines (DSL)” </w:t>
      </w:r>
      <w:r w:rsidRPr="00A94875">
        <w:rPr>
          <w:rFonts w:asciiTheme="majorBidi" w:hAnsiTheme="majorBidi" w:cstheme="majorBidi"/>
          <w:szCs w:val="20"/>
          <w:lang w:val="en-GB"/>
        </w:rPr>
        <w:t>(under approval) specifies line testing for xDSL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14:paraId="1F78961A"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2 provides updates to Annexes E and F, defining revised new measurement parameters for a MELT-PMD and a MELT-P.</w:t>
      </w:r>
    </w:p>
    <w:p w14:paraId="7023394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3 updates Annex E defining accuracy values for MELT-PMD and MELT-P (new functionality).</w:t>
      </w:r>
    </w:p>
    <w:p w14:paraId="125A920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4 updates Annex E on the accuracy values for multi-component 4-element resistance and 3-element capacitance parameters in MELT-PMD and on a definition on dealing with the xDSL input capacitance during measurements.</w:t>
      </w:r>
    </w:p>
    <w:p w14:paraId="37A1A41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5 provides updates to Annexes A and B, defining SELT operating in conjunction with ITU-T G.9701 transceivers.</w:t>
      </w:r>
    </w:p>
    <w:p w14:paraId="4F1FBB2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14:paraId="0F5B89A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lastRenderedPageBreak/>
        <w:t>•</w:t>
      </w:r>
      <w:r w:rsidRPr="00A94875">
        <w:rPr>
          <w:rFonts w:asciiTheme="majorBidi" w:hAnsiTheme="majorBidi" w:cstheme="majorBidi"/>
          <w:szCs w:val="20"/>
          <w:lang w:val="en-GB"/>
        </w:rPr>
        <w:tab/>
        <w:t>Corrigendum 1 fixes a number of inconsistencies.</w:t>
      </w:r>
    </w:p>
    <w:p w14:paraId="45BBC3C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G.996.2 (2009) Amd.6 “Single-ended line testing for digital subscriber lines (DSL): Amendment 6”</w:t>
      </w:r>
      <w:r w:rsidRPr="00A94875">
        <w:rPr>
          <w:rFonts w:asciiTheme="majorBidi" w:hAnsiTheme="majorBidi" w:cstheme="majorBidi"/>
          <w:szCs w:val="20"/>
          <w:lang w:val="en-GB"/>
        </w:rPr>
        <w:t xml:space="preserve"> updates Annexes A, E, and F, defining the following new functionalities:</w:t>
      </w:r>
    </w:p>
    <w:p w14:paraId="4F51638E"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1)</w:t>
      </w:r>
      <w:r w:rsidRPr="00A94875">
        <w:rPr>
          <w:rFonts w:asciiTheme="majorBidi" w:hAnsiTheme="majorBidi" w:cstheme="majorBidi"/>
          <w:szCs w:val="20"/>
          <w:lang w:val="en-GB"/>
        </w:rPr>
        <w:tab/>
        <w:t>SELT PMD management</w:t>
      </w:r>
    </w:p>
    <w:p w14:paraId="00653161"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2)</w:t>
      </w:r>
      <w:r w:rsidRPr="00A94875">
        <w:rPr>
          <w:rFonts w:asciiTheme="majorBidi" w:hAnsiTheme="majorBidi" w:cstheme="majorBidi"/>
          <w:szCs w:val="20"/>
          <w:lang w:val="en-GB"/>
        </w:rPr>
        <w:tab/>
        <w:t>MELT PMD management</w:t>
      </w:r>
    </w:p>
    <w:p w14:paraId="45241434"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3)</w:t>
      </w:r>
      <w:r w:rsidRPr="00A94875">
        <w:rPr>
          <w:rFonts w:asciiTheme="majorBidi" w:hAnsiTheme="majorBidi" w:cstheme="majorBidi"/>
          <w:szCs w:val="20"/>
          <w:lang w:val="en-GB"/>
        </w:rPr>
        <w:tab/>
        <w:t>Report of negative capacitance values</w:t>
      </w:r>
    </w:p>
    <w:p w14:paraId="1427F10D"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4)</w:t>
      </w:r>
      <w:r w:rsidRPr="00A94875">
        <w:rPr>
          <w:rFonts w:asciiTheme="majorBidi" w:hAnsiTheme="majorBidi" w:cstheme="majorBidi"/>
          <w:szCs w:val="20"/>
          <w:lang w:val="en-GB"/>
        </w:rPr>
        <w:tab/>
        <w:t>Pair identification tone with timeout</w:t>
      </w:r>
    </w:p>
    <w:p w14:paraId="5B573FA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5)</w:t>
      </w:r>
      <w:r w:rsidRPr="00A94875">
        <w:rPr>
          <w:rFonts w:asciiTheme="majorBidi" w:hAnsiTheme="majorBidi" w:cstheme="majorBidi"/>
          <w:szCs w:val="20"/>
          <w:lang w:val="en-GB"/>
        </w:rPr>
        <w:tab/>
        <w:t>Report of reliability indicator for measurements</w:t>
      </w:r>
    </w:p>
    <w:p w14:paraId="3D3127BB"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6)</w:t>
      </w:r>
      <w:r w:rsidRPr="00A94875">
        <w:rPr>
          <w:rFonts w:asciiTheme="majorBidi" w:hAnsiTheme="majorBidi" w:cstheme="majorBidi"/>
          <w:szCs w:val="20"/>
          <w:lang w:val="en-GB"/>
        </w:rPr>
        <w:tab/>
        <w:t>Report of time stamp</w:t>
      </w:r>
    </w:p>
    <w:p w14:paraId="21CE10C5"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7)</w:t>
      </w:r>
      <w:r w:rsidRPr="00A94875">
        <w:rPr>
          <w:rFonts w:asciiTheme="majorBidi" w:hAnsiTheme="majorBidi" w:cstheme="majorBidi"/>
          <w:szCs w:val="20"/>
          <w:lang w:val="en-GB"/>
        </w:rPr>
        <w:tab/>
        <w:t>Parallelism and polarity of far-end signature detection</w:t>
      </w:r>
    </w:p>
    <w:p w14:paraId="79661541"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8)</w:t>
      </w:r>
      <w:r w:rsidRPr="00A94875">
        <w:rPr>
          <w:rFonts w:asciiTheme="majorBidi" w:hAnsiTheme="majorBidi" w:cstheme="majorBidi"/>
          <w:szCs w:val="20"/>
          <w:lang w:val="en-GB"/>
        </w:rPr>
        <w:tab/>
        <w:t>CPE identification capacitive.</w:t>
      </w:r>
    </w:p>
    <w:p w14:paraId="5C4A479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G.997.1 (revised) “Physical layer management for digital subscriber line transceivers” </w:t>
      </w:r>
      <w:r w:rsidRPr="00A94875">
        <w:rPr>
          <w:rFonts w:asciiTheme="majorBidi" w:hAnsiTheme="majorBidi" w:cstheme="majorBidi"/>
          <w:szCs w:val="20"/>
          <w:lang w:val="en-GB"/>
        </w:rPr>
        <w:t xml:space="preserve">(under approval) specifies the physical layer management for asymmetric digital subscriber line (ADSL) and very </w:t>
      </w:r>
      <w:proofErr w:type="gramStart"/>
      <w:r w:rsidRPr="00A94875">
        <w:rPr>
          <w:rFonts w:asciiTheme="majorBidi" w:hAnsiTheme="majorBidi" w:cstheme="majorBidi"/>
          <w:szCs w:val="20"/>
          <w:lang w:val="en-GB"/>
        </w:rPr>
        <w:t>high speed</w:t>
      </w:r>
      <w:proofErr w:type="gramEnd"/>
      <w:r w:rsidRPr="00A94875">
        <w:rPr>
          <w:rFonts w:asciiTheme="majorBidi" w:hAnsiTheme="majorBidi" w:cstheme="majorBidi"/>
          <w:szCs w:val="20"/>
          <w:lang w:val="en-GB"/>
        </w:rPr>
        <w:t xml:space="preserve">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28A931C4"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DE6F1B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 support for G.993.2 Annex N PSD masks.</w:t>
      </w:r>
    </w:p>
    <w:p w14:paraId="1FD4A8B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 support of MAXEFTR and extend the definition of the parameters “error-free bits counter” and “MINEFTR” to apply to line with retransmission inactive.</w:t>
      </w:r>
    </w:p>
    <w:p w14:paraId="3C59523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G.997.1 (2016) Amd.2 “Physical layer management for digital subscriber line transceivers - Amendment 2”</w:t>
      </w:r>
      <w:r w:rsidRPr="00A94875">
        <w:rPr>
          <w:rFonts w:asciiTheme="majorBidi" w:hAnsiTheme="majorBidi" w:cstheme="majorBidi"/>
          <w:szCs w:val="20"/>
          <w:lang w:val="en-GB"/>
        </w:rPr>
        <w:t xml:space="preserve"> includes:</w:t>
      </w:r>
    </w:p>
    <w:p w14:paraId="49B3EABC"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Addition of loop diagnostic status parameters</w:t>
      </w:r>
    </w:p>
    <w:p w14:paraId="1641179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Freezing of performance and monitoring counters when line is forced in L3 state</w:t>
      </w:r>
    </w:p>
    <w:p w14:paraId="5A321DBF"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 support for Band plan and Limit PSD masks of profile 35b for the North American region (Annex A).</w:t>
      </w:r>
    </w:p>
    <w:p w14:paraId="4FABFCD5"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G.997.2 (revised) “Physical layer management for G.fast transceivers” </w:t>
      </w:r>
      <w:r w:rsidRPr="00A94875">
        <w:rPr>
          <w:rFonts w:asciiTheme="majorBidi" w:hAnsiTheme="majorBidi" w:cstheme="majorBidi"/>
          <w:szCs w:val="20"/>
          <w:lang w:val="en-GB"/>
        </w:rPr>
        <w:t xml:space="preserve">(under approval) specifies the physical layer management for fast access to subscriber terminals (G.fast) transmission systems. It specifies managed objects for configuration, fault, status, </w:t>
      </w:r>
      <w:proofErr w:type="gramStart"/>
      <w:r w:rsidRPr="00A94875">
        <w:rPr>
          <w:rFonts w:asciiTheme="majorBidi" w:hAnsiTheme="majorBidi" w:cstheme="majorBidi"/>
          <w:szCs w:val="20"/>
          <w:lang w:val="en-GB"/>
        </w:rPr>
        <w:t>inventory</w:t>
      </w:r>
      <w:proofErr w:type="gramEnd"/>
      <w:r w:rsidRPr="00A94875">
        <w:rPr>
          <w:rFonts w:asciiTheme="majorBidi" w:hAnsiTheme="majorBidi" w:cstheme="majorBidi"/>
          <w:szCs w:val="20"/>
          <w:lang w:val="en-GB"/>
        </w:rPr>
        <w:t xml:space="preserve"> and performance management. The 2018 edition of this Recommendation integrates ITU-T G.997.2 (2015) and all its amendments and corrigenda. It adds the following new technical material:</w:t>
      </w:r>
    </w:p>
    <w:p w14:paraId="140F460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Correction on loss of power definition for RPF.</w:t>
      </w:r>
    </w:p>
    <w:p w14:paraId="28FF564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Correction to the special value of SNRps</w:t>
      </w:r>
    </w:p>
    <w:p w14:paraId="669E082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Inclusion of managed objects for showtime reconfiguration</w:t>
      </w:r>
    </w:p>
    <w:p w14:paraId="57AAE37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Correction to the range of valid values of LOM_PERSISTENCYds/us</w:t>
      </w:r>
    </w:p>
    <w:p w14:paraId="51E5CB6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Inclusion of managed objects CLASSMASKds/us.</w:t>
      </w:r>
    </w:p>
    <w:p w14:paraId="77BA54C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lastRenderedPageBreak/>
        <w:t xml:space="preserve">ITU-T G.997.2 (2015) Amd.5 “Physical layer management for G.fast transceivers: Amendment 5” </w:t>
      </w:r>
      <w:r w:rsidRPr="00A94875">
        <w:rPr>
          <w:rFonts w:asciiTheme="majorBidi" w:hAnsiTheme="majorBidi" w:cstheme="majorBidi"/>
          <w:szCs w:val="20"/>
          <w:lang w:val="en-GB"/>
        </w:rPr>
        <w:t>includes:</w:t>
      </w:r>
    </w:p>
    <w:p w14:paraId="42539FB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Freezing of performance and monitoring counters when line is forced in L3 state</w:t>
      </w:r>
    </w:p>
    <w:p w14:paraId="1D227976"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 support for G.9701 Annex D (cDTA).</w:t>
      </w:r>
    </w:p>
    <w:p w14:paraId="4E9A58C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G.999.1 (revised) “Interface between the link layer and the physical layer for digital subscriber line (DSL) transceivers”</w:t>
      </w:r>
      <w:r w:rsidRPr="00A94875">
        <w:rPr>
          <w:rFonts w:asciiTheme="majorBidi" w:hAnsiTheme="majorBidi" w:cstheme="majorBidi"/>
          <w:bCs/>
          <w:lang w:eastAsia="ko-KR"/>
        </w:rPr>
        <w:t xml:space="preserve"> (under approval) defines a point-to-point interface between the LINK layer device such as a network processor and a PHY device supporting multiple DSL lines, such as VDSL2, ADSL2, and SHDSL.</w:t>
      </w:r>
    </w:p>
    <w:p w14:paraId="124C3A30" w14:textId="77777777" w:rsidR="003B32AB" w:rsidRPr="00155D7A" w:rsidRDefault="003B32AB" w:rsidP="003B32AB">
      <w:pPr>
        <w:spacing w:after="120"/>
        <w:rPr>
          <w:rFonts w:asciiTheme="majorBidi" w:hAnsiTheme="majorBidi" w:cstheme="majorBidi"/>
          <w:bCs/>
          <w:lang w:val="fr-CH" w:eastAsia="ko-KR"/>
        </w:rPr>
      </w:pPr>
      <w:r w:rsidRPr="00155D7A">
        <w:rPr>
          <w:rFonts w:asciiTheme="majorBidi" w:hAnsiTheme="majorBidi" w:cstheme="majorBidi"/>
          <w:bCs/>
          <w:lang w:val="fr-CH" w:eastAsia="ko-KR"/>
        </w:rPr>
        <w:t>Corrigendum 1 to Recommendation ITU-T G.999.1 (2009) contains:</w:t>
      </w:r>
    </w:p>
    <w:p w14:paraId="1160F4E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Resolution of an inconsistency with TCI bit mapping relative to IEEE 802.1q</w:t>
      </w:r>
    </w:p>
    <w:p w14:paraId="4F9FA42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 xml:space="preserve">Clarification of LENGTH field bit mapping </w:t>
      </w:r>
    </w:p>
    <w:p w14:paraId="3A6A018E"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Editorial corrections and clarifications to various clauses throughout the Recommendation.</w:t>
      </w:r>
    </w:p>
    <w:p w14:paraId="0FCA68B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Amendment 1 to Recommendation ITU-T G.999.1 (2009) provides the following update:</w:t>
      </w:r>
    </w:p>
    <w:p w14:paraId="631F52C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Revision to clause 6.3 with extension for flow control on the PHY-to-LINK data stream over gamma reference point.</w:t>
      </w:r>
    </w:p>
    <w:p w14:paraId="43B7552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Update of clause 7, Table 7-1 Configuration parameters for the encapsulation.</w:t>
      </w:r>
    </w:p>
    <w:p w14:paraId="6B4B00E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This revision adds support for 2.5 Gbit/s and 10 Gbit/s LINK/PHY physical interfaces.</w:t>
      </w:r>
    </w:p>
    <w:p w14:paraId="376F67AE"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proofErr w:type="gramStart"/>
      <w:r w:rsidRPr="00A94875">
        <w:rPr>
          <w:rFonts w:asciiTheme="majorBidi" w:hAnsiTheme="majorBidi" w:cstheme="majorBidi"/>
          <w:b/>
          <w:bCs/>
          <w:szCs w:val="20"/>
          <w:lang w:val="en-GB"/>
        </w:rPr>
        <w:t>ITU-T G.9700 (revised) “Fast access to subscriber terminals (G.fast) – Power spectral density specification”</w:t>
      </w:r>
      <w:r w:rsidRPr="00A94875">
        <w:rPr>
          <w:rFonts w:asciiTheme="majorBidi" w:hAnsiTheme="majorBidi" w:cstheme="majorBidi"/>
          <w:bCs/>
          <w:szCs w:val="20"/>
          <w:lang w:val="en-GB"/>
        </w:rPr>
        <w:t xml:space="preserve"> (under approval) specifies power spectral density (PSD) mask requirements for fast access to subscriber terminals (G.fast), a set of tools to support reduction of the transmit PSD mask, profile control parameters that determine spectral content, including the allowable maximum aggregate transmit power into a specified termination impedance, and a methodology for transmit PSD verification.</w:t>
      </w:r>
      <w:proofErr w:type="gramEnd"/>
      <w:r w:rsidRPr="00A94875">
        <w:rPr>
          <w:rFonts w:asciiTheme="majorBidi" w:hAnsiTheme="majorBidi" w:cstheme="majorBidi"/>
          <w:bCs/>
          <w:szCs w:val="20"/>
          <w:lang w:val="en-GB"/>
        </w:rPr>
        <w:t xml:space="preserve"> It complements the physical layer (PHY) specification in Recommendation ITU T G.9701.</w:t>
      </w:r>
    </w:p>
    <w:p w14:paraId="47E9411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1 provided support for a new 106 MHz profile with +8 dBm maximum aggregate transmit power.</w:t>
      </w:r>
    </w:p>
    <w:p w14:paraId="5A7423F8" w14:textId="77777777" w:rsidR="003B32AB" w:rsidRPr="00A94875" w:rsidRDefault="003B32AB" w:rsidP="003B32AB">
      <w:pPr>
        <w:pStyle w:val="NormalWeb"/>
        <w:spacing w:before="120" w:beforeAutospacing="0" w:after="0" w:afterAutospacing="0"/>
        <w:rPr>
          <w:rFonts w:asciiTheme="majorBidi" w:hAnsiTheme="majorBidi" w:cstheme="majorBidi"/>
          <w:b/>
          <w:bCs/>
          <w:szCs w:val="20"/>
          <w:lang w:val="en-GB"/>
        </w:rPr>
      </w:pPr>
      <w:proofErr w:type="gramStart"/>
      <w:r w:rsidRPr="00A94875">
        <w:rPr>
          <w:rFonts w:asciiTheme="majorBidi" w:hAnsiTheme="majorBidi" w:cstheme="majorBidi"/>
          <w:bCs/>
          <w:szCs w:val="20"/>
          <w:lang w:val="en-GB"/>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roofErr w:type="gramEnd"/>
    </w:p>
    <w:p w14:paraId="3494B58A"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G.9701 (revised) “Fast access to subscriber terminals (G.fast) – Physical layer specification”</w:t>
      </w:r>
      <w:r w:rsidRPr="00A94875">
        <w:rPr>
          <w:rFonts w:asciiTheme="majorBidi" w:hAnsiTheme="majorBidi" w:cstheme="majorBidi"/>
          <w:bCs/>
          <w:szCs w:val="20"/>
          <w:lang w:val="en-GB"/>
        </w:rPr>
        <w:t xml:space="preserve"> (under approval) specifies a gigabit broadband access technology that exploits the existing infrastructure of wire-pairs that </w:t>
      </w:r>
      <w:proofErr w:type="gramStart"/>
      <w:r w:rsidRPr="00A94875">
        <w:rPr>
          <w:rFonts w:asciiTheme="majorBidi" w:hAnsiTheme="majorBidi" w:cstheme="majorBidi"/>
          <w:bCs/>
          <w:szCs w:val="20"/>
          <w:lang w:val="en-GB"/>
        </w:rPr>
        <w:t>were originally deployed</w:t>
      </w:r>
      <w:proofErr w:type="gramEnd"/>
      <w:r w:rsidRPr="00A94875">
        <w:rPr>
          <w:rFonts w:asciiTheme="majorBidi" w:hAnsiTheme="majorBidi" w:cstheme="majorBidi"/>
          <w:bCs/>
          <w:szCs w:val="20"/>
          <w:lang w:val="en-GB"/>
        </w:rPr>
        <w:t xml:space="preserve"> for plain old telephone service (POTS) services. Equipment implementing this Recommendation </w:t>
      </w:r>
      <w:proofErr w:type="gramStart"/>
      <w:r w:rsidRPr="00A94875">
        <w:rPr>
          <w:rFonts w:asciiTheme="majorBidi" w:hAnsiTheme="majorBidi" w:cstheme="majorBidi"/>
          <w:bCs/>
          <w:szCs w:val="20"/>
          <w:lang w:val="en-GB"/>
        </w:rPr>
        <w:t>can be deployed</w:t>
      </w:r>
      <w:proofErr w:type="gramEnd"/>
      <w:r w:rsidRPr="00A94875">
        <w:rPr>
          <w:rFonts w:asciiTheme="majorBidi" w:hAnsiTheme="majorBidi" w:cstheme="majorBidi"/>
          <w:bCs/>
          <w:szCs w:val="20"/>
          <w:lang w:val="en-GB"/>
        </w:rPr>
        <w:t xml:space="preserve">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14:paraId="48053DC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1 (2015) provides clarifications and corrects various errors in the Recommendation, and in particular includes a change to the definition of DFT output samples.</w:t>
      </w:r>
    </w:p>
    <w:p w14:paraId="0C20FD67"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lastRenderedPageBreak/>
        <w:t>Corrigendum 2 (2016) increases the number of RFI bands from 16 to 32, and provides clarifying text on alignment between TIGA and SRA/FRA procedures, tone repetition, unavailable seconds, and byte order in SOC and eoc messages.</w:t>
      </w:r>
    </w:p>
    <w:p w14:paraId="68A60BA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1 (2016) specifies test parameters, some of which had previously been left for further study, and specifies support for low power operation.</w:t>
      </w:r>
    </w:p>
    <w:p w14:paraId="451A824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14:paraId="2503B701"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3 (2017) adds several clarifications, and fixes various errors and inconsistencies.</w:t>
      </w:r>
    </w:p>
    <w:p w14:paraId="1A906E7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14:paraId="31EAA18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4 supports new functionality for impulse noise monitoring (INM), robust management channel recovery (RMCR), and performance monitoring parameter ANDEFTR.</w:t>
      </w:r>
    </w:p>
    <w:p w14:paraId="11445B4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5 adds several clarifications, and fixes various errors and inconsistencies.</w:t>
      </w:r>
    </w:p>
    <w:p w14:paraId="066F012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5 adds support for coordinated dynamic time assignment (cDTA).</w:t>
      </w:r>
    </w:p>
    <w:p w14:paraId="6B8BCB6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6 includes:</w:t>
      </w:r>
    </w:p>
    <w:p w14:paraId="6D07C6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w:t>
      </w:r>
      <w:r w:rsidRPr="00A94875">
        <w:rPr>
          <w:rFonts w:asciiTheme="majorBidi" w:hAnsiTheme="majorBidi" w:cstheme="majorBidi"/>
          <w:bCs/>
          <w:szCs w:val="20"/>
          <w:lang w:val="en-GB"/>
        </w:rPr>
        <w:tab/>
        <w:t>Correction of Figure 10-25 in §10.4.4 “Cyclic extension and windowing” according to Q4-180423-C29 (Issue 10.71).</w:t>
      </w:r>
    </w:p>
    <w:p w14:paraId="5E45B611"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2.</w:t>
      </w:r>
      <w:r w:rsidRPr="00A94875">
        <w:rPr>
          <w:rFonts w:asciiTheme="majorBidi" w:hAnsiTheme="majorBidi" w:cstheme="majorBidi"/>
          <w:bCs/>
          <w:szCs w:val="20"/>
          <w:lang w:val="en-GB"/>
        </w:rPr>
        <w:tab/>
        <w:t>Revision of the text on §11.2.2.5 “OLR commands and responses” according to Q4-180423-C31R1 (Issue 10.73). Further revised according to WD1018 (Issue 10.79).</w:t>
      </w:r>
    </w:p>
    <w:p w14:paraId="33667FD2"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3.</w:t>
      </w:r>
      <w:r w:rsidRPr="00A94875">
        <w:rPr>
          <w:rFonts w:asciiTheme="majorBidi" w:hAnsiTheme="majorBidi" w:cstheme="majorBidi"/>
          <w:bCs/>
          <w:szCs w:val="20"/>
          <w:lang w:val="en-GB"/>
        </w:rPr>
        <w:tab/>
        <w:t>Revision of the text of §13.2.1.1 “SRA procedures” according to Q4-180423-C20R1 (Issue 10.70). Further revised according to Q4-180423-C32R1 (Issue 10.73). Further revised according to WD1018 (Issue 10.79).</w:t>
      </w:r>
    </w:p>
    <w:p w14:paraId="7E42665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4.</w:t>
      </w:r>
      <w:r w:rsidRPr="00A94875">
        <w:rPr>
          <w:rFonts w:asciiTheme="majorBidi" w:hAnsiTheme="majorBidi" w:cstheme="majorBidi"/>
          <w:bCs/>
          <w:szCs w:val="20"/>
          <w:lang w:val="en-GB"/>
        </w:rPr>
        <w:tab/>
        <w:t>Revision of the text of §13.3.1.1.1.1 “FRA time window (fra-time)” according to Q4-180423-C30R1 (Issue 10.72).</w:t>
      </w:r>
    </w:p>
    <w:p w14:paraId="545DFE23"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5.</w:t>
      </w:r>
      <w:r w:rsidRPr="00A94875">
        <w:rPr>
          <w:rFonts w:asciiTheme="majorBidi" w:hAnsiTheme="majorBidi" w:cstheme="majorBidi"/>
          <w:bCs/>
          <w:szCs w:val="20"/>
          <w:lang w:val="en-GB"/>
        </w:rPr>
        <w:tab/>
        <w:t>Replacing BRMC with NRMC in §9.5 according to Q4-180625-C34 (Issue 10.75).</w:t>
      </w:r>
    </w:p>
    <w:p w14:paraId="34EB646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6.</w:t>
      </w:r>
      <w:r w:rsidRPr="00A94875">
        <w:rPr>
          <w:rFonts w:asciiTheme="majorBidi" w:hAnsiTheme="majorBidi" w:cstheme="majorBidi"/>
          <w:bCs/>
          <w:szCs w:val="20"/>
          <w:lang w:val="en-GB"/>
        </w:rPr>
        <w:tab/>
        <w:t>Revision of the text of §11.3.1.1 “Near end anomalies” according to Q4-180827-C02R1 (Issue 10.74).</w:t>
      </w:r>
    </w:p>
    <w:p w14:paraId="4577752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7.</w:t>
      </w:r>
      <w:r w:rsidRPr="00A94875">
        <w:rPr>
          <w:rFonts w:asciiTheme="majorBidi" w:hAnsiTheme="majorBidi" w:cstheme="majorBidi"/>
          <w:bCs/>
          <w:szCs w:val="20"/>
          <w:lang w:val="en-GB"/>
        </w:rPr>
        <w:tab/>
        <w:t>Revision of the text of §11.4.4.7.3.3 “INM inter arrival time histogram primitives” according to Q4-180827-C17R1 (Issue 10.78.1).</w:t>
      </w:r>
    </w:p>
    <w:p w14:paraId="12D6E3D7"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8.</w:t>
      </w:r>
      <w:r w:rsidRPr="00A94875">
        <w:rPr>
          <w:rFonts w:asciiTheme="majorBidi" w:hAnsiTheme="majorBidi" w:cstheme="majorBidi"/>
          <w:bCs/>
          <w:szCs w:val="20"/>
          <w:lang w:val="en-GB"/>
        </w:rPr>
        <w:tab/>
        <w:t>Revision of the text of §11.4.1.2.2 “Signal-to-noise ratio per subcarrier (SNR-ps)” according to Q4-180827-WD02R1 (Issue 10.76.1).</w:t>
      </w:r>
    </w:p>
    <w:p w14:paraId="58EF743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9.</w:t>
      </w:r>
      <w:r w:rsidRPr="00A94875">
        <w:rPr>
          <w:rFonts w:asciiTheme="majorBidi" w:hAnsiTheme="majorBidi" w:cstheme="majorBidi"/>
          <w:bCs/>
          <w:szCs w:val="20"/>
          <w:lang w:val="en-GB"/>
        </w:rPr>
        <w:tab/>
        <w:t>Revision of the text of §12.3.4.2.1 “O-MSG 1”, §12.3.4.2.2 “R-MSG 2”, and §11.2.2.11 “Management counter read commands responses” according to WD1015 (Issue 10.77.1.1).</w:t>
      </w:r>
    </w:p>
    <w:p w14:paraId="7549416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6 includes:</w:t>
      </w:r>
    </w:p>
    <w:p w14:paraId="165F292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w:t>
      </w:r>
      <w:r w:rsidRPr="00A94875">
        <w:rPr>
          <w:rFonts w:asciiTheme="majorBidi" w:hAnsiTheme="majorBidi" w:cstheme="majorBidi"/>
          <w:bCs/>
          <w:szCs w:val="20"/>
          <w:lang w:val="en-GB"/>
        </w:rPr>
        <w:tab/>
        <w:t>Addition of new §5.6 “Reconfiguration of the line” according to Q4-180423-WD04R1 (Issue 20.32.76). Further revised according to Q4-180625-C02R1 (Issue 20.32.82). Further revised according to Q4-180827-WD03R2 (Issue 20.32.88).</w:t>
      </w:r>
    </w:p>
    <w:p w14:paraId="5BBB3029"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2.</w:t>
      </w:r>
      <w:r w:rsidRPr="00A94875">
        <w:rPr>
          <w:rFonts w:asciiTheme="majorBidi" w:hAnsiTheme="majorBidi" w:cstheme="majorBidi"/>
          <w:bCs/>
          <w:szCs w:val="20"/>
          <w:lang w:val="en-GB"/>
        </w:rPr>
        <w:tab/>
        <w:t>Revision of the text of §10.2.2.1 “Sync symbol encoder” according to Q4-180827-C26R1 (Issue 20.57.2). Further revised according to C1040R1 (Issue 20.57.3).</w:t>
      </w:r>
    </w:p>
    <w:p w14:paraId="3733710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lastRenderedPageBreak/>
        <w:t>3.</w:t>
      </w:r>
      <w:r w:rsidRPr="00A94875">
        <w:rPr>
          <w:rFonts w:asciiTheme="majorBidi" w:hAnsiTheme="majorBidi" w:cstheme="majorBidi"/>
          <w:bCs/>
          <w:szCs w:val="20"/>
          <w:lang w:val="en-GB"/>
        </w:rPr>
        <w:tab/>
        <w:t>Revision of the text of §10.3.2.5.2 “Time identification control parameters” according to Q4-180827-C26R1 (Issue 20.57.2). Further revised according to C1040R1 (Issue 20.57.3).</w:t>
      </w:r>
    </w:p>
    <w:p w14:paraId="4B850FF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4.</w:t>
      </w:r>
      <w:r w:rsidRPr="00A94875">
        <w:rPr>
          <w:rFonts w:asciiTheme="majorBidi" w:hAnsiTheme="majorBidi" w:cstheme="majorBidi"/>
          <w:bCs/>
          <w:szCs w:val="20"/>
          <w:lang w:val="en-GB"/>
        </w:rPr>
        <w:tab/>
        <w:t>Revision of the text of §11.1.1 “γ_MGMT interface” according to Q4-180423-WD04R1 (Issue 20.32.76).</w:t>
      </w:r>
    </w:p>
    <w:p w14:paraId="4AC21D1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5.</w:t>
      </w:r>
      <w:r w:rsidRPr="00A94875">
        <w:rPr>
          <w:rFonts w:asciiTheme="majorBidi" w:hAnsiTheme="majorBidi" w:cstheme="majorBidi"/>
          <w:bCs/>
          <w:szCs w:val="20"/>
          <w:lang w:val="en-GB"/>
        </w:rPr>
        <w:tab/>
        <w:t>Revision of the text of §11.3.1.1 “Near-end anomalies” according to Q4-180423-WD04R1 (Issue 20.32.76). Further revised according to Q4-180625-C02R1 (Issue 20.32.82). Moved to Annex R.5 according to Q4-180827-WD03R2 (Issue 20.32.88).</w:t>
      </w:r>
    </w:p>
    <w:p w14:paraId="13E2FB9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6.</w:t>
      </w:r>
      <w:r w:rsidRPr="00A94875">
        <w:rPr>
          <w:rFonts w:asciiTheme="majorBidi" w:hAnsiTheme="majorBidi" w:cstheme="majorBidi"/>
          <w:bCs/>
          <w:szCs w:val="20"/>
          <w:lang w:val="en-GB"/>
        </w:rPr>
        <w:tab/>
        <w:t>Revision of the text of §12.3.2 “G.994.1 handshake phase” according to Q4-180827-C26R1 (Issue 20.57.2). Further revised according to C1040R1 (Issue 20.57.3). Further revised according to WD0964 (Issue 20.62.1).</w:t>
      </w:r>
    </w:p>
    <w:p w14:paraId="05D96EA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7.</w:t>
      </w:r>
      <w:r w:rsidRPr="00A94875">
        <w:rPr>
          <w:rFonts w:asciiTheme="majorBidi" w:hAnsiTheme="majorBidi" w:cstheme="majorBidi"/>
          <w:bCs/>
          <w:szCs w:val="20"/>
          <w:lang w:val="en-GB"/>
        </w:rPr>
        <w:tab/>
        <w:t>Revision of the text of §12.3.3.2.1 “O-SIGNATURE” according to C1040R1 (Issue 20.57.3).</w:t>
      </w:r>
    </w:p>
    <w:p w14:paraId="0175A32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8.</w:t>
      </w:r>
      <w:r w:rsidRPr="00A94875">
        <w:rPr>
          <w:rFonts w:asciiTheme="majorBidi" w:hAnsiTheme="majorBidi" w:cstheme="majorBidi"/>
          <w:bCs/>
          <w:szCs w:val="20"/>
          <w:lang w:val="en-GB"/>
        </w:rPr>
        <w:tab/>
        <w:t>Revision of the text of §12.3.4.2.1 “O-MSG 1”and §12.3.4.2.2 “R-MSG 2” (Issue 20.32.90).</w:t>
      </w:r>
    </w:p>
    <w:p w14:paraId="1900DD65"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9.</w:t>
      </w:r>
      <w:r w:rsidRPr="00A94875">
        <w:rPr>
          <w:rFonts w:asciiTheme="majorBidi" w:hAnsiTheme="majorBidi" w:cstheme="majorBidi"/>
          <w:bCs/>
          <w:szCs w:val="20"/>
          <w:lang w:val="en-GB"/>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513A3772"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10.</w:t>
      </w:r>
      <w:r w:rsidRPr="00A94875">
        <w:rPr>
          <w:rFonts w:asciiTheme="majorBidi" w:hAnsiTheme="majorBidi" w:cstheme="majorBidi"/>
          <w:bCs/>
          <w:szCs w:val="20"/>
          <w:lang w:val="en-GB"/>
        </w:rPr>
        <w:tab/>
        <w:t>Addition of text for new Annex V “Targeted generalized vectoring (TGV)” according to Q4-180423-C28R1 (Issue 20.49.9.1). Revised according to Q4-180827-C25R1 (Issue 20.49.13). Revised according to WD1042 (Issue 20.49.14).</w:t>
      </w:r>
    </w:p>
    <w:p w14:paraId="416DE7E5"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Changed DTA to iDTA throughout as appropriate (AMD.5 LC comment resolution).</w:t>
      </w:r>
    </w:p>
    <w:p w14:paraId="30660553"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G.9701 (2014) Amd.5 “Fast access to subscriber terminals (G.fast) - Physical layer specification: Amendment 5”</w:t>
      </w:r>
      <w:r w:rsidRPr="00A94875">
        <w:rPr>
          <w:rFonts w:asciiTheme="majorBidi" w:hAnsiTheme="majorBidi" w:cstheme="majorBidi"/>
          <w:bCs/>
          <w:szCs w:val="20"/>
          <w:lang w:val="en-GB"/>
        </w:rPr>
        <w:t xml:space="preserve"> supports coordinated dynamic time assignment (cDTA).</w:t>
      </w:r>
    </w:p>
    <w:p w14:paraId="54E6FF6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 Suppl.62 (02/2018) “Gfast certification"</w:t>
      </w:r>
      <w:r w:rsidRPr="00A94875">
        <w:rPr>
          <w:rFonts w:asciiTheme="majorBidi" w:hAnsiTheme="majorBidi" w:cstheme="majorBidi"/>
          <w:bCs/>
          <w:szCs w:val="20"/>
          <w:lang w:val="en-GB"/>
        </w:rPr>
        <w:t xml:space="preserve"> provides information regarding the Gfast certification of equipment implementing ITU-T Recommendations G.9700 and G.9701.</w:t>
      </w:r>
    </w:p>
    <w:p w14:paraId="3CE1838A"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Technical Paper NT software upgrade for one image</w:t>
      </w:r>
      <w:r w:rsidRPr="00A94875">
        <w:rPr>
          <w:rFonts w:asciiTheme="majorBidi" w:hAnsiTheme="majorBidi" w:cstheme="majorBidi"/>
          <w:bCs/>
          <w:szCs w:val="20"/>
          <w:lang w:val="en-GB"/>
        </w:rPr>
        <w:t xml:space="preserve">: Annex S of [ITU-T G.9701] provides means to upgrade the software of an NT where the executable software </w:t>
      </w:r>
      <w:proofErr w:type="gramStart"/>
      <w:r w:rsidRPr="00A94875">
        <w:rPr>
          <w:rFonts w:asciiTheme="majorBidi" w:hAnsiTheme="majorBidi" w:cstheme="majorBidi"/>
          <w:bCs/>
          <w:szCs w:val="20"/>
          <w:lang w:val="en-GB"/>
        </w:rPr>
        <w:t>can be upgraded</w:t>
      </w:r>
      <w:proofErr w:type="gramEnd"/>
      <w:r w:rsidRPr="00A94875">
        <w:rPr>
          <w:rFonts w:asciiTheme="majorBidi" w:hAnsiTheme="majorBidi" w:cstheme="majorBidi"/>
          <w:bCs/>
          <w:szCs w:val="20"/>
          <w:lang w:val="en-GB"/>
        </w:rPr>
        <w:t xml:space="preserve"> with a single vendor-specific image file. This software management process requires the support of two </w:t>
      </w:r>
      <w:proofErr w:type="gramStart"/>
      <w:r w:rsidRPr="00A94875">
        <w:rPr>
          <w:rFonts w:asciiTheme="majorBidi" w:hAnsiTheme="majorBidi" w:cstheme="majorBidi"/>
          <w:bCs/>
          <w:szCs w:val="20"/>
          <w:lang w:val="en-GB"/>
        </w:rPr>
        <w:t>images,</w:t>
      </w:r>
      <w:proofErr w:type="gramEnd"/>
      <w:r w:rsidRPr="00A94875">
        <w:rPr>
          <w:rFonts w:asciiTheme="majorBidi" w:hAnsiTheme="majorBidi" w:cstheme="majorBidi"/>
          <w:bCs/>
          <w:szCs w:val="20"/>
          <w:lang w:val="en-GB"/>
        </w:rPr>
        <w:t xml:space="preserve"> however, not all NTs have the capability to store two images. This Technical Paper describes a software upgrade procedure for NTs with one image only.</w:t>
      </w:r>
    </w:p>
    <w:p w14:paraId="32800C8A" w14:textId="77777777" w:rsidR="003B32AB" w:rsidRPr="00A94875" w:rsidRDefault="003B32AB" w:rsidP="003B32AB">
      <w:pPr>
        <w:spacing w:before="240"/>
        <w:rPr>
          <w:b/>
          <w:sz w:val="22"/>
          <w:szCs w:val="22"/>
        </w:rPr>
      </w:pPr>
      <w:bookmarkStart w:id="275" w:name="_Toc480527892"/>
      <w:r w:rsidRPr="00A94875">
        <w:rPr>
          <w:b/>
          <w:sz w:val="22"/>
          <w:szCs w:val="22"/>
        </w:rPr>
        <w:t>I.1.2</w:t>
      </w:r>
      <w:r w:rsidRPr="00A94875">
        <w:rPr>
          <w:b/>
          <w:sz w:val="22"/>
          <w:szCs w:val="22"/>
        </w:rPr>
        <w:tab/>
        <w:t>Ultra-high-speed access including NG-PON2</w:t>
      </w:r>
      <w:bookmarkEnd w:id="275"/>
    </w:p>
    <w:p w14:paraId="756DE7F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G.984.5 (2014) Amd.1 “Gigabit-capable passive optical networks (G-PON): Enhancement band - Amendment 1”</w:t>
      </w:r>
      <w:r w:rsidRPr="00A94875">
        <w:rPr>
          <w:rFonts w:asciiTheme="majorBidi" w:hAnsiTheme="majorBidi" w:cstheme="majorBidi"/>
          <w:bCs/>
        </w:rPr>
        <w:t xml:space="preserve"> includes:</w:t>
      </w:r>
    </w:p>
    <w:p w14:paraId="1467F247"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1) New Appendix IV describing the examples for a Multi-PON Module</w:t>
      </w:r>
    </w:p>
    <w:p w14:paraId="72C64CA8"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2) Method for CEx isolation and directivity calculations in multi-interferer scenarios in Appendix III and application case in Appendix I</w:t>
      </w:r>
    </w:p>
    <w:p w14:paraId="3C77B21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3) New Appendix V providing analysis on coexistence method using a 2</w:t>
      </w:r>
      <w:proofErr w:type="gramStart"/>
      <w:r w:rsidRPr="00A94875">
        <w:rPr>
          <w:rFonts w:asciiTheme="majorBidi" w:hAnsiTheme="majorBidi" w:cstheme="majorBidi"/>
          <w:bCs/>
        </w:rPr>
        <w:t>:N</w:t>
      </w:r>
      <w:proofErr w:type="gramEnd"/>
      <w:r w:rsidRPr="00A94875">
        <w:rPr>
          <w:rFonts w:asciiTheme="majorBidi" w:hAnsiTheme="majorBidi" w:cstheme="majorBidi"/>
          <w:bCs/>
        </w:rPr>
        <w:t xml:space="preserve"> splitter.</w:t>
      </w:r>
    </w:p>
    <w:p w14:paraId="56F79C94" w14:textId="77777777" w:rsidR="003B32AB" w:rsidRPr="00A94875" w:rsidRDefault="003B32AB" w:rsidP="003B32AB">
      <w:r w:rsidRPr="00A94875">
        <w:rPr>
          <w:b/>
        </w:rPr>
        <w:t>ITU-T G.988 Amd.1 “ONU management and control interface (OMCI) specification: Amendment 1”</w:t>
      </w:r>
      <w:r w:rsidRPr="00A94875">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timezone offset and ONU manufacturing data.</w:t>
      </w:r>
    </w:p>
    <w:p w14:paraId="743EC882" w14:textId="77777777" w:rsidR="003B32AB" w:rsidRPr="00A94875" w:rsidRDefault="003B32AB" w:rsidP="003B32AB">
      <w:r w:rsidRPr="00A94875">
        <w:rPr>
          <w:b/>
        </w:rPr>
        <w:lastRenderedPageBreak/>
        <w:t>ITU-T G.989.2 (revised) “40-Gigabit-capable passive optical networks 2 (NG PON2): Physical media dependent (PMD) layer specification”</w:t>
      </w:r>
      <w:r w:rsidRPr="00A94875">
        <w:t xml:space="preserve"> (under approval) specifies the physical media dependent (PMD) layer requirements for a passive optical network (PON) system with a nominal aggregate capacity of 40 Gbit/s in the downstream direction and 10 Gbit/s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279F0EE6" w14:textId="77777777" w:rsidR="003B32AB" w:rsidRPr="00A94875" w:rsidRDefault="003B32AB" w:rsidP="003B32AB">
      <w:r w:rsidRPr="00A94875">
        <w:t xml:space="preserve">This Recommendation specifies the characteristics of hybrid time and wavelength division multiplexing (TWDM) channels, referred to as TWDM PON. The characteristics of optional, tunable point-to-point wavelength overlay channels are also </w:t>
      </w:r>
      <w:proofErr w:type="gramStart"/>
      <w:r w:rsidRPr="00A94875">
        <w:t>described,</w:t>
      </w:r>
      <w:proofErr w:type="gramEnd"/>
      <w:r w:rsidRPr="00A94875">
        <w:t xml:space="preserve"> referred to as point-to-point wavelength division multiplexing (PtP WDM) PON.</w:t>
      </w:r>
    </w:p>
    <w:p w14:paraId="1C0B6825" w14:textId="77777777" w:rsidR="003B32AB" w:rsidRPr="00A94875" w:rsidRDefault="003B32AB" w:rsidP="003B32AB">
      <w:r w:rsidRPr="00A94875">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7CA71E11" w14:textId="77777777" w:rsidR="003B32AB" w:rsidRPr="00A94875" w:rsidRDefault="003B32AB" w:rsidP="003B32AB">
      <w:r w:rsidRPr="00A94875">
        <w:t>Edition 2.0 continues the maintenance and evolution of physical media dependent (PMD) layer specification.</w:t>
      </w:r>
    </w:p>
    <w:p w14:paraId="32396F15" w14:textId="77777777" w:rsidR="003B32AB" w:rsidRPr="00A94875" w:rsidRDefault="003B32AB" w:rsidP="003B32AB">
      <w:r w:rsidRPr="00A94875">
        <w:rPr>
          <w:b/>
        </w:rPr>
        <w:t>ITU-T G.989.3 Amd2 “40-Gigabit-capable passive optical networks (NG PON2): Transmission Convergence (TC) layer specification”</w:t>
      </w:r>
      <w:r w:rsidRPr="00A94875">
        <w:t xml:space="preserve"> (under approval) continues the evolution of NG-PON2 Transmission Convergence (TC) layer, introducing TWDM channel bonding, making additions and changes to the PLOAM channel, providing DBA enhancements, and performing regular specification maintenance.</w:t>
      </w:r>
    </w:p>
    <w:p w14:paraId="60674AAC" w14:textId="77777777" w:rsidR="003B32AB" w:rsidRPr="00A94875" w:rsidRDefault="003B32AB" w:rsidP="003B32AB">
      <w:r w:rsidRPr="00A94875">
        <w:rPr>
          <w:b/>
        </w:rPr>
        <w:t>ITU-T G.9807.2 Amd1 “10 Gigabit-capable symmetrical passive optical networks (XG(S)-PON): Reach extension”</w:t>
      </w:r>
      <w:r w:rsidRPr="00A94875">
        <w:t xml:space="preserve"> (under approval)</w:t>
      </w:r>
      <w:r w:rsidRPr="00A94875">
        <w:rPr>
          <w:b/>
        </w:rPr>
        <w:t xml:space="preserve"> </w:t>
      </w:r>
      <w:r w:rsidRPr="00A94875">
        <w:t>contains necessary additional details and clarifications for the Recommendation, and provides regular specification maintenance.</w:t>
      </w:r>
    </w:p>
    <w:p w14:paraId="75A8A4B6" w14:textId="77777777" w:rsidR="003B32AB" w:rsidRPr="00A94875" w:rsidRDefault="003B32AB" w:rsidP="003B32AB">
      <w:r w:rsidRPr="00A94875">
        <w:rPr>
          <w:b/>
        </w:rPr>
        <w:t>ITU-T G Suppl. 63 (02/2018) “ITU-T G.989.3 TC layer operating in ITU T G.987.3 or ITU-T G.9807.1 TC layer mode”</w:t>
      </w:r>
      <w:r w:rsidRPr="00A94875">
        <w:t xml:space="preserve"> describes how a flexible G.989.3 TC layer implementation can be used to support a G.987.3 or G.9807.1 PON.</w:t>
      </w:r>
    </w:p>
    <w:p w14:paraId="61C3E076" w14:textId="77777777" w:rsidR="003B32AB" w:rsidRPr="00A94875" w:rsidRDefault="003B32AB" w:rsidP="003B32AB">
      <w:r w:rsidRPr="00A94875">
        <w:t xml:space="preserve">G.989.3 </w:t>
      </w:r>
      <w:proofErr w:type="gramStart"/>
      <w:r w:rsidRPr="00A94875">
        <w:t>was largely derived</w:t>
      </w:r>
      <w:proofErr w:type="gramEnd"/>
      <w:r w:rsidRPr="00A94875">
        <w:t xml:space="preserve"> from G.987.3. The G.9807.1 Appendix C TC layer specification </w:t>
      </w:r>
      <w:proofErr w:type="gramStart"/>
      <w:r w:rsidRPr="00A94875">
        <w:t>was derived</w:t>
      </w:r>
      <w:proofErr w:type="gramEnd"/>
      <w:r w:rsidRPr="00A94875">
        <w:t xml:space="preserve"> from G.989.3, with G.9807.1 Appendix II describing this derivation in detail. G.9807.1 also specifies that a G.9807.1 compliant OLT will interwork with a G.987.3 compliant ONT.</w:t>
      </w:r>
    </w:p>
    <w:p w14:paraId="328702EF" w14:textId="77777777" w:rsidR="003B32AB" w:rsidRPr="00A94875" w:rsidRDefault="003B32AB" w:rsidP="003B32AB">
      <w:r w:rsidRPr="00A94875">
        <w:t>It should be evident from this chain of derivation that a flexible TC layer implementation that supports G.989.3 can support G.9807.1 or G.987.3 operation. This supplement describes the implementation flexibility required.</w:t>
      </w:r>
    </w:p>
    <w:p w14:paraId="00884C2A" w14:textId="77777777" w:rsidR="003B32AB" w:rsidRPr="00A94875" w:rsidRDefault="003B32AB" w:rsidP="003B32AB">
      <w:r w:rsidRPr="00A94875">
        <w:rPr>
          <w:b/>
        </w:rPr>
        <w:t>ITU-T G Suppl. 64 (02/2018) “PON transmission technologies above 10 Gb/s per wavelength”</w:t>
      </w:r>
      <w:r w:rsidRPr="00A94875">
        <w:t xml:space="preserve">: The line rate per wavelength in the existing PON systems, such as GPON, XG(S)-PON, TWDM-PON, is up to 10Gb/s. For High-speed PON, line rate per wavelength will exceed </w:t>
      </w:r>
      <w:proofErr w:type="gramStart"/>
      <w:r w:rsidRPr="00A94875">
        <w:t>10Gb/</w:t>
      </w:r>
      <w:proofErr w:type="gramEnd"/>
      <w:r w:rsidRPr="00A94875">
        <w:t>s, in order to provide higher bandwidth capability for growing services’ requirement.</w:t>
      </w:r>
    </w:p>
    <w:p w14:paraId="07DEA9B9" w14:textId="77777777" w:rsidR="003B32AB" w:rsidRPr="00A94875" w:rsidRDefault="003B32AB" w:rsidP="003B32AB">
      <w:r w:rsidRPr="00A94875">
        <w:t xml:space="preserve">This supplement describes characteristics of optical transmission above 10 </w:t>
      </w:r>
      <w:proofErr w:type="gramStart"/>
      <w:r w:rsidRPr="00A94875">
        <w:t>Gb/</w:t>
      </w:r>
      <w:proofErr w:type="gramEnd"/>
      <w:r w:rsidRPr="00A94875">
        <w:t xml:space="preserve">s per wavelength between the optical line termination (OLT) and the optical network unit (ONU). It reviews challenges of transmission above 10 </w:t>
      </w:r>
      <w:proofErr w:type="gramStart"/>
      <w:r w:rsidRPr="00A94875">
        <w:t>Gb/</w:t>
      </w:r>
      <w:proofErr w:type="gramEnd"/>
      <w:r w:rsidRPr="00A94875">
        <w:t xml:space="preserve">s in optical access. A set of assumed system requirements </w:t>
      </w:r>
      <w:proofErr w:type="gramStart"/>
      <w:r w:rsidRPr="00A94875">
        <w:t>is developed</w:t>
      </w:r>
      <w:proofErr w:type="gramEnd"/>
      <w:r w:rsidRPr="00A94875">
        <w:t xml:space="preserve"> as a basis for discussion of candidate technologies. Some aspects considered include signal modulation selection, optical transmitter design, optical receiver design, and wavelength dependency. Coexistence with other optical access systems </w:t>
      </w:r>
      <w:proofErr w:type="gramStart"/>
      <w:r w:rsidRPr="00A94875">
        <w:t>is also investigated</w:t>
      </w:r>
      <w:proofErr w:type="gramEnd"/>
      <w:r w:rsidRPr="00A94875">
        <w:t xml:space="preserve"> as a key factor of wavelength planning.</w:t>
      </w:r>
    </w:p>
    <w:p w14:paraId="0421D61C" w14:textId="77777777" w:rsidR="003B32AB" w:rsidRPr="00A94875" w:rsidRDefault="003B32AB" w:rsidP="003B32AB">
      <w:pPr>
        <w:spacing w:before="240"/>
        <w:rPr>
          <w:b/>
          <w:sz w:val="22"/>
          <w:szCs w:val="22"/>
        </w:rPr>
      </w:pPr>
      <w:r w:rsidRPr="00A94875">
        <w:rPr>
          <w:b/>
          <w:sz w:val="22"/>
          <w:szCs w:val="22"/>
        </w:rPr>
        <w:lastRenderedPageBreak/>
        <w:t>I.1.3</w:t>
      </w:r>
      <w:r w:rsidRPr="00A94875">
        <w:rPr>
          <w:b/>
          <w:sz w:val="22"/>
          <w:szCs w:val="22"/>
        </w:rPr>
        <w:tab/>
        <w:t>Optical fibres</w:t>
      </w:r>
      <w:bookmarkEnd w:id="273"/>
    </w:p>
    <w:p w14:paraId="211F9C1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G.650.1 (revised) “Definitions and test methods for linear, deterministic attributes of single-mode fibre and cable”</w:t>
      </w:r>
      <w:r w:rsidRPr="00A94875">
        <w:rPr>
          <w:rFonts w:asciiTheme="majorBidi" w:hAnsiTheme="majorBidi" w:cstheme="majorBidi"/>
        </w:rPr>
        <w:t xml:space="preserve">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w:t>
      </w:r>
      <w:proofErr w:type="gramStart"/>
      <w:r w:rsidRPr="00A94875">
        <w:rPr>
          <w:rFonts w:asciiTheme="majorBidi" w:hAnsiTheme="majorBidi" w:cstheme="majorBidi"/>
        </w:rPr>
        <w:t>may also be used</w:t>
      </w:r>
      <w:proofErr w:type="gramEnd"/>
      <w:r w:rsidRPr="00A94875">
        <w:rPr>
          <w:rFonts w:asciiTheme="majorBidi" w:hAnsiTheme="majorBidi" w:cstheme="majorBidi"/>
        </w:rPr>
        <w:t xml:space="preserve"> to characterize discrete optical components.</w:t>
      </w:r>
    </w:p>
    <w:p w14:paraId="54B505F9"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G.651.1 (revised) “Characteristics of a 50/125 µm multimode graded index optical fibre cable for the optical access network”</w:t>
      </w:r>
      <w:r w:rsidRPr="00A94875">
        <w:rPr>
          <w:rFonts w:asciiTheme="majorBidi" w:hAnsiTheme="majorBidi" w:cstheme="majorBidi"/>
          <w:szCs w:val="20"/>
          <w:lang w:val="en-GB"/>
        </w:rPr>
        <w:t xml:space="preserve"> (under approval) recommends a quartz multimode fibre to be used for the access network in specific environments. These environments are multi-tenant building sub-networks in which broadband services have to </w:t>
      </w:r>
      <w:proofErr w:type="gramStart"/>
      <w:r w:rsidRPr="00A94875">
        <w:rPr>
          <w:rFonts w:asciiTheme="majorBidi" w:hAnsiTheme="majorBidi" w:cstheme="majorBidi"/>
          <w:szCs w:val="20"/>
          <w:lang w:val="en-GB"/>
        </w:rPr>
        <w:t>be delivered</w:t>
      </w:r>
      <w:proofErr w:type="gramEnd"/>
      <w:r w:rsidRPr="00A94875">
        <w:rPr>
          <w:rFonts w:asciiTheme="majorBidi" w:hAnsiTheme="majorBidi" w:cstheme="majorBidi"/>
          <w:szCs w:val="20"/>
          <w:lang w:val="en-GB"/>
        </w:rPr>
        <w:t xml:space="preserve"> to individual apartments. The recommended multimode fibre supports the cost-effective use of </w:t>
      </w:r>
      <w:proofErr w:type="gramStart"/>
      <w:r w:rsidRPr="00A94875">
        <w:rPr>
          <w:rFonts w:asciiTheme="majorBidi" w:hAnsiTheme="majorBidi" w:cstheme="majorBidi"/>
          <w:szCs w:val="20"/>
          <w:lang w:val="en-GB"/>
        </w:rPr>
        <w:t>1</w:t>
      </w:r>
      <w:proofErr w:type="gramEnd"/>
      <w:r w:rsidRPr="00A94875">
        <w:rPr>
          <w:rFonts w:asciiTheme="majorBidi" w:hAnsiTheme="majorBidi" w:cstheme="majorBidi"/>
          <w:szCs w:val="20"/>
          <w:lang w:val="en-GB"/>
        </w:rPr>
        <w:t xml:space="preserve"> Gbit/s Ethernet systems over link lengths up to 550 m, usually based upon the use of 850 nm transceivers.</w:t>
      </w:r>
    </w:p>
    <w:p w14:paraId="3FB3063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The recommended fibre type is an improved version of the well-known 50/125 µm multimode graded-index fibre as recommended in ITU-T Recommendation G.651. Its cost effective use is very common in datacom systems applied in enterprise buildings throughout the world for quite a number of years.</w:t>
      </w:r>
    </w:p>
    <w:p w14:paraId="5201A180"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G.672 (revised) “Characteristics of multi-degree reconfigurable optical add/drop multiplexers”</w:t>
      </w:r>
      <w:r w:rsidRPr="00A94875">
        <w:rPr>
          <w:rFonts w:asciiTheme="majorBidi" w:hAnsiTheme="majorBidi" w:cstheme="majorBidi"/>
          <w:szCs w:val="20"/>
          <w:lang w:val="en-GB"/>
        </w:rPr>
        <w:t xml:space="preserve"> (under approval) deals with the classification and the characteristics of multi-degree reconfigurable optical add/drop multiplexers (MD-ROADMs), including two-degree ROADMs. Some examples of MD-ROADM configurations and applications </w:t>
      </w:r>
      <w:proofErr w:type="gramStart"/>
      <w:r w:rsidRPr="00A94875">
        <w:rPr>
          <w:rFonts w:asciiTheme="majorBidi" w:hAnsiTheme="majorBidi" w:cstheme="majorBidi"/>
          <w:szCs w:val="20"/>
          <w:lang w:val="en-GB"/>
        </w:rPr>
        <w:t>are given</w:t>
      </w:r>
      <w:proofErr w:type="gramEnd"/>
      <w:r w:rsidRPr="00A94875">
        <w:rPr>
          <w:rFonts w:asciiTheme="majorBidi" w:hAnsiTheme="majorBidi" w:cstheme="majorBidi"/>
          <w:szCs w:val="20"/>
          <w:lang w:val="en-GB"/>
        </w:rPr>
        <w:t xml:space="preserve"> in the appendices.</w:t>
      </w:r>
    </w:p>
    <w:p w14:paraId="239D969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Photonic cross connects (PXC), which are a special category of MD-ROADM characterized by a unique switching matrix (see Figures 7-4, 7-5, 7-6, 7-7, 9-2, I.4 of [ITU-T G.680]) are outside the scope of this Recommendation.</w:t>
      </w:r>
    </w:p>
    <w:p w14:paraId="6FA64E8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G.698.2 (revised) “Amplified multichannel dense wavelength division multiplexing applications with single channel optical interfaces”</w:t>
      </w:r>
      <w:r w:rsidRPr="00A94875">
        <w:rPr>
          <w:rFonts w:asciiTheme="majorBidi" w:hAnsiTheme="majorBidi" w:cstheme="majorBidi"/>
          <w:szCs w:val="20"/>
          <w:lang w:val="en-GB"/>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demultiplexer in the DWDM system. This Recommendation uses a </w:t>
      </w:r>
      <w:proofErr w:type="gramStart"/>
      <w:r w:rsidRPr="00A94875">
        <w:rPr>
          <w:rFonts w:asciiTheme="majorBidi" w:hAnsiTheme="majorBidi" w:cstheme="majorBidi"/>
          <w:szCs w:val="20"/>
          <w:lang w:val="en-GB"/>
        </w:rPr>
        <w:t>methodology which</w:t>
      </w:r>
      <w:proofErr w:type="gramEnd"/>
      <w:r w:rsidRPr="00A94875">
        <w:rPr>
          <w:rFonts w:asciiTheme="majorBidi" w:hAnsiTheme="majorBidi" w:cstheme="majorBidi"/>
          <w:szCs w:val="20"/>
          <w:lang w:val="en-GB"/>
        </w:rPr>
        <w:t xml:space="preserve"> does not specify the details of the optical link, e.g., the maximum fibre length, explicitly. This version of this Recommendation includes unidirectional DWDM applications at 100 Gbit/s with 100 GHz and 50 GHz channel frequency spacing.</w:t>
      </w:r>
    </w:p>
    <w:p w14:paraId="5A1F9C09"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G.9803 “Radio over fiber systems”</w:t>
      </w:r>
      <w:r w:rsidRPr="00A94875">
        <w:rPr>
          <w:rFonts w:asciiTheme="majorBidi" w:hAnsiTheme="majorBidi" w:cstheme="majorBidi"/>
          <w:szCs w:val="20"/>
          <w:lang w:val="en-GB"/>
        </w:rPr>
        <w:t xml:space="preserve"> (under approval) defines fundamental architecture and requirements for radio over fiber system and specifies radio over fiber transmission systems suitable for access network and radiolocation applications.</w:t>
      </w:r>
    </w:p>
    <w:p w14:paraId="09B1DD04"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L.108 “Optical fibre cable elements for microduct blowing-installation application”</w:t>
      </w:r>
      <w:r w:rsidRPr="00A94875">
        <w:rPr>
          <w:rFonts w:asciiTheme="majorBidi" w:hAnsiTheme="majorBidi" w:cstheme="majorBidi"/>
          <w:szCs w:val="20"/>
          <w:lang w:val="en-GB"/>
        </w:rPr>
        <w:t xml:space="preserve"> describes characteristics, construction and test methods for microduct fibre units and microduct cables to </w:t>
      </w:r>
      <w:proofErr w:type="gramStart"/>
      <w:r w:rsidRPr="00A94875">
        <w:rPr>
          <w:rFonts w:asciiTheme="majorBidi" w:hAnsiTheme="majorBidi" w:cstheme="majorBidi"/>
          <w:szCs w:val="20"/>
          <w:lang w:val="en-GB"/>
        </w:rPr>
        <w:t>be used</w:t>
      </w:r>
      <w:proofErr w:type="gramEnd"/>
      <w:r w:rsidRPr="00A94875">
        <w:rPr>
          <w:rFonts w:asciiTheme="majorBidi" w:hAnsiTheme="majorBidi" w:cstheme="majorBidi"/>
          <w:szCs w:val="20"/>
          <w:lang w:val="en-GB"/>
        </w:rPr>
        <w:t xml:space="preserve"> with the blowing installation technique. The cable characteristics required for a cable to perform appropriately </w:t>
      </w:r>
      <w:proofErr w:type="gramStart"/>
      <w:r w:rsidRPr="00A94875">
        <w:rPr>
          <w:rFonts w:asciiTheme="majorBidi" w:hAnsiTheme="majorBidi" w:cstheme="majorBidi"/>
          <w:szCs w:val="20"/>
          <w:lang w:val="en-GB"/>
        </w:rPr>
        <w:t>are described</w:t>
      </w:r>
      <w:proofErr w:type="gramEnd"/>
      <w:r w:rsidRPr="00A94875">
        <w:rPr>
          <w:rFonts w:asciiTheme="majorBidi" w:hAnsiTheme="majorBidi" w:cstheme="majorBidi"/>
          <w:szCs w:val="20"/>
          <w:lang w:val="en-GB"/>
        </w:rPr>
        <w:t xml:space="preserve">. </w:t>
      </w:r>
      <w:proofErr w:type="gramStart"/>
      <w:r w:rsidRPr="00A94875">
        <w:rPr>
          <w:rFonts w:asciiTheme="majorBidi" w:hAnsiTheme="majorBidi" w:cstheme="majorBidi"/>
          <w:szCs w:val="20"/>
          <w:lang w:val="en-GB"/>
        </w:rPr>
        <w:t>Also</w:t>
      </w:r>
      <w:proofErr w:type="gramEnd"/>
      <w:r w:rsidRPr="00A94875">
        <w:rPr>
          <w:rFonts w:asciiTheme="majorBidi" w:hAnsiTheme="majorBidi" w:cstheme="majorBidi"/>
          <w:szCs w:val="20"/>
          <w:lang w:val="en-GB"/>
        </w:rPr>
        <w:t xml:space="preserve">, a method is described for determining whether or not the cable has the required characteristics. The required conditions may differ according to the installation environment; detailed test conditions </w:t>
      </w:r>
      <w:proofErr w:type="gramStart"/>
      <w:r w:rsidRPr="00A94875">
        <w:rPr>
          <w:rFonts w:asciiTheme="majorBidi" w:hAnsiTheme="majorBidi" w:cstheme="majorBidi"/>
          <w:szCs w:val="20"/>
          <w:lang w:val="en-GB"/>
        </w:rPr>
        <w:t>must be agreed</w:t>
      </w:r>
      <w:proofErr w:type="gramEnd"/>
      <w:r w:rsidRPr="00A94875">
        <w:rPr>
          <w:rFonts w:asciiTheme="majorBidi" w:hAnsiTheme="majorBidi" w:cstheme="majorBidi"/>
          <w:szCs w:val="20"/>
          <w:lang w:val="en-GB"/>
        </w:rPr>
        <w:t xml:space="preserve"> upon between a user and a manufacturer for the environment in which a cable is to be used.</w:t>
      </w:r>
    </w:p>
    <w:p w14:paraId="07788A78" w14:textId="77777777" w:rsidR="003B32AB" w:rsidRPr="00A94875" w:rsidRDefault="003B32AB" w:rsidP="003B32AB">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 other L-series Recommendations.</w:t>
      </w:r>
    </w:p>
    <w:p w14:paraId="3664D0EC"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lastRenderedPageBreak/>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w:t>
      </w:r>
      <w:proofErr w:type="gramStart"/>
      <w:r w:rsidRPr="00A94875">
        <w:rPr>
          <w:rFonts w:asciiTheme="majorBidi" w:hAnsiTheme="majorBidi" w:cstheme="majorBidi"/>
          <w:lang w:val="en-GB"/>
        </w:rPr>
        <w:t>can be used</w:t>
      </w:r>
      <w:proofErr w:type="gramEnd"/>
      <w:r w:rsidRPr="00A94875">
        <w:rPr>
          <w:rFonts w:asciiTheme="majorBidi" w:hAnsiTheme="majorBidi" w:cstheme="majorBidi"/>
          <w:lang w:val="en-GB"/>
        </w:rPr>
        <w:t xml:space="preserve"> to install microcables into microducts, or largercables into ducts or conduits. Installing conditions and equipment required should be different in each case.</w:t>
      </w:r>
    </w:p>
    <w:p w14:paraId="54AFB178"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proofErr w:type="gramStart"/>
      <w:r w:rsidRPr="00A94875">
        <w:rPr>
          <w:rFonts w:asciiTheme="majorBidi" w:hAnsiTheme="majorBidi" w:cstheme="majorBidi"/>
          <w:b/>
          <w:lang w:val="en-GB"/>
        </w:rPr>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roofErr w:type="gramEnd"/>
    </w:p>
    <w:p w14:paraId="73382A3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lang w:val="en-GB"/>
        </w:rPr>
        <w:t xml:space="preserve">This Recommendation also describes how to mitigate the considerable risks and/or issues to which the optical fibre cable </w:t>
      </w:r>
      <w:proofErr w:type="gramStart"/>
      <w:r w:rsidRPr="00A94875">
        <w:rPr>
          <w:rFonts w:asciiTheme="majorBidi" w:hAnsiTheme="majorBidi" w:cstheme="majorBidi"/>
          <w:lang w:val="en-GB"/>
        </w:rPr>
        <w:t>may be exposed</w:t>
      </w:r>
      <w:proofErr w:type="gramEnd"/>
      <w:r w:rsidRPr="00A94875">
        <w:rPr>
          <w:rFonts w:asciiTheme="majorBidi" w:hAnsiTheme="majorBidi" w:cstheme="majorBidi"/>
          <w:lang w:val="en-GB"/>
        </w:rPr>
        <w:t xml:space="preserve"> when infrastructures are minimal during installation, maintenance and operation procedures.</w:t>
      </w:r>
    </w:p>
    <w:p w14:paraId="4CB8C08C"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w:t>
      </w:r>
      <w:proofErr w:type="gramStart"/>
      <w:r w:rsidRPr="00A94875">
        <w:rPr>
          <w:rFonts w:asciiTheme="majorBidi" w:hAnsiTheme="majorBidi" w:cstheme="majorBidi"/>
          <w:bCs/>
          <w:lang w:val="en-GB"/>
        </w:rPr>
        <w:t>of passive node elements and to describe the general features, characterization and performance specifications for node elements with automated ID tag detection,</w:t>
      </w:r>
      <w:proofErr w:type="gramEnd"/>
      <w:r w:rsidRPr="00A94875">
        <w:rPr>
          <w:rFonts w:asciiTheme="majorBidi" w:hAnsiTheme="majorBidi" w:cstheme="majorBidi"/>
          <w:bCs/>
          <w:lang w:val="en-GB"/>
        </w:rPr>
        <w:t xml:space="preserve"> including the environmental conditions, functional requirements, performance requirements, and mechanical and electrical/optical interface requirements. A product characterization checklist is included in the Appendix III.</w:t>
      </w:r>
    </w:p>
    <w:p w14:paraId="66BF8DCE"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14:paraId="5DAFF498"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14:paraId="4247667A"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 xml:space="preserve">provides guidance regarding the </w:t>
      </w:r>
      <w:proofErr w:type="gramStart"/>
      <w:r w:rsidRPr="00A94875">
        <w:rPr>
          <w:rFonts w:asciiTheme="majorBidi" w:hAnsiTheme="majorBidi" w:cstheme="majorBidi"/>
          <w:bCs/>
          <w:lang w:val="en-GB"/>
        </w:rPr>
        <w:t>long term</w:t>
      </w:r>
      <w:proofErr w:type="gramEnd"/>
      <w:r w:rsidRPr="00A94875">
        <w:rPr>
          <w:rFonts w:asciiTheme="majorBidi" w:hAnsiTheme="majorBidi" w:cstheme="majorBidi"/>
          <w:bCs/>
          <w:lang w:val="en-GB"/>
        </w:rPr>
        <w:t xml:space="preserve"> reliability of cabled optical fibres. This Supplement uses currently accepted models combined with current experience to describe items that can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 performance of an optical fibre over time. The document describes ''optical reliability'' for fibres, ''mechanical reliability'' for fibres and describes how optical cables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these properties.</w:t>
      </w:r>
    </w:p>
    <w:p w14:paraId="48332871"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14:paraId="6DA353E2"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describes design considerations for repeatered, repeaterless and optically amplified systems supporting SDH and OTN signals in optical submarine cable systems.</w:t>
      </w:r>
    </w:p>
    <w:p w14:paraId="2DD60754"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14:paraId="06E3EFAB"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 xml:space="preserve">An introduction to each category with more than one Recommendation outlines the </w:t>
      </w:r>
      <w:proofErr w:type="gramStart"/>
      <w:r w:rsidRPr="00A94875">
        <w:rPr>
          <w:rFonts w:asciiTheme="majorBidi" w:hAnsiTheme="majorBidi" w:cstheme="majorBidi"/>
          <w:bCs/>
          <w:lang w:val="en-GB"/>
        </w:rPr>
        <w:t>subjects which</w:t>
      </w:r>
      <w:proofErr w:type="gramEnd"/>
      <w:r w:rsidRPr="00A94875">
        <w:rPr>
          <w:rFonts w:asciiTheme="majorBidi" w:hAnsiTheme="majorBidi" w:cstheme="majorBidi"/>
          <w:bCs/>
          <w:lang w:val="en-GB"/>
        </w:rPr>
        <w:t xml:space="preserve"> are common to the category.</w:t>
      </w:r>
    </w:p>
    <w:p w14:paraId="716E37E7"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14:paraId="2C638F62"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02805CD3"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1175C34D" w14:textId="77777777" w:rsidR="003B32AB" w:rsidRPr="00A94875" w:rsidRDefault="003B32AB" w:rsidP="003B32AB">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14:paraId="6DD220BD" w14:textId="77777777" w:rsidR="003B32AB" w:rsidRPr="00A94875" w:rsidRDefault="003B32AB" w:rsidP="003B32AB">
      <w:pPr>
        <w:rPr>
          <w:b/>
          <w:sz w:val="22"/>
          <w:szCs w:val="22"/>
        </w:rPr>
      </w:pPr>
      <w:bookmarkStart w:id="276" w:name="_Toc480527891"/>
      <w:r w:rsidRPr="00A94875">
        <w:rPr>
          <w:b/>
          <w:sz w:val="22"/>
          <w:szCs w:val="22"/>
        </w:rPr>
        <w:t>I.1.4</w:t>
      </w:r>
      <w:r w:rsidRPr="00A94875">
        <w:rPr>
          <w:b/>
          <w:sz w:val="22"/>
          <w:szCs w:val="22"/>
        </w:rPr>
        <w:tab/>
        <w:t>Ultra-high-speed optical core network: OTN beyond 100G</w:t>
      </w:r>
      <w:bookmarkEnd w:id="276"/>
    </w:p>
    <w:p w14:paraId="313ED33E"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G.709/Y.1331 (2016) Amd.2 “Interfaces for the optical transport network (OTN): Amendment 2”</w:t>
      </w:r>
      <w:r w:rsidRPr="00A94875">
        <w:rPr>
          <w:rFonts w:asciiTheme="majorBidi" w:hAnsiTheme="majorBidi" w:cstheme="majorBidi"/>
          <w:bCs/>
        </w:rPr>
        <w:t xml:space="preserve"> adds the OTN mappings for the IEEE 802.3 200Gbit/s and 400Gbit/s Ethernet client signals, adds the eSSM message type for the OSMC, specifies OTSiG-O transport over the FlexO-LR SOTUm interface, and adds reference to two FEC options for OTUk signals. It also provides clarification regarding interfaces where OTUk and OTUCn Section Monitoring overhead is optional, and elaborates on OCh and OTiSA maintenance signals.</w:t>
      </w:r>
    </w:p>
    <w:p w14:paraId="523AD09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G.709.1/Y.1331.1 (revised) “Flexible OTN short-reach interfaces”</w:t>
      </w:r>
      <w:r w:rsidRPr="00A94875">
        <w:rPr>
          <w:rFonts w:asciiTheme="majorBidi" w:hAnsiTheme="majorBidi" w:cstheme="majorBidi"/>
          <w:bCs/>
        </w:rPr>
        <w:t xml:space="preserve"> specifies a set of flexible interoperable short-reach OTN interface over which an OTUCn (n ≥ 1) </w:t>
      </w:r>
      <w:proofErr w:type="gramStart"/>
      <w:r w:rsidRPr="00A94875">
        <w:rPr>
          <w:rFonts w:asciiTheme="majorBidi" w:hAnsiTheme="majorBidi" w:cstheme="majorBidi"/>
          <w:bCs/>
        </w:rPr>
        <w:t>is transferred</w:t>
      </w:r>
      <w:proofErr w:type="gramEnd"/>
      <w:r w:rsidRPr="00A94875">
        <w:rPr>
          <w:rFonts w:asciiTheme="majorBidi" w:hAnsiTheme="majorBidi" w:cstheme="majorBidi"/>
          <w:bCs/>
        </w:rPr>
        <w:t xml:space="preserve">, using bonded interfaces. The Recommendation defines the frame structure for FlexO using the </w:t>
      </w:r>
      <w:proofErr w:type="gramStart"/>
      <w:r w:rsidRPr="00A94875">
        <w:rPr>
          <w:rFonts w:asciiTheme="majorBidi" w:hAnsiTheme="majorBidi" w:cstheme="majorBidi"/>
          <w:bCs/>
        </w:rPr>
        <w:t>RS(</w:t>
      </w:r>
      <w:proofErr w:type="gramEnd"/>
      <w:r w:rsidRPr="00A94875">
        <w:rPr>
          <w:rFonts w:asciiTheme="majorBidi" w:hAnsiTheme="majorBidi" w:cstheme="majorBidi"/>
          <w:bCs/>
        </w:rPr>
        <w:t>544,514) FEC.</w:t>
      </w:r>
    </w:p>
    <w:p w14:paraId="3561B76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G.709.1/Y.1331.1 Amd.1 “Flexible OTN short-reach interfaces: Amendment 1”</w:t>
      </w:r>
      <w:r w:rsidRPr="00A94875">
        <w:rPr>
          <w:rFonts w:asciiTheme="majorBidi" w:hAnsiTheme="majorBidi" w:cstheme="majorBidi"/>
          <w:bCs/>
        </w:rPr>
        <w:t xml:space="preserve"> (under approval) contains editorial changes to the second edition (06/2018) of ITU-T Recommendation G.709.1/Y.1331.1, related to the:</w:t>
      </w:r>
    </w:p>
    <w:p w14:paraId="00C5D63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FEC specification enhancements to align to G.709 format</w:t>
      </w:r>
    </w:p>
    <w:p w14:paraId="40B8CA9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PHY terminology to FlexO instances</w:t>
      </w:r>
    </w:p>
    <w:p w14:paraId="0C41A47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typos in clause 11.6.1</w:t>
      </w:r>
    </w:p>
    <w:p w14:paraId="4D4EDD0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 in AM value of Table 9-2.</w:t>
      </w:r>
    </w:p>
    <w:p w14:paraId="6581CB5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G.709.2 “OTU4 long-reach interface”</w:t>
      </w:r>
      <w:r w:rsidRPr="00A94875">
        <w:rPr>
          <w:rFonts w:asciiTheme="majorBidi" w:hAnsiTheme="majorBidi" w:cstheme="majorBidi"/>
          <w:bCs/>
        </w:rPr>
        <w:t xml:space="preserve"> </w:t>
      </w:r>
      <w:r w:rsidRPr="00A94875">
        <w:t xml:space="preserve">specifies functions for an OTU4 long reach interconnect application. The text of this recommendation </w:t>
      </w:r>
      <w:proofErr w:type="gramStart"/>
      <w:r w:rsidRPr="00A94875">
        <w:t>is intentionally kept</w:t>
      </w:r>
      <w:proofErr w:type="gramEnd"/>
      <w:r w:rsidRPr="00A94875">
        <w:t xml:space="preserve"> separate from the main G.709 text and from other adjoints like the G.709.1 text.</w:t>
      </w:r>
    </w:p>
    <w:p w14:paraId="3F6320EC" w14:textId="77777777" w:rsidR="003B32AB" w:rsidRPr="00A94875" w:rsidRDefault="003B32AB" w:rsidP="003B32AB">
      <w:r w:rsidRPr="00A94875">
        <w:rPr>
          <w:rFonts w:asciiTheme="majorBidi" w:hAnsiTheme="majorBidi" w:cstheme="majorBidi"/>
          <w:b/>
          <w:bCs/>
        </w:rPr>
        <w:t>ITU-T G.709.3 “Flexible OTN long-reach interface”</w:t>
      </w:r>
      <w:r w:rsidRPr="00A94875">
        <w:rPr>
          <w:rFonts w:asciiTheme="majorBidi" w:hAnsiTheme="majorBidi" w:cstheme="majorBidi"/>
          <w:bCs/>
        </w:rPr>
        <w:t xml:space="preserve"> </w:t>
      </w:r>
      <w:r w:rsidRPr="00A94875">
        <w:t xml:space="preserve">defines flexible OTN (FlexO) long-reach interfaces that support bonding (i.e. grouping) of multiple of these interfaces such that an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w:t>
      </w:r>
      <w:proofErr w:type="gramStart"/>
      <w:r w:rsidRPr="00A94875">
        <w:t>are specified</w:t>
      </w:r>
      <w:proofErr w:type="gramEnd"/>
      <w:r w:rsidRPr="00A94875">
        <w:t xml:space="preserve"> in G.709.1.</w:t>
      </w:r>
    </w:p>
    <w:p w14:paraId="58F2E6C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G.709/Y.1331 (2016) Amd.3 “Interfaces for the optical transport network (OTN): Amendment 3”</w:t>
      </w:r>
      <w:r w:rsidRPr="00A94875">
        <w:rPr>
          <w:rFonts w:asciiTheme="majorBidi" w:hAnsiTheme="majorBidi" w:cstheme="majorBidi"/>
          <w:bCs/>
        </w:rPr>
        <w:t xml:space="preserve"> (under approval) </w:t>
      </w:r>
      <w:r w:rsidRPr="00A94875">
        <w:t>contains extensions to the fifth edition (06/2016) of ITU-T Recommendation G.709/Y.1331, related to the:</w:t>
      </w:r>
    </w:p>
    <w:p w14:paraId="798C79D1" w14:textId="77777777" w:rsidR="003B32AB" w:rsidRPr="00A94875" w:rsidRDefault="003B32AB" w:rsidP="003B32AB">
      <w:pPr>
        <w:numPr>
          <w:ilvl w:val="0"/>
          <w:numId w:val="26"/>
        </w:numPr>
        <w:tabs>
          <w:tab w:val="left" w:pos="794"/>
          <w:tab w:val="left" w:pos="1191"/>
          <w:tab w:val="left" w:pos="1588"/>
          <w:tab w:val="left" w:pos="1985"/>
        </w:tabs>
      </w:pPr>
      <w:r w:rsidRPr="00A94875">
        <w:lastRenderedPageBreak/>
        <w:t>Addition of interconnection of Ethernet UNI and FlexE Group UNI in two administrative domains (7.5, Appendix XIV).</w:t>
      </w:r>
    </w:p>
    <w:p w14:paraId="1D2A4E19" w14:textId="77777777" w:rsidR="003B32AB" w:rsidRPr="00A94875" w:rsidRDefault="003B32AB" w:rsidP="003B32AB">
      <w:pPr>
        <w:numPr>
          <w:ilvl w:val="0"/>
          <w:numId w:val="26"/>
        </w:numPr>
        <w:tabs>
          <w:tab w:val="left" w:pos="794"/>
          <w:tab w:val="left" w:pos="1191"/>
          <w:tab w:val="left" w:pos="1588"/>
          <w:tab w:val="left" w:pos="1985"/>
        </w:tabs>
      </w:pPr>
      <w:r w:rsidRPr="00A94875">
        <w:t>Addition of 50GBASE-R mapping into ODUflex (2, 17.13.3, Annex J).</w:t>
      </w:r>
    </w:p>
    <w:p w14:paraId="7B02E2A1"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Update of FlexE terminology and calendar slot descriptions with FlexE 2.0 IA (2, 17.11, </w:t>
      </w:r>
      <w:proofErr w:type="gramStart"/>
      <w:r w:rsidRPr="00A94875">
        <w:t>17.12</w:t>
      </w:r>
      <w:proofErr w:type="gramEnd"/>
      <w:r w:rsidRPr="00A94875">
        <w:t>).</w:t>
      </w:r>
    </w:p>
    <w:p w14:paraId="38BD3A9E"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 xml:space="preserve">Redefine the OP overhead bit in bit 1 of JC6 as a RES overhead </w:t>
      </w:r>
      <w:r w:rsidRPr="00A94875">
        <w:t>(20.4, 20.4.3.1, 20.5).</w:t>
      </w:r>
    </w:p>
    <w:p w14:paraId="4E7E8A40" w14:textId="77777777" w:rsidR="003B32AB" w:rsidRPr="00A94875" w:rsidRDefault="003B32AB" w:rsidP="003B32AB">
      <w:pPr>
        <w:numPr>
          <w:ilvl w:val="0"/>
          <w:numId w:val="26"/>
        </w:numPr>
        <w:tabs>
          <w:tab w:val="left" w:pos="794"/>
          <w:tab w:val="left" w:pos="1191"/>
          <w:tab w:val="left" w:pos="1588"/>
          <w:tab w:val="left" w:pos="1985"/>
        </w:tabs>
      </w:pPr>
      <w:r w:rsidRPr="00A94875">
        <w:t>Replacement of references to IEEE Std. 802.3-2015, 802.3by and 802.3bs by a reference to IEEE Std 802.3-2018 (2, 17.13.1, 17.13.2, Annex J, Annex K).</w:t>
      </w:r>
    </w:p>
    <w:p w14:paraId="678AA4B2"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Addition of ODU4 and </w:t>
      </w:r>
      <w:proofErr w:type="gramStart"/>
      <w:r w:rsidRPr="00A94875">
        <w:t>ODUflex(</w:t>
      </w:r>
      <w:proofErr w:type="gramEnd"/>
      <w:r w:rsidRPr="00A94875">
        <w:t>25G/50G/200G/400GBASE-R) rows to Table 7-9 (7.4).</w:t>
      </w:r>
    </w:p>
    <w:p w14:paraId="4CDD2CA3"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Addition of 25G, 50G, 200G and 400GBASE-R rows</w:t>
      </w:r>
      <w:r w:rsidRPr="00A94875">
        <w:t xml:space="preserve"> to </w:t>
      </w:r>
      <w:r w:rsidRPr="00A94875">
        <w:rPr>
          <w:lang w:eastAsia="en-US"/>
        </w:rPr>
        <w:t>Table IX.1 (Appendix IX).</w:t>
      </w:r>
    </w:p>
    <w:p w14:paraId="5C06393D"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 xml:space="preserve">Addition of </w:t>
      </w:r>
      <w:proofErr w:type="gramStart"/>
      <w:r w:rsidRPr="00A94875">
        <w:t>ODUflex(</w:t>
      </w:r>
      <w:proofErr w:type="gramEnd"/>
      <w:r w:rsidRPr="00A94875">
        <w:t xml:space="preserve">25G/50GGBASE-R, FC-1600/3200) </w:t>
      </w:r>
      <w:r w:rsidRPr="00A94875">
        <w:rPr>
          <w:lang w:eastAsia="en-US"/>
        </w:rPr>
        <w:t>rows</w:t>
      </w:r>
      <w:r w:rsidRPr="00A94875">
        <w:t xml:space="preserve"> to </w:t>
      </w:r>
      <w:r w:rsidRPr="00A94875">
        <w:rPr>
          <w:lang w:eastAsia="en-US"/>
        </w:rPr>
        <w:t>Table X.1 (Appendix X).</w:t>
      </w:r>
    </w:p>
    <w:p w14:paraId="75CEB2B2"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G.798 (2017) Amd.1 “Characteristics of optical transport network hierarchy equipment functional blocks”</w:t>
      </w:r>
      <w:r w:rsidRPr="00A94875">
        <w:rPr>
          <w:rFonts w:asciiTheme="majorBidi" w:hAnsiTheme="majorBidi" w:cstheme="majorBidi"/>
          <w:bCs/>
        </w:rPr>
        <w:t xml:space="preserve"> contains text modifications and additions:</w:t>
      </w:r>
    </w:p>
    <w:p w14:paraId="15AA5931"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ODUkP to Ethernet MAC layer and Ethernet Reconciliation sublayer adaptation functions from ITU-T G.8021 to ITU-T G.798.</w:t>
      </w:r>
    </w:p>
    <w:p w14:paraId="432C7076"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ODUkP to Ethernet Coding sublayer for 25 Gb/s, 200 Gb/s and 400 Gb/s Ethernet signals.</w:t>
      </w:r>
    </w:p>
    <w:p w14:paraId="1AE33988"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14:paraId="1A22E801"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14:paraId="482B40C9" w14:textId="77777777" w:rsidR="003B32AB" w:rsidRPr="00A94875" w:rsidRDefault="003B32AB" w:rsidP="003B32AB">
      <w:pPr>
        <w:rPr>
          <w:lang w:eastAsia="en-US"/>
        </w:rPr>
      </w:pPr>
      <w:bookmarkStart w:id="277" w:name="_Toc480527887"/>
      <w:r w:rsidRPr="00A94875">
        <w:rPr>
          <w:b/>
          <w:lang w:eastAsia="en-US"/>
        </w:rPr>
        <w:t xml:space="preserve">ITU-T G Suppl. 58 (02/2018 - revised) “Optical transport network module framer interfaces” </w:t>
      </w:r>
      <w:r w:rsidRPr="00A94875">
        <w:rPr>
          <w:lang w:eastAsia="en-US"/>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14:paraId="3E61315E" w14:textId="77777777" w:rsidR="003B32AB" w:rsidRPr="00A94875" w:rsidRDefault="003B32AB" w:rsidP="003B32AB">
      <w:pPr>
        <w:rPr>
          <w:lang w:eastAsia="en-US"/>
        </w:rPr>
      </w:pPr>
      <w:r w:rsidRPr="00A94875">
        <w:rPr>
          <w:lang w:eastAsia="en-US"/>
        </w:rPr>
        <w:t xml:space="preserve">Only the structure of the 11G, 28G or 56G physical lanes of the different OTN module framer interface (MFI) examples </w:t>
      </w:r>
      <w:proofErr w:type="gramStart"/>
      <w:r w:rsidRPr="00A94875">
        <w:rPr>
          <w:lang w:eastAsia="en-US"/>
        </w:rPr>
        <w:t>is provided</w:t>
      </w:r>
      <w:proofErr w:type="gramEnd"/>
      <w:r w:rsidRPr="00A94875">
        <w:rPr>
          <w:lang w:eastAsia="en-US"/>
        </w:rPr>
        <w:t xml:space="preserve"> in this Supplement. For their electrical characteristics, the OIF-CEI IA specifications </w:t>
      </w:r>
      <w:proofErr w:type="gramStart"/>
      <w:r w:rsidRPr="00A94875">
        <w:rPr>
          <w:lang w:eastAsia="en-US"/>
        </w:rPr>
        <w:t>can be used</w:t>
      </w:r>
      <w:proofErr w:type="gramEnd"/>
      <w:r w:rsidRPr="00A94875">
        <w:rPr>
          <w:lang w:eastAsia="en-US"/>
        </w:rPr>
        <w:t>. This Supplement relates to Recommendation ITU-T G.709/Y.1331.</w:t>
      </w:r>
    </w:p>
    <w:p w14:paraId="31AFAE87" w14:textId="77777777" w:rsidR="003B32AB" w:rsidRPr="00A94875" w:rsidRDefault="003B32AB" w:rsidP="003B32AB">
      <w:pPr>
        <w:rPr>
          <w:lang w:eastAsia="en-US"/>
        </w:rPr>
      </w:pPr>
      <w:r w:rsidRPr="00A94875">
        <w:rPr>
          <w:b/>
          <w:lang w:eastAsia="en-US"/>
        </w:rPr>
        <w:t>ITU-T G.Suppl.58 (revised) “Optical transport network module framer interfaces”</w:t>
      </w:r>
      <w:r w:rsidRPr="00A94875">
        <w:rPr>
          <w:lang w:eastAsia="en-US"/>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w:t>
      </w:r>
      <w:proofErr w:type="gramStart"/>
      <w:r w:rsidRPr="00A94875">
        <w:rPr>
          <w:lang w:eastAsia="en-US"/>
        </w:rPr>
        <w:t>is provided</w:t>
      </w:r>
      <w:proofErr w:type="gramEnd"/>
      <w:r w:rsidRPr="00A94875">
        <w:rPr>
          <w:lang w:eastAsia="en-US"/>
        </w:rPr>
        <w:t xml:space="preserve"> in this Supplement. For their electrical characteristics, the OIF-CEI IA specifications </w:t>
      </w:r>
      <w:proofErr w:type="gramStart"/>
      <w:r w:rsidRPr="00A94875">
        <w:rPr>
          <w:lang w:eastAsia="en-US"/>
        </w:rPr>
        <w:t>can be used</w:t>
      </w:r>
      <w:proofErr w:type="gramEnd"/>
      <w:r w:rsidRPr="00A94875">
        <w:rPr>
          <w:lang w:eastAsia="en-US"/>
        </w:rPr>
        <w:t>. This Supplement relates to Recommendation ITU-T G.709/Y.1331.</w:t>
      </w:r>
    </w:p>
    <w:p w14:paraId="3BC7408B" w14:textId="77777777" w:rsidR="003B32AB" w:rsidRPr="00A94875" w:rsidRDefault="003B32AB" w:rsidP="003B32AB">
      <w:pPr>
        <w:spacing w:before="240"/>
        <w:rPr>
          <w:b/>
          <w:sz w:val="22"/>
          <w:szCs w:val="22"/>
        </w:rPr>
      </w:pPr>
      <w:r w:rsidRPr="00A94875">
        <w:rPr>
          <w:b/>
          <w:sz w:val="22"/>
          <w:szCs w:val="22"/>
        </w:rPr>
        <w:t>I.1.5</w:t>
      </w:r>
      <w:r w:rsidRPr="00A94875">
        <w:rPr>
          <w:b/>
          <w:sz w:val="22"/>
          <w:szCs w:val="22"/>
        </w:rPr>
        <w:tab/>
        <w:t>Optical transmission systems</w:t>
      </w:r>
      <w:bookmarkEnd w:id="277"/>
    </w:p>
    <w:p w14:paraId="6603E39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G.695 (revised) “Optical interfaces for coarse wavelength division multiplexing applications”</w:t>
      </w:r>
      <w:r w:rsidRPr="00A94875">
        <w:rPr>
          <w:rFonts w:asciiTheme="majorBidi" w:hAnsiTheme="majorBidi" w:cstheme="majorBidi"/>
          <w:bCs/>
        </w:rPr>
        <w:t xml:space="preserve"> provides optical parameter values for physical layer interfaces of coarse wavelength division multiplexing (CWDM) applications with up to 16 channels and up to 50 Gbit/s.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w:t>
      </w:r>
      <w:proofErr w:type="gramStart"/>
      <w:r w:rsidRPr="00A94875">
        <w:rPr>
          <w:rFonts w:asciiTheme="majorBidi" w:hAnsiTheme="majorBidi" w:cstheme="majorBidi"/>
          <w:bCs/>
        </w:rPr>
        <w:t>4</w:t>
      </w:r>
      <w:proofErr w:type="gramEnd"/>
      <w:r w:rsidRPr="00A94875">
        <w:rPr>
          <w:rFonts w:asciiTheme="majorBidi" w:hAnsiTheme="majorBidi" w:cstheme="majorBidi"/>
          <w:bCs/>
        </w:rPr>
        <w:t xml:space="preserve"> channel PAM4 50G short-haul black box applications has been added, which is suitable for carrying FOIC2.4 (200G striped across four physical lanes).</w:t>
      </w:r>
    </w:p>
    <w:p w14:paraId="3E401D68"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lastRenderedPageBreak/>
        <w:t>ITU-T G.698.4 “Multichannel bi-directional DWDM applications with port agnostic single-channel optical interfaces”</w:t>
      </w:r>
      <w:r w:rsidRPr="00A94875">
        <w:rPr>
          <w:rFonts w:asciiTheme="majorBidi" w:hAnsiTheme="majorBidi" w:cstheme="majorBidi"/>
          <w:bCs/>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receivers and an OD/OM. A single bidirectional fibre </w:t>
      </w:r>
      <w:proofErr w:type="gramStart"/>
      <w:r w:rsidRPr="00A94875">
        <w:rPr>
          <w:rFonts w:asciiTheme="majorBidi" w:hAnsiTheme="majorBidi" w:cstheme="majorBidi"/>
          <w:bCs/>
        </w:rPr>
        <w:t>is used</w:t>
      </w:r>
      <w:proofErr w:type="gramEnd"/>
      <w:r w:rsidRPr="00A94875">
        <w:rPr>
          <w:rFonts w:asciiTheme="majorBidi" w:hAnsiTheme="majorBidi" w:cstheme="majorBidi"/>
          <w:bCs/>
        </w:rPr>
        <w:t xml:space="preserve"> to connect the head end to the black link OD/OM or OADM. The connection between the OD/OM/OADM and the TEE is also bidirectional. The initial version of this Recommendation includes DWDM applications up to 10 Gbit/s with channel frequency spacing of 50 GHz and 100 GHz.</w:t>
      </w:r>
    </w:p>
    <w:p w14:paraId="3CB5060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G.709/Y.1331 (2016) Amd.3 “Interfaces for the optical transport network (OTN): Amendment 3” </w:t>
      </w:r>
      <w:r w:rsidRPr="00A94875">
        <w:rPr>
          <w:rFonts w:asciiTheme="majorBidi" w:hAnsiTheme="majorBidi" w:cstheme="majorBidi"/>
          <w:bCs/>
        </w:rPr>
        <w:t>(under approval) contains extensions to the fifth edition (06/2016) of ITU-T Recommendation G.709/Y.1331, related to the:</w:t>
      </w:r>
    </w:p>
    <w:p w14:paraId="07B5464A"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interconnection of Ethernet UNI and FlexE Group UNI in two administrative domains (7.5, Appendix XIV).</w:t>
      </w:r>
    </w:p>
    <w:p w14:paraId="50562F2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50GBASE-R mapping into ODUflex (2, 17.13.3, Annex J).</w:t>
      </w:r>
    </w:p>
    <w:p w14:paraId="155B630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Update of FlexE terminology and calendar slot descriptions with FlexE 2.0 IA (2, 17.11, </w:t>
      </w:r>
      <w:proofErr w:type="gramStart"/>
      <w:r w:rsidRPr="00A94875">
        <w:rPr>
          <w:rFonts w:asciiTheme="majorBidi" w:hAnsiTheme="majorBidi" w:cstheme="majorBidi"/>
          <w:bCs/>
        </w:rPr>
        <w:t>17.12</w:t>
      </w:r>
      <w:proofErr w:type="gramEnd"/>
      <w:r w:rsidRPr="00A94875">
        <w:rPr>
          <w:rFonts w:asciiTheme="majorBidi" w:hAnsiTheme="majorBidi" w:cstheme="majorBidi"/>
          <w:bCs/>
        </w:rPr>
        <w:t>).</w:t>
      </w:r>
    </w:p>
    <w:p w14:paraId="6DF1D88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Redefine the OP overhead bit in bit 1 of JC6 as a RES overhead (20.4, 20.4.3.1, 20.5).</w:t>
      </w:r>
    </w:p>
    <w:p w14:paraId="720DAC7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references to IEEE Std. 802.3-2015, 802.3by and 802.3bs by a reference to IEEE Std 802.3-2018 (2, 17.13.1, 17.13.2, Annex J, Annex K).</w:t>
      </w:r>
    </w:p>
    <w:p w14:paraId="119DDB8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ODU4 and </w:t>
      </w:r>
      <w:proofErr w:type="gramStart"/>
      <w:r w:rsidRPr="00A94875">
        <w:rPr>
          <w:rFonts w:asciiTheme="majorBidi" w:hAnsiTheme="majorBidi" w:cstheme="majorBidi"/>
          <w:bCs/>
        </w:rPr>
        <w:t>ODUflex(</w:t>
      </w:r>
      <w:proofErr w:type="gramEnd"/>
      <w:r w:rsidRPr="00A94875">
        <w:rPr>
          <w:rFonts w:asciiTheme="majorBidi" w:hAnsiTheme="majorBidi" w:cstheme="majorBidi"/>
          <w:bCs/>
        </w:rPr>
        <w:t>25G/50G/200G/400GBASE-R) rows to Table 7-9 (7.4).</w:t>
      </w:r>
    </w:p>
    <w:p w14:paraId="6FFA6CA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25G, 50G, 200G and 400GBASE-R rows to Table IX.1 (Appendix IX).</w:t>
      </w:r>
    </w:p>
    <w:p w14:paraId="75263FFD"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w:t>
      </w:r>
      <w:proofErr w:type="gramStart"/>
      <w:r w:rsidRPr="00A94875">
        <w:rPr>
          <w:rFonts w:asciiTheme="majorBidi" w:hAnsiTheme="majorBidi" w:cstheme="majorBidi"/>
          <w:bCs/>
        </w:rPr>
        <w:t>ODUflex(</w:t>
      </w:r>
      <w:proofErr w:type="gramEnd"/>
      <w:r w:rsidRPr="00A94875">
        <w:rPr>
          <w:rFonts w:asciiTheme="majorBidi" w:hAnsiTheme="majorBidi" w:cstheme="majorBidi"/>
          <w:bCs/>
        </w:rPr>
        <w:t>25G/50GGBASE-R, FC-1600/3200) rows to Table X.1 (Appendix X).</w:t>
      </w:r>
    </w:p>
    <w:p w14:paraId="5771D58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G.709.1/Y.1331.1 (2018) Amd.1 “Flexible OTN short-reach interfaces: Amendment 1” </w:t>
      </w:r>
      <w:r w:rsidRPr="00A94875">
        <w:rPr>
          <w:rFonts w:asciiTheme="majorBidi" w:hAnsiTheme="majorBidi" w:cstheme="majorBidi"/>
          <w:bCs/>
        </w:rPr>
        <w:t>(under approval) contains editorial changes to the second edition (06/2018) of ITU-T Recommendation G.709.1/Y.1331.1, related to the:</w:t>
      </w:r>
    </w:p>
    <w:p w14:paraId="451894C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FEC specification enhancements to align to G.709 format</w:t>
      </w:r>
    </w:p>
    <w:p w14:paraId="5B11354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PHY terminology to FlexO instances</w:t>
      </w:r>
    </w:p>
    <w:p w14:paraId="3E3565C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typos in clause 11.6.1</w:t>
      </w:r>
    </w:p>
    <w:p w14:paraId="218DF7E8"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 in AM value of Table 9-2.</w:t>
      </w:r>
    </w:p>
    <w:p w14:paraId="5E6C41B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G.709.3/Y.1331.3 Amd.1 “Flexible OTN long-reach interfaces: Amendment 1”</w:t>
      </w:r>
      <w:r w:rsidRPr="00A94875">
        <w:rPr>
          <w:rFonts w:asciiTheme="majorBidi" w:hAnsiTheme="majorBidi" w:cstheme="majorBidi"/>
          <w:bCs/>
        </w:rPr>
        <w:t xml:space="preserve"> (under approval) contains extensions to the first edition (06/2018) of ITU-T Recommendation G.709.3/Y.1331.3, related to the:</w:t>
      </w:r>
    </w:p>
    <w:p w14:paraId="7A22F448"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Enhancement of the FEC Block Alignment specification (11.3.1)</w:t>
      </w:r>
    </w:p>
    <w:p w14:paraId="2A025B5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200G and 400G FlexO with Concatenated FEC (7, 7.2, 11.3, 11.3.1, 11.3.2, 12, 13, 14, 15, Annex C, Annex D, Appendix I, Appendix II)</w:t>
      </w:r>
    </w:p>
    <w:p w14:paraId="3776720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Deletion of </w:t>
      </w:r>
      <w:proofErr w:type="gramStart"/>
      <w:r w:rsidRPr="00A94875">
        <w:rPr>
          <w:rFonts w:asciiTheme="majorBidi" w:hAnsiTheme="majorBidi" w:cstheme="majorBidi"/>
          <w:bCs/>
        </w:rPr>
        <w:t>m and n</w:t>
      </w:r>
      <w:proofErr w:type="gramEnd"/>
      <w:r w:rsidRPr="00A94875">
        <w:rPr>
          <w:rFonts w:asciiTheme="majorBidi" w:hAnsiTheme="majorBidi" w:cstheme="majorBidi"/>
          <w:bCs/>
        </w:rPr>
        <w:t xml:space="preserve"> and addition of Z conventions (5).</w:t>
      </w:r>
    </w:p>
    <w:p w14:paraId="5600EEC0"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G.959.1 (revised) “Optical transport networks physical layer interfaces”</w:t>
      </w:r>
      <w:r w:rsidRPr="00A94875">
        <w:rPr>
          <w:rFonts w:asciiTheme="majorBidi" w:hAnsiTheme="majorBidi" w:cstheme="majorBidi"/>
          <w:bCs/>
        </w:rPr>
        <w:t xml:space="preserve"> provides physical layer inter-domain interface (IrDI) specifications for optical </w:t>
      </w:r>
      <w:proofErr w:type="gramStart"/>
      <w:r w:rsidRPr="00A94875">
        <w:rPr>
          <w:rFonts w:asciiTheme="majorBidi" w:hAnsiTheme="majorBidi" w:cstheme="majorBidi"/>
          <w:bCs/>
        </w:rPr>
        <w:t>networks which</w:t>
      </w:r>
      <w:proofErr w:type="gramEnd"/>
      <w:r w:rsidRPr="00A94875">
        <w:rPr>
          <w:rFonts w:asciiTheme="majorBidi" w:hAnsiTheme="majorBidi" w:cstheme="majorBidi"/>
          <w:bCs/>
        </w:rPr>
        <w:t xml:space="preserve"> may employ </w:t>
      </w:r>
      <w:r w:rsidRPr="00A94875">
        <w:rPr>
          <w:rFonts w:asciiTheme="majorBidi" w:hAnsiTheme="majorBidi" w:cstheme="majorBidi"/>
          <w:bCs/>
        </w:rPr>
        <w:lastRenderedPageBreak/>
        <w:t xml:space="preserve">wavelength division multiplexing (WDM). The IrDIs within the optical transport network (OTN) </w:t>
      </w:r>
      <w:proofErr w:type="gramStart"/>
      <w:r w:rsidRPr="00A94875">
        <w:rPr>
          <w:rFonts w:asciiTheme="majorBidi" w:hAnsiTheme="majorBidi" w:cstheme="majorBidi"/>
          <w:bCs/>
        </w:rPr>
        <w:t>are provided</w:t>
      </w:r>
      <w:proofErr w:type="gramEnd"/>
      <w:r w:rsidRPr="00A94875">
        <w:rPr>
          <w:rFonts w:asciiTheme="majorBidi" w:hAnsiTheme="majorBidi" w:cstheme="majorBidi"/>
          <w:bCs/>
        </w:rPr>
        <w:t xml:space="preserve"> by unidirectional, point-to-point, single and multichannel line systems. Their primary purpose is to enable transversely compatible interfaces to span the boundary between two administrative domains. The IrDI specifications include intra-office, short-haul and </w:t>
      </w:r>
      <w:proofErr w:type="gramStart"/>
      <w:r w:rsidRPr="00A94875">
        <w:rPr>
          <w:rFonts w:asciiTheme="majorBidi" w:hAnsiTheme="majorBidi" w:cstheme="majorBidi"/>
          <w:bCs/>
        </w:rPr>
        <w:t>long-haul</w:t>
      </w:r>
      <w:proofErr w:type="gramEnd"/>
      <w:r w:rsidRPr="00A94875">
        <w:rPr>
          <w:rFonts w:asciiTheme="majorBidi" w:hAnsiTheme="majorBidi" w:cstheme="majorBidi"/>
          <w:bCs/>
        </w:rPr>
        <w:t xml:space="preserve"> applications, without line amplifiers. This version of this Recommendation includes multichannel interfaces suitable for FOIC2.4 (200G striped across four physical lanes) and FOIC4.8 (400G striped across eight physical lanes).</w:t>
      </w:r>
    </w:p>
    <w:p w14:paraId="7CD419C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G.808 (2016) Amd.1 “Terms and definitions for network protection and restoration”</w:t>
      </w:r>
      <w:r w:rsidRPr="00A94875">
        <w:rPr>
          <w:rFonts w:asciiTheme="majorBidi" w:hAnsiTheme="majorBidi" w:cstheme="majorBidi"/>
          <w:bCs/>
        </w:rPr>
        <w:t xml:space="preserve"> provides terms, definitions and abbreviations used in Recommendations that describe network protection and restoration. It contains a list of the definitions and abbreviations introduced in Recommendations associated with network protection and restoration. This Recommendation can be considered </w:t>
      </w:r>
      <w:proofErr w:type="gramStart"/>
      <w:r w:rsidRPr="00A94875">
        <w:rPr>
          <w:rFonts w:asciiTheme="majorBidi" w:hAnsiTheme="majorBidi" w:cstheme="majorBidi"/>
          <w:bCs/>
        </w:rPr>
        <w:t>to be a</w:t>
      </w:r>
      <w:proofErr w:type="gramEnd"/>
      <w:r w:rsidRPr="00A94875">
        <w:rPr>
          <w:rFonts w:asciiTheme="majorBidi" w:hAnsiTheme="majorBidi" w:cstheme="majorBidi"/>
          <w:bCs/>
        </w:rPr>
        <w:t xml:space="preserve">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14:paraId="6FEE0C4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G.8251 (revised) The control of jitter and wander within the optical transport network (OTN)”</w:t>
      </w:r>
      <w:r w:rsidRPr="00A94875">
        <w:rPr>
          <w:rFonts w:asciiTheme="majorBidi" w:hAnsiTheme="majorBidi" w:cstheme="majorBidi"/>
          <w:bCs/>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14:paraId="1A5A2576" w14:textId="77777777" w:rsidR="003B32AB" w:rsidRPr="00A94875" w:rsidRDefault="003B32AB" w:rsidP="003B32AB">
      <w:pPr>
        <w:rPr>
          <w:rFonts w:asciiTheme="majorBidi" w:hAnsiTheme="majorBidi" w:cstheme="majorBidi"/>
          <w:b/>
          <w:bCs/>
        </w:rPr>
      </w:pPr>
      <w:r w:rsidRPr="00A94875">
        <w:rPr>
          <w:rFonts w:asciiTheme="majorBidi" w:hAnsiTheme="majorBidi" w:cstheme="majorBidi"/>
          <w:bCs/>
        </w:rPr>
        <w:t>The requirements for the jitter and wander characteristics that are specified in this Recommendation must be adhered to in order to ensure interoperability of equipment produced by different manufacturers and a satisfactory network performance.</w:t>
      </w:r>
    </w:p>
    <w:p w14:paraId="0F5BEAB9" w14:textId="77777777" w:rsidR="003B32AB" w:rsidRPr="00A94875" w:rsidRDefault="003B32AB" w:rsidP="003B32AB">
      <w:pPr>
        <w:spacing w:before="240"/>
        <w:rPr>
          <w:b/>
          <w:sz w:val="22"/>
          <w:szCs w:val="22"/>
        </w:rPr>
      </w:pPr>
      <w:bookmarkStart w:id="278" w:name="_Toc480527889"/>
      <w:r w:rsidRPr="00A94875">
        <w:rPr>
          <w:b/>
          <w:sz w:val="22"/>
          <w:szCs w:val="22"/>
        </w:rPr>
        <w:t>I.1.6</w:t>
      </w:r>
      <w:r w:rsidRPr="00A94875">
        <w:rPr>
          <w:b/>
          <w:sz w:val="22"/>
          <w:szCs w:val="22"/>
        </w:rPr>
        <w:tab/>
        <w:t>Transport network control aspects</w:t>
      </w:r>
      <w:bookmarkEnd w:id="278"/>
    </w:p>
    <w:p w14:paraId="5448804A"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G.7701 (2016) Amd.1 “Common control aspects - Amendment 1”</w:t>
      </w:r>
      <w:r w:rsidRPr="00A94875">
        <w:rPr>
          <w:rFonts w:asciiTheme="majorBidi" w:hAnsiTheme="majorBidi" w:cstheme="majorBidi"/>
          <w:bC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7C6E82D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G.7702 “Architecture for SDN control of transport networks”</w:t>
      </w:r>
      <w:r w:rsidRPr="00A94875">
        <w:rPr>
          <w:rFonts w:asciiTheme="majorBidi" w:hAnsiTheme="majorBidi" w:cstheme="majorBidi"/>
          <w:bCs/>
        </w:rPr>
        <w:t xml:space="preserve"> describes the reference architecture for Software Defined Networking (SDN) control of transport networks applicable to both connection-oriented circuit and/or packet transport networks. This architecture </w:t>
      </w:r>
      <w:proofErr w:type="gramStart"/>
      <w:r w:rsidRPr="00A94875">
        <w:rPr>
          <w:rFonts w:asciiTheme="majorBidi" w:hAnsiTheme="majorBidi" w:cstheme="majorBidi"/>
          <w:bCs/>
        </w:rPr>
        <w:t>is described</w:t>
      </w:r>
      <w:proofErr w:type="gramEnd"/>
      <w:r w:rsidRPr="00A94875">
        <w:rPr>
          <w:rFonts w:asciiTheme="majorBidi" w:hAnsiTheme="majorBidi" w:cstheme="majorBidi"/>
          <w:bCs/>
        </w:rPr>
        <w:t xml:space="preserve"> in terms of abstract components and interfaces that represent logical functions (abstract entities versus physical implementations).</w:t>
      </w:r>
    </w:p>
    <w:p w14:paraId="369EDB9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G.7711 (revised) “Generic protocol-neutral management Information Model for Transport Resources”</w:t>
      </w:r>
      <w:r w:rsidRPr="00A94875">
        <w:rPr>
          <w:rFonts w:asciiTheme="majorBidi" w:hAnsiTheme="majorBidi" w:cstheme="majorBidi"/>
          <w:bCs/>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t>
      </w:r>
      <w:proofErr w:type="gramStart"/>
      <w:r w:rsidRPr="00A94875">
        <w:rPr>
          <w:rFonts w:asciiTheme="majorBidi" w:hAnsiTheme="majorBidi" w:cstheme="majorBidi"/>
          <w:bCs/>
        </w:rPr>
        <w:t>will be used</w:t>
      </w:r>
      <w:proofErr w:type="gramEnd"/>
      <w:r w:rsidRPr="00A94875">
        <w:rPr>
          <w:rFonts w:asciiTheme="majorBidi" w:hAnsiTheme="majorBidi" w:cstheme="majorBidi"/>
          <w:bCs/>
        </w:rPr>
        <w:t xml:space="preserve"> in the management and control interfaces.</w:t>
      </w:r>
    </w:p>
    <w:p w14:paraId="075ABCA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The 2016 edition of this Recommendation has changed the document structure, added an «experimental» address structure to the foundation model, changed the name of TopologicalEntity to ForwardingEntity, incorporated ForwardingConstruct (FC) under ForwardingEntity and considers FC as closely related to topology, added the resilience model, added the equipment model and added the Specification model.</w:t>
      </w:r>
    </w:p>
    <w:p w14:paraId="3F04C84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 xml:space="preserve">The 2018 edition of this Recommendation has enhanced the Forwarding &amp; Termination, Foundation, Topology, Resilence, Equipment, and Specification models, and added the Control, </w:t>
      </w:r>
      <w:r w:rsidRPr="00A94875">
        <w:rPr>
          <w:rFonts w:asciiTheme="majorBidi" w:hAnsiTheme="majorBidi" w:cstheme="majorBidi"/>
          <w:bCs/>
        </w:rPr>
        <w:lastRenderedPageBreak/>
        <w:t xml:space="preserve">Operations Pattern, Processing Construct, Constraint Domain models, </w:t>
      </w:r>
      <w:proofErr w:type="gramStart"/>
      <w:r w:rsidRPr="00A94875">
        <w:rPr>
          <w:rFonts w:asciiTheme="majorBidi" w:hAnsiTheme="majorBidi" w:cstheme="majorBidi"/>
          <w:bCs/>
        </w:rPr>
        <w:t>and also</w:t>
      </w:r>
      <w:proofErr w:type="gramEnd"/>
      <w:r w:rsidRPr="00A94875">
        <w:rPr>
          <w:rFonts w:asciiTheme="majorBidi" w:hAnsiTheme="majorBidi" w:cstheme="majorBidi"/>
          <w:bCs/>
        </w:rPr>
        <w:t xml:space="preserve"> updated the model description Appendixes. Appendix IV.6 “Synchronization management model” and IV.7 “Media management model” have been remove from this edition as they are being covered by separate Recommendations.</w:t>
      </w:r>
    </w:p>
    <w:p w14:paraId="35845C08"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G.875 (revised) “Optical transport network: Protocol-neutral management information model for the network element view”</w:t>
      </w:r>
      <w:r w:rsidRPr="00A94875">
        <w:rPr>
          <w:rFonts w:asciiTheme="majorBidi" w:hAnsiTheme="majorBidi" w:cstheme="majorBidi"/>
          <w:bCs/>
          <w:lang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w:t>
      </w:r>
      <w:proofErr w:type="gramStart"/>
      <w:r w:rsidRPr="00A94875">
        <w:rPr>
          <w:rFonts w:asciiTheme="majorBidi" w:hAnsiTheme="majorBidi" w:cstheme="majorBidi"/>
          <w:bCs/>
          <w:lang w:eastAsia="ko-KR"/>
        </w:rPr>
        <w:t>shall be used</w:t>
      </w:r>
      <w:proofErr w:type="gramEnd"/>
      <w:r w:rsidRPr="00A94875">
        <w:rPr>
          <w:rFonts w:asciiTheme="majorBidi" w:hAnsiTheme="majorBidi" w:cstheme="majorBidi"/>
          <w:bCs/>
          <w:lang w:eastAsia="ko-KR"/>
        </w:rPr>
        <w:t xml:space="preserve">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w:t>
      </w:r>
      <w:proofErr w:type="gramStart"/>
      <w:r w:rsidRPr="00A94875">
        <w:rPr>
          <w:rFonts w:asciiTheme="majorBidi" w:hAnsiTheme="majorBidi" w:cstheme="majorBidi"/>
          <w:bCs/>
          <w:lang w:eastAsia="ko-KR"/>
        </w:rPr>
        <w:t>should be described</w:t>
      </w:r>
      <w:proofErr w:type="gramEnd"/>
      <w:r w:rsidRPr="00A94875">
        <w:rPr>
          <w:rFonts w:asciiTheme="majorBidi" w:hAnsiTheme="majorBidi" w:cstheme="majorBidi"/>
          <w:bCs/>
          <w:lang w:eastAsia="ko-KR"/>
        </w:rPr>
        <w:t xml:space="preserve"> in the protocol-specific information model Recommendations.</w:t>
      </w:r>
    </w:p>
    <w:p w14:paraId="31CB6BA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2012 revision of this Recommendation updated the management information model to support the management of the new transport functions that were introduced in the 2010 revision of Recommendation ITU-T G.798 </w:t>
      </w:r>
      <w:proofErr w:type="gramStart"/>
      <w:r w:rsidRPr="00A94875">
        <w:rPr>
          <w:rFonts w:asciiTheme="majorBidi" w:hAnsiTheme="majorBidi" w:cstheme="majorBidi"/>
          <w:bCs/>
          <w:lang w:eastAsia="ko-KR"/>
        </w:rPr>
        <w:t>and also</w:t>
      </w:r>
      <w:proofErr w:type="gramEnd"/>
      <w:r w:rsidRPr="00A94875">
        <w:rPr>
          <w:rFonts w:asciiTheme="majorBidi" w:hAnsiTheme="majorBidi" w:cstheme="majorBidi"/>
          <w:bCs/>
          <w:lang w:eastAsia="ko-KR"/>
        </w:rPr>
        <w:t xml:space="preserve"> to support the management requirements enhancement introduced in the 2010 revision of Recommendation ITU-T G.874.</w:t>
      </w:r>
    </w:p>
    <w:p w14:paraId="63ECFFB0"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14:paraId="1619FAF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Amendment 2 added: (1) the use of an organizationally unique identifier (OUI) to the description of the attributes selectedApplicationIdentifier and supportableApplicationIdentifierList; and (2) sub-classes the OTN Current Data and History Data object classes from the ITU-T Q.822 Current Data and History Data object classes.</w:t>
      </w:r>
    </w:p>
    <w:p w14:paraId="7DBDFBD8" w14:textId="77777777" w:rsidR="003B32AB" w:rsidRPr="00A94875" w:rsidRDefault="003B32AB" w:rsidP="003B32AB">
      <w:pPr>
        <w:spacing w:after="120"/>
        <w:rPr>
          <w:rFonts w:asciiTheme="majorBidi" w:hAnsiTheme="majorBidi" w:cstheme="majorBidi"/>
          <w:bCs/>
          <w:lang w:eastAsia="ko-KR"/>
        </w:rPr>
      </w:pPr>
      <w:proofErr w:type="gramStart"/>
      <w:r w:rsidRPr="00A94875">
        <w:rPr>
          <w:rFonts w:asciiTheme="majorBidi" w:hAnsiTheme="majorBidi" w:cstheme="majorBidi"/>
          <w:bCs/>
          <w:lang w:eastAsia="ko-KR"/>
        </w:rPr>
        <w:t>The 2016 revision of this Recommendation has incorporated Amendment 1 and Amendment 2, and in addition the following updates: (1) changes the UML modeling tool from RSA to open source Papyrus tool; (2) updates the ITU-T G.874.1 information model to align with the ITU-T G.7711 v2.0 Core information model; (3) drops subclassing the TP classes from ITU-T M.3160; and (4) supports the additional management requirements in Recommendation ITU-T G.874.</w:t>
      </w:r>
      <w:proofErr w:type="gramEnd"/>
    </w:p>
    <w:p w14:paraId="7C73820E"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2018 revision of this Recommendation up-versions the UML model tool to Papyrus v3.2.0 and the profile to v0.2.13, updates the object class mapping figures to align with G.798, updates the model for ODU, OTU, FlexO, OTSiG-O, OCh-O, OMS-O, &amp; OTS-O, and adds Annex A for OTN Spec Model.</w:t>
      </w:r>
    </w:p>
    <w:p w14:paraId="7651453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 xml:space="preserve">ITU-T G.8051/Y.1345 (revised) “Management aspects of the Ethernet Transport (ET) capable network element” </w:t>
      </w:r>
      <w:r w:rsidRPr="00A94875">
        <w:rPr>
          <w:rFonts w:asciiTheme="majorBidi" w:hAnsiTheme="majorBidi" w:cstheme="majorBidi"/>
          <w:bCs/>
          <w:lang w:eastAsia="ko-KR"/>
        </w:rPr>
        <w:t xml:space="preserve">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w:t>
      </w:r>
      <w:proofErr w:type="gramStart"/>
      <w:r w:rsidRPr="00A94875">
        <w:rPr>
          <w:rFonts w:asciiTheme="majorBidi" w:hAnsiTheme="majorBidi" w:cstheme="majorBidi"/>
          <w:bCs/>
          <w:lang w:eastAsia="ko-KR"/>
        </w:rPr>
        <w:t>can be used</w:t>
      </w:r>
      <w:proofErr w:type="gramEnd"/>
      <w:r w:rsidRPr="00A94875">
        <w:rPr>
          <w:rFonts w:asciiTheme="majorBidi" w:hAnsiTheme="majorBidi" w:cstheme="majorBidi"/>
          <w:bCs/>
          <w:lang w:eastAsia="ko-KR"/>
        </w:rPr>
        <w:t xml:space="preserve"> regardless of the client. The management functions for fault management, configuration management, performance monitoring, and security management </w:t>
      </w:r>
      <w:proofErr w:type="gramStart"/>
      <w:r w:rsidRPr="00A94875">
        <w:rPr>
          <w:rFonts w:asciiTheme="majorBidi" w:hAnsiTheme="majorBidi" w:cstheme="majorBidi"/>
          <w:bCs/>
          <w:lang w:eastAsia="ko-KR"/>
        </w:rPr>
        <w:t>are specified</w:t>
      </w:r>
      <w:proofErr w:type="gramEnd"/>
      <w:r w:rsidRPr="00A94875">
        <w:rPr>
          <w:rFonts w:asciiTheme="majorBidi" w:hAnsiTheme="majorBidi" w:cstheme="majorBidi"/>
          <w:bCs/>
          <w:lang w:eastAsia="ko-KR"/>
        </w:rPr>
        <w:t>.</w:t>
      </w:r>
    </w:p>
    <w:p w14:paraId="26D8A7F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2009 Revision of this Recommendation has added the management of additional transport functions that </w:t>
      </w:r>
      <w:proofErr w:type="gramStart"/>
      <w:r w:rsidRPr="00A94875">
        <w:rPr>
          <w:rFonts w:asciiTheme="majorBidi" w:hAnsiTheme="majorBidi" w:cstheme="majorBidi"/>
          <w:bCs/>
          <w:lang w:eastAsia="ko-KR"/>
        </w:rPr>
        <w:t>have been introduced</w:t>
      </w:r>
      <w:proofErr w:type="gramEnd"/>
      <w:r w:rsidRPr="00A94875">
        <w:rPr>
          <w:rFonts w:asciiTheme="majorBidi" w:hAnsiTheme="majorBidi" w:cstheme="majorBidi"/>
          <w:bCs/>
          <w:lang w:eastAsia="ko-KR"/>
        </w:rPr>
        <w:t xml:space="preserve"> in the 2009 Revision of Recommendation ITU T G.8021/Y.1341.</w:t>
      </w:r>
    </w:p>
    <w:p w14:paraId="60AFB07A" w14:textId="77777777" w:rsidR="003B32AB" w:rsidRPr="00A94875" w:rsidRDefault="003B32AB" w:rsidP="003B32AB">
      <w:pPr>
        <w:spacing w:after="120"/>
        <w:rPr>
          <w:rFonts w:asciiTheme="majorBidi" w:hAnsiTheme="majorBidi" w:cstheme="majorBidi"/>
          <w:bCs/>
          <w:lang w:eastAsia="ko-KR"/>
        </w:rPr>
      </w:pPr>
      <w:proofErr w:type="gramStart"/>
      <w:r w:rsidRPr="00A94875">
        <w:rPr>
          <w:rFonts w:asciiTheme="majorBidi" w:hAnsiTheme="majorBidi" w:cstheme="majorBidi"/>
          <w:bCs/>
          <w:lang w:eastAsia="ko-KR"/>
        </w:rPr>
        <w:lastRenderedPageBreak/>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roofErr w:type="gramEnd"/>
    </w:p>
    <w:p w14:paraId="4F120FB0" w14:textId="77777777" w:rsidR="003B32AB" w:rsidRPr="00A94875" w:rsidRDefault="003B32AB" w:rsidP="003B32AB">
      <w:pPr>
        <w:spacing w:after="120"/>
        <w:rPr>
          <w:rFonts w:asciiTheme="majorBidi" w:hAnsiTheme="majorBidi" w:cstheme="majorBidi"/>
          <w:bCs/>
          <w:lang w:eastAsia="ko-KR"/>
        </w:rPr>
      </w:pPr>
      <w:proofErr w:type="gramStart"/>
      <w:r w:rsidRPr="00A94875">
        <w:rPr>
          <w:rFonts w:asciiTheme="majorBidi" w:hAnsiTheme="majorBidi" w:cstheme="majorBidi"/>
          <w:bCs/>
          <w:lang w:eastAsia="ko-KR"/>
        </w:rPr>
        <w:t>The 2015 Revision of this Recommendation has updated the management information (MI) signals for the ETHx_FT function in clause 8.5, the MI signals for the ETHx/MCC function in clause 8.6, the one-way synthetic loss measurement (1SL) MI signal for the ETHDe_FT_Sk function in clause 8.8, and the on-demand and proactive loss measurement requirements in clause 10.2.The 2018 Revision of this Recommendation has updated the fault cause persistency function at ETH-C function for ring protection, the configuration management for protection switching and connection functions.</w:t>
      </w:r>
      <w:proofErr w:type="gramEnd"/>
      <w:r w:rsidRPr="00A94875">
        <w:rPr>
          <w:rFonts w:asciiTheme="majorBidi" w:hAnsiTheme="majorBidi" w:cstheme="majorBidi"/>
          <w:bCs/>
          <w:lang w:eastAsia="ko-KR"/>
        </w:rPr>
        <w:t xml:space="preserve"> </w:t>
      </w:r>
      <w:proofErr w:type="gramStart"/>
      <w:r w:rsidRPr="00A94875">
        <w:rPr>
          <w:rFonts w:asciiTheme="majorBidi" w:hAnsiTheme="majorBidi" w:cstheme="majorBidi"/>
          <w:bCs/>
          <w:lang w:eastAsia="ko-KR"/>
        </w:rPr>
        <w:t>And</w:t>
      </w:r>
      <w:proofErr w:type="gramEnd"/>
      <w:r w:rsidRPr="00A94875">
        <w:rPr>
          <w:rFonts w:asciiTheme="majorBidi" w:hAnsiTheme="majorBidi" w:cstheme="majorBidi"/>
          <w:bCs/>
          <w:lang w:eastAsia="ko-KR"/>
        </w:rPr>
        <w:t>, in align with ITU T G.8021/Y.1341, this revision has removed both fault management functions and the management information (MI) signals that are related to ETYn_TT, ODUkP-X-L/MT_A, and ETYn/ETH_A. This revision has also removed theMI signals to activate processes in Adaptation functions (i.e. MI_Active).</w:t>
      </w:r>
    </w:p>
    <w:p w14:paraId="02F0A4D7"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G.8052/Y.1346 (revised) “Protocol-neutral management information model for the Ethernet transport capable network element”</w:t>
      </w:r>
      <w:r w:rsidRPr="00A94875">
        <w:rPr>
          <w:rFonts w:asciiTheme="majorBidi" w:hAnsiTheme="majorBidi" w:cstheme="majorBidi"/>
          <w:bCs/>
          <w:lang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14:paraId="64F06DA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14:paraId="76AC47B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14:paraId="4A47F4F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G.8151/Y.1374 (revised) “Management aspects of the MPLS-TP network element”</w:t>
      </w:r>
      <w:r w:rsidRPr="00A94875">
        <w:rPr>
          <w:rFonts w:asciiTheme="majorBidi" w:hAnsiTheme="majorBidi" w:cstheme="majorBidi"/>
          <w:bCs/>
          <w:lang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w:t>
      </w:r>
      <w:proofErr w:type="gramStart"/>
      <w:r w:rsidRPr="00A94875">
        <w:rPr>
          <w:rFonts w:asciiTheme="majorBidi" w:hAnsiTheme="majorBidi" w:cstheme="majorBidi"/>
          <w:bCs/>
          <w:lang w:eastAsia="ko-KR"/>
        </w:rPr>
        <w:t>can be used</w:t>
      </w:r>
      <w:proofErr w:type="gramEnd"/>
      <w:r w:rsidRPr="00A94875">
        <w:rPr>
          <w:rFonts w:asciiTheme="majorBidi" w:hAnsiTheme="majorBidi" w:cstheme="majorBidi"/>
          <w:bCs/>
          <w:lang w:eastAsia="ko-KR"/>
        </w:rPr>
        <w:t xml:space="preserve"> regardless of the client. The management functions for fault management, configuration management, </w:t>
      </w:r>
      <w:proofErr w:type="gramStart"/>
      <w:r w:rsidRPr="00A94875">
        <w:rPr>
          <w:rFonts w:asciiTheme="majorBidi" w:hAnsiTheme="majorBidi" w:cstheme="majorBidi"/>
          <w:bCs/>
          <w:lang w:eastAsia="ko-KR"/>
        </w:rPr>
        <w:t>performance</w:t>
      </w:r>
      <w:proofErr w:type="gramEnd"/>
      <w:r w:rsidRPr="00A94875">
        <w:rPr>
          <w:rFonts w:asciiTheme="majorBidi" w:hAnsiTheme="majorBidi" w:cstheme="majorBidi"/>
          <w:bCs/>
          <w:lang w:eastAsia="ko-KR"/>
        </w:rPr>
        <w:t xml:space="preserve"> monitoring and security management are specified.</w:t>
      </w:r>
    </w:p>
    <w:p w14:paraId="458EB96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14:paraId="0F6C357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G.8152/Y.1375 (revised) “Protocol-neutral management information model for the MPLS-TP network element”</w:t>
      </w:r>
      <w:r w:rsidRPr="00A94875">
        <w:rPr>
          <w:rFonts w:asciiTheme="majorBidi" w:hAnsiTheme="majorBidi" w:cstheme="majorBidi"/>
          <w:bCs/>
          <w:lang w:eastAsia="ko-KR"/>
        </w:rPr>
        <w:t xml:space="preserve"> (under approval) contains the protocol neutral unified modelling language (UML) model for multi-protocol label switching – transport profile (MPLS-TP) network element (NE) management.</w:t>
      </w:r>
    </w:p>
    <w:p w14:paraId="454B9F7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lastRenderedPageBreak/>
        <w:t xml:space="preserve">This Recommendation provides a representation of the MPLS-TP technology using the methodologies that </w:t>
      </w:r>
      <w:proofErr w:type="gramStart"/>
      <w:r w:rsidRPr="00A94875">
        <w:rPr>
          <w:rFonts w:asciiTheme="majorBidi" w:hAnsiTheme="majorBidi" w:cstheme="majorBidi"/>
          <w:bCs/>
          <w:lang w:eastAsia="ko-KR"/>
        </w:rPr>
        <w:t>have been used</w:t>
      </w:r>
      <w:proofErr w:type="gramEnd"/>
      <w:r w:rsidRPr="00A94875">
        <w:rPr>
          <w:rFonts w:asciiTheme="majorBidi" w:hAnsiTheme="majorBidi" w:cstheme="majorBidi"/>
          <w:bCs/>
          <w:lang w:eastAsia="ko-KR"/>
        </w:rPr>
        <w:t xml:space="preserve"> for other transport technologies (e.g., SDH, OTN and Ethernet). </w:t>
      </w:r>
    </w:p>
    <w:p w14:paraId="0130BF5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14:paraId="462A42A7" w14:textId="77777777" w:rsidR="003B32AB" w:rsidRPr="00A94875" w:rsidRDefault="003B32AB" w:rsidP="003B32AB">
      <w:pPr>
        <w:spacing w:before="240"/>
        <w:rPr>
          <w:b/>
          <w:sz w:val="22"/>
          <w:szCs w:val="22"/>
        </w:rPr>
      </w:pPr>
      <w:r w:rsidRPr="00A94875">
        <w:rPr>
          <w:b/>
          <w:sz w:val="22"/>
          <w:szCs w:val="22"/>
        </w:rPr>
        <w:t>I.1.7</w:t>
      </w:r>
      <w:r w:rsidRPr="00A94875">
        <w:rPr>
          <w:b/>
          <w:sz w:val="22"/>
          <w:szCs w:val="22"/>
        </w:rPr>
        <w:tab/>
        <w:t>Ethernet over transport networks</w:t>
      </w:r>
    </w:p>
    <w:p w14:paraId="5E4BE1C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 xml:space="preserve">ITU-T G.998.2 (revised) “Ethernet-based multi-pair bonding” </w:t>
      </w:r>
      <w:r w:rsidRPr="00A94875">
        <w:rPr>
          <w:rFonts w:asciiTheme="majorBidi" w:hAnsiTheme="majorBidi" w:cstheme="majorBidi"/>
          <w:bCs/>
          <w:lang w:eastAsia="ko-KR"/>
        </w:rPr>
        <w:t>(under approval) describes a method for bonding of multiple digital subscriber lines (DSL) for Ethernet transport. This Recommendation can support SHDSL, VDSL and ADSL transport as well as future xDSL technologies as they emerge. This Recommendation builds on the IEEE 802.3ah-2004 methods and extends Ethernet transport over other xDSL technologies, including ADSL. The Recommendation does not describe the details of the specific xDSL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14:paraId="20215DD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1 addresses differential delay for aggregation of ADSL2plus links and of VDSL2 links.</w:t>
      </w:r>
    </w:p>
    <w:p w14:paraId="3B19028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2 includes new functionality for discovery/aggregation and pair management at the bonding layer.</w:t>
      </w:r>
    </w:p>
    <w:p w14:paraId="4983BD1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 xml:space="preserve">Amendment 3 includes a new clause </w:t>
      </w:r>
      <w:proofErr w:type="gramStart"/>
      <w:r w:rsidRPr="00A94875">
        <w:rPr>
          <w:rFonts w:asciiTheme="majorBidi" w:hAnsiTheme="majorBidi" w:cstheme="majorBidi"/>
          <w:bCs/>
          <w:lang w:eastAsia="ko-KR"/>
        </w:rPr>
        <w:t>9</w:t>
      </w:r>
      <w:proofErr w:type="gramEnd"/>
      <w:r w:rsidRPr="00A94875">
        <w:rPr>
          <w:rFonts w:asciiTheme="majorBidi" w:hAnsiTheme="majorBidi" w:cstheme="majorBidi"/>
          <w:bCs/>
          <w:lang w:eastAsia="ko-KR"/>
        </w:rPr>
        <w:t xml:space="preserve"> defining "intentional temporary shutdown of some bonded lines" (new functionality).</w:t>
      </w:r>
    </w:p>
    <w:p w14:paraId="5DF98AA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4 includes a new Annex D defining ''Ethernet bonding with DTU encapsulation'' (new functionality).</w:t>
      </w:r>
    </w:p>
    <w:p w14:paraId="4948C8B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Corrigendum 1 fixes an occurrence of inconsistency.</w:t>
      </w:r>
    </w:p>
    <w:p w14:paraId="0849CA9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G.998.4 (revised) “Improved impulse noise protection for digital subscriber line (DSL) transceivers”</w:t>
      </w:r>
      <w:r w:rsidRPr="00A94875">
        <w:rPr>
          <w:rFonts w:asciiTheme="majorBidi" w:hAnsiTheme="majorBidi" w:cstheme="majorBidi"/>
          <w:bCs/>
          <w:lang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14:paraId="11EE953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This version of this Recommendation integrates all of the previous amendments and corrigenda with the 2015 version 2.0 of Recommendation ITU-T G.998.4. This version of Recommendation ITU-T G.998.4 corrects or adds the following functionality:</w:t>
      </w:r>
    </w:p>
    <w:p w14:paraId="08E04BC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Valid values for RS FEC (corrigendum);</w:t>
      </w:r>
    </w:p>
    <w:p w14:paraId="1FC9075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Maximum error-free throughput (EFTR_max) (amendment)</w:t>
      </w:r>
    </w:p>
    <w:p w14:paraId="7E2B3E7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Minimum/accumulated/maximum NDR reporting with disabled retransmission (amendment).</w:t>
      </w:r>
    </w:p>
    <w:p w14:paraId="5C092FD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G.8011/Y.1307 (revised) “Ethernet service characteristics”</w:t>
      </w:r>
      <w:r w:rsidRPr="00A94875">
        <w:rPr>
          <w:rFonts w:asciiTheme="majorBidi" w:hAnsiTheme="majorBidi" w:cstheme="majorBidi"/>
          <w:bCs/>
          <w:lang w:eastAsia="ko-KR"/>
        </w:rPr>
        <w:t xml:space="preserve"> (under approval) describes a framework for defining network-oriented characteristics of Ethernet services based on MEF Forum (MEF) specifications. The </w:t>
      </w:r>
      <w:proofErr w:type="gramStart"/>
      <w:r w:rsidRPr="00A94875">
        <w:rPr>
          <w:rFonts w:asciiTheme="majorBidi" w:hAnsiTheme="majorBidi" w:cstheme="majorBidi"/>
          <w:bCs/>
          <w:lang w:eastAsia="ko-KR"/>
        </w:rPr>
        <w:t>framework is supported by the modelling of Ethernet layer networks described by ITU-T and MEF</w:t>
      </w:r>
      <w:proofErr w:type="gramEnd"/>
      <w:r w:rsidRPr="00A94875">
        <w:rPr>
          <w:rFonts w:asciiTheme="majorBidi" w:hAnsiTheme="majorBidi" w:cstheme="majorBidi"/>
          <w:bCs/>
          <w:lang w:eastAsia="ko-KR"/>
        </w:rPr>
        <w:t xml:space="preserve">. The service definition, service attributes and operation, </w:t>
      </w:r>
      <w:r w:rsidRPr="00A94875">
        <w:rPr>
          <w:rFonts w:asciiTheme="majorBidi" w:hAnsiTheme="majorBidi" w:cstheme="majorBidi"/>
          <w:bCs/>
          <w:lang w:eastAsia="ko-KR"/>
        </w:rPr>
        <w:lastRenderedPageBreak/>
        <w:t>administration and maintenance (OAM) introduced in this framework are used to create numerous specific Ethernet services.</w:t>
      </w:r>
    </w:p>
    <w:p w14:paraId="677DB481"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G.8013/Y.1731 Amd.1 “Operation, administration and maintenance (OAM) functions and mechanisms for Ethernet-based networks - Amendment 1”</w:t>
      </w:r>
      <w:r w:rsidRPr="00A94875">
        <w:rPr>
          <w:rFonts w:asciiTheme="majorBidi" w:hAnsiTheme="majorBidi" w:cstheme="majorBidi"/>
          <w:bCs/>
          <w:lang w:eastAsia="ko-KR"/>
        </w:rPr>
        <w:t xml:space="preserve"> (under approval) provides:</w:t>
      </w:r>
    </w:p>
    <w:p w14:paraId="5C82B1C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Modification to “Frame delay” in clause 8</w:t>
      </w:r>
    </w:p>
    <w:p w14:paraId="1CEBBF6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Updates to clauses 2 and 3, and to the Bibliography</w:t>
      </w:r>
    </w:p>
    <w:p w14:paraId="1B1A48D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G.8021/Y.1341 “Characteristics of Ethernet transport network equipment functional blocks”</w:t>
      </w:r>
      <w:r w:rsidRPr="00A94875">
        <w:rPr>
          <w:rFonts w:asciiTheme="majorBidi" w:hAnsiTheme="majorBidi" w:cstheme="majorBidi"/>
          <w:bCs/>
          <w:lang w:eastAsia="ko-KR"/>
        </w:rPr>
        <w:t xml:space="preserve"> specifies both the functional components and the methodology that </w:t>
      </w:r>
      <w:proofErr w:type="gramStart"/>
      <w:r w:rsidRPr="00A94875">
        <w:rPr>
          <w:rFonts w:asciiTheme="majorBidi" w:hAnsiTheme="majorBidi" w:cstheme="majorBidi"/>
          <w:bCs/>
          <w:lang w:eastAsia="ko-KR"/>
        </w:rPr>
        <w:t>should be used</w:t>
      </w:r>
      <w:proofErr w:type="gramEnd"/>
      <w:r w:rsidRPr="00A94875">
        <w:rPr>
          <w:rFonts w:asciiTheme="majorBidi" w:hAnsiTheme="majorBidi" w:cstheme="majorBidi"/>
          <w:bCs/>
          <w:lang w:eastAsia="ko-KR"/>
        </w:rPr>
        <w:t xml:space="preserve"> in order to specify the Ethernet transport network functionality of network elements; it does not specify individual Ethernet transport network equipment.</w:t>
      </w:r>
    </w:p>
    <w:p w14:paraId="5A68BD4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G.8023 “Characteristics of equipment functional blocks supporting Ethernet physical layer and FlexE interfaces”</w:t>
      </w:r>
      <w:r w:rsidRPr="00A94875">
        <w:rPr>
          <w:rFonts w:asciiTheme="majorBidi" w:hAnsiTheme="majorBidi" w:cstheme="majorBidi"/>
          <w:bCs/>
          <w:lang w:eastAsia="ko-KR"/>
        </w:rPr>
        <w:t xml:space="preserve"> (under approval) specifies both the functional components and the methodology that </w:t>
      </w:r>
      <w:proofErr w:type="gramStart"/>
      <w:r w:rsidRPr="00A94875">
        <w:rPr>
          <w:rFonts w:asciiTheme="majorBidi" w:hAnsiTheme="majorBidi" w:cstheme="majorBidi"/>
          <w:bCs/>
          <w:lang w:eastAsia="ko-KR"/>
        </w:rPr>
        <w:t>should be used</w:t>
      </w:r>
      <w:proofErr w:type="gramEnd"/>
      <w:r w:rsidRPr="00A94875">
        <w:rPr>
          <w:rFonts w:asciiTheme="majorBidi" w:hAnsiTheme="majorBidi" w:cstheme="majorBidi"/>
          <w:bCs/>
          <w:lang w:eastAsia="ko-KR"/>
        </w:rPr>
        <w:t xml:space="preserve"> in order to specify the Ethernet physical layer and Flex Ethernet interfaces.</w:t>
      </w:r>
    </w:p>
    <w:p w14:paraId="7F31A1C8"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G.8031/Y.1342 (2015) Amd.1 “Ethernet linear protection switching- Amendment 1”</w:t>
      </w:r>
      <w:r w:rsidRPr="00A94875">
        <w:rPr>
          <w:rFonts w:asciiTheme="majorBidi" w:hAnsiTheme="majorBidi" w:cstheme="majorBidi"/>
          <w:bCs/>
          <w:lang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14:paraId="2E186BD2" w14:textId="77777777" w:rsidR="003B32AB" w:rsidRPr="00A94875" w:rsidRDefault="003B32AB" w:rsidP="003B32AB">
      <w:pPr>
        <w:spacing w:after="120"/>
        <w:ind w:left="567"/>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VLAN-based Ethernet subnetwork connection linear protection with sublayer monitoring.</w:t>
      </w:r>
    </w:p>
    <w:p w14:paraId="79ED1BFF" w14:textId="77777777" w:rsidR="003B32AB" w:rsidRPr="00A94875" w:rsidRDefault="003B32AB" w:rsidP="003B32AB">
      <w:pPr>
        <w:spacing w:before="240"/>
        <w:rPr>
          <w:b/>
          <w:sz w:val="22"/>
          <w:szCs w:val="22"/>
        </w:rPr>
      </w:pPr>
      <w:r w:rsidRPr="00A94875">
        <w:rPr>
          <w:b/>
          <w:sz w:val="22"/>
          <w:szCs w:val="22"/>
        </w:rPr>
        <w:t>I.1.8</w:t>
      </w:r>
      <w:r w:rsidRPr="00A94875">
        <w:rPr>
          <w:b/>
          <w:sz w:val="22"/>
          <w:szCs w:val="22"/>
        </w:rPr>
        <w:tab/>
        <w:t>MPLS over transport networks</w:t>
      </w:r>
    </w:p>
    <w:p w14:paraId="1857F522" w14:textId="77777777" w:rsidR="003B32AB" w:rsidRPr="00A94875" w:rsidRDefault="003B32AB" w:rsidP="003B32AB">
      <w:pPr>
        <w:rPr>
          <w:sz w:val="22"/>
          <w:szCs w:val="22"/>
        </w:rPr>
      </w:pPr>
      <w:r w:rsidRPr="00A94875">
        <w:rPr>
          <w:b/>
          <w:sz w:val="22"/>
          <w:szCs w:val="22"/>
        </w:rPr>
        <w:t>ITU-T G.8121/Y.1381 (revised) “Characteristics of MPLS-TP equipment functional blocks”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14:paraId="0163D79F" w14:textId="77777777" w:rsidR="003B32AB" w:rsidRPr="00A94875" w:rsidRDefault="003B32AB" w:rsidP="003B32AB">
      <w:pPr>
        <w:rPr>
          <w:sz w:val="22"/>
          <w:szCs w:val="22"/>
        </w:rPr>
      </w:pPr>
      <w:proofErr w:type="gramStart"/>
      <w:r w:rsidRPr="00A94875">
        <w:rPr>
          <w:b/>
          <w:sz w:val="22"/>
          <w:szCs w:val="22"/>
        </w:rPr>
        <w:t>ITU-T G.8121.1/Y.1381.1 (revised) “Characteristics of MPLS-TP equipment functional blocks supporting ITU T G.8113.1/Y.1372.1 OAM mechanisms”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roofErr w:type="gramEnd"/>
    </w:p>
    <w:p w14:paraId="6E53A010" w14:textId="77777777" w:rsidR="003B32AB" w:rsidRPr="00A94875" w:rsidRDefault="003B32AB" w:rsidP="003B32AB">
      <w:pPr>
        <w:rPr>
          <w:b/>
          <w:sz w:val="22"/>
          <w:szCs w:val="22"/>
        </w:rPr>
      </w:pPr>
      <w:proofErr w:type="gramStart"/>
      <w:r w:rsidRPr="00A94875">
        <w:rPr>
          <w:b/>
          <w:sz w:val="22"/>
          <w:szCs w:val="22"/>
        </w:rPr>
        <w:t>ITU-T G.8121.2/Y.1381.2 (revised) “Characteristics of MPLS-TP equipment functional blocks supporting ITU T G.8113.2/Y.1372.2 OAM mechanisms”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roofErr w:type="gramEnd"/>
    </w:p>
    <w:p w14:paraId="19307396" w14:textId="77777777" w:rsidR="003B32AB" w:rsidRPr="00A94875" w:rsidRDefault="003B32AB" w:rsidP="003B32AB">
      <w:pPr>
        <w:rPr>
          <w:sz w:val="22"/>
          <w:szCs w:val="22"/>
        </w:rPr>
      </w:pPr>
      <w:r w:rsidRPr="00A94875">
        <w:rPr>
          <w:b/>
          <w:sz w:val="22"/>
          <w:szCs w:val="22"/>
        </w:rPr>
        <w:t xml:space="preserve">ITU-T G.8131 Amd.3 “Linear protection switching for MPLS transport profile - Amendment 3” </w:t>
      </w:r>
      <w:r w:rsidRPr="00A94875">
        <w:rPr>
          <w:sz w:val="22"/>
          <w:szCs w:val="22"/>
        </w:rPr>
        <w:t>(under approval) provides updates on the following:</w:t>
      </w:r>
    </w:p>
    <w:p w14:paraId="72CF048D" w14:textId="77777777" w:rsidR="003B32AB" w:rsidRPr="00A94875" w:rsidRDefault="003B32AB" w:rsidP="003B32AB">
      <w:pPr>
        <w:rPr>
          <w:sz w:val="22"/>
          <w:szCs w:val="22"/>
        </w:rPr>
      </w:pPr>
      <w:r w:rsidRPr="00A94875">
        <w:rPr>
          <w:sz w:val="22"/>
          <w:szCs w:val="22"/>
        </w:rPr>
        <w:t>–</w:t>
      </w:r>
      <w:r w:rsidRPr="00A94875">
        <w:rPr>
          <w:sz w:val="22"/>
          <w:szCs w:val="22"/>
        </w:rPr>
        <w:tab/>
        <w:t>Initialization behaviour,</w:t>
      </w:r>
    </w:p>
    <w:p w14:paraId="0AEE84DF" w14:textId="77777777" w:rsidR="003B32AB" w:rsidRPr="00A94875" w:rsidRDefault="003B32AB" w:rsidP="003B32AB">
      <w:pPr>
        <w:rPr>
          <w:sz w:val="22"/>
          <w:szCs w:val="22"/>
        </w:rPr>
      </w:pPr>
      <w:r w:rsidRPr="00A94875">
        <w:rPr>
          <w:sz w:val="22"/>
          <w:szCs w:val="22"/>
        </w:rPr>
        <w:t>–</w:t>
      </w:r>
      <w:r w:rsidRPr="00A94875">
        <w:rPr>
          <w:sz w:val="22"/>
          <w:szCs w:val="22"/>
        </w:rPr>
        <w:tab/>
        <w:t>State transition modification, and</w:t>
      </w:r>
    </w:p>
    <w:p w14:paraId="7B6C04FF" w14:textId="77777777" w:rsidR="003B32AB" w:rsidRPr="00A94875" w:rsidRDefault="003B32AB" w:rsidP="003B32AB">
      <w:pPr>
        <w:rPr>
          <w:sz w:val="22"/>
          <w:szCs w:val="22"/>
        </w:rPr>
      </w:pPr>
      <w:r w:rsidRPr="00A94875">
        <w:rPr>
          <w:sz w:val="22"/>
          <w:szCs w:val="22"/>
        </w:rPr>
        <w:t>–</w:t>
      </w:r>
      <w:r w:rsidRPr="00A94875">
        <w:rPr>
          <w:sz w:val="22"/>
          <w:szCs w:val="22"/>
        </w:rPr>
        <w:tab/>
        <w:t xml:space="preserve">Operation related to </w:t>
      </w:r>
      <w:proofErr w:type="gramStart"/>
      <w:r w:rsidRPr="00A94875">
        <w:rPr>
          <w:sz w:val="22"/>
          <w:szCs w:val="22"/>
        </w:rPr>
        <w:t>state transition table lookup</w:t>
      </w:r>
      <w:proofErr w:type="gramEnd"/>
      <w:r w:rsidRPr="00A94875">
        <w:rPr>
          <w:sz w:val="22"/>
          <w:szCs w:val="22"/>
        </w:rPr>
        <w:t>.</w:t>
      </w:r>
    </w:p>
    <w:p w14:paraId="7A08AE5C" w14:textId="77777777" w:rsidR="003B32AB" w:rsidRPr="00A94875" w:rsidRDefault="003B32AB" w:rsidP="003B32AB">
      <w:pPr>
        <w:spacing w:before="240"/>
        <w:rPr>
          <w:b/>
          <w:sz w:val="22"/>
          <w:szCs w:val="22"/>
        </w:rPr>
      </w:pPr>
      <w:r w:rsidRPr="00A94875">
        <w:rPr>
          <w:b/>
          <w:sz w:val="22"/>
          <w:szCs w:val="22"/>
        </w:rPr>
        <w:t>I.1.9</w:t>
      </w:r>
      <w:r w:rsidRPr="00A94875">
        <w:rPr>
          <w:b/>
          <w:sz w:val="22"/>
          <w:szCs w:val="22"/>
        </w:rPr>
        <w:tab/>
        <w:t>Synchronization and timing</w:t>
      </w:r>
    </w:p>
    <w:p w14:paraId="3A15E5D9"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G.7721 (revised) “Management requirement and information model for synchronization”</w:t>
      </w:r>
      <w:r w:rsidRPr="00A94875">
        <w:rPr>
          <w:rFonts w:asciiTheme="majorBidi" w:hAnsiTheme="majorBidi" w:cstheme="majorBidi"/>
        </w:rPr>
        <w:t xml:space="preserve"> (under approval) provides the management requirements and a protocol-neutral management information model for managing network elements and network of synchronization.</w:t>
      </w:r>
    </w:p>
    <w:p w14:paraId="751F9B5B" w14:textId="77777777" w:rsidR="003B32AB" w:rsidRPr="00A94875" w:rsidRDefault="003B32AB" w:rsidP="003B32AB">
      <w:pPr>
        <w:rPr>
          <w:rFonts w:asciiTheme="majorBidi" w:hAnsiTheme="majorBidi" w:cstheme="majorBidi"/>
        </w:rPr>
      </w:pPr>
      <w:r w:rsidRPr="00A94875">
        <w:rPr>
          <w:rFonts w:asciiTheme="majorBidi" w:hAnsiTheme="majorBidi" w:cstheme="majorBidi"/>
          <w:b/>
        </w:rPr>
        <w:lastRenderedPageBreak/>
        <w:t>ITU-T G.8260 (2015) Amd.2 “Definitions and terminology for synchronization in packet networks: Amendment 2”</w:t>
      </w:r>
      <w:r w:rsidRPr="00A94875">
        <w:rPr>
          <w:rFonts w:asciiTheme="majorBidi" w:hAnsiTheme="majorBidi" w:cstheme="majorBidi"/>
        </w:rPr>
        <w:t xml:space="preserve"> (under approval) provides the following update:</w:t>
      </w:r>
    </w:p>
    <w:p w14:paraId="5897F6FB"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definition of relative time error in clause 3.1.24</w:t>
      </w:r>
    </w:p>
    <w:p w14:paraId="58EADE0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clause I.3.1.4 to Appendix I describing packet selection windows</w:t>
      </w:r>
    </w:p>
    <w:p w14:paraId="45540955"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Modification to clause I.5 to align with terminology in clause I.3.1.4.</w:t>
      </w:r>
    </w:p>
    <w:p w14:paraId="43F6DF77"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 xml:space="preserve">ITU-T G.8262 (revised) “Timing characteristics of synchronous equipment slave clock” </w:t>
      </w:r>
      <w:r w:rsidRPr="00A94875">
        <w:rPr>
          <w:rFonts w:asciiTheme="majorBidi" w:hAnsiTheme="majorBidi" w:cstheme="majorBidi"/>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70E7AD0C"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G.8262.1/Y.1362.1 “Timing characteristics of enhanced synchronous equipment slave clock”</w:t>
      </w:r>
      <w:r w:rsidRPr="00A94875">
        <w:rPr>
          <w:rFonts w:asciiTheme="majorBidi" w:hAnsiTheme="majorBidi" w:cstheme="majorBidi"/>
        </w:rPr>
        <w:t xml:space="preserve"> (under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02E696E1"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G.8264/Y.1364 (2017) Amd.1 “Distribution of timing information through packet networks - Amendment 1”</w:t>
      </w:r>
      <w:r w:rsidRPr="00A94875">
        <w:rPr>
          <w:rFonts w:asciiTheme="majorBidi" w:hAnsiTheme="majorBidi" w:cstheme="majorBidi"/>
        </w:rPr>
        <w:t xml:space="preserve"> makes changes to incorporate the Enhanced Primary Reference Clock (ePRC) into the tables of SSM codes for Synchronous Ethernet.</w:t>
      </w:r>
    </w:p>
    <w:p w14:paraId="6336F06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G.8266/Y.1376 (2016) Amd.1 “Timing characteristics of telecom grandmaster clocks for frequency synchronization - Amendment 1”</w:t>
      </w:r>
      <w:r w:rsidRPr="00A94875">
        <w:rPr>
          <w:rFonts w:asciiTheme="majorBidi" w:hAnsiTheme="majorBidi" w:cstheme="majorBidi"/>
        </w:rPr>
        <w:t xml:space="preserve"> provides the following updates:</w:t>
      </w:r>
    </w:p>
    <w:p w14:paraId="4DB1A83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Changes the scope to include the GM with embedded PRTC</w:t>
      </w:r>
    </w:p>
    <w:p w14:paraId="33901091"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Changes Clause 8.1 to account for the GM with embedded PRTC</w:t>
      </w:r>
    </w:p>
    <w:p w14:paraId="38D84D70"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Replaces text and provides additional material to Appendix I.</w:t>
      </w:r>
    </w:p>
    <w:p w14:paraId="5D1F957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G.8271 (2017) Amd.1 “Time and phase synchronization aspects of telecommunication networks - Amendment 1”</w:t>
      </w:r>
      <w:r w:rsidRPr="00A94875">
        <w:rPr>
          <w:rFonts w:asciiTheme="majorBidi" w:hAnsiTheme="majorBidi" w:cstheme="majorBidi"/>
          <w:bCs/>
        </w:rPr>
        <w:t xml:space="preserve"> provides the following update:</w:t>
      </w:r>
    </w:p>
    <w:p w14:paraId="1FB5863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to Appendix IV on network asymmetry.</w:t>
      </w:r>
    </w:p>
    <w:p w14:paraId="11E9D3B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G.8271 Amd 2 “Time and phase synchronization aspects of packet networks: Amendment 2”</w:t>
      </w:r>
      <w:r w:rsidRPr="00A94875">
        <w:rPr>
          <w:rFonts w:asciiTheme="majorBidi" w:hAnsiTheme="majorBidi" w:cstheme="majorBidi"/>
          <w:bCs/>
        </w:rPr>
        <w:t xml:space="preserve"> (under approval) provides the following updates:</w:t>
      </w:r>
    </w:p>
    <w:p w14:paraId="526C5CD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abbreviations and acronyms</w:t>
      </w:r>
    </w:p>
    <w:p w14:paraId="2231740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Tables 1 and 2</w:t>
      </w:r>
    </w:p>
    <w:p w14:paraId="5E3CE99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Enhanced description of FCS field in Annex A.1.3.2</w:t>
      </w:r>
    </w:p>
    <w:p w14:paraId="61D91BEB"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A.7</w:t>
      </w:r>
    </w:p>
    <w:p w14:paraId="6110E1B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text to clause I.7.2</w:t>
      </w:r>
    </w:p>
    <w:p w14:paraId="5FAFC6B3"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II.1</w:t>
      </w:r>
    </w:p>
    <w:p w14:paraId="7566BB1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II.2</w:t>
      </w:r>
    </w:p>
    <w:p w14:paraId="012410B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references to the Bibliography.</w:t>
      </w:r>
    </w:p>
    <w:p w14:paraId="5FA1E82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G.8271.1/Y.1366.1 (2017) Amd.1 “Network limits for time synchronization in Packet networks - Amendment 1”</w:t>
      </w:r>
      <w:r w:rsidRPr="00A94875">
        <w:rPr>
          <w:rFonts w:asciiTheme="majorBidi" w:hAnsiTheme="majorBidi" w:cstheme="majorBidi"/>
          <w:bCs/>
        </w:rPr>
        <w:t xml:space="preserve"> provides the following updates:</w:t>
      </w:r>
    </w:p>
    <w:p w14:paraId="61546920"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Changes to clause 7 (Network Limits)</w:t>
      </w:r>
    </w:p>
    <w:p w14:paraId="7E51DC12"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Minor enhancements to Appendix III</w:t>
      </w:r>
    </w:p>
    <w:p w14:paraId="25748A83"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Amendment to Appendix V</w:t>
      </w:r>
    </w:p>
    <w:p w14:paraId="02F293B1"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Appendix VII</w:t>
      </w:r>
    </w:p>
    <w:p w14:paraId="2F18A772"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lastRenderedPageBreak/>
        <w:t>−</w:t>
      </w:r>
      <w:r w:rsidRPr="00A94875">
        <w:rPr>
          <w:rFonts w:asciiTheme="majorBidi" w:hAnsiTheme="majorBidi" w:cstheme="majorBidi"/>
          <w:bCs/>
        </w:rPr>
        <w:tab/>
        <w:t>Replacement of Figure IX.1</w:t>
      </w:r>
    </w:p>
    <w:p w14:paraId="5FDC987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X</w:t>
      </w:r>
    </w:p>
    <w:p w14:paraId="2CD19B6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XI</w:t>
      </w:r>
    </w:p>
    <w:p w14:paraId="004331D6"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a Bibliography.</w:t>
      </w:r>
    </w:p>
    <w:p w14:paraId="2CDB7E70"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G.8271.2/Y.1366.2 (2017) Amd.1 “Network limits for time synchronization in packet networks with partial timing support from the network - Amendment 1”</w:t>
      </w:r>
      <w:r w:rsidRPr="00A94875">
        <w:rPr>
          <w:rFonts w:asciiTheme="majorBidi" w:hAnsiTheme="majorBidi" w:cstheme="majorBidi"/>
        </w:rPr>
        <w:t xml:space="preserve"> (under approval) provides the following updates:</w:t>
      </w:r>
    </w:p>
    <w:p w14:paraId="7B8E6228"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new acronyms</w:t>
      </w:r>
    </w:p>
    <w:p w14:paraId="20588E19"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note to clause 7</w:t>
      </w:r>
    </w:p>
    <w:p w14:paraId="0050086A"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sub-clause 7.3</w:t>
      </w:r>
    </w:p>
    <w:p w14:paraId="195F67E2"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sub-clause 7.4</w:t>
      </w:r>
    </w:p>
    <w:p w14:paraId="7C21045E"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Appendix I</w:t>
      </w:r>
    </w:p>
    <w:p w14:paraId="19B18C5C"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Appendix II.</w:t>
      </w:r>
    </w:p>
    <w:p w14:paraId="4B625500"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G.8271.2 Amd.2 “Network limits </w:t>
      </w:r>
      <w:proofErr w:type="gramStart"/>
      <w:r w:rsidRPr="00A94875">
        <w:rPr>
          <w:rFonts w:asciiTheme="majorBidi" w:hAnsiTheme="majorBidi" w:cstheme="majorBidi"/>
          <w:b/>
          <w:bCs/>
        </w:rPr>
        <w:t>for time synchronization in packet networks with partial timing support from the network</w:t>
      </w:r>
      <w:proofErr w:type="gramEnd"/>
      <w:r w:rsidRPr="00A94875">
        <w:rPr>
          <w:rFonts w:asciiTheme="majorBidi" w:hAnsiTheme="majorBidi" w:cstheme="majorBidi"/>
          <w:b/>
          <w:bCs/>
        </w:rPr>
        <w:t>: Amendment 2”</w:t>
      </w:r>
      <w:r w:rsidRPr="00A94875">
        <w:rPr>
          <w:rFonts w:asciiTheme="majorBidi" w:hAnsiTheme="majorBidi" w:cstheme="majorBidi"/>
          <w:bCs/>
        </w:rPr>
        <w:t xml:space="preserve"> (under approval) provides the following updates:</w:t>
      </w:r>
    </w:p>
    <w:p w14:paraId="1663C7F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Figure 2</w:t>
      </w:r>
    </w:p>
    <w:p w14:paraId="0CFAA526"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text to clauses 7.3.1.1 and 7.3.2.1</w:t>
      </w:r>
    </w:p>
    <w:p w14:paraId="069E5D8D"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Revision of clauses 7.4.1 and 7.4.2</w:t>
      </w:r>
    </w:p>
    <w:p w14:paraId="0477AD4A"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Figures I.2 and I.4</w:t>
      </w:r>
    </w:p>
    <w:p w14:paraId="7E3F92C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Revision of clauses I.3 and I.6</w:t>
      </w:r>
    </w:p>
    <w:p w14:paraId="67EF8EA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IV.</w:t>
      </w:r>
    </w:p>
    <w:p w14:paraId="6C415258"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G.8272 (revised) “Timing characteristics of primary reference time clocks”</w:t>
      </w:r>
      <w:r w:rsidRPr="00A94875">
        <w:rPr>
          <w:rFonts w:asciiTheme="majorBidi" w:hAnsiTheme="majorBidi" w:cstheme="majorBidi"/>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14:paraId="2100EF75"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G.8273/Y.1368 “Framework of phase and time clocks”</w:t>
      </w:r>
      <w:r w:rsidRPr="00A94875">
        <w:rPr>
          <w:rFonts w:asciiTheme="majorBidi" w:hAnsiTheme="majorBidi" w:cstheme="majorBidi"/>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3BEF2E2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G.8273.2/Y.1368.2 Amd.2 “Timing characteristics of telecom boundary clocks and telecom time slave clocks - Amendment 2”</w:t>
      </w:r>
      <w:r w:rsidRPr="00A94875">
        <w:rPr>
          <w:rFonts w:asciiTheme="majorBidi" w:hAnsiTheme="majorBidi" w:cstheme="majorBidi"/>
        </w:rPr>
        <w:t xml:space="preserve"> (under approval) replaces text in the Scope, in clauses 2, 4, 7.1, 7.1.1, 7.1.2, 7.4.1.2, C.2.4.1.2, and in Annex </w:t>
      </w:r>
      <w:proofErr w:type="gramStart"/>
      <w:r w:rsidRPr="00A94875">
        <w:rPr>
          <w:rFonts w:asciiTheme="majorBidi" w:hAnsiTheme="majorBidi" w:cstheme="majorBidi"/>
        </w:rPr>
        <w:t>B .</w:t>
      </w:r>
      <w:proofErr w:type="gramEnd"/>
      <w:r w:rsidRPr="00A94875">
        <w:rPr>
          <w:rFonts w:asciiTheme="majorBidi" w:hAnsiTheme="majorBidi" w:cstheme="majorBidi"/>
        </w:rPr>
        <w:t xml:space="preserve"> It adds Annex D. It replaces text in Appendices </w:t>
      </w:r>
      <w:proofErr w:type="gramStart"/>
      <w:r w:rsidRPr="00A94875">
        <w:rPr>
          <w:rFonts w:asciiTheme="majorBidi" w:hAnsiTheme="majorBidi" w:cstheme="majorBidi"/>
        </w:rPr>
        <w:t>I, II, and V.</w:t>
      </w:r>
      <w:proofErr w:type="gramEnd"/>
      <w:r w:rsidRPr="00A94875">
        <w:rPr>
          <w:rFonts w:asciiTheme="majorBidi" w:hAnsiTheme="majorBidi" w:cstheme="majorBidi"/>
        </w:rPr>
        <w:t xml:space="preserve"> It replaces text, table and figure in Appendix III and VI.</w:t>
      </w:r>
    </w:p>
    <w:p w14:paraId="61CA4F0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G.8273.3/Y.1368.3 Amd.1 “Timing characteristics of telecom transparent clocks - Amendment 1”</w:t>
      </w:r>
      <w:r w:rsidRPr="00A94875">
        <w:rPr>
          <w:rFonts w:asciiTheme="majorBidi" w:hAnsiTheme="majorBidi" w:cstheme="majorBidi"/>
        </w:rPr>
        <w:t xml:space="preserve"> (under approval) changes the notes in clauses 7.1.1, 7.1.2 and 7.13. It also adds Appendix III.</w:t>
      </w:r>
    </w:p>
    <w:p w14:paraId="2947B177"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G.8275/Y.1369 Amd.1 “Architecture and requirements for packet-based time and phase distribution: Amendment 1”</w:t>
      </w:r>
      <w:r w:rsidRPr="00A94875">
        <w:rPr>
          <w:rFonts w:asciiTheme="majorBidi" w:hAnsiTheme="majorBidi" w:cstheme="majorBidi"/>
          <w:bCs/>
        </w:rPr>
        <w:t xml:space="preserve"> (under approval) provides the following updates:</w:t>
      </w:r>
    </w:p>
    <w:p w14:paraId="3E6FF2DB"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to Acronyms</w:t>
      </w:r>
    </w:p>
    <w:p w14:paraId="67C4801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to Bibliography</w:t>
      </w:r>
    </w:p>
    <w:p w14:paraId="7873E07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lastRenderedPageBreak/>
        <w:t>−</w:t>
      </w:r>
      <w:r w:rsidRPr="00A94875">
        <w:rPr>
          <w:rFonts w:asciiTheme="majorBidi" w:hAnsiTheme="majorBidi" w:cstheme="majorBidi"/>
          <w:bCs/>
        </w:rPr>
        <w:tab/>
        <w:t>Update Appendix III, Generic IWF PTP clock</w:t>
      </w:r>
    </w:p>
    <w:p w14:paraId="1076AF0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new Appendix V, Deployment Examples and the Use of Partially Aware Clock Types</w:t>
      </w:r>
    </w:p>
    <w:p w14:paraId="3424DD1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new Appendix VI, cnPRTC functional architecture.</w:t>
      </w:r>
    </w:p>
    <w:p w14:paraId="0542440D"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G.8275.1/Y.1369.1 (2016) Amd.2 “Precision </w:t>
      </w:r>
      <w:proofErr w:type="gramStart"/>
      <w:r w:rsidRPr="00A94875">
        <w:rPr>
          <w:rFonts w:asciiTheme="majorBidi" w:hAnsiTheme="majorBidi" w:cstheme="majorBidi"/>
          <w:b/>
          <w:bCs/>
        </w:rPr>
        <w:t>time protocol telecom profile</w:t>
      </w:r>
      <w:proofErr w:type="gramEnd"/>
      <w:r w:rsidRPr="00A94875">
        <w:rPr>
          <w:rFonts w:asciiTheme="majorBidi" w:hAnsiTheme="majorBidi" w:cstheme="majorBidi"/>
          <w:b/>
          <w:bCs/>
        </w:rPr>
        <w:t xml:space="preserve"> for phase/time synchronization with full timing support from the network: Amendment 2”</w:t>
      </w:r>
      <w:r w:rsidRPr="00A94875">
        <w:rPr>
          <w:rFonts w:asciiTheme="majorBidi" w:hAnsiTheme="majorBidi" w:cstheme="majorBidi"/>
          <w:bCs/>
        </w:rPr>
        <w:t xml:space="preserve"> provides the following updates:</w:t>
      </w:r>
    </w:p>
    <w:p w14:paraId="5A395CE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Change Annex C to reference G.8275 Annex B</w:t>
      </w:r>
    </w:p>
    <w:p w14:paraId="65ADA38B"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Correct some settings in Tables V.2 and V.3</w:t>
      </w:r>
    </w:p>
    <w:p w14:paraId="5167E9FB"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Clarify the requirements on the T-TSC when it </w:t>
      </w:r>
      <w:proofErr w:type="gramStart"/>
      <w:r w:rsidRPr="00A94875">
        <w:rPr>
          <w:rFonts w:asciiTheme="majorBidi" w:hAnsiTheme="majorBidi" w:cstheme="majorBidi"/>
          <w:bCs/>
        </w:rPr>
        <w:t>is embedded</w:t>
      </w:r>
      <w:proofErr w:type="gramEnd"/>
      <w:r w:rsidRPr="00A94875">
        <w:rPr>
          <w:rFonts w:asciiTheme="majorBidi" w:hAnsiTheme="majorBidi" w:cstheme="majorBidi"/>
          <w:bCs/>
        </w:rPr>
        <w:t xml:space="preserve"> in the end application</w:t>
      </w:r>
    </w:p>
    <w:p w14:paraId="1A881DE6"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an example to Appendix XII.</w:t>
      </w:r>
    </w:p>
    <w:p w14:paraId="72EFC09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G.8275.2/Y.1369.2 (2016) Amd.2 “Precision time protocol telecom profile for phase/time synchronization with partial timing support from the network - Amendment 2”</w:t>
      </w:r>
      <w:r w:rsidRPr="00A94875">
        <w:rPr>
          <w:rFonts w:asciiTheme="majorBidi" w:hAnsiTheme="majorBidi" w:cstheme="majorBidi"/>
        </w:rPr>
        <w:t xml:space="preserve"> provides the following updates:</w:t>
      </w:r>
    </w:p>
    <w:p w14:paraId="72BD52D9"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new acronym to clause 4: T-BC-A</w:t>
      </w:r>
    </w:p>
    <w:p w14:paraId="64204CE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and replaced text in clause 5 related to addition of T-BC-A</w:t>
      </w:r>
    </w:p>
    <w:p w14:paraId="463461A3"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and replaced text in clause 6.2.3 related to T-BC-A addition and reference to “local time reference”, including changes to Table 1</w:t>
      </w:r>
    </w:p>
    <w:p w14:paraId="62928AD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Changed text in clause 6.6</w:t>
      </w:r>
    </w:p>
    <w:p w14:paraId="2AE672FE"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references to T-BC-A in clauses 6.7.1 and 6.7.4</w:t>
      </w:r>
    </w:p>
    <w:p w14:paraId="65D635EA"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T-BC-A reference and “local time reference” to clauses 6.7.6 and 6.7.7</w:t>
      </w:r>
    </w:p>
    <w:p w14:paraId="65DF4253"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New material and edits to clause 6.8 including T-BC-A references</w:t>
      </w:r>
    </w:p>
    <w:p w14:paraId="41004EB5"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references to T-BC-A in Appendix I and Appendix III</w:t>
      </w:r>
    </w:p>
    <w:p w14:paraId="43D84674"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“local time reference” to Appendix II</w:t>
      </w:r>
    </w:p>
    <w:p w14:paraId="5B139BAB"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 xml:space="preserve">Added and replaced material in Appendix IV </w:t>
      </w:r>
    </w:p>
    <w:p w14:paraId="1A47CC8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New material added to Appendix V related to PTSF</w:t>
      </w:r>
    </w:p>
    <w:p w14:paraId="4F7F50D5"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new Appendix VIII on PTSF-lossSync.</w:t>
      </w:r>
    </w:p>
    <w:p w14:paraId="624CCEC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G.Suppl.sim “Simulations of Transport of Time over Packet Networks”</w:t>
      </w:r>
      <w:r w:rsidRPr="00A94875">
        <w:rPr>
          <w:rFonts w:asciiTheme="majorBidi" w:hAnsiTheme="majorBidi" w:cstheme="majorBidi"/>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w:t>
      </w:r>
      <w:proofErr w:type="gramStart"/>
      <w:r w:rsidRPr="00A94875">
        <w:rPr>
          <w:rFonts w:asciiTheme="majorBidi" w:hAnsiTheme="majorBidi" w:cstheme="majorBidi"/>
        </w:rPr>
        <w:t>are described</w:t>
      </w:r>
      <w:proofErr w:type="gramEnd"/>
      <w:r w:rsidRPr="00A94875">
        <w:rPr>
          <w:rFonts w:asciiTheme="majorBidi" w:hAnsiTheme="majorBidi" w:cstheme="majorBidi"/>
        </w:rPr>
        <w:t>.</w:t>
      </w:r>
    </w:p>
    <w:p w14:paraId="37A5622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Since SyncE </w:t>
      </w:r>
      <w:proofErr w:type="gramStart"/>
      <w:r w:rsidRPr="00A94875">
        <w:rPr>
          <w:rFonts w:asciiTheme="majorBidi" w:hAnsiTheme="majorBidi" w:cstheme="majorBidi"/>
        </w:rPr>
        <w:t>noise</w:t>
      </w:r>
      <w:proofErr w:type="gramEnd"/>
      <w:r w:rsidRPr="00A94875">
        <w:rPr>
          <w:rFonts w:asciiTheme="majorBidi" w:hAnsiTheme="majorBidi" w:cstheme="majorBidi"/>
        </w:rPr>
        <w:t xml:space="preserve"> accumulation results are needed as input to the simulation of time error accumulation, models and simulation analyses for SyncE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rPr>
        <w:t>full</w:t>
      </w:r>
      <w:proofErr w:type="gramEnd"/>
      <w:r w:rsidRPr="00A94875">
        <w:rPr>
          <w:rFonts w:asciiTheme="majorBidi" w:hAnsiTheme="majorBidi" w:cstheme="majorBidi"/>
        </w:rPr>
        <w:t>-timing support from the network, and frequency provided by the physical layer by SyncE. Simulation cases that do not have these limitations are for further study.</w:t>
      </w:r>
    </w:p>
    <w:p w14:paraId="5EB2BB3E" w14:textId="77777777" w:rsidR="003B32AB" w:rsidRPr="00A94875" w:rsidRDefault="003B32AB" w:rsidP="003B32AB">
      <w:pPr>
        <w:keepNext/>
        <w:keepLines/>
        <w:spacing w:before="240"/>
        <w:rPr>
          <w:b/>
          <w:sz w:val="22"/>
          <w:szCs w:val="22"/>
        </w:rPr>
      </w:pPr>
      <w:r w:rsidRPr="00A94875">
        <w:rPr>
          <w:b/>
          <w:sz w:val="22"/>
          <w:szCs w:val="22"/>
        </w:rPr>
        <w:lastRenderedPageBreak/>
        <w:t>I.1.10</w:t>
      </w:r>
      <w:r w:rsidRPr="00A94875">
        <w:rPr>
          <w:b/>
          <w:sz w:val="22"/>
          <w:szCs w:val="22"/>
        </w:rPr>
        <w:tab/>
        <w:t>Cable</w:t>
      </w:r>
      <w:bookmarkEnd w:id="274"/>
    </w:p>
    <w:p w14:paraId="09C63442"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J.207 (revised) “Specification for integrated broadcast and broadband digital television application control framework”</w:t>
      </w:r>
      <w:r w:rsidRPr="00A94875">
        <w:rPr>
          <w:rFonts w:asciiTheme="majorBidi" w:hAnsiTheme="majorBidi" w:cstheme="majorBidi"/>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14:paraId="13CF8FB0"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J.297 (revised) “Requirements and functional specification of cable set top box for 4K ultra high definition television”</w:t>
      </w:r>
      <w:r w:rsidRPr="00A94875">
        <w:rPr>
          <w:rFonts w:asciiTheme="majorBidi" w:hAnsiTheme="majorBidi" w:cstheme="majorBidi"/>
        </w:rPr>
        <w:t xml:space="preserve"> adds Multiplex method for TLV and channel bonding in functional specification part and new function HDR for 4K ultra high definition service as well as several editorial modifications and updates in Appendix.</w:t>
      </w:r>
    </w:p>
    <w:p w14:paraId="1CC7FFE6" w14:textId="77777777" w:rsidR="003B32AB" w:rsidRPr="00A94875" w:rsidRDefault="003B32AB" w:rsidP="003B32AB">
      <w:pPr>
        <w:rPr>
          <w:rFonts w:asciiTheme="majorBidi" w:hAnsiTheme="majorBidi" w:cstheme="majorBidi"/>
          <w:b/>
          <w:highlight w:val="yellow"/>
        </w:rPr>
      </w:pPr>
      <w:r w:rsidRPr="00A94875">
        <w:rPr>
          <w:rFonts w:asciiTheme="majorBidi" w:hAnsiTheme="majorBidi" w:cstheme="majorBidi"/>
          <w:b/>
        </w:rPr>
        <w:t>ITU-T J.382 (revised) “Advanced digital downstream transmission systems for television, sound and data services for cable distribution”</w:t>
      </w:r>
      <w:r w:rsidRPr="00A94875">
        <w:rPr>
          <w:rFonts w:asciiTheme="majorBidi" w:hAnsiTheme="majorBidi" w:cstheme="majorBidi"/>
        </w:rPr>
        <w:t xml:space="preserve"> provides specifications that should be considered for advanced digital cable downstream transmission technologies to provide high spectral efficiency 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14:paraId="3FB0CD6E"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J.1107 “Architecture and specification for Radio over IP transmission systems”</w:t>
      </w:r>
      <w:r w:rsidRPr="00A94875">
        <w:rPr>
          <w:rFonts w:asciiTheme="majorBidi" w:hAnsiTheme="majorBidi" w:cstheme="majorBidi"/>
        </w:rPr>
        <w:t xml:space="preserve"> </w:t>
      </w:r>
      <w:r w:rsidRPr="00A94875">
        <w:rPr>
          <w:rFonts w:asciiTheme="majorBidi" w:hAnsiTheme="majorBidi" w:cstheme="majorBidi"/>
          <w:bCs/>
        </w:rPr>
        <w:t xml:space="preserve">provide a cost-effective adaptable solution for HFC-based cable TV network devices in optic-based cable TV network. The purpose of RoIP system is to transmit Data </w:t>
      </w:r>
      <w:proofErr w:type="gramStart"/>
      <w:r w:rsidRPr="00A94875">
        <w:rPr>
          <w:rFonts w:asciiTheme="majorBidi" w:hAnsiTheme="majorBidi" w:cstheme="majorBidi"/>
          <w:bCs/>
        </w:rPr>
        <w:t>Over</w:t>
      </w:r>
      <w:proofErr w:type="gramEnd"/>
      <w:r w:rsidRPr="00A94875">
        <w:rPr>
          <w:rFonts w:asciiTheme="majorBidi" w:hAnsiTheme="majorBidi" w:cstheme="majorBidi"/>
          <w:bCs/>
        </w:rPr>
        <w:t xml:space="preserve"> Cable Service Interface Specifications (DOCSIS) based Up Stream (US) RF signal of Cable Modem (CM) to Cable Modem Termination System (CMTS) through IP transmission in optic-based cable TV network.</w:t>
      </w:r>
    </w:p>
    <w:p w14:paraId="7CC5DB9C" w14:textId="77777777" w:rsidR="003B32AB" w:rsidRPr="00A94875" w:rsidRDefault="003B32AB" w:rsidP="003B32AB">
      <w:pPr>
        <w:spacing w:before="240"/>
        <w:rPr>
          <w:b/>
          <w:sz w:val="22"/>
          <w:szCs w:val="22"/>
        </w:rPr>
      </w:pPr>
      <w:bookmarkStart w:id="279" w:name="_Toc480527893"/>
      <w:r w:rsidRPr="00A94875">
        <w:rPr>
          <w:b/>
          <w:sz w:val="22"/>
          <w:szCs w:val="22"/>
        </w:rPr>
        <w:t>I.2.2</w:t>
      </w:r>
      <w:r w:rsidRPr="00A94875">
        <w:rPr>
          <w:b/>
          <w:sz w:val="22"/>
          <w:szCs w:val="22"/>
        </w:rPr>
        <w:tab/>
      </w:r>
      <w:bookmarkEnd w:id="279"/>
      <w:r w:rsidRPr="00A94875">
        <w:rPr>
          <w:b/>
          <w:sz w:val="22"/>
          <w:szCs w:val="22"/>
        </w:rPr>
        <w:t>Smart ubiquitous networks, next-generation networks evolution, and future networks</w:t>
      </w:r>
    </w:p>
    <w:p w14:paraId="4D86EA07" w14:textId="77777777" w:rsidR="003B32AB" w:rsidRPr="00A94875" w:rsidRDefault="003B32AB" w:rsidP="003B32AB">
      <w:pPr>
        <w:pStyle w:val="NormalWeb"/>
        <w:spacing w:before="120" w:beforeAutospacing="0" w:after="0" w:afterAutospacing="0"/>
        <w:rPr>
          <w:rFonts w:asciiTheme="majorBidi" w:hAnsiTheme="majorBidi" w:cstheme="majorBidi"/>
          <w:bCs/>
          <w:szCs w:val="20"/>
          <w:highlight w:val="yellow"/>
          <w:lang w:val="en-GB"/>
        </w:rPr>
      </w:pPr>
      <w:r w:rsidRPr="00A94875">
        <w:rPr>
          <w:rFonts w:asciiTheme="majorBidi" w:hAnsiTheme="majorBidi" w:cstheme="majorBidi"/>
          <w:b/>
          <w:bCs/>
          <w:szCs w:val="20"/>
          <w:lang w:val="en-GB"/>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rPr>
        <w:t xml:space="preserve"> defines the format, encoding and semantics of cause information elements/parameters and the usage of the location field, in the Digital Subscriber Signalling System No. 1 and the Signalling System No. 7 ISDN User Part.</w:t>
      </w:r>
    </w:p>
    <w:p w14:paraId="4BCD0035" w14:textId="77777777" w:rsidR="003B32AB" w:rsidRPr="00A94875" w:rsidRDefault="003B32AB" w:rsidP="003B32AB">
      <w:pPr>
        <w:pStyle w:val="NormalWeb"/>
        <w:spacing w:before="120" w:beforeAutospacing="0" w:after="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ITU-T Q.3405 “IPv6 protocol procedures for broadband services”</w:t>
      </w:r>
      <w:r w:rsidRPr="00A94875">
        <w:rPr>
          <w:rFonts w:asciiTheme="majorBidi" w:hAnsiTheme="majorBidi" w:cstheme="majorBidi"/>
          <w:szCs w:val="20"/>
          <w:lang w:val="en-GB"/>
        </w:rPr>
        <w:t xml:space="preserve"> identifies the IPv6 protocol </w:t>
      </w:r>
      <w:proofErr w:type="gramStart"/>
      <w:r w:rsidRPr="00A94875">
        <w:rPr>
          <w:rFonts w:asciiTheme="majorBidi" w:hAnsiTheme="majorBidi" w:cstheme="majorBidi"/>
          <w:szCs w:val="20"/>
          <w:lang w:val="en-GB"/>
        </w:rPr>
        <w:t>procedures which</w:t>
      </w:r>
      <w:proofErr w:type="gramEnd"/>
      <w:r w:rsidRPr="00A94875">
        <w:rPr>
          <w:rFonts w:asciiTheme="majorBidi" w:hAnsiTheme="majorBidi" w:cstheme="majorBidi"/>
          <w:szCs w:val="20"/>
          <w:lang w:val="en-GB"/>
        </w:rPr>
        <w:t xml:space="preserve"> support broadband services with IPv6 transition. The protocol procedures </w:t>
      </w:r>
      <w:proofErr w:type="gramStart"/>
      <w:r w:rsidRPr="00A94875">
        <w:rPr>
          <w:rFonts w:asciiTheme="majorBidi" w:hAnsiTheme="majorBidi" w:cstheme="majorBidi"/>
          <w:szCs w:val="20"/>
          <w:lang w:val="en-GB"/>
        </w:rPr>
        <w:t>are specified</w:t>
      </w:r>
      <w:proofErr w:type="gramEnd"/>
      <w:r w:rsidRPr="00A94875">
        <w:rPr>
          <w:rFonts w:asciiTheme="majorBidi" w:hAnsiTheme="majorBidi" w:cstheme="majorBidi"/>
          <w:szCs w:val="20"/>
          <w:lang w:val="en-GB"/>
        </w:rPr>
        <w:t xml:space="preserve"> according to three basic IPv6 transition modes, including dual stack, tunnelling and translation.</w:t>
      </w:r>
    </w:p>
    <w:p w14:paraId="128DE027" w14:textId="77777777" w:rsidR="003B32AB" w:rsidRPr="00A94875" w:rsidRDefault="003B32AB" w:rsidP="003B32AB">
      <w:pPr>
        <w:pStyle w:val="NormalWeb"/>
        <w:spacing w:before="120" w:beforeAutospacing="0" w:after="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rPr>
        <w:t xml:space="preserve"> identifies the IMS IP-Multimedia Subsystem specifications </w:t>
      </w:r>
      <w:proofErr w:type="gramStart"/>
      <w:r w:rsidRPr="00A94875">
        <w:rPr>
          <w:rFonts w:asciiTheme="majorBidi" w:hAnsiTheme="majorBidi" w:cstheme="majorBidi"/>
          <w:szCs w:val="20"/>
          <w:lang w:val="en-GB"/>
        </w:rPr>
        <w:t>for the "ETSI Release 11" as base for the communication between IMS and NGN Network in order to support end-to-end service interoperability</w:t>
      </w:r>
      <w:proofErr w:type="gramEnd"/>
      <w:r w:rsidRPr="00A94875">
        <w:rPr>
          <w:rFonts w:asciiTheme="majorBidi" w:hAnsiTheme="majorBidi" w:cstheme="majorBidi"/>
          <w:szCs w:val="20"/>
          <w:lang w:val="en-GB"/>
        </w:rPr>
        <w:t>.</w:t>
      </w:r>
    </w:p>
    <w:p w14:paraId="67DCE5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 xml:space="preserve">ITU-T Q.3717 </w:t>
      </w:r>
      <w:proofErr w:type="gramStart"/>
      <w:r w:rsidRPr="00A94875">
        <w:rPr>
          <w:rFonts w:asciiTheme="majorBidi" w:hAnsiTheme="majorBidi" w:cstheme="majorBidi"/>
          <w:b/>
          <w:bCs/>
          <w:szCs w:val="20"/>
          <w:lang w:val="en-GB"/>
        </w:rPr>
        <w:t>“ Signalling</w:t>
      </w:r>
      <w:proofErr w:type="gramEnd"/>
      <w:r w:rsidRPr="00A94875">
        <w:rPr>
          <w:rFonts w:asciiTheme="majorBidi" w:hAnsiTheme="majorBidi" w:cstheme="majorBidi"/>
          <w:b/>
          <w:bCs/>
          <w:szCs w:val="20"/>
          <w:lang w:val="en-GB"/>
        </w:rPr>
        <w:t xml:space="preserve"> requirements for automatic management of IP address pool by SDN technologies on BNG”</w:t>
      </w:r>
      <w:r w:rsidRPr="00A94875">
        <w:rPr>
          <w:rFonts w:asciiTheme="majorBidi" w:hAnsiTheme="majorBidi" w:cstheme="majorBidi"/>
          <w:bCs/>
          <w:szCs w:val="20"/>
          <w:lang w:val="en-GB"/>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bCs/>
          <w:szCs w:val="20"/>
          <w:lang w:val="en-GB"/>
        </w:rPr>
        <w:t>allocation,</w:t>
      </w:r>
      <w:proofErr w:type="gramEnd"/>
      <w:r w:rsidRPr="00A94875">
        <w:rPr>
          <w:rFonts w:asciiTheme="majorBidi" w:hAnsiTheme="majorBidi" w:cstheme="majorBidi"/>
          <w:bCs/>
          <w:szCs w:val="20"/>
          <w:lang w:val="en-GB"/>
        </w:rPr>
        <w:t xml:space="preserve"> monitor and reclaim of IP address resources.</w:t>
      </w:r>
    </w:p>
    <w:p w14:paraId="204BF5F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Q.3718 “Signalling requirements of the Sew interface for Virtual Data Center”</w:t>
      </w:r>
      <w:r w:rsidRPr="00A94875">
        <w:rPr>
          <w:rFonts w:asciiTheme="majorBidi" w:hAnsiTheme="majorBidi" w:cstheme="majorBidi"/>
          <w:bCs/>
          <w:szCs w:val="20"/>
          <w:lang w:val="en-GB"/>
        </w:rPr>
        <w:t xml:space="preserve"> focuses on the inter-domain Sew </w:t>
      </w:r>
      <w:proofErr w:type="gramStart"/>
      <w:r w:rsidRPr="00A94875">
        <w:rPr>
          <w:rFonts w:asciiTheme="majorBidi" w:hAnsiTheme="majorBidi" w:cstheme="majorBidi"/>
          <w:bCs/>
          <w:szCs w:val="20"/>
          <w:lang w:val="en-GB"/>
        </w:rPr>
        <w:t>interface which</w:t>
      </w:r>
      <w:proofErr w:type="gramEnd"/>
      <w:r w:rsidRPr="00A94875">
        <w:rPr>
          <w:rFonts w:asciiTheme="majorBidi" w:hAnsiTheme="majorBidi" w:cstheme="majorBidi"/>
          <w:bCs/>
          <w:szCs w:val="20"/>
          <w:lang w:val="en-GB"/>
        </w:rPr>
        <w:t xml:space="preserve"> is standardized to allow for multiple control entities within </w:t>
      </w:r>
      <w:r w:rsidRPr="00A94875">
        <w:rPr>
          <w:rFonts w:asciiTheme="majorBidi" w:hAnsiTheme="majorBidi" w:cstheme="majorBidi"/>
          <w:bCs/>
          <w:szCs w:val="20"/>
          <w:lang w:val="en-GB"/>
        </w:rPr>
        <w:lastRenderedPageBreak/>
        <w:t>Virtual Data Center (VDC). In VDC, the SDN control entities exchanges the control plane related information with each other through the Sew interface.</w:t>
      </w:r>
    </w:p>
    <w:p w14:paraId="1D28FC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X.609.6 “Managed P2P communications: Content distribution signalling requirements"</w:t>
      </w:r>
      <w:r w:rsidRPr="00A94875">
        <w:rPr>
          <w:rFonts w:asciiTheme="majorBidi" w:hAnsiTheme="majorBidi" w:cstheme="majorBidi"/>
          <w:bCs/>
          <w:szCs w:val="20"/>
          <w:lang w:val="en-GB"/>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w:t>
      </w:r>
      <w:proofErr w:type="gramStart"/>
      <w:r w:rsidRPr="00A94875">
        <w:rPr>
          <w:rFonts w:asciiTheme="majorBidi" w:hAnsiTheme="majorBidi" w:cstheme="majorBidi"/>
          <w:bCs/>
          <w:szCs w:val="20"/>
          <w:lang w:val="en-GB"/>
        </w:rPr>
        <w:t>and also</w:t>
      </w:r>
      <w:proofErr w:type="gramEnd"/>
      <w:r w:rsidRPr="00A94875">
        <w:rPr>
          <w:rFonts w:asciiTheme="majorBidi" w:hAnsiTheme="majorBidi" w:cstheme="majorBidi"/>
          <w:bCs/>
          <w:szCs w:val="20"/>
          <w:lang w:val="en-GB"/>
        </w:rPr>
        <w:t xml:space="preserve"> it enables contents providers to control accessing the overlay network. That is, the content provider can update the content to </w:t>
      </w:r>
      <w:proofErr w:type="gramStart"/>
      <w:r w:rsidRPr="00A94875">
        <w:rPr>
          <w:rFonts w:asciiTheme="majorBidi" w:hAnsiTheme="majorBidi" w:cstheme="majorBidi"/>
          <w:bCs/>
          <w:szCs w:val="20"/>
          <w:lang w:val="en-GB"/>
        </w:rPr>
        <w:t>be distributed</w:t>
      </w:r>
      <w:proofErr w:type="gramEnd"/>
      <w:r w:rsidRPr="00A94875">
        <w:rPr>
          <w:rFonts w:asciiTheme="majorBidi" w:hAnsiTheme="majorBidi" w:cstheme="majorBidi"/>
          <w:bCs/>
          <w:szCs w:val="20"/>
          <w:lang w:val="en-GB"/>
        </w:rPr>
        <w:t xml:space="preserve"> over an overlay network anytime, and every update will be applied to all peers in the overlay network. This Recommendation lists requirements for the related reference points that are defined in Recommendation ITU-T X.609 for providing content distribution services, and </w:t>
      </w:r>
      <w:proofErr w:type="gramStart"/>
      <w:r w:rsidRPr="00A94875">
        <w:rPr>
          <w:rFonts w:asciiTheme="majorBidi" w:hAnsiTheme="majorBidi" w:cstheme="majorBidi"/>
          <w:bCs/>
          <w:szCs w:val="20"/>
          <w:lang w:val="en-GB"/>
        </w:rPr>
        <w:t>it also</w:t>
      </w:r>
      <w:proofErr w:type="gramEnd"/>
      <w:r w:rsidRPr="00A94875">
        <w:rPr>
          <w:rFonts w:asciiTheme="majorBidi" w:hAnsiTheme="majorBidi" w:cstheme="majorBidi"/>
          <w:bCs/>
          <w:szCs w:val="20"/>
          <w:lang w:val="en-GB"/>
        </w:rPr>
        <w:t xml:space="preserve"> describes high-level procedures for content distribution service over managed P2P architecture and roles of the managed P2P components for the service.</w:t>
      </w:r>
    </w:p>
    <w:p w14:paraId="485A2BF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X.609.7 “Managed P2P communications: Content distribution peer protocol"</w:t>
      </w:r>
      <w:r w:rsidRPr="00A94875">
        <w:rPr>
          <w:rFonts w:asciiTheme="majorBidi" w:hAnsiTheme="majorBidi" w:cstheme="majorBidi"/>
          <w:bCs/>
          <w:szCs w:val="20"/>
          <w:lang w:val="en-GB"/>
        </w:rPr>
        <w:t xml:space="preserve"> (under approval) specifies a content distribution peer protocol (CDPP) that runs on the interface among entities of managed P2P communications. CDPP </w:t>
      </w:r>
      <w:proofErr w:type="gramStart"/>
      <w:r w:rsidRPr="00A94875">
        <w:rPr>
          <w:rFonts w:asciiTheme="majorBidi" w:hAnsiTheme="majorBidi" w:cstheme="majorBidi"/>
          <w:bCs/>
          <w:szCs w:val="20"/>
          <w:lang w:val="en-GB"/>
        </w:rPr>
        <w:t>is used</w:t>
      </w:r>
      <w:proofErr w:type="gramEnd"/>
      <w:r w:rsidRPr="00A94875">
        <w:rPr>
          <w:rFonts w:asciiTheme="majorBidi" w:hAnsiTheme="majorBidi" w:cstheme="majorBidi"/>
          <w:bCs/>
          <w:szCs w:val="20"/>
          <w:lang w:val="en-GB"/>
        </w:rPr>
        <w:t xml:space="preserve">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w:t>
      </w:r>
      <w:proofErr w:type="gramStart"/>
      <w:r w:rsidRPr="00A94875">
        <w:rPr>
          <w:rFonts w:asciiTheme="majorBidi" w:hAnsiTheme="majorBidi" w:cstheme="majorBidi"/>
          <w:bCs/>
          <w:szCs w:val="20"/>
          <w:lang w:val="en-GB"/>
        </w:rPr>
        <w:t>communications which</w:t>
      </w:r>
      <w:proofErr w:type="gramEnd"/>
      <w:r w:rsidRPr="00A94875">
        <w:rPr>
          <w:rFonts w:asciiTheme="majorBidi" w:hAnsiTheme="majorBidi" w:cstheme="majorBidi"/>
          <w:bCs/>
          <w:szCs w:val="20"/>
          <w:lang w:val="en-GB"/>
        </w:rPr>
        <w:t xml:space="preserve"> is not capable of providing manageability, the content distribution over managed P2P communications can be managed by content provider or service provider. In the content distribution over managed P2P communications, as an example, participation in an overlay network </w:t>
      </w:r>
      <w:proofErr w:type="gramStart"/>
      <w:r w:rsidRPr="00A94875">
        <w:rPr>
          <w:rFonts w:asciiTheme="majorBidi" w:hAnsiTheme="majorBidi" w:cstheme="majorBidi"/>
          <w:bCs/>
          <w:szCs w:val="20"/>
          <w:lang w:val="en-GB"/>
        </w:rPr>
        <w:t>can be controlled</w:t>
      </w:r>
      <w:proofErr w:type="gramEnd"/>
      <w:r w:rsidRPr="00A94875">
        <w:rPr>
          <w:rFonts w:asciiTheme="majorBidi" w:hAnsiTheme="majorBidi" w:cstheme="majorBidi"/>
          <w:bCs/>
          <w:szCs w:val="20"/>
          <w:lang w:val="en-GB"/>
        </w:rPr>
        <w:t xml:space="preserve"> so that only predefined peers can join the overlay network and distribute contents each other. In addition, content to </w:t>
      </w:r>
      <w:proofErr w:type="gramStart"/>
      <w:r w:rsidRPr="00A94875">
        <w:rPr>
          <w:rFonts w:asciiTheme="majorBidi" w:hAnsiTheme="majorBidi" w:cstheme="majorBidi"/>
          <w:bCs/>
          <w:szCs w:val="20"/>
          <w:lang w:val="en-GB"/>
        </w:rPr>
        <w:t>be distributed</w:t>
      </w:r>
      <w:proofErr w:type="gramEnd"/>
      <w:r w:rsidRPr="00A94875">
        <w:rPr>
          <w:rFonts w:asciiTheme="majorBidi" w:hAnsiTheme="majorBidi" w:cstheme="majorBidi"/>
          <w:bCs/>
          <w:szCs w:val="20"/>
          <w:lang w:val="en-GB"/>
        </w:rPr>
        <w:t xml:space="preserve">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46560AE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Y.2072 “Framework of Energy Sharing and Trading Platform”</w:t>
      </w:r>
      <w:r w:rsidRPr="00A94875">
        <w:rPr>
          <w:rFonts w:asciiTheme="majorBidi" w:hAnsiTheme="majorBidi" w:cstheme="majorBidi"/>
          <w:bCs/>
          <w:szCs w:val="20"/>
          <w:lang w:val="en-GB"/>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w:t>
      </w:r>
      <w:proofErr w:type="gramStart"/>
      <w:r w:rsidRPr="00A94875">
        <w:rPr>
          <w:rFonts w:asciiTheme="majorBidi" w:hAnsiTheme="majorBidi" w:cstheme="majorBidi"/>
          <w:bCs/>
          <w:szCs w:val="20"/>
          <w:lang w:val="en-GB"/>
        </w:rPr>
        <w:t>Finally</w:t>
      </w:r>
      <w:proofErr w:type="gramEnd"/>
      <w:r w:rsidRPr="00A94875">
        <w:rPr>
          <w:rFonts w:asciiTheme="majorBidi" w:hAnsiTheme="majorBidi" w:cstheme="majorBidi"/>
          <w:bCs/>
          <w:szCs w:val="20"/>
          <w:lang w:val="en-GB"/>
        </w:rPr>
        <w:t xml:space="preserve"> mechanisms for energy information exchange to support integrated control and management services on the energy sharing and trading platform are described.</w:t>
      </w:r>
    </w:p>
    <w:p w14:paraId="6DEE48F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Y.2323 “Requirements and capabilities of orchestration in next generation network evolution”</w:t>
      </w:r>
      <w:r w:rsidRPr="00A94875">
        <w:rPr>
          <w:rFonts w:asciiTheme="majorBidi" w:hAnsiTheme="majorBidi" w:cstheme="majorBidi"/>
          <w:bCs/>
          <w:szCs w:val="20"/>
          <w:lang w:val="en-GB"/>
        </w:rPr>
        <w:t xml:space="preserve"> (under approval) 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69730DC4" w14:textId="77777777" w:rsidR="003B32AB" w:rsidRPr="00A94875" w:rsidRDefault="003B32AB" w:rsidP="003B32AB">
      <w:pPr>
        <w:pStyle w:val="NormalWeb"/>
        <w:spacing w:before="120" w:beforeAutospacing="0" w:after="120" w:afterAutospacing="0"/>
        <w:rPr>
          <w:rFonts w:asciiTheme="majorBidi" w:hAnsiTheme="majorBidi" w:cstheme="majorBidi"/>
          <w:b/>
          <w:bCs/>
          <w:szCs w:val="20"/>
          <w:lang w:val="en-GB"/>
        </w:rPr>
      </w:pPr>
      <w:r w:rsidRPr="00A94875">
        <w:rPr>
          <w:rFonts w:asciiTheme="majorBidi" w:hAnsiTheme="majorBidi" w:cstheme="majorBidi"/>
          <w:b/>
          <w:bCs/>
          <w:szCs w:val="20"/>
          <w:lang w:val="en-GB"/>
        </w:rPr>
        <w:t>ITU-T Y.2242 “Service function chaining in mobile network”</w:t>
      </w:r>
      <w:r w:rsidRPr="00A94875">
        <w:rPr>
          <w:rFonts w:asciiTheme="majorBidi" w:hAnsiTheme="majorBidi" w:cstheme="majorBidi"/>
          <w:bCs/>
          <w:szCs w:val="20"/>
          <w:lang w:val="en-GB"/>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w:t>
      </w:r>
      <w:proofErr w:type="gramStart"/>
      <w:r w:rsidRPr="00A94875">
        <w:rPr>
          <w:rFonts w:asciiTheme="majorBidi" w:hAnsiTheme="majorBidi" w:cstheme="majorBidi"/>
          <w:bCs/>
          <w:szCs w:val="20"/>
          <w:lang w:val="en-GB"/>
        </w:rPr>
        <w:t>are virtualized</w:t>
      </w:r>
      <w:proofErr w:type="gramEnd"/>
      <w:r w:rsidRPr="00A94875">
        <w:rPr>
          <w:rFonts w:asciiTheme="majorBidi" w:hAnsiTheme="majorBidi" w:cstheme="majorBidi"/>
          <w:bCs/>
          <w:szCs w:val="20"/>
          <w:lang w:val="en-GB"/>
        </w:rPr>
        <w:t>.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rPr>
        <w:t>..</w:t>
      </w:r>
      <w:proofErr w:type="gramEnd"/>
    </w:p>
    <w:p w14:paraId="7DE3FBC8" w14:textId="77777777" w:rsidR="003B32AB" w:rsidRPr="00A94875" w:rsidRDefault="003B32AB" w:rsidP="003B32AB">
      <w:pPr>
        <w:pStyle w:val="NormalWeb"/>
        <w:spacing w:before="120" w:beforeAutospacing="0" w:after="0" w:afterAutospacing="0"/>
        <w:rPr>
          <w:rFonts w:asciiTheme="majorBidi" w:hAnsiTheme="majorBidi" w:cstheme="majorBidi"/>
          <w:bCs/>
          <w:szCs w:val="20"/>
          <w:highlight w:val="yellow"/>
          <w:lang w:val="en-GB"/>
        </w:rPr>
      </w:pPr>
      <w:r w:rsidRPr="00A94875">
        <w:rPr>
          <w:rFonts w:asciiTheme="majorBidi" w:hAnsiTheme="majorBidi" w:cstheme="majorBidi"/>
          <w:b/>
          <w:bCs/>
          <w:szCs w:val="20"/>
          <w:lang w:val="en-GB"/>
        </w:rPr>
        <w:t>ITU-T Y.2305 “Unified management of Content Delivery Networks”</w:t>
      </w:r>
      <w:r w:rsidRPr="00A94875">
        <w:rPr>
          <w:rFonts w:asciiTheme="majorBidi" w:hAnsiTheme="majorBidi" w:cstheme="majorBidi"/>
          <w:bCs/>
          <w:szCs w:val="20"/>
          <w:lang w:val="en-GB"/>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w:t>
      </w:r>
      <w:r w:rsidRPr="00A94875">
        <w:rPr>
          <w:rFonts w:asciiTheme="majorBidi" w:hAnsiTheme="majorBidi" w:cstheme="majorBidi"/>
          <w:bCs/>
          <w:szCs w:val="20"/>
          <w:lang w:val="en-GB"/>
        </w:rPr>
        <w:lastRenderedPageBreak/>
        <w:t>content synchronization, user’s request routing, and other related unified management functionalities, to build up a global content delivery network.</w:t>
      </w:r>
    </w:p>
    <w:p w14:paraId="2E3F10D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Y.2619 “Operation, administration, and maintenance functions and mechanisms for Public packet Telecommunication Data Network (PTDN)”</w:t>
      </w:r>
      <w:r w:rsidRPr="00A94875">
        <w:rPr>
          <w:rFonts w:asciiTheme="majorBidi" w:hAnsiTheme="majorBidi" w:cstheme="majorBidi"/>
          <w:szCs w:val="20"/>
          <w:lang w:val="en-GB"/>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14:paraId="44767C4C" w14:textId="77777777" w:rsidR="003B32AB" w:rsidRPr="00A94875" w:rsidRDefault="003B32AB" w:rsidP="003B32AB">
      <w:pPr>
        <w:pStyle w:val="NormalWeb"/>
        <w:spacing w:before="120" w:beforeAutospacing="0" w:after="120" w:afterAutospacing="0"/>
        <w:rPr>
          <w:rFonts w:asciiTheme="majorBidi" w:hAnsiTheme="majorBidi" w:cstheme="majorBidi"/>
          <w:szCs w:val="20"/>
          <w:lang w:val="en-GB"/>
        </w:rPr>
      </w:pPr>
      <w:r w:rsidRPr="00A94875">
        <w:rPr>
          <w:rFonts w:asciiTheme="majorBidi" w:hAnsiTheme="majorBidi" w:cstheme="majorBidi"/>
          <w:b/>
          <w:szCs w:val="20"/>
          <w:lang w:val="en-GB"/>
        </w:rPr>
        <w:t>ITU-T Y.2323 “Requirements and capabilities of orchestration in next generation network evolution”</w:t>
      </w:r>
      <w:r w:rsidRPr="00A94875">
        <w:rPr>
          <w:rFonts w:asciiTheme="majorBidi" w:hAnsiTheme="majorBidi" w:cstheme="majorBidi"/>
          <w:szCs w:val="20"/>
          <w:lang w:val="en-GB"/>
        </w:rPr>
        <w:t xml:space="preserve"> (under approval) 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108B482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Y.2814 “Mobility management framework over reconfigurable networks</w:t>
      </w:r>
      <w:r w:rsidRPr="00A94875">
        <w:rPr>
          <w:rFonts w:asciiTheme="majorBidi" w:hAnsiTheme="majorBidi" w:cstheme="majorBidi"/>
          <w:bCs/>
          <w:szCs w:val="20"/>
          <w:lang w:val="en-GB"/>
        </w:rPr>
        <w:t xml:space="preserve">” </w:t>
      </w:r>
      <w:r w:rsidRPr="00A94875">
        <w:rPr>
          <w:rFonts w:asciiTheme="majorBidi" w:hAnsiTheme="majorBidi" w:cstheme="majorBidi"/>
          <w:szCs w:val="20"/>
          <w:lang w:val="en-GB"/>
        </w:rPr>
        <w:t xml:space="preserve">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w:t>
      </w:r>
      <w:proofErr w:type="gramStart"/>
      <w:r w:rsidRPr="00A94875">
        <w:rPr>
          <w:rFonts w:asciiTheme="majorBidi" w:hAnsiTheme="majorBidi" w:cstheme="majorBidi"/>
          <w:szCs w:val="20"/>
          <w:lang w:val="en-GB"/>
        </w:rPr>
        <w:t>target mobility management framework</w:t>
      </w:r>
      <w:proofErr w:type="gramEnd"/>
      <w:r w:rsidRPr="00A94875">
        <w:rPr>
          <w:rFonts w:asciiTheme="majorBidi" w:hAnsiTheme="majorBidi" w:cstheme="majorBidi"/>
          <w:szCs w:val="20"/>
          <w:lang w:val="en-GB"/>
        </w:rPr>
        <w:t>.</w:t>
      </w:r>
    </w:p>
    <w:p w14:paraId="4A5CB4A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Y.2815 “Mobility supporting architecture for mobile Peer to Peer service in heterogeneous wireless networks”</w:t>
      </w:r>
      <w:r w:rsidRPr="00A94875">
        <w:rPr>
          <w:rFonts w:asciiTheme="majorBidi" w:hAnsiTheme="majorBidi" w:cstheme="majorBidi"/>
          <w:szCs w:val="20"/>
          <w:lang w:val="en-GB"/>
        </w:rPr>
        <w:t xml:space="preserve"> (under approval) 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618B170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Y.Suppl.51 “Device Independent Screen-free service models and scenarios”</w:t>
      </w:r>
      <w:r w:rsidRPr="00A94875">
        <w:rPr>
          <w:rFonts w:asciiTheme="majorBidi" w:hAnsiTheme="majorBidi" w:cstheme="majorBidi"/>
          <w:szCs w:val="20"/>
          <w:lang w:val="en-GB"/>
        </w:rPr>
        <w:t xml:space="preserve"> describes service models and scenarios for device independent screen-free service based on FMC (Fixed Mobile Convergence). This Supplement uses the features defined on Y.2720 sup.14, Y.sof (Supplementary service scenarios for fixed-mobile convergence).</w:t>
      </w:r>
    </w:p>
    <w:p w14:paraId="2FFF2F67" w14:textId="77777777" w:rsidR="003B32AB" w:rsidRPr="00A94875" w:rsidRDefault="003B32AB" w:rsidP="003B32AB">
      <w:pPr>
        <w:spacing w:before="240"/>
        <w:rPr>
          <w:b/>
          <w:sz w:val="22"/>
          <w:szCs w:val="22"/>
        </w:rPr>
      </w:pPr>
      <w:bookmarkStart w:id="280" w:name="_Toc480527894"/>
      <w:r w:rsidRPr="00A94875">
        <w:rPr>
          <w:b/>
          <w:sz w:val="22"/>
          <w:szCs w:val="22"/>
        </w:rPr>
        <w:t>I.2.3</w:t>
      </w:r>
      <w:r w:rsidRPr="00A94875">
        <w:rPr>
          <w:b/>
          <w:sz w:val="22"/>
          <w:szCs w:val="22"/>
        </w:rPr>
        <w:tab/>
        <w:t>IMT-2020/5G networks</w:t>
      </w:r>
    </w:p>
    <w:p w14:paraId="6BCA3D4F"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 xml:space="preserve">provides the framework for overall non-radio aspects of the IMT-2020 network. Following an introduction to the key features of the IMT-2020 network, architectural design considerations and framework of the IMT-2020 network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w:t>
      </w:r>
    </w:p>
    <w:p w14:paraId="489EF70F"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w:t>
      </w:r>
      <w:proofErr w:type="gramStart"/>
      <w:r w:rsidRPr="00A94875">
        <w:rPr>
          <w:rFonts w:asciiTheme="majorBidi" w:hAnsiTheme="majorBidi" w:cstheme="majorBidi"/>
          <w:bCs/>
          <w:lang w:val="en-GB"/>
        </w:rPr>
        <w:t>can be used</w:t>
      </w:r>
      <w:proofErr w:type="gramEnd"/>
      <w:r w:rsidRPr="00A94875">
        <w:rPr>
          <w:rFonts w:asciiTheme="majorBidi" w:hAnsiTheme="majorBidi" w:cstheme="majorBidi"/>
          <w:bCs/>
          <w:lang w:val="en-GB"/>
        </w:rPr>
        <w:t xml:space="preserve"> as a guideline for further IMT-2020 studies from business point of view as well as for deployment and operation of IMT-2020 networks.</w:t>
      </w:r>
    </w:p>
    <w:p w14:paraId="1578E1EE" w14:textId="77777777" w:rsidR="003B32AB" w:rsidRPr="00A94875" w:rsidRDefault="003B32AB" w:rsidP="003B32AB">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w:t>
      </w:r>
      <w:proofErr w:type="gramStart"/>
      <w:r w:rsidRPr="00A94875">
        <w:rPr>
          <w:rFonts w:asciiTheme="majorBidi" w:hAnsiTheme="majorBidi" w:cstheme="majorBidi"/>
          <w:bCs/>
          <w:lang w:val="en-GB"/>
        </w:rPr>
        <w:t>are specified</w:t>
      </w:r>
      <w:proofErr w:type="gramEnd"/>
      <w:r w:rsidRPr="00A94875">
        <w:rPr>
          <w:rFonts w:asciiTheme="majorBidi" w:hAnsiTheme="majorBidi" w:cstheme="majorBidi"/>
          <w:bCs/>
          <w:lang w:val="en-GB"/>
        </w:rPr>
        <w:t>.</w:t>
      </w:r>
    </w:p>
    <w:p w14:paraId="59801504" w14:textId="77777777" w:rsidR="003B32AB" w:rsidRPr="00A94875" w:rsidRDefault="003B32AB" w:rsidP="003B32AB">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 xml:space="preserve"> in Appendix.</w:t>
      </w:r>
    </w:p>
    <w:p w14:paraId="21B32514"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lastRenderedPageBreak/>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 xml:space="preserve">describes the concept of network slicing and use cases of multiple network slicing. The multiple network slicing enables a single device </w:t>
      </w:r>
      <w:proofErr w:type="gramStart"/>
      <w:r w:rsidRPr="00A94875">
        <w:rPr>
          <w:rFonts w:asciiTheme="majorBidi" w:hAnsiTheme="majorBidi" w:cstheme="majorBidi"/>
          <w:lang w:val="en-GB"/>
        </w:rPr>
        <w:t>to simultaneously connect</w:t>
      </w:r>
      <w:proofErr w:type="gramEnd"/>
      <w:r w:rsidRPr="00A94875">
        <w:rPr>
          <w:rFonts w:asciiTheme="majorBidi" w:hAnsiTheme="majorBidi" w:cstheme="majorBidi"/>
          <w:lang w:val="en-GB"/>
        </w:rPr>
        <w:t xml:space="preserve">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70A235F2"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ITU-T Y.3170 “Requirements of machine learning based QoS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w:t>
      </w:r>
      <w:proofErr w:type="gramStart"/>
      <w:r w:rsidRPr="00A94875">
        <w:rPr>
          <w:rFonts w:asciiTheme="majorBidi" w:hAnsiTheme="majorBidi" w:cstheme="majorBidi"/>
          <w:lang w:val="en-GB"/>
        </w:rPr>
        <w:t>to simultaneously connect</w:t>
      </w:r>
      <w:proofErr w:type="gramEnd"/>
      <w:r w:rsidRPr="00A94875">
        <w:rPr>
          <w:rFonts w:asciiTheme="majorBidi" w:hAnsiTheme="majorBidi" w:cstheme="majorBidi"/>
          <w:lang w:val="en-GB"/>
        </w:rPr>
        <w:t xml:space="preserve">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14:paraId="19FC8246" w14:textId="77777777" w:rsidR="003B32AB" w:rsidRPr="00A94875" w:rsidRDefault="003B32AB" w:rsidP="003B32AB">
      <w:pPr>
        <w:pStyle w:val="NormalWeb"/>
        <w:spacing w:before="12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t>ITU-T Y.3324 “Requirements and Architectural Framework for Autonomic Management and Control of IMT-2020 Networks”</w:t>
      </w:r>
      <w:r w:rsidRPr="00A94875">
        <w:rPr>
          <w:rFonts w:asciiTheme="majorBidi" w:hAnsiTheme="majorBidi" w:cstheme="majorBidi"/>
          <w:szCs w:val="20"/>
          <w:lang w:val="en-GB"/>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071E669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Q.5001 “Signalling requirements and architecture of intelligent edge computing”</w:t>
      </w:r>
      <w:r w:rsidRPr="00A94875">
        <w:rPr>
          <w:rFonts w:asciiTheme="majorBidi" w:hAnsiTheme="majorBidi" w:cstheme="majorBidi"/>
          <w:szCs w:val="20"/>
          <w:lang w:val="en-GB"/>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14:paraId="34515F7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Fronthaul Requirements in a PON Context” </w:t>
      </w:r>
      <w:r w:rsidRPr="00A94875">
        <w:rPr>
          <w:rFonts w:asciiTheme="majorBidi" w:hAnsiTheme="majorBidi" w:cstheme="majorBidi"/>
          <w:lang w:val="en-GB"/>
        </w:rPr>
        <w:t xml:space="preserve">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w:t>
      </w:r>
      <w:proofErr w:type="gramStart"/>
      <w:r w:rsidRPr="00A94875">
        <w:rPr>
          <w:rFonts w:asciiTheme="majorBidi" w:hAnsiTheme="majorBidi" w:cstheme="majorBidi"/>
          <w:lang w:val="en-GB"/>
        </w:rPr>
        <w:t>are hypothesized</w:t>
      </w:r>
      <w:proofErr w:type="gramEnd"/>
      <w:r w:rsidRPr="00A94875">
        <w:rPr>
          <w:rFonts w:asciiTheme="majorBidi" w:hAnsiTheme="majorBidi" w:cstheme="majorBidi"/>
          <w:lang w:val="en-GB"/>
        </w:rPr>
        <w:t>.</w:t>
      </w:r>
    </w:p>
    <w:p w14:paraId="30C7C75F"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w:t>
      </w:r>
      <w:proofErr w:type="gramStart"/>
      <w:r w:rsidRPr="00A94875">
        <w:rPr>
          <w:rFonts w:asciiTheme="majorBidi" w:hAnsiTheme="majorBidi" w:cstheme="majorBidi"/>
          <w:lang w:val="en-GB"/>
        </w:rPr>
        <w:t>is based</w:t>
      </w:r>
      <w:proofErr w:type="gramEnd"/>
      <w:r w:rsidRPr="00A94875">
        <w:rPr>
          <w:rFonts w:asciiTheme="majorBidi" w:hAnsiTheme="majorBidi" w:cstheme="majorBidi"/>
          <w:lang w:val="en-GB"/>
        </w:rPr>
        <w:t xml:space="preserve"> on the ICN related contents of the two final output documents of FG IMT-2020 [b-FG IMT-2020 Gaps] [b-FG IMT-2020 ICN PoC].</w:t>
      </w:r>
    </w:p>
    <w:p w14:paraId="7B38665E"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(IoT) named data by information centric networking in IMT-2020. In the Supplement, an enhanced name resolution system </w:t>
      </w:r>
      <w:proofErr w:type="gramStart"/>
      <w:r w:rsidRPr="00A94875">
        <w:rPr>
          <w:rFonts w:asciiTheme="majorBidi" w:hAnsiTheme="majorBidi" w:cstheme="majorBidi"/>
          <w:lang w:val="en-GB"/>
        </w:rPr>
        <w:t>is implemented</w:t>
      </w:r>
      <w:proofErr w:type="gramEnd"/>
      <w:r w:rsidRPr="00A94875">
        <w:rPr>
          <w:rFonts w:asciiTheme="majorBidi" w:hAnsiTheme="majorBidi" w:cstheme="majorBidi"/>
          <w:lang w:val="en-GB"/>
        </w:rPr>
        <w:t xml:space="preserve"> based on distance-constrained containers to resolve from names to addresses more efficiently.</w:t>
      </w:r>
    </w:p>
    <w:p w14:paraId="3DBC22B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w:t>
      </w:r>
      <w:proofErr w:type="gramStart"/>
      <w:r w:rsidRPr="00A94875">
        <w:rPr>
          <w:rFonts w:asciiTheme="majorBidi" w:hAnsiTheme="majorBidi" w:cstheme="majorBidi"/>
          <w:lang w:val="en-GB"/>
        </w:rPr>
        <w:t>are also described</w:t>
      </w:r>
      <w:proofErr w:type="gramEnd"/>
      <w:r w:rsidRPr="00A94875">
        <w:rPr>
          <w:rFonts w:asciiTheme="majorBidi" w:hAnsiTheme="majorBidi" w:cstheme="majorBidi"/>
          <w:lang w:val="en-GB"/>
        </w:rPr>
        <w:t>.</w:t>
      </w:r>
    </w:p>
    <w:p w14:paraId="758C2549"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lastRenderedPageBreak/>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14:paraId="1C7F4FD1" w14:textId="77777777" w:rsidR="003B32AB" w:rsidRPr="00A94875" w:rsidRDefault="003B32AB" w:rsidP="003B32AB">
      <w:pPr>
        <w:spacing w:before="240"/>
        <w:rPr>
          <w:b/>
          <w:sz w:val="22"/>
          <w:szCs w:val="22"/>
        </w:rPr>
      </w:pPr>
      <w:r w:rsidRPr="00A94875">
        <w:rPr>
          <w:b/>
          <w:sz w:val="22"/>
          <w:szCs w:val="22"/>
        </w:rPr>
        <w:t>I.2.4</w:t>
      </w:r>
      <w:r w:rsidRPr="00A94875">
        <w:rPr>
          <w:b/>
          <w:sz w:val="22"/>
          <w:szCs w:val="22"/>
        </w:rPr>
        <w:tab/>
        <w:t>Home networking</w:t>
      </w:r>
    </w:p>
    <w:p w14:paraId="5B25C6C9"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G.9958 “Generic architecture of home networks for energy management”</w:t>
      </w:r>
      <w:r w:rsidRPr="00A94875">
        <w:rPr>
          <w:rFonts w:asciiTheme="majorBidi" w:hAnsiTheme="majorBidi" w:cstheme="majorBidi"/>
          <w:bCs/>
        </w:rPr>
        <w:t xml:space="preserve"> specifies functional definitions of components and networks to provide energy management services in home. It also specifies home network configurations and requirements for these services.</w:t>
      </w:r>
    </w:p>
    <w:p w14:paraId="53480042"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G.9960 (revised) “Unified high-speed wire-line based home networking transceivers - System architecture and physical layer specification”</w:t>
      </w:r>
      <w:r w:rsidRPr="00A94875">
        <w:rPr>
          <w:rFonts w:asciiTheme="majorBidi" w:hAnsiTheme="majorBidi" w:cstheme="majorBidi"/>
          <w:bCs/>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14:paraId="0C3ECBC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G.9961 (revised) “Unified high-speed wireline-based home networking transceivers –  Data link layer specification”</w:t>
      </w:r>
      <w:r w:rsidRPr="00A94875">
        <w:rPr>
          <w:rFonts w:asciiTheme="majorBidi" w:hAnsiTheme="majorBidi" w:cstheme="majorBidi"/>
          <w:bCs/>
        </w:rPr>
        <w:t xml:space="preserve"> (under approval)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601B748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G.9961 (2015) Amd.3 “Unified high-speed wire-line based home networking transceivers - Data link layer specification: Amendment 3” </w:t>
      </w:r>
      <w:r w:rsidRPr="00A94875">
        <w:rPr>
          <w:rFonts w:asciiTheme="majorBidi" w:hAnsiTheme="majorBidi" w:cstheme="majorBidi"/>
          <w:bCs/>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14:paraId="1852D2A3"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G.9961 (2015) Amd.4 “Unified high-speed wire-line based home networking transceivers - Data link layer specification: Amendment 4”</w:t>
      </w:r>
      <w:r w:rsidRPr="00A94875">
        <w:rPr>
          <w:rFonts w:asciiTheme="majorBidi" w:hAnsiTheme="majorBidi" w:cstheme="majorBidi"/>
          <w:bCs/>
        </w:rPr>
        <w:t xml:space="preserve"> includes a new </w:t>
      </w:r>
      <w:proofErr w:type="gramStart"/>
      <w:r w:rsidRPr="00A94875">
        <w:rPr>
          <w:rFonts w:asciiTheme="majorBidi" w:hAnsiTheme="majorBidi" w:cstheme="majorBidi"/>
          <w:bCs/>
        </w:rPr>
        <w:t>management message compression mechanism</w:t>
      </w:r>
      <w:proofErr w:type="gramEnd"/>
      <w:r w:rsidRPr="00A94875">
        <w:rPr>
          <w:rFonts w:asciiTheme="majorBidi" w:hAnsiTheme="majorBidi" w:cstheme="majorBidi"/>
          <w:bCs/>
        </w:rPr>
        <w:t xml:space="preserve"> to minimize the length of these messages to reduce overhead. It also includes some additional capabilities for low power modes.</w:t>
      </w:r>
    </w:p>
    <w:p w14:paraId="3C677E66"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G.9962 (revised) “Unified high-speed wire-line based home networking transceivers – Management specification”</w:t>
      </w:r>
      <w:r w:rsidRPr="00A94875">
        <w:rPr>
          <w:rFonts w:asciiTheme="majorBidi" w:hAnsiTheme="majorBidi" w:cstheme="majorBidi"/>
          <w:bCs/>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14:paraId="6968D7F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G.9963 (revised) “Unified high-speed wireline-based home networking transceivers – Multiple input/multiple output specification”</w:t>
      </w:r>
      <w:r w:rsidRPr="00A94875">
        <w:rPr>
          <w:rFonts w:asciiTheme="majorBidi" w:hAnsiTheme="majorBidi" w:cstheme="majorBidi"/>
          <w:bCs/>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7631C81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G.9978 (revised) “Secure admission in G.hn network”</w:t>
      </w:r>
      <w:r w:rsidRPr="00A94875">
        <w:rPr>
          <w:rFonts w:asciiTheme="majorBidi" w:hAnsiTheme="majorBidi" w:cstheme="majorBidi"/>
          <w:bCs/>
        </w:rPr>
        <w:t xml:space="preserve"> (under approval) </w:t>
      </w:r>
      <w:r w:rsidRPr="00A94875">
        <w:rPr>
          <w:rFonts w:asciiTheme="majorBidi" w:hAnsiTheme="majorBidi" w:cstheme="majorBidi"/>
        </w:rPr>
        <w:t xml:space="preserve">specifies the various secure admission methods for a node to enter a G.hn domain, including media access </w:t>
      </w:r>
      <w:r w:rsidRPr="00A94875">
        <w:rPr>
          <w:rFonts w:asciiTheme="majorBidi" w:hAnsiTheme="majorBidi" w:cstheme="majorBidi"/>
        </w:rPr>
        <w:lastRenderedPageBreak/>
        <w:t>control (MAC) authorization-based secure admission, generic pairing, auto-pairing and passphrase-based secure admission. This latest revision includes new use cases.</w:t>
      </w:r>
    </w:p>
    <w:p w14:paraId="6ED5FE62"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G.9979 (revised) “Implementation of the generic mechanism in the IEEE 1905.1a-2014 Standard to include applicable ITU-T Recommendations”</w:t>
      </w:r>
      <w:r w:rsidRPr="00A94875">
        <w:rPr>
          <w:rFonts w:asciiTheme="majorBidi" w:hAnsiTheme="majorBidi" w:cstheme="majorBidi"/>
        </w:rPr>
        <w:t xml:space="preserve"> (under approval) specifies the necessary details for including network transceivers defined in ITU-T Recommendations as supported home networking technologies under the abstraction layer defined by IEEE 1905 technology.</w:t>
      </w:r>
    </w:p>
    <w:p w14:paraId="228CE253"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G.9991 “High speed indoor visible light communication transceiver – System architecture, physical layer and data link layer specification”</w:t>
      </w:r>
      <w:r w:rsidRPr="00A94875">
        <w:rPr>
          <w:rFonts w:asciiTheme="majorBidi" w:hAnsiTheme="majorBidi" w:cstheme="majorBidi"/>
        </w:rPr>
        <w:t xml:space="preserve"> (under approval) specifies the system architecture, physical (PHY) layer and data link layer (DLL) for high-speed indoor optical wireless communication transceiver using visible light.</w:t>
      </w:r>
    </w:p>
    <w:p w14:paraId="11D3533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G.9992 “Indoor optical camera communication transceiver – System architecture, physical layer and data link layer specification”</w:t>
      </w:r>
      <w:r w:rsidRPr="00A94875">
        <w:rPr>
          <w:rFonts w:asciiTheme="majorBidi" w:hAnsiTheme="majorBidi" w:cstheme="majorBidi"/>
        </w:rPr>
        <w:t xml:space="preserve"> (under approval) specifies the system architecture, physical (PHY) layer and data link layer (DLL) for indoor optical camera communication transceiver.</w:t>
      </w:r>
    </w:p>
    <w:p w14:paraId="732BF5E9" w14:textId="77777777" w:rsidR="003B32AB" w:rsidRDefault="003B32AB" w:rsidP="003B32AB">
      <w:pPr>
        <w:spacing w:before="0"/>
        <w:rPr>
          <w:b/>
          <w:sz w:val="22"/>
          <w:szCs w:val="22"/>
        </w:rPr>
      </w:pPr>
      <w:r>
        <w:rPr>
          <w:b/>
          <w:sz w:val="22"/>
          <w:szCs w:val="22"/>
        </w:rPr>
        <w:br w:type="page"/>
      </w:r>
    </w:p>
    <w:p w14:paraId="7885EDCB" w14:textId="77777777" w:rsidR="003B32AB" w:rsidRPr="00A94875" w:rsidRDefault="003B32AB" w:rsidP="003B32AB">
      <w:pPr>
        <w:spacing w:before="240"/>
        <w:rPr>
          <w:b/>
          <w:sz w:val="22"/>
          <w:szCs w:val="22"/>
        </w:rPr>
      </w:pPr>
      <w:r w:rsidRPr="00A94875">
        <w:rPr>
          <w:b/>
          <w:sz w:val="22"/>
          <w:szCs w:val="22"/>
        </w:rPr>
        <w:lastRenderedPageBreak/>
        <w:t>I.2.5</w:t>
      </w:r>
      <w:r w:rsidRPr="00A94875">
        <w:rPr>
          <w:b/>
          <w:sz w:val="22"/>
          <w:szCs w:val="22"/>
        </w:rPr>
        <w:tab/>
        <w:t>Smart Grid</w:t>
      </w:r>
    </w:p>
    <w:p w14:paraId="45007237" w14:textId="77777777" w:rsidR="003B32AB" w:rsidRPr="00A94875" w:rsidRDefault="003B32AB" w:rsidP="003B32AB">
      <w:pPr>
        <w:pStyle w:val="NormalWeb"/>
        <w:spacing w:before="24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t xml:space="preserve">ITU-T G.9958 (03/2018) “Generic architecture of home networks for energy management” </w:t>
      </w:r>
      <w:r w:rsidRPr="00A94875">
        <w:rPr>
          <w:rFonts w:asciiTheme="majorBidi" w:hAnsiTheme="majorBidi" w:cstheme="majorBidi"/>
          <w:szCs w:val="20"/>
          <w:lang w:val="en-GB"/>
        </w:rPr>
        <w:t>specifies functional definitions of components and networks to provide energy management services in home. It also specifies home network configurations and requirements for these services.</w:t>
      </w:r>
    </w:p>
    <w:p w14:paraId="3D2A905B" w14:textId="77777777" w:rsidR="003B32AB" w:rsidRPr="00A94875" w:rsidRDefault="003B32AB" w:rsidP="003B32AB">
      <w:pPr>
        <w:spacing w:before="240"/>
        <w:rPr>
          <w:b/>
          <w:sz w:val="22"/>
          <w:szCs w:val="22"/>
        </w:rPr>
      </w:pPr>
      <w:r w:rsidRPr="00A94875">
        <w:rPr>
          <w:b/>
          <w:sz w:val="22"/>
          <w:szCs w:val="22"/>
        </w:rPr>
        <w:t>I.2.6</w:t>
      </w:r>
      <w:r w:rsidRPr="00A94875">
        <w:rPr>
          <w:b/>
          <w:sz w:val="22"/>
          <w:szCs w:val="22"/>
        </w:rPr>
        <w:tab/>
        <w:t>Software-defined networking</w:t>
      </w:r>
      <w:bookmarkEnd w:id="280"/>
    </w:p>
    <w:p w14:paraId="24F0CDE0" w14:textId="77777777" w:rsidR="003B32AB" w:rsidRPr="00A94875" w:rsidRDefault="003B32AB" w:rsidP="003B32AB">
      <w:pPr>
        <w:pStyle w:val="NormalWeb"/>
        <w:spacing w:before="120" w:beforeAutospacing="0" w:after="12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Q.3717 “Signalling requirements for automatic management of IP address pool by SDN technologies on BNG” </w:t>
      </w:r>
      <w:r w:rsidRPr="00A94875">
        <w:rPr>
          <w:rFonts w:asciiTheme="majorBidi" w:hAnsiTheme="majorBidi" w:cstheme="majorBidi"/>
          <w:szCs w:val="20"/>
          <w:lang w:val="en-GB"/>
        </w:rPr>
        <w:t xml:space="preserve">(under approval) 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szCs w:val="20"/>
          <w:lang w:val="en-GB"/>
        </w:rPr>
        <w:t>allocation,</w:t>
      </w:r>
      <w:proofErr w:type="gramEnd"/>
      <w:r w:rsidRPr="00A94875">
        <w:rPr>
          <w:rFonts w:asciiTheme="majorBidi" w:hAnsiTheme="majorBidi" w:cstheme="majorBidi"/>
          <w:szCs w:val="20"/>
          <w:lang w:val="en-GB"/>
        </w:rPr>
        <w:t xml:space="preserve"> monitor and reclaim of IP address resources.</w:t>
      </w:r>
    </w:p>
    <w:p w14:paraId="4516C38C" w14:textId="77777777" w:rsidR="003B32AB" w:rsidRPr="00A94875" w:rsidRDefault="003B32AB" w:rsidP="003B32AB">
      <w:pPr>
        <w:pStyle w:val="NormalWeb"/>
        <w:spacing w:before="120" w:beforeAutospacing="0" w:after="12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ITU-T Q.3718 “Signalling requirements of the Sew interface for Virtual Data Center”</w:t>
      </w:r>
      <w:r w:rsidRPr="00A94875">
        <w:rPr>
          <w:rFonts w:asciiTheme="majorBidi" w:hAnsiTheme="majorBidi" w:cstheme="majorBidi"/>
          <w:szCs w:val="20"/>
          <w:lang w:val="en-GB"/>
        </w:rPr>
        <w:t xml:space="preserve"> (under approval) focuses on the inter-domain Sew </w:t>
      </w:r>
      <w:proofErr w:type="gramStart"/>
      <w:r w:rsidRPr="00A94875">
        <w:rPr>
          <w:rFonts w:asciiTheme="majorBidi" w:hAnsiTheme="majorBidi" w:cstheme="majorBidi"/>
          <w:szCs w:val="20"/>
          <w:lang w:val="en-GB"/>
        </w:rPr>
        <w:t>interface which</w:t>
      </w:r>
      <w:proofErr w:type="gramEnd"/>
      <w:r w:rsidRPr="00A94875">
        <w:rPr>
          <w:rFonts w:asciiTheme="majorBidi" w:hAnsiTheme="majorBidi" w:cstheme="majorBidi"/>
          <w:szCs w:val="20"/>
          <w:lang w:val="en-GB"/>
        </w:rPr>
        <w:t xml:space="preserve"> is standardized to allow for multiple control entities within Virtual Data Center (VDC). In VDC, the SDN control entities exchanges the control plane related information with each other through the Sew interface.</w:t>
      </w:r>
    </w:p>
    <w:p w14:paraId="15589C0B" w14:textId="77777777" w:rsidR="003B32AB" w:rsidRPr="00A94875" w:rsidRDefault="003B32AB" w:rsidP="003B32AB">
      <w:pPr>
        <w:spacing w:before="240"/>
        <w:rPr>
          <w:b/>
          <w:sz w:val="22"/>
          <w:szCs w:val="22"/>
        </w:rPr>
      </w:pPr>
      <w:bookmarkStart w:id="281" w:name="_Toc480527895"/>
      <w:r w:rsidRPr="00A94875">
        <w:rPr>
          <w:b/>
          <w:sz w:val="22"/>
          <w:szCs w:val="22"/>
        </w:rPr>
        <w:t>I.2.7</w:t>
      </w:r>
      <w:r w:rsidRPr="00A94875">
        <w:rPr>
          <w:b/>
          <w:sz w:val="22"/>
          <w:szCs w:val="22"/>
        </w:rPr>
        <w:tab/>
        <w:t>Cloud computing</w:t>
      </w:r>
      <w:bookmarkEnd w:id="281"/>
    </w:p>
    <w:p w14:paraId="0366FEBB"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Y.3505 “Cloud computing - Overview and functional requirements for data storage federation”</w:t>
      </w:r>
      <w:r w:rsidRPr="00A94875">
        <w:rPr>
          <w:rFonts w:asciiTheme="majorBidi" w:hAnsiTheme="majorBidi" w:cstheme="majorBidi"/>
        </w:rPr>
        <w:t xml:space="preserve"> provides overview and functional requirements of data storage federation. Data storage federation provides a single virtual volume from multiple data sources in heterogeneous storages. In this Recommendation, configuration for logical </w:t>
      </w:r>
      <w:proofErr w:type="gramStart"/>
      <w:r w:rsidRPr="00A94875">
        <w:rPr>
          <w:rFonts w:asciiTheme="majorBidi" w:hAnsiTheme="majorBidi" w:cstheme="majorBidi"/>
        </w:rPr>
        <w:t>components,</w:t>
      </w:r>
      <w:proofErr w:type="gramEnd"/>
      <w:r w:rsidRPr="00A94875">
        <w:rPr>
          <w:rFonts w:asciiTheme="majorBidi" w:hAnsiTheme="majorBidi" w:cstheme="majorBidi"/>
        </w:rPr>
        <w:t xml:space="preserve"> and ecosystem of data storage federation as well as cloud computing based data storage federation are introduced for data storage federation. Functional requirements </w:t>
      </w:r>
      <w:proofErr w:type="gramStart"/>
      <w:r w:rsidRPr="00A94875">
        <w:rPr>
          <w:rFonts w:asciiTheme="majorBidi" w:hAnsiTheme="majorBidi" w:cstheme="majorBidi"/>
        </w:rPr>
        <w:t>are derived</w:t>
      </w:r>
      <w:proofErr w:type="gramEnd"/>
      <w:r w:rsidRPr="00A94875">
        <w:rPr>
          <w:rFonts w:asciiTheme="majorBidi" w:hAnsiTheme="majorBidi" w:cstheme="majorBidi"/>
        </w:rPr>
        <w:t xml:space="preserve"> from use cases.</w:t>
      </w:r>
    </w:p>
    <w:p w14:paraId="21471045"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Y.3506 “Cloud computing - Functional requirements for cloud service brokerage”</w:t>
      </w:r>
      <w:r w:rsidRPr="00A94875">
        <w:rPr>
          <w:rFonts w:asciiTheme="majorBidi" w:hAnsiTheme="majorBidi" w:cstheme="majorBidi"/>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w:t>
      </w:r>
      <w:proofErr w:type="gramStart"/>
      <w:r w:rsidRPr="00A94875">
        <w:rPr>
          <w:rFonts w:asciiTheme="majorBidi" w:hAnsiTheme="majorBidi" w:cstheme="majorBidi"/>
        </w:rPr>
        <w:t>are also identified</w:t>
      </w:r>
      <w:proofErr w:type="gramEnd"/>
      <w:r w:rsidRPr="00A94875">
        <w:rPr>
          <w:rFonts w:asciiTheme="majorBidi" w:hAnsiTheme="majorBidi" w:cstheme="majorBidi"/>
        </w:rPr>
        <w:t xml:space="preserve"> to derive the functional requirements.</w:t>
      </w:r>
    </w:p>
    <w:p w14:paraId="3E47F3B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Y.3507 “Cloud computing – Functional requirements of physical machine”</w:t>
      </w:r>
      <w:r w:rsidRPr="00A94875">
        <w:rPr>
          <w:rFonts w:asciiTheme="majorBidi" w:hAnsiTheme="majorBidi" w:cstheme="majorBidi"/>
        </w:rPr>
        <w:t xml:space="preserve"> (under approval) provides the introduction of physical machine with physical machine components, physical machine types, virtualizations in physical machine as well as the scalability of components in physical machine. </w:t>
      </w:r>
      <w:proofErr w:type="gramStart"/>
      <w:r w:rsidRPr="00A94875">
        <w:rPr>
          <w:rFonts w:asciiTheme="majorBidi" w:hAnsiTheme="majorBidi" w:cstheme="majorBidi"/>
        </w:rPr>
        <w:t>Also</w:t>
      </w:r>
      <w:proofErr w:type="gramEnd"/>
      <w:r w:rsidRPr="00A94875">
        <w:rPr>
          <w:rFonts w:asciiTheme="majorBidi" w:hAnsiTheme="majorBidi" w:cstheme="majorBidi"/>
        </w:rPr>
        <w:t xml:space="preserve">, the Recommendation provides functional requirements for physical machine derived from various use cases are described in Appendix. The relationship with other related specifications developed in other SDOs </w:t>
      </w:r>
      <w:proofErr w:type="gramStart"/>
      <w:r w:rsidRPr="00A94875">
        <w:rPr>
          <w:rFonts w:asciiTheme="majorBidi" w:hAnsiTheme="majorBidi" w:cstheme="majorBidi"/>
        </w:rPr>
        <w:t>has also been introduced</w:t>
      </w:r>
      <w:proofErr w:type="gramEnd"/>
      <w:r w:rsidRPr="00A94875">
        <w:rPr>
          <w:rFonts w:asciiTheme="majorBidi" w:hAnsiTheme="majorBidi" w:cstheme="majorBidi"/>
        </w:rPr>
        <w:t xml:space="preserve"> as Appendix.</w:t>
      </w:r>
    </w:p>
    <w:p w14:paraId="695DACB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Y.3517 “Cloud computing - Overview of inter-cloud trust management”</w:t>
      </w:r>
      <w:r w:rsidRPr="00A94875">
        <w:rPr>
          <w:rFonts w:asciiTheme="majorBidi" w:hAnsiTheme="majorBidi" w:cstheme="majorBidi"/>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49B7BE4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Y.3518 “Cloud computing - Functional requirements of inter-cloud data management”</w:t>
      </w:r>
      <w:r w:rsidRPr="00A94875">
        <w:rPr>
          <w:rFonts w:asciiTheme="majorBidi" w:hAnsiTheme="majorBidi" w:cstheme="majorBidi"/>
        </w:rPr>
        <w:t xml:space="preserve"> (under approval) </w:t>
      </w:r>
      <w:r w:rsidRPr="00A94875">
        <w:t xml:space="preserve">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t>
      </w:r>
      <w:proofErr w:type="gramStart"/>
      <w:r w:rsidRPr="00A94875">
        <w:t>which</w:t>
      </w:r>
      <w:proofErr w:type="gramEnd"/>
      <w:r w:rsidRPr="00A94875">
        <w:t xml:space="preserve"> are derived from the corresponding use cases</w:t>
      </w:r>
      <w:r w:rsidRPr="00A94875">
        <w:rPr>
          <w:rFonts w:asciiTheme="majorBidi" w:hAnsiTheme="majorBidi" w:cstheme="majorBidi"/>
        </w:rPr>
        <w:t>.</w:t>
      </w:r>
    </w:p>
    <w:p w14:paraId="290B5C72"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Y.Suppl.49 “ITU-T Y.3500-series – Supplement on Cloud Computing standardization roadmap”</w:t>
      </w:r>
      <w:r w:rsidRPr="00A94875">
        <w:rPr>
          <w:rFonts w:asciiTheme="majorBidi" w:hAnsiTheme="majorBidi" w:cstheme="majorBidi"/>
        </w:rPr>
        <w:t xml:space="preserve"> provide the summary of cloud computing related deliverables in ITU-T SGs and other </w:t>
      </w:r>
      <w:r w:rsidRPr="00A94875">
        <w:rPr>
          <w:rFonts w:asciiTheme="majorBidi" w:hAnsiTheme="majorBidi" w:cstheme="majorBidi"/>
        </w:rPr>
        <w:lastRenderedPageBreak/>
        <w:t>SDOs. For this purpose, it is necessary to collect all the information from ITU and other SDOs including their understanding of cloud computing and relation with cloud computing of their works.</w:t>
      </w:r>
    </w:p>
    <w:p w14:paraId="33E65329" w14:textId="77777777" w:rsidR="003B32AB" w:rsidRPr="00A94875" w:rsidRDefault="003B32AB" w:rsidP="003B32AB">
      <w:pPr>
        <w:spacing w:before="240"/>
        <w:rPr>
          <w:b/>
          <w:sz w:val="22"/>
          <w:szCs w:val="22"/>
        </w:rPr>
      </w:pPr>
      <w:r w:rsidRPr="00A94875">
        <w:rPr>
          <w:b/>
          <w:sz w:val="22"/>
          <w:szCs w:val="22"/>
        </w:rPr>
        <w:t>I.2.8</w:t>
      </w:r>
      <w:r w:rsidRPr="00A94875">
        <w:rPr>
          <w:b/>
          <w:sz w:val="22"/>
          <w:szCs w:val="22"/>
        </w:rPr>
        <w:tab/>
        <w:t>Big data</w:t>
      </w:r>
    </w:p>
    <w:p w14:paraId="26112C41" w14:textId="77777777" w:rsidR="003B32AB" w:rsidRPr="00A94875" w:rsidRDefault="003B32AB" w:rsidP="003B32AB">
      <w:pPr>
        <w:rPr>
          <w:bCs/>
        </w:rPr>
      </w:pPr>
      <w:r w:rsidRPr="00A94875">
        <w:rPr>
          <w:b/>
          <w:bCs/>
        </w:rPr>
        <w:t>ITU-T Y.3519 “Cloud computing - Functional architecture of big data as a service”</w:t>
      </w:r>
      <w:r w:rsidRPr="00A94875">
        <w:rPr>
          <w:bCs/>
        </w:rPr>
        <w:t xml:space="preserve"> (under approval)</w:t>
      </w:r>
      <w:r w:rsidRPr="00A94875">
        <w:rPr>
          <w:b/>
          <w:bCs/>
        </w:rPr>
        <w:t xml:space="preserve"> </w:t>
      </w:r>
      <w:r w:rsidRPr="00A94875">
        <w:rPr>
          <w:bCs/>
        </w:rPr>
        <w:t xml:space="preserve">describes the functional architecture for big data as a service (BDaaS). The functional architecture is defined </w:t>
      </w:r>
      <w:proofErr w:type="gramStart"/>
      <w:r w:rsidRPr="00A94875">
        <w:rPr>
          <w:bCs/>
        </w:rPr>
        <w:t>on the basis of</w:t>
      </w:r>
      <w:proofErr w:type="gramEnd"/>
      <w:r w:rsidRPr="00A94875">
        <w:rPr>
          <w:bCs/>
        </w:rPr>
        <w:t xml:space="preserve"> the analysis of requirements and activities of cloud computing based big data described in ITU-T Y.3600. Following the methodology of ITU-T Y.3502, the BDaaS functional architecture is described from a set of functional components and </w:t>
      </w:r>
      <w:proofErr w:type="gramStart"/>
      <w:r w:rsidRPr="00A94875">
        <w:rPr>
          <w:bCs/>
        </w:rPr>
        <w:t>cross-cutting</w:t>
      </w:r>
      <w:proofErr w:type="gramEnd"/>
      <w:r w:rsidRPr="00A94875">
        <w:rPr>
          <w:bCs/>
        </w:rPr>
        <w:t xml:space="preserve"> aspects. The specified functional components consist of sets of functions that are required to perform the BDaaS activities for the roles and sub-roles described in ITU-T Y.3600.</w:t>
      </w:r>
    </w:p>
    <w:p w14:paraId="7BDB83B7" w14:textId="77777777" w:rsidR="003B32AB" w:rsidRPr="00A94875" w:rsidRDefault="003B32AB" w:rsidP="003B32AB">
      <w:r w:rsidRPr="00A94875">
        <w:rPr>
          <w:b/>
          <w:bCs/>
        </w:rPr>
        <w:t xml:space="preserve">ITU-T Y.3601 “Big data - framework and requirements for data exchange” </w:t>
      </w:r>
      <w:r w:rsidRPr="00A94875">
        <w:t xml:space="preserve">provides framework to exchange big data. Big data exchange has multiple processes consist of data import and data export within big data ecosystem. Big data exchange </w:t>
      </w:r>
      <w:proofErr w:type="gramStart"/>
      <w:r w:rsidRPr="00A94875">
        <w:t>is used</w:t>
      </w:r>
      <w:proofErr w:type="gramEnd"/>
      <w:r w:rsidRPr="00A94875">
        <w:t xml:space="preserve"> for exchanging data of multiple types and multiple formats from data source to data target. In this Recommendation, direct and intermediary exchange patters </w:t>
      </w:r>
      <w:proofErr w:type="gramStart"/>
      <w:r w:rsidRPr="00A94875">
        <w:t>are introduced</w:t>
      </w:r>
      <w:proofErr w:type="gramEnd"/>
      <w:r w:rsidRPr="00A94875">
        <w:t xml:space="preserve"> for big data exchange. </w:t>
      </w:r>
      <w:proofErr w:type="gramStart"/>
      <w:r w:rsidRPr="00A94875">
        <w:t>Also</w:t>
      </w:r>
      <w:proofErr w:type="gramEnd"/>
      <w:r w:rsidRPr="00A94875">
        <w:t xml:space="preserve">, for big data exchange, the extended activities of big data ecosystem are provided. Functional requirements </w:t>
      </w:r>
      <w:proofErr w:type="gramStart"/>
      <w:r w:rsidRPr="00A94875">
        <w:t>are derived</w:t>
      </w:r>
      <w:proofErr w:type="gramEnd"/>
      <w:r w:rsidRPr="00A94875">
        <w:t xml:space="preserve"> from use cases. In </w:t>
      </w:r>
      <w:proofErr w:type="gramStart"/>
      <w:r w:rsidRPr="00A94875">
        <w:t>addition</w:t>
      </w:r>
      <w:proofErr w:type="gramEnd"/>
      <w:r w:rsidRPr="00A94875">
        <w:t xml:space="preserve"> this Recommendation provides a description of the activities for the support of big data exchange by extending the activities defined in Recommendation ITU-T Y.3600.</w:t>
      </w:r>
    </w:p>
    <w:p w14:paraId="2F58F5F9" w14:textId="77777777" w:rsidR="003B32AB" w:rsidRPr="00A94875" w:rsidRDefault="003B32AB" w:rsidP="003B32AB">
      <w:r w:rsidRPr="00A94875">
        <w:rPr>
          <w:b/>
        </w:rPr>
        <w:t>ITU-T Y.3602 “Big data – Functional requirements for data provenance”</w:t>
      </w:r>
      <w:r w:rsidRPr="00A94875">
        <w:t xml:space="preserve"> (under approval) describes a model and operations for big data provenance. </w:t>
      </w:r>
      <w:proofErr w:type="gramStart"/>
      <w:r w:rsidRPr="00A94875">
        <w:t>Also</w:t>
      </w:r>
      <w:proofErr w:type="gramEnd"/>
      <w:r w:rsidRPr="00A94875">
        <w:t>, this Recommendation provides the functional requirements for big data service provider (BDSP) to manage big data provenance.</w:t>
      </w:r>
    </w:p>
    <w:p w14:paraId="02E119EB" w14:textId="77777777" w:rsidR="003B32AB" w:rsidRPr="00A94875" w:rsidRDefault="003B32AB" w:rsidP="003B32AB">
      <w:r w:rsidRPr="00A94875">
        <w:rPr>
          <w:b/>
        </w:rPr>
        <w:t>ITU-T Y.3651 “Big-data-driven networking – mobile network traffic management and planning”</w:t>
      </w:r>
      <w:r w:rsidRPr="00A94875">
        <w:t xml:space="preserve"> (under approval) specifies some technology aspects related to big-data-driven networking – mobile network traffic management and planning. The research of this Recommendation </w:t>
      </w:r>
      <w:proofErr w:type="gramStart"/>
      <w:r w:rsidRPr="00A94875">
        <w:t>includes:</w:t>
      </w:r>
      <w:proofErr w:type="gramEnd"/>
      <w:r w:rsidRPr="00A94875">
        <w:t xml:space="preserve"> requirements, framework, reference points, performance aspects and security considerations of big-data-driven networking – mobile network traffic management and planning.</w:t>
      </w:r>
    </w:p>
    <w:p w14:paraId="10ABF24A" w14:textId="77777777" w:rsidR="003B32AB" w:rsidRPr="00A94875" w:rsidRDefault="003B32AB" w:rsidP="003B32AB">
      <w:proofErr w:type="gramStart"/>
      <w:r w:rsidRPr="00A94875">
        <w:rPr>
          <w:b/>
        </w:rPr>
        <w:t>ITU-T Y.Suppl.50 “Use case and application scenario of big data driven networking”</w:t>
      </w:r>
      <w:r w:rsidRPr="00A94875">
        <w:t xml:space="preserve"> present a set of use cases and several scenarios supported by big data driven networking including: 1) network management; 2) network active maintenance; 3) network optimization; 4) network operation; 5) network attack prevention; 6) root cause tracking of QoS; 7) QoE improvement; 8) resource management; 9) network planning and design; 10) traffic engineering; 11) cross layer design; 12) content delivery network.</w:t>
      </w:r>
      <w:proofErr w:type="gramEnd"/>
      <w:r w:rsidRPr="00A94875">
        <w:t xml:space="preserve"> 13) NAT devices detection; 14) bDDN in future network; 15) bDDN in data centre network; and 16) bDDN in industrial Internet.</w:t>
      </w:r>
    </w:p>
    <w:p w14:paraId="2F7AB0EA" w14:textId="77777777" w:rsidR="003B32AB" w:rsidRPr="00A94875" w:rsidRDefault="003B32AB" w:rsidP="003B32AB">
      <w:pPr>
        <w:spacing w:before="240"/>
        <w:rPr>
          <w:b/>
          <w:sz w:val="22"/>
          <w:szCs w:val="22"/>
        </w:rPr>
      </w:pPr>
      <w:r w:rsidRPr="00A94875">
        <w:rPr>
          <w:b/>
          <w:sz w:val="22"/>
          <w:szCs w:val="22"/>
        </w:rPr>
        <w:t>I.2.9</w:t>
      </w:r>
      <w:r w:rsidRPr="00A94875">
        <w:rPr>
          <w:b/>
          <w:sz w:val="22"/>
          <w:szCs w:val="22"/>
        </w:rPr>
        <w:tab/>
        <w:t>Network Management</w:t>
      </w:r>
    </w:p>
    <w:p w14:paraId="10E1DC0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M.3372 “Requirements for resource management in cloud-aware telecommunication management system”</w:t>
      </w:r>
      <w:r w:rsidRPr="00A94875">
        <w:rPr>
          <w:rFonts w:asciiTheme="majorBidi" w:hAnsiTheme="majorBidi" w:cstheme="majorBidi"/>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w:t>
      </w:r>
      <w:proofErr w:type="gramStart"/>
      <w:r w:rsidRPr="00A94875">
        <w:rPr>
          <w:rFonts w:asciiTheme="majorBidi" w:hAnsiTheme="majorBidi" w:cstheme="majorBidi"/>
        </w:rPr>
        <w:t>current status</w:t>
      </w:r>
      <w:proofErr w:type="gramEnd"/>
      <w:r w:rsidRPr="00A94875">
        <w:rPr>
          <w:rFonts w:asciiTheme="majorBidi" w:hAnsiTheme="majorBidi" w:cstheme="majorBidi"/>
        </w:rPr>
        <w:t xml:space="preserve"> of the cloud computing management are also analysed. </w:t>
      </w:r>
      <w:proofErr w:type="gramStart"/>
      <w:r w:rsidRPr="00A94875">
        <w:rPr>
          <w:rFonts w:asciiTheme="majorBidi" w:hAnsiTheme="majorBidi" w:cstheme="majorBidi"/>
        </w:rPr>
        <w:t>And</w:t>
      </w:r>
      <w:proofErr w:type="gramEnd"/>
      <w:r w:rsidRPr="00A94875">
        <w:rPr>
          <w:rFonts w:asciiTheme="majorBidi" w:hAnsiTheme="majorBidi" w:cstheme="majorBidi"/>
        </w:rPr>
        <w:t xml:space="preserve"> the benefit of introducing functional framework and functional requirements of resource management in cloud-aware telecommunication management system is explained.</w:t>
      </w:r>
    </w:p>
    <w:p w14:paraId="43C3866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Y.2814 “Mobility management framework over reconfigurable networks”</w:t>
      </w:r>
      <w:r w:rsidRPr="00A94875">
        <w:rPr>
          <w:rFonts w:asciiTheme="majorBidi" w:hAnsiTheme="majorBidi" w:cstheme="majorBidi"/>
        </w:rPr>
        <w:t xml:space="preserve"> focuses on application-driven mobility management of user devices, related functions and services, to improve </w:t>
      </w:r>
      <w:r w:rsidRPr="00A94875">
        <w:rPr>
          <w:rFonts w:asciiTheme="majorBidi" w:hAnsiTheme="majorBidi" w:cstheme="majorBidi"/>
        </w:rPr>
        <w:lastRenderedPageBreak/>
        <w:t>user’s quality of experience in the evolving reconfigurable network environment. The important issues on this Recommendation include:</w:t>
      </w:r>
    </w:p>
    <w:p w14:paraId="3F093481"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Enhanced management on location, handover and connection over reconfigurable networks;</w:t>
      </w:r>
    </w:p>
    <w:p w14:paraId="5F300D15"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14:paraId="5172BEC3"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14:paraId="3A0D1A67"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 xml:space="preserve">This Recommendation describes requirements, functional architecture, information flows and service scenarios to specify the </w:t>
      </w:r>
      <w:proofErr w:type="gramStart"/>
      <w:r w:rsidRPr="00A94875">
        <w:rPr>
          <w:rFonts w:asciiTheme="majorBidi" w:hAnsiTheme="majorBidi" w:cstheme="majorBidi"/>
        </w:rPr>
        <w:t>target mobility management framework</w:t>
      </w:r>
      <w:proofErr w:type="gramEnd"/>
      <w:r w:rsidRPr="00A94875">
        <w:rPr>
          <w:rFonts w:asciiTheme="majorBidi" w:hAnsiTheme="majorBidi" w:cstheme="majorBidi"/>
        </w:rPr>
        <w:t>.</w:t>
      </w:r>
    </w:p>
    <w:p w14:paraId="23BAB9E9" w14:textId="77777777" w:rsidR="003B32AB" w:rsidRPr="00A94875" w:rsidRDefault="003B32AB" w:rsidP="003B32AB">
      <w:pPr>
        <w:spacing w:before="240"/>
        <w:rPr>
          <w:b/>
          <w:sz w:val="22"/>
          <w:szCs w:val="22"/>
        </w:rPr>
      </w:pPr>
      <w:r w:rsidRPr="00A94875">
        <w:rPr>
          <w:b/>
          <w:sz w:val="22"/>
          <w:szCs w:val="22"/>
        </w:rPr>
        <w:t>I.3.1</w:t>
      </w:r>
      <w:r w:rsidRPr="00A94875">
        <w:rPr>
          <w:b/>
          <w:sz w:val="22"/>
          <w:szCs w:val="22"/>
        </w:rPr>
        <w:tab/>
        <w:t>Video and image coding</w:t>
      </w:r>
    </w:p>
    <w:p w14:paraId="4D7AE6FA"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H.222.0 (</w:t>
      </w:r>
      <w:proofErr w:type="gramStart"/>
      <w:r w:rsidRPr="00A94875">
        <w:rPr>
          <w:rFonts w:asciiTheme="majorBidi" w:hAnsiTheme="majorBidi" w:cstheme="majorBidi"/>
          <w:b/>
          <w:bCs/>
        </w:rPr>
        <w:t>7th</w:t>
      </w:r>
      <w:proofErr w:type="gramEnd"/>
      <w:r w:rsidRPr="00A94875">
        <w:rPr>
          <w:rFonts w:asciiTheme="majorBidi" w:hAnsiTheme="majorBidi" w:cstheme="majorBidi"/>
          <w:b/>
          <w:bCs/>
        </w:rPr>
        <w:t xml:space="preserve"> Ed.) </w:t>
      </w:r>
      <w:proofErr w:type="gramStart"/>
      <w:r w:rsidRPr="00A94875">
        <w:rPr>
          <w:rFonts w:asciiTheme="majorBidi" w:hAnsiTheme="majorBidi" w:cstheme="majorBidi"/>
          <w:b/>
          <w:bCs/>
        </w:rPr>
        <w:t>“Information technology - Generic coding of moving pictures and associated audio information: Systems”</w:t>
      </w:r>
      <w:r w:rsidRPr="00A94875">
        <w:rPr>
          <w:rFonts w:asciiTheme="majorBidi" w:hAnsiTheme="majorBidi" w:cstheme="majorBidi"/>
          <w:bCs/>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w:t>
      </w:r>
      <w:proofErr w:type="gramEnd"/>
      <w:r w:rsidRPr="00A94875">
        <w:rPr>
          <w:rFonts w:asciiTheme="majorBidi" w:hAnsiTheme="majorBidi" w:cstheme="majorBidi"/>
          <w:bCs/>
        </w:rPr>
        <w:t xml:space="preserve"> With respect to the previous edition, the 7th edition</w:t>
      </w:r>
    </w:p>
    <w:p w14:paraId="7EFBDBA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fixes interoperability issues in the transport of JPEG 2000 Part 1 (Rec. ITU-T T.800 | ISO/IEC 15444-1),</w:t>
      </w:r>
    </w:p>
    <w:p w14:paraId="1F26D03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JPEG 2000 Ultra-Low Latency (ULL) encoding and support for higher resolutions (4K or higher) of JPEG 2000 video,</w:t>
      </w:r>
    </w:p>
    <w:p w14:paraId="2F0F991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the carriage of timed metadata for media orchestration (MORE) as defined in ISO/IEC 23001-13,</w:t>
      </w:r>
    </w:p>
    <w:p w14:paraId="0470D48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the transport of sample variants as defined in ISO/IEC 23001-12 (2nd edition),</w:t>
      </w:r>
    </w:p>
    <w:p w14:paraId="779642B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the transport of substreams containing HEVC (Rec. ITU-T H.264 | ISO/IEC 23008-2) Motion Constrained Tile Sets and</w:t>
      </w:r>
    </w:p>
    <w:p w14:paraId="5A895F9C"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Cs/>
        </w:rPr>
        <w:t>–</w:t>
      </w:r>
      <w:r w:rsidRPr="00A94875">
        <w:rPr>
          <w:rFonts w:asciiTheme="majorBidi" w:hAnsiTheme="majorBidi" w:cstheme="majorBidi"/>
          <w:bCs/>
        </w:rPr>
        <w:tab/>
        <w:t>resolves an ambiguity in the specification of the semantics of the HEVC video descriptor.</w:t>
      </w:r>
    </w:p>
    <w:p w14:paraId="6325BF4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H.265.1 V3 “Conformance specification for ITU-T H.265 high efficiency video coding”</w:t>
      </w:r>
      <w:r w:rsidRPr="00A94875">
        <w:rPr>
          <w:rFonts w:asciiTheme="majorBidi" w:hAnsiTheme="majorBidi" w:cstheme="majorBidi"/>
        </w:rPr>
        <w:t xml:space="preserve"> specifies tests for (non-exhaustive) testing to verify whether bitstreams and decoders meet the normative requirements specified in ITU T H.265 | ISO/IEC 23008-2 high efficiency video coding (HEVC). The bitstreams provided with this document correspond to the 02/2018 (V5) edition of Rec. ITU-T H.265. The V3 edition adds tests for the screen content coding (SCC) extensions and non-intra high throughput profiles.</w:t>
      </w:r>
    </w:p>
    <w:p w14:paraId="3A291929"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T.88 Amd.4 “Information technology - Lossy/lossless coding of bi-level images”</w:t>
      </w:r>
      <w:r w:rsidRPr="00A94875">
        <w:rPr>
          <w:rFonts w:asciiTheme="majorBidi" w:hAnsiTheme="majorBidi" w:cstheme="majorBidi"/>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w:t>
      </w:r>
      <w:proofErr w:type="gramStart"/>
      <w:r w:rsidRPr="00A94875">
        <w:rPr>
          <w:rFonts w:asciiTheme="majorBidi" w:hAnsiTheme="majorBidi" w:cstheme="majorBidi"/>
        </w:rPr>
        <w:t>higher level</w:t>
      </w:r>
      <w:proofErr w:type="gramEnd"/>
      <w:r w:rsidRPr="00A94875">
        <w:rPr>
          <w:rFonts w:asciiTheme="majorBidi" w:hAnsiTheme="majorBidi" w:cstheme="majorBidi"/>
        </w:rPr>
        <w:t xml:space="preserve"> standard such as Recommendation ITU-T T.44 | ISO/IEC 16485. This Recommendation | International Standard has been explicitly prepared for a lossy, lossless, and lossy-to-lossless image compression. This revision includes integration of the previously approved amendments 1 through 3 and the addition of specification of a verification test procedure for JBIG2 encoders and decoders (which </w:t>
      </w:r>
      <w:proofErr w:type="gramStart"/>
      <w:r w:rsidRPr="00A94875">
        <w:rPr>
          <w:rFonts w:asciiTheme="majorBidi" w:hAnsiTheme="majorBidi" w:cstheme="majorBidi"/>
        </w:rPr>
        <w:t>was processed</w:t>
      </w:r>
      <w:proofErr w:type="gramEnd"/>
      <w:r w:rsidRPr="00A94875">
        <w:rPr>
          <w:rFonts w:asciiTheme="majorBidi" w:hAnsiTheme="majorBidi" w:cstheme="majorBidi"/>
        </w:rPr>
        <w:t xml:space="preserve"> in the ISO/IEC approval process as Amendment 4).</w:t>
      </w:r>
    </w:p>
    <w:p w14:paraId="55B6FD1B" w14:textId="77777777" w:rsidR="003B32AB" w:rsidRPr="00A94875" w:rsidRDefault="003B32AB" w:rsidP="003B32AB">
      <w:pPr>
        <w:spacing w:before="240"/>
        <w:rPr>
          <w:b/>
          <w:sz w:val="22"/>
          <w:szCs w:val="22"/>
        </w:rPr>
      </w:pPr>
      <w:bookmarkStart w:id="282" w:name="_Toc480527896"/>
      <w:r w:rsidRPr="00A94875">
        <w:rPr>
          <w:b/>
          <w:sz w:val="22"/>
          <w:szCs w:val="22"/>
        </w:rPr>
        <w:t>I.3.2</w:t>
      </w:r>
      <w:r w:rsidRPr="00A94875">
        <w:rPr>
          <w:b/>
          <w:sz w:val="22"/>
          <w:szCs w:val="22"/>
        </w:rPr>
        <w:tab/>
        <w:t>Intelligent, interoperable visual surveillance systems</w:t>
      </w:r>
      <w:bookmarkEnd w:id="282"/>
    </w:p>
    <w:p w14:paraId="6818CC0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H.626.3 “Architecture for visual surveillance system interworking”</w:t>
      </w:r>
      <w:r w:rsidRPr="00A94875">
        <w:rPr>
          <w:rFonts w:asciiTheme="majorBidi" w:hAnsiTheme="majorBidi" w:cstheme="majorBidi"/>
        </w:rPr>
        <w:t xml:space="preserve"> defines an architecture of visual surveillance system interworking. A visual surveillance system </w:t>
      </w:r>
      <w:proofErr w:type="gramStart"/>
      <w:r w:rsidRPr="00A94875">
        <w:rPr>
          <w:rFonts w:asciiTheme="majorBidi" w:hAnsiTheme="majorBidi" w:cstheme="majorBidi"/>
        </w:rPr>
        <w:t>is deployed</w:t>
      </w:r>
      <w:proofErr w:type="gramEnd"/>
      <w:r w:rsidRPr="00A94875">
        <w:rPr>
          <w:rFonts w:asciiTheme="majorBidi" w:hAnsiTheme="majorBidi" w:cstheme="majorBidi"/>
        </w:rPr>
        <w:t xml:space="preserve"> as a stand-alone and fully autonomous system, and the data and resource cannot be shared between different visual surveillance systems. The visual surveillance system interworking mechanism </w:t>
      </w:r>
      <w:r w:rsidRPr="00A94875">
        <w:rPr>
          <w:rFonts w:asciiTheme="majorBidi" w:hAnsiTheme="majorBidi" w:cstheme="majorBidi"/>
        </w:rPr>
        <w:lastRenderedPageBreak/>
        <w:t>enables the communication among the different visual surveillance systems, and this interworking mechanism can realize the cross-system sharing of the data and resource. This Recommendation describes the architecture, entities, reference points, service control flows, and deployment models for visual surveillance system interworking.</w:t>
      </w:r>
    </w:p>
    <w:p w14:paraId="1A57EC81"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H.626.4 “Architecture for a point-to-point visual surveillance system”</w:t>
      </w:r>
      <w:r w:rsidRPr="00A94875">
        <w:rPr>
          <w:rFonts w:asciiTheme="majorBidi" w:hAnsiTheme="majorBidi" w:cstheme="majorBidi"/>
        </w:rPr>
        <w:t xml:space="preserve"> defines the architecture of a point-to-point (P2P) visual surveillance system, including the functional requirements, functional architecture, entities, service flows and interfaces. The P2P visual surveillance system is a </w:t>
      </w:r>
      <w:proofErr w:type="gramStart"/>
      <w:r w:rsidRPr="00A94875">
        <w:rPr>
          <w:rFonts w:asciiTheme="majorBidi" w:hAnsiTheme="majorBidi" w:cstheme="majorBidi"/>
        </w:rPr>
        <w:t>kind of visual</w:t>
      </w:r>
      <w:proofErr w:type="gramEnd"/>
      <w:r w:rsidRPr="00A94875">
        <w:rPr>
          <w:rFonts w:asciiTheme="majorBidi" w:hAnsiTheme="majorBidi" w:cstheme="majorBidi"/>
        </w:rPr>
        <w:t xml:space="preserve"> surveillance system, which provides a solution for users to access video streams directly from the cameras through network, without transferring video streams by the visual surveillance platform.</w:t>
      </w:r>
    </w:p>
    <w:p w14:paraId="3A18E10A" w14:textId="77777777" w:rsidR="003B32AB" w:rsidRPr="00A94875" w:rsidRDefault="003B32AB" w:rsidP="003B32AB">
      <w:pPr>
        <w:keepNext/>
        <w:keepLines/>
        <w:spacing w:before="240"/>
        <w:rPr>
          <w:b/>
          <w:sz w:val="22"/>
          <w:szCs w:val="22"/>
        </w:rPr>
      </w:pPr>
      <w:bookmarkStart w:id="283" w:name="_Toc480527898"/>
      <w:r w:rsidRPr="00A94875">
        <w:rPr>
          <w:b/>
          <w:sz w:val="22"/>
          <w:szCs w:val="22"/>
        </w:rPr>
        <w:t>I.3.3</w:t>
      </w:r>
      <w:r w:rsidRPr="00A94875">
        <w:rPr>
          <w:b/>
          <w:sz w:val="22"/>
          <w:szCs w:val="22"/>
        </w:rPr>
        <w:tab/>
        <w:t>IPTV and digital signage</w:t>
      </w:r>
      <w:bookmarkEnd w:id="283"/>
    </w:p>
    <w:p w14:paraId="677DFDBE" w14:textId="77777777" w:rsidR="003B32AB" w:rsidRPr="00A94875" w:rsidRDefault="003B32AB" w:rsidP="003B32AB">
      <w:pPr>
        <w:keepNext/>
        <w:keepLines/>
        <w:rPr>
          <w:rFonts w:asciiTheme="majorBidi" w:hAnsiTheme="majorBidi" w:cstheme="majorBidi"/>
          <w:bCs/>
          <w:highlight w:val="yellow"/>
        </w:rPr>
      </w:pPr>
      <w:r w:rsidRPr="00A94875">
        <w:rPr>
          <w:rFonts w:asciiTheme="majorBidi" w:hAnsiTheme="majorBidi" w:cstheme="majorBidi"/>
          <w:b/>
          <w:bCs/>
        </w:rPr>
        <w:t>ITU-T H.766 “Lua for IPTV services”</w:t>
      </w:r>
      <w:r w:rsidRPr="00A94875">
        <w:rPr>
          <w:rFonts w:asciiTheme="majorBidi" w:hAnsiTheme="majorBidi" w:cstheme="majorBidi"/>
          <w:bCs/>
        </w:rPr>
        <w:t xml:space="preserve"> defines Lua as one of standard multimedia application frameworks for IPTV services. Lua is an extension programming language designed to support general procedural programming with data description facilities. Lua is the scripting language for Ginga-NCL [ITU-T H.761]. The Lua engine </w:t>
      </w:r>
      <w:proofErr w:type="gramStart"/>
      <w:r w:rsidRPr="00A94875">
        <w:rPr>
          <w:rFonts w:asciiTheme="majorBidi" w:hAnsiTheme="majorBidi" w:cstheme="majorBidi"/>
          <w:bCs/>
        </w:rPr>
        <w:t>is distributed</w:t>
      </w:r>
      <w:proofErr w:type="gramEnd"/>
      <w:r w:rsidRPr="00A94875">
        <w:rPr>
          <w:rFonts w:asciiTheme="majorBidi" w:hAnsiTheme="majorBidi" w:cstheme="majorBidi"/>
          <w:bCs/>
        </w:rPr>
        <w:t xml:space="preserve"> as free software under the MIT license. Lua for IPTV services </w:t>
      </w:r>
      <w:proofErr w:type="gramStart"/>
      <w:r w:rsidRPr="00A94875">
        <w:rPr>
          <w:rFonts w:asciiTheme="majorBidi" w:hAnsiTheme="majorBidi" w:cstheme="majorBidi"/>
          <w:bCs/>
        </w:rPr>
        <w:t>is structured</w:t>
      </w:r>
      <w:proofErr w:type="gramEnd"/>
      <w:r w:rsidRPr="00A94875">
        <w:rPr>
          <w:rFonts w:asciiTheme="majorBidi" w:hAnsiTheme="majorBidi" w:cstheme="majorBidi"/>
          <w:bCs/>
        </w:rPr>
        <w:t xml:space="preserve"> in two sets of application programming interfaces (APIs). Lua IPTV Core API is a basic, mandatory API that conforms with Ginga-NCL [ITU-T H.761]. Lua IPTV Extended API includes enhanced functionality that a Lua implementation </w:t>
      </w:r>
      <w:proofErr w:type="gramStart"/>
      <w:r w:rsidRPr="00A94875">
        <w:rPr>
          <w:rFonts w:asciiTheme="majorBidi" w:hAnsiTheme="majorBidi" w:cstheme="majorBidi"/>
          <w:bCs/>
        </w:rPr>
        <w:t>is recommended</w:t>
      </w:r>
      <w:proofErr w:type="gramEnd"/>
      <w:r w:rsidRPr="00A94875">
        <w:rPr>
          <w:rFonts w:asciiTheme="majorBidi" w:hAnsiTheme="majorBidi" w:cstheme="majorBidi"/>
          <w:bCs/>
        </w:rPr>
        <w:t xml:space="preserve"> to support. This Recommendation defines Lua IPTV Core API and Lua IPTV Extended API. It includes an Annex with a reference manual for Lua 5.1 as well as an appendix with sample Lua code, which implements a simple health application.</w:t>
      </w:r>
    </w:p>
    <w:p w14:paraId="677C5C4E"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H.782 (V2) (revised) “Digital signage: Metadata”</w:t>
      </w:r>
      <w:r w:rsidRPr="00A94875">
        <w:rPr>
          <w:rFonts w:asciiTheme="majorBidi" w:hAnsiTheme="majorBidi" w:cstheme="majorBidi"/>
        </w:rPr>
        <w:t xml:space="preserve"> (under approval) specifies the data elements and structures of the metadata for digital signage services. The metadata describes information for contents, terminal devices, play logs, playlist schedule, screen layout, etc. </w:t>
      </w:r>
      <w:proofErr w:type="gramStart"/>
      <w:r w:rsidRPr="00A94875">
        <w:rPr>
          <w:rFonts w:asciiTheme="majorBidi" w:hAnsiTheme="majorBidi" w:cstheme="majorBidi"/>
        </w:rPr>
        <w:t>The metadata is handled by a digital signage server, a digital signage client, a content deliver server, and a content delivery client</w:t>
      </w:r>
      <w:proofErr w:type="gramEnd"/>
      <w:r w:rsidRPr="00A94875">
        <w:rPr>
          <w:rFonts w:asciiTheme="majorBidi" w:hAnsiTheme="majorBidi" w:cstheme="majorBidi"/>
        </w:rPr>
        <w:t xml:space="preserve">. It also specifies general information flows to describe how the metadata </w:t>
      </w:r>
      <w:proofErr w:type="gramStart"/>
      <w:r w:rsidRPr="00A94875">
        <w:rPr>
          <w:rFonts w:asciiTheme="majorBidi" w:hAnsiTheme="majorBidi" w:cstheme="majorBidi"/>
        </w:rPr>
        <w:t>are used</w:t>
      </w:r>
      <w:proofErr w:type="gramEnd"/>
      <w:r w:rsidRPr="00A94875">
        <w:rPr>
          <w:rFonts w:asciiTheme="majorBidi" w:hAnsiTheme="majorBidi" w:cstheme="majorBidi"/>
        </w:rPr>
        <w:t xml:space="preserve"> in the digital signage services. This revision updates the data types of elements/attributes of identifiers.  The update aims to widen applicability of the specifications at the price of easy XML validation.</w:t>
      </w:r>
    </w:p>
    <w:p w14:paraId="28EE06F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H.783 “Digital signage: Audience measurement services”</w:t>
      </w:r>
      <w:r w:rsidRPr="00A94875">
        <w:rPr>
          <w:rFonts w:asciiTheme="majorBidi" w:hAnsiTheme="majorBidi" w:cstheme="majorBidi"/>
        </w:rPr>
        <w:t xml:space="preserve"> specifies functional requirements, configuration and operations, and metadata for audience measurement services in digital signage. The configuration and operations </w:t>
      </w:r>
      <w:proofErr w:type="gramStart"/>
      <w:r w:rsidRPr="00A94875">
        <w:rPr>
          <w:rFonts w:asciiTheme="majorBidi" w:hAnsiTheme="majorBidi" w:cstheme="majorBidi"/>
        </w:rPr>
        <w:t>are processed</w:t>
      </w:r>
      <w:proofErr w:type="gramEnd"/>
      <w:r w:rsidRPr="00A94875">
        <w:rPr>
          <w:rFonts w:asciiTheme="majorBidi" w:hAnsiTheme="majorBidi" w:cstheme="majorBidi"/>
        </w:rPr>
        <w:t xml:space="preserve"> between audience measurement client and audience measurement aggregation. The metadata describes the detail data elements and structures on information used in the configuration and operations.</w:t>
      </w:r>
    </w:p>
    <w:p w14:paraId="4E8DD10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H.784 “Digital signage: Display device control interface”</w:t>
      </w:r>
      <w:r w:rsidRPr="00A94875">
        <w:rPr>
          <w:rFonts w:asciiTheme="majorBidi" w:hAnsiTheme="majorBidi" w:cstheme="majorBidi"/>
        </w:rPr>
        <w:t xml:space="preserve"> (under approval) addresses the </w:t>
      </w:r>
      <w:proofErr w:type="gramStart"/>
      <w:r w:rsidRPr="00A94875">
        <w:rPr>
          <w:rFonts w:asciiTheme="majorBidi" w:hAnsiTheme="majorBidi" w:cstheme="majorBidi"/>
        </w:rPr>
        <w:t>display device control interface</w:t>
      </w:r>
      <w:proofErr w:type="gramEnd"/>
      <w:r w:rsidRPr="00A94875">
        <w:rPr>
          <w:rFonts w:asciiTheme="majorBidi" w:hAnsiTheme="majorBidi" w:cstheme="majorBidi"/>
        </w:rPr>
        <w:t xml:space="preserve"> between the display device and the DS client. The Recommendation introduces an overview of the </w:t>
      </w:r>
      <w:proofErr w:type="gramStart"/>
      <w:r w:rsidRPr="00A94875">
        <w:rPr>
          <w:rFonts w:asciiTheme="majorBidi" w:hAnsiTheme="majorBidi" w:cstheme="majorBidi"/>
        </w:rPr>
        <w:t>display device control interface</w:t>
      </w:r>
      <w:proofErr w:type="gramEnd"/>
      <w:r w:rsidRPr="00A94875">
        <w:rPr>
          <w:rFonts w:asciiTheme="majorBidi" w:hAnsiTheme="majorBidi" w:cstheme="majorBidi"/>
        </w:rPr>
        <w:t xml:space="preserve"> and describes the functions and procedures for controlling and configuring the display device through the interface.</w:t>
      </w:r>
    </w:p>
    <w:p w14:paraId="3199B6B7"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H.785.1 “Digital signage: Service requirements and a reference model on information services in public places via an interoperable service platform”</w:t>
      </w:r>
      <w:r w:rsidRPr="00A94875">
        <w:rPr>
          <w:rFonts w:asciiTheme="majorBidi" w:hAnsiTheme="majorBidi" w:cstheme="majorBidi"/>
        </w:rPr>
        <w:t xml:space="preserve"> addresses high-level requirements, a reference model, push-based distribution methods and relevant metadata of DS services in public places via the interoperable service platform. The Recommendation </w:t>
      </w:r>
      <w:proofErr w:type="gramStart"/>
      <w:r w:rsidRPr="00A94875">
        <w:rPr>
          <w:rFonts w:asciiTheme="majorBidi" w:hAnsiTheme="majorBidi" w:cstheme="majorBidi"/>
        </w:rPr>
        <w:t>is expected</w:t>
      </w:r>
      <w:proofErr w:type="gramEnd"/>
      <w:r w:rsidRPr="00A94875">
        <w:rPr>
          <w:rFonts w:asciiTheme="majorBidi" w:hAnsiTheme="majorBidi" w:cstheme="majorBidi"/>
        </w:rPr>
        <w:t xml:space="preserve"> to enhance interoperability for DS services in public places as to efficient and effective system operation.</w:t>
      </w:r>
    </w:p>
    <w:p w14:paraId="71035FE5" w14:textId="77777777" w:rsidR="003B32AB" w:rsidRPr="00A94875" w:rsidRDefault="003B32AB" w:rsidP="003B32AB">
      <w:pPr>
        <w:keepNext/>
        <w:keepLines/>
        <w:spacing w:before="240"/>
        <w:rPr>
          <w:b/>
          <w:sz w:val="22"/>
          <w:szCs w:val="22"/>
        </w:rPr>
      </w:pPr>
      <w:bookmarkStart w:id="284" w:name="_Toc480527900"/>
      <w:r w:rsidRPr="00A94875">
        <w:rPr>
          <w:b/>
          <w:sz w:val="22"/>
          <w:szCs w:val="22"/>
        </w:rPr>
        <w:lastRenderedPageBreak/>
        <w:t>I.3.4</w:t>
      </w:r>
      <w:r w:rsidRPr="00A94875">
        <w:rPr>
          <w:b/>
          <w:sz w:val="22"/>
          <w:szCs w:val="22"/>
        </w:rPr>
        <w:tab/>
        <w:t>Immersive live experience</w:t>
      </w:r>
    </w:p>
    <w:p w14:paraId="2982D718" w14:textId="77777777" w:rsidR="003B32AB" w:rsidRPr="00A94875" w:rsidRDefault="003B32AB" w:rsidP="003B32AB">
      <w:pPr>
        <w:keepNext/>
        <w:keepLines/>
        <w:rPr>
          <w:rFonts w:asciiTheme="majorBidi" w:hAnsiTheme="majorBidi" w:cstheme="majorBidi"/>
          <w:bCs/>
        </w:rPr>
      </w:pPr>
      <w:r w:rsidRPr="00A94875">
        <w:rPr>
          <w:rFonts w:asciiTheme="majorBidi" w:hAnsiTheme="majorBidi" w:cstheme="majorBidi"/>
          <w:b/>
          <w:bCs/>
        </w:rPr>
        <w:t>ITU-T H.430.1 “Requirements for immersive live experience (ILE) services”</w:t>
      </w:r>
      <w:r w:rsidRPr="00A94875">
        <w:rPr>
          <w:rFonts w:asciiTheme="majorBidi" w:hAnsiTheme="majorBidi" w:cstheme="majorBidi"/>
          <w:bCs/>
        </w:rPr>
        <w:t xml:space="preserve"> provides the definition of Immersive Live Experience (ILE) and identifies general requirements and high-level functional requirements for ILE services, in order to clarify ILE services.</w:t>
      </w:r>
    </w:p>
    <w:p w14:paraId="1B8273C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H.430.2 “Architectural framework for immersive live experience (ILE) services”</w:t>
      </w:r>
      <w:r w:rsidRPr="00A94875">
        <w:rPr>
          <w:rFonts w:asciiTheme="majorBidi" w:hAnsiTheme="majorBidi" w:cstheme="majorBidi"/>
          <w:bCs/>
        </w:rPr>
        <w:t xml:space="preserve"> identifies general framework and high-level functional architecture for ILE services, in order to clarify ILE services and general functions of ILE systems. This Recommendation also provides the role model of ILE.</w:t>
      </w:r>
    </w:p>
    <w:p w14:paraId="76A0A51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H.430.3 “Service scenario of immersive live experience (ILE)”</w:t>
      </w:r>
      <w:r w:rsidRPr="00A94875">
        <w:rPr>
          <w:rFonts w:asciiTheme="majorBidi" w:hAnsiTheme="majorBidi" w:cstheme="majorBidi"/>
          <w:bCs/>
        </w:rPr>
        <w:t xml:space="preserve"> provides several service scenarios of ILE </w:t>
      </w:r>
      <w:proofErr w:type="gramStart"/>
      <w:r w:rsidRPr="00A94875">
        <w:rPr>
          <w:rFonts w:asciiTheme="majorBidi" w:hAnsiTheme="majorBidi" w:cstheme="majorBidi"/>
          <w:bCs/>
        </w:rPr>
        <w:t>and also</w:t>
      </w:r>
      <w:proofErr w:type="gramEnd"/>
      <w:r w:rsidRPr="00A94875">
        <w:rPr>
          <w:rFonts w:asciiTheme="majorBidi" w:hAnsiTheme="majorBidi" w:cstheme="majorBidi"/>
          <w:bCs/>
        </w:rPr>
        <w:t xml:space="preserve"> provides use cases as information, in order to clarify ILE services.</w:t>
      </w:r>
    </w:p>
    <w:p w14:paraId="0BEAFAC4" w14:textId="77777777" w:rsidR="003B32AB" w:rsidRPr="00A94875" w:rsidRDefault="003B32AB" w:rsidP="003B32AB">
      <w:pPr>
        <w:spacing w:before="240"/>
        <w:rPr>
          <w:b/>
          <w:sz w:val="22"/>
          <w:szCs w:val="22"/>
        </w:rPr>
      </w:pPr>
      <w:r w:rsidRPr="00A94875">
        <w:rPr>
          <w:b/>
          <w:sz w:val="22"/>
          <w:szCs w:val="22"/>
        </w:rPr>
        <w:t>I.3.5</w:t>
      </w:r>
      <w:r w:rsidRPr="00A94875">
        <w:rPr>
          <w:b/>
          <w:sz w:val="22"/>
          <w:szCs w:val="22"/>
        </w:rPr>
        <w:tab/>
        <w:t>Standards to assess quality of video communications and applications</w:t>
      </w:r>
    </w:p>
    <w:p w14:paraId="50A2F1B7" w14:textId="77777777" w:rsidR="003B32AB" w:rsidRPr="00A94875" w:rsidRDefault="003B32AB" w:rsidP="003B32AB">
      <w:pPr>
        <w:widowControl w:val="0"/>
        <w:rPr>
          <w:rFonts w:asciiTheme="majorBidi" w:hAnsiTheme="majorBidi" w:cstheme="majorBidi"/>
          <w:highlight w:val="yellow"/>
        </w:rPr>
      </w:pPr>
      <w:r w:rsidRPr="00A94875">
        <w:rPr>
          <w:rFonts w:asciiTheme="majorBidi" w:hAnsiTheme="majorBidi" w:cstheme="majorBidi"/>
          <w:b/>
        </w:rPr>
        <w:t>ITU-T G.1070 (revised) “Opinion model for video-telephony applications”</w:t>
      </w:r>
      <w:r w:rsidRPr="00A94875">
        <w:rPr>
          <w:rFonts w:asciiTheme="majorBidi" w:hAnsiTheme="majorBidi" w:cstheme="majorBidi"/>
        </w:rPr>
        <w:t xml:space="preserve"> proposes an algorithm that estimates videophone quality for quality of experience (QoE)/quality of service (QoS) planners. </w:t>
      </w:r>
      <w:proofErr w:type="gramStart"/>
      <w:r w:rsidRPr="00A94875">
        <w:rPr>
          <w:rFonts w:asciiTheme="majorBidi" w:hAnsiTheme="majorBidi" w:cstheme="majorBidi"/>
        </w:rPr>
        <w:t>This model can be used by QoE/QoS planners to help ensure that users will be satisfied with end-to-end service quality</w:t>
      </w:r>
      <w:proofErr w:type="gramEnd"/>
      <w:r w:rsidRPr="00A94875">
        <w:rPr>
          <w:rFonts w:asciiTheme="majorBidi" w:hAnsiTheme="majorBidi" w:cstheme="majorBidi"/>
        </w:rPr>
        <w:t xml:space="preserve">. The model provides estimates of multimedia quality that take interactivity into account and it </w:t>
      </w:r>
      <w:proofErr w:type="gramStart"/>
      <w:r w:rsidRPr="00A94875">
        <w:rPr>
          <w:rFonts w:asciiTheme="majorBidi" w:hAnsiTheme="majorBidi" w:cstheme="majorBidi"/>
        </w:rPr>
        <w:t>allows</w:t>
      </w:r>
      <w:proofErr w:type="gramEnd"/>
      <w:r w:rsidRPr="00A94875">
        <w:rPr>
          <w:rFonts w:asciiTheme="majorBidi" w:hAnsiTheme="majorBidi" w:cstheme="majorBidi"/>
        </w:rPr>
        <w:t xml:space="preserve"> planners to avoid under-engineering. The application of this Recommendation is limited to QoE/QoS planning. Other applications such as quality benchmarking and monitoring are outside the scope of this Recommendation.</w:t>
      </w:r>
    </w:p>
    <w:p w14:paraId="161FE262"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P.809 “Subjective Evaluation Methods for Gaming Quality”</w:t>
      </w:r>
      <w:r w:rsidRPr="00A94875">
        <w:rPr>
          <w:rFonts w:asciiTheme="majorBidi" w:hAnsiTheme="majorBidi" w:cstheme="majorBidi"/>
        </w:rPr>
        <w:t xml:space="preserve"> presents guidelines for the conduction of subjective experiments for the Quality of Experience (QoE) assessment of gaming services. First, an overview about gaming QoE features covering hedonic and pragmatic quality as well as the player experience </w:t>
      </w:r>
      <w:proofErr w:type="gramStart"/>
      <w:r w:rsidRPr="00A94875">
        <w:rPr>
          <w:rFonts w:asciiTheme="majorBidi" w:hAnsiTheme="majorBidi" w:cstheme="majorBidi"/>
        </w:rPr>
        <w:t>is given</w:t>
      </w:r>
      <w:proofErr w:type="gramEnd"/>
      <w:r w:rsidRPr="00A94875">
        <w:rPr>
          <w:rFonts w:asciiTheme="majorBidi" w:hAnsiTheme="majorBidi" w:cstheme="majorBidi"/>
        </w:rPr>
        <w:t xml:space="preserve">. Additionally, methods for two test paradigms, passive viewing-and-listening tests and interactive tests, </w:t>
      </w:r>
      <w:proofErr w:type="gramStart"/>
      <w:r w:rsidRPr="00A94875">
        <w:rPr>
          <w:rFonts w:asciiTheme="majorBidi" w:hAnsiTheme="majorBidi" w:cstheme="majorBidi"/>
        </w:rPr>
        <w:t>are described</w:t>
      </w:r>
      <w:proofErr w:type="gramEnd"/>
      <w:r w:rsidRPr="00A94875">
        <w:rPr>
          <w:rFonts w:asciiTheme="majorBidi" w:hAnsiTheme="majorBidi" w:cstheme="majorBidi"/>
        </w:rPr>
        <w:t xml:space="preserve"> including information about the test environment and test setup, participant instructions, selection of game materials and a list of available questionnaires for the assessment of several gaming QoE features such as flow and immersion.</w:t>
      </w:r>
    </w:p>
    <w:p w14:paraId="603C8877" w14:textId="77777777" w:rsidR="003B32AB" w:rsidRPr="00A94875" w:rsidRDefault="003B32AB" w:rsidP="003B32AB">
      <w:pPr>
        <w:spacing w:before="240"/>
        <w:rPr>
          <w:b/>
          <w:sz w:val="22"/>
          <w:szCs w:val="22"/>
        </w:rPr>
      </w:pPr>
      <w:r w:rsidRPr="00A94875">
        <w:rPr>
          <w:b/>
          <w:sz w:val="22"/>
          <w:szCs w:val="22"/>
        </w:rPr>
        <w:t>I.3.6</w:t>
      </w:r>
      <w:r w:rsidRPr="00A94875">
        <w:rPr>
          <w:b/>
          <w:sz w:val="22"/>
          <w:szCs w:val="22"/>
        </w:rPr>
        <w:tab/>
        <w:t>New services and applications</w:t>
      </w:r>
      <w:bookmarkEnd w:id="284"/>
    </w:p>
    <w:p w14:paraId="0D4C264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F.743.5 “Framework and interfaces for multimedia content delivery network”</w:t>
      </w:r>
      <w:r w:rsidRPr="00A94875">
        <w:rPr>
          <w:rFonts w:asciiTheme="majorBidi" w:hAnsiTheme="majorBidi" w:cstheme="majorBidi"/>
          <w:bCs/>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14:paraId="3D6564F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F.743.6 “Service requirements for next generation content delivery networks”</w:t>
      </w:r>
      <w:r w:rsidRPr="00A94875">
        <w:rPr>
          <w:rFonts w:asciiTheme="majorBidi" w:hAnsiTheme="majorBidi" w:cstheme="majorBidi"/>
          <w:bCs/>
        </w:rPr>
        <w:t xml:space="preserve"> describes the use cases, service requirements and challenges of the next generation CDN. Based on the existing modes analysis for bringing CDN to the edge described in Appendix I, a new reference architecture named Access </w:t>
      </w:r>
      <w:proofErr w:type="gramStart"/>
      <w:r w:rsidRPr="00A94875">
        <w:rPr>
          <w:rFonts w:asciiTheme="majorBidi" w:hAnsiTheme="majorBidi" w:cstheme="majorBidi"/>
          <w:bCs/>
        </w:rPr>
        <w:t>CDN which decouples common functions</w:t>
      </w:r>
      <w:proofErr w:type="gramEnd"/>
      <w:r w:rsidRPr="00A94875">
        <w:rPr>
          <w:rFonts w:asciiTheme="majorBidi" w:hAnsiTheme="majorBidi" w:cstheme="majorBidi"/>
          <w:bCs/>
        </w:rPr>
        <w:t xml:space="preserve"> and customized service is proposed. This architecture enlarges the CDN industry space from a closed-loop system to a decoupled open platform, and provides the opportunity for a win-win relationship between CDN service providers and operators.</w:t>
      </w:r>
    </w:p>
    <w:p w14:paraId="75DEEBCF"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F.746.7 “Metadata for intelligent question answering service”</w:t>
      </w:r>
      <w:r w:rsidRPr="00A94875">
        <w:rPr>
          <w:rFonts w:asciiTheme="majorBidi" w:hAnsiTheme="majorBidi" w:cstheme="majorBidi"/>
          <w:bCs/>
        </w:rPr>
        <w:t xml:space="preserve"> to define metadata for intelligent question answering service. This Recommendation defines the metadata to support </w:t>
      </w:r>
      <w:r w:rsidRPr="00A94875">
        <w:rPr>
          <w:rFonts w:asciiTheme="majorBidi" w:hAnsiTheme="majorBidi" w:cstheme="majorBidi"/>
          <w:bCs/>
        </w:rPr>
        <w:lastRenderedPageBreak/>
        <w:t xml:space="preserve">intelligent question answering service described in [ITU-T F.746.3]. The scope of this Recommendation </w:t>
      </w:r>
      <w:proofErr w:type="gramStart"/>
      <w:r w:rsidRPr="00A94875">
        <w:rPr>
          <w:rFonts w:asciiTheme="majorBidi" w:hAnsiTheme="majorBidi" w:cstheme="majorBidi"/>
          <w:bCs/>
        </w:rPr>
        <w:t>is focused</w:t>
      </w:r>
      <w:proofErr w:type="gramEnd"/>
      <w:r w:rsidRPr="00A94875">
        <w:rPr>
          <w:rFonts w:asciiTheme="majorBidi" w:hAnsiTheme="majorBidi" w:cstheme="majorBidi"/>
          <w:bCs/>
        </w:rPr>
        <w:t xml:space="preserve">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w:t>
      </w:r>
      <w:proofErr w:type="gramStart"/>
      <w:r w:rsidRPr="00A94875">
        <w:rPr>
          <w:rFonts w:asciiTheme="majorBidi" w:hAnsiTheme="majorBidi" w:cstheme="majorBidi"/>
          <w:bCs/>
        </w:rPr>
        <w:t>are used</w:t>
      </w:r>
      <w:proofErr w:type="gramEnd"/>
      <w:r w:rsidRPr="00A94875">
        <w:rPr>
          <w:rFonts w:asciiTheme="majorBidi" w:hAnsiTheme="majorBidi" w:cstheme="majorBidi"/>
          <w:bCs/>
        </w:rPr>
        <w:t xml:space="preserve"> in the intelligent QA service. This Recommendation together with the existing standard “Intelligent question answering service framework” [ITU-T F.746.3] will support the future </w:t>
      </w:r>
      <w:proofErr w:type="gramStart"/>
      <w:r w:rsidRPr="00A94875">
        <w:rPr>
          <w:rFonts w:asciiTheme="majorBidi" w:hAnsiTheme="majorBidi" w:cstheme="majorBidi"/>
          <w:bCs/>
        </w:rPr>
        <w:t>systems which</w:t>
      </w:r>
      <w:proofErr w:type="gramEnd"/>
      <w:r w:rsidRPr="00A94875">
        <w:rPr>
          <w:rFonts w:asciiTheme="majorBidi" w:hAnsiTheme="majorBidi" w:cstheme="majorBidi"/>
          <w:bCs/>
        </w:rPr>
        <w:t xml:space="preserve"> are expected to be equipped with QA functions for advanced user experiences.</w:t>
      </w:r>
    </w:p>
    <w:p w14:paraId="0409581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F.746.8 “Requirements for unified status monitoring of networks and services”</w:t>
      </w:r>
      <w:r w:rsidRPr="00A94875">
        <w:rPr>
          <w:rFonts w:asciiTheme="majorBidi" w:hAnsiTheme="majorBidi" w:cstheme="majorBidi"/>
          <w:bCs/>
        </w:rPr>
        <w:t xml:space="preserve"> describes requirements and functional architecture for a unified status monitoring (USM) </w:t>
      </w:r>
      <w:proofErr w:type="gramStart"/>
      <w:r w:rsidRPr="00A94875">
        <w:rPr>
          <w:rFonts w:asciiTheme="majorBidi" w:hAnsiTheme="majorBidi" w:cstheme="majorBidi"/>
          <w:bCs/>
        </w:rPr>
        <w:t>system which</w:t>
      </w:r>
      <w:proofErr w:type="gramEnd"/>
      <w:r w:rsidRPr="00A94875">
        <w:rPr>
          <w:rFonts w:asciiTheme="majorBidi" w:hAnsiTheme="majorBidi" w:cstheme="majorBidi"/>
          <w:bCs/>
        </w:rPr>
        <w:t xml:space="preserve">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14:paraId="75862A5F" w14:textId="77777777" w:rsidR="003B32AB" w:rsidRPr="00A94875" w:rsidRDefault="003B32AB" w:rsidP="003B32AB">
      <w:pPr>
        <w:spacing w:before="240"/>
        <w:rPr>
          <w:b/>
          <w:sz w:val="22"/>
          <w:szCs w:val="22"/>
        </w:rPr>
      </w:pPr>
      <w:r w:rsidRPr="00A94875">
        <w:rPr>
          <w:b/>
          <w:sz w:val="22"/>
          <w:szCs w:val="22"/>
        </w:rPr>
        <w:t>I.4.1</w:t>
      </w:r>
      <w:r w:rsidRPr="00A94875">
        <w:rPr>
          <w:b/>
          <w:sz w:val="22"/>
          <w:szCs w:val="22"/>
        </w:rPr>
        <w:tab/>
        <w:t>Internet of Things and Smart City</w:t>
      </w:r>
    </w:p>
    <w:p w14:paraId="3714768C" w14:textId="77777777" w:rsidR="003B32AB" w:rsidRPr="00A94875" w:rsidRDefault="003B32AB" w:rsidP="003B32AB">
      <w:pPr>
        <w:rPr>
          <w:bCs/>
        </w:rPr>
      </w:pPr>
      <w:r w:rsidRPr="00A94875">
        <w:rPr>
          <w:b/>
          <w:bCs/>
        </w:rPr>
        <w:t>ITU-T Y.4003 “Overview of smart manufacturing in the context of the industrial Internet of things”</w:t>
      </w:r>
      <w:r w:rsidRPr="00A94875">
        <w:rPr>
          <w:bCs/>
        </w:rPr>
        <w:t xml:space="preserve"> provides an overview of smart manufacturing in the context of the Industrial Internet of things (IIoT). The Recommendation introduces at first smart manufacturing and IIoT, including the smart manufacturing capabilities with respect to the Internet of things (IoT) reference model [ITU-T Y.4000]. Then, with respect to smart manufacturing in the context of the IIoT, it identifies fundamental system characteristics and high-level requirements, specifies a reference model and provides some use cases.</w:t>
      </w:r>
    </w:p>
    <w:p w14:paraId="2714B26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Y.4118 “Internet of Things requirements and technical capabilities for support of accounting and charging”</w:t>
      </w:r>
      <w:r w:rsidRPr="00A94875">
        <w:rPr>
          <w:rFonts w:asciiTheme="majorBidi" w:hAnsiTheme="majorBidi" w:cstheme="majorBidi"/>
          <w:bCs/>
        </w:rPr>
        <w:t xml:space="preserve"> </w:t>
      </w:r>
      <w:r w:rsidRPr="00A94875">
        <w:rPr>
          <w:rFonts w:asciiTheme="majorBidi" w:hAnsiTheme="majorBidi" w:cstheme="majorBidi"/>
        </w:rPr>
        <w:t xml:space="preserve">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w:t>
      </w:r>
      <w:proofErr w:type="gramStart"/>
      <w:r w:rsidRPr="00A94875">
        <w:rPr>
          <w:rFonts w:asciiTheme="majorBidi" w:hAnsiTheme="majorBidi" w:cstheme="majorBidi"/>
        </w:rPr>
        <w:t>application support layer capabilities</w:t>
      </w:r>
      <w:proofErr w:type="gramEnd"/>
      <w:r w:rsidRPr="00A94875">
        <w:rPr>
          <w:rFonts w:asciiTheme="majorBidi" w:hAnsiTheme="majorBidi" w:cstheme="majorBidi"/>
        </w:rPr>
        <w:t>, as well as business use cases applied to IoT. The use cases, requirements and technical capability framework provided in this Recommendation are from a technical point view.</w:t>
      </w:r>
    </w:p>
    <w:p w14:paraId="600CCF3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Y.4119 “Requirements and capability framework for IoT-based automotive emergency response system”</w:t>
      </w:r>
      <w:r w:rsidRPr="00A94875">
        <w:rPr>
          <w:rFonts w:asciiTheme="majorBidi" w:hAnsiTheme="majorBidi" w:cstheme="majorBidi"/>
        </w:rPr>
        <w:t xml:space="preserve"> provides an overview of an IoT-based automotive emergency response system (AERS), identifies requirements of the AERS for aftermarket devices, and provides a capability framework of the AERS.</w:t>
      </w:r>
    </w:p>
    <w:p w14:paraId="66765AD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Y.4120 “Requirements of Internet of things applications for smart retail stores”</w:t>
      </w:r>
      <w:r w:rsidRPr="00A94875">
        <w:rPr>
          <w:rFonts w:asciiTheme="majorBidi" w:hAnsiTheme="majorBidi" w:cstheme="majorBidi"/>
        </w:rPr>
        <w:t xml:space="preserve"> provides requirements of IoT applications for smart retail stores. The usage of the IoT enables “smart retail stores”. The IoT can enable a safe and efficient </w:t>
      </w:r>
      <w:proofErr w:type="gramStart"/>
      <w:r w:rsidRPr="00A94875">
        <w:rPr>
          <w:rFonts w:asciiTheme="majorBidi" w:hAnsiTheme="majorBidi" w:cstheme="majorBidi"/>
        </w:rPr>
        <w:t>retail store management system</w:t>
      </w:r>
      <w:proofErr w:type="gramEnd"/>
      <w:r w:rsidRPr="00A94875">
        <w:rPr>
          <w:rFonts w:asciiTheme="majorBidi" w:hAnsiTheme="majorBidi" w:cstheme="majorBidi"/>
        </w:rPr>
        <w:t xml:space="preserve"> for non-stop operation (24 hours / 365 days): the collection and monitoring in real time of information related to the various kinds of equipment in stores may allow early detection of equipment failure and accurate prediction of equipment problems. For an effective usage of the IoT by retail store operators and store equipment providers, appropriate guidelines for IoT applications for smart retail stores are necessary.</w:t>
      </w:r>
    </w:p>
    <w:p w14:paraId="6588504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Y.4121 “Requirements of an Internet of Things enabled network for support of applications for global processes of the Earth”</w:t>
      </w:r>
      <w:r w:rsidRPr="00A94875">
        <w:rPr>
          <w:rFonts w:asciiTheme="majorBidi" w:hAnsiTheme="majorBidi" w:cstheme="majorBidi"/>
        </w:rPr>
        <w:t xml:space="preserve"> describes key IoT GP features, deployment schemes of IoT GP devices and requirements of the IoT GP network. IoT applications for global processes, such as advanced detection of natural disasters, present demanding requirements for real-</w:t>
      </w:r>
      <w:r w:rsidRPr="00A94875">
        <w:rPr>
          <w:rFonts w:asciiTheme="majorBidi" w:hAnsiTheme="majorBidi" w:cstheme="majorBidi"/>
        </w:rPr>
        <w:lastRenderedPageBreak/>
        <w:t xml:space="preserve">time distributed IoT networks. Internet of Things for monitoring and study of Global Processes (IoT GP) is an innovative concept that combines Internet of Things (IoT) devices distributed all over the world and one or more Control and Management Centers (CMCs) for monitoring of global natural and man-made processes. The key idea of IoT GP is consolidation in real-time of sensor data from different parts of the Earth, allowing enhanced disaster preparedness and development of advanced models of global processes. For example, IoT GP </w:t>
      </w:r>
      <w:proofErr w:type="gramStart"/>
      <w:r w:rsidRPr="00A94875">
        <w:rPr>
          <w:rFonts w:asciiTheme="majorBidi" w:hAnsiTheme="majorBidi" w:cstheme="majorBidi"/>
        </w:rPr>
        <w:t>can be used</w:t>
      </w:r>
      <w:proofErr w:type="gramEnd"/>
      <w:r w:rsidRPr="00A94875">
        <w:rPr>
          <w:rFonts w:asciiTheme="majorBidi" w:hAnsiTheme="majorBidi" w:cstheme="majorBidi"/>
        </w:rPr>
        <w:t xml:space="preserve"> to detect areas of possible occurrence of earthquakes, floods, wildfires, heat waves, etc.</w:t>
      </w:r>
    </w:p>
    <w:p w14:paraId="397CDA5C"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Y.4415 “Architecture of web of objects based virtual home network”</w:t>
      </w:r>
      <w:r w:rsidRPr="00A94875">
        <w:rPr>
          <w:rFonts w:asciiTheme="majorBidi" w:hAnsiTheme="majorBidi" w:cstheme="majorBidi"/>
        </w:rPr>
        <w:t xml:space="preserve"> describes an architecture of WoO based VHN (WVHN) in accordance with [ITU-T H.622.2] and [ITU-T Y.4452]. The service capabilities and framework of virtual home network (VHN) </w:t>
      </w:r>
      <w:proofErr w:type="gramStart"/>
      <w:r w:rsidRPr="00A94875">
        <w:rPr>
          <w:rFonts w:asciiTheme="majorBidi" w:hAnsiTheme="majorBidi" w:cstheme="majorBidi"/>
        </w:rPr>
        <w:t>are identified</w:t>
      </w:r>
      <w:proofErr w:type="gramEnd"/>
      <w:r w:rsidRPr="00A94875">
        <w:rPr>
          <w:rFonts w:asciiTheme="majorBidi" w:hAnsiTheme="majorBidi" w:cstheme="majorBidi"/>
        </w:rPr>
        <w:t xml:space="preserve"> in the ITU-T Recommendation [ITU-T H.622.2]. [ITU-T Y.4452] identifies the functional framework of Web of Objects (WoO) to deploy Internet of things (IoT) services in the World Wide Web environment.</w:t>
      </w:r>
    </w:p>
    <w:p w14:paraId="05D1CD19"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b/>
        </w:rPr>
        <w:t>ITU-T Y.4416 “Architecture of the Internet of things based on next generation network evolution”</w:t>
      </w:r>
      <w:r w:rsidRPr="00A94875">
        <w:rPr>
          <w:rFonts w:asciiTheme="majorBidi" w:hAnsiTheme="majorBidi" w:cstheme="majorBidi"/>
        </w:rPr>
        <w:t xml:space="preserve"> provides a description of the architecture of the Internet of things (IoT) based on next generation network evolution (NGNe), taking account of the IoT reference model specified in Recommendation ITU-T Y.4000/Y.2060, the IoT common requirements specified in Recommendations ITU-T Y.4100/Y.2066, and the IoT functional framework and capabilities specified in Recommendation ITU-T Y.4401/Y.2068.</w:t>
      </w:r>
      <w:proofErr w:type="gramEnd"/>
      <w:r w:rsidRPr="00A94875">
        <w:rPr>
          <w:rFonts w:asciiTheme="majorBidi" w:hAnsiTheme="majorBidi" w:cstheme="majorBidi"/>
        </w:rPr>
        <w:t xml:space="preserve"> It describes extensions to NGNe functional entities, reference points and NGNe functional components, </w:t>
      </w:r>
      <w:proofErr w:type="gramStart"/>
      <w:r w:rsidRPr="00A94875">
        <w:rPr>
          <w:rFonts w:asciiTheme="majorBidi" w:hAnsiTheme="majorBidi" w:cstheme="majorBidi"/>
        </w:rPr>
        <w:t>and enhancement</w:t>
      </w:r>
      <w:proofErr w:type="gramEnd"/>
      <w:r w:rsidRPr="00A94875">
        <w:rPr>
          <w:rFonts w:asciiTheme="majorBidi" w:hAnsiTheme="majorBidi" w:cstheme="majorBidi"/>
        </w:rPr>
        <w:t xml:space="preserve"> to NGNe capabilities as described in ITU-T Y.2012, and other related Recommendations in order to support the IoT.</w:t>
      </w:r>
    </w:p>
    <w:p w14:paraId="5CB5EB1B"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Y.4417 “Framework of self-organization network in the IoT environments”</w:t>
      </w:r>
      <w:r w:rsidRPr="00A94875">
        <w:rPr>
          <w:rFonts w:asciiTheme="majorBidi" w:hAnsiTheme="majorBidi" w:cstheme="majorBidi"/>
        </w:rPr>
        <w:t xml:space="preserve"> specifies a framework of self-organization networking for IoT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IoT environments, self-organization networking is required when the heterogeneous devices belong to infrastructure-unsupported IoT area networks.</w:t>
      </w:r>
    </w:p>
    <w:p w14:paraId="4A095F6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Y.4418 “Functional architecture of gateway for Internet of things applications”</w:t>
      </w:r>
      <w:r w:rsidRPr="00A94875">
        <w:rPr>
          <w:rFonts w:asciiTheme="majorBidi" w:hAnsiTheme="majorBidi" w:cstheme="majorBidi"/>
        </w:rPr>
        <w:t xml:space="preserve"> provides the functional architecture of gateway for IoT applications, including the gateway's functional entities, relevant reference points and logical flows.</w:t>
      </w:r>
    </w:p>
    <w:p w14:paraId="649D97C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Y.4456 “Requirements and Functional Architecture for Smart Parking Lot in Smart City</w:t>
      </w:r>
      <w:r w:rsidRPr="00A94875">
        <w:rPr>
          <w:rFonts w:asciiTheme="majorBidi" w:hAnsiTheme="majorBidi" w:cstheme="majorBidi"/>
        </w:rPr>
        <w:t>”</w:t>
      </w:r>
      <w:r w:rsidRPr="00A94875">
        <w:rPr>
          <w:rFonts w:asciiTheme="majorBidi" w:hAnsiTheme="majorBidi" w:cstheme="majorBidi"/>
          <w:b/>
          <w:bCs/>
        </w:rPr>
        <w:t xml:space="preserve"> </w:t>
      </w:r>
      <w:r w:rsidRPr="00A94875">
        <w:rPr>
          <w:rFonts w:asciiTheme="majorBidi" w:hAnsiTheme="majorBidi" w:cstheme="majorBidi"/>
        </w:rPr>
        <w:t>specifies requirements and functional architecture for Smart Parking Lot.</w:t>
      </w:r>
    </w:p>
    <w:p w14:paraId="0CD5AC2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Y.4457 “Architectural framework for transportation safety services”</w:t>
      </w:r>
      <w:r w:rsidRPr="00A94875">
        <w:rPr>
          <w:rFonts w:asciiTheme="majorBidi" w:hAnsiTheme="majorBidi" w:cstheme="majorBidi"/>
        </w:rPr>
        <w:t xml:space="preserve"> describes a </w:t>
      </w:r>
      <w:proofErr w:type="gramStart"/>
      <w:r w:rsidRPr="00A94875">
        <w:rPr>
          <w:rFonts w:asciiTheme="majorBidi" w:hAnsiTheme="majorBidi" w:cstheme="majorBidi"/>
        </w:rPr>
        <w:t>transportation safety management model</w:t>
      </w:r>
      <w:proofErr w:type="gramEnd"/>
      <w:r w:rsidRPr="00A94875">
        <w:rPr>
          <w:rFonts w:asciiTheme="majorBidi" w:hAnsiTheme="majorBidi" w:cstheme="majorBidi"/>
        </w:rPr>
        <w:t xml:space="preserve"> and an architectural framework for transportation safety services based on the IoT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rPr>
        <w:t>ships</w:t>
      </w:r>
      <w:proofErr w:type="gramEnd"/>
      <w:r w:rsidRPr="00A94875">
        <w:rPr>
          <w:rFonts w:asciiTheme="majorBidi" w:hAnsiTheme="majorBidi" w:cstheme="majorBidi"/>
        </w:rPr>
        <w:t>), environmental status (e.g., wind, snow, low temperatures), disruption to transportation infrastructures (e.g., bridges, tunnels, roads) and human error. Transportation safety services based on Internet of things (IoT) technologies can reduce the occurrence of accidents and disasters, and save the lives and damage to properties.</w:t>
      </w:r>
    </w:p>
    <w:p w14:paraId="7C3B1B3A"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Y.4200 “Requirements for interoperability of smart city platforms</w:t>
      </w:r>
      <w:r w:rsidRPr="00A94875">
        <w:rPr>
          <w:rFonts w:asciiTheme="majorBidi" w:hAnsiTheme="majorBidi" w:cstheme="majorBidi"/>
        </w:rPr>
        <w:t>” defines the requirements for interoperability of a smart city platform (SCP) and reference points in order to ensure the correct functioning of the city services.</w:t>
      </w:r>
      <w:r w:rsidRPr="00A94875">
        <w:rPr>
          <w:rFonts w:asciiTheme="majorBidi" w:hAnsiTheme="majorBidi" w:cstheme="majorBidi"/>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rPr>
        <w:br/>
        <w:t>By permitting interoperability with other platforms, the SCP will also encourage local economic development through innovation and competition.</w:t>
      </w:r>
    </w:p>
    <w:p w14:paraId="02907AF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lastRenderedPageBreak/>
        <w:t xml:space="preserve">ITU-T Y.4201 “High-level requirements and reference framework of smart city platform” </w:t>
      </w:r>
      <w:r w:rsidRPr="00A94875">
        <w:rPr>
          <w:rFonts w:asciiTheme="majorBidi" w:hAnsiTheme="majorBidi" w:cstheme="majorBidi"/>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rPr>
        <w:t>decision making</w:t>
      </w:r>
      <w:proofErr w:type="gramEnd"/>
      <w:r w:rsidRPr="00A94875">
        <w:rPr>
          <w:rFonts w:asciiTheme="majorBidi" w:hAnsiTheme="majorBidi" w:cstheme="majorBidi"/>
        </w:rPr>
        <w:t xml:space="preserve"> support, real-time dissemination of public information, resiliency, and interoperability. This Recommendation benefits the plan, design, construction, deployment, operation and maintenance of smart cities and communities.</w:t>
      </w:r>
    </w:p>
    <w:p w14:paraId="7BC9B848"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 xml:space="preserve">ITU-T Y.4500.2 “oneM2M - Requirements” </w:t>
      </w:r>
      <w:r w:rsidRPr="00A94875">
        <w:rPr>
          <w:rFonts w:asciiTheme="majorBidi" w:hAnsiTheme="majorBidi" w:cstheme="majorBidi"/>
        </w:rPr>
        <w:t>provides an informative functional role model and normative technical requirements for oneM2M.</w:t>
      </w:r>
    </w:p>
    <w:p w14:paraId="04AF939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Y.4500.4 “oneM2M- Service Layer Core Protocol Specification“ </w:t>
      </w:r>
      <w:r w:rsidRPr="00A94875">
        <w:rPr>
          <w:rFonts w:asciiTheme="majorBidi" w:hAnsiTheme="majorBidi" w:cstheme="majorBidi"/>
        </w:rPr>
        <w:t>specifies the communication protocol(s) for oneM2M compliant Systems, M2M Applications, and/or other M2M systems. The present document also specifies the common data formats, interfaces and message sequences to support reference points(s) defined by oneM2M.</w:t>
      </w:r>
    </w:p>
    <w:p w14:paraId="5EBE45A6"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Y.4500.5 “oneM2M- Management enablement (OMA)” </w:t>
      </w:r>
      <w:r w:rsidRPr="00A94875">
        <w:rPr>
          <w:rFonts w:asciiTheme="majorBidi" w:hAnsiTheme="majorBidi" w:cstheme="majorBidi"/>
        </w:rPr>
        <w:t>specifies the usage of OMA DM and OMA LwM2M resources and the corresponding message flows including normal cases as well as error cases to fulfil the oneM2M management requirements.</w:t>
      </w:r>
    </w:p>
    <w:p w14:paraId="4482CED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Y.4500.6 “oneM2M Management enablement (BBF)” </w:t>
      </w:r>
      <w:r w:rsidRPr="00A94875">
        <w:rPr>
          <w:rFonts w:asciiTheme="majorBidi" w:hAnsiTheme="majorBidi" w:cstheme="majorBidi"/>
        </w:rPr>
        <w:t>specifies the usage of the BBF TR-069 protocol and the corresponding message flows including normal cases as well as error cases to fulfil the oneM2M management requirements.</w:t>
      </w:r>
    </w:p>
    <w:p w14:paraId="6944F5C6"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Protocol mapping between the oneM2M service layer and BBF TR-069 protocol. The Mca reference point, ms interface and la interface are possibly involved in this protocol mapping.</w:t>
      </w:r>
    </w:p>
    <w:p w14:paraId="1595A292"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Mapping between the oneM2M management related resources and the TR-069 protocol RPCs and TR-181i2 data model.</w:t>
      </w:r>
    </w:p>
    <w:p w14:paraId="288A754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Specification of new TR-181 data model elements to fulfil oneM2M specific management requirements that </w:t>
      </w:r>
      <w:proofErr w:type="gramStart"/>
      <w:r w:rsidRPr="00A94875">
        <w:rPr>
          <w:rFonts w:asciiTheme="majorBidi" w:hAnsiTheme="majorBidi" w:cstheme="majorBidi"/>
        </w:rPr>
        <w:t>cannot be currently translated</w:t>
      </w:r>
      <w:proofErr w:type="gramEnd"/>
      <w:r w:rsidRPr="00A94875">
        <w:rPr>
          <w:rFonts w:asciiTheme="majorBidi" w:hAnsiTheme="majorBidi" w:cstheme="majorBidi"/>
        </w:rPr>
        <w:t>.</w:t>
      </w:r>
    </w:p>
    <w:p w14:paraId="62C143FC"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 xml:space="preserve">ITU-T Y.4500.8 “oneM2M- CoAP Protocol Binding“ </w:t>
      </w:r>
      <w:r w:rsidRPr="00A94875">
        <w:rPr>
          <w:rFonts w:asciiTheme="majorBidi" w:hAnsiTheme="majorBidi" w:cstheme="majorBidi"/>
        </w:rPr>
        <w:t>covers the protocol specific part of communication protocol used by oneM2M compliant systems as 'CoAP binding'.</w:t>
      </w:r>
    </w:p>
    <w:p w14:paraId="2B5A00AD"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Y.4500.9 “oneM2M- HTTP Protocol </w:t>
      </w:r>
      <w:proofErr w:type="gramStart"/>
      <w:r w:rsidRPr="00A94875">
        <w:rPr>
          <w:rFonts w:asciiTheme="majorBidi" w:hAnsiTheme="majorBidi" w:cstheme="majorBidi"/>
          <w:b/>
          <w:bCs/>
        </w:rPr>
        <w:t>Binding</w:t>
      </w:r>
      <w:proofErr w:type="gramEnd"/>
      <w:r w:rsidRPr="00A94875">
        <w:rPr>
          <w:rFonts w:asciiTheme="majorBidi" w:hAnsiTheme="majorBidi" w:cstheme="majorBidi"/>
          <w:b/>
          <w:bCs/>
        </w:rPr>
        <w:t xml:space="preserve">” </w:t>
      </w:r>
      <w:r w:rsidRPr="00A94875">
        <w:rPr>
          <w:rFonts w:asciiTheme="majorBidi" w:hAnsiTheme="majorBidi" w:cstheme="majorBidi"/>
        </w:rPr>
        <w:t>specifies the protocol specific part of communication protocol used by oneM2M compliant systems as RESTful HTTP binding. The scope of the present document is (not limited to as shown below):</w:t>
      </w:r>
    </w:p>
    <w:p w14:paraId="36D8B66E"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Protocol primitive types to HTTP method.</w:t>
      </w:r>
    </w:p>
    <w:p w14:paraId="32DB5BA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response status codes (successful/unsuccessful) to HTTP response codes.</w:t>
      </w:r>
    </w:p>
    <w:p w14:paraId="2458BACA"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RESTful resources to HTTP resources.</w:t>
      </w:r>
    </w:p>
    <w:p w14:paraId="7B02A109"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Y.4500.10 “oneM2M- MQTT Protocol Binding”</w:t>
      </w:r>
      <w:r w:rsidRPr="00A94875">
        <w:rPr>
          <w:rFonts w:asciiTheme="majorBidi" w:hAnsiTheme="majorBidi" w:cstheme="majorBidi"/>
        </w:rPr>
        <w:t xml:space="preserve"> specifies the binding of Mca and Mcc primitives (message flows)</w:t>
      </w:r>
      <w:proofErr w:type="gramStart"/>
      <w:r w:rsidRPr="00A94875">
        <w:rPr>
          <w:rFonts w:asciiTheme="majorBidi" w:hAnsiTheme="majorBidi" w:cstheme="majorBidi"/>
        </w:rPr>
        <w:t>,</w:t>
      </w:r>
      <w:proofErr w:type="gramEnd"/>
      <w:r w:rsidRPr="00A94875">
        <w:rPr>
          <w:rFonts w:asciiTheme="majorBidi" w:hAnsiTheme="majorBidi" w:cstheme="majorBidi"/>
        </w:rPr>
        <w:t xml:space="preserve"> defined in the Service Layer Core Protocol, onto the MQTT transport protocol.</w:t>
      </w:r>
    </w:p>
    <w:p w14:paraId="2EE8C55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Y.4500.11 "oneM2M- Common Terminology”</w:t>
      </w:r>
      <w:r w:rsidRPr="00A94875">
        <w:rPr>
          <w:rFonts w:asciiTheme="majorBidi" w:hAnsiTheme="majorBidi" w:cstheme="majorBidi"/>
        </w:rPr>
        <w:t xml:space="preserve"> contains a collection of specialist technical terms, definitions and abbreviations referenced within the oneM2M specifications.</w:t>
      </w:r>
    </w:p>
    <w:p w14:paraId="32E66F6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Y.4500.12 “oneM2M Base Ontology”</w:t>
      </w:r>
      <w:r w:rsidRPr="00A94875">
        <w:rPr>
          <w:rFonts w:asciiTheme="majorBidi" w:hAnsiTheme="majorBidi" w:cstheme="majorBidi"/>
        </w:rPr>
        <w:t xml:space="preserve"> contains provides normative and informative specifications for the oneM2M Base Ontology and its instantiation into oneM2M resources.</w:t>
      </w:r>
    </w:p>
    <w:p w14:paraId="4D4C4DA8"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Y.4500.13 “oneM2M- Interoperability Testing” </w:t>
      </w:r>
      <w:r w:rsidRPr="00A94875">
        <w:rPr>
          <w:rFonts w:asciiTheme="majorBidi" w:hAnsiTheme="majorBidi" w:cstheme="majorBidi"/>
        </w:rPr>
        <w:t>specifies Interoperability Test Descriptions for the oneM2M primitives.</w:t>
      </w:r>
    </w:p>
    <w:p w14:paraId="034C095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lastRenderedPageBreak/>
        <w:t>ITU-T Y.4500.14 “oneM2M- LwM2M Interworking”</w:t>
      </w:r>
      <w:r w:rsidRPr="00A94875">
        <w:rPr>
          <w:rFonts w:asciiTheme="majorBidi" w:hAnsiTheme="majorBidi" w:cstheme="majorBidi"/>
        </w:rPr>
        <w:t xml:space="preserve"> specifies the interworking capabilities of the M2M Service Layer between ASN/IN/MN CSEs and LWM2M Endpoints.</w:t>
      </w:r>
    </w:p>
    <w:p w14:paraId="170E0F64"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Y.4500.15 “oneM2M- Testing framework“</w:t>
      </w:r>
      <w:r w:rsidRPr="00A94875">
        <w:rPr>
          <w:rFonts w:asciiTheme="majorBidi" w:hAnsiTheme="majorBidi" w:cstheme="majorBidi"/>
          <w:bCs/>
        </w:rPr>
        <w:t xml:space="preserve"> </w:t>
      </w:r>
      <w:r w:rsidRPr="00A94875">
        <w:rPr>
          <w:rFonts w:asciiTheme="majorBidi" w:hAnsiTheme="majorBidi" w:cstheme="majorBidi"/>
        </w:rPr>
        <w:t>provides methodology for development of conformance and interoperability test strategies, test systems and the resulting test specifications for oneM2M standards.</w:t>
      </w:r>
    </w:p>
    <w:p w14:paraId="1171343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Y.4500.20 “oneM2M- WebSocket Protocol Binding”</w:t>
      </w:r>
      <w:r w:rsidRPr="00A94875">
        <w:rPr>
          <w:rFonts w:asciiTheme="majorBidi" w:hAnsiTheme="majorBidi" w:cstheme="majorBidi"/>
        </w:rPr>
        <w:t xml:space="preserve"> specifies the binding of Mca and Mcc primitives onto the WebSocket binding. It specifies:</w:t>
      </w:r>
    </w:p>
    <w:p w14:paraId="3EEC0382" w14:textId="77777777" w:rsidR="003B32AB" w:rsidRPr="00A94875" w:rsidRDefault="003B32AB" w:rsidP="003B32AB">
      <w:pPr>
        <w:pStyle w:val="ListParagraph"/>
        <w:numPr>
          <w:ilvl w:val="0"/>
          <w:numId w:val="15"/>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Procedures and message formats for operating and closing of WebSocket connections.</w:t>
      </w:r>
    </w:p>
    <w:p w14:paraId="7F4F658B" w14:textId="77777777" w:rsidR="003B32AB" w:rsidRPr="00A94875" w:rsidRDefault="003B32AB" w:rsidP="003B32AB">
      <w:pPr>
        <w:pStyle w:val="ListParagraph"/>
        <w:numPr>
          <w:ilvl w:val="0"/>
          <w:numId w:val="15"/>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w:t>
      </w:r>
      <w:proofErr w:type="gramStart"/>
      <w:r w:rsidRPr="00A94875">
        <w:rPr>
          <w:rFonts w:asciiTheme="majorBidi" w:hAnsiTheme="majorBidi" w:cstheme="majorBidi"/>
          <w:sz w:val="24"/>
          <w:szCs w:val="24"/>
          <w:lang w:val="en-GB"/>
        </w:rPr>
        <w:t>are mapped</w:t>
      </w:r>
      <w:proofErr w:type="gramEnd"/>
      <w:r w:rsidRPr="00A94875">
        <w:rPr>
          <w:rFonts w:asciiTheme="majorBidi" w:hAnsiTheme="majorBidi" w:cstheme="majorBidi"/>
          <w:sz w:val="24"/>
          <w:szCs w:val="24"/>
          <w:lang w:val="en-GB"/>
        </w:rPr>
        <w:t xml:space="preserve"> into the payload of the WebSocket protocol.</w:t>
      </w:r>
    </w:p>
    <w:p w14:paraId="23F7851A"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Y.4500.22 “oneM2M- Field Device Configuration“ </w:t>
      </w:r>
      <w:r w:rsidRPr="00A94875">
        <w:rPr>
          <w:rFonts w:asciiTheme="majorBidi" w:hAnsiTheme="majorBidi" w:cstheme="majorBidi"/>
        </w:rPr>
        <w:t>specifies the architectural options, resources and procedures needed to provision and maintain devices in the Field Domain in order to establish M2M Service Layer operation.</w:t>
      </w:r>
    </w:p>
    <w:p w14:paraId="69B9F6C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Y.4500.23 “oneM2M-Home Appliances Information Model and Mapping”</w:t>
      </w:r>
      <w:r w:rsidRPr="00A94875">
        <w:rPr>
          <w:rFonts w:asciiTheme="majorBidi" w:hAnsiTheme="majorBidi" w:cstheme="majorBidi"/>
        </w:rPr>
        <w:t xml:space="preserve"> describes the oneM2M defined information model for home appliances, including the description of how it </w:t>
      </w:r>
      <w:proofErr w:type="gramStart"/>
      <w:r w:rsidRPr="00A94875">
        <w:rPr>
          <w:rFonts w:asciiTheme="majorBidi" w:hAnsiTheme="majorBidi" w:cstheme="majorBidi"/>
        </w:rPr>
        <w:t>is mapped</w:t>
      </w:r>
      <w:proofErr w:type="gramEnd"/>
      <w:r w:rsidRPr="00A94875">
        <w:rPr>
          <w:rFonts w:asciiTheme="majorBidi" w:hAnsiTheme="majorBidi" w:cstheme="majorBidi"/>
        </w:rPr>
        <w:t xml:space="preserve"> with other information models from external organizations. It also explains the ontology for the </w:t>
      </w:r>
      <w:proofErr w:type="gramStart"/>
      <w:r w:rsidRPr="00A94875">
        <w:rPr>
          <w:rFonts w:asciiTheme="majorBidi" w:hAnsiTheme="majorBidi" w:cstheme="majorBidi"/>
        </w:rPr>
        <w:t>home domain information model</w:t>
      </w:r>
      <w:proofErr w:type="gramEnd"/>
      <w:r w:rsidRPr="00A94875">
        <w:rPr>
          <w:rFonts w:asciiTheme="majorBidi" w:hAnsiTheme="majorBidi" w:cstheme="majorBidi"/>
        </w:rPr>
        <w:t>.</w:t>
      </w:r>
    </w:p>
    <w:p w14:paraId="1E3E3E2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Y.4500.32 “oneM2M- MAF and MEF Interface Specification</w:t>
      </w:r>
      <w:r w:rsidRPr="00A94875">
        <w:rPr>
          <w:rFonts w:asciiTheme="majorBidi" w:hAnsiTheme="majorBidi" w:cstheme="majorBidi"/>
        </w:rPr>
        <w:t xml:space="preserve"> specifies communication between the M2M Authentication Function (MAF) and MAF clients on the reference point Mmaf and between the M2M Enrolment Function (MEF) and MEF clients on the reference point Mmef.</w:t>
      </w:r>
    </w:p>
    <w:p w14:paraId="54E3985D" w14:textId="77777777" w:rsidR="003B32AB" w:rsidRPr="00A94875" w:rsidRDefault="003B32AB" w:rsidP="003B32AB">
      <w:pPr>
        <w:spacing w:before="240"/>
        <w:rPr>
          <w:b/>
          <w:sz w:val="22"/>
          <w:szCs w:val="22"/>
        </w:rPr>
      </w:pPr>
      <w:bookmarkStart w:id="285" w:name="_Toc480527902"/>
      <w:r w:rsidRPr="00A94875">
        <w:rPr>
          <w:b/>
          <w:sz w:val="22"/>
          <w:szCs w:val="22"/>
        </w:rPr>
        <w:t>I.4.4</w:t>
      </w:r>
      <w:r w:rsidRPr="00A94875">
        <w:rPr>
          <w:b/>
          <w:sz w:val="22"/>
          <w:szCs w:val="22"/>
        </w:rPr>
        <w:tab/>
        <w:t>Connected vehicles, automated driving and intelligent transport systems</w:t>
      </w:r>
      <w:bookmarkEnd w:id="285"/>
    </w:p>
    <w:p w14:paraId="3A591016" w14:textId="77777777" w:rsidR="003B32AB" w:rsidRPr="00A94875" w:rsidRDefault="003B32AB" w:rsidP="003B32AB">
      <w:pPr>
        <w:keepNext/>
        <w:keepLines/>
        <w:spacing w:before="240"/>
        <w:rPr>
          <w:b/>
          <w:sz w:val="22"/>
          <w:szCs w:val="22"/>
        </w:rPr>
      </w:pPr>
      <w:r w:rsidRPr="00A94875">
        <w:rPr>
          <w:b/>
          <w:sz w:val="22"/>
          <w:szCs w:val="22"/>
        </w:rPr>
        <w:t>I.4.5</w:t>
      </w:r>
      <w:r w:rsidRPr="00A94875">
        <w:rPr>
          <w:b/>
          <w:sz w:val="22"/>
          <w:szCs w:val="22"/>
        </w:rPr>
        <w:tab/>
        <w:t>Connected health: e-Health</w:t>
      </w:r>
    </w:p>
    <w:p w14:paraId="05CAEFD7" w14:textId="77777777" w:rsidR="003B32AB" w:rsidRPr="00A94875" w:rsidRDefault="003B32AB" w:rsidP="003B32AB">
      <w:pPr>
        <w:keepNext/>
        <w:keepLines/>
        <w:rPr>
          <w:rFonts w:asciiTheme="majorBidi" w:hAnsiTheme="majorBidi" w:cstheme="majorBidi"/>
          <w:bCs/>
        </w:rPr>
      </w:pPr>
      <w:r w:rsidRPr="00A94875">
        <w:rPr>
          <w:rFonts w:asciiTheme="majorBidi" w:hAnsiTheme="majorBidi" w:cstheme="majorBidi"/>
          <w:b/>
          <w:bCs/>
        </w:rPr>
        <w:t>ITU-T F.780.1 “Framework for telemedicine systems using ultra-high definition imaging”</w:t>
      </w:r>
      <w:r w:rsidRPr="00A94875">
        <w:rPr>
          <w:rFonts w:asciiTheme="majorBidi" w:hAnsiTheme="majorBidi" w:cstheme="majorBidi"/>
          <w:bCs/>
        </w:rPr>
        <w:t xml:space="preserve"> 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usng a UHD-based “endosopic video camera” as a medical device. In addition, Annex A describes the requirements on the use of this technology as a medical device.</w:t>
      </w:r>
    </w:p>
    <w:p w14:paraId="555FC865"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H.820 “Conformance of ITU-T H.810 personal health system: Conformity assessment test plan”</w:t>
      </w:r>
      <w:r w:rsidRPr="00A94875">
        <w:rPr>
          <w:rFonts w:asciiTheme="majorBidi" w:hAnsiTheme="majorBidi" w:cstheme="majorBidi"/>
          <w:bCs/>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w:t>
      </w:r>
      <w:proofErr w:type="gramStart"/>
      <w:r w:rsidRPr="00A94875">
        <w:rPr>
          <w:rFonts w:asciiTheme="majorBidi" w:hAnsiTheme="majorBidi" w:cstheme="majorBidi"/>
          <w:bCs/>
        </w:rPr>
        <w:t>are specified</w:t>
      </w:r>
      <w:proofErr w:type="gramEnd"/>
      <w:r w:rsidRPr="00A94875">
        <w:rPr>
          <w:rFonts w:asciiTheme="majorBidi" w:hAnsiTheme="majorBidi" w:cstheme="majorBidi"/>
          <w:bCs/>
        </w:rPr>
        <w:t xml:space="preserve"> in details in the Recommendations of the H.820-H.850 series.</w:t>
      </w:r>
    </w:p>
    <w:p w14:paraId="5697BADC"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b/>
        </w:rPr>
        <w:t>ITU-T H.830.13 “Conformance of ITU-T H.810 personal health system: Services interface Part 13: Capability Exchange: Health &amp; Fitness Service sender”</w:t>
      </w:r>
      <w:r w:rsidRPr="00A94875">
        <w:rPr>
          <w:rFonts w:asciiTheme="majorBidi" w:hAnsiTheme="majorBidi" w:cstheme="majorBidi"/>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15E8608B"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b/>
        </w:rPr>
        <w:lastRenderedPageBreak/>
        <w:t>ITU-T H.830.14 “Conformance of ITU-T H.810 personal health system: Services interface Part 14: Capability Exchange: Health &amp; Fitness Service receiver”</w:t>
      </w:r>
      <w:r w:rsidRPr="00A94875">
        <w:rPr>
          <w:rFonts w:asciiTheme="majorBidi" w:hAnsiTheme="majorBidi" w:cstheme="majorBidi"/>
        </w:rPr>
        <w:t xml:space="preserve"> provides a test suite structure (TSS)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0ECC6713"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b/>
        </w:rPr>
        <w:t>ITU-T H.830.15 “Conformance of ITU-T H.810 personal health system: Services interface Part 15: FHIR Observation Upload: Health &amp; Fitness Service sender”</w:t>
      </w:r>
      <w:r w:rsidRPr="00A94875">
        <w:rPr>
          <w:rFonts w:asciiTheme="majorBidi" w:hAnsiTheme="majorBidi" w:cstheme="majorBidi"/>
          <w:bCs/>
        </w:rPr>
        <w:t xml:space="preserve"> </w:t>
      </w:r>
      <w:r w:rsidRPr="00A94875">
        <w:rPr>
          <w:rFonts w:asciiTheme="majorBidi" w:hAnsiTheme="majorBidi" w:cstheme="majorBidi"/>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529B0EAE" w14:textId="77777777" w:rsidR="003B32AB" w:rsidRPr="00A94875" w:rsidRDefault="003B32AB" w:rsidP="003B32AB">
      <w:pPr>
        <w:rPr>
          <w:rFonts w:asciiTheme="majorBidi" w:hAnsiTheme="majorBidi" w:cstheme="majorBidi"/>
          <w:highlight w:val="yellow"/>
        </w:rPr>
      </w:pPr>
      <w:proofErr w:type="gramStart"/>
      <w:r w:rsidRPr="00A94875">
        <w:rPr>
          <w:rFonts w:asciiTheme="majorBidi" w:hAnsiTheme="majorBidi" w:cstheme="majorBidi"/>
          <w:b/>
        </w:rPr>
        <w:t>ITU-T H.830.16 “Conformance of ITU-T H.810 personal health system: Services interface Part 16: FHIR Observation Upload: Health &amp; Fitness Service receiver”</w:t>
      </w:r>
      <w:r w:rsidRPr="00A94875">
        <w:rPr>
          <w:rFonts w:asciiTheme="majorBidi" w:hAnsiTheme="majorBidi" w:cstheme="majorBidi"/>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218F0DB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H.841 (revised) “Conformance of ITU-T H.810 personal health devices: PAN/LAN/TAN interface Part 1: Optimized exchange protocol: Agent”</w:t>
      </w:r>
      <w:r w:rsidRPr="00A94875">
        <w:rPr>
          <w:rFonts w:asciiTheme="majorBidi" w:hAnsiTheme="majorBidi" w:cstheme="majorBidi"/>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080D0909"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H.842 (revised) “Conformance of ITU-T H.810 personal health devices: PAN/LAN/TAN interface Part 2: Optimized exchange protocol: Manager”</w:t>
      </w:r>
      <w:r w:rsidRPr="00A94875">
        <w:rPr>
          <w:rFonts w:asciiTheme="majorBidi" w:hAnsiTheme="majorBidi" w:cstheme="majorBidi"/>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7720478D"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H.843 (revised) “Conformance of ITU-T H.810 personal health devices: PAN/LAN/TAN interface Part 3: Continua Design Guidelines: Agent”</w:t>
      </w:r>
      <w:r w:rsidRPr="00A94875">
        <w:rPr>
          <w:rFonts w:asciiTheme="majorBidi" w:hAnsiTheme="majorBidi" w:cstheme="majorBidi"/>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rPr>
        <w:noBreakHyphen/>
        <w:t xml:space="preserve">09-20), that was developed by the Personal Connected Health Alliance. A number of versions of this specification existed before transposition. This Recommendation includes an electronic attachment </w:t>
      </w:r>
      <w:r w:rsidRPr="00A94875">
        <w:rPr>
          <w:rFonts w:asciiTheme="majorBidi" w:hAnsiTheme="majorBidi" w:cstheme="majorBidi"/>
        </w:rPr>
        <w:lastRenderedPageBreak/>
        <w:t xml:space="preserve">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2C65EFA6"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H.844 (revised) “Conformance of ITU-T H.810 personal health devices: PAN/LAN/TAN interface Part 5D: Blood pressure monitor: Agent”</w:t>
      </w:r>
      <w:r w:rsidRPr="00A94875">
        <w:rPr>
          <w:rFonts w:asciiTheme="majorBidi" w:hAnsiTheme="majorBidi" w:cstheme="majorBidi"/>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5DA77DD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H.845.2 (revised) “Conformance of ITU-T H.810 personal health devices: PAN/LAN/TAN interface Part 5B: Glucose meter: Agent”</w:t>
      </w:r>
      <w:r w:rsidRPr="00A94875">
        <w:rPr>
          <w:rFonts w:asciiTheme="majorBidi" w:hAnsiTheme="majorBidi" w:cstheme="majorBidi"/>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7D94307E" w14:textId="77777777" w:rsidR="003B32AB" w:rsidRPr="00A94875" w:rsidRDefault="003B32AB" w:rsidP="003B32AB">
      <w:pPr>
        <w:rPr>
          <w:rFonts w:asciiTheme="majorBidi" w:hAnsiTheme="majorBidi" w:cstheme="majorBidi"/>
          <w:highlight w:val="yellow"/>
        </w:rPr>
      </w:pPr>
      <w:proofErr w:type="gramStart"/>
      <w:r w:rsidRPr="00A94875">
        <w:rPr>
          <w:rFonts w:asciiTheme="majorBidi" w:hAnsiTheme="majorBidi" w:cstheme="majorBidi"/>
          <w:b/>
        </w:rPr>
        <w:t>ITU-T H.845.17 “Conformance of ITU-T H.810 personal health system: Personal Health Devices interface Part 5Q: Power status monitor”</w:t>
      </w:r>
      <w:r w:rsidRPr="00A94875">
        <w:rPr>
          <w:rFonts w:asciiTheme="majorBidi" w:hAnsiTheme="majorBidi" w:cstheme="majorBidi"/>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39154E3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H.846 (revised) “Conformance of ITU-T H.810 personal health system: Personal Health Devices interface Part 6: Device specializations: Personal Health Gateway”</w:t>
      </w:r>
      <w:r w:rsidRPr="00A94875">
        <w:rPr>
          <w:rFonts w:asciiTheme="majorBidi" w:hAnsiTheme="majorBidi" w:cstheme="majorBidi"/>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0166FC0A" w14:textId="77777777" w:rsidR="003B32AB" w:rsidRPr="00A94875" w:rsidRDefault="003B32AB" w:rsidP="003B32AB">
      <w:pPr>
        <w:spacing w:after="160"/>
        <w:outlineLvl w:val="1"/>
        <w:rPr>
          <w:rFonts w:asciiTheme="majorBidi" w:hAnsiTheme="majorBidi" w:cstheme="majorBidi"/>
          <w:color w:val="000000"/>
        </w:rPr>
      </w:pPr>
      <w:r w:rsidRPr="00A94875">
        <w:rPr>
          <w:rFonts w:asciiTheme="majorBidi" w:hAnsiTheme="majorBidi" w:cstheme="majorBidi"/>
          <w:b/>
          <w:bCs/>
        </w:rPr>
        <w:t>ITU-T H.849 (revised) “Conformance of ITU-T H.810 personal health devices: PAN/LAN/TAN interface Part 9: Transcoding for Bluetooth low energy (BLE): Agent”</w:t>
      </w:r>
      <w:r w:rsidRPr="00A94875">
        <w:rPr>
          <w:rFonts w:asciiTheme="majorBidi" w:hAnsiTheme="majorBidi" w:cstheme="majorBidi"/>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rPr>
        <w:t>,2016</w:t>
      </w:r>
      <w:proofErr w:type="gramEnd"/>
      <w:r w:rsidRPr="00A94875">
        <w:rPr>
          <w:rFonts w:asciiTheme="majorBidi" w:hAnsiTheme="majorBidi" w:cstheme="majorBidi"/>
        </w:rPr>
        <w:t xml:space="preserve">-09-20),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rPr>
        <w:t>protocol implementation conformance statements</w:t>
      </w:r>
      <w:proofErr w:type="gramEnd"/>
      <w:r w:rsidRPr="00A94875">
        <w:rPr>
          <w:rFonts w:asciiTheme="majorBidi" w:hAnsiTheme="majorBidi" w:cstheme="majorBidi"/>
        </w:rPr>
        <w:t xml:space="preserve"> (PICS) and the protocol implementation extra information for testing (PIXIT) required for the implementation of Annex A.</w:t>
      </w:r>
    </w:p>
    <w:p w14:paraId="66DFAD80" w14:textId="77777777" w:rsidR="003B32AB" w:rsidRPr="00A94875" w:rsidRDefault="003B32AB" w:rsidP="003B32AB">
      <w:pPr>
        <w:spacing w:after="160"/>
        <w:outlineLvl w:val="1"/>
        <w:rPr>
          <w:rFonts w:asciiTheme="majorBidi" w:hAnsiTheme="majorBidi" w:cstheme="majorBidi"/>
          <w:bCs/>
        </w:rPr>
      </w:pPr>
      <w:r w:rsidRPr="00A94875">
        <w:rPr>
          <w:rFonts w:asciiTheme="majorBidi" w:hAnsiTheme="majorBidi" w:cstheme="majorBidi"/>
          <w:b/>
          <w:bCs/>
        </w:rPr>
        <w:t>ITU-T H.861.1 “Requirements on establishing brain healthcare quotients”</w:t>
      </w:r>
      <w:r w:rsidRPr="00A94875">
        <w:rPr>
          <w:rFonts w:asciiTheme="majorBidi" w:hAnsiTheme="majorBidi" w:cstheme="majorBidi"/>
          <w:bCs/>
        </w:rPr>
        <w:t xml:space="preserve"> describes healthcare indices derived from neuroimaging analysis that are called Brain Healthcare Quotients (BHQs), intended to be used for facilitating the communication of information about brain status. It describes </w:t>
      </w:r>
      <w:r w:rsidRPr="00A94875">
        <w:rPr>
          <w:rFonts w:asciiTheme="majorBidi" w:hAnsiTheme="majorBidi" w:cstheme="majorBidi"/>
          <w:bCs/>
        </w:rPr>
        <w:lastRenderedPageBreak/>
        <w:t xml:space="preserve">the requirements on how such an index is created </w:t>
      </w:r>
      <w:proofErr w:type="gramStart"/>
      <w:r w:rsidRPr="00A94875">
        <w:rPr>
          <w:rFonts w:asciiTheme="majorBidi" w:hAnsiTheme="majorBidi" w:cstheme="majorBidi"/>
          <w:bCs/>
        </w:rPr>
        <w:t>and also</w:t>
      </w:r>
      <w:proofErr w:type="gramEnd"/>
      <w:r w:rsidRPr="00A94875">
        <w:rPr>
          <w:rFonts w:asciiTheme="majorBidi" w:hAnsiTheme="majorBidi" w:cstheme="majorBidi"/>
          <w:bCs/>
        </w:rPr>
        <w:t xml:space="preserve"> how some concrete BHQs can be defined and calculated. This Recommendation also includes examples of services using BHQs </w:t>
      </w:r>
      <w:proofErr w:type="gramStart"/>
      <w:r w:rsidRPr="00A94875">
        <w:rPr>
          <w:rFonts w:asciiTheme="majorBidi" w:hAnsiTheme="majorBidi" w:cstheme="majorBidi"/>
          <w:bCs/>
        </w:rPr>
        <w:t>to better monitor</w:t>
      </w:r>
      <w:proofErr w:type="gramEnd"/>
      <w:r w:rsidRPr="00A94875">
        <w:rPr>
          <w:rFonts w:asciiTheme="majorBidi" w:hAnsiTheme="majorBidi" w:cstheme="majorBidi"/>
          <w:bCs/>
        </w:rPr>
        <w:t xml:space="preserve"> the health states for supporting active and alert living. BHQs </w:t>
      </w:r>
      <w:proofErr w:type="gramStart"/>
      <w:r w:rsidRPr="00A94875">
        <w:rPr>
          <w:rFonts w:asciiTheme="majorBidi" w:hAnsiTheme="majorBidi" w:cstheme="majorBidi"/>
          <w:bCs/>
        </w:rPr>
        <w:t>are linked</w:t>
      </w:r>
      <w:proofErr w:type="gramEnd"/>
      <w:r w:rsidRPr="00A94875">
        <w:rPr>
          <w:rFonts w:asciiTheme="majorBidi" w:hAnsiTheme="majorBidi" w:cstheme="majorBidi"/>
          <w:bCs/>
        </w:rPr>
        <w:t xml:space="preserve"> to various healthcare aspects of human life and can be used to improve life styles. It can give good standardized measurement and indices of brain conditions even for non-specialists.</w:t>
      </w:r>
    </w:p>
    <w:p w14:paraId="2E0FE53D" w14:textId="77777777" w:rsidR="003B32AB" w:rsidRPr="00A94875" w:rsidRDefault="003B32AB" w:rsidP="003B32AB">
      <w:pPr>
        <w:spacing w:after="160"/>
        <w:outlineLvl w:val="1"/>
        <w:rPr>
          <w:rFonts w:asciiTheme="majorBidi" w:hAnsiTheme="majorBidi" w:cstheme="majorBidi"/>
          <w:bCs/>
        </w:rPr>
      </w:pPr>
      <w:r w:rsidRPr="00A94875">
        <w:rPr>
          <w:rFonts w:asciiTheme="majorBidi" w:hAnsiTheme="majorBidi" w:cstheme="majorBidi"/>
          <w:b/>
          <w:bCs/>
        </w:rPr>
        <w:t xml:space="preserve">ITU-T H.870 “Guidelines for safe listening devices/systems” </w:t>
      </w:r>
      <w:r w:rsidRPr="00A94875">
        <w:rPr>
          <w:rFonts w:asciiTheme="majorBidi" w:hAnsiTheme="majorBidi" w:cstheme="majorBidi"/>
          <w:bCs/>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14:paraId="32DA1D04" w14:textId="77777777" w:rsidR="003B32AB" w:rsidRPr="00A94875" w:rsidRDefault="003B32AB" w:rsidP="003B32AB">
      <w:pPr>
        <w:spacing w:before="240"/>
        <w:rPr>
          <w:b/>
          <w:sz w:val="22"/>
          <w:szCs w:val="22"/>
        </w:rPr>
      </w:pPr>
      <w:bookmarkStart w:id="286" w:name="_Toc480527903"/>
      <w:proofErr w:type="gramStart"/>
      <w:r w:rsidRPr="00A94875">
        <w:rPr>
          <w:b/>
          <w:sz w:val="22"/>
          <w:szCs w:val="22"/>
        </w:rPr>
        <w:t>I.5.1</w:t>
      </w:r>
      <w:r w:rsidRPr="00A94875">
        <w:rPr>
          <w:b/>
          <w:sz w:val="22"/>
          <w:szCs w:val="22"/>
        </w:rPr>
        <w:tab/>
        <w:t>New security standards</w:t>
      </w:r>
      <w:bookmarkEnd w:id="286"/>
      <w:proofErr w:type="gramEnd"/>
    </w:p>
    <w:p w14:paraId="749803B5"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X.894 “Generic applications of ASN.1 Cryptographic Message Syntax”</w:t>
      </w:r>
      <w:r w:rsidRPr="00A94875">
        <w:rPr>
          <w:rFonts w:asciiTheme="majorBidi" w:hAnsiTheme="majorBidi" w:cstheme="majorBidi"/>
          <w:bCs/>
        </w:rPr>
        <w:t xml:space="preserve"> 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w:t>
      </w:r>
      <w:proofErr w:type="gramStart"/>
      <w:r w:rsidRPr="00A94875">
        <w:rPr>
          <w:rFonts w:asciiTheme="majorBidi" w:hAnsiTheme="majorBidi" w:cstheme="majorBidi"/>
          <w:bCs/>
        </w:rPr>
        <w:t>can be used</w:t>
      </w:r>
      <w:proofErr w:type="gramEnd"/>
      <w:r w:rsidRPr="00A94875">
        <w:rPr>
          <w:rFonts w:asciiTheme="majorBidi" w:hAnsiTheme="majorBidi" w:cstheme="majorBidi"/>
          <w:bCs/>
        </w:rPr>
        <w:t xml:space="preserve"> to prevent fraud, and to protect personally identifiable and other sensitive information. This Recommendation | International Standard supports digital signature, encryption, and signcryption techniques based on the public-key technology defined in the ITU-T X.500 series | ISO/IEC 9594 multipart standard. All of the standardized encoding rules for ASN.1 </w:t>
      </w:r>
      <w:proofErr w:type="gramStart"/>
      <w:r w:rsidRPr="00A94875">
        <w:rPr>
          <w:rFonts w:asciiTheme="majorBidi" w:hAnsiTheme="majorBidi" w:cstheme="majorBidi"/>
          <w:bCs/>
        </w:rPr>
        <w:t>are supported</w:t>
      </w:r>
      <w:proofErr w:type="gramEnd"/>
      <w:r w:rsidRPr="00A94875">
        <w:rPr>
          <w:rFonts w:asciiTheme="majorBidi" w:hAnsiTheme="majorBidi" w:cstheme="majorBidi"/>
          <w:bCs/>
        </w:rPr>
        <w:t>.</w:t>
      </w:r>
    </w:p>
    <w:p w14:paraId="06D32E1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X.1041 “Security framework for voice-over-long-term-evolution (VoLTE) network operation”</w:t>
      </w:r>
      <w:r w:rsidRPr="00A94875">
        <w:rPr>
          <w:rFonts w:asciiTheme="majorBidi" w:hAnsiTheme="majorBidi" w:cstheme="majorBidi"/>
          <w:bCs/>
        </w:rPr>
        <w:t xml:space="preserve"> analyses security threats encountered by the VoLTE network and recommends countermeasures for telecommunication operators to ensure the secure operation. It also provides a security reference framework for VoLTE network.</w:t>
      </w:r>
    </w:p>
    <w:p w14:paraId="6E9CF602"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X.1042 “Security services using the software-defined networking”</w:t>
      </w:r>
      <w:r w:rsidRPr="00A94875">
        <w:rPr>
          <w:rFonts w:asciiTheme="majorBidi" w:hAnsiTheme="majorBidi" w:cstheme="majorBidi"/>
          <w:bCs/>
        </w:rPr>
        <w:t xml:space="preserve"> (under approval) 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14:paraId="1696A503"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eastAsia="ko-KR"/>
        </w:rPr>
      </w:pPr>
      <w:r w:rsidRPr="00A94875">
        <w:rPr>
          <w:rFonts w:asciiTheme="majorBidi" w:hAnsiTheme="majorBidi" w:cstheme="majorBidi"/>
          <w:b/>
          <w:bCs/>
          <w:lang w:eastAsia="ko-KR"/>
        </w:rPr>
        <w:t>ITU-T X.1080.1 (revised) “e-Health and world-wide telemedicines - Generic telecommunication protocol”</w:t>
      </w:r>
      <w:r w:rsidRPr="00A94875">
        <w:rPr>
          <w:rFonts w:asciiTheme="majorBidi" w:hAnsiTheme="majorBidi" w:cstheme="majorBidi"/>
          <w:bCs/>
          <w:lang w:eastAsia="ko-KR"/>
        </w:rPr>
        <w:t xml:space="preserve"> defines the framework for other parts of the ITU-T 1080.x series of Recommendation by providing the overall model for communications aspects of telebiometrics. It provides the basic allocation of object identifiers for uniquely identifying pieces of information during data transfer and it defines a generic telecommunication protocol.</w:t>
      </w:r>
    </w:p>
    <w:p w14:paraId="2C45285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Cs/>
          <w:lang w:eastAsia="ko-KR"/>
        </w:rPr>
        <w:t xml:space="preserve">It provides a technique for a formal specification of objects and it specifies a generic protocol that supports interactions between a medical station local to a patient and a remote medical centre providing greater expertise. This protocol is to be </w:t>
      </w:r>
      <w:proofErr w:type="gramStart"/>
      <w:r w:rsidRPr="00A94875">
        <w:rPr>
          <w:rFonts w:asciiTheme="majorBidi" w:hAnsiTheme="majorBidi" w:cstheme="majorBidi"/>
          <w:bCs/>
          <w:lang w:eastAsia="ko-KR"/>
        </w:rPr>
        <w:t>used</w:t>
      </w:r>
      <w:proofErr w:type="gramEnd"/>
      <w:r w:rsidRPr="00A94875">
        <w:rPr>
          <w:rFonts w:asciiTheme="majorBidi" w:hAnsiTheme="majorBidi" w:cstheme="majorBidi"/>
          <w:bCs/>
          <w:lang w:eastAsia="ko-KR"/>
        </w:rPr>
        <w:t xml:space="preserve"> and extended by other parts of the ITU-T X.1080.x series of Recommendations.</w:t>
      </w:r>
    </w:p>
    <w:p w14:paraId="7429CA60"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
          <w:bCs/>
          <w:lang w:eastAsia="ko-KR"/>
        </w:rPr>
        <w:t>ITU-T X.1093 “Telebiometric access control with smart ID cards”</w:t>
      </w:r>
      <w:r w:rsidRPr="00A94875">
        <w:rPr>
          <w:rFonts w:asciiTheme="majorBidi" w:hAnsiTheme="majorBidi" w:cstheme="majorBidi"/>
          <w:bCs/>
          <w:lang w:eastAsia="ko-KR"/>
        </w:rPr>
        <w:t xml:space="preserve"> (under approval) describes the general scheme for logical and/or physical access control using the biometrics-on-card. This Recommendation can be applied to the recent emerging area of requiring secure physical </w:t>
      </w:r>
      <w:proofErr w:type="gramStart"/>
      <w:r w:rsidRPr="00A94875">
        <w:rPr>
          <w:rFonts w:asciiTheme="majorBidi" w:hAnsiTheme="majorBidi" w:cstheme="majorBidi"/>
          <w:bCs/>
          <w:lang w:eastAsia="ko-KR"/>
        </w:rPr>
        <w:t>and also</w:t>
      </w:r>
      <w:proofErr w:type="gramEnd"/>
      <w:r w:rsidRPr="00A94875">
        <w:rPr>
          <w:rFonts w:asciiTheme="majorBidi" w:hAnsiTheme="majorBidi" w:cstheme="majorBidi"/>
          <w:bCs/>
          <w:lang w:eastAsia="ko-KR"/>
        </w:rPr>
        <w:t xml:space="preserve"> logical access control management.</w:t>
      </w:r>
    </w:p>
    <w:p w14:paraId="0245C23C"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
          <w:bCs/>
          <w:lang w:eastAsia="ko-KR"/>
        </w:rPr>
        <w:t>ITU-T X.1147 “Security requirements and framework for big data analytics in mobile Internet services”</w:t>
      </w:r>
      <w:r w:rsidRPr="00A94875">
        <w:rPr>
          <w:rFonts w:asciiTheme="majorBidi" w:hAnsiTheme="majorBidi" w:cstheme="majorBidi"/>
          <w:bCs/>
          <w:lang w:eastAsia="ko-KR"/>
        </w:rPr>
        <w:t xml:space="preserve"> (under approval)</w:t>
      </w:r>
      <w:r w:rsidRPr="00A94875">
        <w:rPr>
          <w:rFonts w:asciiTheme="majorBidi" w:hAnsiTheme="majorBidi" w:cstheme="majorBidi"/>
          <w:b/>
          <w:bCs/>
          <w:lang w:eastAsia="ko-KR"/>
        </w:rPr>
        <w:t xml:space="preserve"> </w:t>
      </w:r>
      <w:r w:rsidRPr="00A94875">
        <w:rPr>
          <w:rFonts w:asciiTheme="majorBidi" w:hAnsiTheme="majorBidi" w:cstheme="majorBidi"/>
          <w:bCs/>
          <w:lang w:eastAsia="ko-KR"/>
        </w:rPr>
        <w:t>mainly analyse the security requirements of big data analytics in mobile Internet services, and provide security framework.</w:t>
      </w:r>
    </w:p>
    <w:p w14:paraId="493926E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lastRenderedPageBreak/>
        <w:t>ITU-T X.1214 (revised) “Security assessment techniques in telecommunication/ICT networks”</w:t>
      </w:r>
      <w:r w:rsidRPr="00A94875">
        <w:rPr>
          <w:rFonts w:asciiTheme="majorBidi" w:hAnsiTheme="majorBidi" w:cstheme="majorBidi"/>
        </w:rPr>
        <w:t xml:space="preserve"> describes a global security assessment methodology for software-based telecommunication/ICT network elements and best practices for developers, manufacturers, operators and individual security experts of the telecommunication domain for addressing the secureness of their software-based elements. Both the traditional circuit-switched networks and the packet-based networks </w:t>
      </w:r>
      <w:proofErr w:type="gramStart"/>
      <w:r w:rsidRPr="00A94875">
        <w:rPr>
          <w:rFonts w:asciiTheme="majorBidi" w:hAnsiTheme="majorBidi" w:cstheme="majorBidi"/>
        </w:rPr>
        <w:t>are exposed</w:t>
      </w:r>
      <w:proofErr w:type="gramEnd"/>
      <w:r w:rsidRPr="00A94875">
        <w:rPr>
          <w:rFonts w:asciiTheme="majorBidi" w:hAnsiTheme="majorBidi" w:cstheme="majorBidi"/>
        </w:rPr>
        <w:t xml:space="preserve"> to different threats and attacks - from external as well as internal sources - that target the various parts of the telecommunications/ICT network. This Recommendation covers the following:</w:t>
      </w:r>
    </w:p>
    <w:p w14:paraId="3097359B" w14:textId="77777777" w:rsidR="003B32AB" w:rsidRPr="00A94875" w:rsidRDefault="003B32AB" w:rsidP="003B32AB">
      <w:pPr>
        <w:pStyle w:val="ListParagraph"/>
        <w:numPr>
          <w:ilvl w:val="0"/>
          <w:numId w:val="18"/>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14:paraId="33F04E2E" w14:textId="77777777" w:rsidR="003B32AB" w:rsidRPr="00A94875" w:rsidRDefault="003B32AB" w:rsidP="003B32AB">
      <w:pPr>
        <w:pStyle w:val="ListParagraph"/>
        <w:numPr>
          <w:ilvl w:val="0"/>
          <w:numId w:val="18"/>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14:paraId="24F41081"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X.1215 “Use Cases for Structured Threat Information Expression (STIX)”</w:t>
      </w:r>
      <w:r w:rsidRPr="00A94875">
        <w:rPr>
          <w:rFonts w:asciiTheme="majorBidi" w:hAnsiTheme="majorBidi" w:cstheme="majorBidi"/>
          <w:bCs/>
        </w:rPr>
        <w:t xml:space="preserve"> (under approval) provides various use cases for how the STIX language </w:t>
      </w:r>
      <w:proofErr w:type="gramStart"/>
      <w:r w:rsidRPr="00A94875">
        <w:rPr>
          <w:rFonts w:asciiTheme="majorBidi" w:hAnsiTheme="majorBidi" w:cstheme="majorBidi"/>
          <w:bCs/>
        </w:rPr>
        <w:t>may be used</w:t>
      </w:r>
      <w:proofErr w:type="gramEnd"/>
      <w:r w:rsidRPr="00A94875">
        <w:rPr>
          <w:rFonts w:asciiTheme="majorBidi" w:hAnsiTheme="majorBidi" w:cstheme="majorBidi"/>
          <w:bCs/>
        </w:rPr>
        <w:t xml:space="preserve"> to support cyber threat intelligence and information sharing. This Recommendation also describes concepts and functionality of Structured Threat Information Expression (STIX). It </w:t>
      </w:r>
      <w:proofErr w:type="gramStart"/>
      <w:r w:rsidRPr="00A94875">
        <w:rPr>
          <w:rFonts w:asciiTheme="majorBidi" w:hAnsiTheme="majorBidi" w:cstheme="majorBidi"/>
          <w:bCs/>
        </w:rPr>
        <w:t>is targeted</w:t>
      </w:r>
      <w:proofErr w:type="gramEnd"/>
      <w:r w:rsidRPr="00A94875">
        <w:rPr>
          <w:rFonts w:asciiTheme="majorBidi" w:hAnsiTheme="majorBidi" w:cstheme="majorBidi"/>
          <w:bCs/>
        </w:rPr>
        <w:t xml:space="preserve"> to support a range of use cases involved in cyber threat management, including analysing cyber threats, specifying indicator patterns for cyber threats, managing response activities, and sharing cyber threat information. Given this kind of information, a security decision </w:t>
      </w:r>
      <w:proofErr w:type="gramStart"/>
      <w:r w:rsidRPr="00A94875">
        <w:rPr>
          <w:rFonts w:asciiTheme="majorBidi" w:hAnsiTheme="majorBidi" w:cstheme="majorBidi"/>
          <w:bCs/>
        </w:rPr>
        <w:t>can be made</w:t>
      </w:r>
      <w:proofErr w:type="gramEnd"/>
      <w:r w:rsidRPr="00A94875">
        <w:rPr>
          <w:rFonts w:asciiTheme="majorBidi" w:hAnsiTheme="majorBidi" w:cstheme="majorBidi"/>
          <w:bCs/>
        </w:rPr>
        <w:t xml:space="preserve"> on how to best defend against the threat. It is intended to support both </w:t>
      </w:r>
      <w:proofErr w:type="gramStart"/>
      <w:r w:rsidRPr="00A94875">
        <w:rPr>
          <w:rFonts w:asciiTheme="majorBidi" w:hAnsiTheme="majorBidi" w:cstheme="majorBidi"/>
          <w:bCs/>
        </w:rPr>
        <w:t>more effective analysis</w:t>
      </w:r>
      <w:proofErr w:type="gramEnd"/>
      <w:r w:rsidRPr="00A94875">
        <w:rPr>
          <w:rFonts w:asciiTheme="majorBidi" w:hAnsiTheme="majorBidi" w:cstheme="majorBidi"/>
          <w:bCs/>
        </w:rPr>
        <w:t xml:space="preserve"> and the continued exchange of cyber threat information. The STIX suite of specifications </w:t>
      </w:r>
      <w:proofErr w:type="gramStart"/>
      <w:r w:rsidRPr="00A94875">
        <w:rPr>
          <w:rFonts w:asciiTheme="majorBidi" w:hAnsiTheme="majorBidi" w:cstheme="majorBidi"/>
          <w:bCs/>
        </w:rPr>
        <w:t>is maintained</w:t>
      </w:r>
      <w:proofErr w:type="gramEnd"/>
      <w:r w:rsidRPr="00A94875">
        <w:rPr>
          <w:rFonts w:asciiTheme="majorBidi" w:hAnsiTheme="majorBidi" w:cstheme="majorBidi"/>
          <w:bCs/>
        </w:rPr>
        <w:t xml:space="preserve"> under the responsibility of OASIS. See </w:t>
      </w:r>
      <w:hyperlink r:id="rId159" w:history="1">
        <w:r w:rsidRPr="00A94875">
          <w:rPr>
            <w:rStyle w:val="Hyperlink"/>
            <w:rFonts w:cstheme="majorBidi"/>
            <w:bCs/>
          </w:rPr>
          <w:t>https://www.oasis-open.org/committees/tc_home.php?wg_abbrev=cti</w:t>
        </w:r>
      </w:hyperlink>
    </w:p>
    <w:p w14:paraId="4229FDE1"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X.1249 "Technical framework for countering mobile in-application advertising spam"</w:t>
      </w:r>
      <w:r w:rsidRPr="00A94875">
        <w:rPr>
          <w:rFonts w:asciiTheme="majorBidi" w:hAnsiTheme="majorBidi" w:cstheme="majorBidi"/>
          <w:bCs/>
        </w:rPr>
        <w:t xml:space="preserve"> (under approval) provides a technical framework for countering mobile in-application advertising spam. Mobile in-application advertising spam is the sending of unsolicited advertisements, which </w:t>
      </w:r>
      <w:proofErr w:type="gramStart"/>
      <w:r w:rsidRPr="00A94875">
        <w:rPr>
          <w:rFonts w:asciiTheme="majorBidi" w:hAnsiTheme="majorBidi" w:cstheme="majorBidi"/>
          <w:bCs/>
        </w:rPr>
        <w:t>are displayed</w:t>
      </w:r>
      <w:proofErr w:type="gramEnd"/>
      <w:r w:rsidRPr="00A94875">
        <w:rPr>
          <w:rFonts w:asciiTheme="majorBidi" w:hAnsiTheme="majorBidi" w:cstheme="majorBidi"/>
          <w:bCs/>
        </w:rPr>
        <w:t xml:space="preserve">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5FFD727C"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X.1276 “Authentication Step-Up Protocol and Metadata Version 1.0”:</w:t>
      </w:r>
      <w:r w:rsidRPr="00A94875">
        <w:rPr>
          <w:rFonts w:asciiTheme="majorBidi" w:hAnsiTheme="majorBidi" w:cstheme="majorBidi"/>
          <w:bCs/>
        </w:rPr>
        <w:t xml:space="preserve"> Electronic Identity Credential Trust Elevation Methods </w:t>
      </w:r>
      <w:proofErr w:type="gramStart"/>
      <w:r w:rsidRPr="00A94875">
        <w:rPr>
          <w:rFonts w:asciiTheme="majorBidi" w:hAnsiTheme="majorBidi" w:cstheme="majorBidi"/>
          <w:bCs/>
        </w:rPr>
        <w:t>are used</w:t>
      </w:r>
      <w:proofErr w:type="gramEnd"/>
      <w:r w:rsidRPr="00A94875">
        <w:rPr>
          <w:rFonts w:asciiTheme="majorBidi" w:hAnsiTheme="majorBidi" w:cstheme="majorBidi"/>
          <w:bCs/>
        </w:rPr>
        <w:t xml:space="preserve"> to increase assurance in entity identification using authentication events and related entity information for the purpose of risk mitigation when making access control policy decisions. The goals of this Recommendation are:</w:t>
      </w:r>
    </w:p>
    <w:p w14:paraId="191DDF68"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To propose simple Trust Elevation architectural patterns demonstrating the use of Trust Elevation in modern Access Control architectures.</w:t>
      </w:r>
    </w:p>
    <w:p w14:paraId="2A1062E3"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To describe a common metadata set mechanisms and protocol elements for Trust Elevation information exchanges.</w:t>
      </w:r>
    </w:p>
    <w:p w14:paraId="51AE6A97"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Cs/>
        </w:rPr>
        <w:t>–</w:t>
      </w:r>
      <w:r w:rsidRPr="00A94875">
        <w:rPr>
          <w:rFonts w:asciiTheme="majorBidi" w:hAnsiTheme="majorBidi" w:cstheme="majorBidi"/>
          <w:bCs/>
        </w:rPr>
        <w:tab/>
        <w:t>To promote the use of Trust Elevation elements to facilitate standardization among the many technologies and approaches currently in use for credential &amp; authentication risk mitigation.</w:t>
      </w:r>
    </w:p>
    <w:p w14:paraId="2B3C11A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X.1277 “FIDO Universal Authentication Framework (UAF)”</w:t>
      </w:r>
      <w:r w:rsidRPr="00A94875">
        <w:rPr>
          <w:rFonts w:asciiTheme="majorBidi" w:hAnsiTheme="majorBidi" w:cstheme="majorBidi"/>
          <w:bCs/>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3A7EE620"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lastRenderedPageBreak/>
        <w:t>ITU-T X.1278 “Client To Authenticator Protocol/Universal 2-factor framework”</w:t>
      </w:r>
      <w:r w:rsidRPr="00A94875">
        <w:rPr>
          <w:rFonts w:asciiTheme="majorBidi" w:hAnsiTheme="majorBidi" w:cstheme="majorBidi"/>
          <w:bCs/>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14:paraId="314F3005"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t>ITU-T X.1331 “Security guidelines for home area network (HAN) devices in smart grid systems”</w:t>
      </w:r>
      <w:r w:rsidRPr="00A94875">
        <w:rPr>
          <w:rFonts w:asciiTheme="majorBidi" w:hAnsiTheme="majorBidi" w:cstheme="majorBidi"/>
        </w:rPr>
        <w:t xml:space="preserve"> will provide threat analysis of the HAN in the smart grids, security requirements, and security functions. Since the role and functions of each HAN device are different, the security requirements and security functions by devices </w:t>
      </w:r>
      <w:proofErr w:type="gramStart"/>
      <w:r w:rsidRPr="00A94875">
        <w:rPr>
          <w:rFonts w:asciiTheme="majorBidi" w:hAnsiTheme="majorBidi" w:cstheme="majorBidi"/>
        </w:rPr>
        <w:t>are provided</w:t>
      </w:r>
      <w:proofErr w:type="gramEnd"/>
      <w:r w:rsidRPr="00A94875">
        <w:rPr>
          <w:rFonts w:asciiTheme="majorBidi" w:hAnsiTheme="majorBidi" w:cstheme="majorBidi"/>
        </w:rPr>
        <w:t>.</w:t>
      </w:r>
    </w:p>
    <w:p w14:paraId="45F1F3D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X.1361 "Security framework for the Internet of things based on the gateway model"</w:t>
      </w:r>
      <w:r w:rsidRPr="00A94875">
        <w:rPr>
          <w:rFonts w:asciiTheme="majorBidi" w:hAnsiTheme="majorBidi" w:cstheme="majorBidi"/>
          <w:bCs/>
        </w:rPr>
        <w:t xml:space="preserve"> describes a security framework for the Internet of things (IoT) using security gateways. This Recommendation analyses security threats and challenges in an IoT environment, and describes capabilities that could address and mitigate these threats and challenges. A framework methodology </w:t>
      </w:r>
      <w:proofErr w:type="gramStart"/>
      <w:r w:rsidRPr="00A94875">
        <w:rPr>
          <w:rFonts w:asciiTheme="majorBidi" w:hAnsiTheme="majorBidi" w:cstheme="majorBidi"/>
          <w:bCs/>
        </w:rPr>
        <w:t>is provided</w:t>
      </w:r>
      <w:proofErr w:type="gramEnd"/>
      <w:r w:rsidRPr="00A94875">
        <w:rPr>
          <w:rFonts w:asciiTheme="majorBidi" w:hAnsiTheme="majorBidi" w:cstheme="majorBidi"/>
          <w:bCs/>
        </w:rPr>
        <w:t xml:space="preserve"> for determining which security capabilities are required for mitigating and addressing these threats and challenges for the IoT.</w:t>
      </w:r>
    </w:p>
    <w:p w14:paraId="6E24C956"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X.1450 “Guidelines on hybrid authentication and key management mechanisms in the client-server model”</w:t>
      </w:r>
      <w:r w:rsidRPr="00A94875">
        <w:rPr>
          <w:rFonts w:asciiTheme="majorBidi" w:hAnsiTheme="majorBidi" w:cstheme="majorBidi"/>
          <w:bCs/>
        </w:rPr>
        <w:t xml:space="preserve"> </w:t>
      </w:r>
      <w:r w:rsidRPr="00A94875">
        <w:rPr>
          <w:rFonts w:eastAsia="MS Mincho"/>
          <w:color w:val="000000"/>
        </w:rPr>
        <w:t xml:space="preserve">provides guidelines for </w:t>
      </w:r>
      <w:r w:rsidRPr="00A94875">
        <w:rPr>
          <w:rFonts w:eastAsia="MS Mincho"/>
          <w:color w:val="000000"/>
          <w:lang w:eastAsia="ko-KR"/>
        </w:rPr>
        <w:t>hybrid</w:t>
      </w:r>
      <w:r w:rsidRPr="00A94875">
        <w:rPr>
          <w:rFonts w:eastAsia="MS Mincho"/>
          <w:color w:val="000000"/>
          <w:spacing w:val="-6"/>
        </w:rPr>
        <w:t xml:space="preserve"> authentication and key exchange mechanism</w:t>
      </w:r>
      <w:r w:rsidRPr="00A94875">
        <w:rPr>
          <w:rFonts w:eastAsia="Malgun Gothic"/>
          <w:color w:val="000000"/>
          <w:spacing w:val="-6"/>
          <w:lang w:eastAsia="ko-KR"/>
        </w:rPr>
        <w:t>s</w:t>
      </w:r>
      <w:r w:rsidRPr="00A94875">
        <w:rPr>
          <w:rFonts w:eastAsia="MS Mincho"/>
          <w:color w:val="000000"/>
          <w:spacing w:val="-6"/>
        </w:rPr>
        <w:t xml:space="preserve"> </w:t>
      </w:r>
      <w:r w:rsidRPr="00A94875">
        <w:rPr>
          <w:rFonts w:eastAsia="Malgun Gothic"/>
          <w:color w:val="000000"/>
          <w:spacing w:val="-6"/>
          <w:lang w:eastAsia="ko-KR"/>
        </w:rPr>
        <w:t>in client-server model</w:t>
      </w:r>
      <w:r w:rsidRPr="00A94875">
        <w:rPr>
          <w:rFonts w:eastAsia="MS Mincho"/>
          <w:color w:val="000000"/>
        </w:rPr>
        <w:t xml:space="preserve">. </w:t>
      </w:r>
      <w:r w:rsidRPr="00A94875">
        <w:rPr>
          <w:rFonts w:eastAsia="Malgun Gothic"/>
          <w:lang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rPr>
        <w:t>.</w:t>
      </w:r>
    </w:p>
    <w:p w14:paraId="144CCB9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
          <w:bCs/>
        </w:rPr>
        <w:t>ITU-T X.1500 Amd.12 “Overview of cybersecurity information exchange (CYBEX)”</w:t>
      </w:r>
      <w:r w:rsidRPr="00A94875">
        <w:rPr>
          <w:rFonts w:asciiTheme="majorBidi" w:hAnsiTheme="majorBidi" w:cstheme="majorBidi"/>
          <w:bCs/>
        </w:rPr>
        <w:t xml:space="preserve"> provides a list of structured cybersecurity information techniques that </w:t>
      </w:r>
      <w:proofErr w:type="gramStart"/>
      <w:r w:rsidRPr="00A94875">
        <w:rPr>
          <w:rFonts w:asciiTheme="majorBidi" w:hAnsiTheme="majorBidi" w:cstheme="majorBidi"/>
          <w:bCs/>
        </w:rPr>
        <w:t>have been created to be continually updated</w:t>
      </w:r>
      <w:proofErr w:type="gramEnd"/>
      <w:r w:rsidRPr="00A94875">
        <w:rPr>
          <w:rFonts w:asciiTheme="majorBidi" w:hAnsiTheme="majorBidi" w:cstheme="majorBidi"/>
          <w:bCs/>
        </w:rPr>
        <w:t xml:space="preserve"> as these techniques evolve, expand, are newly identified or are replaced. The list follows the outline provided in the body of the Recommendation. This amendment reflects the situation of recommended techniques as of March 2018, including bibliographical references.</w:t>
      </w:r>
    </w:p>
    <w:p w14:paraId="612B8106"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t xml:space="preserve">ITU-T X.1603 “Data security requirements for the monitoring service of cloud computing” </w:t>
      </w:r>
      <w:r w:rsidRPr="00A94875">
        <w:rPr>
          <w:rFonts w:asciiTheme="majorBidi" w:hAnsiTheme="majorBidi" w:cstheme="majorBidi"/>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5D01B837"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
          <w:bCs/>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rPr>
        <w:t xml:space="preserve"> provides interpretable guidance for users of Recommendation ITU-T X.1051. This Supplement gives additional explanations and further implementation guidance for each clause and control specified in Recommendation ITU-T X.1051.</w:t>
      </w:r>
    </w:p>
    <w:p w14:paraId="26050B8B"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rPr>
        <w:t>ITU-T X.Suppl.32 “Code of practice for personally identifiable information protection based on ITU-T X.1058 for telecommunications organizations”</w:t>
      </w:r>
      <w:r w:rsidRPr="00A94875">
        <w:rPr>
          <w:rFonts w:asciiTheme="majorBidi" w:hAnsiTheme="majorBidi" w:cstheme="majorBidi"/>
        </w:rPr>
        <w:t xml:space="preserve"> aims to complement the information provided in ITU-T X.1058 by providing additional implementation guidance for Personally Identifiable Information (PII) protection, which </w:t>
      </w:r>
      <w:proofErr w:type="gramStart"/>
      <w:r w:rsidRPr="00A94875">
        <w:rPr>
          <w:rFonts w:asciiTheme="majorBidi" w:hAnsiTheme="majorBidi" w:cstheme="majorBidi"/>
        </w:rPr>
        <w:t>are not described</w:t>
      </w:r>
      <w:proofErr w:type="gramEnd"/>
      <w:r w:rsidRPr="00A94875">
        <w:rPr>
          <w:rFonts w:asciiTheme="majorBidi" w:hAnsiTheme="majorBidi" w:cstheme="majorBidi"/>
        </w:rPr>
        <w:t xml:space="preserve"> in ITU-T X.1058, but should further be applicable to telecommunications organizations to address PII protection.</w:t>
      </w:r>
    </w:p>
    <w:p w14:paraId="2A98AD1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rPr>
        <w:t>The number of telecommunications organizations processing PII is on the rise. Accordingly, expectations for the protection of PII are also increasing.</w:t>
      </w:r>
    </w:p>
    <w:p w14:paraId="3E35EE4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rPr>
        <w:lastRenderedPageBreak/>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14:paraId="3603E5B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rPr>
      </w:pPr>
      <w:r w:rsidRPr="00A94875">
        <w:rPr>
          <w:rFonts w:asciiTheme="majorBidi" w:hAnsiTheme="majorBidi" w:cstheme="majorBidi"/>
          <w:b/>
        </w:rPr>
        <w:t>ITU-T X.Suppl.33 - Supplement 33 to X-series Recommendations - ITU-T X.1231 “Technical framework for countering telephone service scam”</w:t>
      </w:r>
      <w:r w:rsidRPr="00A94875">
        <w:rPr>
          <w:rFonts w:asciiTheme="majorBidi" w:hAnsiTheme="majorBidi" w:cstheme="majorBidi"/>
        </w:rPr>
        <w:t xml:space="preserve"> provides an overall technical framework for countering telephone service </w:t>
      </w:r>
      <w:proofErr w:type="gramStart"/>
      <w:r w:rsidRPr="00A94875">
        <w:rPr>
          <w:rFonts w:asciiTheme="majorBidi" w:hAnsiTheme="majorBidi" w:cstheme="majorBidi"/>
        </w:rPr>
        <w:t>scam</w:t>
      </w:r>
      <w:proofErr w:type="gramEnd"/>
      <w:r w:rsidRPr="00A94875">
        <w:rPr>
          <w:rFonts w:asciiTheme="majorBidi" w:hAnsiTheme="majorBidi" w:cstheme="majorBidi"/>
        </w:rPr>
        <w:t xml:space="preserve"> and related useful practices. In the framework, entity functions and processing procedures </w:t>
      </w:r>
      <w:proofErr w:type="gramStart"/>
      <w:r w:rsidRPr="00A94875">
        <w:rPr>
          <w:rFonts w:asciiTheme="majorBidi" w:hAnsiTheme="majorBidi" w:cstheme="majorBidi"/>
        </w:rPr>
        <w:t>are specified</w:t>
      </w:r>
      <w:proofErr w:type="gramEnd"/>
      <w:r w:rsidRPr="00A94875">
        <w:rPr>
          <w:rFonts w:asciiTheme="majorBidi" w:hAnsiTheme="majorBidi" w:cstheme="majorBidi"/>
        </w:rPr>
        <w:t xml:space="preserve">. In addition, the useful practices provided in this Supplement cover most of the practices that are able to stop known telephone service </w:t>
      </w:r>
      <w:proofErr w:type="gramStart"/>
      <w:r w:rsidRPr="00A94875">
        <w:rPr>
          <w:rFonts w:asciiTheme="majorBidi" w:hAnsiTheme="majorBidi" w:cstheme="majorBidi"/>
        </w:rPr>
        <w:t>scam</w:t>
      </w:r>
      <w:proofErr w:type="gramEnd"/>
      <w:r w:rsidRPr="00A94875">
        <w:rPr>
          <w:rFonts w:asciiTheme="majorBidi" w:hAnsiTheme="majorBidi" w:cstheme="majorBidi"/>
        </w:rPr>
        <w:t xml:space="preserve"> methods. Besides, this Supplement specifies the characteristics and the source of the telephone service </w:t>
      </w:r>
      <w:proofErr w:type="gramStart"/>
      <w:r w:rsidRPr="00A94875">
        <w:rPr>
          <w:rFonts w:asciiTheme="majorBidi" w:hAnsiTheme="majorBidi" w:cstheme="majorBidi"/>
        </w:rPr>
        <w:t>scam</w:t>
      </w:r>
      <w:proofErr w:type="gramEnd"/>
      <w:r w:rsidRPr="00A94875">
        <w:rPr>
          <w:rFonts w:asciiTheme="majorBidi" w:hAnsiTheme="majorBidi" w:cstheme="majorBidi"/>
        </w:rPr>
        <w:t>, and categorizes the main methods and relevant technical requirements according to the key technologies of the telephone service scam discovering, judgment, and disposition.</w:t>
      </w:r>
    </w:p>
    <w:p w14:paraId="4E90DDAC" w14:textId="77777777" w:rsidR="003B32AB" w:rsidRPr="00A94875" w:rsidRDefault="003B32AB" w:rsidP="003B32AB">
      <w:pPr>
        <w:keepNext/>
        <w:keepLines/>
        <w:spacing w:before="240"/>
        <w:rPr>
          <w:b/>
          <w:sz w:val="22"/>
          <w:szCs w:val="22"/>
        </w:rPr>
      </w:pPr>
      <w:r w:rsidRPr="00A94875">
        <w:rPr>
          <w:b/>
          <w:sz w:val="22"/>
          <w:szCs w:val="22"/>
        </w:rPr>
        <w:t>I.5.2</w:t>
      </w:r>
      <w:r w:rsidRPr="00A94875">
        <w:rPr>
          <w:b/>
          <w:sz w:val="22"/>
          <w:szCs w:val="22"/>
        </w:rPr>
        <w:tab/>
        <w:t>Trust</w:t>
      </w:r>
    </w:p>
    <w:p w14:paraId="2694E5CE"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Y.3054 “Framework of trust-based media services”</w:t>
      </w:r>
      <w:r w:rsidRPr="00A94875">
        <w:rPr>
          <w:rFonts w:asciiTheme="majorBidi" w:hAnsiTheme="majorBidi" w:cstheme="majorBidi"/>
        </w:rPr>
        <w:t xml:space="preserve"> 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w:t>
      </w:r>
      <w:proofErr w:type="gramStart"/>
      <w:r w:rsidRPr="00A94875">
        <w:rPr>
          <w:rFonts w:asciiTheme="majorBidi" w:hAnsiTheme="majorBidi" w:cstheme="majorBidi"/>
        </w:rPr>
        <w:t>are introduced</w:t>
      </w:r>
      <w:proofErr w:type="gramEnd"/>
      <w:r w:rsidRPr="00A94875">
        <w:rPr>
          <w:rFonts w:asciiTheme="majorBidi" w:hAnsiTheme="majorBidi" w:cstheme="majorBidi"/>
        </w:rPr>
        <w:t xml:space="preserve"> along with a trust analysis mechanism for trust-based media services.</w:t>
      </w:r>
    </w:p>
    <w:p w14:paraId="3940CCE7"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Y.3053 “Trustworthy networking deployment architecture and procedure – Amendment 1”</w:t>
      </w:r>
      <w:r w:rsidRPr="00A94875">
        <w:rPr>
          <w:rFonts w:asciiTheme="majorBidi" w:hAnsiTheme="majorBidi" w:cstheme="majorBidi"/>
        </w:rPr>
        <w:t xml:space="preserve"> (under approval) </w:t>
      </w:r>
    </w:p>
    <w:p w14:paraId="0601952F"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Y.3053 (2018) Amd.1 “Framework of trustworthy networking with trust-centric network domains: Amendment 1 - Trustworthy networking deployment architecture and procedures”</w:t>
      </w:r>
      <w:r w:rsidRPr="00A94875">
        <w:rPr>
          <w:rFonts w:asciiTheme="majorBidi" w:hAnsiTheme="majorBidi" w:cstheme="majorBidi"/>
        </w:rPr>
        <w:t xml:space="preserve"> (under approval) contains modifications to add trustworthy networking deployment architecture and procedures for IP networks in the Internet.</w:t>
      </w:r>
    </w:p>
    <w:p w14:paraId="05C4E8B2" w14:textId="77777777" w:rsidR="003B32AB" w:rsidRPr="00A94875" w:rsidRDefault="003B32AB" w:rsidP="003B32AB">
      <w:pPr>
        <w:spacing w:before="240"/>
        <w:rPr>
          <w:b/>
          <w:sz w:val="22"/>
          <w:szCs w:val="22"/>
        </w:rPr>
      </w:pPr>
      <w:bookmarkStart w:id="287" w:name="_Toc480527904"/>
      <w:r w:rsidRPr="00A94875">
        <w:rPr>
          <w:b/>
          <w:sz w:val="22"/>
          <w:szCs w:val="22"/>
        </w:rPr>
        <w:t>I.6.1</w:t>
      </w:r>
      <w:r w:rsidRPr="00A94875">
        <w:rPr>
          <w:b/>
          <w:sz w:val="22"/>
          <w:szCs w:val="22"/>
        </w:rPr>
        <w:tab/>
        <w:t>Green ICT standards</w:t>
      </w:r>
      <w:bookmarkEnd w:id="287"/>
    </w:p>
    <w:p w14:paraId="6E1FA61D" w14:textId="77777777" w:rsidR="003B32AB" w:rsidRPr="00A94875" w:rsidRDefault="003B32AB" w:rsidP="003B32AB">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 xml:space="preserve">Recommendation focuses on the criteria to </w:t>
      </w:r>
      <w:proofErr w:type="gramStart"/>
      <w:r w:rsidRPr="00A94875">
        <w:rPr>
          <w:lang w:val="en-GB"/>
        </w:rPr>
        <w:t>be used</w:t>
      </w:r>
      <w:proofErr w:type="gramEnd"/>
      <w:r w:rsidRPr="00A94875">
        <w:rPr>
          <w:lang w:val="en-GB"/>
        </w:rPr>
        <w:t xml:space="preserve">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w:t>
      </w:r>
      <w:proofErr w:type="gramStart"/>
      <w:r w:rsidRPr="00A94875">
        <w:rPr>
          <w:lang w:val="en-GB"/>
        </w:rPr>
        <w:t>for:</w:t>
      </w:r>
      <w:proofErr w:type="gramEnd"/>
      <w:r w:rsidRPr="00A94875">
        <w:rPr>
          <w:lang w:val="en-GB"/>
        </w:rPr>
        <w:t xml:space="preserve"> materials; energy use; durability, upgrade and repair operations; end of life management; packaging, corporate practice; manufacturing and operations.</w:t>
      </w:r>
    </w:p>
    <w:p w14:paraId="4F34A23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L.1021 “Extended producer responsibility - Guidelines for sustainable e-waste management”</w:t>
      </w:r>
      <w:r w:rsidRPr="00A94875">
        <w:rPr>
          <w:rFonts w:asciiTheme="majorBidi" w:hAnsiTheme="majorBidi" w:cstheme="majorBidi"/>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w:t>
      </w:r>
      <w:proofErr w:type="gramStart"/>
      <w:r w:rsidRPr="00A94875">
        <w:rPr>
          <w:rFonts w:asciiTheme="majorBidi" w:hAnsiTheme="majorBidi" w:cstheme="majorBidi"/>
        </w:rPr>
        <w:t>could be used</w:t>
      </w:r>
      <w:proofErr w:type="gramEnd"/>
      <w:r w:rsidRPr="00A94875">
        <w:rPr>
          <w:rFonts w:asciiTheme="majorBidi" w:hAnsiTheme="majorBidi" w:cstheme="majorBidi"/>
        </w:rPr>
        <w:t xml:space="preserve"> in certain contexts and not in others. The funding mechanism behind every mode and the organizational structure expected to be in place </w:t>
      </w:r>
      <w:proofErr w:type="gramStart"/>
      <w:r w:rsidRPr="00A94875">
        <w:rPr>
          <w:rFonts w:asciiTheme="majorBidi" w:hAnsiTheme="majorBidi" w:cstheme="majorBidi"/>
        </w:rPr>
        <w:t>are also presented</w:t>
      </w:r>
      <w:proofErr w:type="gramEnd"/>
      <w:r w:rsidRPr="00A94875">
        <w:rPr>
          <w:rFonts w:asciiTheme="majorBidi" w:hAnsiTheme="majorBidi" w:cstheme="majorBidi"/>
        </w:rPr>
        <w:t>. The Recommendation concludes with many best practices from the international arena including developed, developing and emerging economies, as well as the challenges faced in some cases.</w:t>
      </w:r>
    </w:p>
    <w:p w14:paraId="3140FA2B"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t>
      </w:r>
      <w:proofErr w:type="gramStart"/>
      <w:r w:rsidRPr="00A94875">
        <w:rPr>
          <w:rFonts w:asciiTheme="majorBidi" w:hAnsiTheme="majorBidi" w:cstheme="majorBidi"/>
          <w:bCs/>
          <w:lang w:val="en-GB"/>
        </w:rPr>
        <w:t>will be further elaborated</w:t>
      </w:r>
      <w:proofErr w:type="gramEnd"/>
      <w:r w:rsidRPr="00A94875">
        <w:rPr>
          <w:rFonts w:asciiTheme="majorBidi" w:hAnsiTheme="majorBidi" w:cstheme="majorBidi"/>
          <w:bCs/>
          <w:lang w:val="en-GB"/>
        </w:rPr>
        <w:t xml:space="preserve"> in future Recommendations. In addition, the Recommendation provides highlights concerning the environmental impact of </w:t>
      </w:r>
      <w:r w:rsidRPr="00A94875">
        <w:rPr>
          <w:rFonts w:asciiTheme="majorBidi" w:hAnsiTheme="majorBidi" w:cstheme="majorBidi"/>
          <w:bCs/>
          <w:lang w:val="en-GB"/>
        </w:rPr>
        <w:lastRenderedPageBreak/>
        <w:t>improper handling of e-waste as well as the economic opportunities that could emerge from the sustainable management of e-waste.</w:t>
      </w:r>
    </w:p>
    <w:p w14:paraId="24CA0EB4" w14:textId="77777777" w:rsidR="003B32AB" w:rsidRPr="00A94875" w:rsidRDefault="003B32AB" w:rsidP="003B32AB">
      <w:r w:rsidRPr="00A94875">
        <w:rPr>
          <w:rFonts w:asciiTheme="majorBidi" w:hAnsiTheme="majorBidi" w:cstheme="majorBidi"/>
          <w:b/>
          <w:bCs/>
        </w:rPr>
        <w:t>ITU-T L.1031 “Guideline on Implementing the E-waste Reduction Target of the Connect2020 Agenda”</w:t>
      </w:r>
      <w:r w:rsidRPr="00A94875">
        <w:rPr>
          <w:rFonts w:asciiTheme="majorBidi" w:hAnsiTheme="majorBidi" w:cstheme="majorBidi"/>
          <w:bCs/>
        </w:rPr>
        <w:t xml:space="preserve"> </w:t>
      </w:r>
      <w:r w:rsidRPr="00A94875">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be utilized by relevant stakeholders to take their first step in addressing Target 3.2 of the Connect 2020 </w:t>
      </w:r>
      <w:proofErr w:type="gramStart"/>
      <w:r w:rsidRPr="00A94875">
        <w:t>Agenda, that</w:t>
      </w:r>
      <w:proofErr w:type="gramEnd"/>
      <w:r w:rsidRPr="00A94875">
        <w:t xml:space="preserve"> is to reduce waste by 50% by 2020.</w:t>
      </w:r>
    </w:p>
    <w:p w14:paraId="76A2C303"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L.1207 “Progressive migration of a telecommunication/information and communication technology site to 400 VDC sources and distribution”</w:t>
      </w:r>
      <w:r w:rsidRPr="00A94875">
        <w:rPr>
          <w:rFonts w:asciiTheme="majorBidi" w:hAnsiTheme="majorBidi" w:cstheme="majorBidi"/>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nanogrids and other users, extending the resilience capability of the telecommunications network and ICT sites to grid failures and climate change.</w:t>
      </w:r>
    </w:p>
    <w:p w14:paraId="5D20500F" w14:textId="77777777" w:rsidR="003B32AB" w:rsidRPr="00A94875" w:rsidRDefault="003B32AB" w:rsidP="003B32AB">
      <w:pPr>
        <w:pStyle w:val="NormalWeb"/>
        <w:spacing w:before="120" w:beforeAutospacing="0" w:after="0" w:afterAutospacing="0"/>
        <w:rPr>
          <w:rFonts w:asciiTheme="majorBidi"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hAnsiTheme="majorBidi" w:cstheme="majorBidi"/>
          <w:lang w:val="en-GB" w:eastAsia="zh-CN"/>
        </w:rPr>
        <w:t xml:space="preserve"> is the subpart </w:t>
      </w:r>
      <w:proofErr w:type="gramStart"/>
      <w:r w:rsidRPr="00A94875">
        <w:rPr>
          <w:rFonts w:asciiTheme="majorBidi" w:hAnsiTheme="majorBidi" w:cstheme="majorBidi"/>
          <w:lang w:val="en-GB" w:eastAsia="zh-CN"/>
        </w:rPr>
        <w:t>2</w:t>
      </w:r>
      <w:proofErr w:type="gramEnd"/>
      <w:r w:rsidRPr="00A94875">
        <w:rPr>
          <w:rFonts w:asciiTheme="majorBidi" w:hAnsiTheme="majorBidi" w:cstheme="majorBidi"/>
          <w:lang w:val="en-GB" w:eastAsia="zh-CN"/>
        </w:rPr>
        <w:t>, battery of a series of Recommendations on innovative energy storage system for stationary power system of telecom/ICT equipment used in telecom networks, datacenters and CPE. This subpart introduces technologies and methods for evaluating, selecting and testing battery systems for defined applications.</w:t>
      </w:r>
    </w:p>
    <w:p w14:paraId="3BAC46F6"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w:t>
      </w:r>
      <w:proofErr w:type="gramStart"/>
      <w:r w:rsidRPr="00A94875">
        <w:rPr>
          <w:rFonts w:asciiTheme="majorBidi" w:hAnsiTheme="majorBidi" w:cstheme="majorBidi"/>
          <w:lang w:val="en-GB"/>
        </w:rPr>
        <w:t>are given</w:t>
      </w:r>
      <w:proofErr w:type="gramEnd"/>
      <w:r w:rsidRPr="00A94875">
        <w:rPr>
          <w:rFonts w:asciiTheme="majorBidi" w:hAnsiTheme="majorBidi" w:cstheme="majorBidi"/>
          <w:lang w:val="en-GB"/>
        </w:rPr>
        <w:t xml:space="preserve"> in an Appendix to help users.</w:t>
      </w:r>
    </w:p>
    <w:p w14:paraId="5B2B1A57"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w:t>
      </w:r>
      <w:proofErr w:type="gramStart"/>
      <w:r w:rsidRPr="00A94875">
        <w:rPr>
          <w:rFonts w:asciiTheme="majorBidi" w:hAnsiTheme="majorBidi" w:cstheme="majorBidi"/>
          <w:lang w:val="en-GB"/>
        </w:rPr>
        <w:t>is also provided</w:t>
      </w:r>
      <w:proofErr w:type="gramEnd"/>
      <w:r w:rsidRPr="00A94875">
        <w:rPr>
          <w:rFonts w:asciiTheme="majorBidi" w:hAnsiTheme="majorBidi" w:cstheme="majorBidi"/>
          <w:lang w:val="en-GB"/>
        </w:rPr>
        <w:t>.</w:t>
      </w:r>
    </w:p>
    <w:p w14:paraId="1F9E66AE"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1AD5EA58"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1B8BF03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628C0576"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30BA6DA3"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7B0CE406"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3894A3E7"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This Recommendation </w:t>
      </w:r>
      <w:proofErr w:type="gramStart"/>
      <w:r w:rsidRPr="00A94875">
        <w:rPr>
          <w:rFonts w:asciiTheme="majorBidi" w:eastAsia="MS Mincho" w:hAnsiTheme="majorBidi" w:cstheme="majorBidi"/>
          <w:bCs/>
          <w:szCs w:val="20"/>
          <w:lang w:val="en-GB"/>
        </w:rPr>
        <w:t>can be used</w:t>
      </w:r>
      <w:proofErr w:type="gramEnd"/>
      <w:r w:rsidRPr="00A94875">
        <w:rPr>
          <w:rFonts w:asciiTheme="majorBidi" w:eastAsia="MS Mincho" w:hAnsiTheme="majorBidi" w:cstheme="majorBidi"/>
          <w:bCs/>
          <w:szCs w:val="20"/>
          <w:lang w:val="en-GB"/>
        </w:rPr>
        <w:t xml:space="preserve"> as a conformity assessment standard for Recommendation ITU T L.1350.</w:t>
      </w:r>
    </w:p>
    <w:p w14:paraId="3960BA26" w14:textId="77777777" w:rsidR="003B32AB" w:rsidRPr="00A94875" w:rsidRDefault="003B32AB" w:rsidP="003B32AB">
      <w:pPr>
        <w:rPr>
          <w:rFonts w:eastAsia="SimSun"/>
        </w:rPr>
      </w:pPr>
      <w:r w:rsidRPr="00A94875">
        <w:rPr>
          <w:rFonts w:asciiTheme="majorBidi" w:eastAsia="MS Mincho" w:hAnsiTheme="majorBidi" w:cstheme="majorBidi"/>
          <w:b/>
        </w:rPr>
        <w:t>ITU-T L.1361 “Measurement method for energy efficiency of Network Function Virtualization”</w:t>
      </w:r>
      <w:r w:rsidRPr="00A94875">
        <w:rPr>
          <w:rFonts w:asciiTheme="majorBidi" w:eastAsia="MS Mincho" w:hAnsiTheme="majorBidi" w:cstheme="majorBidi"/>
          <w:bCs/>
        </w:rPr>
        <w:t xml:space="preserve"> </w:t>
      </w:r>
      <w:r w:rsidRPr="00A94875">
        <w:rPr>
          <w:rFonts w:eastAsia="SimSun"/>
        </w:rPr>
        <w:t>defines common energy efficiency measurement methods for NFV environments, it does not try to cover all different types of VNFs (e.g. firewall, gateway, etc.), but it provides the basis to make extensible definition.</w:t>
      </w:r>
    </w:p>
    <w:p w14:paraId="4ED2067E" w14:textId="77777777" w:rsidR="003B32AB" w:rsidRPr="00A94875" w:rsidRDefault="003B32AB" w:rsidP="003B32AB">
      <w:r w:rsidRPr="00A94875">
        <w:rPr>
          <w:rFonts w:asciiTheme="majorBidi" w:eastAsia="MS Mincho" w:hAnsiTheme="majorBidi" w:cstheme="majorBidi"/>
          <w:b/>
        </w:rPr>
        <w:lastRenderedPageBreak/>
        <w:t>ITU-T L.1370 “Sustainable and intelligent building services”</w:t>
      </w:r>
      <w:r w:rsidRPr="00A94875">
        <w:rPr>
          <w:rFonts w:asciiTheme="majorBidi" w:eastAsia="MS Mincho" w:hAnsiTheme="majorBidi" w:cstheme="majorBidi"/>
        </w:rPr>
        <w:t xml:space="preserve"> </w:t>
      </w:r>
      <w:r w:rsidRPr="00A94875">
        <w:rPr>
          <w:lang w:eastAsia="en-US"/>
        </w:rPr>
        <w:t xml:space="preserve">sets the minimal requirements for an efficient and sustainable management of the building as a unit. The sustainability of human activities in urban areas </w:t>
      </w:r>
      <w:proofErr w:type="gramStart"/>
      <w:r w:rsidRPr="00A94875">
        <w:rPr>
          <w:lang w:eastAsia="en-US"/>
        </w:rPr>
        <w:t>cannot be addressed</w:t>
      </w:r>
      <w:proofErr w:type="gramEnd"/>
      <w:r w:rsidRPr="00A94875">
        <w:rPr>
          <w:lang w:eastAsia="en-US"/>
        </w:rPr>
        <w:t xml:space="preserve">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IoT node at its core.</w:t>
      </w:r>
    </w:p>
    <w:p w14:paraId="6A4FDC93" w14:textId="77777777" w:rsidR="003B32AB" w:rsidRPr="00A94875" w:rsidRDefault="003B32AB" w:rsidP="003B32AB">
      <w:r w:rsidRPr="00A94875">
        <w:rPr>
          <w:lang w:eastAsia="en-US"/>
        </w:rPr>
        <w:t xml:space="preserve">Interoperability deserves a special mention among these requirements and specifications, as most of the </w:t>
      </w:r>
      <w:proofErr w:type="gramStart"/>
      <w:r w:rsidRPr="00A94875">
        <w:rPr>
          <w:lang w:eastAsia="en-US"/>
        </w:rPr>
        <w:t>added-value</w:t>
      </w:r>
      <w:proofErr w:type="gramEnd"/>
      <w:r w:rsidRPr="00A94875">
        <w:rPr>
          <w:lang w:eastAsia="en-US"/>
        </w:rPr>
        <w:t xml:space="preserve"> that the SIB provides comes into action when it interacts with other parts of the building, other buildings, city elements, or the city itself. Protocols, semantics, and normalization are key as a part of this interaction, and the SIB with its IoT node is required to be compliant with all of them. </w:t>
      </w:r>
    </w:p>
    <w:p w14:paraId="14CDD436" w14:textId="77777777" w:rsidR="003B32AB" w:rsidRPr="00A94875" w:rsidRDefault="003B32AB" w:rsidP="003B32AB">
      <w:r w:rsidRPr="00A94875">
        <w:rPr>
          <w:lang w:eastAsia="en-US"/>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14:paraId="3752E92B" w14:textId="77777777" w:rsidR="003B32AB" w:rsidRPr="00A94875" w:rsidRDefault="003B32AB" w:rsidP="003B32AB">
      <w:r w:rsidRPr="00A94875">
        <w:rPr>
          <w:lang w:eastAsia="en-US"/>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14:paraId="02C7F064"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14:paraId="4B5DD0AB" w14:textId="77777777" w:rsidR="003B32AB" w:rsidRPr="00A94875" w:rsidRDefault="003B32AB" w:rsidP="003B32AB">
      <w:pPr>
        <w:pStyle w:val="NormalWeb"/>
        <w:numPr>
          <w:ilvl w:val="0"/>
          <w:numId w:val="17"/>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14:paraId="691B0DA2" w14:textId="77777777" w:rsidR="003B32AB" w:rsidRPr="00A94875" w:rsidRDefault="003B32AB" w:rsidP="003B32AB">
      <w:pPr>
        <w:pStyle w:val="NormalWeb"/>
        <w:numPr>
          <w:ilvl w:val="0"/>
          <w:numId w:val="17"/>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II: The methodology for defining GHG emissions budget for the ICT sector considering a </w:t>
      </w:r>
      <w:proofErr w:type="gramStart"/>
      <w:r w:rsidRPr="00A94875">
        <w:rPr>
          <w:rFonts w:asciiTheme="majorBidi" w:eastAsia="MS Mincho" w:hAnsiTheme="majorBidi" w:cstheme="majorBidi"/>
          <w:bCs/>
          <w:szCs w:val="20"/>
          <w:lang w:val="en-GB"/>
        </w:rPr>
        <w:t>2</w:t>
      </w:r>
      <w:proofErr w:type="gramEnd"/>
      <w:r w:rsidRPr="00A94875">
        <w:rPr>
          <w:rFonts w:asciiTheme="majorBidi" w:eastAsia="MS Mincho" w:hAnsiTheme="majorBidi" w:cstheme="majorBidi"/>
          <w:bCs/>
          <w:szCs w:val="20"/>
          <w:lang w:val="en-GB"/>
        </w:rPr>
        <w:t xml:space="preserve"> ºC or lower trajectory.</w:t>
      </w:r>
    </w:p>
    <w:p w14:paraId="4DE6E4B4"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14:paraId="2DE0B9F7"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w:t>
      </w:r>
      <w:proofErr w:type="gramStart"/>
      <w:r w:rsidRPr="00A94875">
        <w:rPr>
          <w:rFonts w:asciiTheme="majorBidi" w:eastAsia="MS Mincho" w:hAnsiTheme="majorBidi" w:cstheme="majorBidi"/>
          <w:bCs/>
          <w:szCs w:val="20"/>
          <w:lang w:val="en-GB"/>
        </w:rPr>
        <w:t>is intended to be utilized</w:t>
      </w:r>
      <w:proofErr w:type="gramEnd"/>
      <w:r w:rsidRPr="00A94875">
        <w:rPr>
          <w:rFonts w:asciiTheme="majorBidi" w:eastAsia="MS Mincho" w:hAnsiTheme="majorBidi" w:cstheme="majorBidi"/>
          <w:bCs/>
          <w:szCs w:val="20"/>
          <w:lang w:val="en-GB"/>
        </w:rPr>
        <w:t xml:space="preserve"> by relevant stakeholders to address the Connect 2020 ambitions, while considering the SDG 13 goal and the objectives of the Paris Agreement. It also presents examples of actions taken in order to limit the GHG emissions in the ICT sector.</w:t>
      </w:r>
    </w:p>
    <w:p w14:paraId="214AF3C7" w14:textId="77777777" w:rsidR="003B32AB" w:rsidRPr="00A94875" w:rsidRDefault="003B32AB" w:rsidP="003B32AB">
      <w:pPr>
        <w:keepNext/>
        <w:keepLines/>
        <w:spacing w:before="240"/>
        <w:rPr>
          <w:b/>
          <w:sz w:val="22"/>
          <w:szCs w:val="22"/>
        </w:rPr>
      </w:pPr>
      <w:bookmarkStart w:id="288" w:name="_Toc480527905"/>
      <w:r w:rsidRPr="00A94875">
        <w:rPr>
          <w:b/>
          <w:sz w:val="22"/>
          <w:szCs w:val="22"/>
        </w:rPr>
        <w:t>I.6.2</w:t>
      </w:r>
      <w:r w:rsidRPr="00A94875">
        <w:rPr>
          <w:b/>
          <w:sz w:val="22"/>
          <w:szCs w:val="22"/>
        </w:rPr>
        <w:tab/>
        <w:t>Electromagnetic fields</w:t>
      </w:r>
      <w:bookmarkEnd w:id="288"/>
    </w:p>
    <w:p w14:paraId="5376D1DD"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bCs/>
        </w:rPr>
        <w:t>ITU-T K.20 (revised) “Resistibility of telecommunication equipment installed in a telecommunication centre to overvoltages and overcurrents”</w:t>
      </w:r>
      <w:r w:rsidRPr="00A94875">
        <w:rPr>
          <w:rFonts w:asciiTheme="majorBidi" w:hAnsiTheme="majorBidi" w:cstheme="majorBidi"/>
        </w:rPr>
        <w:t xml:space="preserve"> specifies resistibility requirements and test procedures for telecommunication equipment that is attached to or installed within a telecommunication centre.</w:t>
      </w:r>
    </w:p>
    <w:p w14:paraId="105DEA73" w14:textId="77777777" w:rsidR="003B32AB" w:rsidRPr="00A94875" w:rsidRDefault="003B32AB" w:rsidP="003B32AB">
      <w:pPr>
        <w:rPr>
          <w:rFonts w:asciiTheme="majorBidi" w:hAnsiTheme="majorBidi" w:cstheme="majorBidi"/>
        </w:rPr>
      </w:pPr>
      <w:r w:rsidRPr="00A94875">
        <w:rPr>
          <w:rFonts w:asciiTheme="majorBidi" w:hAnsiTheme="majorBidi" w:cstheme="majorBidi"/>
        </w:rPr>
        <w:t>Major changes compared with Recommendation ITU-T K.20 (2017) include:</w:t>
      </w:r>
    </w:p>
    <w:p w14:paraId="7DF7E51C"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power contact test;</w:t>
      </w:r>
    </w:p>
    <w:p w14:paraId="2A1D713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test exemption for internal short cables;</w:t>
      </w:r>
    </w:p>
    <w:p w14:paraId="468DF39F"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4EC7F905" w14:textId="77777777" w:rsidR="003B32AB" w:rsidRPr="00A94875" w:rsidRDefault="003B32AB" w:rsidP="003B32AB">
      <w:pPr>
        <w:rPr>
          <w:rFonts w:asciiTheme="majorBidi" w:hAnsiTheme="majorBidi" w:cstheme="majorBidi"/>
          <w:szCs w:val="22"/>
          <w:highlight w:val="yellow"/>
        </w:rPr>
      </w:pPr>
      <w:r w:rsidRPr="00A94875">
        <w:rPr>
          <w:rFonts w:asciiTheme="majorBidi" w:hAnsiTheme="majorBidi" w:cstheme="majorBidi"/>
        </w:rPr>
        <w:t>•</w:t>
      </w:r>
      <w:r w:rsidRPr="00A94875">
        <w:rPr>
          <w:rFonts w:asciiTheme="majorBidi" w:hAnsiTheme="majorBidi" w:cstheme="majorBidi"/>
        </w:rPr>
        <w:tab/>
        <w:t>Intermediate Ethernet test level added.</w:t>
      </w:r>
    </w:p>
    <w:p w14:paraId="68A921FC" w14:textId="77777777" w:rsidR="003B32AB" w:rsidRPr="00A94875" w:rsidRDefault="003B32AB" w:rsidP="003B32AB">
      <w:pPr>
        <w:keepNext/>
        <w:keepLines/>
        <w:spacing w:after="120"/>
        <w:rPr>
          <w:rFonts w:asciiTheme="majorBidi" w:hAnsiTheme="majorBidi" w:cstheme="majorBidi"/>
        </w:rPr>
      </w:pPr>
      <w:r w:rsidRPr="00A94875">
        <w:rPr>
          <w:rFonts w:asciiTheme="majorBidi" w:hAnsiTheme="majorBidi" w:cstheme="majorBidi"/>
          <w:b/>
          <w:bCs/>
        </w:rPr>
        <w:lastRenderedPageBreak/>
        <w:t>ITU-T K.21 (revised) “Resistibility of telecommunication equipment installed in customer premises to overvoltages and overcurrents”</w:t>
      </w:r>
      <w:r w:rsidRPr="00A94875">
        <w:rPr>
          <w:rFonts w:asciiTheme="majorBidi" w:hAnsiTheme="majorBidi" w:cstheme="majorBidi"/>
        </w:rPr>
        <w:t xml:space="preserve"> specifies resistibility requirements and test procedures for telecommunication equipment that is attached to or installed within a customer's premises.</w:t>
      </w:r>
    </w:p>
    <w:p w14:paraId="3B89B356"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 xml:space="preserve">Changes compared with Recommendation ITU-T K.21 (2017) include: </w:t>
      </w:r>
    </w:p>
    <w:p w14:paraId="2CB1CE93"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power contact test;</w:t>
      </w:r>
    </w:p>
    <w:p w14:paraId="3C4E9932"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2E57EB0E" w14:textId="77777777" w:rsidR="003B32AB" w:rsidRPr="00A94875" w:rsidRDefault="003B32AB" w:rsidP="003B32AB">
      <w:pPr>
        <w:spacing w:after="120"/>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Intermediate Ethernet test level added.</w:t>
      </w:r>
    </w:p>
    <w:p w14:paraId="7DE1546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K.44 (revised) “Resistibility tests for telecommunication equipment exposed to overvoltages and overcurrents – Basic Recommendation”</w:t>
      </w:r>
      <w:r w:rsidRPr="00A94875">
        <w:rPr>
          <w:rFonts w:asciiTheme="majorBidi" w:hAnsiTheme="majorBidi" w:cstheme="majorBidi"/>
          <w:bCs/>
        </w:rPr>
        <w:t xml:space="preserve"> </w:t>
      </w:r>
      <w:r w:rsidRPr="00A94875">
        <w:rPr>
          <w:rFonts w:asciiTheme="majorBidi" w:hAnsiTheme="majorBidi" w:cstheme="majorBidi"/>
        </w:rPr>
        <w:t>seeks to establish fundamental test methods and criteria for the resistibility of telecommunication equipment to overvoltages and overcurrents.</w:t>
      </w:r>
      <w:r w:rsidRPr="00A94875">
        <w:rPr>
          <w:rFonts w:asciiTheme="majorBidi" w:hAnsiTheme="majorBidi" w:cstheme="majorBidi"/>
          <w:b/>
          <w:bCs/>
        </w:rPr>
        <w:t xml:space="preserve"> </w:t>
      </w:r>
      <w:r w:rsidRPr="00A94875">
        <w:rPr>
          <w:rFonts w:asciiTheme="majorBidi" w:hAnsiTheme="majorBidi" w:cstheme="majorBidi"/>
        </w:rPr>
        <w:t>Major changes compared with the 2017 version of this Recommendation include:</w:t>
      </w:r>
    </w:p>
    <w:p w14:paraId="486F9E80"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addition</w:t>
      </w:r>
      <w:proofErr w:type="gramEnd"/>
      <w:r w:rsidRPr="00A94875">
        <w:rPr>
          <w:rFonts w:asciiTheme="majorBidi" w:hAnsiTheme="majorBidi" w:cstheme="majorBidi"/>
        </w:rPr>
        <w:t xml:space="preserve"> of nine new definitions and modifying one old definition;</w:t>
      </w:r>
    </w:p>
    <w:p w14:paraId="7D207F6B"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clarification</w:t>
      </w:r>
      <w:proofErr w:type="gramEnd"/>
      <w:r w:rsidRPr="00A94875">
        <w:rPr>
          <w:rFonts w:asciiTheme="majorBidi" w:hAnsiTheme="majorBidi" w:cstheme="majorBidi"/>
        </w:rPr>
        <w:t xml:space="preserve"> of main body text ;</w:t>
      </w:r>
    </w:p>
    <w:p w14:paraId="62C533CA"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added</w:t>
      </w:r>
      <w:proofErr w:type="gramEnd"/>
      <w:r w:rsidRPr="00A94875">
        <w:rPr>
          <w:rFonts w:asciiTheme="majorBidi" w:hAnsiTheme="majorBidi" w:cstheme="majorBidi"/>
        </w:rPr>
        <w:t xml:space="preserve"> external Ethernet port power cross test;</w:t>
      </w:r>
    </w:p>
    <w:p w14:paraId="4260B967"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revision</w:t>
      </w:r>
      <w:proofErr w:type="gramEnd"/>
      <w:r w:rsidRPr="00A94875">
        <w:rPr>
          <w:rFonts w:asciiTheme="majorBidi" w:hAnsiTheme="majorBidi" w:cstheme="majorBidi"/>
        </w:rPr>
        <w:t xml:space="preserve"> of the test schematics to improve clarity;</w:t>
      </w:r>
    </w:p>
    <w:p w14:paraId="13B58946"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introduced Intra-system ports and an Ethernet intermediate test level;</w:t>
      </w:r>
    </w:p>
    <w:p w14:paraId="366008A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adding tolerances for 1.2/50 waveform generation;</w:t>
      </w:r>
    </w:p>
    <w:p w14:paraId="1D3836A0"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test exemptions for certain cable lengths.</w:t>
      </w:r>
    </w:p>
    <w:p w14:paraId="109450B3"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K.45 (revised) “Resistibility of telecommunication equipment installed in the access and trunk networks to overvoltages and overcurrents”</w:t>
      </w:r>
      <w:r w:rsidRPr="00A94875">
        <w:rPr>
          <w:rFonts w:asciiTheme="majorBidi" w:hAnsiTheme="majorBidi" w:cstheme="majorBidi"/>
          <w:bCs/>
        </w:rPr>
        <w:t xml:space="preserve"> </w:t>
      </w:r>
      <w:r w:rsidRPr="00A94875">
        <w:rPr>
          <w:rFonts w:asciiTheme="majorBidi" w:hAnsiTheme="majorBidi" w:cstheme="majorBidi"/>
        </w:rPr>
        <w:t>specifies resistibility requirements and test procedures for telecommunication equipment installed between telecommunication centres and between a telecommunication centre and the customer's premises. Changes compared with Recommendation ITU-T K.45 (2017) include:</w:t>
      </w:r>
    </w:p>
    <w:p w14:paraId="24E89BD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port power contact test;</w:t>
      </w:r>
    </w:p>
    <w:p w14:paraId="0AAEBB5B"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6C56536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14:paraId="46CA3284"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ITU-T K.134 “Protection of small-size telecommunication installations with poor earthing conditions”</w:t>
      </w:r>
      <w:r w:rsidRPr="00A94875">
        <w:rPr>
          <w:rFonts w:asciiTheme="majorBidi" w:hAnsiTheme="majorBidi" w:cstheme="majorBidi"/>
          <w:bCs/>
        </w:rPr>
        <w:t xml:space="preserve"> provides engineering solutions for lightning protection and safety for small-size telecommunication installations under poor earthing conditions. These protection measures are compromised alternatives due to the restriction of circumstance or expense. </w:t>
      </w:r>
      <w:proofErr w:type="gramStart"/>
      <w:r w:rsidRPr="00A94875">
        <w:rPr>
          <w:rFonts w:asciiTheme="majorBidi" w:hAnsiTheme="majorBidi" w:cstheme="majorBidi"/>
          <w:bCs/>
        </w:rPr>
        <w:t>These protection measures are not common requirements for all kinds of circumstances and have defined conditions for application respectively.</w:t>
      </w:r>
      <w:proofErr w:type="gramEnd"/>
      <w:r w:rsidRPr="00A94875">
        <w:rPr>
          <w:rFonts w:asciiTheme="majorBidi" w:hAnsiTheme="majorBidi" w:cstheme="majorBidi"/>
          <w:bCs/>
        </w:rPr>
        <w:t xml:space="preserve"> The selection of appropriate and feasible solution is helpful to acquire the best technology economy ratio.</w:t>
      </w:r>
    </w:p>
    <w:p w14:paraId="5600D049"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ITU-T K.135 “Technical parameters for residual current operated protective devices with automatic reclosing feature for telecom applications”</w:t>
      </w:r>
      <w:r w:rsidRPr="00A94875">
        <w:rPr>
          <w:rFonts w:asciiTheme="majorBidi" w:hAnsiTheme="majorBidi" w:cstheme="majorBidi"/>
          <w:bCs/>
        </w:rPr>
        <w:t xml:space="preserve"> gives an overview of the parameters of </w:t>
      </w:r>
      <w:r w:rsidRPr="00A94875">
        <w:rPr>
          <w:rFonts w:asciiTheme="majorBidi" w:hAnsiTheme="majorBidi" w:cstheme="majorBidi"/>
          <w:bCs/>
        </w:rPr>
        <w:lastRenderedPageBreak/>
        <w:t>residual current operated protective devices with automatic-reclosing feature for telecom applications.</w:t>
      </w:r>
    </w:p>
    <w:p w14:paraId="784374A8"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ITU-T K.136 “Electromagnetic Compatibility requirements for radio telecommunication equipment”</w:t>
      </w:r>
      <w:r w:rsidRPr="00A94875">
        <w:rPr>
          <w:rFonts w:asciiTheme="majorBidi" w:hAnsiTheme="majorBidi" w:cstheme="majorBidi"/>
          <w:bCs/>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rPr>
        <w:t>..</w:t>
      </w:r>
      <w:proofErr w:type="gramEnd"/>
    </w:p>
    <w:p w14:paraId="4EDF3FB3"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 xml:space="preserve">ITU-T K.137 “Electromagnetic compatibility requirements and measurement methods for wire-line telecommunication network equipment” </w:t>
      </w:r>
      <w:r w:rsidRPr="00A94875">
        <w:rPr>
          <w:rFonts w:asciiTheme="majorBidi" w:hAnsiTheme="majorBidi" w:cstheme="majorBidi"/>
          <w:bCs/>
        </w:rPr>
        <w:t>specifies the electromagnetic compatibility common requirements and the test methods for wire-line telecommunication network equipment, used in a public telecommunication networks to provide telecommunications services: voice, data, audio and video to the end-users, using all applicable media and all kinds of wire-line access technologies, such as DSL, POTS, Ethernet, E1, fibre or others.</w:t>
      </w:r>
    </w:p>
    <w:p w14:paraId="659B9AC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Test conditions for all kinds of wire-line telecommunication network equipment are described, e.g. access equipment, router and switching equipment, optical transmission equipment, data centre and cloud computing equipment and power supply equipment (including HVDC).</w:t>
      </w:r>
    </w:p>
    <w:p w14:paraId="1D8EB671" w14:textId="77777777" w:rsidR="003B32AB" w:rsidRPr="00A94875" w:rsidRDefault="003B32AB" w:rsidP="003B32AB">
      <w:pPr>
        <w:rPr>
          <w:rFonts w:asciiTheme="majorBidi" w:hAnsiTheme="majorBidi" w:cstheme="majorBidi"/>
          <w:b/>
        </w:rPr>
      </w:pPr>
      <w:r w:rsidRPr="00A94875">
        <w:rPr>
          <w:rFonts w:asciiTheme="majorBidi" w:hAnsiTheme="majorBidi" w:cstheme="majorBidi"/>
          <w:bCs/>
        </w:rPr>
        <w:t>This Recommendation describes the specific testing levels to be applied to wire-line telecommunication in different environments, such as telecommunication centres, customer premises and outside plants.</w:t>
      </w:r>
    </w:p>
    <w:p w14:paraId="06F9CC38" w14:textId="77777777" w:rsidR="003B32AB" w:rsidRPr="00A94875" w:rsidRDefault="003B32AB" w:rsidP="003B32AB">
      <w:r w:rsidRPr="00A94875">
        <w:rPr>
          <w:rFonts w:asciiTheme="majorBidi" w:hAnsiTheme="majorBidi" w:cstheme="majorBidi"/>
          <w:b/>
        </w:rPr>
        <w:t>ITU-T K.138 “Quality estimation methods and application guidelines for mitigation measures based on particle radiation tests”</w:t>
      </w:r>
      <w:r w:rsidRPr="00A94875">
        <w:rPr>
          <w:rFonts w:asciiTheme="majorBidi" w:hAnsiTheme="majorBidi" w:cstheme="majorBidi"/>
          <w:bCs/>
        </w:rPr>
        <w:t xml:space="preserve"> </w:t>
      </w:r>
      <w:r w:rsidRPr="00A94875">
        <w:t>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381C388A" w14:textId="77777777" w:rsidR="003B32AB" w:rsidRPr="00A94875" w:rsidRDefault="003B32AB" w:rsidP="003B32AB">
      <w:pPr>
        <w:rPr>
          <w:color w:val="000000" w:themeColor="text1"/>
        </w:rPr>
      </w:pPr>
      <w:r w:rsidRPr="00A94875">
        <w:rPr>
          <w:rFonts w:asciiTheme="majorBidi" w:hAnsiTheme="majorBidi" w:cstheme="majorBidi"/>
          <w:b/>
        </w:rPr>
        <w:t>ITU-T K.139 “Reliability requirements for telecommunication systems affected by particle radiation”</w:t>
      </w:r>
      <w:r w:rsidRPr="00A94875">
        <w:rPr>
          <w:rFonts w:asciiTheme="majorBidi" w:hAnsiTheme="majorBidi" w:cstheme="majorBidi"/>
          <w:bCs/>
        </w:rPr>
        <w:t xml:space="preserve"> </w:t>
      </w:r>
      <w:r w:rsidRPr="00A94875">
        <w:rPr>
          <w:rFonts w:eastAsia="MS Mincho"/>
          <w:color w:val="000000"/>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2DB1E8D1" w14:textId="77777777" w:rsidR="003B32AB" w:rsidRPr="00A94875" w:rsidRDefault="003B32AB" w:rsidP="003B32AB">
      <w:pPr>
        <w:rPr>
          <w:b/>
          <w:bCs/>
          <w:color w:val="000000" w:themeColor="text1"/>
        </w:rPr>
      </w:pPr>
      <w:r w:rsidRPr="00A94875">
        <w:rPr>
          <w:b/>
          <w:bCs/>
          <w:color w:val="000000" w:themeColor="text1"/>
        </w:rPr>
        <w:t xml:space="preserve">ITU-T K.Suppl.4 (revised) “ITU-T K.91 - Electromagnetic field considerations in smart sustainable cities” </w:t>
      </w:r>
      <w:r w:rsidRPr="00A94875">
        <w:rPr>
          <w:bCs/>
          <w:color w:val="000000" w:themeColor="text1"/>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14:paraId="1D3D55DF" w14:textId="77777777" w:rsidR="003B32AB" w:rsidRPr="00A94875" w:rsidRDefault="003B32AB" w:rsidP="003B32AB">
      <w:pPr>
        <w:rPr>
          <w:color w:val="000000" w:themeColor="text1"/>
        </w:rPr>
      </w:pPr>
      <w:r w:rsidRPr="00A94875">
        <w:rPr>
          <w:b/>
          <w:bCs/>
          <w:color w:val="000000" w:themeColor="text1"/>
        </w:rPr>
        <w:t>ITU-T K.Suppl.8 (revised) “Resistibility analysis of 5G systems”</w:t>
      </w:r>
      <w:r w:rsidRPr="00A94875">
        <w:rPr>
          <w:color w:val="000000" w:themeColor="text1"/>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Earthing, location and craftmanship are discussed.</w:t>
      </w:r>
    </w:p>
    <w:p w14:paraId="55140B7A" w14:textId="77777777" w:rsidR="003B32AB" w:rsidRPr="00A94875" w:rsidRDefault="003B32AB" w:rsidP="003B32AB">
      <w:pPr>
        <w:rPr>
          <w:color w:val="000000" w:themeColor="text1"/>
        </w:rPr>
      </w:pPr>
      <w:r w:rsidRPr="00A94875">
        <w:rPr>
          <w:b/>
          <w:bCs/>
          <w:color w:val="000000" w:themeColor="text1"/>
        </w:rPr>
        <w:lastRenderedPageBreak/>
        <w:t>ITU-T K.Suppl.9 (revised) “5G technology and human exposure to RF EMF”</w:t>
      </w:r>
      <w:r w:rsidRPr="00A94875">
        <w:rPr>
          <w:color w:val="000000" w:themeColor="text1"/>
        </w:rPr>
        <w:t xml:space="preserve"> contains an analysis of the impact of the implementation of 5G mobile systems with respect to the exposure level of electromagnetic fields (EMF) around radiocommunication infrastructure.</w:t>
      </w:r>
    </w:p>
    <w:p w14:paraId="7D091B63" w14:textId="77777777" w:rsidR="003B32AB" w:rsidRPr="00A94875" w:rsidRDefault="003B32AB" w:rsidP="003B32AB">
      <w:pPr>
        <w:rPr>
          <w:color w:val="000000" w:themeColor="text1"/>
        </w:rPr>
      </w:pPr>
      <w:r w:rsidRPr="00A94875">
        <w:rPr>
          <w:b/>
          <w:bCs/>
          <w:color w:val="000000" w:themeColor="text1"/>
        </w:rPr>
        <w:t>ITU-T K.Suppl.10 (revised) “Analysis of electromagnetic compatibility aspects and definition of requirements for 5G systems”</w:t>
      </w:r>
      <w:r w:rsidRPr="00A94875">
        <w:rPr>
          <w:color w:val="000000" w:themeColor="text1"/>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14:paraId="616C9D86" w14:textId="77777777" w:rsidR="003B32AB" w:rsidRPr="00A94875" w:rsidRDefault="003B32AB" w:rsidP="003B32AB">
      <w:pPr>
        <w:rPr>
          <w:color w:val="000000" w:themeColor="text1"/>
        </w:rPr>
      </w:pPr>
      <w:r w:rsidRPr="00A94875">
        <w:rPr>
          <w:b/>
          <w:bCs/>
          <w:color w:val="000000" w:themeColor="text1"/>
        </w:rPr>
        <w:t>ITU-T K.Suppl.14 (revised) “The impact of RF-EMF exposure limits stricter than the ICNIRP or IEEE guidelines on 4G and 5G mobile network deployment”</w:t>
      </w:r>
      <w:r w:rsidRPr="00A94875">
        <w:rPr>
          <w:color w:val="000000" w:themeColor="text1"/>
        </w:rPr>
        <w:t xml:space="preserve"> provides an overview 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rPr>
        <w:t>‑</w:t>
      </w:r>
      <w:r w:rsidRPr="00A94875">
        <w:rPr>
          <w:color w:val="000000" w:themeColor="text1"/>
        </w:rPr>
        <w:t>EMF limits that was carried out in Poland as an example of a wider phenomenon, which is applicable to several other countries, which have set limits stricter than those contained in the ICNIRP or IEEE guidelines.</w:t>
      </w:r>
    </w:p>
    <w:p w14:paraId="1EE40190" w14:textId="77777777" w:rsidR="003B32AB" w:rsidRPr="00A94875" w:rsidRDefault="003B32AB" w:rsidP="003B32AB">
      <w:pPr>
        <w:rPr>
          <w:b/>
          <w:color w:val="000000" w:themeColor="text1"/>
        </w:rPr>
      </w:pPr>
      <w:r w:rsidRPr="00A94875">
        <w:rPr>
          <w:b/>
          <w:color w:val="000000" w:themeColor="text1"/>
        </w:rPr>
        <w:t xml:space="preserve">ITU-T K.Suppl.15 “Internal DC powering interface surge testing factors (K.20, K.21 and K.44)” </w:t>
      </w:r>
      <w:r w:rsidRPr="00A94875">
        <w:rPr>
          <w:color w:val="000000" w:themeColor="text1"/>
        </w:rPr>
        <w:t>analyses these factors to make K.20 and K.21 equipment designers and testers aware of the surge stress levels.</w:t>
      </w:r>
    </w:p>
    <w:p w14:paraId="2C1CA9A9" w14:textId="77777777" w:rsidR="003B32AB" w:rsidRPr="00A94875" w:rsidRDefault="003B32AB" w:rsidP="003B32AB">
      <w:pPr>
        <w:rPr>
          <w:rFonts w:asciiTheme="majorBidi" w:hAnsiTheme="majorBidi" w:cstheme="majorBidi"/>
          <w:bCs/>
        </w:rPr>
      </w:pPr>
      <w:r w:rsidRPr="00A94875">
        <w:rPr>
          <w:b/>
          <w:bCs/>
          <w:color w:val="000000" w:themeColor="text1"/>
        </w:rPr>
        <w:t>ITU-T K.Suppl.16 “Electromagnetic field (EMF) compliance assessments for 5G wireless networks”</w:t>
      </w:r>
      <w:r w:rsidRPr="00A94875">
        <w:rPr>
          <w:color w:val="000000" w:themeColor="text1"/>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14:paraId="62A582A6" w14:textId="77777777" w:rsidR="003B32AB" w:rsidRPr="00A94875" w:rsidRDefault="003B32AB" w:rsidP="003B32AB">
      <w:pPr>
        <w:spacing w:before="240"/>
        <w:rPr>
          <w:b/>
          <w:sz w:val="22"/>
          <w:szCs w:val="22"/>
        </w:rPr>
      </w:pPr>
      <w:bookmarkStart w:id="289" w:name="_Toc480527906"/>
      <w:r w:rsidRPr="00A94875">
        <w:rPr>
          <w:b/>
          <w:sz w:val="22"/>
          <w:szCs w:val="22"/>
        </w:rPr>
        <w:t>I.6.4</w:t>
      </w:r>
      <w:r w:rsidRPr="00A94875">
        <w:rPr>
          <w:b/>
          <w:sz w:val="22"/>
          <w:szCs w:val="22"/>
        </w:rPr>
        <w:tab/>
        <w:t>Emergency communication &amp; disaster relief</w:t>
      </w:r>
      <w:bookmarkEnd w:id="289"/>
    </w:p>
    <w:p w14:paraId="0291F45F"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 xml:space="preserve">Technical Paper HSTP-DIS-UAV “Use cases and scenarios for disaster information service using unmanned aerial vehicles” </w:t>
      </w:r>
      <w:r w:rsidRPr="00A94875">
        <w:rPr>
          <w:rFonts w:asciiTheme="majorBidi" w:hAnsiTheme="majorBidi" w:cstheme="majorBidi"/>
          <w:bCs/>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14:paraId="3458A0B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Supplement 69 to ITU-T Q-series Recommendations “Framework for interconnection between VoLTE-based network and other networks supporting emergency telecommunications service (ETS)”</w:t>
      </w:r>
      <w:r w:rsidRPr="00A94875">
        <w:rPr>
          <w:rFonts w:asciiTheme="majorBidi" w:hAnsiTheme="majorBidi" w:cstheme="majorBidi"/>
        </w:rPr>
        <w:t xml:space="preserve"> specifies the framework for interconnection between VoLTE-based network and other networks supporting emergency telecommunications service (ETS).</w:t>
      </w:r>
    </w:p>
    <w:p w14:paraId="471ACC99" w14:textId="77777777" w:rsidR="003B32AB" w:rsidRPr="00A94875" w:rsidRDefault="003B32AB" w:rsidP="003B32AB">
      <w:pPr>
        <w:spacing w:before="240"/>
        <w:rPr>
          <w:b/>
        </w:rPr>
      </w:pPr>
      <w:bookmarkStart w:id="290" w:name="_Toc480527908"/>
      <w:r w:rsidRPr="00A94875">
        <w:rPr>
          <w:b/>
        </w:rPr>
        <w:t>I.7</w:t>
      </w:r>
      <w:r w:rsidRPr="00A94875">
        <w:rPr>
          <w:b/>
        </w:rPr>
        <w:tab/>
        <w:t>Tariff and accounting principles and international telecommunication/ICT economic and policy issues</w:t>
      </w:r>
    </w:p>
    <w:p w14:paraId="6A27EFEF" w14:textId="77777777" w:rsidR="003B32AB" w:rsidRPr="00A94875" w:rsidRDefault="003B32AB" w:rsidP="003B32AB">
      <w:pPr>
        <w:pStyle w:val="NormalWeb"/>
        <w:spacing w:before="240" w:after="120"/>
        <w:rPr>
          <w:rFonts w:asciiTheme="majorBidi" w:hAnsiTheme="majorBidi" w:cstheme="majorBidi"/>
          <w:szCs w:val="20"/>
          <w:lang w:val="en-GB"/>
        </w:rPr>
      </w:pPr>
      <w:r w:rsidRPr="00A94875">
        <w:rPr>
          <w:rFonts w:asciiTheme="majorBidi" w:hAnsiTheme="majorBidi" w:cstheme="majorBidi"/>
          <w:b/>
          <w:szCs w:val="20"/>
          <w:lang w:val="en-GB"/>
        </w:rPr>
        <w:t>ITU-T D.198 "Principles for unified format of price/tariffs/rates-lists used for exchanging telephone traffic"</w:t>
      </w:r>
      <w:r w:rsidRPr="00A94875">
        <w:rPr>
          <w:rFonts w:asciiTheme="majorBidi" w:hAnsiTheme="majorBidi" w:cstheme="majorBidi"/>
          <w:szCs w:val="20"/>
          <w:lang w:val="en-GB"/>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192C8250" w14:textId="77777777" w:rsidR="003B32AB" w:rsidRPr="00A94875" w:rsidRDefault="003B32AB" w:rsidP="003B32AB">
      <w:pPr>
        <w:pStyle w:val="NormalWeb"/>
        <w:spacing w:before="24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lastRenderedPageBreak/>
        <w:t>ITU-T D.263 "Costs, Charges and Competition for Mobile Financial Services (MFS)"</w:t>
      </w:r>
      <w:r w:rsidRPr="00A94875">
        <w:rPr>
          <w:rFonts w:asciiTheme="majorBidi" w:hAnsiTheme="majorBidi" w:cstheme="majorBidi"/>
          <w:szCs w:val="20"/>
          <w:lang w:val="en-GB"/>
        </w:rPr>
        <w:t xml:space="preserve"> (under approval) proposes a possible approach to reduce high retail and wholesale telecommunication charges related to mobile financial service (MFS).</w:t>
      </w:r>
    </w:p>
    <w:p w14:paraId="5B8FEC69" w14:textId="77777777" w:rsidR="003B32AB" w:rsidRPr="00A94875" w:rsidRDefault="003B32AB" w:rsidP="003B32AB">
      <w:pPr>
        <w:spacing w:before="240"/>
        <w:rPr>
          <w:b/>
          <w:sz w:val="22"/>
          <w:szCs w:val="22"/>
        </w:rPr>
      </w:pPr>
      <w:r w:rsidRPr="00A94875">
        <w:rPr>
          <w:b/>
          <w:sz w:val="22"/>
          <w:szCs w:val="22"/>
        </w:rPr>
        <w:t>I.7.1</w:t>
      </w:r>
      <w:r w:rsidRPr="00A94875">
        <w:rPr>
          <w:b/>
          <w:sz w:val="22"/>
          <w:szCs w:val="22"/>
        </w:rPr>
        <w:tab/>
        <w:t>Economic impact of IXP, Universal service, NGN, Mobile Roaming and SMPOTT and Valuation of spectrum</w:t>
      </w:r>
    </w:p>
    <w:p w14:paraId="3B6D5E92" w14:textId="77777777" w:rsidR="003B32AB" w:rsidRPr="00A94875" w:rsidRDefault="003B32AB" w:rsidP="003B32AB">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rPr>
        <w:t>ITU-T D.262 "Collaborative Framework for OTTs"</w:t>
      </w:r>
      <w:r w:rsidRPr="00A94875">
        <w:rPr>
          <w:rFonts w:asciiTheme="majorBidi" w:hAnsiTheme="majorBidi" w:cstheme="majorBidi"/>
          <w:szCs w:val="20"/>
          <w:lang w:val="en-GB"/>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6DD1EC7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lang w:val="en-GB"/>
        </w:rPr>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14:paraId="296A755E" w14:textId="77777777" w:rsidR="003B32AB" w:rsidRPr="00A94875" w:rsidRDefault="003B32AB" w:rsidP="003B32AB">
      <w:pPr>
        <w:keepNext/>
        <w:keepLines/>
        <w:spacing w:before="240"/>
        <w:rPr>
          <w:b/>
        </w:rPr>
      </w:pPr>
      <w:r w:rsidRPr="00A94875">
        <w:rPr>
          <w:b/>
        </w:rPr>
        <w:t>I.8</w:t>
      </w:r>
      <w:r w:rsidRPr="00A94875">
        <w:rPr>
          <w:b/>
        </w:rPr>
        <w:tab/>
        <w:t>Quality of service and experience, and network performance</w:t>
      </w:r>
      <w:bookmarkEnd w:id="290"/>
    </w:p>
    <w:p w14:paraId="742557A9" w14:textId="77777777" w:rsidR="003B32AB" w:rsidRPr="00A94875" w:rsidRDefault="003B32AB" w:rsidP="003B32AB">
      <w:pPr>
        <w:keepNext/>
        <w:keepLines/>
        <w:widowControl w:val="0"/>
        <w:rPr>
          <w:rFonts w:asciiTheme="majorBidi" w:hAnsiTheme="majorBidi" w:cstheme="majorBidi"/>
          <w:bCs/>
        </w:rPr>
      </w:pPr>
      <w:r w:rsidRPr="00A94875">
        <w:rPr>
          <w:rFonts w:asciiTheme="majorBidi" w:hAnsiTheme="majorBidi" w:cstheme="majorBidi"/>
          <w:b/>
          <w:bCs/>
        </w:rPr>
        <w:t>ITU-T E.802 Amd.2 “Framework and methodologies for the determination and application of QoS parameters: Amendment 2 - Updates and additional information on the degree of variability function in support of E.802”</w:t>
      </w:r>
      <w:r w:rsidRPr="00A94875">
        <w:rPr>
          <w:rFonts w:asciiTheme="majorBidi" w:hAnsiTheme="majorBidi" w:cstheme="majorBidi"/>
          <w:bCs/>
        </w:rPr>
        <w:t xml:space="preserve"> adds analysis and information on the degree of variability function defined in Annex A.</w:t>
      </w:r>
    </w:p>
    <w:p w14:paraId="57A0D74B" w14:textId="77777777" w:rsidR="003B32AB" w:rsidRPr="00A94875" w:rsidRDefault="003B32AB" w:rsidP="003B32AB">
      <w:pPr>
        <w:widowControl w:val="0"/>
        <w:rPr>
          <w:rFonts w:asciiTheme="majorBidi" w:hAnsiTheme="majorBidi" w:cstheme="majorBidi"/>
          <w:bCs/>
          <w:highlight w:val="yellow"/>
        </w:rPr>
      </w:pPr>
      <w:r w:rsidRPr="00A94875">
        <w:rPr>
          <w:rFonts w:asciiTheme="majorBidi" w:hAnsiTheme="majorBidi" w:cstheme="majorBidi"/>
          <w:b/>
          <w:bCs/>
        </w:rPr>
        <w:t>ITU-T E.840 “Statistical framework for end to end network-performance benchmark scoring and ranking”</w:t>
      </w:r>
      <w:r w:rsidRPr="00A94875">
        <w:rPr>
          <w:rFonts w:asciiTheme="majorBidi" w:hAnsiTheme="majorBidi" w:cstheme="majorBidi"/>
          <w:bCs/>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14:paraId="50703D7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J.343 Amd.1 “Hybrid perceptual bitstream models for objective video quality measurements: Amendment 1 - Test vectors for J.343 family of standards” </w:t>
      </w:r>
      <w:r w:rsidRPr="00A94875">
        <w:rPr>
          <w:rFonts w:asciiTheme="majorBidi" w:hAnsiTheme="majorBidi" w:cstheme="majorBidi"/>
          <w:bCs/>
        </w:rPr>
        <w:t>adds a new Appendix I containing information about test vectors for the ITU-T J.343 family of Recommendations.</w:t>
      </w:r>
    </w:p>
    <w:p w14:paraId="7CF3340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P.501 Amd.1 “Test signals for use in telephonometry – Amendment 1: Addition to P.501 – AM-FM test signal for super-wideband and fullband applications”</w:t>
      </w:r>
      <w:r w:rsidRPr="00A94875">
        <w:rPr>
          <w:rFonts w:asciiTheme="majorBidi" w:hAnsiTheme="majorBidi" w:cstheme="majorBidi"/>
          <w:bCs/>
        </w:rPr>
        <w:t xml:space="preserve"> extends the applicability of the AM-FM test signal to super-wideband and fullband applications.</w:t>
      </w:r>
    </w:p>
    <w:p w14:paraId="191EFD88"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P.570 “Artificial noise-fields in laboratory conditions”</w:t>
      </w:r>
      <w:r w:rsidRPr="00A94875">
        <w:rPr>
          <w:rFonts w:asciiTheme="majorBidi" w:hAnsiTheme="majorBidi" w:cstheme="majorBidi"/>
          <w:bCs/>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14:paraId="54F104E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P.808 “Subjective evaluation of speech quality with a crowdsourcing approach”</w:t>
      </w:r>
      <w:r w:rsidRPr="00A94875">
        <w:rPr>
          <w:rFonts w:asciiTheme="majorBidi" w:hAnsiTheme="majorBidi" w:cstheme="majorBidi"/>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14:paraId="3D56CC9E" w14:textId="77777777" w:rsidR="003B32AB" w:rsidRPr="00A94875" w:rsidRDefault="003B32AB" w:rsidP="003B32AB">
      <w:pPr>
        <w:widowControl w:val="0"/>
        <w:rPr>
          <w:rFonts w:asciiTheme="majorBidi" w:hAnsiTheme="majorBidi" w:cstheme="majorBidi"/>
        </w:rPr>
      </w:pPr>
      <w:r w:rsidRPr="00A94875">
        <w:rPr>
          <w:rFonts w:asciiTheme="majorBidi" w:hAnsiTheme="majorBidi" w:cstheme="majorBidi"/>
          <w:b/>
        </w:rPr>
        <w:t>ITU-T P.863 (revised) “Perceptual objective listening quality prediction”</w:t>
      </w:r>
      <w:r w:rsidRPr="00A94875">
        <w:rPr>
          <w:rFonts w:asciiTheme="majorBidi" w:hAnsiTheme="majorBidi" w:cstheme="majorBidi"/>
        </w:rPr>
        <w:t xml:space="preserve"> describes an objective </w:t>
      </w:r>
      <w:r w:rsidRPr="00A94875">
        <w:rPr>
          <w:rFonts w:asciiTheme="majorBidi" w:hAnsiTheme="majorBidi" w:cstheme="majorBidi"/>
        </w:rPr>
        <w:lastRenderedPageBreak/>
        <w:t>method for predicting overall listening speech quality from narrowband (NB) (300 to 3 400 Hz) to fullband (FB) (20 to 20 000 Hz) telecommunication scenarios as perceived by the user in an ITU-T P.800 or ITU-T P.830 absolute category rating (ACR) listening-only test. Recommendation ITU-T P.863 supports two operational modes, one for narrowband and one for fullband.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of the model is correct. This Recommendation includes an electronic attachment containing detailed descriptions in pdf format (see Annex B) and conformance testing data (see Annex A).</w:t>
      </w:r>
    </w:p>
    <w:p w14:paraId="45F49F0B" w14:textId="77777777" w:rsidR="003B32AB" w:rsidRPr="00A94875" w:rsidRDefault="003B32AB" w:rsidP="003B32AB">
      <w:pPr>
        <w:widowControl w:val="0"/>
        <w:rPr>
          <w:rFonts w:asciiTheme="majorBidi" w:hAnsiTheme="majorBidi" w:cstheme="majorBidi"/>
          <w:b/>
          <w:highlight w:val="yellow"/>
        </w:rPr>
      </w:pPr>
      <w:r w:rsidRPr="00A94875">
        <w:rPr>
          <w:rFonts w:asciiTheme="majorBidi" w:hAnsiTheme="majorBidi" w:cstheme="majorBidi"/>
          <w:b/>
        </w:rPr>
        <w:t xml:space="preserve">ITU-T P.863 Implementers’ guide “Implementers' guide for P.863” </w:t>
      </w:r>
      <w:r w:rsidRPr="00A94875">
        <w:t>contains all updates submitted up to and including those at Study Group 12 meeting in May 2018.</w:t>
      </w:r>
    </w:p>
    <w:p w14:paraId="54863413" w14:textId="77777777" w:rsidR="003B32AB" w:rsidRPr="00A94875" w:rsidRDefault="003B32AB" w:rsidP="003B32AB">
      <w:r w:rsidRPr="00A94875">
        <w:rPr>
          <w:b/>
        </w:rPr>
        <w:t>ITU-T Y.1543 (revised) “Measurements in IP networks for inter-domain performance assessment”</w:t>
      </w:r>
      <w:r w:rsidRPr="00A94875">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QoS monitoring, to ensure that results will have a foundation in scientific method where sources of error are quantified. Thus, meaningful discussions of network quality of service (QoS) between users and service providers are most relevant when based on measurements at measurement points that correspond to the demarcation points of the service agreement.</w:t>
      </w:r>
    </w:p>
    <w:p w14:paraId="3B8896E4" w14:textId="77777777" w:rsidR="003B32AB" w:rsidRPr="00A94875" w:rsidRDefault="003B32AB" w:rsidP="003B32AB">
      <w:r w:rsidRPr="00A94875">
        <w:rPr>
          <w:b/>
        </w:rPr>
        <w:t>ITU-T Y.1546 Amd.1 “Hand-over performance among multiple access networks – Amendment 1 - IP-Based Service Availability Function”</w:t>
      </w:r>
      <w:r w:rsidRPr="00A94875">
        <w:rPr>
          <w:rFonts w:asciiTheme="majorBidi" w:hAnsiTheme="majorBidi" w:cstheme="majorBidi"/>
        </w:rPr>
        <w:t xml:space="preserve"> </w:t>
      </w:r>
      <w:r w:rsidRPr="00A94875">
        <w:t>introduces new Annex C on the IP-Based Service Availability Function.</w:t>
      </w:r>
    </w:p>
    <w:p w14:paraId="02118871" w14:textId="77777777" w:rsidR="003B32AB" w:rsidRPr="00A94875" w:rsidRDefault="003B32AB" w:rsidP="003B32AB">
      <w:pPr>
        <w:rPr>
          <w:rFonts w:asciiTheme="majorBidi" w:hAnsiTheme="majorBidi" w:cstheme="majorBidi"/>
          <w:b/>
          <w:bCs/>
        </w:rPr>
      </w:pPr>
      <w:r w:rsidRPr="00A94875">
        <w:rPr>
          <w:b/>
        </w:rPr>
        <w:t xml:space="preserve">ITU-T Technical Report “Subjective evaluation of quality of media with a crowdsourcing approach” </w:t>
      </w:r>
      <w:r w:rsidRPr="00A94875">
        <w:rPr>
          <w:lang w:bidi="ar-DZ"/>
        </w:rPr>
        <w:t>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t xml:space="preserve"> and audio-visual</w:t>
      </w:r>
      <w:r w:rsidRPr="00A94875">
        <w:rPr>
          <w:lang w:bidi="ar-DZ"/>
        </w:rPr>
        <w:t>) in a short period of time from a diverse population of participants and in realistic environments.</w:t>
      </w:r>
    </w:p>
    <w:p w14:paraId="75AC01D5" w14:textId="77777777" w:rsidR="003B32AB" w:rsidRPr="00A94875" w:rsidRDefault="003B32AB" w:rsidP="003B32AB">
      <w:pPr>
        <w:spacing w:before="240"/>
        <w:rPr>
          <w:b/>
          <w:sz w:val="22"/>
          <w:szCs w:val="22"/>
        </w:rPr>
      </w:pPr>
      <w:bookmarkStart w:id="291" w:name="_Toc480527909"/>
      <w:r w:rsidRPr="00A94875">
        <w:rPr>
          <w:b/>
          <w:sz w:val="22"/>
          <w:szCs w:val="22"/>
        </w:rPr>
        <w:t>I.9</w:t>
      </w:r>
      <w:r w:rsidRPr="00A94875">
        <w:rPr>
          <w:b/>
          <w:sz w:val="22"/>
          <w:szCs w:val="22"/>
        </w:rPr>
        <w:tab/>
        <w:t>Conformity, interoperability and testing</w:t>
      </w:r>
      <w:bookmarkEnd w:id="291"/>
    </w:p>
    <w:p w14:paraId="62CF3DB8" w14:textId="77777777" w:rsidR="003B32AB" w:rsidRPr="00A94875" w:rsidRDefault="003B32AB" w:rsidP="003B32AB">
      <w:pPr>
        <w:spacing w:before="240"/>
        <w:rPr>
          <w:b/>
          <w:sz w:val="22"/>
          <w:szCs w:val="22"/>
        </w:rPr>
      </w:pPr>
      <w:r w:rsidRPr="00A94875">
        <w:rPr>
          <w:b/>
          <w:sz w:val="22"/>
          <w:szCs w:val="22"/>
        </w:rPr>
        <w:t>I.9.3</w:t>
      </w:r>
      <w:r w:rsidRPr="00A94875">
        <w:rPr>
          <w:b/>
          <w:sz w:val="22"/>
          <w:szCs w:val="22"/>
        </w:rPr>
        <w:tab/>
        <w:t>SIP-IMS conformity assessment and interconnection testing</w:t>
      </w:r>
    </w:p>
    <w:p w14:paraId="437F97A2" w14:textId="77777777" w:rsidR="003B32AB" w:rsidRPr="00A94875" w:rsidRDefault="003B32AB" w:rsidP="003B32AB">
      <w:pPr>
        <w:keepNext/>
        <w:keepLines/>
        <w:spacing w:before="240"/>
        <w:rPr>
          <w:b/>
          <w:sz w:val="22"/>
          <w:szCs w:val="22"/>
        </w:rPr>
      </w:pPr>
      <w:r w:rsidRPr="00A94875">
        <w:rPr>
          <w:b/>
          <w:sz w:val="22"/>
          <w:szCs w:val="22"/>
        </w:rPr>
        <w:lastRenderedPageBreak/>
        <w:t>I.9.8</w:t>
      </w:r>
      <w:r w:rsidRPr="00A94875">
        <w:rPr>
          <w:b/>
          <w:sz w:val="22"/>
          <w:szCs w:val="22"/>
        </w:rPr>
        <w:tab/>
        <w:t>Testing Internet of things</w:t>
      </w:r>
    </w:p>
    <w:p w14:paraId="10E8E8E3" w14:textId="77777777" w:rsidR="003B32AB" w:rsidRPr="00A94875" w:rsidRDefault="003B32AB" w:rsidP="003B32AB">
      <w:pPr>
        <w:keepNext/>
        <w:keepLines/>
      </w:pPr>
      <w:r w:rsidRPr="00A94875">
        <w:rPr>
          <w:b/>
        </w:rPr>
        <w:t>ITU-T Q.4060 “The structure of the testing of heterogeneous Internet of Things gateways in a laboratory environment”</w:t>
      </w:r>
      <w:r w:rsidRPr="00A94875">
        <w:t xml:space="preserve"> describes the testing methodology of the heterogeneous network gateway which is to be used for communication among IoT devices. The tests will include the following, but not limited to:</w:t>
      </w:r>
    </w:p>
    <w:p w14:paraId="523B076F" w14:textId="77777777" w:rsidR="003B32AB" w:rsidRPr="00A94875" w:rsidRDefault="003B32AB" w:rsidP="003B32AB">
      <w:pPr>
        <w:pStyle w:val="ListParagraph"/>
        <w:keepNext/>
        <w:keepLines/>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14:paraId="3D99054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14:paraId="326CCB2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14:paraId="12BAD796"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14:paraId="24ED5A5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14:paraId="40B005C3" w14:textId="77777777" w:rsidR="003B32AB" w:rsidRPr="00A94875" w:rsidRDefault="003B32AB" w:rsidP="003B32AB">
      <w:pPr>
        <w:spacing w:before="240"/>
        <w:rPr>
          <w:b/>
          <w:sz w:val="22"/>
          <w:szCs w:val="22"/>
        </w:rPr>
      </w:pPr>
      <w:r w:rsidRPr="00A94875">
        <w:rPr>
          <w:b/>
          <w:sz w:val="22"/>
          <w:szCs w:val="22"/>
        </w:rPr>
        <w:t>I.9.9</w:t>
      </w:r>
      <w:r w:rsidRPr="00A94875">
        <w:rPr>
          <w:b/>
          <w:sz w:val="22"/>
          <w:szCs w:val="22"/>
        </w:rPr>
        <w:tab/>
        <w:t>Testing energy efficiency of base stations</w:t>
      </w:r>
    </w:p>
    <w:p w14:paraId="3BD9E63A"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3162177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1B2BD6C7"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7BDB44E4"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25EECC4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552067FC"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5742095C"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14:paraId="1B6DEDF5" w14:textId="77777777" w:rsidR="003B32AB" w:rsidRPr="00A94875" w:rsidRDefault="003B32AB" w:rsidP="003B32AB">
      <w:pPr>
        <w:spacing w:before="240"/>
        <w:rPr>
          <w:b/>
          <w:sz w:val="22"/>
          <w:szCs w:val="22"/>
        </w:rPr>
      </w:pPr>
      <w:r w:rsidRPr="00A94875">
        <w:rPr>
          <w:b/>
          <w:sz w:val="22"/>
          <w:szCs w:val="22"/>
        </w:rPr>
        <w:t>I.9.10</w:t>
      </w:r>
      <w:r w:rsidRPr="00A94875">
        <w:rPr>
          <w:b/>
          <w:sz w:val="22"/>
          <w:szCs w:val="22"/>
        </w:rPr>
        <w:tab/>
        <w:t>Testing cloud computing</w:t>
      </w:r>
    </w:p>
    <w:p w14:paraId="634E9A2E" w14:textId="77777777" w:rsidR="003B32AB" w:rsidRPr="00A94875" w:rsidRDefault="003B32AB" w:rsidP="003B32AB">
      <w:pPr>
        <w:pStyle w:val="NormalWeb"/>
        <w:spacing w:before="120" w:beforeAutospacing="0" w:after="0" w:afterAutospacing="0"/>
        <w:rPr>
          <w:rFonts w:eastAsia="MS Mincho"/>
          <w:bCs/>
          <w:szCs w:val="20"/>
          <w:lang w:val="en-GB"/>
        </w:rPr>
      </w:pPr>
      <w:r w:rsidRPr="00A94875">
        <w:rPr>
          <w:b/>
          <w:lang w:val="en-GB"/>
        </w:rPr>
        <w:t>ITU-T Q.4042.1 “Cloud interoperability testing about web application – part 1: Interoperability testing between CSC and CSP"</w:t>
      </w:r>
      <w:r w:rsidRPr="00A94875">
        <w:rPr>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597DD02B" w14:textId="77777777" w:rsidR="003B32AB" w:rsidRPr="00A94875" w:rsidRDefault="003B32AB" w:rsidP="003B32AB">
      <w:pPr>
        <w:keepNext/>
        <w:keepLines/>
        <w:spacing w:before="240"/>
        <w:rPr>
          <w:b/>
          <w:sz w:val="22"/>
          <w:szCs w:val="22"/>
        </w:rPr>
      </w:pPr>
      <w:r w:rsidRPr="00A94875">
        <w:rPr>
          <w:b/>
          <w:sz w:val="22"/>
          <w:szCs w:val="22"/>
        </w:rPr>
        <w:t>I.10</w:t>
      </w:r>
      <w:r w:rsidRPr="00A94875">
        <w:rPr>
          <w:b/>
          <w:sz w:val="22"/>
          <w:szCs w:val="22"/>
        </w:rPr>
        <w:tab/>
        <w:t>Mainstreaming accessibility in ICTs</w:t>
      </w:r>
    </w:p>
    <w:p w14:paraId="4AA7EC52" w14:textId="77777777" w:rsidR="003B32AB" w:rsidRPr="00A94875" w:rsidRDefault="003B32AB" w:rsidP="003B32AB">
      <w:pPr>
        <w:pStyle w:val="NormalWeb"/>
        <w:keepNext/>
        <w:keepLines/>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F.791 (revised) “Accessibility terms and definitions”</w:t>
      </w:r>
      <w:r w:rsidRPr="00A94875">
        <w:rPr>
          <w:rFonts w:asciiTheme="majorBidi" w:hAnsiTheme="majorBidi" w:cstheme="majorBidi"/>
          <w:szCs w:val="20"/>
          <w:lang w:val="en-GB"/>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14:paraId="2721D27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F.921 (revised) “Audio-based indoor and outdoor network navigation system for persons with vision impairment”</w:t>
      </w:r>
      <w:r w:rsidRPr="00A94875">
        <w:rPr>
          <w:rFonts w:asciiTheme="majorBidi" w:hAnsiTheme="majorBidi" w:cstheme="majorBidi"/>
          <w:szCs w:val="20"/>
          <w:lang w:val="en-GB"/>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w:t>
      </w:r>
      <w:r w:rsidRPr="00A94875">
        <w:rPr>
          <w:rFonts w:asciiTheme="majorBidi" w:hAnsiTheme="majorBidi" w:cstheme="majorBidi"/>
          <w:szCs w:val="20"/>
          <w:lang w:val="en-GB"/>
        </w:rPr>
        <w:lastRenderedPageBreak/>
        <w:t>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14:paraId="57930BE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F.930 “Multimedia telecommunication relay services”</w:t>
      </w:r>
      <w:r w:rsidRPr="00A94875">
        <w:rPr>
          <w:rFonts w:asciiTheme="majorBidi" w:hAnsiTheme="majorBidi" w:cstheme="majorBidi"/>
          <w:szCs w:val="20"/>
          <w:lang w:val="en-GB"/>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rPr>
        <w:br/>
        <w:t>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including them in the design of modern technology and information and communication technologies (ICTs) using universal design as defined in the UNCRPD.</w:t>
      </w:r>
      <w:r w:rsidRPr="00A94875">
        <w:rPr>
          <w:rFonts w:asciiTheme="majorBidi" w:hAnsiTheme="majorBidi" w:cstheme="majorBidi"/>
          <w:szCs w:val="20"/>
          <w:lang w:val="en-GB"/>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14:paraId="3F3D328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14:paraId="29C83E0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Technical Paper FSTP-RCSO “Overview of remote captioning services”</w:t>
      </w:r>
      <w:r w:rsidRPr="00A94875">
        <w:rPr>
          <w:rFonts w:asciiTheme="majorBidi" w:hAnsiTheme="majorBidi" w:cstheme="majorBidi"/>
          <w:szCs w:val="20"/>
          <w:lang w:val="en-GB"/>
        </w:rPr>
        <w:t xml:space="preserve"> describes remote captioning services. It defines reference model, requirements and functionality that facilitate, via an assistive intermediary (i.e., real time captioner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14:paraId="0201973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Technical Paper FSTP-CONF-F921 "Compliance procedure and requirements for audio-based indoor and outdoor network navigation system for persons with vision impairment"</w:t>
      </w:r>
      <w:r w:rsidRPr="00A94875">
        <w:rPr>
          <w:rFonts w:asciiTheme="majorBidi" w:hAnsiTheme="majorBidi" w:cstheme="majorBidi"/>
          <w:szCs w:val="20"/>
          <w:lang w:val="en-GB"/>
        </w:rPr>
        <w:t>was also approved, which allows conformance testing of deployments of compliant ITU-T F.921 systems.</w:t>
      </w:r>
    </w:p>
    <w:p w14:paraId="12123986" w14:textId="77777777" w:rsidR="003B32AB" w:rsidRPr="00A94875" w:rsidRDefault="003B32AB" w:rsidP="003B32AB">
      <w:pPr>
        <w:spacing w:before="240"/>
        <w:rPr>
          <w:b/>
          <w:sz w:val="22"/>
          <w:szCs w:val="22"/>
        </w:rPr>
      </w:pPr>
      <w:r w:rsidRPr="00A94875">
        <w:rPr>
          <w:b/>
          <w:sz w:val="22"/>
          <w:szCs w:val="22"/>
        </w:rPr>
        <w:t>I.12</w:t>
      </w:r>
      <w:r w:rsidRPr="00A94875">
        <w:rPr>
          <w:b/>
          <w:sz w:val="22"/>
          <w:szCs w:val="22"/>
        </w:rPr>
        <w:tab/>
        <w:t>Combating Counterfeiting</w:t>
      </w:r>
    </w:p>
    <w:p w14:paraId="603593C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Q.5050 “Framework for solution to combat counterfeit ICT devices”</w:t>
      </w:r>
      <w:r w:rsidRPr="00A94875">
        <w:rPr>
          <w:rFonts w:asciiTheme="majorBidi" w:hAnsiTheme="majorBidi" w:cstheme="majorBidi"/>
          <w:szCs w:val="20"/>
          <w:lang w:val="en-GB"/>
        </w:rPr>
        <w:t xml:space="preserve"> (under approval) aims to describe a reference framework, with high level challenges and requirements, that should be considered when deploying solutions to combat the circulation and use of counterfeit ICT devices.</w:t>
      </w:r>
    </w:p>
    <w:p w14:paraId="02736927" w14:textId="77777777" w:rsidR="003B32AB" w:rsidRPr="00A94875" w:rsidRDefault="003B32AB" w:rsidP="003B32AB">
      <w:pPr>
        <w:spacing w:before="240"/>
        <w:rPr>
          <w:b/>
          <w:sz w:val="22"/>
          <w:szCs w:val="22"/>
        </w:rPr>
      </w:pPr>
      <w:r w:rsidRPr="00A94875">
        <w:rPr>
          <w:b/>
          <w:sz w:val="22"/>
          <w:szCs w:val="22"/>
        </w:rPr>
        <w:t>I.30</w:t>
      </w:r>
      <w:r w:rsidRPr="00A94875">
        <w:rPr>
          <w:b/>
          <w:sz w:val="22"/>
          <w:szCs w:val="22"/>
        </w:rPr>
        <w:tab/>
        <w:t>Formal Languages and Identification</w:t>
      </w:r>
    </w:p>
    <w:p w14:paraId="2095BC8F" w14:textId="77777777" w:rsidR="003B32AB" w:rsidRPr="00A94875" w:rsidRDefault="003B32AB" w:rsidP="003B32AB">
      <w:pPr>
        <w:rPr>
          <w:highlight w:val="yellow"/>
        </w:rPr>
      </w:pPr>
      <w:r w:rsidRPr="00A94875">
        <w:rPr>
          <w:b/>
        </w:rPr>
        <w:t>ITU-T E.217 (revised) “Maritime communications - Ship station identity”</w:t>
      </w:r>
      <w:r w:rsidRPr="00A94875">
        <w:t xml:space="preserve"> (under approval): For the purposes of International Public Correspondence Telecommunication, the ship station </w:t>
      </w:r>
      <w:r w:rsidRPr="00A94875">
        <w:lastRenderedPageBreak/>
        <w:t>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2B6F870E" w14:textId="77777777" w:rsidR="003B32AB" w:rsidRPr="00A94875" w:rsidRDefault="003B32AB" w:rsidP="003B32AB">
      <w:pPr>
        <w:rPr>
          <w:highlight w:val="yellow"/>
        </w:rPr>
      </w:pPr>
      <w:r w:rsidRPr="00A94875">
        <w:rPr>
          <w:b/>
        </w:rPr>
        <w:t>ITU-T X.676 “Object identifier-based resolution framework for IoT grouped services”</w:t>
      </w:r>
      <w:r w:rsidRPr="00A94875">
        <w:t xml:space="preserve"> </w:t>
      </w:r>
      <w:r w:rsidRPr="00A94875">
        <w:rPr>
          <w:rFonts w:asciiTheme="majorBidi" w:hAnsiTheme="majorBidi" w:cstheme="majorBidi"/>
          <w:lang w:eastAsia="en-US"/>
        </w:rPr>
        <w:t xml:space="preserve">(under approval) </w:t>
      </w:r>
      <w:r w:rsidRPr="00A94875">
        <w:t>specifies an OID-based resolution framework for identifying various services in IoT environments. This draft Recommendation describes the concepts of IoT grouped services, considerations, architectures, and procedures for an OID-based resolution framework for IoT grouped services.</w:t>
      </w:r>
    </w:p>
    <w:p w14:paraId="709CEB0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rPr>
      </w:pPr>
      <w:r w:rsidRPr="00A94875">
        <w:rPr>
          <w:rFonts w:asciiTheme="majorBidi" w:hAnsiTheme="majorBidi" w:cstheme="majorBidi"/>
          <w:b/>
          <w:bCs/>
        </w:rPr>
        <w:t>ITU-T X.680 Amd.1 “Information technology – Abstract Syntax Notation One (ASN.1): Specification of basic notation Amendment 1”</w:t>
      </w:r>
      <w:r w:rsidRPr="00A94875">
        <w:rPr>
          <w:rFonts w:asciiTheme="majorBidi" w:hAnsiTheme="majorBidi" w:cstheme="majorBidi"/>
          <w:bCs/>
        </w:rPr>
        <w:t xml:space="preserve"> relaxes the IMPORTS clause to allow importation of definitions from new versions of a given module.</w:t>
      </w:r>
    </w:p>
    <w:p w14:paraId="4EF1DF5C"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F1 (revised) “Specification and Description Language - Overview of SDL-2010 - Annex F1: SDL-2010 formal definition: General overview”</w:t>
      </w:r>
      <w:r w:rsidRPr="00A94875">
        <w:rPr>
          <w:rFonts w:asciiTheme="majorBidi" w:hAnsiTheme="majorBidi" w:cstheme="majorBidi"/>
          <w:bCs/>
        </w:rPr>
        <w:t xml:space="preserve"> </w:t>
      </w:r>
      <w:r w:rsidRPr="00A94875">
        <w:rPr>
          <w:rFonts w:asciiTheme="majorBidi" w:hAnsiTheme="majorBidi" w:cstheme="majorBidi"/>
          <w:lang w:eastAsia="en-US"/>
        </w:rPr>
        <w:t xml:space="preserve">(under approval) </w:t>
      </w:r>
      <w:r w:rsidRPr="00A94875">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noBreakHyphen/>
        <w:t>2010 semantics</w:t>
      </w:r>
      <w:r w:rsidRPr="00A94875">
        <w:rPr>
          <w:rFonts w:asciiTheme="majorBidi" w:hAnsiTheme="majorBidi" w:cstheme="majorBidi"/>
          <w:bCs/>
        </w:rPr>
        <w:t>.</w:t>
      </w:r>
    </w:p>
    <w:p w14:paraId="3012A8A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F2 (revised) “Specification and Description Language – Overview of SDL 2010 - Annex F2: SDL 2010 formal definition: Static semantics”</w:t>
      </w:r>
      <w:r w:rsidRPr="00A94875">
        <w:rPr>
          <w:rFonts w:asciiTheme="majorBidi" w:hAnsiTheme="majorBidi" w:cstheme="majorBidi"/>
          <w:bCs/>
        </w:rPr>
        <w:t xml:space="preserve"> </w:t>
      </w:r>
      <w:r w:rsidRPr="00A94875">
        <w:rPr>
          <w:rFonts w:asciiTheme="majorBidi" w:hAnsiTheme="majorBidi" w:cstheme="majorBidi"/>
          <w:lang w:eastAsia="en-US"/>
        </w:rPr>
        <w:t xml:space="preserve">(under approval) </w:t>
      </w:r>
      <w:r w:rsidRPr="00A94875">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rPr>
        <w:t>.</w:t>
      </w:r>
    </w:p>
    <w:p w14:paraId="56DD25DF"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F3 (revised) “Specification and Description Language – Overview of SDL 2010 - Annex F3: SDL 2010 formal definition: Dynamic semantics”</w:t>
      </w:r>
      <w:r w:rsidRPr="00A94875">
        <w:rPr>
          <w:rFonts w:asciiTheme="majorBidi" w:hAnsiTheme="majorBidi" w:cstheme="majorBidi"/>
          <w:bCs/>
        </w:rPr>
        <w:t xml:space="preserve"> </w:t>
      </w:r>
      <w:r w:rsidRPr="00A94875">
        <w:rPr>
          <w:rFonts w:asciiTheme="majorBidi" w:hAnsiTheme="majorBidi" w:cstheme="majorBidi"/>
          <w:lang w:eastAsia="en-US"/>
        </w:rPr>
        <w:t>(under approval)</w:t>
      </w:r>
      <w:r w:rsidRPr="00A94875">
        <w:rPr>
          <w:rFonts w:asciiTheme="majorBidi" w:hAnsiTheme="majorBidi" w:cstheme="majorBidi"/>
          <w:b/>
          <w:lang w:eastAsia="en-US"/>
        </w:rPr>
        <w:t xml:space="preserve"> </w:t>
      </w:r>
      <w:r w:rsidRPr="00A94875">
        <w:rPr>
          <w:rFonts w:asciiTheme="majorBidi" w:hAnsiTheme="majorBidi" w:cstheme="majorBidi"/>
          <w:bCs/>
        </w:rPr>
        <w:t>defines the SDL 2010 dynamic semantics.</w:t>
      </w:r>
    </w:p>
    <w:p w14:paraId="7D02CAFA"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 xml:space="preserve">ITU-T Z.151 (revised) “User Requirements Notation (URN) - Language definition” </w:t>
      </w:r>
      <w:r w:rsidRPr="00A94875">
        <w:rPr>
          <w:rFonts w:asciiTheme="majorBidi" w:hAnsiTheme="majorBidi" w:cstheme="majorBidi"/>
          <w:bCs/>
        </w:rPr>
        <w:t xml:space="preserve">(under approval) </w:t>
      </w:r>
      <w:r w:rsidRPr="00A94875">
        <w:t xml:space="preserve">defines the User Requirements Notation (URN) intended for the elicitation, analysis, specification and validation of requirements. URN combines modelling concepts and notations for goals (mainly for </w:t>
      </w:r>
      <w:r w:rsidRPr="00A94875">
        <w:rPr>
          <w:iCs/>
        </w:rPr>
        <w:t>non-functional requirements</w:t>
      </w:r>
      <w:r w:rsidRPr="00A94875">
        <w:t xml:space="preserve"> and quality attributes) and scenarios (mainly for operational requirements, functional requirements and performance and architectural reasoning). The goal sub-notation is called Goal-oriented Requirements Language (GRL) and the scenario sub</w:t>
      </w:r>
      <w:r w:rsidRPr="00A94875">
        <w:noBreakHyphen/>
        <w:t>notation is called Use Case Map (UCM)</w:t>
      </w:r>
      <w:r w:rsidRPr="00A94875">
        <w:rPr>
          <w:rFonts w:asciiTheme="majorBidi" w:hAnsiTheme="majorBidi" w:cstheme="majorBidi"/>
          <w:bCs/>
        </w:rPr>
        <w:t>.</w:t>
      </w:r>
    </w:p>
    <w:p w14:paraId="6F31D965" w14:textId="77777777" w:rsidR="003B32AB" w:rsidRPr="00A94875" w:rsidRDefault="003B32AB" w:rsidP="003B32AB">
      <w:r w:rsidRPr="00A94875">
        <w:rPr>
          <w:rFonts w:asciiTheme="majorBidi" w:hAnsiTheme="majorBidi" w:cstheme="majorBidi"/>
          <w:b/>
          <w:bCs/>
        </w:rPr>
        <w:t>ITU-T Z.161 (revised) “Testing and Test Control Notation version 3: TTCN-3 core language”</w:t>
      </w:r>
      <w:r w:rsidRPr="00A94875">
        <w:rPr>
          <w:rFonts w:asciiTheme="majorBidi" w:hAnsiTheme="majorBidi" w:cstheme="majorBidi"/>
          <w:bCs/>
        </w:rPr>
        <w:t xml:space="preserve"> (under approval)</w:t>
      </w:r>
      <w:r w:rsidRPr="00A94875">
        <w:rPr>
          <w:rFonts w:asciiTheme="majorBidi" w:hAnsiTheme="majorBidi" w:cstheme="majorBidi"/>
          <w:b/>
          <w:bCs/>
        </w:rPr>
        <w:t xml:space="preserve"> </w:t>
      </w:r>
      <w:r w:rsidRPr="00A94875">
        <w:rPr>
          <w:rFonts w:asciiTheme="majorBidi" w:hAnsiTheme="majorBidi" w:cstheme="majorBidi"/>
        </w:rPr>
        <w:t xml:space="preserve">defines TTCN-3 (Testing and Test Control Notation 3) </w:t>
      </w:r>
      <w:r w:rsidRPr="00A94875">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666DEC34" w14:textId="77777777" w:rsidR="003B32AB" w:rsidRPr="00A94875" w:rsidRDefault="003B32AB" w:rsidP="003B32AB">
      <w:r w:rsidRPr="00A94875">
        <w:rPr>
          <w:b/>
          <w:bCs/>
        </w:rPr>
        <w:lastRenderedPageBreak/>
        <w:t>ITU-T Z.161.2 (revised) “Testing and Test Control Notation version 3: TTCN-3 language extensions: Configuration and deployment support”</w:t>
      </w:r>
      <w:r w:rsidRPr="00A94875">
        <w:t xml:space="preserve"> </w:t>
      </w:r>
      <w:r w:rsidRPr="00A94875">
        <w:rPr>
          <w:rFonts w:asciiTheme="majorBidi" w:hAnsiTheme="majorBidi" w:cstheme="majorBidi"/>
          <w:bCs/>
        </w:rPr>
        <w:t xml:space="preserve">(under approval) </w:t>
      </w:r>
      <w:r w:rsidRPr="00A94875">
        <w:t>defines the configuration and deployment support package of TTCN-3.</w:t>
      </w:r>
    </w:p>
    <w:p w14:paraId="220B721D" w14:textId="77777777" w:rsidR="003B32AB" w:rsidRPr="00A94875" w:rsidRDefault="003B32AB" w:rsidP="003B32AB">
      <w:r w:rsidRPr="00A94875">
        <w:rPr>
          <w:rFonts w:asciiTheme="majorBidi" w:hAnsiTheme="majorBidi" w:cstheme="majorBidi"/>
          <w:b/>
          <w:bCs/>
        </w:rPr>
        <w:t>ITU-T Z.161.4 (revised) Testing and Test Control Notation version 3: TTCN-3 language extensions: Behaviour types”</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the behaviour types package of TTCN</w:t>
      </w:r>
      <w:r w:rsidRPr="00A94875">
        <w:noBreakHyphen/>
        <w:t>3.</w:t>
      </w:r>
    </w:p>
    <w:p w14:paraId="2C25999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Z.161.6 (revised) “Testing and Test Control Notation version 3: TTCN-3 language extensions: Advanced matching”</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3982855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Z.166 (revised) “Testing and Test Control Notation version 3: TTCN-3 control interface (TCI)”</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rPr>
          <w:rFonts w:asciiTheme="majorBidi" w:hAnsiTheme="majorBidi" w:cstheme="majorBidi"/>
        </w:rPr>
        <w:t>specifies the control interfaces for TTCN-3 test system implementations, and provides a standardized adaptation for management, test component handling and encoding/decoding of a test system to a particular test platform.</w:t>
      </w:r>
    </w:p>
    <w:p w14:paraId="5F41E64B" w14:textId="77777777" w:rsidR="003B32AB" w:rsidRPr="00A94875" w:rsidRDefault="003B32AB" w:rsidP="003B32AB">
      <w:r w:rsidRPr="00A94875">
        <w:rPr>
          <w:rFonts w:asciiTheme="majorBidi" w:hAnsiTheme="majorBidi" w:cstheme="majorBidi"/>
          <w:b/>
          <w:bCs/>
        </w:rPr>
        <w:t>ITU-T Z.167 (revised) “Testing and Test Control Notation version 3: Using ASN.1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a normative way of using ASN.1 as defined in Recommendations ITU-T X.680, ITU-T X.681, ITU-T X.682 and ITU-T X.683 with TTCN-3.</w:t>
      </w:r>
    </w:p>
    <w:p w14:paraId="7E2CB1F8"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Z.169 (revised) “Testing and Test Control Notation version 3: Using XML schema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rPr>
          <w:rFonts w:asciiTheme="majorBidi" w:hAnsiTheme="majorBidi" w:cstheme="majorBidi"/>
        </w:rPr>
        <w:t>defines the mapping rules for W3C Schema to TTCN-3 to enable testing of XML-based systems, interfaces and protocols.</w:t>
      </w:r>
    </w:p>
    <w:p w14:paraId="13B4786C"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Z.171 (revised) “Testing and Test Control Notation version 3: Using JSON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67"/>
    <w:p w14:paraId="61BA6FD8" w14:textId="75F0664B" w:rsidR="003B32AB" w:rsidRPr="003B32AB" w:rsidRDefault="003B32AB" w:rsidP="003B32AB">
      <w:pPr>
        <w:rPr>
          <w:lang w:val="en-US" w:eastAsia="en-US"/>
        </w:rPr>
      </w:pPr>
    </w:p>
    <w:p w14:paraId="041E0DE6" w14:textId="081F773D" w:rsidR="0081777D" w:rsidRPr="002F7EC1" w:rsidRDefault="002F7EC1" w:rsidP="008F792E">
      <w:pPr>
        <w:jc w:val="center"/>
        <w:rPr>
          <w:lang w:val="fr-FR"/>
        </w:rPr>
      </w:pPr>
      <w:r>
        <w:t>______________</w:t>
      </w:r>
    </w:p>
    <w:sectPr w:rsidR="0081777D" w:rsidRPr="002F7EC1" w:rsidSect="007A1A3D">
      <w:headerReference w:type="default" r:id="rId160"/>
      <w:pgSz w:w="11907" w:h="16840" w:code="9"/>
      <w:pgMar w:top="907" w:right="1134" w:bottom="907"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0466" w14:textId="77777777" w:rsidR="0030352D" w:rsidRDefault="0030352D" w:rsidP="00C42125">
      <w:pPr>
        <w:spacing w:before="0"/>
      </w:pPr>
      <w:r>
        <w:separator/>
      </w:r>
    </w:p>
  </w:endnote>
  <w:endnote w:type="continuationSeparator" w:id="0">
    <w:p w14:paraId="7B1A9BB0" w14:textId="77777777" w:rsidR="0030352D" w:rsidRDefault="0030352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00000287" w:usb1="09060000" w:usb2="0000001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00000003" w:usb1="080E0000" w:usb2="00000010"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CEAA" w14:textId="77777777" w:rsidR="0030352D" w:rsidRDefault="0030352D" w:rsidP="00C42125">
      <w:pPr>
        <w:spacing w:before="0"/>
      </w:pPr>
      <w:r>
        <w:separator/>
      </w:r>
    </w:p>
  </w:footnote>
  <w:footnote w:type="continuationSeparator" w:id="0">
    <w:p w14:paraId="4411AC79" w14:textId="77777777" w:rsidR="0030352D" w:rsidRDefault="0030352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127ACE5E" w:rsidR="0030352D" w:rsidRPr="00390827" w:rsidRDefault="0030352D" w:rsidP="007E53E4">
    <w:pPr>
      <w:pStyle w:val="Header"/>
      <w:rPr>
        <w:sz w:val="18"/>
        <w:szCs w:val="18"/>
      </w:rPr>
    </w:pPr>
    <w:r w:rsidRPr="00390827">
      <w:rPr>
        <w:sz w:val="18"/>
        <w:szCs w:val="18"/>
      </w:rPr>
      <w:fldChar w:fldCharType="begin"/>
    </w:r>
    <w:r w:rsidRPr="00390827">
      <w:rPr>
        <w:sz w:val="18"/>
        <w:szCs w:val="18"/>
      </w:rPr>
      <w:instrText xml:space="preserve"> PAGE  \* MERGEFORMAT </w:instrText>
    </w:r>
    <w:r w:rsidRPr="00390827">
      <w:rPr>
        <w:sz w:val="18"/>
        <w:szCs w:val="18"/>
      </w:rPr>
      <w:fldChar w:fldCharType="separate"/>
    </w:r>
    <w:r w:rsidR="006126E3">
      <w:rPr>
        <w:noProof/>
        <w:sz w:val="18"/>
        <w:szCs w:val="18"/>
      </w:rPr>
      <w:t>- 21 -</w:t>
    </w:r>
    <w:r w:rsidRPr="00390827">
      <w:rPr>
        <w:sz w:val="18"/>
        <w:szCs w:val="18"/>
      </w:rPr>
      <w:fldChar w:fldCharType="end"/>
    </w:r>
  </w:p>
  <w:p w14:paraId="2360415B" w14:textId="4D684116" w:rsidR="0030352D" w:rsidRPr="00C42125" w:rsidRDefault="0030352D" w:rsidP="006B5CC7">
    <w:pPr>
      <w:pStyle w:val="Header"/>
      <w:spacing w:after="360"/>
    </w:pPr>
    <w:r w:rsidRPr="00390827">
      <w:rPr>
        <w:sz w:val="18"/>
        <w:szCs w:val="18"/>
      </w:rPr>
      <w:fldChar w:fldCharType="begin"/>
    </w:r>
    <w:r w:rsidRPr="00390827">
      <w:rPr>
        <w:sz w:val="18"/>
        <w:szCs w:val="18"/>
      </w:rPr>
      <w:instrText xml:space="preserve"> STYLEREF  Docnumber  </w:instrText>
    </w:r>
    <w:r w:rsidRPr="00390827">
      <w:rPr>
        <w:sz w:val="18"/>
        <w:szCs w:val="18"/>
      </w:rPr>
      <w:fldChar w:fldCharType="separate"/>
    </w:r>
    <w:r w:rsidR="006126E3">
      <w:rPr>
        <w:noProof/>
        <w:sz w:val="18"/>
        <w:szCs w:val="18"/>
      </w:rPr>
      <w:t>TSAG-TD291-F</w:t>
    </w:r>
    <w:r w:rsidRPr="00390827">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1"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2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1"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
  </w:num>
  <w:num w:numId="2">
    <w:abstractNumId w:val="10"/>
  </w:num>
  <w:num w:numId="3">
    <w:abstractNumId w:val="49"/>
  </w:num>
  <w:num w:numId="4">
    <w:abstractNumId w:val="53"/>
  </w:num>
  <w:num w:numId="5">
    <w:abstractNumId w:val="21"/>
  </w:num>
  <w:num w:numId="6">
    <w:abstractNumId w:val="36"/>
  </w:num>
  <w:num w:numId="7">
    <w:abstractNumId w:val="38"/>
  </w:num>
  <w:num w:numId="8">
    <w:abstractNumId w:val="44"/>
  </w:num>
  <w:num w:numId="9">
    <w:abstractNumId w:val="13"/>
  </w:num>
  <w:num w:numId="10">
    <w:abstractNumId w:val="25"/>
  </w:num>
  <w:num w:numId="11">
    <w:abstractNumId w:val="27"/>
  </w:num>
  <w:num w:numId="12">
    <w:abstractNumId w:val="29"/>
  </w:num>
  <w:num w:numId="13">
    <w:abstractNumId w:val="50"/>
  </w:num>
  <w:num w:numId="14">
    <w:abstractNumId w:val="42"/>
  </w:num>
  <w:num w:numId="15">
    <w:abstractNumId w:val="7"/>
  </w:num>
  <w:num w:numId="16">
    <w:abstractNumId w:val="43"/>
  </w:num>
  <w:num w:numId="17">
    <w:abstractNumId w:val="16"/>
  </w:num>
  <w:num w:numId="18">
    <w:abstractNumId w:val="4"/>
  </w:num>
  <w:num w:numId="19">
    <w:abstractNumId w:val="35"/>
  </w:num>
  <w:num w:numId="20">
    <w:abstractNumId w:val="14"/>
  </w:num>
  <w:num w:numId="21">
    <w:abstractNumId w:val="32"/>
  </w:num>
  <w:num w:numId="22">
    <w:abstractNumId w:val="46"/>
  </w:num>
  <w:num w:numId="23">
    <w:abstractNumId w:val="19"/>
  </w:num>
  <w:num w:numId="24">
    <w:abstractNumId w:val="17"/>
  </w:num>
  <w:num w:numId="25">
    <w:abstractNumId w:val="5"/>
  </w:num>
  <w:num w:numId="26">
    <w:abstractNumId w:val="26"/>
  </w:num>
  <w:num w:numId="27">
    <w:abstractNumId w:val="0"/>
  </w:num>
  <w:num w:numId="28">
    <w:abstractNumId w:val="18"/>
  </w:num>
  <w:num w:numId="29">
    <w:abstractNumId w:val="30"/>
  </w:num>
  <w:num w:numId="30">
    <w:abstractNumId w:val="47"/>
  </w:num>
  <w:num w:numId="31">
    <w:abstractNumId w:val="52"/>
  </w:num>
  <w:num w:numId="32">
    <w:abstractNumId w:val="40"/>
  </w:num>
  <w:num w:numId="33">
    <w:abstractNumId w:val="8"/>
  </w:num>
  <w:num w:numId="34">
    <w:abstractNumId w:val="24"/>
  </w:num>
  <w:num w:numId="35">
    <w:abstractNumId w:val="9"/>
  </w:num>
  <w:num w:numId="36">
    <w:abstractNumId w:val="34"/>
  </w:num>
  <w:num w:numId="37">
    <w:abstractNumId w:val="45"/>
  </w:num>
  <w:num w:numId="38">
    <w:abstractNumId w:val="51"/>
  </w:num>
  <w:num w:numId="39">
    <w:abstractNumId w:val="6"/>
  </w:num>
  <w:num w:numId="40">
    <w:abstractNumId w:val="41"/>
  </w:num>
  <w:num w:numId="41">
    <w:abstractNumId w:val="12"/>
  </w:num>
  <w:num w:numId="42">
    <w:abstractNumId w:val="37"/>
  </w:num>
  <w:num w:numId="43">
    <w:abstractNumId w:val="22"/>
  </w:num>
  <w:num w:numId="44">
    <w:abstractNumId w:val="20"/>
  </w:num>
  <w:num w:numId="45">
    <w:abstractNumId w:val="3"/>
  </w:num>
  <w:num w:numId="46">
    <w:abstractNumId w:val="15"/>
  </w:num>
  <w:num w:numId="47">
    <w:abstractNumId w:val="2"/>
  </w:num>
  <w:num w:numId="48">
    <w:abstractNumId w:val="33"/>
  </w:num>
  <w:num w:numId="49">
    <w:abstractNumId w:val="39"/>
  </w:num>
  <w:num w:numId="50">
    <w:abstractNumId w:val="48"/>
  </w:num>
  <w:num w:numId="51">
    <w:abstractNumId w:val="11"/>
  </w:num>
  <w:num w:numId="52">
    <w:abstractNumId w:val="23"/>
  </w:num>
  <w:num w:numId="53">
    <w:abstractNumId w:val="28"/>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2B1"/>
    <w:rsid w:val="00037538"/>
    <w:rsid w:val="00043D75"/>
    <w:rsid w:val="00057000"/>
    <w:rsid w:val="000640E0"/>
    <w:rsid w:val="00071F73"/>
    <w:rsid w:val="000A5CA2"/>
    <w:rsid w:val="000B1A33"/>
    <w:rsid w:val="000B25B1"/>
    <w:rsid w:val="000C0623"/>
    <w:rsid w:val="000C2D6A"/>
    <w:rsid w:val="00120D7F"/>
    <w:rsid w:val="001251DA"/>
    <w:rsid w:val="00125432"/>
    <w:rsid w:val="001353EF"/>
    <w:rsid w:val="00137F40"/>
    <w:rsid w:val="001538B7"/>
    <w:rsid w:val="001871EC"/>
    <w:rsid w:val="001A5C6D"/>
    <w:rsid w:val="001A670F"/>
    <w:rsid w:val="001C62B8"/>
    <w:rsid w:val="001E7B0E"/>
    <w:rsid w:val="001F141D"/>
    <w:rsid w:val="00200A06"/>
    <w:rsid w:val="00217D92"/>
    <w:rsid w:val="00232822"/>
    <w:rsid w:val="00241832"/>
    <w:rsid w:val="0025064E"/>
    <w:rsid w:val="00253DBE"/>
    <w:rsid w:val="002622FA"/>
    <w:rsid w:val="00263518"/>
    <w:rsid w:val="0026606F"/>
    <w:rsid w:val="002759E7"/>
    <w:rsid w:val="00275ED1"/>
    <w:rsid w:val="00277326"/>
    <w:rsid w:val="00294A96"/>
    <w:rsid w:val="002A49E0"/>
    <w:rsid w:val="002B32C3"/>
    <w:rsid w:val="002B3421"/>
    <w:rsid w:val="002C015C"/>
    <w:rsid w:val="002C26C0"/>
    <w:rsid w:val="002C2BC5"/>
    <w:rsid w:val="002C344C"/>
    <w:rsid w:val="002E6104"/>
    <w:rsid w:val="002E79CB"/>
    <w:rsid w:val="002F7EC1"/>
    <w:rsid w:val="002F7F55"/>
    <w:rsid w:val="003007E2"/>
    <w:rsid w:val="0030352D"/>
    <w:rsid w:val="0030745F"/>
    <w:rsid w:val="003143BA"/>
    <w:rsid w:val="00314630"/>
    <w:rsid w:val="0032090A"/>
    <w:rsid w:val="00321CDE"/>
    <w:rsid w:val="00326D02"/>
    <w:rsid w:val="00333E15"/>
    <w:rsid w:val="00336046"/>
    <w:rsid w:val="00350492"/>
    <w:rsid w:val="0037422B"/>
    <w:rsid w:val="00376DC7"/>
    <w:rsid w:val="0038715D"/>
    <w:rsid w:val="00390827"/>
    <w:rsid w:val="00394DBF"/>
    <w:rsid w:val="003957A6"/>
    <w:rsid w:val="00395C05"/>
    <w:rsid w:val="003A43EF"/>
    <w:rsid w:val="003B32AB"/>
    <w:rsid w:val="003C7445"/>
    <w:rsid w:val="003D2CC8"/>
    <w:rsid w:val="003F2BED"/>
    <w:rsid w:val="004166D3"/>
    <w:rsid w:val="004406ED"/>
    <w:rsid w:val="00443878"/>
    <w:rsid w:val="004539A8"/>
    <w:rsid w:val="004712CA"/>
    <w:rsid w:val="0047422E"/>
    <w:rsid w:val="0049674B"/>
    <w:rsid w:val="004A7125"/>
    <w:rsid w:val="004A75C9"/>
    <w:rsid w:val="004C0673"/>
    <w:rsid w:val="004C43B6"/>
    <w:rsid w:val="004C4E4E"/>
    <w:rsid w:val="004F3816"/>
    <w:rsid w:val="00543D41"/>
    <w:rsid w:val="00552142"/>
    <w:rsid w:val="0055782F"/>
    <w:rsid w:val="00566EDA"/>
    <w:rsid w:val="00572654"/>
    <w:rsid w:val="00583CED"/>
    <w:rsid w:val="005A65CB"/>
    <w:rsid w:val="005B29AA"/>
    <w:rsid w:val="005B3023"/>
    <w:rsid w:val="005B5629"/>
    <w:rsid w:val="005C0300"/>
    <w:rsid w:val="005D667A"/>
    <w:rsid w:val="005F4B6A"/>
    <w:rsid w:val="006010F3"/>
    <w:rsid w:val="006126E3"/>
    <w:rsid w:val="00615A0A"/>
    <w:rsid w:val="00620EB4"/>
    <w:rsid w:val="006333D4"/>
    <w:rsid w:val="00635637"/>
    <w:rsid w:val="006369B2"/>
    <w:rsid w:val="00647525"/>
    <w:rsid w:val="006570B0"/>
    <w:rsid w:val="00675958"/>
    <w:rsid w:val="00691C94"/>
    <w:rsid w:val="0069210B"/>
    <w:rsid w:val="006A4055"/>
    <w:rsid w:val="006B5CC7"/>
    <w:rsid w:val="006B6544"/>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1A3D"/>
    <w:rsid w:val="007A6474"/>
    <w:rsid w:val="007C7122"/>
    <w:rsid w:val="007D3F11"/>
    <w:rsid w:val="007E4DAC"/>
    <w:rsid w:val="007E53E4"/>
    <w:rsid w:val="007E656A"/>
    <w:rsid w:val="007F4F94"/>
    <w:rsid w:val="007F664D"/>
    <w:rsid w:val="008128CE"/>
    <w:rsid w:val="0081777D"/>
    <w:rsid w:val="0083704A"/>
    <w:rsid w:val="00841217"/>
    <w:rsid w:val="00842137"/>
    <w:rsid w:val="0089088E"/>
    <w:rsid w:val="00892297"/>
    <w:rsid w:val="008B6F4A"/>
    <w:rsid w:val="008D2938"/>
    <w:rsid w:val="008E0172"/>
    <w:rsid w:val="008E4C27"/>
    <w:rsid w:val="008F18B8"/>
    <w:rsid w:val="008F792E"/>
    <w:rsid w:val="00911949"/>
    <w:rsid w:val="0091404D"/>
    <w:rsid w:val="00914912"/>
    <w:rsid w:val="009406B5"/>
    <w:rsid w:val="00945CEE"/>
    <w:rsid w:val="00946166"/>
    <w:rsid w:val="009649CD"/>
    <w:rsid w:val="00973D64"/>
    <w:rsid w:val="00983164"/>
    <w:rsid w:val="009972EF"/>
    <w:rsid w:val="009B75B3"/>
    <w:rsid w:val="009C215D"/>
    <w:rsid w:val="009C3160"/>
    <w:rsid w:val="009D0A73"/>
    <w:rsid w:val="009E1CC4"/>
    <w:rsid w:val="009E53FF"/>
    <w:rsid w:val="009E766E"/>
    <w:rsid w:val="009F1960"/>
    <w:rsid w:val="009F715E"/>
    <w:rsid w:val="00A10DBB"/>
    <w:rsid w:val="00A11FCD"/>
    <w:rsid w:val="00A2333D"/>
    <w:rsid w:val="00A31D47"/>
    <w:rsid w:val="00A4013E"/>
    <w:rsid w:val="00A4045F"/>
    <w:rsid w:val="00A427CD"/>
    <w:rsid w:val="00A4600B"/>
    <w:rsid w:val="00A50506"/>
    <w:rsid w:val="00A51EF0"/>
    <w:rsid w:val="00A5490E"/>
    <w:rsid w:val="00A55E08"/>
    <w:rsid w:val="00A66E95"/>
    <w:rsid w:val="00A67A81"/>
    <w:rsid w:val="00A730A6"/>
    <w:rsid w:val="00A971A0"/>
    <w:rsid w:val="00AA1F22"/>
    <w:rsid w:val="00AB0B51"/>
    <w:rsid w:val="00AB7B0F"/>
    <w:rsid w:val="00AF750B"/>
    <w:rsid w:val="00B05821"/>
    <w:rsid w:val="00B26C28"/>
    <w:rsid w:val="00B404F7"/>
    <w:rsid w:val="00B4174C"/>
    <w:rsid w:val="00B41790"/>
    <w:rsid w:val="00B453F5"/>
    <w:rsid w:val="00B51352"/>
    <w:rsid w:val="00B61624"/>
    <w:rsid w:val="00B718A5"/>
    <w:rsid w:val="00B813AC"/>
    <w:rsid w:val="00BC1FAE"/>
    <w:rsid w:val="00BC62E2"/>
    <w:rsid w:val="00C13B93"/>
    <w:rsid w:val="00C24E80"/>
    <w:rsid w:val="00C42125"/>
    <w:rsid w:val="00C62814"/>
    <w:rsid w:val="00C74937"/>
    <w:rsid w:val="00C90FD9"/>
    <w:rsid w:val="00CF5D8B"/>
    <w:rsid w:val="00D57D7F"/>
    <w:rsid w:val="00D609AC"/>
    <w:rsid w:val="00D73137"/>
    <w:rsid w:val="00D73F4C"/>
    <w:rsid w:val="00D9352F"/>
    <w:rsid w:val="00DB1307"/>
    <w:rsid w:val="00DD3A8B"/>
    <w:rsid w:val="00DD50DE"/>
    <w:rsid w:val="00DE0892"/>
    <w:rsid w:val="00DE3062"/>
    <w:rsid w:val="00E204DD"/>
    <w:rsid w:val="00E2145E"/>
    <w:rsid w:val="00E353EC"/>
    <w:rsid w:val="00E53C24"/>
    <w:rsid w:val="00E625BC"/>
    <w:rsid w:val="00E65769"/>
    <w:rsid w:val="00E71833"/>
    <w:rsid w:val="00EB444D"/>
    <w:rsid w:val="00EB5930"/>
    <w:rsid w:val="00ED035A"/>
    <w:rsid w:val="00F02294"/>
    <w:rsid w:val="00F25254"/>
    <w:rsid w:val="00F35F57"/>
    <w:rsid w:val="00F50467"/>
    <w:rsid w:val="00F546CC"/>
    <w:rsid w:val="00F562A0"/>
    <w:rsid w:val="00F72FEB"/>
    <w:rsid w:val="00F876DF"/>
    <w:rsid w:val="00FA2177"/>
    <w:rsid w:val="00FB0A28"/>
    <w:rsid w:val="00FB1C01"/>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566EDA"/>
    <w:pPr>
      <w:spacing w:before="240"/>
      <w:outlineLvl w:val="1"/>
    </w:pPr>
  </w:style>
  <w:style w:type="paragraph" w:styleId="Heading3">
    <w:name w:val="heading 3"/>
    <w:aliases w:val="h3,l3,H3,Underrubrik2,Titre 3 Car Car Car"/>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aliases w:val="5,l4"/>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aliases w:val="超级链接,Style 58,超????,超?级链,하이퍼링크2,하이퍼링크21,CEO_Hyperlink"/>
    <w:basedOn w:val="DefaultParagraphFont"/>
    <w:uiPriority w:val="99"/>
    <w:qFormat/>
    <w:rsid w:val="00566EDA"/>
    <w:rPr>
      <w:rFonts w:asciiTheme="majorBidi" w:hAnsiTheme="majorBidi"/>
      <w:color w:val="0000FF"/>
      <w:u w:val="single"/>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aliases w:val="h3 Char,l3 Char,H3 Char,Underrubrik2 Char,Titre 3 Car Car Car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aliases w:val="5 Char,l4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qFormat/>
    <w:rsid w:val="00394DBF"/>
    <w:pPr>
      <w:spacing w:before="0" w:after="200"/>
    </w:pPr>
    <w:rPr>
      <w:i/>
      <w:iCs/>
      <w:color w:val="44546A" w:themeColor="text2"/>
      <w:sz w:val="18"/>
      <w:szCs w:val="18"/>
    </w:rPr>
  </w:style>
  <w:style w:type="paragraph" w:styleId="Header">
    <w:name w:val="header"/>
    <w:aliases w:val="header odd,header entry,HE,h,Header/Footer,页眉"/>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aliases w:val="header odd Char,header entry Char,HE Char,h Char,Header/Footer Char,页眉 Char1"/>
    <w:basedOn w:val="DefaultParagraphFont"/>
    <w:link w:val="Header"/>
    <w:rsid w:val="007E53E4"/>
    <w:rPr>
      <w:rFonts w:ascii="Times New Roman" w:hAnsi="Times New Roman" w:cs="Times New Roman"/>
      <w:sz w:val="20"/>
      <w:szCs w:val="20"/>
      <w:lang w:val="en-GB" w:eastAsia="ja-JP"/>
    </w:rPr>
  </w:style>
  <w:style w:type="paragraph" w:styleId="Footer">
    <w:name w:val="footer"/>
    <w:aliases w:val="pie de página,fo"/>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aliases w:val="pie de página Char,fo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99"/>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99"/>
    <w:qFormat/>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link w:val="NormalWebChar"/>
    <w:uiPriority w:val="99"/>
    <w:unhideWhenUsed/>
    <w:rsid w:val="00635637"/>
    <w:pPr>
      <w:spacing w:before="100" w:beforeAutospacing="1" w:after="100" w:afterAutospacing="1"/>
    </w:pPr>
    <w:rPr>
      <w:rFonts w:eastAsia="Times New Roman"/>
      <w:lang w:val="en-US"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13B93"/>
    <w:pPr>
      <w:spacing w:before="0" w:after="200" w:line="276" w:lineRule="auto"/>
      <w:ind w:left="720"/>
      <w:contextualSpacing/>
    </w:pPr>
    <w:rPr>
      <w:rFonts w:asciiTheme="minorHAnsi" w:hAnsiTheme="minorHAnsi" w:cstheme="minorBidi"/>
      <w:sz w:val="22"/>
      <w:szCs w:val="22"/>
      <w:lang w:val="en-US" w:eastAsia="zh-CN"/>
    </w:rPr>
  </w:style>
  <w:style w:type="paragraph" w:customStyle="1" w:styleId="Reasons">
    <w:name w:val="Reasons"/>
    <w:basedOn w:val="Normal"/>
    <w:qFormat/>
    <w:rsid w:val="00C13B93"/>
    <w:pPr>
      <w:spacing w:before="0"/>
    </w:pPr>
    <w:rPr>
      <w:rFonts w:eastAsia="Times New Roman"/>
      <w:szCs w:val="20"/>
      <w:lang w:val="en-US" w:eastAsia="en-US"/>
    </w:rPr>
  </w:style>
  <w:style w:type="paragraph" w:customStyle="1" w:styleId="Heading-b">
    <w:name w:val="Heading-b"/>
    <w:basedOn w:val="Normal"/>
    <w:rsid w:val="00620EB4"/>
    <w:rPr>
      <w:lang w:val="fr-FR"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2F7EC1"/>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B32AB"/>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3B32AB"/>
    <w:rPr>
      <w:rFonts w:cs="Times New Roman"/>
      <w:b/>
      <w:sz w:val="24"/>
      <w:lang w:val="en-GB" w:eastAsia="en-US" w:bidi="ar-SA"/>
    </w:rPr>
  </w:style>
  <w:style w:type="character" w:customStyle="1" w:styleId="AnnexNotitleChar">
    <w:name w:val="Annex_No &amp; title Char"/>
    <w:basedOn w:val="DefaultParagraphFont"/>
    <w:link w:val="AnnexNotitle"/>
    <w:locked/>
    <w:rsid w:val="003B32AB"/>
    <w:rPr>
      <w:rFonts w:ascii="Times New Roman" w:eastAsia="Times New Roman" w:hAnsi="Times New Roman" w:cs="Times New Roman"/>
      <w:b/>
      <w:sz w:val="28"/>
      <w:szCs w:val="20"/>
      <w:lang w:val="en-GB" w:eastAsia="en-US"/>
    </w:rPr>
  </w:style>
  <w:style w:type="character" w:customStyle="1" w:styleId="Appdef">
    <w:name w:val="App_def"/>
    <w:basedOn w:val="DefaultParagraphFont"/>
    <w:rsid w:val="003B32AB"/>
    <w:rPr>
      <w:rFonts w:ascii="Times New Roman" w:hAnsi="Times New Roman" w:cs="Times New Roman"/>
      <w:b/>
    </w:rPr>
  </w:style>
  <w:style w:type="character" w:customStyle="1" w:styleId="Appref">
    <w:name w:val="App_ref"/>
    <w:basedOn w:val="DefaultParagraphFont"/>
    <w:rsid w:val="003B32AB"/>
    <w:rPr>
      <w:rFonts w:cs="Times New Roman"/>
    </w:rPr>
  </w:style>
  <w:style w:type="character" w:customStyle="1" w:styleId="Artdef">
    <w:name w:val="Art_def"/>
    <w:basedOn w:val="DefaultParagraphFont"/>
    <w:rsid w:val="003B32AB"/>
    <w:rPr>
      <w:rFonts w:ascii="Times New Roman" w:hAnsi="Times New Roman" w:cs="Times New Roman"/>
      <w:b/>
    </w:rPr>
  </w:style>
  <w:style w:type="paragraph" w:customStyle="1" w:styleId="Artheading">
    <w:name w:val="Art_heading"/>
    <w:basedOn w:val="Normal"/>
    <w:next w:val="Normal"/>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val="en-US" w:eastAsia="zh-CN"/>
    </w:rPr>
  </w:style>
  <w:style w:type="paragraph" w:customStyle="1" w:styleId="ArtNo">
    <w:name w:val="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character" w:customStyle="1" w:styleId="Artref">
    <w:name w:val="Art_ref"/>
    <w:basedOn w:val="DefaultParagraphFont"/>
    <w:rsid w:val="003B32AB"/>
    <w:rPr>
      <w:rFonts w:cs="Times New Roman"/>
    </w:rPr>
  </w:style>
  <w:style w:type="paragraph" w:customStyle="1" w:styleId="Arttitle">
    <w:name w:val="Art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paragraph" w:customStyle="1" w:styleId="ASN1">
    <w:name w:val="ASN.1"/>
    <w:basedOn w:val="Normal"/>
    <w:link w:val="ASN1Car"/>
    <w:rsid w:val="003B32AB"/>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szCs w:val="20"/>
      <w:lang w:val="en-US" w:eastAsia="zh-CN"/>
    </w:rPr>
  </w:style>
  <w:style w:type="character" w:customStyle="1" w:styleId="ASN1Car">
    <w:name w:val="ASN.1 Car"/>
    <w:basedOn w:val="DefaultParagraphFont"/>
    <w:link w:val="ASN1"/>
    <w:locked/>
    <w:rsid w:val="003B32AB"/>
    <w:rPr>
      <w:rFonts w:ascii="Courier New" w:eastAsia="Times New Roman" w:hAnsi="Courier New" w:cs="Times New Roman"/>
      <w:b/>
      <w:noProof/>
      <w:sz w:val="20"/>
      <w:szCs w:val="20"/>
    </w:rPr>
  </w:style>
  <w:style w:type="paragraph" w:customStyle="1" w:styleId="Call">
    <w:name w:val="Call"/>
    <w:basedOn w:val="Normal"/>
    <w:next w:val="Normal"/>
    <w:link w:val="CallChar"/>
    <w:rsid w:val="003B32A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val="en-US" w:eastAsia="zh-CN"/>
    </w:rPr>
  </w:style>
  <w:style w:type="paragraph" w:customStyle="1" w:styleId="ChapNo">
    <w:name w:val="Chap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val="en-US" w:eastAsia="zh-CN"/>
    </w:rPr>
  </w:style>
  <w:style w:type="paragraph" w:customStyle="1" w:styleId="Chaptitle">
    <w:name w:val="Chap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character" w:styleId="EndnoteReference">
    <w:name w:val="endnote reference"/>
    <w:basedOn w:val="DefaultParagraphFont"/>
    <w:rsid w:val="003B32AB"/>
    <w:rPr>
      <w:rFonts w:cs="Times New Roman"/>
      <w:vertAlign w:val="superscript"/>
    </w:rPr>
  </w:style>
  <w:style w:type="character" w:customStyle="1" w:styleId="enumlev1Char">
    <w:name w:val="enumlev1 Char"/>
    <w:basedOn w:val="DefaultParagraphFont"/>
    <w:link w:val="enumlev1"/>
    <w:locked/>
    <w:rsid w:val="003B32AB"/>
    <w:rPr>
      <w:rFonts w:ascii="Times New Roman" w:eastAsia="Times New Roman" w:hAnsi="Times New Roman" w:cs="Times New Roman"/>
      <w:sz w:val="24"/>
      <w:szCs w:val="20"/>
      <w:lang w:val="en-GB" w:eastAsia="en-US"/>
    </w:rPr>
  </w:style>
  <w:style w:type="paragraph" w:customStyle="1" w:styleId="Equation">
    <w:name w:val="Equation"/>
    <w:basedOn w:val="Normal"/>
    <w:rsid w:val="003B32AB"/>
    <w:pPr>
      <w:tabs>
        <w:tab w:val="left" w:pos="794"/>
        <w:tab w:val="center" w:pos="4820"/>
        <w:tab w:val="right" w:pos="9639"/>
      </w:tabs>
      <w:overflowPunct w:val="0"/>
      <w:autoSpaceDE w:val="0"/>
      <w:autoSpaceDN w:val="0"/>
      <w:adjustRightInd w:val="0"/>
      <w:textAlignment w:val="baseline"/>
    </w:pPr>
    <w:rPr>
      <w:rFonts w:eastAsia="Times New Roman"/>
      <w:szCs w:val="20"/>
      <w:lang w:val="en-US" w:eastAsia="zh-CN"/>
    </w:rPr>
  </w:style>
  <w:style w:type="paragraph" w:customStyle="1" w:styleId="Equationlegend">
    <w:name w:val="Equation_legend"/>
    <w:basedOn w:val="Normal"/>
    <w:rsid w:val="003B32AB"/>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val="en-US" w:eastAsia="zh-CN"/>
    </w:rPr>
  </w:style>
  <w:style w:type="paragraph" w:customStyle="1" w:styleId="Figurelegend">
    <w:name w:val="Figure_legend"/>
    <w:basedOn w:val="Normal"/>
    <w:rsid w:val="003B32AB"/>
    <w:pPr>
      <w:keepNext/>
      <w:keepLines/>
      <w:overflowPunct w:val="0"/>
      <w:autoSpaceDE w:val="0"/>
      <w:autoSpaceDN w:val="0"/>
      <w:adjustRightInd w:val="0"/>
      <w:spacing w:before="20" w:after="20"/>
      <w:textAlignment w:val="baseline"/>
    </w:pPr>
    <w:rPr>
      <w:rFonts w:eastAsia="Times New Roman"/>
      <w:sz w:val="18"/>
      <w:szCs w:val="20"/>
      <w:lang w:val="en-US" w:eastAsia="zh-CN"/>
    </w:rPr>
  </w:style>
  <w:style w:type="paragraph" w:customStyle="1" w:styleId="FigureNoBR">
    <w:name w:val="Figure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val="en-US" w:eastAsia="zh-CN"/>
    </w:rPr>
  </w:style>
  <w:style w:type="paragraph" w:customStyle="1" w:styleId="TabletitleBR">
    <w:name w:val="Table_title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val="en-US" w:eastAsia="zh-CN"/>
    </w:rPr>
  </w:style>
  <w:style w:type="paragraph" w:customStyle="1" w:styleId="FiguretitleBR">
    <w:name w:val="Figure_title_BR"/>
    <w:basedOn w:val="TabletitleBR"/>
    <w:next w:val="Normal"/>
    <w:rsid w:val="003B32AB"/>
    <w:pPr>
      <w:keepNext w:val="0"/>
      <w:spacing w:after="480"/>
    </w:pPr>
  </w:style>
  <w:style w:type="paragraph" w:customStyle="1" w:styleId="Figurewithouttitle">
    <w:name w:val="Figure_without_title"/>
    <w:basedOn w:val="Normal"/>
    <w:next w:val="Normal"/>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val="en-US" w:eastAsia="zh-CN"/>
    </w:rPr>
  </w:style>
  <w:style w:type="paragraph" w:customStyle="1" w:styleId="FirstFooter">
    <w:name w:val="FirstFooter"/>
    <w:basedOn w:val="Footer"/>
    <w:rsid w:val="003B32AB"/>
    <w:pPr>
      <w:tabs>
        <w:tab w:val="clear" w:pos="4680"/>
        <w:tab w:val="clear" w:pos="9360"/>
      </w:tabs>
      <w:spacing w:before="40"/>
    </w:pPr>
    <w:rPr>
      <w:rFonts w:eastAsia="Times New Roman"/>
      <w:sz w:val="16"/>
      <w:szCs w:val="20"/>
      <w:lang w:val="en-US" w:eastAsia="zh-CN"/>
    </w:rPr>
  </w:style>
  <w:style w:type="paragraph" w:customStyle="1" w:styleId="FooterQP">
    <w:name w:val="Footer_QP"/>
    <w:basedOn w:val="Normal"/>
    <w:rsid w:val="003B32A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val="en-US" w:eastAsia="zh-CN"/>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3B32AB"/>
    <w:rPr>
      <w:rFonts w:cs="Times New Roman"/>
      <w:position w:val="6"/>
      <w:sz w:val="18"/>
    </w:rPr>
  </w:style>
  <w:style w:type="paragraph" w:customStyle="1" w:styleId="Note">
    <w:name w:val="Note"/>
    <w:basedOn w:val="Normal"/>
    <w:rsid w:val="003B32A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val="en-US" w:eastAsia="zh-CN"/>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3B32A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B32AB"/>
    <w:rPr>
      <w:rFonts w:ascii="Times New Roman" w:eastAsia="Times New Roman" w:hAnsi="Times New Roman" w:cs="Times New Roman"/>
      <w:sz w:val="24"/>
      <w:szCs w:val="20"/>
    </w:rPr>
  </w:style>
  <w:style w:type="character" w:customStyle="1" w:styleId="HeaderChar1">
    <w:name w:val="Header Char1"/>
    <w:aliases w:val="header odd Char1,header entry Char1,HE Char1,h Char1,Header/Footer Char1,页眉 Char"/>
    <w:basedOn w:val="DefaultParagraphFont"/>
    <w:locked/>
    <w:rsid w:val="003B32AB"/>
    <w:rPr>
      <w:rFonts w:cs="Times New Roman"/>
      <w:sz w:val="18"/>
      <w:lang w:val="en-GB" w:eastAsia="en-US" w:bidi="ar-SA"/>
    </w:rPr>
  </w:style>
  <w:style w:type="character" w:customStyle="1" w:styleId="CommentSubjectChar">
    <w:name w:val="Comment Subject Char"/>
    <w:basedOn w:val="DefaultParagraphFont"/>
    <w:link w:val="CommentSubject"/>
    <w:locked/>
    <w:rsid w:val="003B32AB"/>
    <w:rPr>
      <w:rFonts w:cs="Times New Roman"/>
      <w:sz w:val="18"/>
      <w:lang w:val="en-GB" w:eastAsia="en-US"/>
    </w:rPr>
  </w:style>
  <w:style w:type="paragraph" w:styleId="CommentText">
    <w:name w:val="annotation text"/>
    <w:basedOn w:val="Normal"/>
    <w:link w:val="CommentTextChar"/>
    <w:unhideWhenUsed/>
    <w:rsid w:val="003B32AB"/>
    <w:rPr>
      <w:sz w:val="20"/>
      <w:szCs w:val="20"/>
    </w:rPr>
  </w:style>
  <w:style w:type="character" w:customStyle="1" w:styleId="CommentTextChar">
    <w:name w:val="Comment Text Char"/>
    <w:basedOn w:val="DefaultParagraphFont"/>
    <w:link w:val="CommentText"/>
    <w:rsid w:val="003B32AB"/>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3B32AB"/>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18"/>
      <w:szCs w:val="22"/>
      <w:lang w:eastAsia="en-US"/>
    </w:rPr>
  </w:style>
  <w:style w:type="character" w:customStyle="1" w:styleId="CommentSubjectChar1">
    <w:name w:val="Comment Subject Char1"/>
    <w:basedOn w:val="CommentTextChar"/>
    <w:uiPriority w:val="99"/>
    <w:rsid w:val="003B32AB"/>
    <w:rPr>
      <w:rFonts w:ascii="Times New Roman" w:hAnsi="Times New Roman" w:cs="Times New Roman"/>
      <w:b/>
      <w:bCs/>
      <w:sz w:val="20"/>
      <w:szCs w:val="20"/>
      <w:lang w:val="en-GB" w:eastAsia="ja-JP"/>
    </w:rPr>
  </w:style>
  <w:style w:type="character" w:customStyle="1" w:styleId="CharChar8">
    <w:name w:val="Char Char8"/>
    <w:basedOn w:val="DefaultParagraphFont"/>
    <w:uiPriority w:val="99"/>
    <w:rsid w:val="003B32AB"/>
    <w:rPr>
      <w:rFonts w:cs="Times New Roman"/>
      <w:lang w:val="en-GB"/>
    </w:rPr>
  </w:style>
  <w:style w:type="paragraph" w:styleId="Index1">
    <w:name w:val="index 1"/>
    <w:basedOn w:val="Normal"/>
    <w:next w:val="Normal"/>
    <w:semiHidden/>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val="en-US" w:eastAsia="zh-CN"/>
    </w:rPr>
  </w:style>
  <w:style w:type="paragraph" w:styleId="Index2">
    <w:name w:val="index 2"/>
    <w:basedOn w:val="Normal"/>
    <w:next w:val="Normal"/>
    <w:semiHidden/>
    <w:rsid w:val="003B32AB"/>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val="en-US" w:eastAsia="zh-CN"/>
    </w:rPr>
  </w:style>
  <w:style w:type="paragraph" w:styleId="Index3">
    <w:name w:val="index 3"/>
    <w:basedOn w:val="Normal"/>
    <w:next w:val="Normal"/>
    <w:semiHidden/>
    <w:rsid w:val="003B32AB"/>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val="en-US" w:eastAsia="zh-CN"/>
    </w:rPr>
  </w:style>
  <w:style w:type="paragraph" w:customStyle="1" w:styleId="Normalaftertitle">
    <w:name w:val="Normal_after_title"/>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val="en-US" w:eastAsia="zh-CN"/>
    </w:rPr>
  </w:style>
  <w:style w:type="character" w:styleId="PageNumber">
    <w:name w:val="page number"/>
    <w:basedOn w:val="DefaultParagraphFont"/>
    <w:rsid w:val="003B32AB"/>
    <w:rPr>
      <w:rFonts w:cs="Times New Roman"/>
    </w:rPr>
  </w:style>
  <w:style w:type="paragraph" w:customStyle="1" w:styleId="PartNo">
    <w:name w:val="P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Partref">
    <w:name w:val="Part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val="en-US" w:eastAsia="zh-CN"/>
    </w:rPr>
  </w:style>
  <w:style w:type="paragraph" w:customStyle="1" w:styleId="Parttitle">
    <w:name w:val="Part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val="en-US" w:eastAsia="zh-CN"/>
    </w:rPr>
  </w:style>
  <w:style w:type="paragraph" w:customStyle="1" w:styleId="Recdate">
    <w:name w:val="Rec_date"/>
    <w:basedOn w:val="Normal"/>
    <w:next w:val="Normalaftertitle"/>
    <w:rsid w:val="003B32AB"/>
    <w:pPr>
      <w:keepNext/>
      <w:keepLines/>
      <w:overflowPunct w:val="0"/>
      <w:autoSpaceDE w:val="0"/>
      <w:autoSpaceDN w:val="0"/>
      <w:adjustRightInd w:val="0"/>
      <w:jc w:val="right"/>
      <w:textAlignment w:val="baseline"/>
    </w:pPr>
    <w:rPr>
      <w:rFonts w:eastAsia="Times New Roman"/>
      <w:i/>
      <w:sz w:val="22"/>
      <w:szCs w:val="20"/>
      <w:lang w:val="en-US" w:eastAsia="zh-CN"/>
    </w:rPr>
  </w:style>
  <w:style w:type="paragraph" w:customStyle="1" w:styleId="Questiondate">
    <w:name w:val="Question_date"/>
    <w:basedOn w:val="Recdate"/>
    <w:next w:val="Normalaftertitle"/>
    <w:rsid w:val="003B32AB"/>
  </w:style>
  <w:style w:type="paragraph" w:customStyle="1" w:styleId="QuestionNo">
    <w:name w:val="Question_No"/>
    <w:basedOn w:val="RecNo"/>
    <w:next w:val="Normal"/>
    <w:rsid w:val="003B32AB"/>
    <w:rPr>
      <w:rFonts w:eastAsia="Times New Roman"/>
      <w:lang w:val="en-US" w:eastAsia="zh-CN"/>
    </w:rPr>
  </w:style>
  <w:style w:type="paragraph" w:customStyle="1" w:styleId="RecNoBR">
    <w:name w:val="Rec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paragraph" w:customStyle="1" w:styleId="QuestionNoBR">
    <w:name w:val="Question_No_BR"/>
    <w:basedOn w:val="RecNoBR"/>
    <w:next w:val="Normal"/>
    <w:rsid w:val="003B32AB"/>
  </w:style>
  <w:style w:type="paragraph" w:customStyle="1" w:styleId="Recref">
    <w:name w:val="Rec_ref"/>
    <w:basedOn w:val="Normal"/>
    <w:next w:val="Recdate"/>
    <w:uiPriority w:val="99"/>
    <w:qFormat/>
    <w:rsid w:val="003B32AB"/>
    <w:pPr>
      <w:keepNext/>
      <w:keepLines/>
      <w:overflowPunct w:val="0"/>
      <w:autoSpaceDE w:val="0"/>
      <w:autoSpaceDN w:val="0"/>
      <w:adjustRightInd w:val="0"/>
      <w:jc w:val="center"/>
      <w:textAlignment w:val="baseline"/>
    </w:pPr>
    <w:rPr>
      <w:rFonts w:eastAsia="Times New Roman"/>
      <w:i/>
      <w:szCs w:val="20"/>
      <w:lang w:val="en-US" w:eastAsia="zh-CN"/>
    </w:rPr>
  </w:style>
  <w:style w:type="paragraph" w:customStyle="1" w:styleId="Questionref">
    <w:name w:val="Question_ref"/>
    <w:basedOn w:val="Recref"/>
    <w:next w:val="Questiondate"/>
    <w:rsid w:val="003B32AB"/>
  </w:style>
  <w:style w:type="paragraph" w:customStyle="1" w:styleId="Questiontitle">
    <w:name w:val="Question_title"/>
    <w:basedOn w:val="Rectitle"/>
    <w:next w:val="Questionref"/>
    <w:rsid w:val="003B32AB"/>
    <w:rPr>
      <w:rFonts w:eastAsia="Times New Roman"/>
      <w:lang w:val="en-US" w:eastAsia="zh-CN"/>
    </w:rPr>
  </w:style>
  <w:style w:type="character" w:customStyle="1" w:styleId="Recdef">
    <w:name w:val="Rec_def"/>
    <w:basedOn w:val="DefaultParagraphFont"/>
    <w:rsid w:val="003B32AB"/>
    <w:rPr>
      <w:rFonts w:cs="Times New Roman"/>
      <w:b/>
    </w:rPr>
  </w:style>
  <w:style w:type="paragraph" w:customStyle="1" w:styleId="Reftitle">
    <w:name w:val="Ref_title"/>
    <w:basedOn w:val="Normal"/>
    <w:next w:val="Reftext"/>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val="en-US" w:eastAsia="zh-CN"/>
    </w:rPr>
  </w:style>
  <w:style w:type="paragraph" w:customStyle="1" w:styleId="Repdate">
    <w:name w:val="Rep_date"/>
    <w:basedOn w:val="Recdate"/>
    <w:next w:val="Normalaftertitle"/>
    <w:rsid w:val="003B32AB"/>
  </w:style>
  <w:style w:type="paragraph" w:customStyle="1" w:styleId="RepNo">
    <w:name w:val="Rep_No"/>
    <w:basedOn w:val="RecNo"/>
    <w:next w:val="Normal"/>
    <w:rsid w:val="003B32AB"/>
    <w:rPr>
      <w:rFonts w:eastAsia="Times New Roman"/>
      <w:lang w:val="en-US" w:eastAsia="zh-CN"/>
    </w:rPr>
  </w:style>
  <w:style w:type="paragraph" w:customStyle="1" w:styleId="RepNoBR">
    <w:name w:val="Rep_No_BR"/>
    <w:basedOn w:val="RecNoBR"/>
    <w:next w:val="Normal"/>
    <w:rsid w:val="003B32AB"/>
  </w:style>
  <w:style w:type="paragraph" w:customStyle="1" w:styleId="Repref">
    <w:name w:val="Rep_ref"/>
    <w:basedOn w:val="Recref"/>
    <w:next w:val="Repdate"/>
    <w:rsid w:val="003B32AB"/>
  </w:style>
  <w:style w:type="paragraph" w:customStyle="1" w:styleId="Reptitle">
    <w:name w:val="Rep_title"/>
    <w:basedOn w:val="Rectitle"/>
    <w:next w:val="Repref"/>
    <w:rsid w:val="003B32AB"/>
    <w:rPr>
      <w:rFonts w:eastAsia="Times New Roman"/>
      <w:lang w:val="en-US" w:eastAsia="zh-CN"/>
    </w:rPr>
  </w:style>
  <w:style w:type="paragraph" w:customStyle="1" w:styleId="Resdate">
    <w:name w:val="Res_date"/>
    <w:basedOn w:val="Recdate"/>
    <w:next w:val="Normalaftertitle"/>
    <w:rsid w:val="003B32AB"/>
  </w:style>
  <w:style w:type="character" w:customStyle="1" w:styleId="Resdef">
    <w:name w:val="Res_def"/>
    <w:basedOn w:val="DefaultParagraphFont"/>
    <w:rsid w:val="003B32AB"/>
    <w:rPr>
      <w:rFonts w:ascii="Times New Roman" w:hAnsi="Times New Roman" w:cs="Times New Roman"/>
      <w:b/>
    </w:rPr>
  </w:style>
  <w:style w:type="paragraph" w:customStyle="1" w:styleId="ResNo">
    <w:name w:val="Res_No"/>
    <w:basedOn w:val="RecNo"/>
    <w:next w:val="Normal"/>
    <w:rsid w:val="003B32AB"/>
    <w:rPr>
      <w:rFonts w:eastAsia="Times New Roman"/>
      <w:lang w:val="en-US" w:eastAsia="zh-CN"/>
    </w:rPr>
  </w:style>
  <w:style w:type="paragraph" w:customStyle="1" w:styleId="ResNoBR">
    <w:name w:val="Res_No_BR"/>
    <w:basedOn w:val="RecNoBR"/>
    <w:next w:val="Normal"/>
    <w:rsid w:val="003B32AB"/>
  </w:style>
  <w:style w:type="paragraph" w:customStyle="1" w:styleId="Resref">
    <w:name w:val="Res_ref"/>
    <w:basedOn w:val="Recref"/>
    <w:next w:val="Resdate"/>
    <w:qFormat/>
    <w:rsid w:val="003B32AB"/>
  </w:style>
  <w:style w:type="paragraph" w:customStyle="1" w:styleId="Restitle">
    <w:name w:val="Res_title"/>
    <w:basedOn w:val="Rectitle"/>
    <w:next w:val="Resref"/>
    <w:rsid w:val="003B32AB"/>
    <w:rPr>
      <w:rFonts w:eastAsia="Times New Roman"/>
      <w:lang w:val="en-US" w:eastAsia="zh-CN"/>
    </w:rPr>
  </w:style>
  <w:style w:type="paragraph" w:customStyle="1" w:styleId="Section1">
    <w:name w:val="Section_1"/>
    <w:basedOn w:val="Normal"/>
    <w:next w:val="Normal"/>
    <w:rsid w:val="003B32AB"/>
    <w:pPr>
      <w:overflowPunct w:val="0"/>
      <w:autoSpaceDE w:val="0"/>
      <w:autoSpaceDN w:val="0"/>
      <w:adjustRightInd w:val="0"/>
      <w:spacing w:before="624"/>
      <w:jc w:val="center"/>
      <w:textAlignment w:val="baseline"/>
    </w:pPr>
    <w:rPr>
      <w:rFonts w:eastAsia="Times New Roman"/>
      <w:b/>
      <w:szCs w:val="20"/>
      <w:lang w:val="en-US" w:eastAsia="zh-CN"/>
    </w:rPr>
  </w:style>
  <w:style w:type="paragraph" w:customStyle="1" w:styleId="Section2">
    <w:name w:val="Section_2"/>
    <w:basedOn w:val="Normal"/>
    <w:next w:val="Normal"/>
    <w:rsid w:val="003B32AB"/>
    <w:pPr>
      <w:overflowPunct w:val="0"/>
      <w:autoSpaceDE w:val="0"/>
      <w:autoSpaceDN w:val="0"/>
      <w:adjustRightInd w:val="0"/>
      <w:spacing w:before="240"/>
      <w:jc w:val="center"/>
      <w:textAlignment w:val="baseline"/>
    </w:pPr>
    <w:rPr>
      <w:rFonts w:eastAsia="Times New Roman"/>
      <w:i/>
      <w:szCs w:val="20"/>
      <w:lang w:val="en-US" w:eastAsia="zh-CN"/>
    </w:rPr>
  </w:style>
  <w:style w:type="paragraph" w:customStyle="1" w:styleId="SectionNo">
    <w:name w:val="Section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Sectiontitle">
    <w:name w:val="Section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val="en-US" w:eastAsia="zh-CN"/>
    </w:rPr>
  </w:style>
  <w:style w:type="paragraph" w:customStyle="1" w:styleId="Source">
    <w:name w:val="Source"/>
    <w:basedOn w:val="Normal"/>
    <w:next w:val="Normalaftertitle"/>
    <w:rsid w:val="003B32AB"/>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val="en-US" w:eastAsia="zh-CN"/>
    </w:rPr>
  </w:style>
  <w:style w:type="paragraph" w:customStyle="1" w:styleId="SpecialFooter">
    <w:name w:val="Special Footer"/>
    <w:basedOn w:val="Footer"/>
    <w:rsid w:val="003B32AB"/>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US" w:eastAsia="zh-CN"/>
    </w:rPr>
  </w:style>
  <w:style w:type="character" w:customStyle="1" w:styleId="Tablefreq">
    <w:name w:val="Table_freq"/>
    <w:basedOn w:val="DefaultParagraphFont"/>
    <w:rsid w:val="003B32AB"/>
    <w:rPr>
      <w:rFonts w:cs="Times New Roman"/>
      <w:b/>
      <w:color w:val="auto"/>
    </w:rPr>
  </w:style>
  <w:style w:type="character" w:customStyle="1" w:styleId="TableNotitleChar">
    <w:name w:val="Table_No &amp; title Char"/>
    <w:basedOn w:val="DefaultParagraphFont"/>
    <w:uiPriority w:val="99"/>
    <w:rsid w:val="003B32AB"/>
    <w:rPr>
      <w:rFonts w:cs="Times New Roman"/>
      <w:b/>
      <w:sz w:val="24"/>
      <w:lang w:val="en-GB" w:eastAsia="en-US" w:bidi="ar-SA"/>
    </w:rPr>
  </w:style>
  <w:style w:type="paragraph" w:customStyle="1" w:styleId="TableNoBR">
    <w:name w:val="Table_No_BR"/>
    <w:basedOn w:val="Normal"/>
    <w:next w:val="TabletitleBR"/>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val="en-US" w:eastAsia="zh-CN"/>
    </w:rPr>
  </w:style>
  <w:style w:type="paragraph" w:customStyle="1" w:styleId="Tableref">
    <w:name w:val="Table_ref"/>
    <w:basedOn w:val="Normal"/>
    <w:next w:val="TabletitleBR"/>
    <w:rsid w:val="003B32A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val="en-US" w:eastAsia="zh-CN"/>
    </w:rPr>
  </w:style>
  <w:style w:type="character" w:customStyle="1" w:styleId="TabletextChar">
    <w:name w:val="Table_text Char"/>
    <w:basedOn w:val="DefaultParagraphFont"/>
    <w:rsid w:val="003B32AB"/>
    <w:rPr>
      <w:rFonts w:cs="Times New Roman"/>
      <w:sz w:val="22"/>
      <w:lang w:val="en-GB" w:eastAsia="en-US" w:bidi="ar-SA"/>
    </w:rPr>
  </w:style>
  <w:style w:type="paragraph" w:customStyle="1" w:styleId="Title1">
    <w:name w:val="Title 1"/>
    <w:basedOn w:val="Source"/>
    <w:next w:val="Normal"/>
    <w:rsid w:val="003B32A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B32AB"/>
  </w:style>
  <w:style w:type="paragraph" w:customStyle="1" w:styleId="Title3">
    <w:name w:val="Title 3"/>
    <w:basedOn w:val="Title2"/>
    <w:next w:val="Normal"/>
    <w:rsid w:val="003B32AB"/>
    <w:rPr>
      <w:caps w:val="0"/>
    </w:rPr>
  </w:style>
  <w:style w:type="paragraph" w:customStyle="1" w:styleId="Title4">
    <w:name w:val="Title 4"/>
    <w:basedOn w:val="Title3"/>
    <w:next w:val="Heading1"/>
    <w:rsid w:val="003B32AB"/>
    <w:rPr>
      <w:b/>
    </w:rPr>
  </w:style>
  <w:style w:type="paragraph" w:customStyle="1" w:styleId="toc0">
    <w:name w:val="toc 0"/>
    <w:basedOn w:val="Normal"/>
    <w:next w:val="TOC1"/>
    <w:rsid w:val="003B32AB"/>
    <w:pPr>
      <w:tabs>
        <w:tab w:val="right" w:pos="9639"/>
      </w:tabs>
      <w:overflowPunct w:val="0"/>
      <w:autoSpaceDE w:val="0"/>
      <w:autoSpaceDN w:val="0"/>
      <w:adjustRightInd w:val="0"/>
      <w:textAlignment w:val="baseline"/>
    </w:pPr>
    <w:rPr>
      <w:rFonts w:eastAsia="Times New Roman"/>
      <w:b/>
      <w:szCs w:val="20"/>
      <w:lang w:val="en-US" w:eastAsia="zh-CN"/>
    </w:rPr>
  </w:style>
  <w:style w:type="paragraph" w:styleId="TOC4">
    <w:name w:val="toc 4"/>
    <w:basedOn w:val="TOC3"/>
    <w:uiPriority w:val="39"/>
    <w:rsid w:val="003B32AB"/>
    <w:pPr>
      <w:tabs>
        <w:tab w:val="clear" w:pos="9356"/>
        <w:tab w:val="left" w:pos="964"/>
        <w:tab w:val="left" w:leader="dot" w:pos="8789"/>
      </w:tabs>
      <w:ind w:left="1531"/>
    </w:pPr>
    <w:rPr>
      <w:rFonts w:eastAsia="Times New Roman"/>
      <w:noProof w:val="0"/>
      <w:lang w:val="en-US" w:eastAsia="zh-CN"/>
    </w:rPr>
  </w:style>
  <w:style w:type="paragraph" w:styleId="TOC5">
    <w:name w:val="toc 5"/>
    <w:basedOn w:val="TOC4"/>
    <w:uiPriority w:val="39"/>
    <w:rsid w:val="003B32AB"/>
  </w:style>
  <w:style w:type="paragraph" w:styleId="TOC6">
    <w:name w:val="toc 6"/>
    <w:basedOn w:val="TOC4"/>
    <w:uiPriority w:val="39"/>
    <w:rsid w:val="003B32AB"/>
  </w:style>
  <w:style w:type="paragraph" w:styleId="TOC7">
    <w:name w:val="toc 7"/>
    <w:basedOn w:val="TOC4"/>
    <w:uiPriority w:val="39"/>
    <w:rsid w:val="003B32AB"/>
  </w:style>
  <w:style w:type="paragraph" w:styleId="TOC8">
    <w:name w:val="toc 8"/>
    <w:basedOn w:val="TOC4"/>
    <w:uiPriority w:val="39"/>
    <w:rsid w:val="003B32AB"/>
  </w:style>
  <w:style w:type="paragraph" w:customStyle="1" w:styleId="Normalaftertitle0">
    <w:name w:val="Normal after title"/>
    <w:basedOn w:val="Normal"/>
    <w:next w:val="Normal"/>
    <w:rsid w:val="003B32AB"/>
    <w:pPr>
      <w:tabs>
        <w:tab w:val="left" w:pos="794"/>
        <w:tab w:val="left" w:pos="1191"/>
        <w:tab w:val="left" w:pos="1588"/>
        <w:tab w:val="left" w:pos="1985"/>
      </w:tabs>
      <w:spacing w:before="320"/>
    </w:pPr>
    <w:rPr>
      <w:rFonts w:eastAsia="Times New Roman"/>
      <w:szCs w:val="20"/>
      <w:lang w:val="en-US" w:eastAsia="zh-CN"/>
    </w:rPr>
  </w:style>
  <w:style w:type="paragraph" w:customStyle="1" w:styleId="TableHead0">
    <w:name w:val="Table_Head"/>
    <w:basedOn w:val="TableText0"/>
    <w:link w:val="TableHeadChar"/>
    <w:rsid w:val="003B32AB"/>
    <w:pPr>
      <w:keepNext/>
      <w:spacing w:before="80" w:after="80"/>
      <w:jc w:val="center"/>
    </w:pPr>
    <w:rPr>
      <w:b/>
      <w:lang w:val="en-GB" w:eastAsia="en-US"/>
    </w:rPr>
  </w:style>
  <w:style w:type="paragraph" w:customStyle="1" w:styleId="TableText0">
    <w:name w:val="Table_Text"/>
    <w:basedOn w:val="Normal"/>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zh-CN"/>
    </w:rPr>
  </w:style>
  <w:style w:type="character" w:customStyle="1" w:styleId="TableHeadChar">
    <w:name w:val="Table_Head Char"/>
    <w:basedOn w:val="TableTextChar0"/>
    <w:link w:val="TableHead0"/>
    <w:locked/>
    <w:rsid w:val="003B32AB"/>
    <w:rPr>
      <w:rFonts w:ascii="Times New Roman" w:eastAsia="Times New Roman" w:hAnsi="Times New Roman" w:cs="Times New Roman"/>
      <w:b/>
      <w:sz w:val="22"/>
      <w:szCs w:val="20"/>
      <w:lang w:val="en-GB" w:eastAsia="en-US" w:bidi="ar-SA"/>
    </w:rPr>
  </w:style>
  <w:style w:type="character" w:customStyle="1" w:styleId="TableTextChar0">
    <w:name w:val="Table_Text Char"/>
    <w:basedOn w:val="DefaultParagraphFont"/>
    <w:rsid w:val="003B32AB"/>
    <w:rPr>
      <w:rFonts w:eastAsia="Batang" w:cs="Times New Roman"/>
      <w:sz w:val="22"/>
      <w:lang w:val="en-GB" w:eastAsia="en-US" w:bidi="ar-SA"/>
    </w:rPr>
  </w:style>
  <w:style w:type="paragraph" w:styleId="BodyTextIndent">
    <w:name w:val="Body Text Indent"/>
    <w:basedOn w:val="Normal"/>
    <w:link w:val="BodyTextIndentChar"/>
    <w:rsid w:val="003B32AB"/>
    <w:pPr>
      <w:autoSpaceDE w:val="0"/>
      <w:autoSpaceDN w:val="0"/>
      <w:adjustRightInd w:val="0"/>
      <w:spacing w:before="60"/>
      <w:ind w:left="720" w:hanging="720"/>
    </w:pPr>
    <w:rPr>
      <w:rFonts w:eastAsia="Times New Roman"/>
      <w:szCs w:val="20"/>
      <w:lang w:val="en-US" w:eastAsia="zh-CN"/>
    </w:rPr>
  </w:style>
  <w:style w:type="character" w:customStyle="1" w:styleId="BodyTextIndentChar">
    <w:name w:val="Body Text Indent Char"/>
    <w:basedOn w:val="DefaultParagraphFont"/>
    <w:link w:val="BodyTextIndent"/>
    <w:rsid w:val="003B32AB"/>
    <w:rPr>
      <w:rFonts w:ascii="Times New Roman" w:eastAsia="Times New Roman" w:hAnsi="Times New Roman" w:cs="Times New Roman"/>
      <w:sz w:val="24"/>
      <w:szCs w:val="20"/>
    </w:rPr>
  </w:style>
  <w:style w:type="paragraph" w:customStyle="1" w:styleId="AnnexTitle">
    <w:name w:val="Annex_Title"/>
    <w:basedOn w:val="Normal"/>
    <w:next w:val="Normal"/>
    <w:uiPriority w:val="99"/>
    <w:rsid w:val="003B32AB"/>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Times New Roman" w:hAnsi="Times New Roman Bold"/>
      <w:b/>
      <w:szCs w:val="20"/>
      <w:u w:val="single"/>
      <w:lang w:val="en-US" w:eastAsia="zh-CN"/>
    </w:rPr>
  </w:style>
  <w:style w:type="paragraph" w:customStyle="1" w:styleId="indented">
    <w:name w:val="indented"/>
    <w:basedOn w:val="Normal"/>
    <w:uiPriority w:val="99"/>
    <w:rsid w:val="003B32AB"/>
    <w:pPr>
      <w:overflowPunct w:val="0"/>
      <w:autoSpaceDE w:val="0"/>
      <w:autoSpaceDN w:val="0"/>
      <w:adjustRightInd w:val="0"/>
      <w:spacing w:before="0"/>
      <w:textAlignment w:val="baseline"/>
    </w:pPr>
    <w:rPr>
      <w:rFonts w:ascii="CG Times" w:eastAsia="Times New Roman" w:hAnsi="CG Times"/>
      <w:sz w:val="20"/>
      <w:szCs w:val="20"/>
      <w:lang w:val="en-US" w:eastAsia="zh-CN"/>
    </w:rPr>
  </w:style>
  <w:style w:type="paragraph" w:customStyle="1" w:styleId="EUListBullet">
    <w:name w:val="EUList Bullet"/>
    <w:basedOn w:val="Normal"/>
    <w:uiPriority w:val="99"/>
    <w:rsid w:val="003B32AB"/>
    <w:pPr>
      <w:tabs>
        <w:tab w:val="num" w:pos="397"/>
        <w:tab w:val="left" w:pos="794"/>
        <w:tab w:val="left" w:pos="1191"/>
        <w:tab w:val="left" w:pos="1588"/>
        <w:tab w:val="left" w:pos="1985"/>
      </w:tabs>
      <w:overflowPunct w:val="0"/>
      <w:autoSpaceDE w:val="0"/>
      <w:autoSpaceDN w:val="0"/>
      <w:adjustRightInd w:val="0"/>
      <w:ind w:left="397" w:hanging="284"/>
      <w:textAlignment w:val="baseline"/>
    </w:pPr>
    <w:rPr>
      <w:rFonts w:eastAsia="Times New Roman"/>
      <w:szCs w:val="20"/>
      <w:lang w:val="en-US" w:eastAsia="zh-CN"/>
    </w:rPr>
  </w:style>
  <w:style w:type="paragraph" w:customStyle="1" w:styleId="Relationships">
    <w:name w:val="Relationships"/>
    <w:basedOn w:val="Normal"/>
    <w:uiPriority w:val="99"/>
    <w:rsid w:val="003B32AB"/>
    <w:pPr>
      <w:tabs>
        <w:tab w:val="left" w:pos="2410"/>
        <w:tab w:val="left" w:pos="2835"/>
        <w:tab w:val="left" w:pos="3402"/>
        <w:tab w:val="left" w:pos="3969"/>
        <w:tab w:val="left" w:pos="4536"/>
        <w:tab w:val="left" w:pos="5103"/>
        <w:tab w:val="left" w:pos="5670"/>
        <w:tab w:val="left" w:pos="6030"/>
      </w:tabs>
      <w:overflowPunct w:val="0"/>
      <w:autoSpaceDE w:val="0"/>
      <w:autoSpaceDN w:val="0"/>
      <w:adjustRightInd w:val="0"/>
      <w:spacing w:before="60"/>
      <w:ind w:left="2405" w:hanging="2405"/>
    </w:pPr>
    <w:rPr>
      <w:rFonts w:eastAsia="Times New Roman"/>
      <w:lang w:val="en-US" w:eastAsia="zh-CN"/>
    </w:rPr>
  </w:style>
  <w:style w:type="paragraph" w:customStyle="1" w:styleId="Item">
    <w:name w:val="Item"/>
    <w:basedOn w:val="Normal"/>
    <w:uiPriority w:val="99"/>
    <w:rsid w:val="003B32AB"/>
    <w:pPr>
      <w:tabs>
        <w:tab w:val="num" w:pos="432"/>
        <w:tab w:val="left" w:pos="794"/>
        <w:tab w:val="left" w:pos="1191"/>
        <w:tab w:val="left" w:pos="1588"/>
        <w:tab w:val="left" w:pos="1985"/>
      </w:tabs>
      <w:overflowPunct w:val="0"/>
      <w:autoSpaceDE w:val="0"/>
      <w:autoSpaceDN w:val="0"/>
      <w:adjustRightInd w:val="0"/>
      <w:ind w:left="432" w:hanging="432"/>
      <w:textAlignment w:val="baseline"/>
    </w:pPr>
    <w:rPr>
      <w:rFonts w:eastAsia="Times New Roman"/>
      <w:lang w:val="en-US" w:eastAsia="zh-CN"/>
    </w:rPr>
  </w:style>
  <w:style w:type="paragraph" w:customStyle="1" w:styleId="AnnexNo">
    <w:name w:val="Annex_No"/>
    <w:basedOn w:val="Normal"/>
    <w:next w:val="AnnexTitle"/>
    <w:rsid w:val="003B32AB"/>
    <w:pPr>
      <w:keepNext/>
      <w:keepLines/>
      <w:tabs>
        <w:tab w:val="left" w:pos="794"/>
        <w:tab w:val="left" w:pos="1191"/>
        <w:tab w:val="left" w:pos="1588"/>
        <w:tab w:val="left" w:pos="1985"/>
      </w:tabs>
      <w:spacing w:before="480" w:after="80"/>
      <w:jc w:val="center"/>
    </w:pPr>
    <w:rPr>
      <w:rFonts w:eastAsia="Times New Roman"/>
      <w:caps/>
      <w:sz w:val="28"/>
      <w:szCs w:val="28"/>
      <w:lang w:val="en-US" w:eastAsia="zh-CN"/>
    </w:rPr>
  </w:style>
  <w:style w:type="paragraph" w:customStyle="1" w:styleId="endash">
    <w:name w:val="endash"/>
    <w:uiPriority w:val="9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3B32AB"/>
    <w:rPr>
      <w:rFonts w:cs="Times New Roman"/>
    </w:rPr>
  </w:style>
  <w:style w:type="paragraph" w:customStyle="1" w:styleId="proposedtext">
    <w:name w:val="proposed text"/>
    <w:basedOn w:val="Normal"/>
    <w:uiPriority w:val="99"/>
    <w:rsid w:val="003B32AB"/>
    <w:pPr>
      <w:ind w:left="1021"/>
    </w:pPr>
    <w:rPr>
      <w:rFonts w:eastAsia="Times New Roman"/>
      <w:szCs w:val="20"/>
      <w:lang w:val="en-US" w:eastAsia="zh-CN"/>
    </w:rPr>
  </w:style>
  <w:style w:type="paragraph" w:customStyle="1" w:styleId="CharCharCar">
    <w:name w:val="Char Char Car"/>
    <w:basedOn w:val="Normal"/>
    <w:uiPriority w:val="99"/>
    <w:rsid w:val="003B32AB"/>
    <w:pPr>
      <w:widowControl w:val="0"/>
      <w:spacing w:before="0"/>
      <w:jc w:val="both"/>
    </w:pPr>
    <w:rPr>
      <w:rFonts w:eastAsia="SimSun"/>
      <w:kern w:val="2"/>
      <w:sz w:val="21"/>
      <w:lang w:val="en-US" w:eastAsia="zh-CN"/>
    </w:rPr>
  </w:style>
  <w:style w:type="paragraph" w:customStyle="1" w:styleId="headingb0">
    <w:name w:val="heading_b"/>
    <w:basedOn w:val="Heading3"/>
    <w:next w:val="Normal"/>
    <w:rsid w:val="003B32A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 w:type="character" w:customStyle="1" w:styleId="headingbChar">
    <w:name w:val="heading_b Char"/>
    <w:basedOn w:val="DefaultParagraphFont"/>
    <w:rsid w:val="003B32AB"/>
    <w:rPr>
      <w:rFonts w:cs="Times New Roman"/>
      <w:b/>
      <w:sz w:val="24"/>
      <w:lang w:val="en-GB" w:eastAsia="en-US" w:bidi="ar-SA"/>
    </w:rPr>
  </w:style>
  <w:style w:type="character" w:customStyle="1" w:styleId="italic">
    <w:name w:val="italic"/>
    <w:basedOn w:val="DefaultParagraphFont"/>
    <w:rsid w:val="003B32AB"/>
    <w:rPr>
      <w:rFonts w:cs="Times New Roman"/>
      <w:i/>
    </w:rPr>
  </w:style>
  <w:style w:type="character" w:styleId="FollowedHyperlink">
    <w:name w:val="FollowedHyperlink"/>
    <w:basedOn w:val="DefaultParagraphFont"/>
    <w:uiPriority w:val="99"/>
    <w:rsid w:val="003B32AB"/>
    <w:rPr>
      <w:rFonts w:cs="Times New Roman"/>
      <w:color w:val="800080"/>
      <w:u w:val="single"/>
    </w:rPr>
  </w:style>
  <w:style w:type="paragraph" w:customStyle="1" w:styleId="CharCharCharChar">
    <w:name w:val="Char Char Char (文字) (文字) Char"/>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styleId="BalloonText">
    <w:name w:val="Balloon Text"/>
    <w:basedOn w:val="Normal"/>
    <w:link w:val="BalloonText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 w:val="16"/>
      <w:szCs w:val="16"/>
      <w:lang w:val="en-US" w:eastAsia="zh-CN"/>
    </w:rPr>
  </w:style>
  <w:style w:type="character" w:customStyle="1" w:styleId="BalloonTextChar">
    <w:name w:val="Balloon Text Char"/>
    <w:basedOn w:val="DefaultParagraphFont"/>
    <w:link w:val="BalloonText"/>
    <w:uiPriority w:val="99"/>
    <w:rsid w:val="003B32AB"/>
    <w:rPr>
      <w:rFonts w:ascii="Tahoma" w:eastAsia="Times New Roman" w:hAnsi="Tahoma" w:cs="Tahoma"/>
      <w:sz w:val="16"/>
      <w:szCs w:val="16"/>
    </w:rPr>
  </w:style>
  <w:style w:type="paragraph" w:customStyle="1" w:styleId="Numerowanie">
    <w:name w:val="Numerowanie"/>
    <w:aliases w:val="Z lewej:  0,63 cm,Wysunięcie:  0"/>
    <w:basedOn w:val="Normal"/>
    <w:uiPriority w:val="99"/>
    <w:rsid w:val="003B32AB"/>
    <w:pPr>
      <w:numPr>
        <w:numId w:val="1"/>
      </w:numPr>
      <w:spacing w:before="0"/>
    </w:pPr>
    <w:rPr>
      <w:rFonts w:eastAsia="Batang"/>
      <w:lang w:val="en-US" w:eastAsia="zh-CN"/>
    </w:rPr>
  </w:style>
  <w:style w:type="paragraph" w:customStyle="1" w:styleId="NormalIndent1">
    <w:name w:val="Normal Indent1"/>
    <w:basedOn w:val="Normal"/>
    <w:uiPriority w:val="99"/>
    <w:rsid w:val="003B32AB"/>
    <w:pPr>
      <w:ind w:left="284"/>
    </w:pPr>
    <w:rPr>
      <w:rFonts w:ascii="Arial" w:eastAsia="Times New Roman" w:hAnsi="Arial"/>
      <w:sz w:val="22"/>
      <w:lang w:val="en-US" w:eastAsia="zh-CN"/>
    </w:rPr>
  </w:style>
  <w:style w:type="paragraph" w:styleId="BodyText2">
    <w:name w:val="Body Text 2"/>
    <w:basedOn w:val="Normal"/>
    <w:link w:val="BodyText2Char"/>
    <w:rsid w:val="003B32AB"/>
    <w:pPr>
      <w:tabs>
        <w:tab w:val="left" w:pos="794"/>
        <w:tab w:val="left" w:pos="1191"/>
        <w:tab w:val="left" w:pos="1588"/>
        <w:tab w:val="left" w:pos="1985"/>
      </w:tabs>
      <w:overflowPunct w:val="0"/>
      <w:autoSpaceDE w:val="0"/>
      <w:autoSpaceDN w:val="0"/>
      <w:adjustRightInd w:val="0"/>
      <w:jc w:val="both"/>
      <w:textAlignment w:val="baseline"/>
    </w:pPr>
    <w:rPr>
      <w:rFonts w:eastAsia="Batang"/>
      <w:szCs w:val="20"/>
      <w:lang w:val="en-US" w:eastAsia="ko-KR"/>
    </w:rPr>
  </w:style>
  <w:style w:type="character" w:customStyle="1" w:styleId="BodyText2Char">
    <w:name w:val="Body Text 2 Char"/>
    <w:basedOn w:val="DefaultParagraphFont"/>
    <w:link w:val="BodyText2"/>
    <w:rsid w:val="003B32AB"/>
    <w:rPr>
      <w:rFonts w:ascii="Times New Roman" w:eastAsia="Batang" w:hAnsi="Times New Roman" w:cs="Times New Roman"/>
      <w:sz w:val="24"/>
      <w:szCs w:val="20"/>
      <w:lang w:eastAsia="ko-KR"/>
    </w:rPr>
  </w:style>
  <w:style w:type="paragraph" w:styleId="BodyText">
    <w:name w:val="Body Text"/>
    <w:basedOn w:val="Normal"/>
    <w:link w:val="BodyTextChar1"/>
    <w:rsid w:val="003B32AB"/>
    <w:pPr>
      <w:tabs>
        <w:tab w:val="left" w:pos="794"/>
        <w:tab w:val="left" w:pos="1191"/>
        <w:tab w:val="left" w:pos="1588"/>
        <w:tab w:val="left" w:pos="1985"/>
      </w:tabs>
      <w:overflowPunct w:val="0"/>
      <w:autoSpaceDE w:val="0"/>
      <w:autoSpaceDN w:val="0"/>
      <w:adjustRightInd w:val="0"/>
      <w:textAlignment w:val="baseline"/>
    </w:pPr>
    <w:rPr>
      <w:rFonts w:eastAsia="SimSun"/>
      <w:color w:val="FF0000"/>
      <w:szCs w:val="20"/>
      <w:lang w:val="en-US" w:eastAsia="zh-CN"/>
    </w:rPr>
  </w:style>
  <w:style w:type="character" w:customStyle="1" w:styleId="BodyTextChar">
    <w:name w:val="Body Text Char"/>
    <w:basedOn w:val="DefaultParagraphFont"/>
    <w:rsid w:val="003B32AB"/>
    <w:rPr>
      <w:rFonts w:ascii="Times New Roman" w:hAnsi="Times New Roman" w:cs="Times New Roman"/>
      <w:sz w:val="24"/>
      <w:szCs w:val="24"/>
      <w:lang w:val="en-GB" w:eastAsia="ja-JP"/>
    </w:rPr>
  </w:style>
  <w:style w:type="character" w:customStyle="1" w:styleId="BodyTextChar1">
    <w:name w:val="Body Text Char1"/>
    <w:basedOn w:val="DefaultParagraphFont"/>
    <w:link w:val="BodyText"/>
    <w:locked/>
    <w:rsid w:val="003B32AB"/>
    <w:rPr>
      <w:rFonts w:ascii="Times New Roman" w:eastAsia="SimSun" w:hAnsi="Times New Roman" w:cs="Times New Roman"/>
      <w:color w:val="FF0000"/>
      <w:sz w:val="24"/>
      <w:szCs w:val="20"/>
    </w:rPr>
  </w:style>
  <w:style w:type="paragraph" w:customStyle="1" w:styleId="author">
    <w:name w:val="author"/>
    <w:basedOn w:val="Normal"/>
    <w:next w:val="Normal"/>
    <w:uiPriority w:val="99"/>
    <w:rsid w:val="003B32AB"/>
    <w:pPr>
      <w:spacing w:before="0" w:after="220"/>
      <w:jc w:val="center"/>
    </w:pPr>
    <w:rPr>
      <w:rFonts w:ascii="Times" w:eastAsia="Batang" w:hAnsi="Times"/>
      <w:sz w:val="20"/>
      <w:szCs w:val="20"/>
      <w:lang w:val="en-US" w:eastAsia="ko-KR"/>
    </w:rPr>
  </w:style>
  <w:style w:type="paragraph" w:customStyle="1" w:styleId="p1a">
    <w:name w:val="p1a"/>
    <w:basedOn w:val="Normal"/>
    <w:next w:val="Normal"/>
    <w:uiPriority w:val="99"/>
    <w:rsid w:val="003B32AB"/>
    <w:pPr>
      <w:spacing w:before="0"/>
      <w:jc w:val="both"/>
    </w:pPr>
    <w:rPr>
      <w:rFonts w:ascii="Times" w:eastAsia="Batang" w:hAnsi="Times"/>
      <w:sz w:val="20"/>
      <w:szCs w:val="20"/>
      <w:lang w:val="en-US" w:eastAsia="ko-KR"/>
    </w:rPr>
  </w:style>
  <w:style w:type="paragraph" w:customStyle="1" w:styleId="tabletitle">
    <w:name w:val="table title"/>
    <w:basedOn w:val="Normal"/>
    <w:next w:val="Normal"/>
    <w:uiPriority w:val="99"/>
    <w:rsid w:val="003B32AB"/>
    <w:pPr>
      <w:keepNext/>
      <w:keepLines/>
      <w:spacing w:before="240" w:after="120"/>
      <w:jc w:val="both"/>
    </w:pPr>
    <w:rPr>
      <w:rFonts w:ascii="Times" w:eastAsia="Batang" w:hAnsi="Times"/>
      <w:sz w:val="18"/>
      <w:szCs w:val="20"/>
      <w:lang w:val="de-DE" w:eastAsia="ko-KR"/>
    </w:rPr>
  </w:style>
  <w:style w:type="paragraph" w:customStyle="1" w:styleId="BodyText21">
    <w:name w:val="Body Text 21"/>
    <w:basedOn w:val="Normal"/>
    <w:uiPriority w:val="99"/>
    <w:rsid w:val="003B32AB"/>
    <w:pPr>
      <w:spacing w:before="0"/>
      <w:ind w:firstLineChars="100" w:firstLine="100"/>
      <w:jc w:val="both"/>
    </w:pPr>
    <w:rPr>
      <w:rFonts w:ascii="Times" w:eastAsia="Batang" w:hAnsi="Times"/>
      <w:sz w:val="20"/>
      <w:szCs w:val="20"/>
      <w:lang w:val="en-US" w:eastAsia="ko-KR"/>
    </w:rPr>
  </w:style>
  <w:style w:type="paragraph" w:customStyle="1" w:styleId="a">
    <w:name w:val="正文 + 小四"/>
    <w:basedOn w:val="Normal"/>
    <w:uiPriority w:val="99"/>
    <w:rsid w:val="003B32AB"/>
    <w:pPr>
      <w:widowControl w:val="0"/>
      <w:spacing w:before="0" w:line="400" w:lineRule="exact"/>
      <w:jc w:val="both"/>
    </w:pPr>
    <w:rPr>
      <w:rFonts w:eastAsia="SimSun"/>
      <w:kern w:val="2"/>
      <w:lang w:val="en-US" w:eastAsia="zh-CN"/>
    </w:rPr>
  </w:style>
  <w:style w:type="paragraph" w:customStyle="1" w:styleId="a0">
    <w:name w:val="段"/>
    <w:uiPriority w:val="99"/>
    <w:rsid w:val="003B32AB"/>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pbu1bullet1">
    <w:name w:val="pbu1_bullet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Infodoc">
    <w:name w:val="Infodoc"/>
    <w:basedOn w:val="Normal"/>
    <w:link w:val="InfodocChar"/>
    <w:uiPriority w:val="99"/>
    <w:rsid w:val="003B32AB"/>
    <w:pPr>
      <w:tabs>
        <w:tab w:val="left" w:pos="1418"/>
      </w:tabs>
      <w:overflowPunct w:val="0"/>
      <w:autoSpaceDE w:val="0"/>
      <w:autoSpaceDN w:val="0"/>
      <w:adjustRightInd w:val="0"/>
      <w:spacing w:before="0"/>
      <w:ind w:left="1418" w:hanging="1418"/>
      <w:textAlignment w:val="baseline"/>
    </w:pPr>
    <w:rPr>
      <w:rFonts w:eastAsia="MS Mincho"/>
      <w:szCs w:val="20"/>
      <w:lang w:val="en-US" w:eastAsia="zh-CN"/>
    </w:rPr>
  </w:style>
  <w:style w:type="character" w:customStyle="1" w:styleId="InfodocChar">
    <w:name w:val="Infodoc Char"/>
    <w:basedOn w:val="DefaultParagraphFont"/>
    <w:link w:val="Infodoc"/>
    <w:uiPriority w:val="99"/>
    <w:locked/>
    <w:rsid w:val="003B32AB"/>
    <w:rPr>
      <w:rFonts w:ascii="Times New Roman" w:eastAsia="MS Mincho" w:hAnsi="Times New Roman" w:cs="Times New Roman"/>
      <w:sz w:val="24"/>
      <w:szCs w:val="20"/>
    </w:rPr>
  </w:style>
  <w:style w:type="character" w:customStyle="1" w:styleId="MacroTextChar">
    <w:name w:val="Macro Text Char"/>
    <w:basedOn w:val="DefaultParagraphFont"/>
    <w:link w:val="MacroText"/>
    <w:uiPriority w:val="99"/>
    <w:locked/>
    <w:rsid w:val="003B32AB"/>
    <w:rPr>
      <w:rFonts w:eastAsia="Batang" w:cs="Times New Roman"/>
      <w:b/>
      <w:sz w:val="24"/>
      <w:lang w:val="en-GB" w:eastAsia="en-US"/>
    </w:rPr>
  </w:style>
  <w:style w:type="paragraph" w:styleId="MacroText">
    <w:name w:val="macro"/>
    <w:basedOn w:val="Normal"/>
    <w:link w:val="MacroTextChar"/>
    <w:uiPriority w:val="99"/>
    <w:rsid w:val="003B32AB"/>
    <w:pPr>
      <w:spacing w:before="0"/>
      <w:ind w:left="1080"/>
    </w:pPr>
    <w:rPr>
      <w:rFonts w:asciiTheme="minorHAnsi" w:eastAsia="Batang" w:hAnsiTheme="minorHAnsi"/>
      <w:b/>
      <w:szCs w:val="22"/>
      <w:lang w:eastAsia="en-US"/>
    </w:rPr>
  </w:style>
  <w:style w:type="character" w:customStyle="1" w:styleId="MacroTextChar1">
    <w:name w:val="Macro Text Char1"/>
    <w:basedOn w:val="DefaultParagraphFont"/>
    <w:uiPriority w:val="99"/>
    <w:rsid w:val="003B32AB"/>
    <w:rPr>
      <w:rFonts w:ascii="Consolas" w:hAnsi="Consolas" w:cs="Times New Roman"/>
      <w:sz w:val="20"/>
      <w:szCs w:val="20"/>
      <w:lang w:val="en-GB" w:eastAsia="ja-JP"/>
    </w:rPr>
  </w:style>
  <w:style w:type="paragraph" w:customStyle="1" w:styleId="CharCharCharCharCharCharCharChar">
    <w:name w:val="Char Char 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CharCharCharCharCharCharChar2">
    <w:name w:val="Char Char Char Char Char Char Char Char2"/>
    <w:basedOn w:val="Normal"/>
    <w:uiPriority w:val="99"/>
    <w:rsid w:val="003B32AB"/>
    <w:pPr>
      <w:widowControl w:val="0"/>
      <w:spacing w:before="0"/>
      <w:jc w:val="both"/>
    </w:pPr>
    <w:rPr>
      <w:rFonts w:ascii="Tahoma" w:eastAsia="SimSun" w:hAnsi="Tahoma"/>
      <w:kern w:val="2"/>
      <w:szCs w:val="20"/>
      <w:lang w:val="en-US" w:eastAsia="zh-CN"/>
    </w:rPr>
  </w:style>
  <w:style w:type="character" w:customStyle="1" w:styleId="CharChar">
    <w:name w:val="Char Char"/>
    <w:basedOn w:val="DefaultParagraphFont"/>
    <w:rsid w:val="003B32AB"/>
    <w:rPr>
      <w:rFonts w:eastAsia="Batang" w:cs="Times New Roman"/>
      <w:b/>
      <w:sz w:val="24"/>
      <w:lang w:val="en-GB" w:eastAsia="en-US" w:bidi="ar-SA"/>
    </w:rPr>
  </w:style>
  <w:style w:type="paragraph" w:customStyle="1" w:styleId="a1">
    <w:name w:val="목록 단락"/>
    <w:basedOn w:val="Normal"/>
    <w:uiPriority w:val="99"/>
    <w:rsid w:val="003B32AB"/>
    <w:pPr>
      <w:tabs>
        <w:tab w:val="left" w:pos="794"/>
        <w:tab w:val="left" w:pos="1191"/>
        <w:tab w:val="left" w:pos="1588"/>
        <w:tab w:val="left" w:pos="1985"/>
      </w:tabs>
      <w:overflowPunct w:val="0"/>
      <w:autoSpaceDE w:val="0"/>
      <w:autoSpaceDN w:val="0"/>
      <w:adjustRightInd w:val="0"/>
      <w:ind w:leftChars="400" w:left="800"/>
      <w:textAlignment w:val="baseline"/>
    </w:pPr>
    <w:rPr>
      <w:rFonts w:eastAsia="Batang"/>
      <w:szCs w:val="20"/>
      <w:lang w:val="en-US" w:eastAsia="zh-CN"/>
    </w:rPr>
  </w:style>
  <w:style w:type="paragraph" w:customStyle="1" w:styleId="Char">
    <w:name w:val="Char"/>
    <w:basedOn w:val="Normal"/>
    <w:uiPriority w:val="99"/>
    <w:rsid w:val="003B32AB"/>
    <w:pPr>
      <w:spacing w:before="0" w:after="160" w:line="240" w:lineRule="exact"/>
    </w:pPr>
    <w:rPr>
      <w:rFonts w:ascii="Arial" w:eastAsia="Times New Roman" w:hAnsi="Arial"/>
      <w:sz w:val="20"/>
      <w:szCs w:val="22"/>
      <w:lang w:val="en-US" w:eastAsia="zh-CN"/>
    </w:rPr>
  </w:style>
  <w:style w:type="paragraph" w:customStyle="1" w:styleId="Note1">
    <w:name w:val="Note 1"/>
    <w:basedOn w:val="Normal"/>
    <w:next w:val="Normal"/>
    <w:uiPriority w:val="99"/>
    <w:rsid w:val="003B32AB"/>
    <w:pPr>
      <w:tabs>
        <w:tab w:val="left" w:pos="1191"/>
        <w:tab w:val="left" w:pos="1587"/>
        <w:tab w:val="left" w:pos="1984"/>
      </w:tabs>
      <w:spacing w:before="60" w:line="199" w:lineRule="exact"/>
      <w:ind w:left="283"/>
      <w:jc w:val="both"/>
    </w:pPr>
    <w:rPr>
      <w:rFonts w:eastAsia="Times New Roman"/>
      <w:sz w:val="18"/>
      <w:lang w:val="en-US" w:eastAsia="zh-CN"/>
    </w:rPr>
  </w:style>
  <w:style w:type="paragraph" w:customStyle="1" w:styleId="HTMLBody">
    <w:name w:val="HTML Body"/>
    <w:uiPriority w:val="99"/>
    <w:rsid w:val="003B32AB"/>
    <w:pPr>
      <w:autoSpaceDE w:val="0"/>
      <w:autoSpaceDN w:val="0"/>
      <w:adjustRightInd w:val="0"/>
      <w:spacing w:after="0" w:line="240" w:lineRule="auto"/>
    </w:pPr>
    <w:rPr>
      <w:rFonts w:ascii="Courier New" w:eastAsia="MS Mincho" w:hAnsi="Courier New" w:cs="Times New Roman"/>
      <w:sz w:val="20"/>
      <w:szCs w:val="20"/>
    </w:rPr>
  </w:style>
  <w:style w:type="paragraph" w:customStyle="1" w:styleId="a2">
    <w:name w:val="수정"/>
    <w:hidden/>
    <w:uiPriority w:val="99"/>
    <w:semiHidden/>
    <w:rsid w:val="003B32AB"/>
    <w:pPr>
      <w:spacing w:after="0" w:line="240" w:lineRule="auto"/>
    </w:pPr>
    <w:rPr>
      <w:rFonts w:ascii="Times New Roman" w:eastAsia="SimSun" w:hAnsi="Times New Roman" w:cs="Times New Roman"/>
      <w:sz w:val="24"/>
      <w:szCs w:val="20"/>
      <w:lang w:val="en-GB"/>
    </w:rPr>
  </w:style>
  <w:style w:type="paragraph" w:styleId="Title">
    <w:name w:val="Title"/>
    <w:basedOn w:val="Normal"/>
    <w:next w:val="Normal"/>
    <w:link w:val="TitleChar"/>
    <w:uiPriority w:val="10"/>
    <w:qFormat/>
    <w:rsid w:val="003B32AB"/>
    <w:pPr>
      <w:tabs>
        <w:tab w:val="left" w:pos="794"/>
        <w:tab w:val="left" w:pos="1191"/>
        <w:tab w:val="left" w:pos="1588"/>
        <w:tab w:val="left" w:pos="1985"/>
      </w:tabs>
      <w:overflowPunct w:val="0"/>
      <w:autoSpaceDE w:val="0"/>
      <w:autoSpaceDN w:val="0"/>
      <w:adjustRightInd w:val="0"/>
      <w:spacing w:before="240" w:after="120"/>
      <w:jc w:val="center"/>
      <w:textAlignment w:val="baseline"/>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3B32AB"/>
    <w:rPr>
      <w:rFonts w:ascii="Malgun Gothic" w:eastAsia="Dotum" w:hAnsi="Malgun Gothic" w:cs="Times New Roman"/>
      <w:b/>
      <w:bCs/>
      <w:sz w:val="32"/>
      <w:szCs w:val="32"/>
    </w:rPr>
  </w:style>
  <w:style w:type="paragraph" w:styleId="EndnoteText">
    <w:name w:val="endnote text"/>
    <w:basedOn w:val="Normal"/>
    <w:link w:val="EndnoteTextChar"/>
    <w:uiPriority w:val="99"/>
    <w:rsid w:val="003B32AB"/>
    <w:pPr>
      <w:tabs>
        <w:tab w:val="left" w:pos="794"/>
        <w:tab w:val="left" w:pos="1191"/>
        <w:tab w:val="left" w:pos="1588"/>
        <w:tab w:val="left" w:pos="1985"/>
      </w:tabs>
      <w:overflowPunct w:val="0"/>
      <w:autoSpaceDE w:val="0"/>
      <w:autoSpaceDN w:val="0"/>
      <w:adjustRightInd w:val="0"/>
      <w:snapToGrid w:val="0"/>
      <w:textAlignment w:val="baseline"/>
    </w:pPr>
    <w:rPr>
      <w:rFonts w:eastAsia="Malgun Gothic"/>
      <w:szCs w:val="20"/>
      <w:lang w:val="en-US" w:eastAsia="zh-CN"/>
    </w:rPr>
  </w:style>
  <w:style w:type="character" w:customStyle="1" w:styleId="EndnoteTextChar">
    <w:name w:val="Endnote Text Char"/>
    <w:basedOn w:val="DefaultParagraphFont"/>
    <w:link w:val="EndnoteText"/>
    <w:uiPriority w:val="99"/>
    <w:rsid w:val="003B32AB"/>
    <w:rPr>
      <w:rFonts w:ascii="Times New Roman" w:eastAsia="Malgun Gothic" w:hAnsi="Times New Roman" w:cs="Times New Roman"/>
      <w:sz w:val="24"/>
      <w:szCs w:val="20"/>
    </w:rPr>
  </w:style>
  <w:style w:type="character" w:styleId="CommentReference">
    <w:name w:val="annotation reference"/>
    <w:basedOn w:val="DefaultParagraphFont"/>
    <w:rsid w:val="003B32AB"/>
    <w:rPr>
      <w:rFonts w:cs="Times New Roman"/>
      <w:sz w:val="16"/>
      <w:szCs w:val="16"/>
    </w:rPr>
  </w:style>
  <w:style w:type="paragraph" w:customStyle="1" w:styleId="StyleRequirement12ptBold">
    <w:name w:val="Style Requirement + 12 pt Bold"/>
    <w:basedOn w:val="Normal"/>
    <w:uiPriority w:val="99"/>
    <w:rsid w:val="003B32AB"/>
    <w:pPr>
      <w:pBdr>
        <w:top w:val="single" w:sz="4" w:space="3" w:color="auto"/>
        <w:left w:val="single" w:sz="4" w:space="4" w:color="auto"/>
        <w:bottom w:val="single" w:sz="4" w:space="3" w:color="auto"/>
        <w:right w:val="single" w:sz="4" w:space="4" w:color="auto"/>
      </w:pBdr>
      <w:ind w:left="270" w:right="315"/>
    </w:pPr>
    <w:rPr>
      <w:rFonts w:ascii="Arial" w:eastAsia="Times New Roman" w:hAnsi="Arial"/>
      <w:b/>
      <w:bCs/>
      <w:szCs w:val="20"/>
      <w:lang w:val="en-US" w:eastAsia="zh-CN"/>
    </w:rPr>
  </w:style>
  <w:style w:type="paragraph" w:customStyle="1" w:styleId="TitleCover">
    <w:name w:val="Title Cover"/>
    <w:basedOn w:val="Normal"/>
    <w:next w:val="Normal"/>
    <w:link w:val="TitleCoverChar"/>
    <w:uiPriority w:val="99"/>
    <w:rsid w:val="003B32AB"/>
    <w:pPr>
      <w:keepNext/>
      <w:keepLines/>
      <w:spacing w:before="1600" w:after="200" w:line="600" w:lineRule="exact"/>
    </w:pPr>
    <w:rPr>
      <w:rFonts w:ascii="Tahoma" w:eastAsia="Times New Roman"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3B32AB"/>
    <w:rPr>
      <w:rFonts w:ascii="Tahoma" w:eastAsia="Times New Roman" w:hAnsi="Tahoma" w:cs="Times New Roman"/>
      <w:b/>
      <w:spacing w:val="20"/>
      <w:kern w:val="28"/>
      <w:sz w:val="60"/>
      <w:szCs w:val="72"/>
    </w:rPr>
  </w:style>
  <w:style w:type="paragraph" w:customStyle="1" w:styleId="CompanyName">
    <w:name w:val="Company Name"/>
    <w:basedOn w:val="Normal"/>
    <w:uiPriority w:val="99"/>
    <w:rsid w:val="003B32AB"/>
    <w:pPr>
      <w:keepNext/>
      <w:keepLines/>
      <w:pBdr>
        <w:bottom w:val="single" w:sz="6" w:space="2" w:color="999999"/>
      </w:pBdr>
      <w:spacing w:before="0" w:line="220" w:lineRule="atLeast"/>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39"/>
    <w:qFormat/>
    <w:rsid w:val="003B32AB"/>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3B32AB"/>
    <w:pPr>
      <w:spacing w:after="200" w:line="240" w:lineRule="auto"/>
    </w:pPr>
    <w:rPr>
      <w:rFonts w:ascii="Tahoma" w:eastAsia="Times New Roman" w:hAnsi="Tahoma" w:cs="Times New Roman"/>
      <w:i/>
      <w:iCs/>
      <w:color w:val="808080"/>
      <w:spacing w:val="10"/>
      <w:sz w:val="20"/>
      <w:szCs w:val="20"/>
    </w:rPr>
  </w:style>
  <w:style w:type="paragraph" w:customStyle="1" w:styleId="TableTextBold">
    <w:name w:val="Table Text Bold"/>
    <w:uiPriority w:val="99"/>
    <w:rsid w:val="003B32AB"/>
    <w:pPr>
      <w:spacing w:after="0" w:line="240" w:lineRule="auto"/>
    </w:pPr>
    <w:rPr>
      <w:rFonts w:ascii="Tahoma" w:eastAsia="Times New Roman" w:hAnsi="Tahoma" w:cs="Times New Roman"/>
      <w:b/>
      <w:spacing w:val="6"/>
      <w:sz w:val="15"/>
      <w:szCs w:val="16"/>
    </w:rPr>
  </w:style>
  <w:style w:type="paragraph" w:customStyle="1" w:styleId="BlockQuotation">
    <w:name w:val="Block Quotation"/>
    <w:basedOn w:val="BodyText"/>
    <w:link w:val="BlockQuotationChar"/>
    <w:uiPriority w:val="99"/>
    <w:rsid w:val="003B32AB"/>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3B32AB"/>
    <w:rPr>
      <w:rFonts w:ascii="Tahoma" w:eastAsia="Times New Roman" w:hAnsi="Tahoma" w:cs="Times New Roman"/>
      <w:i/>
      <w:spacing w:val="10"/>
      <w:sz w:val="17"/>
      <w:szCs w:val="20"/>
      <w:lang w:eastAsia="en-US"/>
    </w:rPr>
  </w:style>
  <w:style w:type="paragraph" w:styleId="Index4">
    <w:name w:val="index 4"/>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5">
    <w:name w:val="index 5"/>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Heading">
    <w:name w:val="index heading"/>
    <w:basedOn w:val="Normal"/>
    <w:next w:val="Index1"/>
    <w:rsid w:val="003B32AB"/>
    <w:pPr>
      <w:keepNext/>
      <w:spacing w:before="440" w:line="220" w:lineRule="atLeast"/>
    </w:pPr>
    <w:rPr>
      <w:rFonts w:ascii="Tahoma" w:eastAsia="Times New Roman" w:hAnsi="Tahoma"/>
      <w:b/>
      <w:caps/>
      <w:szCs w:val="20"/>
      <w:lang w:val="en-US" w:eastAsia="zh-CN"/>
    </w:rPr>
  </w:style>
  <w:style w:type="character" w:customStyle="1" w:styleId="Lead-inEmphasis">
    <w:name w:val="Lead-in Emphasis"/>
    <w:uiPriority w:val="99"/>
    <w:rsid w:val="003B32AB"/>
    <w:rPr>
      <w:rFonts w:ascii="Tahoma" w:hAnsi="Tahoma"/>
      <w:b/>
      <w:spacing w:val="4"/>
      <w:kern w:val="0"/>
    </w:rPr>
  </w:style>
  <w:style w:type="paragraph" w:styleId="ListBullet">
    <w:name w:val="List Bullet"/>
    <w:basedOn w:val="Normal"/>
    <w:uiPriority w:val="99"/>
    <w:rsid w:val="003B32AB"/>
    <w:pPr>
      <w:tabs>
        <w:tab w:val="num" w:pos="360"/>
      </w:tabs>
      <w:spacing w:before="0" w:after="200" w:line="240" w:lineRule="exact"/>
      <w:ind w:left="720" w:hanging="216"/>
    </w:pPr>
    <w:rPr>
      <w:rFonts w:ascii="Tahoma" w:eastAsia="Times New Roman" w:hAnsi="Tahoma"/>
      <w:spacing w:val="10"/>
      <w:sz w:val="17"/>
      <w:szCs w:val="20"/>
      <w:lang w:val="en-US" w:eastAsia="zh-CN"/>
    </w:rPr>
  </w:style>
  <w:style w:type="paragraph" w:styleId="ListNumber">
    <w:name w:val="List Number"/>
    <w:basedOn w:val="Normal"/>
    <w:uiPriority w:val="99"/>
    <w:rsid w:val="003B32AB"/>
    <w:pPr>
      <w:tabs>
        <w:tab w:val="num" w:pos="720"/>
      </w:tabs>
      <w:spacing w:before="0" w:after="200" w:line="240" w:lineRule="exact"/>
      <w:ind w:left="720" w:hanging="360"/>
    </w:pPr>
    <w:rPr>
      <w:rFonts w:ascii="Tahoma" w:eastAsia="Times New Roman" w:hAnsi="Tahoma"/>
      <w:spacing w:val="10"/>
      <w:sz w:val="17"/>
      <w:szCs w:val="20"/>
      <w:lang w:val="en-US" w:eastAsia="zh-CN"/>
    </w:rPr>
  </w:style>
  <w:style w:type="paragraph" w:customStyle="1" w:styleId="SubtitleItalic">
    <w:name w:val="Subtitle Italic"/>
    <w:next w:val="BodyText"/>
    <w:uiPriority w:val="99"/>
    <w:rsid w:val="003B32AB"/>
    <w:pPr>
      <w:spacing w:after="200" w:line="320" w:lineRule="exact"/>
    </w:pPr>
    <w:rPr>
      <w:rFonts w:ascii="Tahoma" w:eastAsia="Times New Roman" w:hAnsi="Tahoma" w:cs="Times New Roman"/>
      <w:i/>
      <w:color w:val="808080"/>
      <w:spacing w:val="20"/>
      <w:kern w:val="28"/>
      <w:sz w:val="28"/>
      <w:szCs w:val="40"/>
    </w:rPr>
  </w:style>
  <w:style w:type="paragraph" w:styleId="TableofAuthorities">
    <w:name w:val="table of authorities"/>
    <w:basedOn w:val="Normal"/>
    <w:uiPriority w:val="99"/>
    <w:rsid w:val="003B32AB"/>
    <w:pPr>
      <w:tabs>
        <w:tab w:val="right" w:leader="dot" w:pos="7560"/>
      </w:tabs>
      <w:spacing w:before="0"/>
      <w:ind w:left="1440" w:hanging="360"/>
    </w:pPr>
    <w:rPr>
      <w:rFonts w:ascii="Tahoma" w:eastAsia="Times New Roman" w:hAnsi="Tahoma"/>
      <w:sz w:val="20"/>
      <w:szCs w:val="20"/>
      <w:lang w:val="en-US" w:eastAsia="zh-CN"/>
    </w:rPr>
  </w:style>
  <w:style w:type="paragraph" w:styleId="TOAHeading">
    <w:name w:val="toa heading"/>
    <w:basedOn w:val="Normal"/>
    <w:next w:val="TableofAuthorities"/>
    <w:uiPriority w:val="99"/>
    <w:rsid w:val="003B32AB"/>
    <w:pPr>
      <w:keepNext/>
      <w:spacing w:before="240" w:after="120" w:line="360" w:lineRule="exact"/>
      <w:ind w:left="1080"/>
    </w:pPr>
    <w:rPr>
      <w:rFonts w:ascii="Arial" w:eastAsia="Times New Roman" w:hAnsi="Arial"/>
      <w:b/>
      <w:kern w:val="28"/>
      <w:sz w:val="28"/>
      <w:szCs w:val="20"/>
      <w:lang w:val="en-US" w:eastAsia="zh-CN"/>
    </w:rPr>
  </w:style>
  <w:style w:type="paragraph" w:customStyle="1" w:styleId="TableText1">
    <w:name w:val="Table Text"/>
    <w:uiPriority w:val="99"/>
    <w:rsid w:val="003B32AB"/>
    <w:pPr>
      <w:spacing w:before="40" w:after="0" w:line="200" w:lineRule="atLeast"/>
    </w:pPr>
    <w:rPr>
      <w:rFonts w:ascii="Tahoma" w:eastAsia="Times New Roman" w:hAnsi="Tahoma" w:cs="Times New Roman"/>
      <w:spacing w:val="6"/>
      <w:sz w:val="15"/>
      <w:szCs w:val="16"/>
    </w:rPr>
  </w:style>
  <w:style w:type="paragraph" w:customStyle="1" w:styleId="IndentedBodyText">
    <w:name w:val="Indented Body Text"/>
    <w:basedOn w:val="Normal"/>
    <w:link w:val="IndentedBodyTextChar"/>
    <w:uiPriority w:val="99"/>
    <w:rsid w:val="003B32AB"/>
    <w:pPr>
      <w:spacing w:before="0" w:after="80" w:line="312" w:lineRule="auto"/>
      <w:ind w:left="360"/>
    </w:pPr>
    <w:rPr>
      <w:rFonts w:ascii="Verdana" w:eastAsia="Times New Roman" w:hAnsi="Verdana"/>
      <w:sz w:val="17"/>
      <w:szCs w:val="20"/>
      <w:lang w:val="en-US" w:eastAsia="zh-CN"/>
    </w:rPr>
  </w:style>
  <w:style w:type="character" w:customStyle="1" w:styleId="IndentedBodyTextChar">
    <w:name w:val="Indented Body Text Char"/>
    <w:basedOn w:val="DefaultParagraphFont"/>
    <w:link w:val="IndentedBodyText"/>
    <w:uiPriority w:val="99"/>
    <w:locked/>
    <w:rsid w:val="003B32AB"/>
    <w:rPr>
      <w:rFonts w:ascii="Verdana" w:eastAsia="Times New Roman" w:hAnsi="Verdana" w:cs="Times New Roman"/>
      <w:sz w:val="17"/>
      <w:szCs w:val="20"/>
    </w:rPr>
  </w:style>
  <w:style w:type="paragraph" w:customStyle="1" w:styleId="StyleTOC1Left0Hanging038">
    <w:name w:val="Style TOC 1 + Left:  0&quot; Hanging:  0.38&quot;"/>
    <w:basedOn w:val="TOC1"/>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StyleTOC1Left0Hanging0381">
    <w:name w:val="Style TOC 1 + Left:  0&quot; Hanging:  0.38&quot;1"/>
    <w:basedOn w:val="TOC1"/>
    <w:autoRedefine/>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Requirement">
    <w:name w:val="Requirement"/>
    <w:basedOn w:val="Normal"/>
    <w:link w:val="RequirementChar"/>
    <w:uiPriority w:val="99"/>
    <w:rsid w:val="003B32AB"/>
    <w:pPr>
      <w:pBdr>
        <w:top w:val="single" w:sz="4" w:space="1" w:color="auto"/>
        <w:left w:val="single" w:sz="4" w:space="4" w:color="auto"/>
        <w:bottom w:val="single" w:sz="4" w:space="1" w:color="auto"/>
        <w:right w:val="single" w:sz="4" w:space="4" w:color="auto"/>
      </w:pBdr>
      <w:spacing w:before="240" w:after="120"/>
      <w:ind w:left="270" w:right="315"/>
    </w:pPr>
    <w:rPr>
      <w:rFonts w:eastAsia="Times New Roman"/>
      <w:sz w:val="22"/>
      <w:szCs w:val="20"/>
      <w:lang w:val="en-US" w:eastAsia="zh-CN"/>
    </w:rPr>
  </w:style>
  <w:style w:type="character" w:customStyle="1" w:styleId="RequirementChar">
    <w:name w:val="Requirement Char"/>
    <w:basedOn w:val="DefaultParagraphFont"/>
    <w:link w:val="Requirement"/>
    <w:uiPriority w:val="99"/>
    <w:locked/>
    <w:rsid w:val="003B32AB"/>
    <w:rPr>
      <w:rFonts w:ascii="Times New Roman" w:eastAsia="Times New Roman" w:hAnsi="Times New Roman" w:cs="Times New Roman"/>
      <w:szCs w:val="20"/>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3B32AB"/>
    <w:rPr>
      <w:rFonts w:cs="Times New Roman"/>
      <w:b/>
      <w:sz w:val="24"/>
      <w:lang w:val="en-GB"/>
    </w:rPr>
  </w:style>
  <w:style w:type="paragraph" w:styleId="DocumentMap">
    <w:name w:val="Document Map"/>
    <w:basedOn w:val="Normal"/>
    <w:link w:val="DocumentMap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3B32AB"/>
    <w:rPr>
      <w:rFonts w:ascii="Gulim" w:eastAsia="Gulim" w:hAnsi="Times New Roman" w:cs="Times New Roman"/>
      <w:sz w:val="18"/>
      <w:szCs w:val="18"/>
    </w:rPr>
  </w:style>
  <w:style w:type="paragraph" w:customStyle="1" w:styleId="3">
    <w:name w:val="스타일 제목 3 + (한글) 맑은 고딕 굵게 없음 검정"/>
    <w:basedOn w:val="Heading3"/>
    <w:uiPriority w:val="99"/>
    <w:rsid w:val="003B32AB"/>
    <w:pPr>
      <w:keepNext w:val="0"/>
      <w:keepLines w:val="0"/>
      <w:widowControl w:val="0"/>
      <w:numPr>
        <w:ilvl w:val="2"/>
      </w:numPr>
      <w:ind w:left="794" w:hanging="794"/>
    </w:pPr>
    <w:rPr>
      <w:rFonts w:eastAsia="Malgun Gothic"/>
      <w:b w:val="0"/>
      <w:color w:val="000000"/>
      <w:lang w:val="en-US" w:eastAsia="zh-CN"/>
    </w:rPr>
  </w:style>
  <w:style w:type="paragraph" w:styleId="TOC9">
    <w:name w:val="toc 9"/>
    <w:basedOn w:val="Normal"/>
    <w:next w:val="Normal"/>
    <w:autoRedefine/>
    <w:uiPriority w:val="39"/>
    <w:rsid w:val="003B32AB"/>
    <w:pPr>
      <w:overflowPunct w:val="0"/>
      <w:autoSpaceDE w:val="0"/>
      <w:autoSpaceDN w:val="0"/>
      <w:adjustRightInd w:val="0"/>
      <w:ind w:leftChars="1600" w:left="3400"/>
      <w:textAlignment w:val="baseline"/>
    </w:pPr>
    <w:rPr>
      <w:rFonts w:eastAsia="Malgun Gothic"/>
      <w:szCs w:val="20"/>
      <w:lang w:val="en-US" w:eastAsia="zh-CN"/>
    </w:rPr>
  </w:style>
  <w:style w:type="character" w:customStyle="1" w:styleId="HeadingbChar1">
    <w:name w:val="Heading_b Char1"/>
    <w:basedOn w:val="DefaultParagraphFont"/>
    <w:rsid w:val="003B32AB"/>
    <w:rPr>
      <w:rFonts w:eastAsia="Batang" w:cs="Times New Roman"/>
      <w:b/>
      <w:sz w:val="24"/>
      <w:lang w:val="en-GB" w:eastAsia="en-US" w:bidi="ar-SA"/>
    </w:rPr>
  </w:style>
  <w:style w:type="character" w:customStyle="1" w:styleId="TableheadChar0">
    <w:name w:val="Table_head Char"/>
    <w:basedOn w:val="DefaultParagraphFont"/>
    <w:uiPriority w:val="99"/>
    <w:rsid w:val="003B32AB"/>
    <w:rPr>
      <w:rFonts w:cs="Times New Roman"/>
      <w:b/>
      <w:sz w:val="22"/>
      <w:lang w:val="en-GB" w:eastAsia="en-US" w:bidi="ar-SA"/>
    </w:rPr>
  </w:style>
  <w:style w:type="paragraph" w:styleId="BodyTextIndent2">
    <w:name w:val="Body Text Indent 2"/>
    <w:basedOn w:val="Normal"/>
    <w:link w:val="BodyTextIndent2Char"/>
    <w:rsid w:val="003B32AB"/>
    <w:pPr>
      <w:tabs>
        <w:tab w:val="left" w:pos="794"/>
        <w:tab w:val="left" w:pos="1191"/>
        <w:tab w:val="left" w:pos="1588"/>
        <w:tab w:val="left" w:pos="1985"/>
      </w:tabs>
      <w:overflowPunct w:val="0"/>
      <w:autoSpaceDE w:val="0"/>
      <w:autoSpaceDN w:val="0"/>
      <w:adjustRightInd w:val="0"/>
      <w:spacing w:after="120" w:line="480" w:lineRule="auto"/>
      <w:ind w:left="283"/>
      <w:textAlignment w:val="baseline"/>
    </w:pPr>
    <w:rPr>
      <w:rFonts w:eastAsia="Batang"/>
      <w:szCs w:val="20"/>
      <w:lang w:val="en-US" w:eastAsia="zh-CN"/>
    </w:rPr>
  </w:style>
  <w:style w:type="character" w:customStyle="1" w:styleId="BodyTextIndent2Char">
    <w:name w:val="Body Text Indent 2 Char"/>
    <w:basedOn w:val="DefaultParagraphFont"/>
    <w:link w:val="BodyTextIndent2"/>
    <w:rsid w:val="003B32AB"/>
    <w:rPr>
      <w:rFonts w:ascii="Times New Roman" w:eastAsia="Batang" w:hAnsi="Times New Roman" w:cs="Times New Roman"/>
      <w:sz w:val="24"/>
      <w:szCs w:val="20"/>
    </w:rPr>
  </w:style>
  <w:style w:type="character" w:customStyle="1" w:styleId="name">
    <w:name w:val="name"/>
    <w:basedOn w:val="DefaultParagraphFont"/>
    <w:uiPriority w:val="99"/>
    <w:rsid w:val="003B32AB"/>
    <w:rPr>
      <w:rFonts w:cs="Times New Roman"/>
    </w:rPr>
  </w:style>
  <w:style w:type="paragraph" w:customStyle="1" w:styleId="AnnexRef">
    <w:name w:val="Annex_Ref"/>
    <w:basedOn w:val="Normal"/>
    <w:next w:val="Normal"/>
    <w:uiPriority w:val="99"/>
    <w:rsid w:val="003B32AB"/>
    <w:pPr>
      <w:keepNext/>
      <w:keepLines/>
      <w:tabs>
        <w:tab w:val="left" w:pos="794"/>
        <w:tab w:val="left" w:pos="1191"/>
        <w:tab w:val="left" w:pos="1588"/>
        <w:tab w:val="left" w:pos="1985"/>
      </w:tabs>
      <w:spacing w:after="280"/>
      <w:jc w:val="center"/>
    </w:pPr>
    <w:rPr>
      <w:rFonts w:eastAsia="Batang"/>
      <w:szCs w:val="20"/>
      <w:lang w:val="en-US" w:eastAsia="zh-CN"/>
    </w:rPr>
  </w:style>
  <w:style w:type="character" w:styleId="LineNumber">
    <w:name w:val="line number"/>
    <w:basedOn w:val="DefaultParagraphFont"/>
    <w:rsid w:val="003B32AB"/>
    <w:rPr>
      <w:rFonts w:cs="Times New Roman"/>
    </w:rPr>
  </w:style>
  <w:style w:type="paragraph" w:styleId="NormalIndent">
    <w:name w:val="Normal Indent"/>
    <w:basedOn w:val="Normal"/>
    <w:rsid w:val="003B32AB"/>
    <w:pPr>
      <w:tabs>
        <w:tab w:val="left" w:pos="794"/>
        <w:tab w:val="left" w:pos="1191"/>
        <w:tab w:val="left" w:pos="1588"/>
        <w:tab w:val="left" w:pos="1985"/>
      </w:tabs>
      <w:ind w:left="794"/>
    </w:pPr>
    <w:rPr>
      <w:rFonts w:eastAsia="Batang"/>
      <w:szCs w:val="20"/>
      <w:lang w:val="en-US" w:eastAsia="zh-CN"/>
    </w:rPr>
  </w:style>
  <w:style w:type="paragraph" w:customStyle="1" w:styleId="TableLegend0">
    <w:name w:val="Table_Legend"/>
    <w:basedOn w:val="TableText0"/>
    <w:uiPriority w:val="99"/>
    <w:rsid w:val="003B32AB"/>
    <w:pPr>
      <w:spacing w:before="120"/>
    </w:pPr>
    <w:rPr>
      <w:rFonts w:eastAsia="Batang"/>
    </w:rPr>
  </w:style>
  <w:style w:type="paragraph" w:customStyle="1" w:styleId="TableTitle0">
    <w:name w:val="Table_Title"/>
    <w:basedOn w:val="Normal"/>
    <w:next w:val="TableText0"/>
    <w:uiPriority w:val="99"/>
    <w:rsid w:val="003B32AB"/>
    <w:pPr>
      <w:keepNext/>
      <w:keepLines/>
      <w:tabs>
        <w:tab w:val="left" w:pos="794"/>
        <w:tab w:val="left" w:pos="1191"/>
        <w:tab w:val="left" w:pos="1588"/>
        <w:tab w:val="left" w:pos="1985"/>
        <w:tab w:val="left" w:pos="2948"/>
        <w:tab w:val="left" w:pos="4082"/>
      </w:tabs>
      <w:spacing w:before="480" w:after="120"/>
      <w:jc w:val="center"/>
    </w:pPr>
    <w:rPr>
      <w:rFonts w:eastAsia="Batang"/>
      <w:b/>
      <w:szCs w:val="20"/>
      <w:lang w:val="en-US" w:eastAsia="zh-CN"/>
    </w:rPr>
  </w:style>
  <w:style w:type="paragraph" w:customStyle="1" w:styleId="FigureLegend0">
    <w:name w:val="Figure_Legend"/>
    <w:basedOn w:val="Normal"/>
    <w:uiPriority w:val="99"/>
    <w:rsid w:val="003B32AB"/>
    <w:pPr>
      <w:keepNext/>
      <w:keepLines/>
      <w:spacing w:before="20" w:after="20"/>
    </w:pPr>
    <w:rPr>
      <w:rFonts w:eastAsia="Batang"/>
      <w:sz w:val="18"/>
      <w:szCs w:val="20"/>
      <w:lang w:val="en-US" w:eastAsia="zh-CN"/>
    </w:rPr>
  </w:style>
  <w:style w:type="paragraph" w:customStyle="1" w:styleId="FigureTitle">
    <w:name w:val="Figure_Title"/>
    <w:basedOn w:val="TableTitle0"/>
    <w:next w:val="Normalaftertitle0"/>
    <w:uiPriority w:val="99"/>
    <w:rsid w:val="003B32AB"/>
    <w:pPr>
      <w:keepNext w:val="0"/>
      <w:spacing w:before="240" w:after="480"/>
    </w:pPr>
  </w:style>
  <w:style w:type="paragraph" w:customStyle="1" w:styleId="AppendixRef">
    <w:name w:val="Appendix_Ref"/>
    <w:basedOn w:val="AnnexRef"/>
    <w:next w:val="Normalaftertitle0"/>
    <w:uiPriority w:val="99"/>
    <w:rsid w:val="003B32AB"/>
  </w:style>
  <w:style w:type="paragraph" w:customStyle="1" w:styleId="AppendixTitle">
    <w:name w:val="Appendix_Title"/>
    <w:basedOn w:val="AnnexTitle"/>
    <w:next w:val="AppendixRef"/>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3B32AB"/>
    <w:pPr>
      <w:tabs>
        <w:tab w:val="left" w:pos="794"/>
        <w:tab w:val="left" w:pos="1191"/>
        <w:tab w:val="left" w:pos="1588"/>
        <w:tab w:val="left" w:pos="1985"/>
      </w:tabs>
      <w:spacing w:before="480"/>
      <w:jc w:val="center"/>
    </w:pPr>
    <w:rPr>
      <w:rFonts w:eastAsia="Batang"/>
      <w:caps/>
      <w:szCs w:val="20"/>
      <w:lang w:val="en-US" w:eastAsia="zh-CN"/>
    </w:rPr>
  </w:style>
  <w:style w:type="paragraph" w:customStyle="1" w:styleId="RefText0">
    <w:name w:val="Ref_Text"/>
    <w:basedOn w:val="Normal"/>
    <w:uiPriority w:val="99"/>
    <w:rsid w:val="003B32AB"/>
    <w:pPr>
      <w:tabs>
        <w:tab w:val="left" w:pos="794"/>
        <w:tab w:val="left" w:pos="1191"/>
        <w:tab w:val="left" w:pos="1588"/>
        <w:tab w:val="left" w:pos="1985"/>
      </w:tabs>
      <w:ind w:left="794" w:hanging="794"/>
    </w:pPr>
    <w:rPr>
      <w:rFonts w:eastAsia="Batang"/>
      <w:szCs w:val="20"/>
      <w:lang w:val="en-US" w:eastAsia="zh-CN"/>
    </w:rPr>
  </w:style>
  <w:style w:type="paragraph" w:customStyle="1" w:styleId="Head">
    <w:name w:val="Head"/>
    <w:basedOn w:val="Normal"/>
    <w:rsid w:val="003B32AB"/>
    <w:pPr>
      <w:tabs>
        <w:tab w:val="left" w:pos="6663"/>
      </w:tabs>
      <w:spacing w:before="0"/>
    </w:pPr>
    <w:rPr>
      <w:rFonts w:eastAsia="Batang"/>
      <w:szCs w:val="20"/>
      <w:lang w:val="en-US" w:eastAsia="zh-CN"/>
    </w:rPr>
  </w:style>
  <w:style w:type="paragraph" w:customStyle="1" w:styleId="RecTitle0">
    <w:name w:val="Rec_Title"/>
    <w:basedOn w:val="RecNo"/>
    <w:next w:val="RecRef0"/>
    <w:uiPriority w:val="99"/>
    <w:rsid w:val="003B32AB"/>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3B32AB"/>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3B32AB"/>
    <w:pPr>
      <w:keepNext/>
      <w:keepLines/>
      <w:tabs>
        <w:tab w:val="left" w:pos="794"/>
        <w:tab w:val="left" w:pos="1191"/>
        <w:tab w:val="left" w:pos="1588"/>
        <w:tab w:val="left" w:pos="1985"/>
      </w:tabs>
      <w:spacing w:before="160"/>
      <w:ind w:left="794"/>
    </w:pPr>
    <w:rPr>
      <w:rFonts w:eastAsia="Batang"/>
      <w:i/>
      <w:szCs w:val="20"/>
      <w:lang w:val="en-US" w:eastAsia="zh-CN"/>
    </w:rPr>
  </w:style>
  <w:style w:type="paragraph" w:styleId="List">
    <w:name w:val="List"/>
    <w:basedOn w:val="Normal"/>
    <w:uiPriority w:val="99"/>
    <w:rsid w:val="003B32AB"/>
    <w:pPr>
      <w:tabs>
        <w:tab w:val="left" w:pos="1701"/>
        <w:tab w:val="left" w:pos="2127"/>
      </w:tabs>
      <w:ind w:left="2127" w:hanging="2127"/>
    </w:pPr>
    <w:rPr>
      <w:rFonts w:eastAsia="Batang"/>
      <w:szCs w:val="20"/>
      <w:lang w:val="en-US" w:eastAsia="zh-CN"/>
    </w:rPr>
  </w:style>
  <w:style w:type="paragraph" w:customStyle="1" w:styleId="Part">
    <w:name w:val="Part"/>
    <w:basedOn w:val="Normal"/>
    <w:uiPriority w:val="99"/>
    <w:rsid w:val="003B32AB"/>
    <w:pPr>
      <w:tabs>
        <w:tab w:val="left" w:pos="1276"/>
        <w:tab w:val="left" w:pos="1701"/>
      </w:tabs>
      <w:spacing w:before="200"/>
      <w:ind w:left="1701" w:hanging="1701"/>
    </w:pPr>
    <w:rPr>
      <w:rFonts w:eastAsia="Batang"/>
      <w:caps/>
      <w:szCs w:val="20"/>
      <w:lang w:val="en-US" w:eastAsia="zh-CN"/>
    </w:rPr>
  </w:style>
  <w:style w:type="paragraph" w:customStyle="1" w:styleId="Keywords">
    <w:name w:val="Keywords"/>
    <w:basedOn w:val="Normal"/>
    <w:uiPriority w:val="99"/>
    <w:rsid w:val="003B32AB"/>
    <w:pPr>
      <w:tabs>
        <w:tab w:val="left" w:pos="794"/>
        <w:tab w:val="left" w:pos="1985"/>
      </w:tabs>
      <w:ind w:left="794" w:hanging="794"/>
    </w:pPr>
    <w:rPr>
      <w:rFonts w:eastAsia="Batang"/>
      <w:szCs w:val="20"/>
      <w:lang w:val="en-US" w:eastAsia="zh-CN"/>
    </w:rPr>
  </w:style>
  <w:style w:type="paragraph" w:customStyle="1" w:styleId="EquationLegend0">
    <w:name w:val="Equation_Legend"/>
    <w:basedOn w:val="Normal"/>
    <w:uiPriority w:val="99"/>
    <w:rsid w:val="003B32AB"/>
    <w:pPr>
      <w:tabs>
        <w:tab w:val="right" w:pos="1531"/>
        <w:tab w:val="left" w:pos="1701"/>
      </w:tabs>
      <w:spacing w:before="80"/>
      <w:ind w:left="1701" w:hanging="1701"/>
    </w:pPr>
    <w:rPr>
      <w:rFonts w:eastAsia="Batang"/>
      <w:szCs w:val="20"/>
      <w:lang w:val="en-US" w:eastAsia="zh-CN"/>
    </w:rPr>
  </w:style>
  <w:style w:type="paragraph" w:customStyle="1" w:styleId="Qlist">
    <w:name w:val="Qlist"/>
    <w:basedOn w:val="Normal"/>
    <w:uiPriority w:val="99"/>
    <w:rsid w:val="003B32AB"/>
    <w:pPr>
      <w:tabs>
        <w:tab w:val="left" w:pos="1843"/>
        <w:tab w:val="left" w:pos="2268"/>
      </w:tabs>
      <w:ind w:left="2268" w:hanging="2268"/>
    </w:pPr>
    <w:rPr>
      <w:rFonts w:eastAsia="Batang"/>
      <w:b/>
      <w:szCs w:val="20"/>
      <w:lang w:val="en-US" w:eastAsia="zh-CN"/>
    </w:rPr>
  </w:style>
  <w:style w:type="paragraph" w:customStyle="1" w:styleId="meeting">
    <w:name w:val="meeting"/>
    <w:basedOn w:val="Head"/>
    <w:next w:val="Head"/>
    <w:uiPriority w:val="99"/>
    <w:rsid w:val="003B32AB"/>
    <w:pPr>
      <w:tabs>
        <w:tab w:val="left" w:pos="7371"/>
      </w:tabs>
      <w:spacing w:after="560"/>
    </w:pPr>
  </w:style>
  <w:style w:type="paragraph" w:customStyle="1" w:styleId="headingi0">
    <w:name w:val="heading_i"/>
    <w:basedOn w:val="Heading3"/>
    <w:next w:val="Normal"/>
    <w:uiPriority w:val="99"/>
    <w:rsid w:val="003B32AB"/>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
    <w:rsid w:val="003B32AB"/>
    <w:rPr>
      <w:rFonts w:eastAsia="Batang"/>
      <w:szCs w:val="20"/>
    </w:rPr>
  </w:style>
  <w:style w:type="paragraph" w:customStyle="1" w:styleId="ArtHeading0">
    <w:name w:val="Art_Heading"/>
    <w:basedOn w:val="Normal"/>
    <w:next w:val="Normalaftertitle0"/>
    <w:uiPriority w:val="99"/>
    <w:rsid w:val="003B32AB"/>
    <w:pPr>
      <w:tabs>
        <w:tab w:val="left" w:pos="794"/>
        <w:tab w:val="left" w:pos="1191"/>
        <w:tab w:val="left" w:pos="1588"/>
        <w:tab w:val="left" w:pos="1985"/>
      </w:tabs>
      <w:spacing w:before="480"/>
      <w:jc w:val="center"/>
    </w:pPr>
    <w:rPr>
      <w:rFonts w:eastAsia="Batang"/>
      <w:b/>
      <w:sz w:val="28"/>
      <w:szCs w:val="20"/>
      <w:lang w:val="en-US" w:eastAsia="zh-CN"/>
    </w:rPr>
  </w:style>
  <w:style w:type="paragraph" w:customStyle="1" w:styleId="ArtTitle0">
    <w:name w:val="Art_Title"/>
    <w:basedOn w:val="Normal"/>
    <w:next w:val="Normalaftertitle0"/>
    <w:uiPriority w:val="99"/>
    <w:rsid w:val="003B32AB"/>
    <w:pPr>
      <w:tabs>
        <w:tab w:val="left" w:pos="794"/>
        <w:tab w:val="left" w:pos="1191"/>
        <w:tab w:val="left" w:pos="1588"/>
        <w:tab w:val="left" w:pos="1985"/>
      </w:tabs>
      <w:spacing w:before="240"/>
      <w:jc w:val="center"/>
    </w:pPr>
    <w:rPr>
      <w:rFonts w:eastAsia="Batang"/>
      <w:b/>
      <w:sz w:val="28"/>
      <w:szCs w:val="20"/>
      <w:lang w:val="en-US" w:eastAsia="zh-CN"/>
    </w:rPr>
  </w:style>
  <w:style w:type="paragraph" w:customStyle="1" w:styleId="ChapTitle0">
    <w:name w:val="Chap_Title"/>
    <w:basedOn w:val="ArtTitle0"/>
    <w:next w:val="Normalaftertitle0"/>
    <w:uiPriority w:val="99"/>
    <w:rsid w:val="003B32AB"/>
  </w:style>
  <w:style w:type="paragraph" w:customStyle="1" w:styleId="PartRef0">
    <w:name w:val="Part_Ref"/>
    <w:basedOn w:val="AnnexRef"/>
    <w:next w:val="Normalaftertitle0"/>
    <w:uiPriority w:val="99"/>
    <w:rsid w:val="003B32AB"/>
  </w:style>
  <w:style w:type="paragraph" w:customStyle="1" w:styleId="PartTitle0">
    <w:name w:val="Part_Title"/>
    <w:basedOn w:val="AnnexTitle"/>
    <w:next w:val="PartRef0"/>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3B32AB"/>
    <w:pPr>
      <w:jc w:val="right"/>
    </w:pPr>
  </w:style>
  <w:style w:type="paragraph" w:customStyle="1" w:styleId="ResDate0">
    <w:name w:val="Res_Date"/>
    <w:basedOn w:val="RecDate0"/>
    <w:next w:val="Normalaftertitle0"/>
    <w:uiPriority w:val="99"/>
    <w:rsid w:val="003B32AB"/>
    <w:rPr>
      <w:sz w:val="24"/>
    </w:rPr>
  </w:style>
  <w:style w:type="paragraph" w:customStyle="1" w:styleId="ResRef0">
    <w:name w:val="Res_Ref"/>
    <w:basedOn w:val="RecRef0"/>
    <w:next w:val="ResDate0"/>
    <w:uiPriority w:val="99"/>
    <w:rsid w:val="003B32AB"/>
    <w:rPr>
      <w:sz w:val="24"/>
    </w:rPr>
  </w:style>
  <w:style w:type="paragraph" w:customStyle="1" w:styleId="ResTitle0">
    <w:name w:val="Res_Title"/>
    <w:basedOn w:val="RecTitle0"/>
    <w:next w:val="ResRef0"/>
    <w:uiPriority w:val="99"/>
    <w:rsid w:val="003B32AB"/>
  </w:style>
  <w:style w:type="paragraph" w:customStyle="1" w:styleId="SectionTitle0">
    <w:name w:val="Section_Title"/>
    <w:basedOn w:val="Normal"/>
    <w:next w:val="Normalaftertitle0"/>
    <w:uiPriority w:val="99"/>
    <w:rsid w:val="003B32AB"/>
    <w:pPr>
      <w:tabs>
        <w:tab w:val="left" w:pos="794"/>
        <w:tab w:val="left" w:pos="1191"/>
        <w:tab w:val="left" w:pos="1588"/>
        <w:tab w:val="left" w:pos="1985"/>
      </w:tabs>
    </w:pPr>
    <w:rPr>
      <w:rFonts w:eastAsia="Batang"/>
      <w:sz w:val="28"/>
      <w:szCs w:val="20"/>
      <w:lang w:val="en-US" w:eastAsia="zh-CN"/>
    </w:rPr>
  </w:style>
  <w:style w:type="paragraph" w:customStyle="1" w:styleId="sgmSPLML">
    <w:name w:val="sgmSPLML"/>
    <w:basedOn w:val="Normal"/>
    <w:uiPriority w:val="99"/>
    <w:rsid w:val="003B32AB"/>
    <w:pPr>
      <w:widowControl w:val="0"/>
      <w:overflowPunct w:val="0"/>
      <w:autoSpaceDE w:val="0"/>
      <w:autoSpaceDN w:val="0"/>
      <w:adjustRightInd w:val="0"/>
      <w:spacing w:before="0" w:after="240" w:line="240" w:lineRule="exact"/>
      <w:textAlignment w:val="baseline"/>
    </w:pPr>
    <w:rPr>
      <w:rFonts w:ascii="Arial" w:eastAsia="Batang" w:hAnsi="Arial"/>
      <w:b/>
      <w:spacing w:val="4"/>
      <w:kern w:val="18"/>
      <w:sz w:val="22"/>
      <w:szCs w:val="20"/>
      <w:lang w:val="en-US" w:eastAsia="zh-CN"/>
    </w:rPr>
  </w:style>
  <w:style w:type="paragraph" w:customStyle="1" w:styleId="Table">
    <w:name w:val="Table_#"/>
    <w:basedOn w:val="Normal"/>
    <w:next w:val="TableTitle0"/>
    <w:uiPriority w:val="99"/>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Cs w:val="20"/>
      <w:lang w:val="en-US" w:eastAsia="zh-CN"/>
    </w:rPr>
  </w:style>
  <w:style w:type="paragraph" w:customStyle="1" w:styleId="Fig">
    <w:name w:val="Fig"/>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136"/>
      <w:jc w:val="center"/>
      <w:textAlignment w:val="baseline"/>
    </w:pPr>
    <w:rPr>
      <w:rFonts w:ascii="Arial" w:eastAsia="Batang" w:hAnsi="Arial"/>
      <w:sz w:val="20"/>
      <w:szCs w:val="20"/>
      <w:lang w:val="en-US" w:eastAsia="zh-CN"/>
    </w:rPr>
  </w:style>
  <w:style w:type="paragraph" w:styleId="PlainText">
    <w:name w:val="Plain Text"/>
    <w:basedOn w:val="Normal"/>
    <w:link w:val="PlainTextChar"/>
    <w:uiPriority w:val="99"/>
    <w:rsid w:val="003B32AB"/>
    <w:pPr>
      <w:widowControl w:val="0"/>
      <w:overflowPunct w:val="0"/>
      <w:autoSpaceDE w:val="0"/>
      <w:autoSpaceDN w:val="0"/>
      <w:adjustRightInd w:val="0"/>
      <w:spacing w:before="0"/>
      <w:textAlignment w:val="baseline"/>
    </w:pPr>
    <w:rPr>
      <w:rFonts w:ascii="Courier New" w:eastAsia="Batang" w:hAnsi="Courier New"/>
      <w:sz w:val="20"/>
      <w:szCs w:val="20"/>
      <w:lang w:val="en-US" w:eastAsia="zh-CN"/>
    </w:rPr>
  </w:style>
  <w:style w:type="character" w:customStyle="1" w:styleId="PlainTextChar">
    <w:name w:val="Plain Text Char"/>
    <w:basedOn w:val="DefaultParagraphFont"/>
    <w:link w:val="PlainText"/>
    <w:uiPriority w:val="99"/>
    <w:rsid w:val="003B32AB"/>
    <w:rPr>
      <w:rFonts w:ascii="Courier New" w:eastAsia="Batang" w:hAnsi="Courier New" w:cs="Times New Roman"/>
      <w:sz w:val="20"/>
      <w:szCs w:val="20"/>
    </w:rPr>
  </w:style>
  <w:style w:type="paragraph" w:customStyle="1" w:styleId="Terms">
    <w:name w:val="Term(s)"/>
    <w:basedOn w:val="Normal"/>
    <w:next w:val="Definition"/>
    <w:uiPriority w:val="99"/>
    <w:rsid w:val="003B32AB"/>
    <w:pPr>
      <w:keepNext/>
      <w:tabs>
        <w:tab w:val="left" w:pos="567"/>
        <w:tab w:val="left" w:pos="794"/>
        <w:tab w:val="left" w:pos="1191"/>
        <w:tab w:val="left" w:pos="1588"/>
        <w:tab w:val="left" w:pos="1985"/>
      </w:tabs>
      <w:overflowPunct w:val="0"/>
      <w:autoSpaceDE w:val="0"/>
      <w:autoSpaceDN w:val="0"/>
      <w:adjustRightInd w:val="0"/>
      <w:spacing w:before="136" w:line="220" w:lineRule="exact"/>
      <w:textAlignment w:val="baseline"/>
    </w:pPr>
    <w:rPr>
      <w:rFonts w:eastAsia="Batang"/>
      <w:b/>
      <w:sz w:val="20"/>
      <w:szCs w:val="20"/>
      <w:lang w:val="en-US" w:eastAsia="zh-CN"/>
    </w:rPr>
  </w:style>
  <w:style w:type="paragraph" w:customStyle="1" w:styleId="Definition">
    <w:name w:val="Definition"/>
    <w:basedOn w:val="Normal"/>
    <w:uiPriority w:val="99"/>
    <w:rsid w:val="003B32AB"/>
    <w:pPr>
      <w:tabs>
        <w:tab w:val="left" w:pos="794"/>
        <w:tab w:val="left" w:pos="1191"/>
        <w:tab w:val="left" w:pos="1588"/>
        <w:tab w:val="left" w:pos="1985"/>
      </w:tabs>
      <w:overflowPunct w:val="0"/>
      <w:autoSpaceDE w:val="0"/>
      <w:autoSpaceDN w:val="0"/>
      <w:adjustRightInd w:val="0"/>
      <w:spacing w:before="136" w:line="260" w:lineRule="exact"/>
      <w:jc w:val="both"/>
      <w:textAlignment w:val="baseline"/>
    </w:pPr>
    <w:rPr>
      <w:rFonts w:eastAsia="Batang"/>
      <w:sz w:val="20"/>
      <w:szCs w:val="20"/>
      <w:lang w:val="en-US" w:eastAsia="zh-CN"/>
    </w:rPr>
  </w:style>
  <w:style w:type="paragraph" w:customStyle="1" w:styleId="ASN1-Module">
    <w:name w:val="ASN1-Module"/>
    <w:basedOn w:val="Normal"/>
    <w:uiPriority w:val="99"/>
    <w:rsid w:val="003B32AB"/>
    <w:pPr>
      <w:widowControl w:val="0"/>
      <w:tabs>
        <w:tab w:val="left" w:pos="567"/>
        <w:tab w:val="left" w:pos="1701"/>
        <w:tab w:val="left" w:pos="3686"/>
      </w:tabs>
      <w:overflowPunct w:val="0"/>
      <w:autoSpaceDE w:val="0"/>
      <w:autoSpaceDN w:val="0"/>
      <w:adjustRightInd w:val="0"/>
      <w:spacing w:before="0" w:after="60"/>
      <w:textAlignment w:val="baseline"/>
    </w:pPr>
    <w:rPr>
      <w:rFonts w:ascii="Arial" w:eastAsia="Batang" w:hAnsi="Arial"/>
      <w:sz w:val="20"/>
      <w:szCs w:val="20"/>
      <w:lang w:val="en-US" w:eastAsia="zh-CN"/>
    </w:rPr>
  </w:style>
  <w:style w:type="paragraph" w:styleId="HTMLPreformatted">
    <w:name w:val="HTML Preformatted"/>
    <w:basedOn w:val="Normal"/>
    <w:link w:val="HTMLPreformattedChar"/>
    <w:uiPriority w:val="99"/>
    <w:rsid w:val="003B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szCs w:val="20"/>
      <w:lang w:val="en-US" w:eastAsia="zh-CN"/>
    </w:rPr>
  </w:style>
  <w:style w:type="character" w:customStyle="1" w:styleId="HTMLPreformattedChar">
    <w:name w:val="HTML Preformatted Char"/>
    <w:basedOn w:val="DefaultParagraphFont"/>
    <w:link w:val="HTMLPreformatted"/>
    <w:uiPriority w:val="99"/>
    <w:rsid w:val="003B32AB"/>
    <w:rPr>
      <w:rFonts w:ascii="Arial Unicode MS" w:eastAsia="Arial Unicode MS" w:hAnsi="Arial Unicode MS" w:cs="Arial Unicode MS"/>
      <w:sz w:val="20"/>
      <w:szCs w:val="20"/>
    </w:rPr>
  </w:style>
  <w:style w:type="paragraph" w:customStyle="1" w:styleId="Body">
    <w:name w:val="Body"/>
    <w:basedOn w:val="Normal"/>
    <w:uiPriority w:val="99"/>
    <w:rsid w:val="003B32AB"/>
    <w:pPr>
      <w:ind w:firstLine="432"/>
      <w:jc w:val="both"/>
    </w:pPr>
    <w:rPr>
      <w:rFonts w:eastAsia="Batang"/>
      <w:szCs w:val="20"/>
      <w:lang w:val="en-US" w:eastAsia="zh-CN"/>
    </w:rPr>
  </w:style>
  <w:style w:type="paragraph" w:customStyle="1" w:styleId="Annexref0">
    <w:name w:val="Annex_ref"/>
    <w:basedOn w:val="Normal"/>
    <w:next w:val="Normal"/>
    <w:rsid w:val="003B32AB"/>
    <w:pPr>
      <w:keepNext/>
      <w:keepLines/>
      <w:tabs>
        <w:tab w:val="left" w:pos="794"/>
        <w:tab w:val="left" w:pos="1191"/>
        <w:tab w:val="left" w:pos="1588"/>
        <w:tab w:val="left" w:pos="1985"/>
      </w:tabs>
      <w:spacing w:after="280"/>
      <w:jc w:val="center"/>
    </w:pPr>
    <w:rPr>
      <w:rFonts w:eastAsia="Batang"/>
      <w:i/>
      <w:iCs/>
      <w:sz w:val="20"/>
      <w:szCs w:val="20"/>
      <w:lang w:val="en-US" w:eastAsia="zh-CN"/>
    </w:rPr>
  </w:style>
  <w:style w:type="paragraph" w:customStyle="1" w:styleId="Num-DocParagraph">
    <w:name w:val="Num-Doc Paragraph"/>
    <w:basedOn w:val="BodyText"/>
    <w:uiPriority w:val="99"/>
    <w:rsid w:val="003B32AB"/>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3B32AB"/>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sgmH0">
    <w:name w:val="sgmH0"/>
    <w:basedOn w:val="Normal"/>
    <w:uiPriority w:val="99"/>
    <w:rsid w:val="003B32AB"/>
    <w:pPr>
      <w:keepNext/>
      <w:spacing w:before="0" w:after="900" w:line="300" w:lineRule="exact"/>
      <w:jc w:val="center"/>
    </w:pPr>
    <w:rPr>
      <w:rFonts w:ascii="Arial" w:eastAsia="Batang" w:hAnsi="Arial"/>
      <w:b/>
      <w:spacing w:val="4"/>
      <w:kern w:val="18"/>
      <w:sz w:val="28"/>
      <w:lang w:val="en-US" w:eastAsia="zh-CN"/>
    </w:rPr>
  </w:style>
  <w:style w:type="paragraph" w:customStyle="1" w:styleId="Style1">
    <w:name w:val="Style1"/>
    <w:basedOn w:val="Normal"/>
    <w:uiPriority w:val="99"/>
    <w:rsid w:val="003B32AB"/>
    <w:pPr>
      <w:tabs>
        <w:tab w:val="left" w:pos="794"/>
        <w:tab w:val="left" w:pos="1191"/>
        <w:tab w:val="left" w:pos="1588"/>
        <w:tab w:val="left" w:pos="1985"/>
      </w:tabs>
      <w:ind w:left="927" w:hanging="360"/>
    </w:pPr>
    <w:rPr>
      <w:rFonts w:eastAsia="Batang"/>
      <w:szCs w:val="20"/>
      <w:lang w:val="en-US" w:eastAsia="zh-CN"/>
    </w:rPr>
  </w:style>
  <w:style w:type="paragraph" w:styleId="BlockText">
    <w:name w:val="Block Text"/>
    <w:basedOn w:val="Normal"/>
    <w:uiPriority w:val="99"/>
    <w:rsid w:val="003B32AB"/>
    <w:pPr>
      <w:widowControl w:val="0"/>
      <w:spacing w:before="0"/>
      <w:ind w:left="720" w:right="-483"/>
    </w:pPr>
    <w:rPr>
      <w:rFonts w:eastAsia="Batang"/>
      <w:sz w:val="20"/>
      <w:szCs w:val="20"/>
      <w:lang w:val="en-AU" w:eastAsia="zh-CN"/>
    </w:rPr>
  </w:style>
  <w:style w:type="paragraph" w:customStyle="1" w:styleId="FooterPubl">
    <w:name w:val="Footer_Publ"/>
    <w:basedOn w:val="Normal"/>
    <w:uiPriority w:val="99"/>
    <w:rsid w:val="003B32AB"/>
    <w:pPr>
      <w:tabs>
        <w:tab w:val="left" w:pos="5954"/>
        <w:tab w:val="right" w:pos="9639"/>
      </w:tabs>
      <w:overflowPunct w:val="0"/>
      <w:autoSpaceDE w:val="0"/>
      <w:autoSpaceDN w:val="0"/>
      <w:adjustRightInd w:val="0"/>
      <w:spacing w:before="60" w:after="60"/>
      <w:textAlignment w:val="baseline"/>
    </w:pPr>
    <w:rPr>
      <w:rFonts w:eastAsia="Batang"/>
      <w:sz w:val="18"/>
      <w:szCs w:val="20"/>
      <w:lang w:val="en-US" w:eastAsia="zh-CN"/>
    </w:rPr>
  </w:style>
  <w:style w:type="character" w:customStyle="1" w:styleId="ASN1Text">
    <w:name w:val="ASN.1 Text"/>
    <w:basedOn w:val="DefaultParagraphFont"/>
    <w:rsid w:val="003B32AB"/>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3B32AB"/>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3">
    <w:name w:val="索引"/>
    <w:basedOn w:val="Normal"/>
    <w:uiPriority w:val="99"/>
    <w:rsid w:val="003B32AB"/>
    <w:pPr>
      <w:suppressLineNumbers/>
      <w:suppressAutoHyphens/>
      <w:spacing w:before="240"/>
      <w:jc w:val="both"/>
    </w:pPr>
    <w:rPr>
      <w:rFonts w:eastAsia="MS Mincho" w:cs="Tahoma"/>
      <w:szCs w:val="20"/>
      <w:lang w:val="en-US" w:eastAsia="ar-SA"/>
    </w:rPr>
  </w:style>
  <w:style w:type="paragraph" w:customStyle="1" w:styleId="paragraph">
    <w:name w:val="paragraph"/>
    <w:basedOn w:val="Normal"/>
    <w:uiPriority w:val="99"/>
    <w:rsid w:val="003B32AB"/>
    <w:pPr>
      <w:suppressAutoHyphens/>
      <w:spacing w:before="240" w:line="260" w:lineRule="atLeast"/>
      <w:jc w:val="both"/>
    </w:pPr>
    <w:rPr>
      <w:rFonts w:ascii="Times" w:eastAsia="MS Mincho" w:hAnsi="Times"/>
      <w:szCs w:val="20"/>
      <w:lang w:val="en-US" w:eastAsia="ar-SA"/>
    </w:rPr>
  </w:style>
  <w:style w:type="paragraph" w:customStyle="1" w:styleId="NBComment">
    <w:name w:val="NB Comment"/>
    <w:basedOn w:val="Normal"/>
    <w:uiPriority w:val="99"/>
    <w:rsid w:val="003B32AB"/>
    <w:pPr>
      <w:suppressAutoHyphens/>
      <w:spacing w:before="240"/>
    </w:pPr>
    <w:rPr>
      <w:rFonts w:eastAsia="MS Mincho"/>
      <w:szCs w:val="20"/>
      <w:lang w:val="en-US" w:eastAsia="ar-SA"/>
    </w:rPr>
  </w:style>
  <w:style w:type="paragraph" w:customStyle="1" w:styleId="NBCommentHdr">
    <w:name w:val="NB Comment Hdr"/>
    <w:basedOn w:val="NBComment"/>
    <w:next w:val="NBComment"/>
    <w:uiPriority w:val="99"/>
    <w:rsid w:val="003B32AB"/>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3B32AB"/>
  </w:style>
  <w:style w:type="paragraph" w:customStyle="1" w:styleId="WW-2">
    <w:name w:val="WW-箇条書き 2"/>
    <w:basedOn w:val="Normal"/>
    <w:uiPriority w:val="99"/>
    <w:rsid w:val="003B32AB"/>
    <w:pPr>
      <w:tabs>
        <w:tab w:val="left" w:pos="151"/>
        <w:tab w:val="left" w:pos="548"/>
        <w:tab w:val="left" w:pos="945"/>
        <w:tab w:val="left" w:pos="1342"/>
      </w:tabs>
      <w:suppressAutoHyphens/>
      <w:overflowPunct w:val="0"/>
      <w:autoSpaceDE w:val="0"/>
      <w:spacing w:before="136"/>
      <w:jc w:val="both"/>
      <w:textAlignment w:val="baseline"/>
    </w:pPr>
    <w:rPr>
      <w:rFonts w:eastAsia="MS Mincho"/>
      <w:sz w:val="20"/>
      <w:szCs w:val="20"/>
      <w:lang w:val="en-US" w:eastAsia="ar-SA"/>
    </w:rPr>
  </w:style>
  <w:style w:type="paragraph" w:customStyle="1" w:styleId="ASN1Continue">
    <w:name w:val="ASN.1 Continue"/>
    <w:basedOn w:val="BodyText"/>
    <w:uiPriority w:val="99"/>
    <w:rsid w:val="003B32AB"/>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3B32AB"/>
    <w:pPr>
      <w:ind w:left="1287" w:hanging="360"/>
    </w:pPr>
    <w:rPr>
      <w:rFonts w:eastAsia="MS Mincho"/>
      <w:lang w:val="en-US"/>
    </w:rPr>
  </w:style>
  <w:style w:type="paragraph" w:styleId="ListBullet2">
    <w:name w:val="List Bullet 2"/>
    <w:basedOn w:val="Normal"/>
    <w:uiPriority w:val="99"/>
    <w:rsid w:val="003B32AB"/>
    <w:pPr>
      <w:tabs>
        <w:tab w:val="left" w:pos="794"/>
        <w:tab w:val="left" w:pos="1191"/>
        <w:tab w:val="left" w:pos="1588"/>
        <w:tab w:val="left" w:pos="1985"/>
      </w:tabs>
      <w:overflowPunct w:val="0"/>
      <w:autoSpaceDE w:val="0"/>
      <w:autoSpaceDN w:val="0"/>
      <w:adjustRightInd w:val="0"/>
      <w:ind w:left="990" w:hanging="360"/>
      <w:textAlignment w:val="baseline"/>
    </w:pPr>
    <w:rPr>
      <w:rFonts w:eastAsia="Batang"/>
      <w:szCs w:val="20"/>
      <w:lang w:val="en-US" w:eastAsia="zh-CN"/>
    </w:rPr>
  </w:style>
  <w:style w:type="paragraph" w:customStyle="1" w:styleId="EUListNumber2">
    <w:name w:val="EUList Number 2"/>
    <w:basedOn w:val="Normal"/>
    <w:uiPriority w:val="99"/>
    <w:rsid w:val="003B32AB"/>
    <w:pPr>
      <w:tabs>
        <w:tab w:val="num" w:pos="432"/>
      </w:tabs>
      <w:ind w:left="432" w:hanging="432"/>
    </w:pPr>
    <w:rPr>
      <w:rFonts w:eastAsia="MS Mincho"/>
      <w:lang w:val="en-US"/>
    </w:rPr>
  </w:style>
  <w:style w:type="paragraph" w:styleId="ListNumber3">
    <w:name w:val="List Number 3"/>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styleId="ListBullet4">
    <w:name w:val="List Bullet 4"/>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customStyle="1" w:styleId="NO">
    <w:name w:val="NO"/>
    <w:basedOn w:val="Normal"/>
    <w:uiPriority w:val="99"/>
    <w:rsid w:val="003B32AB"/>
    <w:pPr>
      <w:keepLines/>
      <w:overflowPunct w:val="0"/>
      <w:autoSpaceDE w:val="0"/>
      <w:autoSpaceDN w:val="0"/>
      <w:adjustRightInd w:val="0"/>
      <w:spacing w:before="0" w:after="180"/>
      <w:ind w:left="1135" w:hanging="851"/>
      <w:textAlignment w:val="baseline"/>
    </w:pPr>
    <w:rPr>
      <w:rFonts w:eastAsia="Batang"/>
      <w:sz w:val="20"/>
      <w:szCs w:val="20"/>
      <w:lang w:val="en-US" w:eastAsia="zh-CN"/>
    </w:rPr>
  </w:style>
  <w:style w:type="paragraph" w:styleId="BodyText3">
    <w:name w:val="Body Text 3"/>
    <w:basedOn w:val="Normal"/>
    <w:link w:val="BodyText3Char"/>
    <w:rsid w:val="003B32AB"/>
    <w:pPr>
      <w:keepNext/>
      <w:spacing w:before="0"/>
    </w:pPr>
    <w:rPr>
      <w:rFonts w:ascii="Trebuchet MS" w:eastAsia="Batang" w:hAnsi="Trebuchet MS"/>
      <w:sz w:val="20"/>
      <w:szCs w:val="20"/>
      <w:lang w:val="en-US" w:eastAsia="zh-CN"/>
    </w:rPr>
  </w:style>
  <w:style w:type="character" w:customStyle="1" w:styleId="BodyText3Char">
    <w:name w:val="Body Text 3 Char"/>
    <w:basedOn w:val="DefaultParagraphFont"/>
    <w:link w:val="BodyText3"/>
    <w:rsid w:val="003B32AB"/>
    <w:rPr>
      <w:rFonts w:ascii="Trebuchet MS" w:eastAsia="Batang" w:hAnsi="Trebuchet MS" w:cs="Times New Roman"/>
      <w:sz w:val="20"/>
      <w:szCs w:val="20"/>
    </w:rPr>
  </w:style>
  <w:style w:type="paragraph" w:customStyle="1" w:styleId="HeaderLevel1">
    <w:name w:val="Header Level 1"/>
    <w:basedOn w:val="Normal"/>
    <w:next w:val="BodyTextIndent"/>
    <w:autoRedefine/>
    <w:rsid w:val="003B32AB"/>
    <w:pPr>
      <w:tabs>
        <w:tab w:val="left" w:pos="794"/>
        <w:tab w:val="left" w:pos="1191"/>
        <w:tab w:val="left" w:pos="1587"/>
        <w:tab w:val="left" w:pos="1984"/>
      </w:tabs>
      <w:spacing w:before="360" w:after="120"/>
    </w:pPr>
    <w:rPr>
      <w:rFonts w:eastAsia="Batang"/>
      <w:b/>
      <w:bCs/>
      <w:szCs w:val="32"/>
      <w:lang w:val="en-US" w:eastAsia="zh-CN"/>
    </w:rPr>
  </w:style>
  <w:style w:type="paragraph" w:customStyle="1" w:styleId="HeaderLevel2">
    <w:name w:val="Header Level 2"/>
    <w:basedOn w:val="Normal"/>
    <w:next w:val="BodyTextIndent"/>
    <w:autoRedefine/>
    <w:uiPriority w:val="99"/>
    <w:rsid w:val="003B32AB"/>
    <w:pPr>
      <w:tabs>
        <w:tab w:val="left" w:pos="794"/>
        <w:tab w:val="left" w:pos="1191"/>
        <w:tab w:val="left" w:pos="1587"/>
        <w:tab w:val="left" w:pos="1984"/>
      </w:tabs>
      <w:spacing w:before="360" w:after="120"/>
      <w:jc w:val="both"/>
    </w:pPr>
    <w:rPr>
      <w:rFonts w:eastAsia="Batang"/>
      <w:b/>
      <w:kern w:val="2"/>
      <w:sz w:val="22"/>
      <w:lang w:val="en-US" w:eastAsia="zh-CN"/>
    </w:rPr>
  </w:style>
  <w:style w:type="paragraph" w:customStyle="1" w:styleId="TABLE0">
    <w:name w:val="TABLE"/>
    <w:basedOn w:val="BodyTextIndent"/>
    <w:next w:val="BodyTextFirstIndent"/>
    <w:autoRedefine/>
    <w:uiPriority w:val="99"/>
    <w:rsid w:val="003B32AB"/>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3B32AB"/>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3B32AB"/>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3B32AB"/>
    <w:pPr>
      <w:tabs>
        <w:tab w:val="num" w:pos="720"/>
        <w:tab w:val="left" w:pos="794"/>
        <w:tab w:val="left" w:pos="1191"/>
        <w:tab w:val="left" w:pos="1587"/>
        <w:tab w:val="left" w:pos="1984"/>
      </w:tabs>
      <w:spacing w:before="136"/>
      <w:ind w:left="720" w:hanging="360"/>
      <w:jc w:val="both"/>
    </w:pPr>
    <w:rPr>
      <w:rFonts w:eastAsia="Batang"/>
      <w:lang w:val="en-US" w:eastAsia="zh-CN"/>
    </w:rPr>
  </w:style>
  <w:style w:type="paragraph" w:customStyle="1" w:styleId="aMyHeading1">
    <w:name w:val="aMyHeading1"/>
    <w:basedOn w:val="BodyTextIndent"/>
    <w:autoRedefine/>
    <w:uiPriority w:val="99"/>
    <w:rsid w:val="003B32AB"/>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3B32AB"/>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3B32AB"/>
    <w:pPr>
      <w:tabs>
        <w:tab w:val="left" w:pos="794"/>
        <w:tab w:val="num" w:pos="900"/>
        <w:tab w:val="left" w:pos="1191"/>
        <w:tab w:val="left" w:pos="1588"/>
        <w:tab w:val="left" w:pos="1985"/>
      </w:tabs>
      <w:overflowPunct w:val="0"/>
      <w:autoSpaceDE w:val="0"/>
      <w:autoSpaceDN w:val="0"/>
      <w:adjustRightInd w:val="0"/>
    </w:pPr>
    <w:rPr>
      <w:rFonts w:eastAsia="Batang"/>
      <w:b/>
      <w:bCs/>
      <w:sz w:val="22"/>
      <w:lang w:val="en-US" w:eastAsia="zh-CN"/>
    </w:rPr>
  </w:style>
  <w:style w:type="paragraph" w:styleId="BodyTextIndent3">
    <w:name w:val="Body Text Indent 3"/>
    <w:basedOn w:val="Normal"/>
    <w:link w:val="BodyTextIndent3Char"/>
    <w:rsid w:val="003B32AB"/>
    <w:pPr>
      <w:tabs>
        <w:tab w:val="left" w:pos="794"/>
        <w:tab w:val="left" w:pos="1191"/>
        <w:tab w:val="left" w:pos="1587"/>
        <w:tab w:val="left" w:pos="1984"/>
      </w:tabs>
      <w:spacing w:before="0" w:after="120"/>
      <w:ind w:left="357"/>
      <w:jc w:val="both"/>
    </w:pPr>
    <w:rPr>
      <w:rFonts w:eastAsia="Batang"/>
      <w:lang w:val="en-US" w:eastAsia="zh-CN"/>
    </w:rPr>
  </w:style>
  <w:style w:type="character" w:customStyle="1" w:styleId="BodyTextIndent3Char">
    <w:name w:val="Body Text Indent 3 Char"/>
    <w:basedOn w:val="DefaultParagraphFont"/>
    <w:link w:val="BodyTextIndent3"/>
    <w:rsid w:val="003B32AB"/>
    <w:rPr>
      <w:rFonts w:ascii="Times New Roman" w:eastAsia="Batang" w:hAnsi="Times New Roman" w:cs="Times New Roman"/>
      <w:sz w:val="24"/>
      <w:szCs w:val="24"/>
    </w:rPr>
  </w:style>
  <w:style w:type="paragraph" w:customStyle="1" w:styleId="HeaderLevel3">
    <w:name w:val="Header Level 3"/>
    <w:basedOn w:val="Heading3"/>
    <w:next w:val="BodyTextIndent"/>
    <w:autoRedefine/>
    <w:uiPriority w:val="99"/>
    <w:rsid w:val="003B32AB"/>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3B32AB"/>
    <w:pPr>
      <w:tabs>
        <w:tab w:val="clear" w:pos="4680"/>
        <w:tab w:val="clear" w:pos="9360"/>
        <w:tab w:val="center" w:pos="4153"/>
        <w:tab w:val="right" w:pos="8306"/>
      </w:tabs>
      <w:spacing w:before="240" w:after="120"/>
      <w:jc w:val="left"/>
      <w:outlineLvl w:val="1"/>
    </w:pPr>
    <w:rPr>
      <w:rFonts w:eastAsia="Batang"/>
      <w:b/>
      <w:sz w:val="22"/>
      <w:szCs w:val="24"/>
      <w:lang w:val="en-US" w:eastAsia="zh-CN"/>
    </w:rPr>
  </w:style>
  <w:style w:type="paragraph" w:customStyle="1" w:styleId="Appendixtitle0">
    <w:name w:val="Appendix_title"/>
    <w:basedOn w:val="AnnexTitle"/>
    <w:next w:val="Normalaftertitle0"/>
    <w:rsid w:val="003B32AB"/>
    <w:pPr>
      <w:spacing w:before="240" w:after="280"/>
    </w:pPr>
    <w:rPr>
      <w:rFonts w:eastAsia="Batang"/>
      <w:sz w:val="28"/>
      <w:u w:val="none"/>
    </w:rPr>
  </w:style>
  <w:style w:type="paragraph" w:customStyle="1" w:styleId="heading0">
    <w:name w:val="heading 0"/>
    <w:basedOn w:val="Heading1"/>
    <w:next w:val="Normal"/>
    <w:uiPriority w:val="99"/>
    <w:rsid w:val="003B32AB"/>
    <w:pPr>
      <w:numPr>
        <w:numId w:val="2"/>
      </w:numPr>
      <w:tabs>
        <w:tab w:val="clear" w:pos="1539"/>
      </w:tabs>
      <w:spacing w:before="240"/>
      <w:ind w:left="794" w:hanging="794"/>
      <w:outlineLvl w:val="9"/>
    </w:pPr>
    <w:rPr>
      <w:rFonts w:eastAsia="Batang"/>
      <w:sz w:val="28"/>
      <w:lang w:val="en-US" w:eastAsia="zh-CN"/>
    </w:rPr>
  </w:style>
  <w:style w:type="paragraph" w:customStyle="1" w:styleId="List1">
    <w:name w:val="List1"/>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sistliste">
    <w:name w:val="sistliste"/>
    <w:basedOn w:val="Normal"/>
    <w:rsid w:val="003B32AB"/>
    <w:pPr>
      <w:widowControl w:val="0"/>
      <w:tabs>
        <w:tab w:val="left" w:pos="360"/>
      </w:tabs>
      <w:overflowPunct w:val="0"/>
      <w:autoSpaceDE w:val="0"/>
      <w:autoSpaceDN w:val="0"/>
      <w:adjustRightInd w:val="0"/>
      <w:spacing w:before="0" w:after="240"/>
      <w:ind w:left="360" w:hanging="360"/>
      <w:textAlignment w:val="baseline"/>
    </w:pPr>
    <w:rPr>
      <w:rFonts w:eastAsia="Batang"/>
      <w:szCs w:val="20"/>
      <w:lang w:val="nb-NO" w:eastAsia="zh-CN"/>
    </w:rPr>
  </w:style>
  <w:style w:type="paragraph" w:customStyle="1" w:styleId="Heading1Q">
    <w:name w:val="Heading 1_Q"/>
    <w:basedOn w:val="Heading1"/>
    <w:uiPriority w:val="99"/>
    <w:rsid w:val="003B32AB"/>
    <w:pPr>
      <w:numPr>
        <w:numId w:val="4"/>
      </w:numPr>
      <w:tabs>
        <w:tab w:val="clear" w:pos="64"/>
      </w:tabs>
      <w:ind w:left="794" w:hanging="794"/>
    </w:pPr>
    <w:rPr>
      <w:rFonts w:ascii="Times New Roman Bold" w:eastAsia="SimSun" w:hAnsi="Times New Roman Bold"/>
      <w:lang w:val="en-US" w:eastAsia="zh-CN"/>
    </w:rPr>
  </w:style>
  <w:style w:type="paragraph" w:customStyle="1" w:styleId="hstyle0">
    <w:name w:val="hstyle0"/>
    <w:basedOn w:val="Normal"/>
    <w:uiPriority w:val="99"/>
    <w:rsid w:val="003B32AB"/>
    <w:pPr>
      <w:numPr>
        <w:numId w:val="3"/>
      </w:numPr>
      <w:tabs>
        <w:tab w:val="clear" w:pos="624"/>
      </w:tabs>
      <w:spacing w:before="0" w:line="384" w:lineRule="auto"/>
      <w:ind w:left="0" w:firstLine="0"/>
      <w:jc w:val="both"/>
    </w:pPr>
    <w:rPr>
      <w:rFonts w:ascii="Batang" w:eastAsia="Batang" w:hAnsi="Batang" w:cs="Gulim"/>
      <w:color w:val="000000"/>
      <w:sz w:val="20"/>
      <w:szCs w:val="20"/>
      <w:lang w:val="en-US" w:eastAsia="ko-KR"/>
    </w:rPr>
  </w:style>
  <w:style w:type="paragraph" w:customStyle="1" w:styleId="a5">
    <w:name w:val="連番１"/>
    <w:basedOn w:val="Normal"/>
    <w:uiPriority w:val="99"/>
    <w:rsid w:val="003B32AB"/>
    <w:pPr>
      <w:widowControl w:val="0"/>
      <w:tabs>
        <w:tab w:val="left" w:pos="794"/>
        <w:tab w:val="num" w:pos="1154"/>
      </w:tabs>
      <w:spacing w:before="0" w:after="120" w:line="240" w:lineRule="exact"/>
      <w:ind w:left="1154" w:hanging="360"/>
      <w:jc w:val="both"/>
    </w:pPr>
    <w:rPr>
      <w:rFonts w:ascii="Arial" w:eastAsia="MS PGothic" w:hAnsi="Arial" w:cs="Arial"/>
      <w:kern w:val="2"/>
      <w:sz w:val="20"/>
      <w:lang w:val="en-US"/>
    </w:rPr>
  </w:style>
  <w:style w:type="character" w:styleId="HTMLCode">
    <w:name w:val="HTML Code"/>
    <w:basedOn w:val="DefaultParagraphFont"/>
    <w:uiPriority w:val="99"/>
    <w:rsid w:val="003B32AB"/>
    <w:rPr>
      <w:rFonts w:ascii="Lucida Console" w:eastAsia="SimSun" w:hAnsi="Lucida Console" w:cs="Courier New"/>
      <w:sz w:val="24"/>
      <w:szCs w:val="24"/>
    </w:rPr>
  </w:style>
  <w:style w:type="character" w:styleId="HTMLKeyboard">
    <w:name w:val="HTML Keyboard"/>
    <w:basedOn w:val="DefaultParagraphFont"/>
    <w:uiPriority w:val="99"/>
    <w:rsid w:val="003B32AB"/>
    <w:rPr>
      <w:rFonts w:ascii="Lucida Console" w:eastAsia="SimSun" w:hAnsi="Lucida Console" w:cs="Courier New"/>
      <w:sz w:val="24"/>
      <w:szCs w:val="24"/>
    </w:rPr>
  </w:style>
  <w:style w:type="character" w:styleId="HTMLSample">
    <w:name w:val="HTML Sample"/>
    <w:basedOn w:val="DefaultParagraphFont"/>
    <w:uiPriority w:val="99"/>
    <w:rsid w:val="003B32AB"/>
    <w:rPr>
      <w:rFonts w:ascii="Lucida Console" w:eastAsia="SimSun" w:hAnsi="Lucida Console" w:cs="Courier New"/>
      <w:sz w:val="24"/>
      <w:szCs w:val="24"/>
    </w:rPr>
  </w:style>
  <w:style w:type="character" w:styleId="HTMLTypewriter">
    <w:name w:val="HTML Typewriter"/>
    <w:basedOn w:val="DefaultParagraphFont"/>
    <w:uiPriority w:val="99"/>
    <w:rsid w:val="003B32AB"/>
    <w:rPr>
      <w:rFonts w:ascii="Lucida Console" w:eastAsia="SimSun" w:hAnsi="Lucida Console" w:cs="Courier New"/>
      <w:sz w:val="24"/>
      <w:szCs w:val="24"/>
    </w:rPr>
  </w:style>
  <w:style w:type="paragraph" w:customStyle="1" w:styleId="collapsepanelheader">
    <w:name w:val="collapsepanelheader"/>
    <w:basedOn w:val="Normal"/>
    <w:uiPriority w:val="99"/>
    <w:rsid w:val="003B32AB"/>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3B32AB"/>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3B32AB"/>
    <w:pPr>
      <w:pBdr>
        <w:top w:val="single" w:sz="6" w:space="5" w:color="FFFFFF"/>
      </w:pBdr>
      <w:shd w:val="clear" w:color="auto" w:fill="CFDEF3"/>
      <w:spacing w:before="100" w:after="100" w:line="240" w:lineRule="atLeast"/>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3B32AB"/>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3B32AB"/>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3B32AB"/>
    <w:pPr>
      <w:spacing w:before="100" w:after="100" w:line="240" w:lineRule="atLeast"/>
    </w:pPr>
    <w:rPr>
      <w:rFonts w:ascii="Verdana" w:eastAsia="SimSun" w:hAnsi="Verdana"/>
      <w:b/>
      <w:bCs/>
      <w:color w:val="000080"/>
      <w:lang w:val="en-US" w:eastAsia="zh-CN"/>
    </w:rPr>
  </w:style>
  <w:style w:type="paragraph" w:customStyle="1" w:styleId="councilsubtitle">
    <w:name w:val="council_subtitle"/>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Title10">
    <w:name w:val="Title1"/>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1">
    <w:name w:val="Subtitle1"/>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3B32AB"/>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lang w:val="en-US" w:eastAsia="zh-CN"/>
    </w:rPr>
  </w:style>
  <w:style w:type="paragraph" w:customStyle="1" w:styleId="topritems">
    <w:name w:val="topritems"/>
    <w:basedOn w:val="Normal"/>
    <w:uiPriority w:val="99"/>
    <w:rsid w:val="003B32AB"/>
    <w:pPr>
      <w:spacing w:before="100" w:after="100" w:line="240" w:lineRule="atLeast"/>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3B32AB"/>
    <w:pPr>
      <w:spacing w:before="100" w:after="100" w:line="240" w:lineRule="atLeast"/>
    </w:pPr>
    <w:rPr>
      <w:rFonts w:ascii="Arial" w:eastAsia="SimSun" w:hAnsi="Arial" w:cs="Arial"/>
      <w:color w:val="FFFFFF"/>
      <w:sz w:val="16"/>
      <w:szCs w:val="16"/>
      <w:lang w:val="en-US" w:eastAsia="zh-CN"/>
    </w:rPr>
  </w:style>
  <w:style w:type="paragraph" w:customStyle="1" w:styleId="ulink">
    <w:name w:val="ulink"/>
    <w:basedOn w:val="Normal"/>
    <w:uiPriority w:val="99"/>
    <w:rsid w:val="003B32AB"/>
    <w:pPr>
      <w:spacing w:before="100" w:after="100" w:line="240" w:lineRule="atLeast"/>
    </w:pPr>
    <w:rPr>
      <w:rFonts w:ascii="Verdana" w:eastAsia="SimSun" w:hAnsi="Verdana"/>
      <w:color w:val="000000"/>
      <w:sz w:val="18"/>
      <w:szCs w:val="18"/>
      <w:u w:val="single"/>
      <w:lang w:val="en-US" w:eastAsia="zh-CN"/>
    </w:rPr>
  </w:style>
  <w:style w:type="paragraph" w:customStyle="1" w:styleId="artab">
    <w:name w:val="ar_tab"/>
    <w:basedOn w:val="Normal"/>
    <w:uiPriority w:val="99"/>
    <w:rsid w:val="003B32AB"/>
    <w:pPr>
      <w:spacing w:before="100" w:after="100" w:line="240" w:lineRule="atLeast"/>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3B32AB"/>
    <w:pPr>
      <w:spacing w:before="100" w:after="100" w:line="240" w:lineRule="atLeast"/>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3B32AB"/>
    <w:pPr>
      <w:spacing w:before="100" w:after="100" w:line="240" w:lineRule="atLeast"/>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3B32AB"/>
    <w:pPr>
      <w:spacing w:before="100" w:after="100" w:line="240" w:lineRule="atLeast"/>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3B32AB"/>
    <w:pPr>
      <w:spacing w:before="100" w:after="100" w:line="240" w:lineRule="atLeast"/>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3B32AB"/>
    <w:pPr>
      <w:spacing w:before="100" w:after="100" w:line="240" w:lineRule="atLeast"/>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3B32AB"/>
    <w:pPr>
      <w:spacing w:before="100" w:after="100" w:line="240" w:lineRule="atLeast"/>
    </w:pPr>
    <w:rPr>
      <w:rFonts w:ascii="Verdana" w:eastAsia="SimSun" w:hAnsi="Verdana"/>
      <w:color w:val="007A3D"/>
      <w:sz w:val="18"/>
      <w:szCs w:val="18"/>
      <w:u w:val="single"/>
      <w:lang w:val="en-US" w:eastAsia="zh-CN"/>
    </w:rPr>
  </w:style>
  <w:style w:type="paragraph" w:customStyle="1" w:styleId="blink">
    <w:name w:val="b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b2link">
    <w:name w:val="b2link"/>
    <w:basedOn w:val="Normal"/>
    <w:uiPriority w:val="99"/>
    <w:rsid w:val="003B32AB"/>
    <w:pPr>
      <w:spacing w:before="100" w:after="100" w:line="240" w:lineRule="atLeast"/>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3B32AB"/>
    <w:pPr>
      <w:spacing w:before="100" w:after="100" w:line="240" w:lineRule="atLeast"/>
    </w:pPr>
    <w:rPr>
      <w:rFonts w:ascii="Verdana" w:eastAsia="SimSun" w:hAnsi="Verdana"/>
      <w:color w:val="004B96"/>
      <w:sz w:val="16"/>
      <w:szCs w:val="16"/>
      <w:lang w:val="en-US" w:eastAsia="zh-CN"/>
    </w:rPr>
  </w:style>
  <w:style w:type="paragraph" w:customStyle="1" w:styleId="lm2link">
    <w:name w:val="lm2_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nlink">
    <w:name w:val="nlink"/>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newslink">
    <w:name w:val="itunews_link"/>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oteritems">
    <w:name w:val="footeritems"/>
    <w:basedOn w:val="Normal"/>
    <w:uiPriority w:val="99"/>
    <w:rsid w:val="003B32AB"/>
    <w:pPr>
      <w:spacing w:before="0" w:after="100"/>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3B32AB"/>
    <w:pPr>
      <w:spacing w:before="0"/>
      <w:ind w:left="-180"/>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bluebullet">
    <w:name w:val="blue_bullet"/>
    <w:basedOn w:val="Normal"/>
    <w:uiPriority w:val="99"/>
    <w:rsid w:val="003B32AB"/>
    <w:pPr>
      <w:spacing w:before="0"/>
      <w:ind w:left="240"/>
    </w:pPr>
    <w:rPr>
      <w:rFonts w:ascii="Verdana" w:eastAsia="SimSun" w:hAnsi="Verdana"/>
      <w:color w:val="000000"/>
      <w:sz w:val="18"/>
      <w:szCs w:val="18"/>
      <w:lang w:val="en-US" w:eastAsia="zh-CN"/>
    </w:rPr>
  </w:style>
  <w:style w:type="paragraph" w:customStyle="1" w:styleId="circle">
    <w:name w:val="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parasmall">
    <w:name w:val="parasmall"/>
    <w:basedOn w:val="Normal"/>
    <w:uiPriority w:val="99"/>
    <w:rsid w:val="003B32AB"/>
    <w:pPr>
      <w:spacing w:before="0"/>
    </w:pPr>
    <w:rPr>
      <w:rFonts w:ascii="Verdana" w:eastAsia="SimSun" w:hAnsi="Verdana"/>
      <w:color w:val="000000"/>
      <w:sz w:val="10"/>
      <w:szCs w:val="10"/>
      <w:lang w:val="en-US" w:eastAsia="zh-CN"/>
    </w:rPr>
  </w:style>
  <w:style w:type="paragraph" w:customStyle="1" w:styleId="artitle">
    <w:name w:val="ar_title"/>
    <w:basedOn w:val="Normal"/>
    <w:uiPriority w:val="99"/>
    <w:rsid w:val="003B32AB"/>
    <w:pPr>
      <w:spacing w:before="100" w:after="100"/>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3B32AB"/>
    <w:pPr>
      <w:spacing w:before="100" w:after="100" w:line="360" w:lineRule="atLeast"/>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3B32AB"/>
    <w:pPr>
      <w:spacing w:before="75" w:after="75"/>
    </w:pPr>
    <w:rPr>
      <w:rFonts w:ascii="Verdana" w:eastAsia="SimSun" w:hAnsi="Verdana"/>
      <w:color w:val="000000"/>
      <w:sz w:val="18"/>
      <w:szCs w:val="18"/>
      <w:lang w:val="en-US" w:eastAsia="zh-CN"/>
    </w:rPr>
  </w:style>
  <w:style w:type="paragraph" w:customStyle="1" w:styleId="nlist">
    <w:name w:val="nlist"/>
    <w:basedOn w:val="Normal"/>
    <w:uiPriority w:val="99"/>
    <w:rsid w:val="003B32AB"/>
    <w:pPr>
      <w:spacing w:before="100" w:after="100"/>
    </w:pPr>
    <w:rPr>
      <w:rFonts w:ascii="Verdana" w:eastAsia="SimSun" w:hAnsi="Verdana"/>
      <w:color w:val="000000"/>
      <w:sz w:val="18"/>
      <w:szCs w:val="18"/>
      <w:lang w:val="en-US" w:eastAsia="zh-CN"/>
    </w:rPr>
  </w:style>
  <w:style w:type="paragraph" w:customStyle="1" w:styleId="itunewslist">
    <w:name w:val="itunews_list"/>
    <w:basedOn w:val="Normal"/>
    <w:uiPriority w:val="99"/>
    <w:rsid w:val="003B32AB"/>
    <w:pPr>
      <w:spacing w:before="100" w:after="100"/>
    </w:pPr>
    <w:rPr>
      <w:rFonts w:ascii="Verdana" w:eastAsia="SimSun" w:hAnsi="Verdana"/>
      <w:color w:val="000000"/>
      <w:sz w:val="16"/>
      <w:szCs w:val="16"/>
      <w:lang w:val="en-US" w:eastAsia="zh-CN"/>
    </w:rPr>
  </w:style>
  <w:style w:type="paragraph" w:customStyle="1" w:styleId="slist">
    <w:name w:val="slist"/>
    <w:basedOn w:val="Normal"/>
    <w:uiPriority w:val="99"/>
    <w:rsid w:val="003B32AB"/>
    <w:pPr>
      <w:spacing w:before="100" w:after="100"/>
    </w:pPr>
    <w:rPr>
      <w:rFonts w:ascii="Verdana" w:eastAsia="SimSun" w:hAnsi="Verdana"/>
      <w:color w:val="FFFFFF"/>
      <w:sz w:val="18"/>
      <w:szCs w:val="18"/>
      <w:lang w:val="en-US" w:eastAsia="zh-CN"/>
    </w:rPr>
  </w:style>
  <w:style w:type="paragraph" w:customStyle="1" w:styleId="newsroom">
    <w:name w:val="newsroom"/>
    <w:basedOn w:val="Normal"/>
    <w:uiPriority w:val="99"/>
    <w:rsid w:val="003B32AB"/>
    <w:pPr>
      <w:spacing w:before="100" w:after="100" w:line="240" w:lineRule="atLeast"/>
    </w:pPr>
    <w:rPr>
      <w:rFonts w:ascii="Verdana" w:eastAsia="SimSun" w:hAnsi="Verdana"/>
      <w:color w:val="000000"/>
      <w:sz w:val="10"/>
      <w:szCs w:val="10"/>
      <w:lang w:val="en-US" w:eastAsia="zh-CN"/>
    </w:rPr>
  </w:style>
  <w:style w:type="paragraph" w:customStyle="1" w:styleId="wrc">
    <w:name w:val="wrc"/>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lderheader">
    <w:name w:val="folder_header"/>
    <w:basedOn w:val="Normal"/>
    <w:uiPriority w:val="99"/>
    <w:rsid w:val="003B32AB"/>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lang w:val="en-US" w:eastAsia="zh-CN"/>
    </w:rPr>
  </w:style>
  <w:style w:type="paragraph" w:customStyle="1" w:styleId="bb-input">
    <w:name w:val="bb-input"/>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buttondisplay">
    <w:name w:val="button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buttonsearch">
    <w:name w:val="buttonsearch"/>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formdisplay">
    <w:name w:val="form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go">
    <w:name w:val="go"/>
    <w:basedOn w:val="Normal"/>
    <w:uiPriority w:val="99"/>
    <w:rsid w:val="003B32AB"/>
    <w:pPr>
      <w:spacing w:before="100" w:after="100" w:line="240" w:lineRule="atLeast"/>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3B32AB"/>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3B32AB"/>
    <w:pPr>
      <w:shd w:val="clear" w:color="auto" w:fill="0099FF"/>
      <w:spacing w:before="100" w:after="100" w:line="240" w:lineRule="atLeast"/>
    </w:pPr>
    <w:rPr>
      <w:rFonts w:ascii="Verdana" w:eastAsia="SimSun" w:hAnsi="Verdana"/>
      <w:color w:val="FFFFFF"/>
      <w:sz w:val="18"/>
      <w:szCs w:val="18"/>
      <w:lang w:val="en-US" w:eastAsia="zh-CN"/>
    </w:rPr>
  </w:style>
  <w:style w:type="paragraph" w:customStyle="1" w:styleId="bottomline">
    <w:name w:val="bottomline"/>
    <w:basedOn w:val="Normal"/>
    <w:uiPriority w:val="99"/>
    <w:rsid w:val="003B32AB"/>
    <w:pPr>
      <w:pBdr>
        <w:bottom w:val="single" w:sz="6" w:space="0" w:color="0099FF"/>
      </w:pBdr>
      <w:spacing w:before="100" w:after="100" w:line="240" w:lineRule="atLeast"/>
    </w:pPr>
    <w:rPr>
      <w:rFonts w:ascii="Verdana" w:eastAsia="SimSun" w:hAnsi="Verdana"/>
      <w:color w:val="000000"/>
      <w:sz w:val="18"/>
      <w:szCs w:val="18"/>
      <w:lang w:val="en-US" w:eastAsia="zh-CN"/>
    </w:rPr>
  </w:style>
  <w:style w:type="paragraph" w:customStyle="1" w:styleId="ch-blue-red">
    <w:name w:val="ch-blue-red"/>
    <w:basedOn w:val="Normal"/>
    <w:uiPriority w:val="99"/>
    <w:rsid w:val="003B32AB"/>
    <w:pPr>
      <w:shd w:val="clear" w:color="auto" w:fill="0099FF"/>
      <w:spacing w:before="100" w:after="100" w:line="240" w:lineRule="atLeast"/>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3B32AB"/>
    <w:pPr>
      <w:shd w:val="clear" w:color="auto" w:fill="0099FF"/>
      <w:spacing w:before="100" w:after="100" w:line="240" w:lineRule="atLeast"/>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3B32AB"/>
    <w:pPr>
      <w:shd w:val="clear" w:color="auto" w:fill="000066"/>
      <w:spacing w:before="100" w:after="100" w:line="240" w:lineRule="atLeast"/>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3B32AB"/>
    <w:pPr>
      <w:shd w:val="clear" w:color="auto" w:fill="FF0000"/>
      <w:spacing w:before="100" w:after="100" w:line="240" w:lineRule="atLeast"/>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3B32AB"/>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lang w:val="en-US" w:eastAsia="zh-CN"/>
    </w:rPr>
  </w:style>
  <w:style w:type="paragraph" w:customStyle="1" w:styleId="t-blue">
    <w:name w:val="t-blue"/>
    <w:basedOn w:val="Normal"/>
    <w:uiPriority w:val="99"/>
    <w:rsid w:val="003B32AB"/>
    <w:pPr>
      <w:spacing w:before="100" w:after="100" w:line="240" w:lineRule="atLeast"/>
    </w:pPr>
    <w:rPr>
      <w:rFonts w:ascii="Verdana" w:eastAsia="SimSun" w:hAnsi="Verdana"/>
      <w:b/>
      <w:bCs/>
      <w:color w:val="000066"/>
      <w:sz w:val="18"/>
      <w:szCs w:val="18"/>
      <w:lang w:val="en-US" w:eastAsia="zh-CN"/>
    </w:rPr>
  </w:style>
  <w:style w:type="paragraph" w:customStyle="1" w:styleId="t-row">
    <w:name w:val="t-row"/>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lang w:val="en-US" w:eastAsia="zh-CN"/>
    </w:rPr>
  </w:style>
  <w:style w:type="paragraph" w:customStyle="1" w:styleId="t-text">
    <w:name w:val="t-text"/>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lang w:val="en-US" w:eastAsia="zh-CN"/>
    </w:rPr>
  </w:style>
  <w:style w:type="paragraph" w:customStyle="1" w:styleId="globe">
    <w:name w:val="glob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l">
    <w:name w:val="globe-l"/>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t">
    <w:name w:val="globe-t"/>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menu">
    <w:name w:val="itumenu"/>
    <w:basedOn w:val="Normal"/>
    <w:uiPriority w:val="99"/>
    <w:rsid w:val="003B32AB"/>
    <w:pPr>
      <w:spacing w:before="100" w:after="100" w:line="240" w:lineRule="atLeast"/>
    </w:pPr>
    <w:rPr>
      <w:rFonts w:ascii="Verdana" w:eastAsia="SimSun" w:hAnsi="Verdana"/>
      <w:b/>
      <w:bCs/>
      <w:color w:val="99CCFF"/>
      <w:sz w:val="18"/>
      <w:szCs w:val="18"/>
      <w:lang w:val="en-US" w:eastAsia="zh-CN"/>
    </w:rPr>
  </w:style>
  <w:style w:type="paragraph" w:customStyle="1" w:styleId="navleft">
    <w:name w:val="navleft"/>
    <w:basedOn w:val="Normal"/>
    <w:uiPriority w:val="99"/>
    <w:rsid w:val="003B32AB"/>
    <w:pPr>
      <w:spacing w:before="100" w:after="100" w:line="240" w:lineRule="atLeast"/>
      <w:jc w:val="right"/>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3B32AB"/>
    <w:pPr>
      <w:spacing w:before="100" w:after="100" w:line="240" w:lineRule="atLeast"/>
    </w:pPr>
    <w:rPr>
      <w:rFonts w:ascii="Verdana" w:eastAsia="SimSun" w:hAnsi="Verdana"/>
      <w:color w:val="000066"/>
      <w:sz w:val="17"/>
      <w:szCs w:val="17"/>
      <w:lang w:val="en-US" w:eastAsia="zh-CN"/>
    </w:rPr>
  </w:style>
  <w:style w:type="paragraph" w:customStyle="1" w:styleId="tsize8pt">
    <w:name w:val="tsize8p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smalltext">
    <w:name w:val="smalltex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pdivider">
    <w:name w:val="pdivider"/>
    <w:basedOn w:val="Normal"/>
    <w:uiPriority w:val="99"/>
    <w:rsid w:val="003B32AB"/>
    <w:pPr>
      <w:spacing w:before="75" w:after="75" w:line="240" w:lineRule="atLeast"/>
      <w:ind w:left="75" w:right="75"/>
    </w:pPr>
    <w:rPr>
      <w:rFonts w:ascii="Verdana" w:eastAsia="SimSun" w:hAnsi="Verdana"/>
      <w:color w:val="000000"/>
      <w:sz w:val="8"/>
      <w:szCs w:val="8"/>
      <w:lang w:val="en-US" w:eastAsia="zh-CN"/>
    </w:rPr>
  </w:style>
  <w:style w:type="paragraph" w:customStyle="1" w:styleId="pj">
    <w:name w:val="pj"/>
    <w:basedOn w:val="Normal"/>
    <w:uiPriority w:val="99"/>
    <w:rsid w:val="003B32AB"/>
    <w:pPr>
      <w:spacing w:before="100" w:after="100" w:line="240" w:lineRule="atLeast"/>
      <w:jc w:val="both"/>
    </w:pPr>
    <w:rPr>
      <w:rFonts w:ascii="Verdana" w:eastAsia="SimSun" w:hAnsi="Verdana"/>
      <w:color w:val="000000"/>
      <w:sz w:val="18"/>
      <w:szCs w:val="18"/>
      <w:lang w:val="en-US" w:eastAsia="zh-CN"/>
    </w:rPr>
  </w:style>
  <w:style w:type="paragraph" w:customStyle="1" w:styleId="pml-40">
    <w:name w:val="pml-40"/>
    <w:basedOn w:val="Normal"/>
    <w:uiPriority w:val="99"/>
    <w:rsid w:val="003B32AB"/>
    <w:pPr>
      <w:spacing w:before="100" w:after="100" w:line="240" w:lineRule="atLeast"/>
      <w:ind w:left="600"/>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generic">
    <w:name w:val="awmgeneric"/>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0">
    <w:name w:val="awmst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td0">
    <w:name w:val="awmsttd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0">
    <w:name w:val="awmst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0">
    <w:name w:val="awmstc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1">
    <w:name w:val="awmst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1">
    <w:name w:val="awmsttd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1">
    <w:name w:val="awmst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1">
    <w:name w:val="awmstc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2">
    <w:name w:val="awmst2"/>
    <w:basedOn w:val="Normal"/>
    <w:uiPriority w:val="99"/>
    <w:rsid w:val="003B32AB"/>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2">
    <w:name w:val="awmsttd2"/>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2">
    <w:name w:val="awmst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2">
    <w:name w:val="awmstc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3">
    <w:name w:val="awmst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3">
    <w:name w:val="awmsttd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3">
    <w:name w:val="awmst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3">
    <w:name w:val="awmstc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4">
    <w:name w:val="awmst4"/>
    <w:basedOn w:val="Normal"/>
    <w:uiPriority w:val="99"/>
    <w:rsid w:val="003B32AB"/>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4">
    <w:name w:val="awmsttd4"/>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4">
    <w:name w:val="awmst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4">
    <w:name w:val="awmstc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5">
    <w:name w:val="awmst5"/>
    <w:basedOn w:val="Normal"/>
    <w:uiPriority w:val="99"/>
    <w:rsid w:val="003B32AB"/>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lang w:val="en-US" w:eastAsia="zh-CN"/>
    </w:rPr>
  </w:style>
  <w:style w:type="paragraph" w:customStyle="1" w:styleId="awmsttd5">
    <w:name w:val="awmsttd5"/>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5">
    <w:name w:val="awmst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5">
    <w:name w:val="awmstc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6">
    <w:name w:val="awmst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td6">
    <w:name w:val="awmsttd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bg6">
    <w:name w:val="awmst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cbg6">
    <w:name w:val="awmstc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7">
    <w:name w:val="awmst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td7">
    <w:name w:val="awmsttd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7">
    <w:name w:val="awmst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7">
    <w:name w:val="awmstc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3B32AB"/>
    <w:pPr>
      <w:pBdr>
        <w:bottom w:val="single" w:sz="6" w:space="1" w:color="auto"/>
      </w:pBdr>
      <w:spacing w:before="0"/>
      <w:jc w:val="center"/>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3B32AB"/>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3B32AB"/>
    <w:pPr>
      <w:pBdr>
        <w:top w:val="single" w:sz="6" w:space="1" w:color="auto"/>
      </w:pBdr>
      <w:spacing w:before="0"/>
      <w:jc w:val="center"/>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3B32AB"/>
    <w:rPr>
      <w:rFonts w:ascii="Arial" w:eastAsia="SimSun" w:hAnsi="Arial" w:cs="Arial"/>
      <w:vanish/>
      <w:color w:val="000000"/>
      <w:sz w:val="16"/>
      <w:szCs w:val="16"/>
    </w:rPr>
  </w:style>
  <w:style w:type="character" w:customStyle="1" w:styleId="HeadingbChar0">
    <w:name w:val="Heading_b Char"/>
    <w:basedOn w:val="DefaultParagraphFont"/>
    <w:uiPriority w:val="99"/>
    <w:rsid w:val="003B32AB"/>
    <w:rPr>
      <w:rFonts w:cs="Times New Roman"/>
      <w:b/>
      <w:sz w:val="24"/>
      <w:lang w:val="en-GB" w:eastAsia="en-US" w:bidi="ar-SA"/>
    </w:rPr>
  </w:style>
  <w:style w:type="paragraph" w:customStyle="1" w:styleId="TabletextCharCharChar">
    <w:name w:val="Table_text Char Char Char"/>
    <w:basedOn w:val="Normal"/>
    <w:uiPriority w:val="99"/>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US" w:eastAsia="zh-CN"/>
    </w:rPr>
  </w:style>
  <w:style w:type="character" w:customStyle="1" w:styleId="TabletextCharCharCharChar">
    <w:name w:val="Table_text Char Char Char Char"/>
    <w:basedOn w:val="DefaultParagraphFont"/>
    <w:uiPriority w:val="99"/>
    <w:rsid w:val="003B32AB"/>
    <w:rPr>
      <w:rFonts w:eastAsia="Batang" w:cs="Times New Roman"/>
      <w:sz w:val="22"/>
      <w:lang w:val="en-GB" w:eastAsia="en-US" w:bidi="ar-SA"/>
    </w:rPr>
  </w:style>
  <w:style w:type="table" w:styleId="TableGrid">
    <w:name w:val="Table Grid"/>
    <w:basedOn w:val="TableNormal"/>
    <w:uiPriority w:val="3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B32AB"/>
    <w:rPr>
      <w:rFonts w:cs="Times New Roman"/>
    </w:rPr>
  </w:style>
  <w:style w:type="paragraph" w:customStyle="1" w:styleId="LSForAction">
    <w:name w:val="LSForAction"/>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val="en-US" w:eastAsia="zh-CN"/>
    </w:rPr>
  </w:style>
  <w:style w:type="paragraph" w:customStyle="1" w:styleId="LSForInfo">
    <w:name w:val="LSForInfo"/>
    <w:basedOn w:val="LSForAction"/>
    <w:rsid w:val="003B32AB"/>
  </w:style>
  <w:style w:type="paragraph" w:customStyle="1" w:styleId="LSForComment">
    <w:name w:val="LSForComment"/>
    <w:basedOn w:val="LSForAction"/>
    <w:rsid w:val="003B32AB"/>
  </w:style>
  <w:style w:type="character" w:customStyle="1" w:styleId="1Char2">
    <w:name w:val="1 Char2"/>
    <w:aliases w:val="level 0 Char2,l0 Char2,heading 1 Char Char,1 Char21,level 0 Char21,l0 Char21"/>
    <w:basedOn w:val="DefaultParagraphFont"/>
    <w:uiPriority w:val="99"/>
    <w:rsid w:val="003B32AB"/>
    <w:rPr>
      <w:rFonts w:eastAsia="Batang" w:cs="Times New Roman"/>
      <w:b/>
      <w:sz w:val="24"/>
      <w:lang w:val="en-GB" w:eastAsia="en-US" w:bidi="ar-SA"/>
    </w:rPr>
  </w:style>
  <w:style w:type="character" w:customStyle="1" w:styleId="ntextbold">
    <w:name w:val="ntextbold"/>
    <w:basedOn w:val="DefaultParagraphFont"/>
    <w:uiPriority w:val="99"/>
    <w:rsid w:val="003B32AB"/>
    <w:rPr>
      <w:rFonts w:cs="Times New Roman"/>
    </w:rPr>
  </w:style>
  <w:style w:type="paragraph" w:customStyle="1" w:styleId="NormalnyPogrubienie">
    <w:name w:val="Normalny + Pogrubienie"/>
    <w:basedOn w:val="Normal"/>
    <w:uiPriority w:val="99"/>
    <w:rsid w:val="003B32AB"/>
    <w:pPr>
      <w:spacing w:before="60"/>
    </w:pPr>
    <w:rPr>
      <w:rFonts w:eastAsia="SimSun"/>
      <w:b/>
      <w:lang w:val="pl-PL" w:eastAsia="zh-CN"/>
    </w:rPr>
  </w:style>
  <w:style w:type="paragraph" w:customStyle="1" w:styleId="CarCharCharCharChar">
    <w:name w:val="Car Char Char Char Char"/>
    <w:basedOn w:val="Normal"/>
    <w:uiPriority w:val="99"/>
    <w:rsid w:val="003B32AB"/>
    <w:pPr>
      <w:widowControl w:val="0"/>
      <w:spacing w:before="0"/>
      <w:jc w:val="both"/>
    </w:pPr>
    <w:rPr>
      <w:rFonts w:eastAsia="SimSun"/>
      <w:kern w:val="2"/>
      <w:sz w:val="21"/>
      <w:lang w:val="en-US" w:eastAsia="zh-CN"/>
    </w:rPr>
  </w:style>
  <w:style w:type="paragraph" w:customStyle="1" w:styleId="WW-Default">
    <w:name w:val="WW-Default"/>
    <w:uiPriority w:val="99"/>
    <w:rsid w:val="003B32AB"/>
    <w:pPr>
      <w:widowControl w:val="0"/>
      <w:suppressAutoHyphens/>
      <w:autoSpaceDE w:val="0"/>
      <w:spacing w:after="0" w:line="240" w:lineRule="auto"/>
    </w:pPr>
    <w:rPr>
      <w:rFonts w:ascii="Times New Roman" w:eastAsia="MS Mincho" w:hAnsi="Times New Roman" w:cs="Times New Roman"/>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3B32AB"/>
    <w:pPr>
      <w:widowControl w:val="0"/>
      <w:spacing w:before="0"/>
      <w:jc w:val="both"/>
    </w:pPr>
    <w:rPr>
      <w:rFonts w:eastAsia="SimSun"/>
      <w:kern w:val="2"/>
      <w:sz w:val="21"/>
      <w:lang w:val="en-US" w:eastAsia="zh-CN"/>
    </w:rPr>
  </w:style>
  <w:style w:type="character" w:customStyle="1" w:styleId="tabletextchar1">
    <w:name w:val="tabletextchar"/>
    <w:basedOn w:val="DefaultParagraphFont"/>
    <w:uiPriority w:val="99"/>
    <w:rsid w:val="003B32AB"/>
    <w:rPr>
      <w:rFonts w:cs="Times New Roman"/>
    </w:rPr>
  </w:style>
  <w:style w:type="paragraph" w:customStyle="1" w:styleId="RecCCITTNo">
    <w:name w:val="Rec_CCITT_No"/>
    <w:basedOn w:val="Normal"/>
    <w:uiPriority w:val="99"/>
    <w:rsid w:val="003B32AB"/>
    <w:pPr>
      <w:keepNext/>
      <w:keepLines/>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b/>
      <w:sz w:val="20"/>
      <w:szCs w:val="20"/>
      <w:lang w:val="en-US" w:eastAsia="zh-CN"/>
    </w:rPr>
  </w:style>
  <w:style w:type="character" w:customStyle="1" w:styleId="eudoraheader">
    <w:name w:val="eudoraheader"/>
    <w:basedOn w:val="DefaultParagraphFont"/>
    <w:rsid w:val="003B32AB"/>
    <w:rPr>
      <w:rFonts w:cs="Times New Roman"/>
    </w:rPr>
  </w:style>
  <w:style w:type="paragraph" w:customStyle="1" w:styleId="CharCharCar1">
    <w:name w:val="Char Char Car1"/>
    <w:basedOn w:val="Normal"/>
    <w:uiPriority w:val="99"/>
    <w:rsid w:val="003B32AB"/>
    <w:pPr>
      <w:widowControl w:val="0"/>
      <w:spacing w:before="0"/>
      <w:jc w:val="both"/>
    </w:pPr>
    <w:rPr>
      <w:rFonts w:eastAsia="SimSun"/>
      <w:kern w:val="2"/>
      <w:sz w:val="21"/>
      <w:lang w:val="en-US" w:eastAsia="zh-CN"/>
    </w:rPr>
  </w:style>
  <w:style w:type="paragraph" w:customStyle="1" w:styleId="CharCharCharChar1">
    <w:name w:val="Char Char Char (文字) (文字) Char1"/>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customStyle="1" w:styleId="CharCharCharCharCharCharCharChar1">
    <w:name w:val="Char Char 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1">
    <w:name w:val="Char1"/>
    <w:basedOn w:val="Normal"/>
    <w:uiPriority w:val="99"/>
    <w:rsid w:val="003B32AB"/>
    <w:pPr>
      <w:spacing w:before="0" w:after="160" w:line="240" w:lineRule="exact"/>
    </w:pPr>
    <w:rPr>
      <w:rFonts w:ascii="Arial" w:eastAsia="Times New Roman" w:hAnsi="Arial"/>
      <w:sz w:val="20"/>
      <w:szCs w:val="22"/>
      <w:lang w:val="en-US" w:eastAsia="zh-CN"/>
    </w:rPr>
  </w:style>
  <w:style w:type="character" w:customStyle="1" w:styleId="CharChar81">
    <w:name w:val="Char Char81"/>
    <w:basedOn w:val="DefaultParagraphFont"/>
    <w:uiPriority w:val="99"/>
    <w:rsid w:val="003B32AB"/>
    <w:rPr>
      <w:rFonts w:cs="Times New Roman"/>
      <w:lang w:val="en-GB"/>
    </w:rPr>
  </w:style>
  <w:style w:type="paragraph" w:customStyle="1" w:styleId="CharCharCharCharCharChar1">
    <w:name w:val="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arCharCharCharChar1">
    <w:name w:val="C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Default">
    <w:name w:val="Default"/>
    <w:rsid w:val="003B32A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uiPriority w:val="99"/>
    <w:rsid w:val="003B32AB"/>
    <w:rPr>
      <w:color w:val="auto"/>
    </w:rPr>
  </w:style>
  <w:style w:type="paragraph" w:customStyle="1" w:styleId="hl-als">
    <w:name w:val="hl-als"/>
    <w:basedOn w:val="Normal"/>
    <w:uiPriority w:val="99"/>
    <w:rsid w:val="003B32AB"/>
    <w:pPr>
      <w:spacing w:before="100" w:beforeAutospacing="1" w:after="100" w:afterAutospacing="1"/>
    </w:pPr>
    <w:rPr>
      <w:rFonts w:eastAsia="Times New Roman"/>
      <w:lang w:val="en-US" w:eastAsia="zh-CN"/>
    </w:rPr>
  </w:style>
  <w:style w:type="paragraph" w:customStyle="1" w:styleId="hl-title">
    <w:name w:val="hl-title"/>
    <w:basedOn w:val="Normal"/>
    <w:uiPriority w:val="99"/>
    <w:rsid w:val="003B32AB"/>
    <w:pPr>
      <w:spacing w:before="100" w:beforeAutospacing="1" w:after="100" w:afterAutospacing="1"/>
    </w:pPr>
    <w:rPr>
      <w:rFonts w:eastAsia="Times New Roman"/>
      <w:lang w:val="en-US" w:eastAsia="zh-CN"/>
    </w:rPr>
  </w:style>
  <w:style w:type="paragraph" w:customStyle="1" w:styleId="hl-orgs">
    <w:name w:val="hl-orgs"/>
    <w:basedOn w:val="Normal"/>
    <w:uiPriority w:val="99"/>
    <w:rsid w:val="003B32AB"/>
    <w:pPr>
      <w:spacing w:before="100" w:beforeAutospacing="1" w:after="100" w:afterAutospacing="1"/>
    </w:pPr>
    <w:rPr>
      <w:rFonts w:eastAsia="Times New Roman"/>
      <w:lang w:val="en-US" w:eastAsia="zh-CN"/>
    </w:rPr>
  </w:style>
  <w:style w:type="paragraph" w:customStyle="1" w:styleId="NormalIndent2">
    <w:name w:val="Normal Indent2"/>
    <w:basedOn w:val="Normal"/>
    <w:uiPriority w:val="99"/>
    <w:rsid w:val="003B32AB"/>
    <w:pPr>
      <w:ind w:left="284"/>
    </w:pPr>
    <w:rPr>
      <w:rFonts w:ascii="Arial" w:eastAsia="Times New Roman" w:hAnsi="Arial"/>
      <w:sz w:val="22"/>
      <w:lang w:val="en-US" w:eastAsia="zh-CN"/>
    </w:rPr>
  </w:style>
  <w:style w:type="paragraph" w:customStyle="1" w:styleId="List2">
    <w:name w:val="List2"/>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Title20">
    <w:name w:val="Title2"/>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2">
    <w:name w:val="Subtitle2"/>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3B32AB"/>
    <w:rPr>
      <w:color w:val="000000"/>
      <w:sz w:val="24"/>
      <w:szCs w:val="24"/>
    </w:rPr>
  </w:style>
  <w:style w:type="character" w:customStyle="1" w:styleId="StyleBlack">
    <w:name w:val="Style Black"/>
    <w:basedOn w:val="DefaultParagraphFont"/>
    <w:rsid w:val="003B32AB"/>
    <w:rPr>
      <w:rFonts w:ascii="Times New Roman" w:hAnsi="Times New Roman" w:cs="Times New Roman" w:hint="default"/>
      <w:color w:val="000000"/>
      <w:sz w:val="24"/>
    </w:rPr>
  </w:style>
  <w:style w:type="paragraph" w:styleId="Revision">
    <w:name w:val="Revision"/>
    <w:hidden/>
    <w:uiPriority w:val="99"/>
    <w:semiHidden/>
    <w:rsid w:val="003B32AB"/>
    <w:pPr>
      <w:spacing w:after="0" w:line="240" w:lineRule="auto"/>
    </w:pPr>
    <w:rPr>
      <w:rFonts w:ascii="Times New Roman" w:eastAsia="Times New Roman" w:hAnsi="Times New Roman" w:cs="Times New Roman"/>
      <w:sz w:val="24"/>
      <w:szCs w:val="20"/>
    </w:rPr>
  </w:style>
  <w:style w:type="character" w:customStyle="1" w:styleId="longtext">
    <w:name w:val="long_text"/>
    <w:basedOn w:val="DefaultParagraphFont"/>
    <w:uiPriority w:val="99"/>
    <w:rsid w:val="003B32AB"/>
    <w:rPr>
      <w:rFonts w:cs="Times New Roman"/>
    </w:rPr>
  </w:style>
  <w:style w:type="paragraph" w:customStyle="1" w:styleId="SectionHeaderLevel1">
    <w:name w:val="Section Header Level 1"/>
    <w:basedOn w:val="Normal"/>
    <w:autoRedefine/>
    <w:rsid w:val="003B32AB"/>
    <w:pPr>
      <w:numPr>
        <w:numId w:val="5"/>
      </w:numPr>
      <w:spacing w:before="240" w:after="120"/>
      <w:ind w:hanging="720"/>
    </w:pPr>
    <w:rPr>
      <w:rFonts w:eastAsia="Times New Roman"/>
      <w:b/>
      <w:lang w:val="en-US" w:eastAsia="en-US"/>
    </w:rPr>
  </w:style>
  <w:style w:type="character" w:customStyle="1" w:styleId="storybody1">
    <w:name w:val="storybody1"/>
    <w:basedOn w:val="DefaultParagraphFont"/>
    <w:rsid w:val="003B32AB"/>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3B32AB"/>
    <w:pPr>
      <w:keepNext/>
      <w:tabs>
        <w:tab w:val="num" w:pos="720"/>
        <w:tab w:val="left" w:pos="1587"/>
        <w:tab w:val="left" w:pos="1984"/>
      </w:tabs>
      <w:spacing w:after="120"/>
      <w:outlineLvl w:val="2"/>
    </w:pPr>
    <w:rPr>
      <w:rFonts w:eastAsia="Times New Roman" w:cs="Arial"/>
      <w:b/>
      <w:kern w:val="2"/>
      <w:szCs w:val="26"/>
      <w:lang w:eastAsia="en-US"/>
    </w:rPr>
  </w:style>
  <w:style w:type="paragraph" w:customStyle="1" w:styleId="BodyTextCentered">
    <w:name w:val="Body Text Centered"/>
    <w:basedOn w:val="BodyTextIndent"/>
    <w:rsid w:val="003B32AB"/>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3B32AB"/>
    <w:pPr>
      <w:tabs>
        <w:tab w:val="clear" w:pos="794"/>
        <w:tab w:val="left" w:pos="709"/>
      </w:tabs>
      <w:overflowPunct/>
      <w:autoSpaceDE/>
      <w:autoSpaceDN/>
      <w:adjustRightInd/>
      <w:ind w:left="0" w:firstLine="0"/>
      <w:jc w:val="both"/>
      <w:textAlignment w:val="auto"/>
    </w:pPr>
    <w:rPr>
      <w:szCs w:val="24"/>
    </w:rPr>
  </w:style>
  <w:style w:type="paragraph" w:customStyle="1" w:styleId="CharCharCharCharCharChar2">
    <w:name w:val="Char Char Char Char Char Char2"/>
    <w:basedOn w:val="Normal"/>
    <w:rsid w:val="003B32AB"/>
    <w:pPr>
      <w:widowControl w:val="0"/>
      <w:spacing w:before="0"/>
      <w:jc w:val="both"/>
    </w:pPr>
    <w:rPr>
      <w:rFonts w:ascii="Tahoma" w:eastAsia="SimSun" w:hAnsi="Tahoma"/>
      <w:kern w:val="2"/>
      <w:szCs w:val="20"/>
      <w:lang w:val="en-US" w:eastAsia="zh-CN"/>
    </w:rPr>
  </w:style>
  <w:style w:type="paragraph" w:customStyle="1" w:styleId="LSDeadline">
    <w:name w:val="LSDeadlin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Source">
    <w:name w:val="LSSourc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etterStart">
    <w:name w:val="Letter_Start"/>
    <w:basedOn w:val="Normal"/>
    <w:rsid w:val="003B32AB"/>
    <w:pPr>
      <w:tabs>
        <w:tab w:val="left" w:pos="1361"/>
        <w:tab w:val="left" w:pos="1758"/>
        <w:tab w:val="left" w:pos="2155"/>
        <w:tab w:val="left" w:pos="2552"/>
      </w:tabs>
      <w:spacing w:before="284"/>
      <w:ind w:left="567"/>
    </w:pPr>
    <w:rPr>
      <w:rFonts w:eastAsia="MS Mincho"/>
      <w:szCs w:val="20"/>
      <w:lang w:eastAsia="en-US"/>
    </w:rPr>
  </w:style>
  <w:style w:type="paragraph" w:customStyle="1" w:styleId="AnnexNoTitle0">
    <w:name w:val="Annex_No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sz w:val="28"/>
      <w:szCs w:val="20"/>
      <w:lang w:eastAsia="en-US"/>
    </w:rPr>
  </w:style>
  <w:style w:type="paragraph" w:customStyle="1" w:styleId="CarattereCarattere">
    <w:name w:val="Carattere Carattere"/>
    <w:basedOn w:val="Normal"/>
    <w:rsid w:val="003B32AB"/>
    <w:pPr>
      <w:widowControl w:val="0"/>
      <w:spacing w:before="0"/>
      <w:jc w:val="both"/>
    </w:pPr>
    <w:rPr>
      <w:rFonts w:ascii="Tahoma" w:eastAsia="SimSun" w:hAnsi="Tahoma"/>
      <w:kern w:val="2"/>
      <w:szCs w:val="20"/>
      <w:lang w:val="en-US" w:eastAsia="zh-CN"/>
    </w:rPr>
  </w:style>
  <w:style w:type="character" w:customStyle="1" w:styleId="ASN1Car1">
    <w:name w:val="ASN.1 Car1"/>
    <w:basedOn w:val="DefaultParagraphFont"/>
    <w:rsid w:val="003B32AB"/>
    <w:rPr>
      <w:rFonts w:ascii="Courier New" w:eastAsia="MS Mincho" w:hAnsi="Courier New"/>
      <w:b/>
      <w:noProof/>
      <w:lang w:val="en-GB" w:eastAsia="en-US" w:bidi="ar-SA"/>
    </w:rPr>
  </w:style>
  <w:style w:type="paragraph" w:styleId="Date">
    <w:name w:val="Date"/>
    <w:basedOn w:val="Normal"/>
    <w:next w:val="Normal"/>
    <w:link w:val="DateChar"/>
    <w:rsid w:val="003B32AB"/>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character" w:customStyle="1" w:styleId="DateChar">
    <w:name w:val="Date Char"/>
    <w:basedOn w:val="DefaultParagraphFont"/>
    <w:link w:val="Date"/>
    <w:rsid w:val="003B32AB"/>
    <w:rPr>
      <w:rFonts w:ascii="Times New Roman" w:eastAsia="MS Mincho" w:hAnsi="Times New Roman" w:cs="Times New Roman"/>
      <w:sz w:val="24"/>
      <w:szCs w:val="20"/>
      <w:lang w:val="en-GB" w:eastAsia="en-US"/>
    </w:rPr>
  </w:style>
  <w:style w:type="paragraph" w:customStyle="1" w:styleId="a6">
    <w:name w:val="連番２"/>
    <w:basedOn w:val="a5"/>
    <w:rsid w:val="003B32AB"/>
    <w:pPr>
      <w:tabs>
        <w:tab w:val="clear" w:pos="1154"/>
      </w:tabs>
      <w:ind w:left="0" w:firstLine="0"/>
    </w:pPr>
  </w:style>
  <w:style w:type="paragraph" w:customStyle="1" w:styleId="AnnexSG17">
    <w:name w:val="Annex SG17"/>
    <w:basedOn w:val="Normal"/>
    <w:rsid w:val="003B32AB"/>
    <w:pPr>
      <w:keepNext/>
      <w:keepLines/>
      <w:tabs>
        <w:tab w:val="left" w:pos="794"/>
        <w:tab w:val="left" w:pos="1191"/>
        <w:tab w:val="left" w:pos="1588"/>
        <w:tab w:val="left" w:pos="1985"/>
      </w:tabs>
      <w:overflowPunct w:val="0"/>
      <w:autoSpaceDE w:val="0"/>
      <w:autoSpaceDN w:val="0"/>
      <w:adjustRightInd w:val="0"/>
      <w:spacing w:before="0" w:line="0" w:lineRule="atLeast"/>
      <w:jc w:val="center"/>
      <w:textAlignment w:val="baseline"/>
    </w:pPr>
    <w:rPr>
      <w:rFonts w:eastAsia="MS Mincho"/>
      <w:lang w:val="en-US"/>
    </w:rPr>
  </w:style>
  <w:style w:type="paragraph" w:customStyle="1" w:styleId="FigureNoTitle0">
    <w:name w:val="Figure_NoTitle"/>
    <w:basedOn w:val="Normal"/>
    <w:next w:val="Normalaftertitle"/>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eastAsia="en-US"/>
    </w:rPr>
  </w:style>
  <w:style w:type="paragraph" w:customStyle="1" w:styleId="a7">
    <w:name w:val="列项·"/>
    <w:rsid w:val="003B32AB"/>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a8">
    <w:name w:val="正文图标题"/>
    <w:next w:val="a0"/>
    <w:rsid w:val="003B32AB"/>
    <w:pPr>
      <w:tabs>
        <w:tab w:val="num" w:pos="432"/>
      </w:tabs>
      <w:spacing w:after="0" w:line="240" w:lineRule="auto"/>
      <w:ind w:left="432" w:hanging="432"/>
      <w:jc w:val="center"/>
    </w:pPr>
    <w:rPr>
      <w:rFonts w:ascii="SimHei" w:eastAsia="SimHei" w:hAnsi="Times New Roman" w:cs="Times New Roman"/>
      <w:sz w:val="21"/>
      <w:szCs w:val="20"/>
    </w:rPr>
  </w:style>
  <w:style w:type="paragraph" w:customStyle="1" w:styleId="MEP">
    <w:name w:val="MEP"/>
    <w:basedOn w:val="Normal"/>
    <w:rsid w:val="003B32AB"/>
    <w:pPr>
      <w:tabs>
        <w:tab w:val="left" w:pos="794"/>
        <w:tab w:val="left" w:pos="1191"/>
        <w:tab w:val="left" w:pos="1588"/>
        <w:tab w:val="left" w:pos="1985"/>
      </w:tabs>
      <w:spacing w:before="0"/>
    </w:pPr>
    <w:rPr>
      <w:rFonts w:eastAsia="MS Mincho"/>
      <w:sz w:val="20"/>
      <w:lang w:val="en-US" w:eastAsia="en-US"/>
    </w:rPr>
  </w:style>
  <w:style w:type="paragraph" w:customStyle="1" w:styleId="ListOfAnswers1">
    <w:name w:val="ListOfAnswers1"/>
    <w:basedOn w:val="Normal"/>
    <w:rsid w:val="003B32AB"/>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rsid w:val="003B32AB"/>
    <w:pPr>
      <w:snapToGrid w:val="0"/>
      <w:spacing w:before="0"/>
      <w:jc w:val="center"/>
    </w:pPr>
    <w:rPr>
      <w:rFonts w:ascii="Arial" w:eastAsia="MS Mincho" w:hAnsi="Arial" w:cs="Arial"/>
      <w:b/>
      <w:bCs/>
      <w:spacing w:val="8"/>
      <w:lang w:eastAsia="zh-CN"/>
    </w:rPr>
  </w:style>
  <w:style w:type="paragraph" w:customStyle="1" w:styleId="Indent">
    <w:name w:val="Indent"/>
    <w:basedOn w:val="Normal"/>
    <w:rsid w:val="003B32AB"/>
    <w:pPr>
      <w:tabs>
        <w:tab w:val="num" w:pos="360"/>
      </w:tabs>
      <w:spacing w:before="60" w:after="60"/>
      <w:ind w:left="360" w:hanging="360"/>
    </w:pPr>
    <w:rPr>
      <w:rFonts w:eastAsia="MS Mincho"/>
      <w:sz w:val="22"/>
      <w:szCs w:val="20"/>
      <w:lang w:val="en-US" w:eastAsia="en-US"/>
    </w:rPr>
  </w:style>
  <w:style w:type="paragraph" w:customStyle="1" w:styleId="EX">
    <w:name w:val="EX"/>
    <w:basedOn w:val="Normal"/>
    <w:rsid w:val="003B32AB"/>
    <w:pPr>
      <w:keepLines/>
      <w:spacing w:before="0" w:after="180"/>
      <w:ind w:left="1702" w:hanging="1418"/>
    </w:pPr>
    <w:rPr>
      <w:rFonts w:eastAsia="MS Mincho"/>
      <w:sz w:val="20"/>
      <w:szCs w:val="20"/>
      <w:lang w:eastAsia="zh-CN"/>
    </w:rPr>
  </w:style>
  <w:style w:type="paragraph" w:customStyle="1" w:styleId="reference">
    <w:name w:val="reference"/>
    <w:basedOn w:val="Normal"/>
    <w:rsid w:val="003B32AB"/>
    <w:pPr>
      <w:spacing w:before="100" w:beforeAutospacing="1" w:after="100" w:afterAutospacing="1"/>
    </w:pPr>
    <w:rPr>
      <w:rFonts w:eastAsia="MS Mincho"/>
      <w:lang w:val="en-US" w:eastAsia="en-US"/>
    </w:rPr>
  </w:style>
  <w:style w:type="paragraph" w:customStyle="1" w:styleId="xsref">
    <w:name w:val="xsref"/>
    <w:basedOn w:val="Normal"/>
    <w:rsid w:val="003B32AB"/>
    <w:pPr>
      <w:spacing w:before="100" w:beforeAutospacing="1" w:after="100" w:afterAutospacing="1"/>
    </w:pPr>
    <w:rPr>
      <w:rFonts w:eastAsia="MS Mincho"/>
      <w:lang w:val="en-US" w:eastAsia="en-US"/>
    </w:rPr>
  </w:style>
  <w:style w:type="paragraph" w:customStyle="1" w:styleId="NPNormal">
    <w:name w:val="NPNormal"/>
    <w:basedOn w:val="Normal"/>
    <w:rsid w:val="003B32AB"/>
    <w:pPr>
      <w:tabs>
        <w:tab w:val="num" w:pos="360"/>
      </w:tabs>
      <w:spacing w:before="100" w:after="100"/>
    </w:pPr>
    <w:rPr>
      <w:rFonts w:ascii="Arial" w:eastAsia="MS Mincho" w:hAnsi="Arial"/>
      <w:sz w:val="20"/>
      <w:szCs w:val="20"/>
      <w:lang w:eastAsia="en-US"/>
    </w:rPr>
  </w:style>
  <w:style w:type="paragraph" w:customStyle="1" w:styleId="AnnexHeading1">
    <w:name w:val="AnnexHeading 1"/>
    <w:basedOn w:val="Normal"/>
    <w:next w:val="Normal"/>
    <w:rsid w:val="003B32AB"/>
    <w:pPr>
      <w:keepNext/>
      <w:pageBreakBefore/>
      <w:tabs>
        <w:tab w:val="num" w:pos="720"/>
      </w:tabs>
      <w:spacing w:before="0" w:after="360"/>
      <w:jc w:val="center"/>
      <w:outlineLvl w:val="0"/>
    </w:pPr>
    <w:rPr>
      <w:rFonts w:ascii="Arial" w:eastAsia="MS Mincho" w:hAnsi="Arial"/>
      <w:b/>
      <w:szCs w:val="20"/>
      <w:lang w:eastAsia="en-US"/>
    </w:rPr>
  </w:style>
  <w:style w:type="paragraph" w:customStyle="1" w:styleId="AnnexHeading2">
    <w:name w:val="AnnexHeading 2"/>
    <w:basedOn w:val="Normal"/>
    <w:next w:val="Normal"/>
    <w:rsid w:val="003B32AB"/>
    <w:pPr>
      <w:keepNext/>
      <w:tabs>
        <w:tab w:val="num" w:pos="864"/>
      </w:tabs>
      <w:spacing w:after="120"/>
      <w:outlineLvl w:val="1"/>
    </w:pPr>
    <w:rPr>
      <w:rFonts w:ascii="Arial" w:eastAsia="MS Mincho" w:hAnsi="Arial"/>
      <w:b/>
      <w:szCs w:val="20"/>
      <w:lang w:eastAsia="en-US"/>
    </w:rPr>
  </w:style>
  <w:style w:type="paragraph" w:customStyle="1" w:styleId="AnnexHeading4">
    <w:name w:val="AnnexHeading 4"/>
    <w:basedOn w:val="Normal"/>
    <w:rsid w:val="003B32AB"/>
    <w:pPr>
      <w:keepNext/>
      <w:tabs>
        <w:tab w:val="num" w:pos="1134"/>
      </w:tabs>
      <w:spacing w:before="0" w:after="120"/>
      <w:outlineLvl w:val="2"/>
    </w:pPr>
    <w:rPr>
      <w:rFonts w:ascii="Arial" w:eastAsia="MS Mincho" w:hAnsi="Arial"/>
      <w:b/>
      <w:snapToGrid w:val="0"/>
      <w:szCs w:val="20"/>
      <w:lang w:eastAsia="en-US"/>
    </w:rPr>
  </w:style>
  <w:style w:type="paragraph" w:customStyle="1" w:styleId="AnnexHeading5">
    <w:name w:val="AnnexHeading 5"/>
    <w:basedOn w:val="AnnexHeading4"/>
    <w:rsid w:val="003B32AB"/>
    <w:pPr>
      <w:tabs>
        <w:tab w:val="clear" w:pos="1134"/>
        <w:tab w:val="num" w:pos="420"/>
      </w:tabs>
      <w:ind w:left="420" w:hanging="420"/>
    </w:pPr>
  </w:style>
  <w:style w:type="paragraph" w:customStyle="1" w:styleId="Bullet1">
    <w:name w:val="Bullet 1"/>
    <w:basedOn w:val="Normal"/>
    <w:rsid w:val="003B32AB"/>
    <w:pPr>
      <w:tabs>
        <w:tab w:val="num" w:pos="1381"/>
      </w:tabs>
      <w:spacing w:before="0"/>
      <w:ind w:left="1381" w:hanging="360"/>
    </w:pPr>
    <w:rPr>
      <w:rFonts w:eastAsia="MS Mincho"/>
      <w:noProof/>
      <w:sz w:val="20"/>
      <w:szCs w:val="20"/>
      <w:lang w:val="en-US" w:eastAsia="en-US"/>
    </w:rPr>
  </w:style>
  <w:style w:type="paragraph" w:customStyle="1" w:styleId="CM14">
    <w:name w:val="CM14"/>
    <w:basedOn w:val="Normal"/>
    <w:next w:val="Normal"/>
    <w:rsid w:val="003B32AB"/>
    <w:pPr>
      <w:widowControl w:val="0"/>
      <w:autoSpaceDE w:val="0"/>
      <w:autoSpaceDN w:val="0"/>
      <w:adjustRightInd w:val="0"/>
      <w:spacing w:before="0" w:after="200"/>
    </w:pPr>
    <w:rPr>
      <w:rFonts w:ascii="Arial" w:eastAsia="PMingLiU" w:hAnsi="Arial"/>
      <w:lang w:val="en-US" w:eastAsia="zh-TW"/>
    </w:rPr>
  </w:style>
  <w:style w:type="paragraph" w:customStyle="1" w:styleId="CM16">
    <w:name w:val="CM16"/>
    <w:basedOn w:val="Normal"/>
    <w:next w:val="Normal"/>
    <w:rsid w:val="003B32AB"/>
    <w:pPr>
      <w:widowControl w:val="0"/>
      <w:autoSpaceDE w:val="0"/>
      <w:autoSpaceDN w:val="0"/>
      <w:adjustRightInd w:val="0"/>
      <w:spacing w:before="0" w:after="308"/>
    </w:pPr>
    <w:rPr>
      <w:rFonts w:ascii="Arial" w:eastAsia="PMingLiU" w:hAnsi="Arial"/>
      <w:lang w:val="en-US" w:eastAsia="zh-TW"/>
    </w:rPr>
  </w:style>
  <w:style w:type="paragraph" w:customStyle="1" w:styleId="ISOComments">
    <w:name w:val="ISO_Comments"/>
    <w:basedOn w:val="Normal"/>
    <w:rsid w:val="003B32AB"/>
    <w:pPr>
      <w:spacing w:before="210" w:line="210" w:lineRule="exact"/>
    </w:pPr>
    <w:rPr>
      <w:rFonts w:ascii="Arial" w:eastAsia="MS Mincho" w:hAnsi="Arial"/>
      <w:sz w:val="18"/>
      <w:szCs w:val="20"/>
      <w:lang w:eastAsia="en-US"/>
    </w:rPr>
  </w:style>
  <w:style w:type="paragraph" w:customStyle="1" w:styleId="ISOChange">
    <w:name w:val="ISO_Change"/>
    <w:basedOn w:val="Normal"/>
    <w:rsid w:val="003B32AB"/>
    <w:pPr>
      <w:tabs>
        <w:tab w:val="num" w:pos="1080"/>
      </w:tabs>
      <w:spacing w:before="210" w:line="210" w:lineRule="exact"/>
    </w:pPr>
    <w:rPr>
      <w:rFonts w:ascii="Arial" w:eastAsia="MS Mincho" w:hAnsi="Arial"/>
      <w:sz w:val="18"/>
      <w:szCs w:val="20"/>
      <w:lang w:eastAsia="en-US"/>
    </w:rPr>
  </w:style>
  <w:style w:type="paragraph" w:customStyle="1" w:styleId="ISOSecretObservations">
    <w:name w:val="ISO_Secret_Observations"/>
    <w:basedOn w:val="Normal"/>
    <w:rsid w:val="003B32AB"/>
    <w:pPr>
      <w:tabs>
        <w:tab w:val="num" w:pos="360"/>
      </w:tabs>
      <w:spacing w:before="210" w:line="210" w:lineRule="exact"/>
    </w:pPr>
    <w:rPr>
      <w:rFonts w:ascii="Arial" w:eastAsia="MS Mincho" w:hAnsi="Arial"/>
      <w:sz w:val="18"/>
      <w:szCs w:val="20"/>
      <w:lang w:eastAsia="en-US"/>
    </w:rPr>
  </w:style>
  <w:style w:type="paragraph" w:customStyle="1" w:styleId="ISOClause">
    <w:name w:val="ISO_Clause"/>
    <w:basedOn w:val="Normal"/>
    <w:rsid w:val="003B32AB"/>
    <w:pPr>
      <w:tabs>
        <w:tab w:val="num" w:pos="720"/>
      </w:tabs>
      <w:spacing w:before="210" w:line="210" w:lineRule="exact"/>
    </w:pPr>
    <w:rPr>
      <w:rFonts w:ascii="Arial" w:eastAsia="MS Mincho" w:hAnsi="Arial"/>
      <w:sz w:val="18"/>
      <w:szCs w:val="20"/>
      <w:lang w:eastAsia="en-US"/>
    </w:rPr>
  </w:style>
  <w:style w:type="paragraph" w:customStyle="1" w:styleId="ISOParagraph">
    <w:name w:val="ISO_Paragraph"/>
    <w:basedOn w:val="Normal"/>
    <w:rsid w:val="003B32AB"/>
    <w:pPr>
      <w:tabs>
        <w:tab w:val="num" w:pos="864"/>
      </w:tabs>
      <w:spacing w:before="210" w:line="210" w:lineRule="exact"/>
    </w:pPr>
    <w:rPr>
      <w:rFonts w:ascii="Arial" w:eastAsia="MS Mincho" w:hAnsi="Arial"/>
      <w:sz w:val="18"/>
      <w:szCs w:val="20"/>
      <w:lang w:eastAsia="en-US"/>
    </w:rPr>
  </w:style>
  <w:style w:type="paragraph" w:customStyle="1" w:styleId="ISOCommType">
    <w:name w:val="ISO_Comm_Type"/>
    <w:basedOn w:val="Normal"/>
    <w:rsid w:val="003B32AB"/>
    <w:pPr>
      <w:tabs>
        <w:tab w:val="num" w:pos="1134"/>
      </w:tabs>
      <w:spacing w:before="210" w:line="210" w:lineRule="exact"/>
    </w:pPr>
    <w:rPr>
      <w:rFonts w:ascii="Arial" w:eastAsia="MS Mincho" w:hAnsi="Arial"/>
      <w:sz w:val="18"/>
      <w:szCs w:val="20"/>
      <w:lang w:eastAsia="en-US"/>
    </w:rPr>
  </w:style>
  <w:style w:type="paragraph" w:customStyle="1" w:styleId="NOTE0">
    <w:name w:val="NOTE"/>
    <w:basedOn w:val="Normal"/>
    <w:rsid w:val="003B32AB"/>
    <w:pPr>
      <w:snapToGrid w:val="0"/>
      <w:spacing w:before="0" w:after="100"/>
      <w:jc w:val="both"/>
    </w:pPr>
    <w:rPr>
      <w:rFonts w:ascii="Arial" w:eastAsia="Batang" w:hAnsi="Arial" w:cs="Arial"/>
      <w:spacing w:val="8"/>
      <w:sz w:val="16"/>
      <w:szCs w:val="16"/>
      <w:lang w:eastAsia="zh-CN"/>
    </w:rPr>
  </w:style>
  <w:style w:type="paragraph" w:customStyle="1" w:styleId="TERM-number">
    <w:name w:val="TERM-number"/>
    <w:basedOn w:val="Heading2"/>
    <w:next w:val="Normal"/>
    <w:rsid w:val="003B32AB"/>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CodeFragment">
    <w:name w:val="Code Fragment"/>
    <w:basedOn w:val="Normal"/>
    <w:rsid w:val="003B32AB"/>
    <w:pPr>
      <w:tabs>
        <w:tab w:val="left" w:pos="794"/>
        <w:tab w:val="left" w:pos="1191"/>
        <w:tab w:val="left" w:pos="1587"/>
        <w:tab w:val="left" w:pos="1984"/>
      </w:tabs>
      <w:spacing w:before="136"/>
    </w:pPr>
    <w:rPr>
      <w:rFonts w:ascii="Arial" w:eastAsia="Batang" w:hAnsi="Arial"/>
      <w:sz w:val="20"/>
      <w:lang w:val="en-US" w:eastAsia="en-US"/>
    </w:rPr>
  </w:style>
  <w:style w:type="paragraph" w:customStyle="1" w:styleId="Cpara">
    <w:name w:val="C para"/>
    <w:basedOn w:val="Normal"/>
    <w:rsid w:val="003B32AB"/>
    <w:pPr>
      <w:tabs>
        <w:tab w:val="left" w:pos="1400"/>
        <w:tab w:val="left" w:pos="2007"/>
      </w:tabs>
      <w:autoSpaceDE w:val="0"/>
      <w:autoSpaceDN w:val="0"/>
      <w:adjustRightInd w:val="0"/>
      <w:spacing w:before="136"/>
      <w:ind w:left="680"/>
    </w:pPr>
    <w:rPr>
      <w:rFonts w:ascii="Arial" w:eastAsia="Batang" w:hAnsi="Arial" w:cs="Arial"/>
      <w:b/>
      <w:noProof/>
      <w:color w:val="FF6600"/>
      <w:sz w:val="18"/>
      <w:lang w:eastAsia="en-US"/>
    </w:rPr>
  </w:style>
  <w:style w:type="paragraph" w:customStyle="1" w:styleId="Cparacontinue">
    <w:name w:val="C para continue"/>
    <w:basedOn w:val="Cpara"/>
    <w:rsid w:val="003B32AB"/>
    <w:pPr>
      <w:spacing w:before="0"/>
    </w:pPr>
  </w:style>
  <w:style w:type="paragraph" w:customStyle="1" w:styleId="ASN1para">
    <w:name w:val="ASN.1 para"/>
    <w:basedOn w:val="Normal"/>
    <w:rsid w:val="003B32AB"/>
    <w:pPr>
      <w:widowControl w:val="0"/>
      <w:tabs>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rsid w:val="003B32AB"/>
    <w:pPr>
      <w:tabs>
        <w:tab w:val="num" w:pos="720"/>
        <w:tab w:val="left" w:pos="794"/>
        <w:tab w:val="left" w:pos="1191"/>
        <w:tab w:val="left" w:pos="1588"/>
        <w:tab w:val="left" w:pos="1985"/>
      </w:tabs>
      <w:overflowPunct w:val="0"/>
      <w:autoSpaceDE w:val="0"/>
      <w:autoSpaceDN w:val="0"/>
      <w:adjustRightInd w:val="0"/>
      <w:ind w:left="720" w:hanging="360"/>
      <w:textAlignment w:val="baseline"/>
    </w:pPr>
    <w:rPr>
      <w:rFonts w:eastAsia="MS Mincho"/>
      <w:szCs w:val="20"/>
      <w:lang w:eastAsia="en-US"/>
    </w:rPr>
  </w:style>
  <w:style w:type="paragraph" w:customStyle="1" w:styleId="AnnexsubforSG17">
    <w:name w:val="Annex (sub) for SG17"/>
    <w:basedOn w:val="Normal"/>
    <w:rsid w:val="003B32AB"/>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eastAsia="MS Mincho"/>
      <w:b/>
      <w:szCs w:val="20"/>
      <w:u w:val="single"/>
      <w:lang w:eastAsia="en-US"/>
    </w:rPr>
  </w:style>
  <w:style w:type="paragraph" w:customStyle="1" w:styleId="ISOMB">
    <w:name w:val="ISO_MB"/>
    <w:basedOn w:val="Normal"/>
    <w:rsid w:val="003B32AB"/>
    <w:pPr>
      <w:spacing w:before="210" w:line="210" w:lineRule="exact"/>
    </w:pPr>
    <w:rPr>
      <w:rFonts w:ascii="Arial" w:eastAsia="Batang" w:hAnsi="Arial"/>
      <w:sz w:val="18"/>
      <w:szCs w:val="20"/>
      <w:lang w:eastAsia="en-US"/>
    </w:rPr>
  </w:style>
  <w:style w:type="paragraph" w:customStyle="1" w:styleId="TTBulletL1">
    <w:name w:val="+TT Bullet L1"/>
    <w:basedOn w:val="Normal"/>
    <w:rsid w:val="003B32AB"/>
    <w:pPr>
      <w:tabs>
        <w:tab w:val="num" w:pos="720"/>
        <w:tab w:val="left" w:pos="794"/>
        <w:tab w:val="left" w:pos="1191"/>
        <w:tab w:val="left" w:pos="1588"/>
        <w:tab w:val="left" w:pos="1985"/>
      </w:tabs>
      <w:overflowPunct w:val="0"/>
      <w:autoSpaceDE w:val="0"/>
      <w:autoSpaceDN w:val="0"/>
      <w:adjustRightInd w:val="0"/>
      <w:ind w:left="1080" w:hanging="720"/>
      <w:textAlignment w:val="baseline"/>
    </w:pPr>
    <w:rPr>
      <w:rFonts w:eastAsia="Batang"/>
      <w:szCs w:val="20"/>
      <w:lang w:eastAsia="en-US"/>
    </w:rPr>
  </w:style>
  <w:style w:type="paragraph" w:customStyle="1" w:styleId="AnnexClause3">
    <w:name w:val="Annex Clause 3"/>
    <w:basedOn w:val="Normal"/>
    <w:autoRedefine/>
    <w:rsid w:val="003B32AB"/>
    <w:pPr>
      <w:tabs>
        <w:tab w:val="num" w:pos="720"/>
      </w:tabs>
      <w:spacing w:before="0" w:after="120"/>
      <w:ind w:left="357" w:hanging="357"/>
    </w:pPr>
    <w:rPr>
      <w:rFonts w:ascii="Arial" w:eastAsia="MS Mincho" w:hAnsi="Arial"/>
      <w:sz w:val="20"/>
      <w:szCs w:val="20"/>
      <w:lang w:eastAsia="en-US"/>
    </w:rPr>
  </w:style>
  <w:style w:type="paragraph" w:customStyle="1" w:styleId="CharChar1CharCharCharChar">
    <w:name w:val="Char Char1 (文字) (文字) Char Char Char Char"/>
    <w:basedOn w:val="Normal"/>
    <w:autoRedefine/>
    <w:rsid w:val="003B32AB"/>
    <w:pPr>
      <w:keepNext/>
      <w:keepLines/>
      <w:pageBreakBefore/>
      <w:widowControl w:val="0"/>
      <w:tabs>
        <w:tab w:val="num" w:pos="360"/>
        <w:tab w:val="left" w:pos="794"/>
        <w:tab w:val="left" w:pos="1191"/>
        <w:tab w:val="left" w:pos="1588"/>
        <w:tab w:val="left" w:pos="1985"/>
      </w:tabs>
      <w:overflowPunct w:val="0"/>
      <w:autoSpaceDE w:val="0"/>
      <w:autoSpaceDN w:val="0"/>
      <w:adjustRightInd w:val="0"/>
      <w:jc w:val="both"/>
      <w:textAlignment w:val="baseline"/>
    </w:pPr>
    <w:rPr>
      <w:rFonts w:ascii="Tahoma" w:eastAsia="MS Mincho" w:hAnsi="Tahoma" w:cs="Tahoma"/>
      <w:kern w:val="2"/>
      <w:lang w:val="en-US" w:eastAsia="zh-CN"/>
    </w:rPr>
  </w:style>
  <w:style w:type="paragraph" w:customStyle="1" w:styleId="TERM-definition">
    <w:name w:val="TERM-definition"/>
    <w:basedOn w:val="Normal"/>
    <w:next w:val="TERM-number"/>
    <w:rsid w:val="003B32AB"/>
    <w:pPr>
      <w:snapToGrid w:val="0"/>
      <w:spacing w:before="0" w:after="200"/>
      <w:jc w:val="both"/>
    </w:pPr>
    <w:rPr>
      <w:rFonts w:ascii="Arial" w:eastAsia="Batang" w:hAnsi="Arial" w:cs="Arial"/>
      <w:spacing w:val="8"/>
      <w:sz w:val="20"/>
      <w:szCs w:val="20"/>
      <w:lang w:eastAsia="zh-CN"/>
    </w:rPr>
  </w:style>
  <w:style w:type="paragraph" w:customStyle="1" w:styleId="CharCharChar">
    <w:name w:val="Char Char Char"/>
    <w:basedOn w:val="Normal"/>
    <w:rsid w:val="003B32AB"/>
    <w:pPr>
      <w:widowControl w:val="0"/>
      <w:spacing w:before="0"/>
      <w:jc w:val="both"/>
    </w:pPr>
    <w:rPr>
      <w:rFonts w:eastAsia="SimSun"/>
      <w:kern w:val="2"/>
      <w:sz w:val="21"/>
      <w:lang w:val="en-US" w:eastAsia="zh-CN"/>
    </w:rPr>
  </w:style>
  <w:style w:type="paragraph" w:customStyle="1" w:styleId="CharCharCarCar">
    <w:name w:val="Char Char Car Car"/>
    <w:basedOn w:val="Normal"/>
    <w:rsid w:val="003B32AB"/>
    <w:pPr>
      <w:widowControl w:val="0"/>
      <w:spacing w:before="0"/>
      <w:jc w:val="both"/>
    </w:pPr>
    <w:rPr>
      <w:rFonts w:ascii="Tahoma" w:eastAsia="SimSun" w:hAnsi="Tahoma"/>
      <w:kern w:val="2"/>
      <w:szCs w:val="20"/>
      <w:lang w:val="en-US" w:eastAsia="zh-CN"/>
    </w:rPr>
  </w:style>
  <w:style w:type="paragraph" w:customStyle="1" w:styleId="Heading">
    <w:name w:val="Heading"/>
    <w:basedOn w:val="Normal"/>
    <w:next w:val="BodyText"/>
    <w:rsid w:val="003B32AB"/>
    <w:pPr>
      <w:keepNext/>
      <w:widowControl w:val="0"/>
      <w:suppressAutoHyphens/>
      <w:spacing w:before="240" w:after="120"/>
    </w:pPr>
    <w:rPr>
      <w:rFonts w:ascii="Arial" w:eastAsia="MS PGothic" w:hAnsi="Arial" w:cs="Tahoma"/>
      <w:kern w:val="1"/>
      <w:sz w:val="28"/>
      <w:szCs w:val="28"/>
      <w:lang w:val="en-US" w:eastAsia="en-US"/>
    </w:rPr>
  </w:style>
  <w:style w:type="paragraph" w:customStyle="1" w:styleId="Caption1">
    <w:name w:val="Caption1"/>
    <w:basedOn w:val="Normal"/>
    <w:rsid w:val="003B32AB"/>
    <w:pPr>
      <w:widowControl w:val="0"/>
      <w:suppressLineNumbers/>
      <w:suppressAutoHyphens/>
      <w:spacing w:after="120"/>
    </w:pPr>
    <w:rPr>
      <w:rFonts w:eastAsia="MS PMincho" w:cs="Tahoma"/>
      <w:i/>
      <w:iCs/>
      <w:kern w:val="1"/>
      <w:lang w:val="en-US" w:eastAsia="en-US"/>
    </w:rPr>
  </w:style>
  <w:style w:type="paragraph" w:customStyle="1" w:styleId="Index">
    <w:name w:val="Index"/>
    <w:basedOn w:val="Normal"/>
    <w:rsid w:val="003B32AB"/>
    <w:pPr>
      <w:widowControl w:val="0"/>
      <w:suppressLineNumbers/>
      <w:suppressAutoHyphens/>
      <w:spacing w:before="0"/>
    </w:pPr>
    <w:rPr>
      <w:rFonts w:eastAsia="MS PMincho" w:cs="Tahoma"/>
      <w:kern w:val="1"/>
      <w:lang w:val="en-US" w:eastAsia="en-US"/>
    </w:rPr>
  </w:style>
  <w:style w:type="paragraph" w:customStyle="1" w:styleId="TableContents">
    <w:name w:val="Table Contents"/>
    <w:basedOn w:val="Normal"/>
    <w:rsid w:val="003B32AB"/>
    <w:pPr>
      <w:widowControl w:val="0"/>
      <w:suppressLineNumbers/>
      <w:suppressAutoHyphens/>
      <w:spacing w:before="0"/>
    </w:pPr>
    <w:rPr>
      <w:rFonts w:eastAsia="MS PMincho"/>
      <w:kern w:val="1"/>
      <w:lang w:val="en-US" w:eastAsia="en-US"/>
    </w:rPr>
  </w:style>
  <w:style w:type="paragraph" w:customStyle="1" w:styleId="TableHeading">
    <w:name w:val="Table Heading"/>
    <w:basedOn w:val="TableContents"/>
    <w:rsid w:val="003B32AB"/>
    <w:pPr>
      <w:jc w:val="center"/>
    </w:pPr>
    <w:rPr>
      <w:b/>
      <w:bCs/>
    </w:rPr>
  </w:style>
  <w:style w:type="paragraph" w:customStyle="1" w:styleId="HTMLPreformatted1">
    <w:name w:val="HTML Preformatted1"/>
    <w:basedOn w:val="Normal"/>
    <w:rsid w:val="003B3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lang w:val="en-US" w:eastAsia="zh-CN"/>
    </w:rPr>
  </w:style>
  <w:style w:type="character" w:customStyle="1" w:styleId="ASN1CarCar">
    <w:name w:val="ASN.1 Car Car"/>
    <w:basedOn w:val="CharChar"/>
    <w:rsid w:val="003B32AB"/>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3B32AB"/>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3B32AB"/>
    <w:pPr>
      <w:widowControl w:val="0"/>
      <w:spacing w:before="0"/>
      <w:jc w:val="both"/>
    </w:pPr>
    <w:rPr>
      <w:rFonts w:eastAsia="SimSun"/>
      <w:kern w:val="2"/>
      <w:sz w:val="21"/>
      <w:lang w:val="en-US" w:eastAsia="zh-CN"/>
    </w:rPr>
  </w:style>
  <w:style w:type="paragraph" w:customStyle="1" w:styleId="CarCarCharChar">
    <w:name w:val="Car Car Char Char"/>
    <w:basedOn w:val="Normal"/>
    <w:rsid w:val="003B32AB"/>
    <w:pPr>
      <w:widowControl w:val="0"/>
      <w:spacing w:before="0"/>
      <w:jc w:val="both"/>
    </w:pPr>
    <w:rPr>
      <w:rFonts w:ascii="Tahoma" w:eastAsia="SimSun" w:hAnsi="Tahoma"/>
      <w:kern w:val="2"/>
      <w:szCs w:val="20"/>
      <w:lang w:val="en-US" w:eastAsia="zh-CN"/>
    </w:rPr>
  </w:style>
  <w:style w:type="paragraph" w:customStyle="1" w:styleId="CharChar6">
    <w:name w:val="Char Char6"/>
    <w:next w:val="Normal"/>
    <w:rsid w:val="003B32AB"/>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rPr>
  </w:style>
  <w:style w:type="paragraph" w:customStyle="1" w:styleId="tabletext2">
    <w:name w:val="tabletext"/>
    <w:basedOn w:val="Normal"/>
    <w:rsid w:val="003B32AB"/>
    <w:pPr>
      <w:spacing w:before="100" w:beforeAutospacing="1" w:after="100" w:afterAutospacing="1"/>
    </w:pPr>
    <w:rPr>
      <w:rFonts w:eastAsia="MS Mincho"/>
      <w:lang w:val="en-US" w:eastAsia="en-US"/>
    </w:rPr>
  </w:style>
  <w:style w:type="paragraph" w:customStyle="1" w:styleId="a9">
    <w:name w:val="(文字) (文字)"/>
    <w:basedOn w:val="Normal"/>
    <w:rsid w:val="003B32AB"/>
    <w:pPr>
      <w:widowControl w:val="0"/>
      <w:spacing w:before="0"/>
      <w:jc w:val="both"/>
    </w:pPr>
    <w:rPr>
      <w:rFonts w:ascii="Tahoma" w:eastAsia="SimSun" w:hAnsi="Tahoma"/>
      <w:kern w:val="2"/>
      <w:szCs w:val="20"/>
      <w:lang w:val="en-US" w:eastAsia="zh-CN"/>
    </w:rPr>
  </w:style>
  <w:style w:type="paragraph" w:customStyle="1" w:styleId="ele">
    <w:name w:val="ele."/>
    <w:basedOn w:val="ListParagraph"/>
    <w:rsid w:val="003B32AB"/>
    <w:pPr>
      <w:numPr>
        <w:numId w:val="6"/>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hanging="720"/>
    </w:pPr>
    <w:rPr>
      <w:rFonts w:ascii="Times New Roman" w:eastAsia="Times New Roman" w:hAnsi="Times New Roman" w:cs="Times New Roman"/>
      <w:sz w:val="24"/>
      <w:szCs w:val="24"/>
      <w:lang w:eastAsia="en-US"/>
    </w:rPr>
  </w:style>
  <w:style w:type="paragraph" w:customStyle="1" w:styleId="tabletext10">
    <w:name w:val="table_text 10"/>
    <w:basedOn w:val="Tabletext"/>
    <w:rsid w:val="003B32AB"/>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3B32AB"/>
  </w:style>
  <w:style w:type="character" w:customStyle="1" w:styleId="hps">
    <w:name w:val="hps"/>
    <w:rsid w:val="003B32AB"/>
  </w:style>
  <w:style w:type="character" w:customStyle="1" w:styleId="ms-rtethemeforecolor-2-0">
    <w:name w:val="ms-rtethemeforecolor-2-0"/>
    <w:basedOn w:val="DefaultParagraphFont"/>
    <w:rsid w:val="003B32AB"/>
  </w:style>
  <w:style w:type="character" w:customStyle="1" w:styleId="href">
    <w:name w:val="href"/>
    <w:rsid w:val="003B32AB"/>
    <w:rPr>
      <w:lang w:val="fr-FR"/>
    </w:rPr>
  </w:style>
  <w:style w:type="character" w:customStyle="1" w:styleId="ms-rtethemebackcolor-1-0">
    <w:name w:val="ms-rtethemebackcolor-1-0"/>
    <w:basedOn w:val="DefaultParagraphFont"/>
    <w:rsid w:val="003B32AB"/>
  </w:style>
  <w:style w:type="character" w:customStyle="1" w:styleId="CallChar">
    <w:name w:val="Call Char"/>
    <w:basedOn w:val="DefaultParagraphFont"/>
    <w:link w:val="Call"/>
    <w:locked/>
    <w:rsid w:val="003B32AB"/>
    <w:rPr>
      <w:rFonts w:ascii="Times New Roman" w:eastAsia="Times New Roman" w:hAnsi="Times New Roman" w:cs="Times New Roman"/>
      <w:i/>
      <w:sz w:val="24"/>
      <w:szCs w:val="20"/>
    </w:rPr>
  </w:style>
  <w:style w:type="paragraph" w:customStyle="1" w:styleId="Annextitle0">
    <w:name w:val="Annex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Batang" w:hAnsi="Times New Roman Bold"/>
      <w:b/>
      <w:sz w:val="28"/>
      <w:szCs w:val="20"/>
      <w:lang w:eastAsia="en-US"/>
    </w:rPr>
  </w:style>
  <w:style w:type="character" w:customStyle="1" w:styleId="ms-rteforecolor-2">
    <w:name w:val="ms-rteforecolor-2"/>
    <w:rsid w:val="003B32AB"/>
  </w:style>
  <w:style w:type="paragraph" w:customStyle="1" w:styleId="CharCharCharCharCharChar3">
    <w:name w:val="Char Char Char Char Char Char3"/>
    <w:basedOn w:val="Normal"/>
    <w:rsid w:val="003B32AB"/>
    <w:pPr>
      <w:widowControl w:val="0"/>
      <w:spacing w:before="0"/>
      <w:jc w:val="both"/>
    </w:pPr>
    <w:rPr>
      <w:rFonts w:ascii="Tahoma" w:eastAsia="SimSun" w:hAnsi="Tahoma"/>
      <w:kern w:val="2"/>
      <w:szCs w:val="20"/>
      <w:lang w:val="en-US" w:eastAsia="zh-CN"/>
    </w:rPr>
  </w:style>
  <w:style w:type="paragraph" w:styleId="Index7">
    <w:name w:val="index 7"/>
    <w:basedOn w:val="Normal"/>
    <w:next w:val="Normal"/>
    <w:rsid w:val="003B32AB"/>
    <w:pPr>
      <w:tabs>
        <w:tab w:val="left" w:pos="794"/>
        <w:tab w:val="left" w:pos="1191"/>
        <w:tab w:val="left" w:pos="1588"/>
        <w:tab w:val="left" w:pos="1985"/>
      </w:tabs>
      <w:overflowPunct w:val="0"/>
      <w:autoSpaceDE w:val="0"/>
      <w:autoSpaceDN w:val="0"/>
      <w:adjustRightInd w:val="0"/>
      <w:ind w:left="1698"/>
      <w:textAlignment w:val="baseline"/>
    </w:pPr>
    <w:rPr>
      <w:rFonts w:eastAsia="Times New Roman"/>
      <w:szCs w:val="20"/>
      <w:lang w:eastAsia="en-US"/>
    </w:rPr>
  </w:style>
  <w:style w:type="paragraph" w:styleId="Index6">
    <w:name w:val="index 6"/>
    <w:basedOn w:val="Normal"/>
    <w:next w:val="Normal"/>
    <w:rsid w:val="003B32AB"/>
    <w:pPr>
      <w:tabs>
        <w:tab w:val="left" w:pos="794"/>
        <w:tab w:val="left" w:pos="1191"/>
        <w:tab w:val="left" w:pos="1588"/>
        <w:tab w:val="left" w:pos="1985"/>
      </w:tabs>
      <w:overflowPunct w:val="0"/>
      <w:autoSpaceDE w:val="0"/>
      <w:autoSpaceDN w:val="0"/>
      <w:adjustRightInd w:val="0"/>
      <w:ind w:left="1415"/>
      <w:textAlignment w:val="baseline"/>
    </w:pPr>
    <w:rPr>
      <w:rFonts w:eastAsia="Times New Roman"/>
      <w:szCs w:val="20"/>
      <w:lang w:eastAsia="en-US"/>
    </w:rPr>
  </w:style>
  <w:style w:type="paragraph" w:customStyle="1" w:styleId="Appendixref0">
    <w:name w:val="Appendix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Tabletitle1">
    <w:name w:val="Table_title"/>
    <w:basedOn w:val="Normal"/>
    <w:next w:val="Tabletext"/>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No">
    <w:name w:val="Table_No"/>
    <w:basedOn w:val="Normal"/>
    <w:next w:val="Tabletitle1"/>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WTSA1">
    <w:name w:val="WTSA1"/>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3B32AB"/>
    <w:rPr>
      <w:rFonts w:ascii="Symbol" w:hAnsi="Symbol"/>
      <w:i/>
    </w:rPr>
  </w:style>
  <w:style w:type="paragraph" w:customStyle="1" w:styleId="listitem">
    <w:name w:val="listitem"/>
    <w:basedOn w:val="Normal"/>
    <w:rsid w:val="003B32AB"/>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Cs w:val="20"/>
      <w:lang w:eastAsia="en-US"/>
    </w:rPr>
  </w:style>
  <w:style w:type="paragraph" w:customStyle="1" w:styleId="Questionheading">
    <w:name w:val="Question_heading"/>
    <w:basedOn w:val="Heading3"/>
    <w:rsid w:val="003B32AB"/>
    <w:pPr>
      <w:spacing w:before="200"/>
    </w:pPr>
  </w:style>
  <w:style w:type="character" w:customStyle="1" w:styleId="highlight">
    <w:name w:val="highlight"/>
    <w:rsid w:val="003B32AB"/>
  </w:style>
  <w:style w:type="paragraph" w:customStyle="1" w:styleId="ColorfulList-Accent11">
    <w:name w:val="Colorful List - Accent 11"/>
    <w:basedOn w:val="Normal"/>
    <w:uiPriority w:val="34"/>
    <w:qFormat/>
    <w:rsid w:val="003B32AB"/>
    <w:pPr>
      <w:tabs>
        <w:tab w:val="left" w:pos="794"/>
        <w:tab w:val="left" w:pos="1191"/>
        <w:tab w:val="left" w:pos="1588"/>
        <w:tab w:val="left" w:pos="1985"/>
      </w:tabs>
      <w:overflowPunct w:val="0"/>
      <w:autoSpaceDE w:val="0"/>
      <w:autoSpaceDN w:val="0"/>
      <w:adjustRightInd w:val="0"/>
      <w:ind w:left="720"/>
      <w:contextualSpacing/>
      <w:textAlignment w:val="baseline"/>
    </w:pPr>
    <w:rPr>
      <w:rFonts w:eastAsia="Malgun Gothic"/>
      <w:szCs w:val="20"/>
      <w:lang w:eastAsia="en-US"/>
    </w:rPr>
  </w:style>
  <w:style w:type="character" w:customStyle="1" w:styleId="SingleTxtGChar">
    <w:name w:val="_ Single Txt_G Char"/>
    <w:link w:val="SingleTxtG"/>
    <w:locked/>
    <w:rsid w:val="003B32AB"/>
  </w:style>
  <w:style w:type="paragraph" w:customStyle="1" w:styleId="SingleTxtG">
    <w:name w:val="_ Single Txt_G"/>
    <w:basedOn w:val="Normal"/>
    <w:link w:val="SingleTxtGChar"/>
    <w:rsid w:val="003B32AB"/>
    <w:pPr>
      <w:suppressAutoHyphens/>
      <w:spacing w:before="0" w:after="120" w:line="240" w:lineRule="atLeast"/>
      <w:ind w:left="1134" w:right="1134"/>
      <w:jc w:val="both"/>
    </w:pPr>
    <w:rPr>
      <w:rFonts w:asciiTheme="minorHAnsi" w:hAnsiTheme="minorHAnsi" w:cstheme="minorBidi"/>
      <w:sz w:val="22"/>
      <w:szCs w:val="22"/>
      <w:lang w:val="en-US" w:eastAsia="zh-CN"/>
    </w:rPr>
  </w:style>
  <w:style w:type="paragraph" w:customStyle="1" w:styleId="Abstract">
    <w:name w:val="Abstract"/>
    <w:basedOn w:val="Normal"/>
    <w:rsid w:val="003B32AB"/>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Agendaitem">
    <w:name w:val="Agenda_item"/>
    <w:basedOn w:val="Normal"/>
    <w:next w:val="Normal"/>
    <w:qFormat/>
    <w:rsid w:val="003B32AB"/>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FigureNo">
    <w:name w:val="Figure_No"/>
    <w:basedOn w:val="Normal"/>
    <w:next w:val="Normal"/>
    <w:rsid w:val="003B32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0">
    <w:name w:val="Figure_title"/>
    <w:basedOn w:val="Normal"/>
    <w:next w:val="Normal"/>
    <w:rsid w:val="003B32AB"/>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Committee">
    <w:name w:val="Committee"/>
    <w:basedOn w:val="Normal"/>
    <w:qFormat/>
    <w:rsid w:val="003B32AB"/>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B32AB"/>
    <w:pPr>
      <w:tabs>
        <w:tab w:val="center" w:pos="4820"/>
      </w:tabs>
      <w:spacing w:before="360"/>
    </w:pPr>
    <w:rPr>
      <w:b w:val="0"/>
      <w:lang w:val="en-GB" w:eastAsia="en-US"/>
    </w:rPr>
  </w:style>
  <w:style w:type="paragraph" w:customStyle="1" w:styleId="Proposal">
    <w:name w:val="Proposal"/>
    <w:basedOn w:val="Normal"/>
    <w:next w:val="Normal"/>
    <w:rsid w:val="003B32AB"/>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Volumetitle">
    <w:name w:val="Volume_title"/>
    <w:basedOn w:val="Normal"/>
    <w:qFormat/>
    <w:rsid w:val="003B32AB"/>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B32AB"/>
    <w:pPr>
      <w:tabs>
        <w:tab w:val="center" w:pos="4820"/>
      </w:tabs>
      <w:spacing w:before="360"/>
    </w:pPr>
    <w:rPr>
      <w:lang w:val="en-GB" w:eastAsia="en-US"/>
    </w:rPr>
  </w:style>
  <w:style w:type="paragraph" w:customStyle="1" w:styleId="TopHeader">
    <w:name w:val="TopHeader"/>
    <w:basedOn w:val="Normal"/>
    <w:rsid w:val="003B32AB"/>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B32AB"/>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rsid w:val="003B32AB"/>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B32AB"/>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rsid w:val="003B32AB"/>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HeadingSummary">
    <w:name w:val="HeadingSummary"/>
    <w:basedOn w:val="Headingb"/>
    <w:qFormat/>
    <w:rsid w:val="003B32AB"/>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NormalITU">
    <w:name w:val="Normal_ITU"/>
    <w:basedOn w:val="Normal"/>
    <w:rsid w:val="003B32AB"/>
    <w:pPr>
      <w:autoSpaceDE w:val="0"/>
      <w:autoSpaceDN w:val="0"/>
      <w:adjustRightInd w:val="0"/>
    </w:pPr>
    <w:rPr>
      <w:rFonts w:eastAsia="MS Mincho" w:cs="Arial"/>
      <w:szCs w:val="20"/>
      <w:lang w:val="en-US" w:eastAsia="en-US"/>
    </w:rPr>
  </w:style>
  <w:style w:type="table" w:customStyle="1" w:styleId="ListTable4-Accent11">
    <w:name w:val="List Table 4 - Accent 11"/>
    <w:basedOn w:val="TableNormal"/>
    <w:uiPriority w:val="49"/>
    <w:rsid w:val="003B32AB"/>
    <w:pPr>
      <w:spacing w:after="0" w:line="240" w:lineRule="auto"/>
    </w:pPr>
    <w:rPr>
      <w:rFonts w:eastAsia="Batang"/>
      <w:kern w:val="24"/>
      <w:lang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tegory">
    <w:name w:val="category"/>
    <w:basedOn w:val="DefaultParagraphFont"/>
    <w:rsid w:val="003B32AB"/>
  </w:style>
  <w:style w:type="character" w:customStyle="1" w:styleId="NormalWebChar">
    <w:name w:val="Normal (Web) Char"/>
    <w:link w:val="NormalWeb"/>
    <w:uiPriority w:val="99"/>
    <w:locked/>
    <w:rsid w:val="003B32AB"/>
    <w:rPr>
      <w:rFonts w:ascii="Times New Roman" w:eastAsia="Times New Roman" w:hAnsi="Times New Roman" w:cs="Times New Roman"/>
      <w:sz w:val="24"/>
      <w:szCs w:val="24"/>
      <w:lang w:eastAsia="en-US"/>
    </w:rPr>
  </w:style>
  <w:style w:type="character" w:customStyle="1" w:styleId="author1">
    <w:name w:val="author1"/>
    <w:basedOn w:val="DefaultParagraphFont"/>
    <w:rsid w:val="003B32AB"/>
    <w:rPr>
      <w:rFonts w:ascii="Georgia" w:hAnsi="Georgia" w:hint="default"/>
      <w:i w:val="0"/>
      <w:iCs w:val="0"/>
    </w:rPr>
  </w:style>
  <w:style w:type="character" w:customStyle="1" w:styleId="comments-link">
    <w:name w:val="comments-link"/>
    <w:basedOn w:val="DefaultParagraphFont"/>
    <w:rsid w:val="003B32AB"/>
  </w:style>
  <w:style w:type="character" w:customStyle="1" w:styleId="category1">
    <w:name w:val="category1"/>
    <w:basedOn w:val="DefaultParagraphFont"/>
    <w:rsid w:val="003B32AB"/>
    <w:rPr>
      <w:rFonts w:ascii="Bitter" w:hAnsi="Bitter" w:hint="default"/>
      <w:i w:val="0"/>
      <w:iCs w:val="0"/>
    </w:rPr>
  </w:style>
  <w:style w:type="character" w:customStyle="1" w:styleId="ms-rtethemeforecolor-5-0">
    <w:name w:val="ms-rtethemeforecolor-5-0"/>
    <w:basedOn w:val="DefaultParagraphFont"/>
    <w:rsid w:val="003B32AB"/>
  </w:style>
  <w:style w:type="character" w:customStyle="1" w:styleId="apple-converted-space">
    <w:name w:val="apple-converted-space"/>
    <w:basedOn w:val="DefaultParagraphFont"/>
    <w:rsid w:val="003B32AB"/>
  </w:style>
  <w:style w:type="character" w:customStyle="1" w:styleId="ColorfulList-Accent1Char">
    <w:name w:val="Colorful List - Accent 1 Char"/>
    <w:link w:val="ColorfulList-Accent1"/>
    <w:uiPriority w:val="34"/>
    <w:semiHidden/>
    <w:locked/>
    <w:rsid w:val="003B32AB"/>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3B32AB"/>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WSIS">
    <w:name w:val="normal WSIS"/>
    <w:basedOn w:val="ListParagraph"/>
    <w:link w:val="normalWSISChar"/>
    <w:qFormat/>
    <w:rsid w:val="003B32AB"/>
    <w:pPr>
      <w:numPr>
        <w:numId w:val="9"/>
      </w:numPr>
      <w:tabs>
        <w:tab w:val="left" w:pos="426"/>
      </w:tabs>
      <w:spacing w:before="120" w:line="240" w:lineRule="auto"/>
      <w:contextualSpacing w:val="0"/>
      <w:jc w:val="both"/>
    </w:pPr>
    <w:rPr>
      <w:rFonts w:ascii="Calibri" w:eastAsia="SimSun" w:hAnsi="Calibri" w:cs="Arial"/>
    </w:rPr>
  </w:style>
  <w:style w:type="character" w:customStyle="1" w:styleId="normalWSISChar">
    <w:name w:val="normal WSIS Char"/>
    <w:basedOn w:val="ListParagraphChar"/>
    <w:link w:val="normalWSIS"/>
    <w:rsid w:val="003B32AB"/>
    <w:rPr>
      <w:rFonts w:ascii="Calibri" w:eastAsia="SimSun" w:hAnsi="Calibri" w:cs="Arial"/>
    </w:rPr>
  </w:style>
  <w:style w:type="character" w:customStyle="1" w:styleId="entry-content">
    <w:name w:val="entry-content"/>
    <w:basedOn w:val="DefaultParagraphFont"/>
    <w:uiPriority w:val="99"/>
    <w:rsid w:val="003B32AB"/>
    <w:rPr>
      <w:rFonts w:cs="Times New Roman"/>
    </w:rPr>
  </w:style>
  <w:style w:type="paragraph" w:customStyle="1" w:styleId="flow-text4">
    <w:name w:val="flow-text4"/>
    <w:basedOn w:val="Normal"/>
    <w:rsid w:val="003B32AB"/>
    <w:pPr>
      <w:spacing w:before="100" w:beforeAutospacing="1" w:after="100" w:afterAutospacing="1"/>
    </w:pPr>
    <w:rPr>
      <w:rFonts w:eastAsia="Times New Roman"/>
      <w:lang w:eastAsia="zh-CN"/>
    </w:rPr>
  </w:style>
  <w:style w:type="paragraph" w:customStyle="1" w:styleId="authorintro">
    <w:name w:val="authorintro"/>
    <w:basedOn w:val="Normal"/>
    <w:rsid w:val="003B32AB"/>
    <w:pPr>
      <w:spacing w:before="100" w:beforeAutospacing="1" w:after="100" w:afterAutospacing="1"/>
    </w:pPr>
    <w:rPr>
      <w:rFonts w:eastAsia="Times New Roman"/>
      <w:lang w:eastAsia="zh-CN"/>
    </w:rPr>
  </w:style>
  <w:style w:type="character" w:customStyle="1" w:styleId="ms-rtefontface-31">
    <w:name w:val="ms-rtefontface-31"/>
    <w:basedOn w:val="DefaultParagraphFont"/>
    <w:rsid w:val="003B32AB"/>
    <w:rPr>
      <w:rFonts w:ascii="Times New Roman" w:hAnsi="Times New Roman" w:cs="Times New Roman" w:hint="default"/>
    </w:rPr>
  </w:style>
  <w:style w:type="character" w:customStyle="1" w:styleId="UnresolvedMention">
    <w:name w:val="Unresolved Mention"/>
    <w:basedOn w:val="DefaultParagraphFont"/>
    <w:uiPriority w:val="99"/>
    <w:semiHidden/>
    <w:unhideWhenUsed/>
    <w:rsid w:val="003B32AB"/>
    <w:rPr>
      <w:color w:val="808080"/>
      <w:shd w:val="clear" w:color="auto" w:fill="E6E6E6"/>
    </w:rPr>
  </w:style>
  <w:style w:type="paragraph" w:customStyle="1" w:styleId="TextA">
    <w:name w:val="Text A"/>
    <w:rsid w:val="003B32AB"/>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dfc/Pages/default.aspx" TargetMode="External"/><Relationship Id="rId117" Type="http://schemas.openxmlformats.org/officeDocument/2006/relationships/hyperlink" Target="http://www.itu.int/ITU-T/inr/index.html" TargetMode="External"/><Relationship Id="rId21" Type="http://schemas.openxmlformats.org/officeDocument/2006/relationships/hyperlink" Target="https://news.itu.int/workshop-on-quality-of-service-regulation/" TargetMode="External"/><Relationship Id="rId42" Type="http://schemas.openxmlformats.org/officeDocument/2006/relationships/hyperlink" Target="https://www.itu.int/en/ITU-T/studygroups/2017-2020/12/Pages/1805-summary.aspx" TargetMode="External"/><Relationship Id="rId47" Type="http://schemas.openxmlformats.org/officeDocument/2006/relationships/hyperlink" Target="https://www.itu.int/en/ITU-T/studygroups/2017-2020/20/Pages/exec-sum-may18.aspx" TargetMode="External"/><Relationship Id="rId63" Type="http://schemas.openxmlformats.org/officeDocument/2006/relationships/hyperlink" Target="http://www.itu.int/pub/T-TUT-IPTV-2015-H721" TargetMode="External"/><Relationship Id="rId68" Type="http://schemas.openxmlformats.org/officeDocument/2006/relationships/hyperlink" Target="http://www.itu.int/en/ITU-T/ipr/Pages/adhoc.aspx" TargetMode="External"/><Relationship Id="rId84" Type="http://schemas.openxmlformats.org/officeDocument/2006/relationships/image" Target="media/image2.png"/><Relationship Id="rId89" Type="http://schemas.openxmlformats.org/officeDocument/2006/relationships/hyperlink" Target="https://www.itu.int/pub/T-TUT" TargetMode="External"/><Relationship Id="rId112" Type="http://schemas.openxmlformats.org/officeDocument/2006/relationships/hyperlink" Target="http://www.itu.int/ipr/" TargetMode="External"/><Relationship Id="rId133" Type="http://schemas.openxmlformats.org/officeDocument/2006/relationships/hyperlink" Target="https://www.itu.int/md/S17-CL-C-0134/en" TargetMode="External"/><Relationship Id="rId138" Type="http://schemas.openxmlformats.org/officeDocument/2006/relationships/hyperlink" Target="https://www.itu.int/net4/itu-t/nnp" TargetMode="External"/><Relationship Id="rId154" Type="http://schemas.openxmlformats.org/officeDocument/2006/relationships/hyperlink" Target="https://www.itu.int/md/T17-TSAG-181210-TD-GEN-0292" TargetMode="External"/><Relationship Id="rId159" Type="http://schemas.openxmlformats.org/officeDocument/2006/relationships/hyperlink" Target="https://www.oasis-open.org/committees/tc_home.php?wg_abbrev=cti" TargetMode="External"/><Relationship Id="rId16" Type="http://schemas.openxmlformats.org/officeDocument/2006/relationships/hyperlink" Target="https://news.itu.int/itu-network-2030/" TargetMode="External"/><Relationship Id="rId107" Type="http://schemas.openxmlformats.org/officeDocument/2006/relationships/hyperlink" Target="https://www.itu.int/en/ITU-T/extcoop/Pages/sdo.aspx" TargetMode="External"/><Relationship Id="rId11" Type="http://schemas.openxmlformats.org/officeDocument/2006/relationships/image" Target="media/image1.gif"/><Relationship Id="rId32" Type="http://schemas.openxmlformats.org/officeDocument/2006/relationships/hyperlink" Target="http://www.itu.int/net/itu-t/cdb/ConformityDB.aspx" TargetMode="External"/><Relationship Id="rId37" Type="http://schemas.openxmlformats.org/officeDocument/2006/relationships/hyperlink" Target="https://www.itu.int/md/T17-SG02-R-0008/en" TargetMode="External"/><Relationship Id="rId53" Type="http://schemas.openxmlformats.org/officeDocument/2006/relationships/hyperlink" Target="https://news.itu.int/safe-listening-standard/" TargetMode="External"/><Relationship Id="rId58" Type="http://schemas.openxmlformats.org/officeDocument/2006/relationships/hyperlink" Target="https://www.itu.int/en/ITU-T/studygroups/2017-2020/11/Pages/exec-sum-201807.aspx" TargetMode="External"/><Relationship Id="rId74" Type="http://schemas.openxmlformats.org/officeDocument/2006/relationships/hyperlink" Target="https://www.itu.int/en/ITU-T/focusgroups/ml5g/Pages/default.aspx" TargetMode="External"/><Relationship Id="rId79" Type="http://schemas.openxmlformats.org/officeDocument/2006/relationships/hyperlink" Target="http://www.itu.int/en/ITU-T/tsbdir/cto/Pages/default.aspx" TargetMode="External"/><Relationship Id="rId102" Type="http://schemas.openxmlformats.org/officeDocument/2006/relationships/hyperlink" Target="https://www.facebook.com/ITU/videos/1240008842750586/" TargetMode="External"/><Relationship Id="rId123" Type="http://schemas.openxmlformats.org/officeDocument/2006/relationships/hyperlink" Target="https://www.itu.int/myworkspace/home/index/mailling_lists" TargetMode="External"/><Relationship Id="rId128" Type="http://schemas.openxmlformats.org/officeDocument/2006/relationships/hyperlink" Target="http://itu.int/go/itu-t/rgm-support" TargetMode="External"/><Relationship Id="rId144" Type="http://schemas.openxmlformats.org/officeDocument/2006/relationships/hyperlink" Target="https://extranet.itu.int/sites/itu-t/focusgroups/dfc/" TargetMode="External"/><Relationship Id="rId149" Type="http://schemas.openxmlformats.org/officeDocument/2006/relationships/hyperlink" Target="https://extranet.itu.int/sites/itu-t/focusgroups/vm/" TargetMode="External"/><Relationship Id="rId5" Type="http://schemas.openxmlformats.org/officeDocument/2006/relationships/numbering" Target="numbering.xml"/><Relationship Id="rId90" Type="http://schemas.openxmlformats.org/officeDocument/2006/relationships/chart" Target="charts/chart1.xml"/><Relationship Id="rId95" Type="http://schemas.openxmlformats.org/officeDocument/2006/relationships/chart" Target="charts/chart2.xml"/><Relationship Id="rId160" Type="http://schemas.openxmlformats.org/officeDocument/2006/relationships/header" Target="header1.xml"/><Relationship Id="rId22" Type="http://schemas.openxmlformats.org/officeDocument/2006/relationships/hyperlink" Target="https://www.itu.int/en/ITU-T/studygroups/2017-2020/03/Documents/Executive%20Summary%20of%20ITU-T%20Study%20Group%203%20Meeting%20(Geneva,%209%E2%80%9318%20April%202018).pdf" TargetMode="External"/><Relationship Id="rId27" Type="http://schemas.openxmlformats.org/officeDocument/2006/relationships/hyperlink" Target="https://www.itu.int/en/ITU-T/focusgroups/dlt/Pages/default.aspx" TargetMode="External"/><Relationship Id="rId43" Type="http://schemas.openxmlformats.org/officeDocument/2006/relationships/hyperlink" Target="https://www.itu.int/en/ITU-T/studygroups/2017-2020/13/Pages/exec-sum.aspx" TargetMode="External"/><Relationship Id="rId48" Type="http://schemas.openxmlformats.org/officeDocument/2006/relationships/hyperlink" Target="https://www.itu.int/en/ITU-T/studygroups/2017-2020/15/Pages/exec-sum-201810.aspx" TargetMode="External"/><Relationship Id="rId64" Type="http://schemas.openxmlformats.org/officeDocument/2006/relationships/hyperlink" Target="http://www.itu.int/pub/T-TUT-IPTV-2017-H702" TargetMode="External"/><Relationship Id="rId69" Type="http://schemas.openxmlformats.org/officeDocument/2006/relationships/hyperlink" Target="http://www.itu.int/en/ITU-T/ipr/Pages/revpatent.aspx" TargetMode="External"/><Relationship Id="rId113" Type="http://schemas.openxmlformats.org/officeDocument/2006/relationships/hyperlink" Target="http://www.itu.int/net/itu-t/cdb/ConformityDB.aspx" TargetMode="External"/><Relationship Id="rId118" Type="http://schemas.openxmlformats.org/officeDocument/2006/relationships/hyperlink" Target="https://www.itu.int/net4/ITU-T/myworkspace/" TargetMode="External"/><Relationship Id="rId134" Type="http://schemas.openxmlformats.org/officeDocument/2006/relationships/hyperlink" Target="https://www.itu.int/md/S18-CL-C-0121/en" TargetMode="External"/><Relationship Id="rId139" Type="http://schemas.openxmlformats.org/officeDocument/2006/relationships/hyperlink" Target="https://extranet.itu.int/sites/ITU-T/" TargetMode="External"/><Relationship Id="rId80" Type="http://schemas.openxmlformats.org/officeDocument/2006/relationships/hyperlink" Target="http://www.itu.int/en/ITU-T/extcoop/cits/Pages/default.aspx" TargetMode="External"/><Relationship Id="rId85" Type="http://schemas.openxmlformats.org/officeDocument/2006/relationships/image" Target="media/image3.png"/><Relationship Id="rId150" Type="http://schemas.openxmlformats.org/officeDocument/2006/relationships/hyperlink" Target="https://extranet.itu.int/ITU-T/support/" TargetMode="External"/><Relationship Id="rId155" Type="http://schemas.openxmlformats.org/officeDocument/2006/relationships/hyperlink" Target="http://www.itu.int/ITU-T/recommendations/index.aspx?ser=A" TargetMode="External"/><Relationship Id="rId12" Type="http://schemas.openxmlformats.org/officeDocument/2006/relationships/hyperlink" Target="mailto:tsbtsag@itu.int" TargetMode="External"/><Relationship Id="rId17" Type="http://schemas.openxmlformats.org/officeDocument/2006/relationships/hyperlink" Target="https://www.itu.int/en/mediacentre/Pages/2018-PR34.aspx" TargetMode="External"/><Relationship Id="rId33" Type="http://schemas.openxmlformats.org/officeDocument/2006/relationships/hyperlink" Target="https://www.itu.int/net4/ITU-T/myworkspace/" TargetMode="External"/><Relationship Id="rId38" Type="http://schemas.openxmlformats.org/officeDocument/2006/relationships/hyperlink" Target="https://www.itu.int/en/ITU-T/studygroups/2017-2020/03/Documents/Executive%20Summary%20of%20ITU-T%20Study%20Group%203%20Meeting%20(Geneva,%209%E2%80%9318%20April%202018).pdf" TargetMode="External"/><Relationship Id="rId59" Type="http://schemas.openxmlformats.org/officeDocument/2006/relationships/hyperlink" Target="https://www.itu.int/en/ITU-T/studygroups/2013-2016/11/Pages/CASC.aspx" TargetMode="External"/><Relationship Id="rId103" Type="http://schemas.openxmlformats.org/officeDocument/2006/relationships/hyperlink" Target="https://www.facebook.com/ITU/videos/1271884246229712/" TargetMode="External"/><Relationship Id="rId108" Type="http://schemas.openxmlformats.org/officeDocument/2006/relationships/hyperlink" Target="https://www.itu.int/ITU-T/aap/AAPSearch.aspx" TargetMode="External"/><Relationship Id="rId124" Type="http://schemas.openxmlformats.org/officeDocument/2006/relationships/hyperlink" Target="https://www.itu.int/myworkspace/home/index/all_events" TargetMode="External"/><Relationship Id="rId129" Type="http://schemas.openxmlformats.org/officeDocument/2006/relationships/hyperlink" Target="http://itu.int/go/itu-t/rgm-guide" TargetMode="External"/><Relationship Id="rId54" Type="http://schemas.openxmlformats.org/officeDocument/2006/relationships/hyperlink" Target="https://www.itu.int/en/ITU-T/studygroups/2017-2020/16/Pages/results-1807.aspx" TargetMode="External"/><Relationship Id="rId70" Type="http://schemas.openxmlformats.org/officeDocument/2006/relationships/hyperlink" Target="http://www.itu.int/en/ITU-T/publications/Pages/recs.aspx" TargetMode="External"/><Relationship Id="rId75" Type="http://schemas.openxmlformats.org/officeDocument/2006/relationships/hyperlink" Target="https://www.itu.int/en/ITU-T/focusgroups/net2030/Pages/default.aspx" TargetMode="External"/><Relationship Id="rId91" Type="http://schemas.openxmlformats.org/officeDocument/2006/relationships/hyperlink" Target="https://www.itu.int/en/ITU-T/academia/kaleidoscope/2018/Pages/default.aspx" TargetMode="External"/><Relationship Id="rId96" Type="http://schemas.openxmlformats.org/officeDocument/2006/relationships/hyperlink" Target="http://news.itu.int/" TargetMode="External"/><Relationship Id="rId140" Type="http://schemas.openxmlformats.org/officeDocument/2006/relationships/hyperlink" Target="https://extranet.itu.int/sites/itu-t/studygroups/2017-2020" TargetMode="External"/><Relationship Id="rId145" Type="http://schemas.openxmlformats.org/officeDocument/2006/relationships/hyperlink" Target="https://extranet.itu.int/sites/itu-t/focusgroups/fgdl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itu.int/machine-learning-5g-new-itu-focus-group-sets-agenda/" TargetMode="External"/><Relationship Id="rId23" Type="http://schemas.openxmlformats.org/officeDocument/2006/relationships/hyperlink" Target="https://news.itu.int/renewed-international-commitment-to-combat-counterfeiting/" TargetMode="External"/><Relationship Id="rId28" Type="http://schemas.openxmlformats.org/officeDocument/2006/relationships/hyperlink" Target="https://www.itu.int/en/ITU-T/focusgroups/ml5g/Pages/default.aspx" TargetMode="External"/><Relationship Id="rId36" Type="http://schemas.openxmlformats.org/officeDocument/2006/relationships/hyperlink" Target="https://www.itu.int/en/ITU-T/studygroups/Pages/default.aspx" TargetMode="External"/><Relationship Id="rId49" Type="http://schemas.openxmlformats.org/officeDocument/2006/relationships/hyperlink" Target="https://news.itu.int/versatile-video-coding-project-starts-strongly/" TargetMode="External"/><Relationship Id="rId57" Type="http://schemas.openxmlformats.org/officeDocument/2006/relationships/hyperlink" Target="https://news.itu.int/renewed-international-commitment-to-combat-counterfeiting/" TargetMode="External"/><Relationship Id="rId106" Type="http://schemas.openxmlformats.org/officeDocument/2006/relationships/hyperlink" Target="http://www.itu.int/ITU-T/workprog" TargetMode="External"/><Relationship Id="rId114" Type="http://schemas.openxmlformats.org/officeDocument/2006/relationships/hyperlink" Target="http://www.itu.int/ITU-T/formal-language/index.html" TargetMode="External"/><Relationship Id="rId119" Type="http://schemas.openxmlformats.org/officeDocument/2006/relationships/hyperlink" Target="https://www.itu.int/myworkspace/home/index/ITU-T_experts" TargetMode="External"/><Relationship Id="rId127" Type="http://schemas.openxmlformats.org/officeDocument/2006/relationships/hyperlink" Target="http://itu.int/go/itu-t/rgm" TargetMode="External"/><Relationship Id="rId10" Type="http://schemas.openxmlformats.org/officeDocument/2006/relationships/endnotes" Target="endnotes.xml"/><Relationship Id="rId31" Type="http://schemas.openxmlformats.org/officeDocument/2006/relationships/hyperlink" Target="https://www.itu.int/en/ITU-T/focusgroups/vm" TargetMode="External"/><Relationship Id="rId44" Type="http://schemas.openxmlformats.org/officeDocument/2006/relationships/hyperlink" Target="https://www.itu.int/en/ITU-T/studygroups/2017-2020/15/Pages/exec-sum-201810.aspx" TargetMode="External"/><Relationship Id="rId52" Type="http://schemas.openxmlformats.org/officeDocument/2006/relationships/hyperlink" Target="https://news.itu.int/artificial-intelligence-health-call-proposals/" TargetMode="External"/><Relationship Id="rId60" Type="http://schemas.openxmlformats.org/officeDocument/2006/relationships/hyperlink" Target="http://www.itu.int/net/itu-t/cdb/ConformityDB.aspx" TargetMode="External"/><Relationship Id="rId65" Type="http://schemas.openxmlformats.org/officeDocument/2006/relationships/hyperlink" Target="https://www.itu.int/en/ITU-T/jca/ahf/Pages/default.aspx" TargetMode="External"/><Relationship Id="rId73" Type="http://schemas.openxmlformats.org/officeDocument/2006/relationships/hyperlink" Target="https://www.itu.int/en/ITU-T/focusgroups/dlt/Pages/default.aspx" TargetMode="External"/><Relationship Id="rId78" Type="http://schemas.openxmlformats.org/officeDocument/2006/relationships/hyperlink" Target="https://www.worldstandardscooperation.org/world-standards-day/" TargetMode="External"/><Relationship Id="rId81" Type="http://schemas.openxmlformats.org/officeDocument/2006/relationships/hyperlink" Target="http://www.itu.int/en/ITU-T/ssc/united/Pages/default.aspx" TargetMode="External"/><Relationship Id="rId86" Type="http://schemas.openxmlformats.org/officeDocument/2006/relationships/image" Target="media/image4.png"/><Relationship Id="rId94" Type="http://schemas.openxmlformats.org/officeDocument/2006/relationships/hyperlink" Target="https://www.itu.int/en/journal/002/Pages/default.aspx" TargetMode="External"/><Relationship Id="rId99" Type="http://schemas.openxmlformats.org/officeDocument/2006/relationships/hyperlink" Target="https://www.youtube.com/watch?v=04W1YI0ZxCs&amp;list=PLpoIPNlF8P2NPFldoAGvSmBijxXSaL5ei" TargetMode="External"/><Relationship Id="rId101" Type="http://schemas.openxmlformats.org/officeDocument/2006/relationships/hyperlink" Target="https://www.youtube.com/watch?v=zly1rf3cY64&amp;list=PLpoIPNlF8P2MVL0biDS1wPgDEFxJ0Hq93" TargetMode="External"/><Relationship Id="rId122" Type="http://schemas.openxmlformats.org/officeDocument/2006/relationships/hyperlink" Target="https://www.itu.int/myworkspace/home/index/my_bookmarks" TargetMode="External"/><Relationship Id="rId130" Type="http://schemas.openxmlformats.org/officeDocument/2006/relationships/hyperlink" Target="http://www.itu.int/pub/T-SP-OB" TargetMode="External"/><Relationship Id="rId135" Type="http://schemas.openxmlformats.org/officeDocument/2006/relationships/hyperlink" Target="https://www.itu.int/md/S18-CL-C-0100/en" TargetMode="External"/><Relationship Id="rId143" Type="http://schemas.openxmlformats.org/officeDocument/2006/relationships/hyperlink" Target="https://extranet.itu.int/sites/itu-t/focusgroups/dpm/" TargetMode="External"/><Relationship Id="rId148" Type="http://schemas.openxmlformats.org/officeDocument/2006/relationships/hyperlink" Target="https://extranet.itu.int/sites/itu-t/focusgroups/ai4h/" TargetMode="External"/><Relationship Id="rId151" Type="http://schemas.openxmlformats.org/officeDocument/2006/relationships/chart" Target="charts/chart3.xml"/><Relationship Id="rId156" Type="http://schemas.openxmlformats.org/officeDocument/2006/relationships/hyperlink" Target="https://www.itu.int/net4/wsis/sd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studygroups/2017-2020/15/Pages/exec-sum-201810.aspx" TargetMode="External"/><Relationship Id="rId18" Type="http://schemas.openxmlformats.org/officeDocument/2006/relationships/hyperlink" Target="https://news.itu.int/artificial-intelligence-health-call-proposals/" TargetMode="External"/><Relationship Id="rId39" Type="http://schemas.openxmlformats.org/officeDocument/2006/relationships/hyperlink" Target="https://www.itu.int/en/ITU-T/studygroups/2017-2020/05/Pages/exec-sum.aspx" TargetMode="External"/><Relationship Id="rId109" Type="http://schemas.openxmlformats.org/officeDocument/2006/relationships/hyperlink" Target="https://www.itu.int/net/ITU-T/lists/t-approval.aspx" TargetMode="External"/><Relationship Id="rId34" Type="http://schemas.openxmlformats.org/officeDocument/2006/relationships/hyperlink" Target="https://www.itu.int/net4/ITU-T/search/Landing" TargetMode="External"/><Relationship Id="rId50" Type="http://schemas.openxmlformats.org/officeDocument/2006/relationships/hyperlink" Target="https://www.itu.int/en/mediacentre/Pages/2018-CM05.aspx" TargetMode="External"/><Relationship Id="rId55" Type="http://schemas.openxmlformats.org/officeDocument/2006/relationships/hyperlink" Target="https://news.itu.int/workshop-on-quality-of-service-regulation/" TargetMode="External"/><Relationship Id="rId76" Type="http://schemas.openxmlformats.org/officeDocument/2006/relationships/hyperlink" Target="https://www.itu.int/en/ITU-T/focusgroups/ai4h" TargetMode="External"/><Relationship Id="rId97" Type="http://schemas.openxmlformats.org/officeDocument/2006/relationships/hyperlink" Target="https://news.itu.int/category/standards/" TargetMode="External"/><Relationship Id="rId104" Type="http://schemas.openxmlformats.org/officeDocument/2006/relationships/hyperlink" Target="https://youtu.be/AhB-lXg6x0s" TargetMode="External"/><Relationship Id="rId120" Type="http://schemas.openxmlformats.org/officeDocument/2006/relationships/hyperlink" Target="https://www.itu.int/myworkspace/home/index/messenger" TargetMode="External"/><Relationship Id="rId125" Type="http://schemas.openxmlformats.org/officeDocument/2006/relationships/hyperlink" Target="https://www.itu.int/net4/ITU-T/search/Landing" TargetMode="External"/><Relationship Id="rId141" Type="http://schemas.openxmlformats.org/officeDocument/2006/relationships/hyperlink" Target="https://extranet.itu.int/sites/itu-t/initiatives/U4SSC/" TargetMode="External"/><Relationship Id="rId146" Type="http://schemas.openxmlformats.org/officeDocument/2006/relationships/hyperlink" Target="https://extranet.itu.int/sites/itu-t/focusgroups/ML5G/" TargetMode="External"/><Relationship Id="rId7" Type="http://schemas.openxmlformats.org/officeDocument/2006/relationships/settings" Target="settings.xml"/><Relationship Id="rId71" Type="http://schemas.openxmlformats.org/officeDocument/2006/relationships/hyperlink" Target="https://www.itu.int/en/ITU-T/focusgroups/dpm/Pages/default.aspx" TargetMode="External"/><Relationship Id="rId92" Type="http://schemas.openxmlformats.org/officeDocument/2006/relationships/hyperlink" Target="https://www.itu.int/en/ITU-T/focusgroups/ml5g/Pages/default.aspx" TargetMode="External"/><Relationship Id="rId16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itu.int/en/ITU-T/focusgroups/net2030/Pages/default.aspx" TargetMode="External"/><Relationship Id="rId24" Type="http://schemas.openxmlformats.org/officeDocument/2006/relationships/hyperlink" Target="https://www.itu.int/en/ITU-T/studygroups/2017-2020/11/Pages/exec-sum-201807.aspx" TargetMode="External"/><Relationship Id="rId40" Type="http://schemas.openxmlformats.org/officeDocument/2006/relationships/hyperlink" Target="https://www.itu.int/en/ITU-T/studygroups/2017-2020/09/Documents/Executive-summary-2018-01-Geneva.pdf" TargetMode="External"/><Relationship Id="rId45" Type="http://schemas.openxmlformats.org/officeDocument/2006/relationships/hyperlink" Target="https://www.itu.int/en/ITU-T/studygroups/2017-2020/16/Pages/results-1807.aspx" TargetMode="External"/><Relationship Id="rId66" Type="http://schemas.openxmlformats.org/officeDocument/2006/relationships/hyperlink" Target="https://www.itu.int/net4/wsis/forum/2018/Pages/Agenda/Session/283" TargetMode="External"/><Relationship Id="rId87" Type="http://schemas.openxmlformats.org/officeDocument/2006/relationships/hyperlink" Target="https://www.itu.int/dms_pub/itu-t/oth/0b/1f/T0B1F0000023301PDFE.pdf" TargetMode="External"/><Relationship Id="rId110" Type="http://schemas.openxmlformats.org/officeDocument/2006/relationships/hyperlink" Target="http://www.itu.int/itu-t/recommendations" TargetMode="External"/><Relationship Id="rId115" Type="http://schemas.openxmlformats.org/officeDocument/2006/relationships/hyperlink" Target="http://www.itu.int/net/itu-t/sigdb/menu.htm" TargetMode="External"/><Relationship Id="rId131" Type="http://schemas.openxmlformats.org/officeDocument/2006/relationships/hyperlink" Target="http://www.itu.int/rec/T-REC-E.156-200605-I" TargetMode="External"/><Relationship Id="rId136" Type="http://schemas.openxmlformats.org/officeDocument/2006/relationships/hyperlink" Target="https://www.itu.int/md/T17-SG02-170329-TD-GEN-0143/en" TargetMode="External"/><Relationship Id="rId157" Type="http://schemas.openxmlformats.org/officeDocument/2006/relationships/hyperlink" Target="http://www.itu.int/md/T13-TSAG-160201-TD-GEN-0419/en" TargetMode="External"/><Relationship Id="rId61" Type="http://schemas.openxmlformats.org/officeDocument/2006/relationships/hyperlink" Target="https://www.itu.int/itu-t/recommendations/rec.aspx?rec=12458" TargetMode="External"/><Relationship Id="rId82" Type="http://schemas.openxmlformats.org/officeDocument/2006/relationships/hyperlink" Target="http://www.itu.int/en/ITU-T/gsc/Pages/meetings.aspx" TargetMode="External"/><Relationship Id="rId152" Type="http://schemas.openxmlformats.org/officeDocument/2006/relationships/hyperlink" Target="https://www.itu.int/md/S17-CL-C-0127/en" TargetMode="External"/><Relationship Id="rId19" Type="http://schemas.openxmlformats.org/officeDocument/2006/relationships/hyperlink" Target="https://news.itu.int/safe-listening-standard/" TargetMode="External"/><Relationship Id="rId14" Type="http://schemas.openxmlformats.org/officeDocument/2006/relationships/hyperlink" Target="https://news.itu.int/versatile-video-coding-project-starts-strongly/" TargetMode="External"/><Relationship Id="rId30" Type="http://schemas.openxmlformats.org/officeDocument/2006/relationships/hyperlink" Target="https://www.itu.int/en/ITU-T/focusgroups/ai4h" TargetMode="External"/><Relationship Id="rId35" Type="http://schemas.openxmlformats.org/officeDocument/2006/relationships/hyperlink" Target="http://tsbtech.itu.int/" TargetMode="External"/><Relationship Id="rId56" Type="http://schemas.openxmlformats.org/officeDocument/2006/relationships/hyperlink" Target="https://www.itu.int/en/ITU-T/studygroups/2017-2020/03/Documents/Executive%20Summary%20of%20ITU-T%20Study%20Group%203%20Meeting%20(Geneva,%209%E2%80%9318%20April%202018).pdf" TargetMode="External"/><Relationship Id="rId77" Type="http://schemas.openxmlformats.org/officeDocument/2006/relationships/hyperlink" Target="https://www.itu.int/en/ITU-T/focusgroups/vm" TargetMode="External"/><Relationship Id="rId100" Type="http://schemas.openxmlformats.org/officeDocument/2006/relationships/hyperlink" Target="https://www.youtube.com/watch?v=5_jK8NKQBnU&amp;list=PLpoIPNlF8P2NMDChEpow1n0ks9O63DXkg" TargetMode="External"/><Relationship Id="rId105" Type="http://schemas.openxmlformats.org/officeDocument/2006/relationships/hyperlink" Target="http://www.itu.int/en/ITU-T/studygroups/2017-2020/Pages/default.aspx" TargetMode="External"/><Relationship Id="rId126" Type="http://schemas.openxmlformats.org/officeDocument/2006/relationships/hyperlink" Target="http://tsbtech.itu.int/" TargetMode="External"/><Relationship Id="rId147" Type="http://schemas.openxmlformats.org/officeDocument/2006/relationships/hyperlink" Target="https://extranet.itu.int/sites/itu-t/focusgroups/net-2030/" TargetMode="External"/><Relationship Id="rId8" Type="http://schemas.openxmlformats.org/officeDocument/2006/relationships/webSettings" Target="webSettings.xml"/><Relationship Id="rId51" Type="http://schemas.openxmlformats.org/officeDocument/2006/relationships/hyperlink" Target="https://www.itu.int/en/mediacentre/Pages/2018-PR34.aspx" TargetMode="External"/><Relationship Id="rId72" Type="http://schemas.openxmlformats.org/officeDocument/2006/relationships/hyperlink" Target="https://www.itu.int/en/ITU-T/focusgroups/dfc/Pages/default.aspx" TargetMode="External"/><Relationship Id="rId93" Type="http://schemas.openxmlformats.org/officeDocument/2006/relationships/hyperlink" Target="http://news.itu.int/discover-the-power-of-artificial-intelligence-to-drive-ict-innovation-in-the-first-issue-of-the-itu-journal/" TargetMode="External"/><Relationship Id="rId98" Type="http://schemas.openxmlformats.org/officeDocument/2006/relationships/hyperlink" Target="https://youtu.be/hgP4IyY33iI" TargetMode="External"/><Relationship Id="rId121" Type="http://schemas.openxmlformats.org/officeDocument/2006/relationships/hyperlink" Target="https://www.itu.int/myworkspace/home/index/suggested_documents" TargetMode="External"/><Relationship Id="rId142" Type="http://schemas.openxmlformats.org/officeDocument/2006/relationships/hyperlink" Target="https://extranet.itu.int/sites/itu-t/initiatives/sitwg/"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tu.int/en/ITU-T/focusgroups/dpm/Pages/default.aspx" TargetMode="External"/><Relationship Id="rId46" Type="http://schemas.openxmlformats.org/officeDocument/2006/relationships/hyperlink" Target="https://www.itu.int/en/ITU-T/studygroups/2017-2020/17/Pages/1809-summary.aspx" TargetMode="External"/><Relationship Id="rId67" Type="http://schemas.openxmlformats.org/officeDocument/2006/relationships/hyperlink" Target="https://www.itu.int/net4/wsis/forum/2018/Pages/Agenda" TargetMode="External"/><Relationship Id="rId116" Type="http://schemas.openxmlformats.org/officeDocument/2006/relationships/hyperlink" Target="http://www.itu.int/ITU-R/go/terminology-database" TargetMode="External"/><Relationship Id="rId137" Type="http://schemas.openxmlformats.org/officeDocument/2006/relationships/hyperlink" Target="https://www.itu.int/md/T17-SG02-171127-TD-GEN-0233" TargetMode="External"/><Relationship Id="rId158" Type="http://schemas.openxmlformats.org/officeDocument/2006/relationships/hyperlink" Target="https://www.itu.int/md/T17-SG13-180716-TD-GEN-0253/en" TargetMode="External"/><Relationship Id="rId20" Type="http://schemas.openxmlformats.org/officeDocument/2006/relationships/hyperlink" Target="https://www.itu.int/en/ITU-T/studygroups/2017-2020/16/Pages/results-1807.aspx" TargetMode="External"/><Relationship Id="rId41" Type="http://schemas.openxmlformats.org/officeDocument/2006/relationships/hyperlink" Target="https://www.itu.int/en/ITU-T/studygroups/2017-2020/11/Pages/exec-sum-201807.aspx" TargetMode="External"/><Relationship Id="rId62" Type="http://schemas.openxmlformats.org/officeDocument/2006/relationships/hyperlink" Target="http://www.itu.int/itu-t/recommendations/rec.aspx?rec=H.702" TargetMode="External"/><Relationship Id="rId83" Type="http://schemas.openxmlformats.org/officeDocument/2006/relationships/hyperlink" Target="http://www.itu.int/en/ITU-T/gsc/Pages/default.aspx" TargetMode="External"/><Relationship Id="rId88" Type="http://schemas.openxmlformats.org/officeDocument/2006/relationships/hyperlink" Target="http://academy.itu.int" TargetMode="External"/><Relationship Id="rId111" Type="http://schemas.openxmlformats.org/officeDocument/2006/relationships/hyperlink" Target="http://www.itu.int/net/itu-t/ls/" TargetMode="External"/><Relationship Id="rId132" Type="http://schemas.openxmlformats.org/officeDocument/2006/relationships/hyperlink" Target="https://www.itu.int/md/S17-CL-C-0133/en" TargetMode="External"/><Relationship Id="rId153" Type="http://schemas.openxmlformats.org/officeDocument/2006/relationships/hyperlink" Target="http://www.itu.int/pub/T-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670652392"/>
        <c:axId val="670652784"/>
      </c:lineChart>
      <c:catAx>
        <c:axId val="67065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652784"/>
        <c:crosses val="autoZero"/>
        <c:auto val="1"/>
        <c:lblAlgn val="ctr"/>
        <c:lblOffset val="100"/>
        <c:noMultiLvlLbl val="0"/>
      </c:catAx>
      <c:valAx>
        <c:axId val="67065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652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670654352"/>
        <c:axId val="670654744"/>
      </c:lineChart>
      <c:catAx>
        <c:axId val="6706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70654744"/>
        <c:crosses val="autoZero"/>
        <c:auto val="1"/>
        <c:lblAlgn val="ctr"/>
        <c:lblOffset val="100"/>
        <c:noMultiLvlLbl val="0"/>
      </c:catAx>
      <c:valAx>
        <c:axId val="670654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7065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669723224"/>
        <c:axId val="669724400"/>
        <c:axId val="0"/>
      </c:bar3DChart>
      <c:catAx>
        <c:axId val="66972322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69724400"/>
        <c:crosses val="autoZero"/>
        <c:auto val="0"/>
        <c:lblAlgn val="ctr"/>
        <c:lblOffset val="100"/>
        <c:noMultiLvlLbl val="0"/>
      </c:catAx>
      <c:valAx>
        <c:axId val="6697244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69723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33C35A8436AA4C4B9136D03002FFE852"/>
        <w:category>
          <w:name w:val="General"/>
          <w:gallery w:val="placeholder"/>
        </w:category>
        <w:types>
          <w:type w:val="bbPlcHdr"/>
        </w:types>
        <w:behaviors>
          <w:behavior w:val="content"/>
        </w:behaviors>
        <w:guid w:val="{67CA10ED-E300-49CF-BABF-457FA39C151D}"/>
      </w:docPartPr>
      <w:docPartBody>
        <w:p w:rsidR="00E97960" w:rsidRDefault="00E26F95" w:rsidP="00E26F95">
          <w:pPr>
            <w:pStyle w:val="33C35A8436AA4C4B9136D03002FFE852"/>
          </w:pPr>
          <w:r w:rsidRPr="00543D41">
            <w:rPr>
              <w:rStyle w:val="PlaceholderText"/>
              <w:highlight w:val="yellow"/>
            </w:rPr>
            <w:t>Q nos separated by commas (e.g 3/13, 5/16) or N/A (TSAG)</w:t>
          </w:r>
        </w:p>
      </w:docPartBody>
    </w:docPart>
    <w:docPart>
      <w:docPartPr>
        <w:name w:val="738B5C25308E4808B7BBFD754453C112"/>
        <w:category>
          <w:name w:val="General"/>
          <w:gallery w:val="placeholder"/>
        </w:category>
        <w:types>
          <w:type w:val="bbPlcHdr"/>
        </w:types>
        <w:behaviors>
          <w:behavior w:val="content"/>
        </w:behaviors>
        <w:guid w:val="{571D2EBE-1AC4-4F04-9948-EB06B07FF8E2}"/>
      </w:docPartPr>
      <w:docPartBody>
        <w:p w:rsidR="00E97960" w:rsidRDefault="00E26F95" w:rsidP="00E26F95">
          <w:pPr>
            <w:pStyle w:val="738B5C25308E4808B7BBFD754453C112"/>
          </w:pPr>
          <w:r w:rsidRPr="003957A6">
            <w:rPr>
              <w:rStyle w:val="PlaceholderText"/>
              <w:rFonts w:ascii="Times New Roman Bold" w:hAnsi="Times New Roman Bold" w:cs="Times New Roman Bold"/>
              <w:caps/>
              <w:highlight w:val="yellow"/>
            </w:rPr>
            <w:t>Insert doc. type: Contribution / TD</w:t>
          </w:r>
        </w:p>
      </w:docPartBody>
    </w:docPart>
    <w:docPart>
      <w:docPartPr>
        <w:name w:val="32C400EF818A49C4A11565C3EADA2C14"/>
        <w:category>
          <w:name w:val="General"/>
          <w:gallery w:val="placeholder"/>
        </w:category>
        <w:types>
          <w:type w:val="bbPlcHdr"/>
        </w:types>
        <w:behaviors>
          <w:behavior w:val="content"/>
        </w:behaviors>
        <w:guid w:val="{D8C46091-815A-4B89-B6F2-7319589C9FDA}"/>
      </w:docPartPr>
      <w:docPartBody>
        <w:p w:rsidR="00E97960" w:rsidRDefault="00E26F95" w:rsidP="00E26F95">
          <w:pPr>
            <w:pStyle w:val="32C400EF818A49C4A11565C3EADA2C14"/>
          </w:pPr>
          <w:r w:rsidRPr="00543D41">
            <w:rPr>
              <w:rStyle w:val="PlaceholderText"/>
              <w:highlight w:val="yellow"/>
            </w:rPr>
            <w:t>Insert title (always in ENGLISH)</w:t>
          </w:r>
        </w:p>
      </w:docPartBody>
    </w:docPart>
    <w:docPart>
      <w:docPartPr>
        <w:name w:val="8200C6A279344E64A047EA3180671B66"/>
        <w:category>
          <w:name w:val="General"/>
          <w:gallery w:val="placeholder"/>
        </w:category>
        <w:types>
          <w:type w:val="bbPlcHdr"/>
        </w:types>
        <w:behaviors>
          <w:behavior w:val="content"/>
        </w:behaviors>
        <w:guid w:val="{CD7501DB-D369-4C0D-BE6E-1477E082FF41}"/>
      </w:docPartPr>
      <w:docPartBody>
        <w:p w:rsidR="00C0618F" w:rsidRDefault="00A63C55" w:rsidP="00A63C55">
          <w:pPr>
            <w:pStyle w:val="8200C6A279344E64A047EA3180671B66"/>
          </w:pPr>
          <w:r w:rsidRPr="00543D41">
            <w:rPr>
              <w:rStyle w:val="PlaceholderText"/>
              <w:highlight w:val="yellow"/>
            </w:rPr>
            <w:t>Insert source(s)</w:t>
          </w:r>
        </w:p>
      </w:docPartBody>
    </w:docPart>
    <w:docPart>
      <w:docPartPr>
        <w:name w:val="D56DC2CAAF934D019BCF73109187CB27"/>
        <w:category>
          <w:name w:val="General"/>
          <w:gallery w:val="placeholder"/>
        </w:category>
        <w:types>
          <w:type w:val="bbPlcHdr"/>
        </w:types>
        <w:behaviors>
          <w:behavior w:val="content"/>
        </w:behaviors>
        <w:guid w:val="{FEC65DD4-B795-40F3-889B-A8FD59296BFA}"/>
      </w:docPartPr>
      <w:docPartBody>
        <w:p w:rsidR="00B14360" w:rsidRDefault="00394F6D" w:rsidP="00394F6D">
          <w:pPr>
            <w:pStyle w:val="D56DC2CAAF934D019BCF73109187CB27"/>
          </w:pPr>
          <w:r w:rsidRPr="001229A4">
            <w:rPr>
              <w:rStyle w:val="PlaceholderText"/>
            </w:rPr>
            <w:t>Click here to enter text.</w:t>
          </w:r>
        </w:p>
      </w:docPartBody>
    </w:docPart>
    <w:docPart>
      <w:docPartPr>
        <w:name w:val="AF840A4085414D379D80EBCBF2909C47"/>
        <w:category>
          <w:name w:val="General"/>
          <w:gallery w:val="placeholder"/>
        </w:category>
        <w:types>
          <w:type w:val="bbPlcHdr"/>
        </w:types>
        <w:behaviors>
          <w:behavior w:val="content"/>
        </w:behaviors>
        <w:guid w:val="{BD0004F1-B673-41EA-9B04-B6176F8D8818}"/>
      </w:docPartPr>
      <w:docPartBody>
        <w:p w:rsidR="00B14360" w:rsidRDefault="00394F6D" w:rsidP="00394F6D">
          <w:pPr>
            <w:pStyle w:val="AF840A4085414D379D80EBCBF2909C47"/>
          </w:pPr>
          <w:r w:rsidRPr="001229A4">
            <w:rPr>
              <w:rStyle w:val="PlaceholderText"/>
            </w:rPr>
            <w:t>Click here to enter text.</w:t>
          </w:r>
        </w:p>
      </w:docPartBody>
    </w:docPart>
    <w:docPart>
      <w:docPartPr>
        <w:name w:val="44607DC01B4B4329BD53E91DF3921093"/>
        <w:category>
          <w:name w:val="General"/>
          <w:gallery w:val="placeholder"/>
        </w:category>
        <w:types>
          <w:type w:val="bbPlcHdr"/>
        </w:types>
        <w:behaviors>
          <w:behavior w:val="content"/>
        </w:behaviors>
        <w:guid w:val="{E398B83F-003E-459D-A8D1-B77BAEF33455}"/>
      </w:docPartPr>
      <w:docPartBody>
        <w:p w:rsidR="004E65BF" w:rsidRDefault="00B14360" w:rsidP="00B14360">
          <w:pPr>
            <w:pStyle w:val="44607DC01B4B4329BD53E91DF39210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00000287" w:usb1="09060000" w:usb2="0000001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00000003" w:usb1="080E0000" w:usb2="00000010"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A36B3"/>
    <w:rsid w:val="001F5BC1"/>
    <w:rsid w:val="00256D54"/>
    <w:rsid w:val="002D4663"/>
    <w:rsid w:val="00325869"/>
    <w:rsid w:val="00394F6D"/>
    <w:rsid w:val="003E3757"/>
    <w:rsid w:val="003F520B"/>
    <w:rsid w:val="00400FFE"/>
    <w:rsid w:val="00403A9C"/>
    <w:rsid w:val="004E65BF"/>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A33DD7"/>
    <w:rsid w:val="00A3586C"/>
    <w:rsid w:val="00A63C55"/>
    <w:rsid w:val="00AB6052"/>
    <w:rsid w:val="00AC7F00"/>
    <w:rsid w:val="00AF3CAC"/>
    <w:rsid w:val="00B14360"/>
    <w:rsid w:val="00C0618F"/>
    <w:rsid w:val="00C537FF"/>
    <w:rsid w:val="00C7519D"/>
    <w:rsid w:val="00D3402C"/>
    <w:rsid w:val="00D40096"/>
    <w:rsid w:val="00E02C8E"/>
    <w:rsid w:val="00E24248"/>
    <w:rsid w:val="00E26F95"/>
    <w:rsid w:val="00E97960"/>
    <w:rsid w:val="00F403D8"/>
    <w:rsid w:val="00F96566"/>
    <w:rsid w:val="00FA4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5BF"/>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33C35A8436AA4C4B9136D03002FFE852">
    <w:name w:val="33C35A8436AA4C4B9136D03002FFE852"/>
    <w:rsid w:val="00E26F95"/>
    <w:rPr>
      <w:lang w:val="en-GB" w:eastAsia="en-GB"/>
    </w:rPr>
  </w:style>
  <w:style w:type="paragraph" w:customStyle="1" w:styleId="738B5C25308E4808B7BBFD754453C112">
    <w:name w:val="738B5C25308E4808B7BBFD754453C112"/>
    <w:rsid w:val="00E26F95"/>
    <w:rPr>
      <w:lang w:val="en-GB" w:eastAsia="en-GB"/>
    </w:rPr>
  </w:style>
  <w:style w:type="paragraph" w:customStyle="1" w:styleId="32C400EF818A49C4A11565C3EADA2C14">
    <w:name w:val="32C400EF818A49C4A11565C3EADA2C14"/>
    <w:rsid w:val="00E26F95"/>
    <w:rPr>
      <w:lang w:val="en-GB" w:eastAsia="en-GB"/>
    </w:rPr>
  </w:style>
  <w:style w:type="paragraph" w:customStyle="1" w:styleId="B1459E3CA8104F6087689A802C09211F">
    <w:name w:val="B1459E3CA8104F6087689A802C09211F"/>
    <w:rsid w:val="00E26F95"/>
    <w:rPr>
      <w:lang w:val="en-GB" w:eastAsia="en-GB"/>
    </w:rPr>
  </w:style>
  <w:style w:type="paragraph" w:customStyle="1" w:styleId="8FCEE7ABA1C7469BBB0655C7C658803A">
    <w:name w:val="8FCEE7ABA1C7469BBB0655C7C658803A"/>
    <w:rsid w:val="00E26F95"/>
    <w:rPr>
      <w:lang w:val="en-GB" w:eastAsia="en-GB"/>
    </w:rPr>
  </w:style>
  <w:style w:type="paragraph" w:customStyle="1" w:styleId="1AF251ABBBB14068B57FDF72065A45F2">
    <w:name w:val="1AF251ABBBB14068B57FDF72065A45F2"/>
    <w:rsid w:val="00E26F95"/>
    <w:rPr>
      <w:lang w:val="en-GB" w:eastAsia="en-GB"/>
    </w:rPr>
  </w:style>
  <w:style w:type="paragraph" w:customStyle="1" w:styleId="469097B8B0A84807A05CA47A79F42706">
    <w:name w:val="469097B8B0A84807A05CA47A79F42706"/>
    <w:rsid w:val="00E26F95"/>
    <w:rPr>
      <w:lang w:val="en-GB" w:eastAsia="en-GB"/>
    </w:rPr>
  </w:style>
  <w:style w:type="paragraph" w:customStyle="1" w:styleId="E97EFD25E146419284F7341C7AE0293F">
    <w:name w:val="E97EFD25E146419284F7341C7AE0293F"/>
    <w:rsid w:val="00E26F95"/>
    <w:rPr>
      <w:lang w:val="en-GB" w:eastAsia="en-GB"/>
    </w:rPr>
  </w:style>
  <w:style w:type="paragraph" w:customStyle="1" w:styleId="7F1A97B581B946298A3F1F44EA73A2DB">
    <w:name w:val="7F1A97B581B946298A3F1F44EA73A2DB"/>
    <w:rsid w:val="00E26F95"/>
    <w:rPr>
      <w:lang w:val="en-GB" w:eastAsia="en-GB"/>
    </w:rPr>
  </w:style>
  <w:style w:type="paragraph" w:customStyle="1" w:styleId="4C9E50E997A14500835F1851BEA67779">
    <w:name w:val="4C9E50E997A14500835F1851BEA67779"/>
    <w:rsid w:val="00E26F95"/>
    <w:rPr>
      <w:lang w:val="en-GB" w:eastAsia="en-GB"/>
    </w:rPr>
  </w:style>
  <w:style w:type="paragraph" w:customStyle="1" w:styleId="586B0C017C3C419983CC5B723BE0F189">
    <w:name w:val="586B0C017C3C419983CC5B723BE0F189"/>
    <w:rsid w:val="00E26F95"/>
    <w:rPr>
      <w:lang w:val="en-GB" w:eastAsia="en-GB"/>
    </w:rPr>
  </w:style>
  <w:style w:type="paragraph" w:customStyle="1" w:styleId="CBE94EBEB971465D841ED0143B492028">
    <w:name w:val="CBE94EBEB971465D841ED0143B492028"/>
    <w:rsid w:val="00E26F95"/>
    <w:rPr>
      <w:lang w:val="en-GB" w:eastAsia="en-GB"/>
    </w:rPr>
  </w:style>
  <w:style w:type="paragraph" w:customStyle="1" w:styleId="79153AA1D7594FAB8203A1E0A2310C68">
    <w:name w:val="79153AA1D7594FAB8203A1E0A2310C68"/>
    <w:rsid w:val="001F5BC1"/>
    <w:rPr>
      <w:lang w:val="fr-CH"/>
    </w:rPr>
  </w:style>
  <w:style w:type="paragraph" w:customStyle="1" w:styleId="8200C6A279344E64A047EA3180671B66">
    <w:name w:val="8200C6A279344E64A047EA3180671B66"/>
    <w:rsid w:val="00A63C55"/>
    <w:rPr>
      <w:lang w:val="fr-CH"/>
    </w:rPr>
  </w:style>
  <w:style w:type="paragraph" w:customStyle="1" w:styleId="2D8268E370174DDB9BCBEA9FAD4BB023">
    <w:name w:val="2D8268E370174DDB9BCBEA9FAD4BB023"/>
    <w:rsid w:val="00A63C55"/>
    <w:rPr>
      <w:lang w:val="fr-CH"/>
    </w:rPr>
  </w:style>
  <w:style w:type="paragraph" w:customStyle="1" w:styleId="9DBE77327ED441C19C050F2B6982D630">
    <w:name w:val="9DBE77327ED441C19C050F2B6982D630"/>
    <w:rsid w:val="00A63C55"/>
    <w:rPr>
      <w:lang w:val="fr-CH"/>
    </w:rPr>
  </w:style>
  <w:style w:type="paragraph" w:customStyle="1" w:styleId="8667D49A930E4054B2D4F7FE33636112">
    <w:name w:val="8667D49A930E4054B2D4F7FE33636112"/>
    <w:rsid w:val="00A63C55"/>
    <w:rPr>
      <w:lang w:val="fr-CH"/>
    </w:rPr>
  </w:style>
  <w:style w:type="paragraph" w:customStyle="1" w:styleId="A52404B226314609BF66B1FB8D320B62">
    <w:name w:val="A52404B226314609BF66B1FB8D320B62"/>
    <w:rsid w:val="00C0618F"/>
    <w:rPr>
      <w:lang w:val="fr-CH"/>
    </w:rPr>
  </w:style>
  <w:style w:type="paragraph" w:customStyle="1" w:styleId="0AEB6E66E557469894A4758D79610686">
    <w:name w:val="0AEB6E66E557469894A4758D79610686"/>
    <w:rsid w:val="00C0618F"/>
    <w:rPr>
      <w:lang w:val="fr-CH"/>
    </w:rPr>
  </w:style>
  <w:style w:type="paragraph" w:customStyle="1" w:styleId="5017C9829A0B428DA75B07336BA742BC">
    <w:name w:val="5017C9829A0B428DA75B07336BA742BC"/>
    <w:rsid w:val="00C0618F"/>
    <w:rPr>
      <w:lang w:val="fr-CH"/>
    </w:rPr>
  </w:style>
  <w:style w:type="paragraph" w:customStyle="1" w:styleId="D56DC2CAAF934D019BCF73109187CB27">
    <w:name w:val="D56DC2CAAF934D019BCF73109187CB27"/>
    <w:rsid w:val="00394F6D"/>
    <w:rPr>
      <w:lang w:val="fr-CH"/>
    </w:rPr>
  </w:style>
  <w:style w:type="paragraph" w:customStyle="1" w:styleId="AF840A4085414D379D80EBCBF2909C47">
    <w:name w:val="AF840A4085414D379D80EBCBF2909C47"/>
    <w:rsid w:val="00394F6D"/>
    <w:rPr>
      <w:lang w:val="fr-CH"/>
    </w:rPr>
  </w:style>
  <w:style w:type="paragraph" w:customStyle="1" w:styleId="2FA2FF3D5CA34FDFB2E4815C2A4A89A3">
    <w:name w:val="2FA2FF3D5CA34FDFB2E4815C2A4A89A3"/>
    <w:rsid w:val="00B14360"/>
    <w:rPr>
      <w:lang w:val="fr-CH"/>
    </w:rPr>
  </w:style>
  <w:style w:type="paragraph" w:customStyle="1" w:styleId="44607DC01B4B4329BD53E91DF3921093">
    <w:name w:val="44607DC01B4B4329BD53E91DF3921093"/>
    <w:rsid w:val="00B14360"/>
    <w:rPr>
      <w:lang w:val="fr-CH"/>
    </w:rPr>
  </w:style>
  <w:style w:type="paragraph" w:customStyle="1" w:styleId="C56313662FDE497AB87BC068BA221383">
    <w:name w:val="C56313662FDE497AB87BC068BA221383"/>
    <w:rsid w:val="00B14360"/>
    <w:rPr>
      <w:lang w:val="fr-CH"/>
    </w:rPr>
  </w:style>
  <w:style w:type="paragraph" w:customStyle="1" w:styleId="7A0A9B34E7B147B68CD345A2FF34CFE7">
    <w:name w:val="7A0A9B34E7B147B68CD345A2FF34CFE7"/>
    <w:rsid w:val="00B14360"/>
    <w:rPr>
      <w:lang w:val="fr-CH"/>
    </w:rPr>
  </w:style>
  <w:style w:type="paragraph" w:customStyle="1" w:styleId="F0FCDC5B6C7C441181A39CBAE5562B40">
    <w:name w:val="F0FCDC5B6C7C441181A39CBAE5562B40"/>
    <w:rsid w:val="00B14360"/>
    <w:rPr>
      <w:lang w:val="fr-CH"/>
    </w:rPr>
  </w:style>
  <w:style w:type="paragraph" w:customStyle="1" w:styleId="6D21EA9AE33B45B38DD3FDD7D251AB46">
    <w:name w:val="6D21EA9AE33B45B38DD3FDD7D251AB46"/>
    <w:rsid w:val="00B14360"/>
    <w:rPr>
      <w:lang w:val="fr-CH"/>
    </w:rPr>
  </w:style>
  <w:style w:type="paragraph" w:customStyle="1" w:styleId="8286697ECCA644018F0C53D8452695EC">
    <w:name w:val="8286697ECCA644018F0C53D8452695EC"/>
    <w:rsid w:val="00B14360"/>
    <w:rPr>
      <w:lang w:val="fr-CH"/>
    </w:rPr>
  </w:style>
  <w:style w:type="paragraph" w:customStyle="1" w:styleId="E5FD36EC221C4FAE941B85C2123D5BA0">
    <w:name w:val="E5FD36EC221C4FAE941B85C2123D5BA0"/>
    <w:rsid w:val="00B14360"/>
    <w:rPr>
      <w:lang w:val="fr-CH"/>
    </w:rPr>
  </w:style>
  <w:style w:type="paragraph" w:customStyle="1" w:styleId="E689A13DF991403EBF3C66244BD2A2ED">
    <w:name w:val="E689A13DF991403EBF3C66244BD2A2ED"/>
    <w:rsid w:val="00B14360"/>
    <w:rPr>
      <w:lang w:val="fr-CH"/>
    </w:rPr>
  </w:style>
  <w:style w:type="paragraph" w:customStyle="1" w:styleId="FEA83F2039A04889ACFBCA9A66EEAF6A">
    <w:name w:val="FEA83F2039A04889ACFBCA9A66EEAF6A"/>
    <w:rsid w:val="004E65BF"/>
    <w:rPr>
      <w:lang w:val="fr-CH"/>
    </w:rPr>
  </w:style>
  <w:style w:type="paragraph" w:customStyle="1" w:styleId="2B26E5D88B88430490E63F3A3FB51B54">
    <w:name w:val="2B26E5D88B88430490E63F3A3FB51B54"/>
    <w:rsid w:val="004E65BF"/>
    <w:rPr>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16/03/2018</When>
    <Meeting xmlns="3f6fad35-1f81-480e-a4e5-6e5474dcfb96" xsi:nil="true"/>
    <IsReservedDoc xmlns="3f6fad35-1f81-480e-a4e5-6e5474dcfb96">false</IsReservedDoc>
    <SgText xmlns="3f6fad35-1f81-480e-a4e5-6e5474dcfb96">STUDY GROUP 5</SgText>
    <IsRevision xmlns="3f6fad35-1f81-480e-a4e5-6e5474dcfb96">false</IsRevision>
    <Purpose1 xmlns="3f6fad35-1f81-480e-a4e5-6e5474dcfb96">Proposal</Purpose1>
    <Abstract xmlns="3f6fad35-1f81-480e-a4e5-6e5474dcfb96">Le Gouvernement du Rwanda a relevé le rôle que peuvent jouer les technologies de l'information et de la communication (TIC) dans le développement socio-économique du pays.
   Les initiatives nationales existantes concernant les TIC comprennent notamment:
           l'initiative "un ordinateur portable par enfant" dans tous les établissements d'enseignement primaire;
           des ordinateurs POSITIVO dans les établissements d'enseignement secondaire;
           l'administration publique en ligne, les services bancaires en ligne;
           la migration des technologies analogiques vers les technologies numériques;
           etc.
Malgré ces initiatives, le gouvernement est conscient qu'une mauvaise prise en charge des déchets d'équipements électriques et électroniques (DEEE) peut induire des risques pour la santé et l'environnement.
Il a donc élaboré un cadre institutionnel approprié afin de mettre en œuvre des politiques, des réglementations et des normes en matière de gestion des DEEE afin de relever les défis ci-dessus.
Cadre légal concernant la gestion des déchets d'équipements électriques et électroniques au Rwanda
Politique nationale de collecte des déchets – une politique cadre qui recommande une politique de gestion des DEEE concrète.
La Politique nationale sur les déchets d'équipements électriques et électroniques fournit des lignes directrices et des orientations en matière de politique générale sur les instruments réglementaires et juridiques appropriés relatifs à la gestion des DEEE.
Le Projet de loi sur les déchets d'équipements électriques et électroniques, fondé sur le principe de la responsabilité des producteurs, fournit le cadre juridique pour la gestion des DEEE ainsi que les obligations légales auxquelles sont soumises les différentes institutions.
La Réglementation sur les déchets d'équipements électriques et électroniques, approuvée par le comité de l'autorité de régulation, établit les rôles des différents acteurs, en particulier les producteurs et les recycleurs; elle fixe des exigences minimales pour les licences ainsi que des sanctions et des pénalités pour les cas de non-conformité.</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Sans objet</QuestionText>
    <DocTypeText xmlns="3f6fad35-1f81-480e-a4e5-6e5474dcfb96">TD</DocTypeText>
    <CategoryDescription xmlns="http://schemas.microsoft.com/sharepoint.v3" xsi:nil="true"/>
    <ShortName xmlns="3f6fad35-1f81-480e-a4e5-6e5474dcfb96">TSAG-TD291-F</ShortName>
    <Place xmlns="3f6fad35-1f81-480e-a4e5-6e5474dcfb96">Zanzibar Tanzania</Place>
    <IsTooLateSubmitted xmlns="3f6fad35-1f81-480e-a4e5-6e5474dcfb96">false</IsTooLateSubmitted>
    <Observations xmlns="3f6fad35-1f81-480e-a4e5-6e5474dcfb96" xsi:nil="true"/>
    <DocumentSource xmlns="3f6fad35-1f81-480e-a4e5-6e5474dcfb96">Directeur du TSB</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sharepoint.v3"/>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3f6fad35-1f81-480e-a4e5-6e5474dcfb96"/>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D85E6-CB92-42E6-B807-C50135C3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85</TotalTime>
  <Pages>85</Pages>
  <Words>43688</Words>
  <Characters>249023</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Rapport d'activité de l'UIT-T (de février à octobre 2018)</vt:lpstr>
    </vt:vector>
  </TitlesOfParts>
  <Company>ITU</Company>
  <LinksUpToDate>false</LinksUpToDate>
  <CharactersWithSpaces>292127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l'UIT-T (de février à octobre 2018)</dc:title>
  <dc:subject/>
  <dc:creator>Guy, Florence</dc:creator>
  <cp:keywords>Role of Policy;</cp:keywords>
  <dc:description/>
  <cp:lastModifiedBy>Al-Mnini, Lara</cp:lastModifiedBy>
  <cp:revision>7</cp:revision>
  <cp:lastPrinted>2018-04-11T09:15:00Z</cp:lastPrinted>
  <dcterms:created xsi:type="dcterms:W3CDTF">2018-11-29T10:01:00Z</dcterms:created>
  <dcterms:modified xsi:type="dcterms:W3CDTF">2018-12-04T15:36:00Z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